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93358" w14:textId="77777777" w:rsidR="00C86248" w:rsidRDefault="004A0C97" w:rsidP="00926083">
      <w:pPr>
        <w:pStyle w:val="Title"/>
      </w:pPr>
      <w:r>
        <w:t>Consultation on amendments to the schedules of specified prescription medicines for designated pharmacist prescribers</w:t>
      </w:r>
    </w:p>
    <w:p w14:paraId="3DC93359" w14:textId="77777777" w:rsidR="00D27922" w:rsidRDefault="004A0C97" w:rsidP="00D27922">
      <w:pPr>
        <w:pStyle w:val="Subhead"/>
      </w:pPr>
      <w:r>
        <w:t>Analysis of submissions</w:t>
      </w:r>
    </w:p>
    <w:p w14:paraId="3DC9335A" w14:textId="77777777" w:rsidR="00D27922" w:rsidRPr="00D27922" w:rsidRDefault="004A0C97" w:rsidP="00D27922">
      <w:pPr>
        <w:pStyle w:val="Year"/>
      </w:pPr>
      <w:r>
        <w:t>2021</w:t>
      </w:r>
    </w:p>
    <w:p w14:paraId="3DC9335B" w14:textId="77777777" w:rsidR="00C05132" w:rsidRDefault="00C05132" w:rsidP="00A06BE4"/>
    <w:p w14:paraId="3DC9335C" w14:textId="77777777" w:rsidR="00142954" w:rsidRPr="00142954" w:rsidRDefault="00142954" w:rsidP="00142954">
      <w:pPr>
        <w:sectPr w:rsidR="00142954" w:rsidRPr="00142954" w:rsidSect="00925892">
          <w:headerReference w:type="default" r:id="rId8"/>
          <w:footerReference w:type="default" r:id="rId9"/>
          <w:pgSz w:w="11907" w:h="16834" w:code="9"/>
          <w:pgMar w:top="5670" w:right="1134" w:bottom="1134" w:left="1134" w:header="567" w:footer="851" w:gutter="0"/>
          <w:pgNumType w:start="1"/>
          <w:cols w:space="720"/>
        </w:sectPr>
      </w:pPr>
    </w:p>
    <w:p w14:paraId="3DC9335D" w14:textId="77777777" w:rsidR="00D27922" w:rsidRDefault="00D27922" w:rsidP="00D27922">
      <w:pPr>
        <w:pStyle w:val="Heading3"/>
      </w:pPr>
      <w:r>
        <w:lastRenderedPageBreak/>
        <w:t>Acknowledgements</w:t>
      </w:r>
    </w:p>
    <w:p w14:paraId="3DC9335E" w14:textId="77777777" w:rsidR="004A0C97" w:rsidRDefault="004A0C97" w:rsidP="004A0C97">
      <w:pPr>
        <w:pStyle w:val="Imprint"/>
        <w:spacing w:after="120"/>
      </w:pPr>
      <w:r>
        <w:t>The Ministry of Health engaged with several key stakeholders when developing the consultation, in partnership with the Pharmacy Council of New Zealand.</w:t>
      </w:r>
    </w:p>
    <w:p w14:paraId="3DC9335F" w14:textId="77777777" w:rsidR="00D27922" w:rsidRPr="00D27922" w:rsidRDefault="004A0C97" w:rsidP="004A0C97">
      <w:pPr>
        <w:pStyle w:val="Imprint"/>
      </w:pPr>
      <w:r>
        <w:t>We would like to particularly acknowledge members of the Clinical Advisory Pharmacists Association network who contributed their time and expertise throughout the process.</w:t>
      </w:r>
    </w:p>
    <w:p w14:paraId="3DC93360" w14:textId="77777777" w:rsidR="00A80363" w:rsidRPr="00C05132" w:rsidRDefault="00A80363" w:rsidP="004A0C97">
      <w:pPr>
        <w:pStyle w:val="Imprint"/>
        <w:spacing w:before="1200"/>
        <w:rPr>
          <w:rFonts w:cs="Segoe UI"/>
        </w:rPr>
      </w:pPr>
      <w:r w:rsidRPr="00C05132">
        <w:rPr>
          <w:rFonts w:cs="Segoe UI"/>
        </w:rPr>
        <w:t xml:space="preserve">Citation: </w:t>
      </w:r>
      <w:r w:rsidR="00442C1C" w:rsidRPr="00C05132">
        <w:rPr>
          <w:rFonts w:cs="Segoe UI"/>
        </w:rPr>
        <w:t xml:space="preserve">Ministry of Health. </w:t>
      </w:r>
      <w:r w:rsidR="004A0C97">
        <w:rPr>
          <w:rFonts w:cs="Segoe UI"/>
        </w:rPr>
        <w:t>2021</w:t>
      </w:r>
      <w:r w:rsidR="00442C1C" w:rsidRPr="00C05132">
        <w:rPr>
          <w:rFonts w:cs="Segoe UI"/>
        </w:rPr>
        <w:t xml:space="preserve">. </w:t>
      </w:r>
      <w:r w:rsidR="004A0C97">
        <w:rPr>
          <w:rFonts w:cs="Segoe UI"/>
          <w:i/>
        </w:rPr>
        <w:t>C</w:t>
      </w:r>
      <w:r w:rsidR="004A0C97" w:rsidRPr="004A0C97">
        <w:rPr>
          <w:rFonts w:cs="Segoe UI"/>
          <w:i/>
        </w:rPr>
        <w:t>onsultation on amendments to the schedules of specified prescription medicines</w:t>
      </w:r>
      <w:r w:rsidR="004A0C97">
        <w:rPr>
          <w:rFonts w:cs="Segoe UI"/>
          <w:i/>
        </w:rPr>
        <w:t xml:space="preserve"> f</w:t>
      </w:r>
      <w:r w:rsidR="004A0C97" w:rsidRPr="004A0C97">
        <w:rPr>
          <w:rFonts w:cs="Segoe UI"/>
          <w:i/>
        </w:rPr>
        <w:t>or designated pharmacist prescribers</w:t>
      </w:r>
      <w:r w:rsidR="00D27922">
        <w:rPr>
          <w:rFonts w:cs="Segoe UI"/>
          <w:i/>
        </w:rPr>
        <w:t xml:space="preserve">: </w:t>
      </w:r>
      <w:r w:rsidR="004A0C97">
        <w:rPr>
          <w:rFonts w:cs="Segoe UI"/>
          <w:i/>
        </w:rPr>
        <w:t>Analysis of submissions</w:t>
      </w:r>
      <w:r w:rsidR="00442C1C" w:rsidRPr="00C05132">
        <w:rPr>
          <w:rFonts w:cs="Segoe UI"/>
        </w:rPr>
        <w:t>. Wellington: Ministry of Health.</w:t>
      </w:r>
    </w:p>
    <w:p w14:paraId="3DC93361" w14:textId="37ECF419" w:rsidR="00C86248" w:rsidRDefault="00C86248">
      <w:pPr>
        <w:pStyle w:val="Imprint"/>
      </w:pPr>
      <w:r>
        <w:t xml:space="preserve">Published in </w:t>
      </w:r>
      <w:r w:rsidR="005A0EA1">
        <w:t>Novem</w:t>
      </w:r>
      <w:r w:rsidR="004A0C97">
        <w:t>ber</w:t>
      </w:r>
      <w:r w:rsidR="00D27922">
        <w:t xml:space="preserve"> </w:t>
      </w:r>
      <w:r w:rsidR="003235C6">
        <w:t>20</w:t>
      </w:r>
      <w:r w:rsidR="008017B4">
        <w:t>21</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3DC93362" w14:textId="46E1021F" w:rsidR="00082CD6" w:rsidRPr="009C0F2D" w:rsidRDefault="00D863D0" w:rsidP="00082CD6">
      <w:pPr>
        <w:pStyle w:val="Imprint"/>
      </w:pPr>
      <w:r>
        <w:t>ISBN</w:t>
      </w:r>
      <w:r w:rsidR="00442C1C">
        <w:t xml:space="preserve"> </w:t>
      </w:r>
      <w:r w:rsidR="00D26427" w:rsidRPr="00D26427">
        <w:t>978-1-99-100768-1</w:t>
      </w:r>
      <w:r w:rsidR="002B7BEC">
        <w:t xml:space="preserve"> </w:t>
      </w:r>
      <w:r>
        <w:t>(</w:t>
      </w:r>
      <w:r w:rsidR="00442C1C">
        <w:t>online</w:t>
      </w:r>
      <w:r>
        <w:t>)</w:t>
      </w:r>
      <w:r w:rsidR="00082CD6">
        <w:br/>
      </w:r>
      <w:r w:rsidR="00082CD6" w:rsidRPr="009C0F2D">
        <w:t xml:space="preserve">HP </w:t>
      </w:r>
      <w:r w:rsidR="00C12012">
        <w:t>7905</w:t>
      </w:r>
    </w:p>
    <w:p w14:paraId="3DC93363" w14:textId="77777777" w:rsidR="00C86248" w:rsidRDefault="008C64C4" w:rsidP="00D27922">
      <w:pPr>
        <w:spacing w:before="360"/>
      </w:pPr>
      <w:r>
        <w:rPr>
          <w:noProof/>
          <w:lang w:eastAsia="en-NZ"/>
        </w:rPr>
        <w:drawing>
          <wp:inline distT="0" distB="0" distL="0" distR="0" wp14:anchorId="3DC93746" wp14:editId="7B6AD06E">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Health logo"/>
                    <pic:cNvPicPr>
                      <a:picLocks noChangeAspect="1" noChangeArrowheads="1"/>
                    </pic:cNvPicPr>
                  </pic:nvPicPr>
                  <pic:blipFill>
                    <a:blip r:embed="rId10"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3DC93364" w14:textId="77777777" w:rsidR="00A63DFF" w:rsidRDefault="00A63DFF" w:rsidP="00A63DFF">
      <w:pPr>
        <w:pStyle w:val="Imprint"/>
        <w:spacing w:before="240" w:after="480"/>
      </w:pPr>
      <w:r>
        <w:t xml:space="preserve">This document is available at </w:t>
      </w:r>
      <w:hyperlink r:id="rId11" w:history="1">
        <w:r w:rsidR="00476B21" w:rsidRPr="0013096C">
          <w:rPr>
            <w:rStyle w:val="Hyperlink"/>
          </w:rPr>
          <w:t>health.govt.nz</w:t>
        </w:r>
      </w:hyperlink>
    </w:p>
    <w:tbl>
      <w:tblPr>
        <w:tblW w:w="0" w:type="auto"/>
        <w:tblLayout w:type="fixed"/>
        <w:tblLook w:val="04A0" w:firstRow="1" w:lastRow="0" w:firstColumn="1" w:lastColumn="0" w:noHBand="0" w:noVBand="1"/>
      </w:tblPr>
      <w:tblGrid>
        <w:gridCol w:w="1526"/>
        <w:gridCol w:w="6061"/>
      </w:tblGrid>
      <w:tr w:rsidR="00A63DFF" w:rsidRPr="00A63DFF" w14:paraId="3DC93367" w14:textId="77777777" w:rsidTr="00A63DFF">
        <w:trPr>
          <w:cantSplit/>
        </w:trPr>
        <w:tc>
          <w:tcPr>
            <w:tcW w:w="1526" w:type="dxa"/>
          </w:tcPr>
          <w:p w14:paraId="3DC93365" w14:textId="77777777" w:rsidR="00A63DFF" w:rsidRPr="00A63DFF" w:rsidRDefault="00A63DFF" w:rsidP="00F103BE">
            <w:pPr>
              <w:spacing w:before="240"/>
              <w:rPr>
                <w:rFonts w:cs="Segoe UI"/>
                <w:sz w:val="15"/>
                <w:szCs w:val="15"/>
              </w:rPr>
            </w:pPr>
            <w:r w:rsidRPr="00A63DFF">
              <w:rPr>
                <w:rFonts w:cs="Segoe UI"/>
                <w:b/>
                <w:noProof/>
                <w:sz w:val="15"/>
                <w:szCs w:val="15"/>
                <w:lang w:eastAsia="en-NZ"/>
              </w:rPr>
              <w:drawing>
                <wp:inline distT="0" distB="0" distL="0" distR="0" wp14:anchorId="3DC93748" wp14:editId="3DC93749">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3DC93366"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3DC93368" w14:textId="77777777" w:rsidR="007E74F1" w:rsidRPr="001F45A7" w:rsidRDefault="007E74F1" w:rsidP="006E2886">
      <w:pPr>
        <w:pStyle w:val="Imprint"/>
      </w:pPr>
    </w:p>
    <w:p w14:paraId="3DC93369" w14:textId="77777777" w:rsidR="00C86248" w:rsidRDefault="00C86248">
      <w:pPr>
        <w:jc w:val="center"/>
        <w:sectPr w:rsidR="00C86248" w:rsidSect="00925892">
          <w:footerReference w:type="even" r:id="rId13"/>
          <w:footerReference w:type="default" r:id="rId14"/>
          <w:pgSz w:w="11907" w:h="16834" w:code="9"/>
          <w:pgMar w:top="1701" w:right="2268" w:bottom="1134" w:left="2268" w:header="0" w:footer="0" w:gutter="0"/>
          <w:cols w:space="720"/>
          <w:vAlign w:val="bottom"/>
        </w:sectPr>
      </w:pPr>
    </w:p>
    <w:p w14:paraId="3DC9336A" w14:textId="77777777" w:rsidR="00C86248" w:rsidRDefault="00C86248" w:rsidP="00025A6F">
      <w:pPr>
        <w:pStyle w:val="IntroHead"/>
      </w:pPr>
      <w:bookmarkStart w:id="0" w:name="_Toc405792991"/>
      <w:bookmarkStart w:id="1" w:name="_Toc405793224"/>
      <w:r>
        <w:lastRenderedPageBreak/>
        <w:t>Contents</w:t>
      </w:r>
      <w:bookmarkEnd w:id="0"/>
      <w:bookmarkEnd w:id="1"/>
    </w:p>
    <w:p w14:paraId="674F5D8C" w14:textId="10615140" w:rsidR="000D1100" w:rsidRDefault="000D1100">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86657200" w:history="1">
        <w:r w:rsidRPr="00145AA4">
          <w:rPr>
            <w:rStyle w:val="Hyperlink"/>
            <w:noProof/>
          </w:rPr>
          <w:t>Introduction</w:t>
        </w:r>
        <w:r>
          <w:rPr>
            <w:noProof/>
            <w:webHidden/>
          </w:rPr>
          <w:tab/>
        </w:r>
        <w:r>
          <w:rPr>
            <w:noProof/>
            <w:webHidden/>
          </w:rPr>
          <w:fldChar w:fldCharType="begin"/>
        </w:r>
        <w:r>
          <w:rPr>
            <w:noProof/>
            <w:webHidden/>
          </w:rPr>
          <w:instrText xml:space="preserve"> PAGEREF _Toc86657200 \h </w:instrText>
        </w:r>
        <w:r>
          <w:rPr>
            <w:noProof/>
            <w:webHidden/>
          </w:rPr>
        </w:r>
        <w:r>
          <w:rPr>
            <w:noProof/>
            <w:webHidden/>
          </w:rPr>
          <w:fldChar w:fldCharType="separate"/>
        </w:r>
        <w:r w:rsidR="00D172A7">
          <w:rPr>
            <w:noProof/>
            <w:webHidden/>
          </w:rPr>
          <w:t>1</w:t>
        </w:r>
        <w:r>
          <w:rPr>
            <w:noProof/>
            <w:webHidden/>
          </w:rPr>
          <w:fldChar w:fldCharType="end"/>
        </w:r>
      </w:hyperlink>
    </w:p>
    <w:p w14:paraId="6AC4A4F7" w14:textId="0762071C" w:rsidR="000D1100" w:rsidRDefault="00515BF3">
      <w:pPr>
        <w:pStyle w:val="TOC1"/>
        <w:rPr>
          <w:rFonts w:asciiTheme="minorHAnsi" w:eastAsiaTheme="minorEastAsia" w:hAnsiTheme="minorHAnsi" w:cstheme="minorBidi"/>
          <w:noProof/>
          <w:sz w:val="22"/>
          <w:szCs w:val="22"/>
          <w:lang w:eastAsia="en-NZ"/>
        </w:rPr>
      </w:pPr>
      <w:hyperlink w:anchor="_Toc86657201" w:history="1">
        <w:r w:rsidR="000D1100" w:rsidRPr="00145AA4">
          <w:rPr>
            <w:rStyle w:val="Hyperlink"/>
            <w:noProof/>
          </w:rPr>
          <w:t>1</w:t>
        </w:r>
        <w:r w:rsidR="000D1100">
          <w:rPr>
            <w:rFonts w:asciiTheme="minorHAnsi" w:eastAsiaTheme="minorEastAsia" w:hAnsiTheme="minorHAnsi" w:cstheme="minorBidi"/>
            <w:noProof/>
            <w:sz w:val="22"/>
            <w:szCs w:val="22"/>
            <w:lang w:eastAsia="en-NZ"/>
          </w:rPr>
          <w:tab/>
        </w:r>
        <w:r w:rsidR="000D1100" w:rsidRPr="00145AA4">
          <w:rPr>
            <w:rStyle w:val="Hyperlink"/>
            <w:noProof/>
          </w:rPr>
          <w:t>Description of respondents</w:t>
        </w:r>
        <w:r w:rsidR="000D1100">
          <w:rPr>
            <w:noProof/>
            <w:webHidden/>
          </w:rPr>
          <w:tab/>
        </w:r>
        <w:r w:rsidR="000D1100">
          <w:rPr>
            <w:noProof/>
            <w:webHidden/>
          </w:rPr>
          <w:fldChar w:fldCharType="begin"/>
        </w:r>
        <w:r w:rsidR="000D1100">
          <w:rPr>
            <w:noProof/>
            <w:webHidden/>
          </w:rPr>
          <w:instrText xml:space="preserve"> PAGEREF _Toc86657201 \h </w:instrText>
        </w:r>
        <w:r w:rsidR="000D1100">
          <w:rPr>
            <w:noProof/>
            <w:webHidden/>
          </w:rPr>
        </w:r>
        <w:r w:rsidR="000D1100">
          <w:rPr>
            <w:noProof/>
            <w:webHidden/>
          </w:rPr>
          <w:fldChar w:fldCharType="separate"/>
        </w:r>
        <w:r w:rsidR="00D172A7">
          <w:rPr>
            <w:noProof/>
            <w:webHidden/>
          </w:rPr>
          <w:t>4</w:t>
        </w:r>
        <w:r w:rsidR="000D1100">
          <w:rPr>
            <w:noProof/>
            <w:webHidden/>
          </w:rPr>
          <w:fldChar w:fldCharType="end"/>
        </w:r>
      </w:hyperlink>
    </w:p>
    <w:p w14:paraId="14F98128" w14:textId="552D3034" w:rsidR="000D1100" w:rsidRDefault="00515BF3">
      <w:pPr>
        <w:pStyle w:val="TOC2"/>
        <w:rPr>
          <w:rFonts w:asciiTheme="minorHAnsi" w:eastAsiaTheme="minorEastAsia" w:hAnsiTheme="minorHAnsi" w:cstheme="minorBidi"/>
          <w:noProof/>
          <w:sz w:val="22"/>
          <w:szCs w:val="22"/>
          <w:lang w:eastAsia="en-NZ"/>
        </w:rPr>
      </w:pPr>
      <w:hyperlink w:anchor="_Toc86657202" w:history="1">
        <w:r w:rsidR="000D1100" w:rsidRPr="00145AA4">
          <w:rPr>
            <w:rStyle w:val="Hyperlink"/>
            <w:noProof/>
          </w:rPr>
          <w:t>1.1</w:t>
        </w:r>
        <w:r w:rsidR="000D1100">
          <w:rPr>
            <w:rFonts w:asciiTheme="minorHAnsi" w:eastAsiaTheme="minorEastAsia" w:hAnsiTheme="minorHAnsi" w:cstheme="minorBidi"/>
            <w:noProof/>
            <w:sz w:val="22"/>
            <w:szCs w:val="22"/>
            <w:lang w:eastAsia="en-NZ"/>
          </w:rPr>
          <w:tab/>
        </w:r>
        <w:r w:rsidR="000D1100" w:rsidRPr="00145AA4">
          <w:rPr>
            <w:rStyle w:val="Hyperlink"/>
            <w:noProof/>
          </w:rPr>
          <w:t>Level of support</w:t>
        </w:r>
        <w:r w:rsidR="000D1100">
          <w:rPr>
            <w:noProof/>
            <w:webHidden/>
          </w:rPr>
          <w:tab/>
        </w:r>
        <w:r w:rsidR="000D1100">
          <w:rPr>
            <w:noProof/>
            <w:webHidden/>
          </w:rPr>
          <w:fldChar w:fldCharType="begin"/>
        </w:r>
        <w:r w:rsidR="000D1100">
          <w:rPr>
            <w:noProof/>
            <w:webHidden/>
          </w:rPr>
          <w:instrText xml:space="preserve"> PAGEREF _Toc86657202 \h </w:instrText>
        </w:r>
        <w:r w:rsidR="000D1100">
          <w:rPr>
            <w:noProof/>
            <w:webHidden/>
          </w:rPr>
        </w:r>
        <w:r w:rsidR="000D1100">
          <w:rPr>
            <w:noProof/>
            <w:webHidden/>
          </w:rPr>
          <w:fldChar w:fldCharType="separate"/>
        </w:r>
        <w:r w:rsidR="00D172A7">
          <w:rPr>
            <w:noProof/>
            <w:webHidden/>
          </w:rPr>
          <w:t>6</w:t>
        </w:r>
        <w:r w:rsidR="000D1100">
          <w:rPr>
            <w:noProof/>
            <w:webHidden/>
          </w:rPr>
          <w:fldChar w:fldCharType="end"/>
        </w:r>
      </w:hyperlink>
    </w:p>
    <w:p w14:paraId="42DCA4E3" w14:textId="0DCBA88B" w:rsidR="000D1100" w:rsidRDefault="00515BF3">
      <w:pPr>
        <w:pStyle w:val="TOC1"/>
        <w:rPr>
          <w:rFonts w:asciiTheme="minorHAnsi" w:eastAsiaTheme="minorEastAsia" w:hAnsiTheme="minorHAnsi" w:cstheme="minorBidi"/>
          <w:noProof/>
          <w:sz w:val="22"/>
          <w:szCs w:val="22"/>
          <w:lang w:eastAsia="en-NZ"/>
        </w:rPr>
      </w:pPr>
      <w:hyperlink w:anchor="_Toc86657203" w:history="1">
        <w:r w:rsidR="000D1100" w:rsidRPr="00145AA4">
          <w:rPr>
            <w:rStyle w:val="Hyperlink"/>
            <w:noProof/>
          </w:rPr>
          <w:t>2</w:t>
        </w:r>
        <w:r w:rsidR="000D1100">
          <w:rPr>
            <w:rFonts w:asciiTheme="minorHAnsi" w:eastAsiaTheme="minorEastAsia" w:hAnsiTheme="minorHAnsi" w:cstheme="minorBidi"/>
            <w:noProof/>
            <w:sz w:val="22"/>
            <w:szCs w:val="22"/>
            <w:lang w:eastAsia="en-NZ"/>
          </w:rPr>
          <w:tab/>
        </w:r>
        <w:r w:rsidR="000D1100" w:rsidRPr="00145AA4">
          <w:rPr>
            <w:rStyle w:val="Hyperlink"/>
            <w:noProof/>
          </w:rPr>
          <w:t>Analysis by themes</w:t>
        </w:r>
        <w:r w:rsidR="000D1100">
          <w:rPr>
            <w:noProof/>
            <w:webHidden/>
          </w:rPr>
          <w:tab/>
        </w:r>
        <w:r w:rsidR="000D1100">
          <w:rPr>
            <w:noProof/>
            <w:webHidden/>
          </w:rPr>
          <w:fldChar w:fldCharType="begin"/>
        </w:r>
        <w:r w:rsidR="000D1100">
          <w:rPr>
            <w:noProof/>
            <w:webHidden/>
          </w:rPr>
          <w:instrText xml:space="preserve"> PAGEREF _Toc86657203 \h </w:instrText>
        </w:r>
        <w:r w:rsidR="000D1100">
          <w:rPr>
            <w:noProof/>
            <w:webHidden/>
          </w:rPr>
        </w:r>
        <w:r w:rsidR="000D1100">
          <w:rPr>
            <w:noProof/>
            <w:webHidden/>
          </w:rPr>
          <w:fldChar w:fldCharType="separate"/>
        </w:r>
        <w:r w:rsidR="00D172A7">
          <w:rPr>
            <w:noProof/>
            <w:webHidden/>
          </w:rPr>
          <w:t>9</w:t>
        </w:r>
        <w:r w:rsidR="000D1100">
          <w:rPr>
            <w:noProof/>
            <w:webHidden/>
          </w:rPr>
          <w:fldChar w:fldCharType="end"/>
        </w:r>
      </w:hyperlink>
    </w:p>
    <w:p w14:paraId="25AE6BA3" w14:textId="76CC66F9" w:rsidR="000D1100" w:rsidRDefault="00515BF3">
      <w:pPr>
        <w:pStyle w:val="TOC2"/>
        <w:rPr>
          <w:rFonts w:asciiTheme="minorHAnsi" w:eastAsiaTheme="minorEastAsia" w:hAnsiTheme="minorHAnsi" w:cstheme="minorBidi"/>
          <w:noProof/>
          <w:sz w:val="22"/>
          <w:szCs w:val="22"/>
          <w:lang w:eastAsia="en-NZ"/>
        </w:rPr>
      </w:pPr>
      <w:hyperlink w:anchor="_Toc86657204" w:history="1">
        <w:r w:rsidR="000D1100" w:rsidRPr="00145AA4">
          <w:rPr>
            <w:rStyle w:val="Hyperlink"/>
            <w:rFonts w:eastAsia="MS Gothic"/>
            <w:noProof/>
          </w:rPr>
          <w:t>2.1</w:t>
        </w:r>
        <w:r w:rsidR="000D1100">
          <w:rPr>
            <w:rFonts w:asciiTheme="minorHAnsi" w:eastAsiaTheme="minorEastAsia" w:hAnsiTheme="minorHAnsi" w:cstheme="minorBidi"/>
            <w:noProof/>
            <w:sz w:val="22"/>
            <w:szCs w:val="22"/>
            <w:lang w:eastAsia="en-NZ"/>
          </w:rPr>
          <w:tab/>
        </w:r>
        <w:r w:rsidR="000D1100" w:rsidRPr="00145AA4">
          <w:rPr>
            <w:rStyle w:val="Hyperlink"/>
            <w:rFonts w:eastAsia="MS Gothic"/>
            <w:noProof/>
          </w:rPr>
          <w:t>Removing the need for a schedule</w:t>
        </w:r>
        <w:r w:rsidR="000D1100">
          <w:rPr>
            <w:noProof/>
            <w:webHidden/>
          </w:rPr>
          <w:tab/>
        </w:r>
        <w:r w:rsidR="000D1100">
          <w:rPr>
            <w:noProof/>
            <w:webHidden/>
          </w:rPr>
          <w:fldChar w:fldCharType="begin"/>
        </w:r>
        <w:r w:rsidR="000D1100">
          <w:rPr>
            <w:noProof/>
            <w:webHidden/>
          </w:rPr>
          <w:instrText xml:space="preserve"> PAGEREF _Toc86657204 \h </w:instrText>
        </w:r>
        <w:r w:rsidR="000D1100">
          <w:rPr>
            <w:noProof/>
            <w:webHidden/>
          </w:rPr>
        </w:r>
        <w:r w:rsidR="000D1100">
          <w:rPr>
            <w:noProof/>
            <w:webHidden/>
          </w:rPr>
          <w:fldChar w:fldCharType="separate"/>
        </w:r>
        <w:r w:rsidR="00D172A7">
          <w:rPr>
            <w:noProof/>
            <w:webHidden/>
          </w:rPr>
          <w:t>9</w:t>
        </w:r>
        <w:r w:rsidR="000D1100">
          <w:rPr>
            <w:noProof/>
            <w:webHidden/>
          </w:rPr>
          <w:fldChar w:fldCharType="end"/>
        </w:r>
      </w:hyperlink>
    </w:p>
    <w:p w14:paraId="2F641785" w14:textId="3B03578F" w:rsidR="000D1100" w:rsidRDefault="00515BF3">
      <w:pPr>
        <w:pStyle w:val="TOC2"/>
        <w:rPr>
          <w:rFonts w:asciiTheme="minorHAnsi" w:eastAsiaTheme="minorEastAsia" w:hAnsiTheme="minorHAnsi" w:cstheme="minorBidi"/>
          <w:noProof/>
          <w:sz w:val="22"/>
          <w:szCs w:val="22"/>
          <w:lang w:eastAsia="en-NZ"/>
        </w:rPr>
      </w:pPr>
      <w:hyperlink w:anchor="_Toc86657205" w:history="1">
        <w:r w:rsidR="000D1100" w:rsidRPr="00145AA4">
          <w:rPr>
            <w:rStyle w:val="Hyperlink"/>
            <w:rFonts w:eastAsia="MS Gothic"/>
            <w:noProof/>
          </w:rPr>
          <w:t>2.2</w:t>
        </w:r>
        <w:r w:rsidR="000D1100">
          <w:rPr>
            <w:rFonts w:asciiTheme="minorHAnsi" w:eastAsiaTheme="minorEastAsia" w:hAnsiTheme="minorHAnsi" w:cstheme="minorBidi"/>
            <w:noProof/>
            <w:sz w:val="22"/>
            <w:szCs w:val="22"/>
            <w:lang w:eastAsia="en-NZ"/>
          </w:rPr>
          <w:tab/>
        </w:r>
        <w:r w:rsidR="000D1100" w:rsidRPr="00145AA4">
          <w:rPr>
            <w:rStyle w:val="Hyperlink"/>
            <w:rFonts w:eastAsia="MS Gothic"/>
            <w:noProof/>
          </w:rPr>
          <w:t>Unapproved medicines</w:t>
        </w:r>
        <w:r w:rsidR="000D1100">
          <w:rPr>
            <w:noProof/>
            <w:webHidden/>
          </w:rPr>
          <w:tab/>
        </w:r>
        <w:r w:rsidR="000D1100">
          <w:rPr>
            <w:noProof/>
            <w:webHidden/>
          </w:rPr>
          <w:fldChar w:fldCharType="begin"/>
        </w:r>
        <w:r w:rsidR="000D1100">
          <w:rPr>
            <w:noProof/>
            <w:webHidden/>
          </w:rPr>
          <w:instrText xml:space="preserve"> PAGEREF _Toc86657205 \h </w:instrText>
        </w:r>
        <w:r w:rsidR="000D1100">
          <w:rPr>
            <w:noProof/>
            <w:webHidden/>
          </w:rPr>
        </w:r>
        <w:r w:rsidR="000D1100">
          <w:rPr>
            <w:noProof/>
            <w:webHidden/>
          </w:rPr>
          <w:fldChar w:fldCharType="separate"/>
        </w:r>
        <w:r w:rsidR="00D172A7">
          <w:rPr>
            <w:noProof/>
            <w:webHidden/>
          </w:rPr>
          <w:t>11</w:t>
        </w:r>
        <w:r w:rsidR="000D1100">
          <w:rPr>
            <w:noProof/>
            <w:webHidden/>
          </w:rPr>
          <w:fldChar w:fldCharType="end"/>
        </w:r>
      </w:hyperlink>
    </w:p>
    <w:p w14:paraId="2DE711D9" w14:textId="40097354" w:rsidR="000D1100" w:rsidRDefault="00515BF3">
      <w:pPr>
        <w:pStyle w:val="TOC2"/>
        <w:rPr>
          <w:rFonts w:asciiTheme="minorHAnsi" w:eastAsiaTheme="minorEastAsia" w:hAnsiTheme="minorHAnsi" w:cstheme="minorBidi"/>
          <w:noProof/>
          <w:sz w:val="22"/>
          <w:szCs w:val="22"/>
          <w:lang w:eastAsia="en-NZ"/>
        </w:rPr>
      </w:pPr>
      <w:hyperlink w:anchor="_Toc86657206" w:history="1">
        <w:r w:rsidR="000D1100" w:rsidRPr="00145AA4">
          <w:rPr>
            <w:rStyle w:val="Hyperlink"/>
            <w:rFonts w:eastAsia="MS Gothic"/>
            <w:noProof/>
          </w:rPr>
          <w:t>2.3</w:t>
        </w:r>
        <w:r w:rsidR="000D1100">
          <w:rPr>
            <w:rFonts w:asciiTheme="minorHAnsi" w:eastAsiaTheme="minorEastAsia" w:hAnsiTheme="minorHAnsi" w:cstheme="minorBidi"/>
            <w:noProof/>
            <w:sz w:val="22"/>
            <w:szCs w:val="22"/>
            <w:lang w:eastAsia="en-NZ"/>
          </w:rPr>
          <w:tab/>
        </w:r>
        <w:r w:rsidR="000D1100" w:rsidRPr="00145AA4">
          <w:rPr>
            <w:rStyle w:val="Hyperlink"/>
            <w:rFonts w:eastAsia="MS Gothic"/>
            <w:noProof/>
          </w:rPr>
          <w:t>Period of supply for controlled drugs</w:t>
        </w:r>
        <w:r w:rsidR="000D1100">
          <w:rPr>
            <w:noProof/>
            <w:webHidden/>
          </w:rPr>
          <w:tab/>
        </w:r>
        <w:r w:rsidR="000D1100">
          <w:rPr>
            <w:noProof/>
            <w:webHidden/>
          </w:rPr>
          <w:fldChar w:fldCharType="begin"/>
        </w:r>
        <w:r w:rsidR="000D1100">
          <w:rPr>
            <w:noProof/>
            <w:webHidden/>
          </w:rPr>
          <w:instrText xml:space="preserve"> PAGEREF _Toc86657206 \h </w:instrText>
        </w:r>
        <w:r w:rsidR="000D1100">
          <w:rPr>
            <w:noProof/>
            <w:webHidden/>
          </w:rPr>
        </w:r>
        <w:r w:rsidR="000D1100">
          <w:rPr>
            <w:noProof/>
            <w:webHidden/>
          </w:rPr>
          <w:fldChar w:fldCharType="separate"/>
        </w:r>
        <w:r w:rsidR="00D172A7">
          <w:rPr>
            <w:noProof/>
            <w:webHidden/>
          </w:rPr>
          <w:t>13</w:t>
        </w:r>
        <w:r w:rsidR="000D1100">
          <w:rPr>
            <w:noProof/>
            <w:webHidden/>
          </w:rPr>
          <w:fldChar w:fldCharType="end"/>
        </w:r>
      </w:hyperlink>
    </w:p>
    <w:p w14:paraId="14A48515" w14:textId="452873D0" w:rsidR="000D1100" w:rsidRDefault="00515BF3">
      <w:pPr>
        <w:pStyle w:val="TOC2"/>
        <w:rPr>
          <w:rFonts w:asciiTheme="minorHAnsi" w:eastAsiaTheme="minorEastAsia" w:hAnsiTheme="minorHAnsi" w:cstheme="minorBidi"/>
          <w:noProof/>
          <w:sz w:val="22"/>
          <w:szCs w:val="22"/>
          <w:lang w:eastAsia="en-NZ"/>
        </w:rPr>
      </w:pPr>
      <w:hyperlink w:anchor="_Toc86657207" w:history="1">
        <w:r w:rsidR="000D1100" w:rsidRPr="00145AA4">
          <w:rPr>
            <w:rStyle w:val="Hyperlink"/>
            <w:rFonts w:eastAsia="MS Gothic"/>
            <w:noProof/>
          </w:rPr>
          <w:t>2.4</w:t>
        </w:r>
        <w:r w:rsidR="000D1100">
          <w:rPr>
            <w:rFonts w:asciiTheme="minorHAnsi" w:eastAsiaTheme="minorEastAsia" w:hAnsiTheme="minorHAnsi" w:cstheme="minorBidi"/>
            <w:noProof/>
            <w:sz w:val="22"/>
            <w:szCs w:val="22"/>
            <w:lang w:eastAsia="en-NZ"/>
          </w:rPr>
          <w:tab/>
        </w:r>
        <w:r w:rsidR="000D1100" w:rsidRPr="00145AA4">
          <w:rPr>
            <w:rStyle w:val="Hyperlink"/>
            <w:rFonts w:eastAsia="MS Gothic"/>
            <w:noProof/>
          </w:rPr>
          <w:t>Prescribing methylphenidate, a controlled drug with prescribing restrictions</w:t>
        </w:r>
        <w:r w:rsidR="000D1100">
          <w:rPr>
            <w:noProof/>
            <w:webHidden/>
          </w:rPr>
          <w:tab/>
        </w:r>
        <w:r w:rsidR="000D1100">
          <w:rPr>
            <w:noProof/>
            <w:webHidden/>
          </w:rPr>
          <w:fldChar w:fldCharType="begin"/>
        </w:r>
        <w:r w:rsidR="000D1100">
          <w:rPr>
            <w:noProof/>
            <w:webHidden/>
          </w:rPr>
          <w:instrText xml:space="preserve"> PAGEREF _Toc86657207 \h </w:instrText>
        </w:r>
        <w:r w:rsidR="000D1100">
          <w:rPr>
            <w:noProof/>
            <w:webHidden/>
          </w:rPr>
        </w:r>
        <w:r w:rsidR="000D1100">
          <w:rPr>
            <w:noProof/>
            <w:webHidden/>
          </w:rPr>
          <w:fldChar w:fldCharType="separate"/>
        </w:r>
        <w:r w:rsidR="00D172A7">
          <w:rPr>
            <w:noProof/>
            <w:webHidden/>
          </w:rPr>
          <w:t>13</w:t>
        </w:r>
        <w:r w:rsidR="000D1100">
          <w:rPr>
            <w:noProof/>
            <w:webHidden/>
          </w:rPr>
          <w:fldChar w:fldCharType="end"/>
        </w:r>
      </w:hyperlink>
    </w:p>
    <w:p w14:paraId="0692228A" w14:textId="7944FFCD" w:rsidR="000D1100" w:rsidRDefault="00515BF3">
      <w:pPr>
        <w:pStyle w:val="TOC2"/>
        <w:rPr>
          <w:rFonts w:asciiTheme="minorHAnsi" w:eastAsiaTheme="minorEastAsia" w:hAnsiTheme="minorHAnsi" w:cstheme="minorBidi"/>
          <w:noProof/>
          <w:sz w:val="22"/>
          <w:szCs w:val="22"/>
          <w:lang w:eastAsia="en-NZ"/>
        </w:rPr>
      </w:pPr>
      <w:hyperlink w:anchor="_Toc86657208" w:history="1">
        <w:r w:rsidR="000D1100" w:rsidRPr="00145AA4">
          <w:rPr>
            <w:rStyle w:val="Hyperlink"/>
            <w:rFonts w:eastAsia="MS Gothic"/>
            <w:noProof/>
          </w:rPr>
          <w:t>2.5</w:t>
        </w:r>
        <w:r w:rsidR="000D1100">
          <w:rPr>
            <w:rFonts w:asciiTheme="minorHAnsi" w:eastAsiaTheme="minorEastAsia" w:hAnsiTheme="minorHAnsi" w:cstheme="minorBidi"/>
            <w:noProof/>
            <w:sz w:val="22"/>
            <w:szCs w:val="22"/>
            <w:lang w:eastAsia="en-NZ"/>
          </w:rPr>
          <w:tab/>
        </w:r>
        <w:r w:rsidR="000D1100" w:rsidRPr="00145AA4">
          <w:rPr>
            <w:rStyle w:val="Hyperlink"/>
            <w:rFonts w:eastAsia="MS Gothic"/>
            <w:noProof/>
          </w:rPr>
          <w:t>Prescribing controlled drugs such as benzodiazepine and drugs for opioid substitution therapy</w:t>
        </w:r>
        <w:r w:rsidR="000D1100">
          <w:rPr>
            <w:noProof/>
            <w:webHidden/>
          </w:rPr>
          <w:tab/>
        </w:r>
        <w:r w:rsidR="000D1100">
          <w:rPr>
            <w:noProof/>
            <w:webHidden/>
          </w:rPr>
          <w:fldChar w:fldCharType="begin"/>
        </w:r>
        <w:r w:rsidR="000D1100">
          <w:rPr>
            <w:noProof/>
            <w:webHidden/>
          </w:rPr>
          <w:instrText xml:space="preserve"> PAGEREF _Toc86657208 \h </w:instrText>
        </w:r>
        <w:r w:rsidR="000D1100">
          <w:rPr>
            <w:noProof/>
            <w:webHidden/>
          </w:rPr>
        </w:r>
        <w:r w:rsidR="000D1100">
          <w:rPr>
            <w:noProof/>
            <w:webHidden/>
          </w:rPr>
          <w:fldChar w:fldCharType="separate"/>
        </w:r>
        <w:r w:rsidR="00D172A7">
          <w:rPr>
            <w:noProof/>
            <w:webHidden/>
          </w:rPr>
          <w:t>14</w:t>
        </w:r>
        <w:r w:rsidR="000D1100">
          <w:rPr>
            <w:noProof/>
            <w:webHidden/>
          </w:rPr>
          <w:fldChar w:fldCharType="end"/>
        </w:r>
      </w:hyperlink>
    </w:p>
    <w:p w14:paraId="2F43CC8B" w14:textId="612F1D5A" w:rsidR="000D1100" w:rsidRDefault="00515BF3">
      <w:pPr>
        <w:pStyle w:val="TOC2"/>
        <w:rPr>
          <w:rFonts w:asciiTheme="minorHAnsi" w:eastAsiaTheme="minorEastAsia" w:hAnsiTheme="minorHAnsi" w:cstheme="minorBidi"/>
          <w:noProof/>
          <w:sz w:val="22"/>
          <w:szCs w:val="22"/>
          <w:lang w:eastAsia="en-NZ"/>
        </w:rPr>
      </w:pPr>
      <w:hyperlink w:anchor="_Toc86657209" w:history="1">
        <w:r w:rsidR="000D1100" w:rsidRPr="00145AA4">
          <w:rPr>
            <w:rStyle w:val="Hyperlink"/>
            <w:rFonts w:eastAsia="MS Gothic"/>
            <w:noProof/>
          </w:rPr>
          <w:t>2.6</w:t>
        </w:r>
        <w:r w:rsidR="000D1100">
          <w:rPr>
            <w:rFonts w:asciiTheme="minorHAnsi" w:eastAsiaTheme="minorEastAsia" w:hAnsiTheme="minorHAnsi" w:cstheme="minorBidi"/>
            <w:noProof/>
            <w:sz w:val="22"/>
            <w:szCs w:val="22"/>
            <w:lang w:eastAsia="en-NZ"/>
          </w:rPr>
          <w:tab/>
        </w:r>
        <w:r w:rsidR="000D1100" w:rsidRPr="00145AA4">
          <w:rPr>
            <w:rStyle w:val="Hyperlink"/>
            <w:rFonts w:eastAsia="MS Gothic"/>
            <w:noProof/>
          </w:rPr>
          <w:t>Sharing prescribing data</w:t>
        </w:r>
        <w:r w:rsidR="000D1100">
          <w:rPr>
            <w:noProof/>
            <w:webHidden/>
          </w:rPr>
          <w:tab/>
        </w:r>
        <w:r w:rsidR="000D1100">
          <w:rPr>
            <w:noProof/>
            <w:webHidden/>
          </w:rPr>
          <w:fldChar w:fldCharType="begin"/>
        </w:r>
        <w:r w:rsidR="000D1100">
          <w:rPr>
            <w:noProof/>
            <w:webHidden/>
          </w:rPr>
          <w:instrText xml:space="preserve"> PAGEREF _Toc86657209 \h </w:instrText>
        </w:r>
        <w:r w:rsidR="000D1100">
          <w:rPr>
            <w:noProof/>
            <w:webHidden/>
          </w:rPr>
        </w:r>
        <w:r w:rsidR="000D1100">
          <w:rPr>
            <w:noProof/>
            <w:webHidden/>
          </w:rPr>
          <w:fldChar w:fldCharType="separate"/>
        </w:r>
        <w:r w:rsidR="00D172A7">
          <w:rPr>
            <w:noProof/>
            <w:webHidden/>
          </w:rPr>
          <w:t>15</w:t>
        </w:r>
        <w:r w:rsidR="000D1100">
          <w:rPr>
            <w:noProof/>
            <w:webHidden/>
          </w:rPr>
          <w:fldChar w:fldCharType="end"/>
        </w:r>
      </w:hyperlink>
    </w:p>
    <w:p w14:paraId="570AC41D" w14:textId="19165754" w:rsidR="000D1100" w:rsidRDefault="00515BF3">
      <w:pPr>
        <w:pStyle w:val="TOC2"/>
        <w:rPr>
          <w:rFonts w:asciiTheme="minorHAnsi" w:eastAsiaTheme="minorEastAsia" w:hAnsiTheme="minorHAnsi" w:cstheme="minorBidi"/>
          <w:noProof/>
          <w:sz w:val="22"/>
          <w:szCs w:val="22"/>
          <w:lang w:eastAsia="en-NZ"/>
        </w:rPr>
      </w:pPr>
      <w:hyperlink w:anchor="_Toc86657210" w:history="1">
        <w:r w:rsidR="000D1100" w:rsidRPr="00145AA4">
          <w:rPr>
            <w:rStyle w:val="Hyperlink"/>
            <w:rFonts w:eastAsia="MS Gothic"/>
            <w:noProof/>
          </w:rPr>
          <w:t>2.7</w:t>
        </w:r>
        <w:r w:rsidR="000D1100">
          <w:rPr>
            <w:rFonts w:asciiTheme="minorHAnsi" w:eastAsiaTheme="minorEastAsia" w:hAnsiTheme="minorHAnsi" w:cstheme="minorBidi"/>
            <w:noProof/>
            <w:sz w:val="22"/>
            <w:szCs w:val="22"/>
            <w:lang w:eastAsia="en-NZ"/>
          </w:rPr>
          <w:tab/>
        </w:r>
        <w:r w:rsidR="000D1100" w:rsidRPr="00145AA4">
          <w:rPr>
            <w:rStyle w:val="Hyperlink"/>
            <w:rFonts w:eastAsia="MS Gothic"/>
            <w:noProof/>
          </w:rPr>
          <w:t>Queries about pharmacy prescriber practice</w:t>
        </w:r>
        <w:r w:rsidR="000D1100">
          <w:rPr>
            <w:noProof/>
            <w:webHidden/>
          </w:rPr>
          <w:tab/>
        </w:r>
        <w:r w:rsidR="000D1100">
          <w:rPr>
            <w:noProof/>
            <w:webHidden/>
          </w:rPr>
          <w:fldChar w:fldCharType="begin"/>
        </w:r>
        <w:r w:rsidR="000D1100">
          <w:rPr>
            <w:noProof/>
            <w:webHidden/>
          </w:rPr>
          <w:instrText xml:space="preserve"> PAGEREF _Toc86657210 \h </w:instrText>
        </w:r>
        <w:r w:rsidR="000D1100">
          <w:rPr>
            <w:noProof/>
            <w:webHidden/>
          </w:rPr>
        </w:r>
        <w:r w:rsidR="000D1100">
          <w:rPr>
            <w:noProof/>
            <w:webHidden/>
          </w:rPr>
          <w:fldChar w:fldCharType="separate"/>
        </w:r>
        <w:r w:rsidR="00D172A7">
          <w:rPr>
            <w:noProof/>
            <w:webHidden/>
          </w:rPr>
          <w:t>16</w:t>
        </w:r>
        <w:r w:rsidR="000D1100">
          <w:rPr>
            <w:noProof/>
            <w:webHidden/>
          </w:rPr>
          <w:fldChar w:fldCharType="end"/>
        </w:r>
      </w:hyperlink>
    </w:p>
    <w:p w14:paraId="531281A6" w14:textId="4EE68B78" w:rsidR="000D1100" w:rsidRDefault="00515BF3">
      <w:pPr>
        <w:pStyle w:val="TOC1"/>
        <w:rPr>
          <w:rFonts w:asciiTheme="minorHAnsi" w:eastAsiaTheme="minorEastAsia" w:hAnsiTheme="minorHAnsi" w:cstheme="minorBidi"/>
          <w:noProof/>
          <w:sz w:val="22"/>
          <w:szCs w:val="22"/>
          <w:lang w:eastAsia="en-NZ"/>
        </w:rPr>
      </w:pPr>
      <w:hyperlink w:anchor="_Toc86657211" w:history="1">
        <w:r w:rsidR="000D1100" w:rsidRPr="00145AA4">
          <w:rPr>
            <w:rStyle w:val="Hyperlink"/>
            <w:rFonts w:eastAsia="MS Gothic"/>
            <w:noProof/>
          </w:rPr>
          <w:t>3</w:t>
        </w:r>
        <w:r w:rsidR="000D1100">
          <w:rPr>
            <w:rFonts w:asciiTheme="minorHAnsi" w:eastAsiaTheme="minorEastAsia" w:hAnsiTheme="minorHAnsi" w:cstheme="minorBidi"/>
            <w:noProof/>
            <w:sz w:val="22"/>
            <w:szCs w:val="22"/>
            <w:lang w:eastAsia="en-NZ"/>
          </w:rPr>
          <w:tab/>
        </w:r>
        <w:r w:rsidR="000D1100" w:rsidRPr="00145AA4">
          <w:rPr>
            <w:rStyle w:val="Hyperlink"/>
            <w:rFonts w:eastAsia="MS Gothic"/>
            <w:noProof/>
          </w:rPr>
          <w:t>Analysis by therapeutic class</w:t>
        </w:r>
        <w:r w:rsidR="000D1100">
          <w:rPr>
            <w:noProof/>
            <w:webHidden/>
          </w:rPr>
          <w:tab/>
        </w:r>
        <w:r w:rsidR="000D1100">
          <w:rPr>
            <w:noProof/>
            <w:webHidden/>
          </w:rPr>
          <w:fldChar w:fldCharType="begin"/>
        </w:r>
        <w:r w:rsidR="000D1100">
          <w:rPr>
            <w:noProof/>
            <w:webHidden/>
          </w:rPr>
          <w:instrText xml:space="preserve"> PAGEREF _Toc86657211 \h </w:instrText>
        </w:r>
        <w:r w:rsidR="000D1100">
          <w:rPr>
            <w:noProof/>
            <w:webHidden/>
          </w:rPr>
        </w:r>
        <w:r w:rsidR="000D1100">
          <w:rPr>
            <w:noProof/>
            <w:webHidden/>
          </w:rPr>
          <w:fldChar w:fldCharType="separate"/>
        </w:r>
        <w:r w:rsidR="00D172A7">
          <w:rPr>
            <w:noProof/>
            <w:webHidden/>
          </w:rPr>
          <w:t>17</w:t>
        </w:r>
        <w:r w:rsidR="000D1100">
          <w:rPr>
            <w:noProof/>
            <w:webHidden/>
          </w:rPr>
          <w:fldChar w:fldCharType="end"/>
        </w:r>
      </w:hyperlink>
    </w:p>
    <w:p w14:paraId="0804937A" w14:textId="673784FC" w:rsidR="000D1100" w:rsidRDefault="00515BF3">
      <w:pPr>
        <w:pStyle w:val="TOC2"/>
        <w:rPr>
          <w:rFonts w:asciiTheme="minorHAnsi" w:eastAsiaTheme="minorEastAsia" w:hAnsiTheme="minorHAnsi" w:cstheme="minorBidi"/>
          <w:noProof/>
          <w:sz w:val="22"/>
          <w:szCs w:val="22"/>
          <w:lang w:eastAsia="en-NZ"/>
        </w:rPr>
      </w:pPr>
      <w:hyperlink w:anchor="_Toc86657212" w:history="1">
        <w:r w:rsidR="000D1100" w:rsidRPr="00145AA4">
          <w:rPr>
            <w:rStyle w:val="Hyperlink"/>
            <w:noProof/>
          </w:rPr>
          <w:t>3.1</w:t>
        </w:r>
        <w:r w:rsidR="000D1100">
          <w:rPr>
            <w:rFonts w:asciiTheme="minorHAnsi" w:eastAsiaTheme="minorEastAsia" w:hAnsiTheme="minorHAnsi" w:cstheme="minorBidi"/>
            <w:noProof/>
            <w:sz w:val="22"/>
            <w:szCs w:val="22"/>
            <w:lang w:eastAsia="en-NZ"/>
          </w:rPr>
          <w:tab/>
        </w:r>
        <w:r w:rsidR="000D1100" w:rsidRPr="00145AA4">
          <w:rPr>
            <w:rStyle w:val="Hyperlink"/>
            <w:noProof/>
          </w:rPr>
          <w:t>Musculoskeletal and joint diseases</w:t>
        </w:r>
        <w:r w:rsidR="000D1100">
          <w:rPr>
            <w:noProof/>
            <w:webHidden/>
          </w:rPr>
          <w:tab/>
        </w:r>
        <w:r w:rsidR="000D1100">
          <w:rPr>
            <w:noProof/>
            <w:webHidden/>
          </w:rPr>
          <w:fldChar w:fldCharType="begin"/>
        </w:r>
        <w:r w:rsidR="000D1100">
          <w:rPr>
            <w:noProof/>
            <w:webHidden/>
          </w:rPr>
          <w:instrText xml:space="preserve"> PAGEREF _Toc86657212 \h </w:instrText>
        </w:r>
        <w:r w:rsidR="000D1100">
          <w:rPr>
            <w:noProof/>
            <w:webHidden/>
          </w:rPr>
        </w:r>
        <w:r w:rsidR="000D1100">
          <w:rPr>
            <w:noProof/>
            <w:webHidden/>
          </w:rPr>
          <w:fldChar w:fldCharType="separate"/>
        </w:r>
        <w:r w:rsidR="00D172A7">
          <w:rPr>
            <w:noProof/>
            <w:webHidden/>
          </w:rPr>
          <w:t>17</w:t>
        </w:r>
        <w:r w:rsidR="000D1100">
          <w:rPr>
            <w:noProof/>
            <w:webHidden/>
          </w:rPr>
          <w:fldChar w:fldCharType="end"/>
        </w:r>
      </w:hyperlink>
    </w:p>
    <w:p w14:paraId="329A5E74" w14:textId="03FC8773" w:rsidR="000D1100" w:rsidRDefault="00515BF3">
      <w:pPr>
        <w:pStyle w:val="TOC2"/>
        <w:rPr>
          <w:rFonts w:asciiTheme="minorHAnsi" w:eastAsiaTheme="minorEastAsia" w:hAnsiTheme="minorHAnsi" w:cstheme="minorBidi"/>
          <w:noProof/>
          <w:sz w:val="22"/>
          <w:szCs w:val="22"/>
          <w:lang w:eastAsia="en-NZ"/>
        </w:rPr>
      </w:pPr>
      <w:hyperlink w:anchor="_Toc86657213" w:history="1">
        <w:r w:rsidR="000D1100" w:rsidRPr="00145AA4">
          <w:rPr>
            <w:rStyle w:val="Hyperlink"/>
            <w:noProof/>
          </w:rPr>
          <w:t>3.2</w:t>
        </w:r>
        <w:r w:rsidR="000D1100">
          <w:rPr>
            <w:rFonts w:asciiTheme="minorHAnsi" w:eastAsiaTheme="minorEastAsia" w:hAnsiTheme="minorHAnsi" w:cstheme="minorBidi"/>
            <w:noProof/>
            <w:sz w:val="22"/>
            <w:szCs w:val="22"/>
            <w:lang w:eastAsia="en-NZ"/>
          </w:rPr>
          <w:tab/>
        </w:r>
        <w:r w:rsidR="000D1100" w:rsidRPr="00145AA4">
          <w:rPr>
            <w:rStyle w:val="Hyperlink"/>
            <w:noProof/>
          </w:rPr>
          <w:t>Respiratory system</w:t>
        </w:r>
        <w:r w:rsidR="000D1100">
          <w:rPr>
            <w:noProof/>
            <w:webHidden/>
          </w:rPr>
          <w:tab/>
        </w:r>
        <w:r w:rsidR="000D1100">
          <w:rPr>
            <w:noProof/>
            <w:webHidden/>
          </w:rPr>
          <w:fldChar w:fldCharType="begin"/>
        </w:r>
        <w:r w:rsidR="000D1100">
          <w:rPr>
            <w:noProof/>
            <w:webHidden/>
          </w:rPr>
          <w:instrText xml:space="preserve"> PAGEREF _Toc86657213 \h </w:instrText>
        </w:r>
        <w:r w:rsidR="000D1100">
          <w:rPr>
            <w:noProof/>
            <w:webHidden/>
          </w:rPr>
        </w:r>
        <w:r w:rsidR="000D1100">
          <w:rPr>
            <w:noProof/>
            <w:webHidden/>
          </w:rPr>
          <w:fldChar w:fldCharType="separate"/>
        </w:r>
        <w:r w:rsidR="00D172A7">
          <w:rPr>
            <w:noProof/>
            <w:webHidden/>
          </w:rPr>
          <w:t>17</w:t>
        </w:r>
        <w:r w:rsidR="000D1100">
          <w:rPr>
            <w:noProof/>
            <w:webHidden/>
          </w:rPr>
          <w:fldChar w:fldCharType="end"/>
        </w:r>
      </w:hyperlink>
    </w:p>
    <w:p w14:paraId="67264548" w14:textId="308F5F38" w:rsidR="000D1100" w:rsidRDefault="00515BF3">
      <w:pPr>
        <w:pStyle w:val="TOC2"/>
        <w:rPr>
          <w:rFonts w:asciiTheme="minorHAnsi" w:eastAsiaTheme="minorEastAsia" w:hAnsiTheme="minorHAnsi" w:cstheme="minorBidi"/>
          <w:noProof/>
          <w:sz w:val="22"/>
          <w:szCs w:val="22"/>
          <w:lang w:eastAsia="en-NZ"/>
        </w:rPr>
      </w:pPr>
      <w:hyperlink w:anchor="_Toc86657214" w:history="1">
        <w:r w:rsidR="000D1100" w:rsidRPr="00145AA4">
          <w:rPr>
            <w:rStyle w:val="Hyperlink"/>
            <w:noProof/>
          </w:rPr>
          <w:t>3.3</w:t>
        </w:r>
        <w:r w:rsidR="000D1100">
          <w:rPr>
            <w:rFonts w:asciiTheme="minorHAnsi" w:eastAsiaTheme="minorEastAsia" w:hAnsiTheme="minorHAnsi" w:cstheme="minorBidi"/>
            <w:noProof/>
            <w:sz w:val="22"/>
            <w:szCs w:val="22"/>
            <w:lang w:eastAsia="en-NZ"/>
          </w:rPr>
          <w:tab/>
        </w:r>
        <w:r w:rsidR="000D1100" w:rsidRPr="00145AA4">
          <w:rPr>
            <w:rStyle w:val="Hyperlink"/>
            <w:noProof/>
          </w:rPr>
          <w:t>Central nervous system</w:t>
        </w:r>
        <w:r w:rsidR="000D1100">
          <w:rPr>
            <w:noProof/>
            <w:webHidden/>
          </w:rPr>
          <w:tab/>
        </w:r>
        <w:r w:rsidR="000D1100">
          <w:rPr>
            <w:noProof/>
            <w:webHidden/>
          </w:rPr>
          <w:fldChar w:fldCharType="begin"/>
        </w:r>
        <w:r w:rsidR="000D1100">
          <w:rPr>
            <w:noProof/>
            <w:webHidden/>
          </w:rPr>
          <w:instrText xml:space="preserve"> PAGEREF _Toc86657214 \h </w:instrText>
        </w:r>
        <w:r w:rsidR="000D1100">
          <w:rPr>
            <w:noProof/>
            <w:webHidden/>
          </w:rPr>
        </w:r>
        <w:r w:rsidR="000D1100">
          <w:rPr>
            <w:noProof/>
            <w:webHidden/>
          </w:rPr>
          <w:fldChar w:fldCharType="separate"/>
        </w:r>
        <w:r w:rsidR="00D172A7">
          <w:rPr>
            <w:noProof/>
            <w:webHidden/>
          </w:rPr>
          <w:t>17</w:t>
        </w:r>
        <w:r w:rsidR="000D1100">
          <w:rPr>
            <w:noProof/>
            <w:webHidden/>
          </w:rPr>
          <w:fldChar w:fldCharType="end"/>
        </w:r>
      </w:hyperlink>
    </w:p>
    <w:p w14:paraId="423CBD63" w14:textId="6F80EA1D" w:rsidR="000D1100" w:rsidRDefault="00515BF3">
      <w:pPr>
        <w:pStyle w:val="TOC2"/>
        <w:rPr>
          <w:rFonts w:asciiTheme="minorHAnsi" w:eastAsiaTheme="minorEastAsia" w:hAnsiTheme="minorHAnsi" w:cstheme="minorBidi"/>
          <w:noProof/>
          <w:sz w:val="22"/>
          <w:szCs w:val="22"/>
          <w:lang w:eastAsia="en-NZ"/>
        </w:rPr>
      </w:pPr>
      <w:hyperlink w:anchor="_Toc86657215" w:history="1">
        <w:r w:rsidR="000D1100" w:rsidRPr="00145AA4">
          <w:rPr>
            <w:rStyle w:val="Hyperlink"/>
            <w:noProof/>
          </w:rPr>
          <w:t>3.4</w:t>
        </w:r>
        <w:r w:rsidR="000D1100">
          <w:rPr>
            <w:rFonts w:asciiTheme="minorHAnsi" w:eastAsiaTheme="minorEastAsia" w:hAnsiTheme="minorHAnsi" w:cstheme="minorBidi"/>
            <w:noProof/>
            <w:sz w:val="22"/>
            <w:szCs w:val="22"/>
            <w:lang w:eastAsia="en-NZ"/>
          </w:rPr>
          <w:tab/>
        </w:r>
        <w:r w:rsidR="000D1100" w:rsidRPr="00145AA4">
          <w:rPr>
            <w:rStyle w:val="Hyperlink"/>
            <w:noProof/>
          </w:rPr>
          <w:t>Immunological products and vaccines</w:t>
        </w:r>
        <w:r w:rsidR="000D1100">
          <w:rPr>
            <w:noProof/>
            <w:webHidden/>
          </w:rPr>
          <w:tab/>
        </w:r>
        <w:r w:rsidR="000D1100">
          <w:rPr>
            <w:noProof/>
            <w:webHidden/>
          </w:rPr>
          <w:fldChar w:fldCharType="begin"/>
        </w:r>
        <w:r w:rsidR="000D1100">
          <w:rPr>
            <w:noProof/>
            <w:webHidden/>
          </w:rPr>
          <w:instrText xml:space="preserve"> PAGEREF _Toc86657215 \h </w:instrText>
        </w:r>
        <w:r w:rsidR="000D1100">
          <w:rPr>
            <w:noProof/>
            <w:webHidden/>
          </w:rPr>
        </w:r>
        <w:r w:rsidR="000D1100">
          <w:rPr>
            <w:noProof/>
            <w:webHidden/>
          </w:rPr>
          <w:fldChar w:fldCharType="separate"/>
        </w:r>
        <w:r w:rsidR="00D172A7">
          <w:rPr>
            <w:noProof/>
            <w:webHidden/>
          </w:rPr>
          <w:t>18</w:t>
        </w:r>
        <w:r w:rsidR="000D1100">
          <w:rPr>
            <w:noProof/>
            <w:webHidden/>
          </w:rPr>
          <w:fldChar w:fldCharType="end"/>
        </w:r>
      </w:hyperlink>
    </w:p>
    <w:p w14:paraId="2F3A5DD3" w14:textId="4DB18DC2" w:rsidR="000D1100" w:rsidRDefault="00515BF3">
      <w:pPr>
        <w:pStyle w:val="TOC2"/>
        <w:rPr>
          <w:rFonts w:asciiTheme="minorHAnsi" w:eastAsiaTheme="minorEastAsia" w:hAnsiTheme="minorHAnsi" w:cstheme="minorBidi"/>
          <w:noProof/>
          <w:sz w:val="22"/>
          <w:szCs w:val="22"/>
          <w:lang w:eastAsia="en-NZ"/>
        </w:rPr>
      </w:pPr>
      <w:hyperlink w:anchor="_Toc86657216" w:history="1">
        <w:r w:rsidR="000D1100" w:rsidRPr="00145AA4">
          <w:rPr>
            <w:rStyle w:val="Hyperlink"/>
            <w:noProof/>
          </w:rPr>
          <w:t>3.5</w:t>
        </w:r>
        <w:r w:rsidR="000D1100">
          <w:rPr>
            <w:rFonts w:asciiTheme="minorHAnsi" w:eastAsiaTheme="minorEastAsia" w:hAnsiTheme="minorHAnsi" w:cstheme="minorBidi"/>
            <w:noProof/>
            <w:sz w:val="22"/>
            <w:szCs w:val="22"/>
            <w:lang w:eastAsia="en-NZ"/>
          </w:rPr>
          <w:tab/>
        </w:r>
        <w:r w:rsidR="000D1100" w:rsidRPr="00145AA4">
          <w:rPr>
            <w:rStyle w:val="Hyperlink"/>
            <w:noProof/>
          </w:rPr>
          <w:t>Endocrine system and emergency treatment of poisoning</w:t>
        </w:r>
        <w:r w:rsidR="000D1100">
          <w:rPr>
            <w:noProof/>
            <w:webHidden/>
          </w:rPr>
          <w:tab/>
        </w:r>
        <w:r w:rsidR="000D1100">
          <w:rPr>
            <w:noProof/>
            <w:webHidden/>
          </w:rPr>
          <w:fldChar w:fldCharType="begin"/>
        </w:r>
        <w:r w:rsidR="000D1100">
          <w:rPr>
            <w:noProof/>
            <w:webHidden/>
          </w:rPr>
          <w:instrText xml:space="preserve"> PAGEREF _Toc86657216 \h </w:instrText>
        </w:r>
        <w:r w:rsidR="000D1100">
          <w:rPr>
            <w:noProof/>
            <w:webHidden/>
          </w:rPr>
        </w:r>
        <w:r w:rsidR="000D1100">
          <w:rPr>
            <w:noProof/>
            <w:webHidden/>
          </w:rPr>
          <w:fldChar w:fldCharType="separate"/>
        </w:r>
        <w:r w:rsidR="00D172A7">
          <w:rPr>
            <w:noProof/>
            <w:webHidden/>
          </w:rPr>
          <w:t>18</w:t>
        </w:r>
        <w:r w:rsidR="000D1100">
          <w:rPr>
            <w:noProof/>
            <w:webHidden/>
          </w:rPr>
          <w:fldChar w:fldCharType="end"/>
        </w:r>
      </w:hyperlink>
    </w:p>
    <w:p w14:paraId="6D2E3FD7" w14:textId="7BB3FC65" w:rsidR="000D1100" w:rsidRDefault="00515BF3">
      <w:pPr>
        <w:pStyle w:val="TOC2"/>
        <w:rPr>
          <w:rFonts w:asciiTheme="minorHAnsi" w:eastAsiaTheme="minorEastAsia" w:hAnsiTheme="minorHAnsi" w:cstheme="minorBidi"/>
          <w:noProof/>
          <w:sz w:val="22"/>
          <w:szCs w:val="22"/>
          <w:lang w:eastAsia="en-NZ"/>
        </w:rPr>
      </w:pPr>
      <w:hyperlink w:anchor="_Toc86657217" w:history="1">
        <w:r w:rsidR="000D1100" w:rsidRPr="00145AA4">
          <w:rPr>
            <w:rStyle w:val="Hyperlink"/>
            <w:noProof/>
          </w:rPr>
          <w:t>3.6</w:t>
        </w:r>
        <w:r w:rsidR="000D1100">
          <w:rPr>
            <w:rFonts w:asciiTheme="minorHAnsi" w:eastAsiaTheme="minorEastAsia" w:hAnsiTheme="minorHAnsi" w:cstheme="minorBidi"/>
            <w:noProof/>
            <w:sz w:val="22"/>
            <w:szCs w:val="22"/>
            <w:lang w:eastAsia="en-NZ"/>
          </w:rPr>
          <w:tab/>
        </w:r>
        <w:r w:rsidR="000D1100" w:rsidRPr="00145AA4">
          <w:rPr>
            <w:rStyle w:val="Hyperlink"/>
            <w:noProof/>
          </w:rPr>
          <w:t>Malignant disease and immunosuppression</w:t>
        </w:r>
        <w:r w:rsidR="000D1100">
          <w:rPr>
            <w:noProof/>
            <w:webHidden/>
          </w:rPr>
          <w:tab/>
        </w:r>
        <w:r w:rsidR="000D1100">
          <w:rPr>
            <w:noProof/>
            <w:webHidden/>
          </w:rPr>
          <w:fldChar w:fldCharType="begin"/>
        </w:r>
        <w:r w:rsidR="000D1100">
          <w:rPr>
            <w:noProof/>
            <w:webHidden/>
          </w:rPr>
          <w:instrText xml:space="preserve"> PAGEREF _Toc86657217 \h </w:instrText>
        </w:r>
        <w:r w:rsidR="000D1100">
          <w:rPr>
            <w:noProof/>
            <w:webHidden/>
          </w:rPr>
        </w:r>
        <w:r w:rsidR="000D1100">
          <w:rPr>
            <w:noProof/>
            <w:webHidden/>
          </w:rPr>
          <w:fldChar w:fldCharType="separate"/>
        </w:r>
        <w:r w:rsidR="00D172A7">
          <w:rPr>
            <w:noProof/>
            <w:webHidden/>
          </w:rPr>
          <w:t>19</w:t>
        </w:r>
        <w:r w:rsidR="000D1100">
          <w:rPr>
            <w:noProof/>
            <w:webHidden/>
          </w:rPr>
          <w:fldChar w:fldCharType="end"/>
        </w:r>
      </w:hyperlink>
    </w:p>
    <w:p w14:paraId="2254134B" w14:textId="266BBD64" w:rsidR="000D1100" w:rsidRDefault="00515BF3">
      <w:pPr>
        <w:pStyle w:val="TOC2"/>
        <w:rPr>
          <w:rFonts w:asciiTheme="minorHAnsi" w:eastAsiaTheme="minorEastAsia" w:hAnsiTheme="minorHAnsi" w:cstheme="minorBidi"/>
          <w:noProof/>
          <w:sz w:val="22"/>
          <w:szCs w:val="22"/>
          <w:lang w:eastAsia="en-NZ"/>
        </w:rPr>
      </w:pPr>
      <w:hyperlink w:anchor="_Toc86657218" w:history="1">
        <w:r w:rsidR="000D1100" w:rsidRPr="00145AA4">
          <w:rPr>
            <w:rStyle w:val="Hyperlink"/>
            <w:noProof/>
          </w:rPr>
          <w:t>3.7</w:t>
        </w:r>
        <w:r w:rsidR="000D1100">
          <w:rPr>
            <w:rFonts w:asciiTheme="minorHAnsi" w:eastAsiaTheme="minorEastAsia" w:hAnsiTheme="minorHAnsi" w:cstheme="minorBidi"/>
            <w:noProof/>
            <w:sz w:val="22"/>
            <w:szCs w:val="22"/>
            <w:lang w:eastAsia="en-NZ"/>
          </w:rPr>
          <w:tab/>
        </w:r>
        <w:r w:rsidR="000D1100" w:rsidRPr="00145AA4">
          <w:rPr>
            <w:rStyle w:val="Hyperlink"/>
            <w:noProof/>
          </w:rPr>
          <w:t>Nutrition and blood</w:t>
        </w:r>
        <w:r w:rsidR="000D1100">
          <w:rPr>
            <w:noProof/>
            <w:webHidden/>
          </w:rPr>
          <w:tab/>
        </w:r>
        <w:r w:rsidR="000D1100">
          <w:rPr>
            <w:noProof/>
            <w:webHidden/>
          </w:rPr>
          <w:fldChar w:fldCharType="begin"/>
        </w:r>
        <w:r w:rsidR="000D1100">
          <w:rPr>
            <w:noProof/>
            <w:webHidden/>
          </w:rPr>
          <w:instrText xml:space="preserve"> PAGEREF _Toc86657218 \h </w:instrText>
        </w:r>
        <w:r w:rsidR="000D1100">
          <w:rPr>
            <w:noProof/>
            <w:webHidden/>
          </w:rPr>
        </w:r>
        <w:r w:rsidR="000D1100">
          <w:rPr>
            <w:noProof/>
            <w:webHidden/>
          </w:rPr>
          <w:fldChar w:fldCharType="separate"/>
        </w:r>
        <w:r w:rsidR="00D172A7">
          <w:rPr>
            <w:noProof/>
            <w:webHidden/>
          </w:rPr>
          <w:t>19</w:t>
        </w:r>
        <w:r w:rsidR="000D1100">
          <w:rPr>
            <w:noProof/>
            <w:webHidden/>
          </w:rPr>
          <w:fldChar w:fldCharType="end"/>
        </w:r>
      </w:hyperlink>
    </w:p>
    <w:p w14:paraId="0E74E536" w14:textId="4CA196FA" w:rsidR="000D1100" w:rsidRDefault="00515BF3">
      <w:pPr>
        <w:pStyle w:val="TOC2"/>
        <w:rPr>
          <w:rFonts w:asciiTheme="minorHAnsi" w:eastAsiaTheme="minorEastAsia" w:hAnsiTheme="minorHAnsi" w:cstheme="minorBidi"/>
          <w:noProof/>
          <w:sz w:val="22"/>
          <w:szCs w:val="22"/>
          <w:lang w:eastAsia="en-NZ"/>
        </w:rPr>
      </w:pPr>
      <w:hyperlink w:anchor="_Toc86657219" w:history="1">
        <w:r w:rsidR="000D1100" w:rsidRPr="00145AA4">
          <w:rPr>
            <w:rStyle w:val="Hyperlink"/>
            <w:noProof/>
          </w:rPr>
          <w:t>3.8</w:t>
        </w:r>
        <w:r w:rsidR="000D1100">
          <w:rPr>
            <w:rFonts w:asciiTheme="minorHAnsi" w:eastAsiaTheme="minorEastAsia" w:hAnsiTheme="minorHAnsi" w:cstheme="minorBidi"/>
            <w:noProof/>
            <w:sz w:val="22"/>
            <w:szCs w:val="22"/>
            <w:lang w:eastAsia="en-NZ"/>
          </w:rPr>
          <w:tab/>
        </w:r>
        <w:r w:rsidR="000D1100" w:rsidRPr="00145AA4">
          <w:rPr>
            <w:rStyle w:val="Hyperlink"/>
            <w:noProof/>
          </w:rPr>
          <w:t>Infections</w:t>
        </w:r>
        <w:r w:rsidR="000D1100">
          <w:rPr>
            <w:noProof/>
            <w:webHidden/>
          </w:rPr>
          <w:tab/>
        </w:r>
        <w:r w:rsidR="000D1100">
          <w:rPr>
            <w:noProof/>
            <w:webHidden/>
          </w:rPr>
          <w:fldChar w:fldCharType="begin"/>
        </w:r>
        <w:r w:rsidR="000D1100">
          <w:rPr>
            <w:noProof/>
            <w:webHidden/>
          </w:rPr>
          <w:instrText xml:space="preserve"> PAGEREF _Toc86657219 \h </w:instrText>
        </w:r>
        <w:r w:rsidR="000D1100">
          <w:rPr>
            <w:noProof/>
            <w:webHidden/>
          </w:rPr>
        </w:r>
        <w:r w:rsidR="000D1100">
          <w:rPr>
            <w:noProof/>
            <w:webHidden/>
          </w:rPr>
          <w:fldChar w:fldCharType="separate"/>
        </w:r>
        <w:r w:rsidR="00D172A7">
          <w:rPr>
            <w:noProof/>
            <w:webHidden/>
          </w:rPr>
          <w:t>19</w:t>
        </w:r>
        <w:r w:rsidR="000D1100">
          <w:rPr>
            <w:noProof/>
            <w:webHidden/>
          </w:rPr>
          <w:fldChar w:fldCharType="end"/>
        </w:r>
      </w:hyperlink>
    </w:p>
    <w:p w14:paraId="358A0E9A" w14:textId="5406E548" w:rsidR="000D1100" w:rsidRDefault="00515BF3">
      <w:pPr>
        <w:pStyle w:val="TOC2"/>
        <w:rPr>
          <w:rFonts w:asciiTheme="minorHAnsi" w:eastAsiaTheme="minorEastAsia" w:hAnsiTheme="minorHAnsi" w:cstheme="minorBidi"/>
          <w:noProof/>
          <w:sz w:val="22"/>
          <w:szCs w:val="22"/>
          <w:lang w:eastAsia="en-NZ"/>
        </w:rPr>
      </w:pPr>
      <w:hyperlink w:anchor="_Toc86657220" w:history="1">
        <w:r w:rsidR="000D1100" w:rsidRPr="00145AA4">
          <w:rPr>
            <w:rStyle w:val="Hyperlink"/>
            <w:noProof/>
          </w:rPr>
          <w:t>3.9</w:t>
        </w:r>
        <w:r w:rsidR="000D1100">
          <w:rPr>
            <w:rFonts w:asciiTheme="minorHAnsi" w:eastAsiaTheme="minorEastAsia" w:hAnsiTheme="minorHAnsi" w:cstheme="minorBidi"/>
            <w:noProof/>
            <w:sz w:val="22"/>
            <w:szCs w:val="22"/>
            <w:lang w:eastAsia="en-NZ"/>
          </w:rPr>
          <w:tab/>
        </w:r>
        <w:r w:rsidR="000D1100" w:rsidRPr="00145AA4">
          <w:rPr>
            <w:rStyle w:val="Hyperlink"/>
            <w:noProof/>
          </w:rPr>
          <w:t>Obstetrics, gynaecology and urinary-tract disorders</w:t>
        </w:r>
        <w:r w:rsidR="000D1100">
          <w:rPr>
            <w:noProof/>
            <w:webHidden/>
          </w:rPr>
          <w:tab/>
        </w:r>
        <w:r w:rsidR="000D1100">
          <w:rPr>
            <w:noProof/>
            <w:webHidden/>
          </w:rPr>
          <w:fldChar w:fldCharType="begin"/>
        </w:r>
        <w:r w:rsidR="000D1100">
          <w:rPr>
            <w:noProof/>
            <w:webHidden/>
          </w:rPr>
          <w:instrText xml:space="preserve"> PAGEREF _Toc86657220 \h </w:instrText>
        </w:r>
        <w:r w:rsidR="000D1100">
          <w:rPr>
            <w:noProof/>
            <w:webHidden/>
          </w:rPr>
        </w:r>
        <w:r w:rsidR="000D1100">
          <w:rPr>
            <w:noProof/>
            <w:webHidden/>
          </w:rPr>
          <w:fldChar w:fldCharType="separate"/>
        </w:r>
        <w:r w:rsidR="00D172A7">
          <w:rPr>
            <w:noProof/>
            <w:webHidden/>
          </w:rPr>
          <w:t>19</w:t>
        </w:r>
        <w:r w:rsidR="000D1100">
          <w:rPr>
            <w:noProof/>
            <w:webHidden/>
          </w:rPr>
          <w:fldChar w:fldCharType="end"/>
        </w:r>
      </w:hyperlink>
    </w:p>
    <w:p w14:paraId="0C5EF673" w14:textId="63336CC0" w:rsidR="000D1100" w:rsidRDefault="00515BF3">
      <w:pPr>
        <w:pStyle w:val="TOC2"/>
        <w:rPr>
          <w:rFonts w:asciiTheme="minorHAnsi" w:eastAsiaTheme="minorEastAsia" w:hAnsiTheme="minorHAnsi" w:cstheme="minorBidi"/>
          <w:noProof/>
          <w:sz w:val="22"/>
          <w:szCs w:val="22"/>
          <w:lang w:eastAsia="en-NZ"/>
        </w:rPr>
      </w:pPr>
      <w:hyperlink w:anchor="_Toc86657221" w:history="1">
        <w:r w:rsidR="000D1100" w:rsidRPr="00145AA4">
          <w:rPr>
            <w:rStyle w:val="Hyperlink"/>
            <w:noProof/>
          </w:rPr>
          <w:t>3.10</w:t>
        </w:r>
        <w:r w:rsidR="000D1100">
          <w:rPr>
            <w:rFonts w:asciiTheme="minorHAnsi" w:eastAsiaTheme="minorEastAsia" w:hAnsiTheme="minorHAnsi" w:cstheme="minorBidi"/>
            <w:noProof/>
            <w:sz w:val="22"/>
            <w:szCs w:val="22"/>
            <w:lang w:eastAsia="en-NZ"/>
          </w:rPr>
          <w:tab/>
        </w:r>
        <w:r w:rsidR="000D1100" w:rsidRPr="00145AA4">
          <w:rPr>
            <w:rStyle w:val="Hyperlink"/>
            <w:noProof/>
          </w:rPr>
          <w:t>Cardiovascular system</w:t>
        </w:r>
        <w:r w:rsidR="000D1100">
          <w:rPr>
            <w:noProof/>
            <w:webHidden/>
          </w:rPr>
          <w:tab/>
        </w:r>
        <w:r w:rsidR="000D1100">
          <w:rPr>
            <w:noProof/>
            <w:webHidden/>
          </w:rPr>
          <w:fldChar w:fldCharType="begin"/>
        </w:r>
        <w:r w:rsidR="000D1100">
          <w:rPr>
            <w:noProof/>
            <w:webHidden/>
          </w:rPr>
          <w:instrText xml:space="preserve"> PAGEREF _Toc86657221 \h </w:instrText>
        </w:r>
        <w:r w:rsidR="000D1100">
          <w:rPr>
            <w:noProof/>
            <w:webHidden/>
          </w:rPr>
        </w:r>
        <w:r w:rsidR="000D1100">
          <w:rPr>
            <w:noProof/>
            <w:webHidden/>
          </w:rPr>
          <w:fldChar w:fldCharType="separate"/>
        </w:r>
        <w:r w:rsidR="00D172A7">
          <w:rPr>
            <w:noProof/>
            <w:webHidden/>
          </w:rPr>
          <w:t>20</w:t>
        </w:r>
        <w:r w:rsidR="000D1100">
          <w:rPr>
            <w:noProof/>
            <w:webHidden/>
          </w:rPr>
          <w:fldChar w:fldCharType="end"/>
        </w:r>
      </w:hyperlink>
    </w:p>
    <w:p w14:paraId="32215EB6" w14:textId="19700E0F" w:rsidR="000D1100" w:rsidRDefault="00515BF3">
      <w:pPr>
        <w:pStyle w:val="TOC2"/>
        <w:rPr>
          <w:rFonts w:asciiTheme="minorHAnsi" w:eastAsiaTheme="minorEastAsia" w:hAnsiTheme="minorHAnsi" w:cstheme="minorBidi"/>
          <w:noProof/>
          <w:sz w:val="22"/>
          <w:szCs w:val="22"/>
          <w:lang w:eastAsia="en-NZ"/>
        </w:rPr>
      </w:pPr>
      <w:hyperlink w:anchor="_Toc86657222" w:history="1">
        <w:r w:rsidR="000D1100" w:rsidRPr="00145AA4">
          <w:rPr>
            <w:rStyle w:val="Hyperlink"/>
            <w:noProof/>
          </w:rPr>
          <w:t>3.11</w:t>
        </w:r>
        <w:r w:rsidR="000D1100">
          <w:rPr>
            <w:rFonts w:asciiTheme="minorHAnsi" w:eastAsiaTheme="minorEastAsia" w:hAnsiTheme="minorHAnsi" w:cstheme="minorBidi"/>
            <w:noProof/>
            <w:sz w:val="22"/>
            <w:szCs w:val="22"/>
            <w:lang w:eastAsia="en-NZ"/>
          </w:rPr>
          <w:tab/>
        </w:r>
        <w:r w:rsidR="000D1100" w:rsidRPr="00145AA4">
          <w:rPr>
            <w:rStyle w:val="Hyperlink"/>
            <w:noProof/>
          </w:rPr>
          <w:t>Anaesthesia</w:t>
        </w:r>
        <w:r w:rsidR="000D1100">
          <w:rPr>
            <w:noProof/>
            <w:webHidden/>
          </w:rPr>
          <w:tab/>
        </w:r>
        <w:r w:rsidR="000D1100">
          <w:rPr>
            <w:noProof/>
            <w:webHidden/>
          </w:rPr>
          <w:fldChar w:fldCharType="begin"/>
        </w:r>
        <w:r w:rsidR="000D1100">
          <w:rPr>
            <w:noProof/>
            <w:webHidden/>
          </w:rPr>
          <w:instrText xml:space="preserve"> PAGEREF _Toc86657222 \h </w:instrText>
        </w:r>
        <w:r w:rsidR="000D1100">
          <w:rPr>
            <w:noProof/>
            <w:webHidden/>
          </w:rPr>
        </w:r>
        <w:r w:rsidR="000D1100">
          <w:rPr>
            <w:noProof/>
            <w:webHidden/>
          </w:rPr>
          <w:fldChar w:fldCharType="separate"/>
        </w:r>
        <w:r w:rsidR="00D172A7">
          <w:rPr>
            <w:noProof/>
            <w:webHidden/>
          </w:rPr>
          <w:t>20</w:t>
        </w:r>
        <w:r w:rsidR="000D1100">
          <w:rPr>
            <w:noProof/>
            <w:webHidden/>
          </w:rPr>
          <w:fldChar w:fldCharType="end"/>
        </w:r>
      </w:hyperlink>
    </w:p>
    <w:p w14:paraId="453B4A27" w14:textId="4E342E40" w:rsidR="000D1100" w:rsidRDefault="00515BF3">
      <w:pPr>
        <w:pStyle w:val="TOC2"/>
        <w:rPr>
          <w:rFonts w:asciiTheme="minorHAnsi" w:eastAsiaTheme="minorEastAsia" w:hAnsiTheme="minorHAnsi" w:cstheme="minorBidi"/>
          <w:noProof/>
          <w:sz w:val="22"/>
          <w:szCs w:val="22"/>
          <w:lang w:eastAsia="en-NZ"/>
        </w:rPr>
      </w:pPr>
      <w:hyperlink w:anchor="_Toc86657223" w:history="1">
        <w:r w:rsidR="000D1100" w:rsidRPr="00145AA4">
          <w:rPr>
            <w:rStyle w:val="Hyperlink"/>
            <w:noProof/>
          </w:rPr>
          <w:t>3.12</w:t>
        </w:r>
        <w:r w:rsidR="000D1100">
          <w:rPr>
            <w:rFonts w:asciiTheme="minorHAnsi" w:eastAsiaTheme="minorEastAsia" w:hAnsiTheme="minorHAnsi" w:cstheme="minorBidi"/>
            <w:noProof/>
            <w:sz w:val="22"/>
            <w:szCs w:val="22"/>
            <w:lang w:eastAsia="en-NZ"/>
          </w:rPr>
          <w:tab/>
        </w:r>
        <w:r w:rsidR="000D1100" w:rsidRPr="00145AA4">
          <w:rPr>
            <w:rStyle w:val="Hyperlink"/>
            <w:noProof/>
          </w:rPr>
          <w:t>Controlled drugs</w:t>
        </w:r>
        <w:r w:rsidR="000D1100">
          <w:rPr>
            <w:noProof/>
            <w:webHidden/>
          </w:rPr>
          <w:tab/>
        </w:r>
        <w:r w:rsidR="000D1100">
          <w:rPr>
            <w:noProof/>
            <w:webHidden/>
          </w:rPr>
          <w:fldChar w:fldCharType="begin"/>
        </w:r>
        <w:r w:rsidR="000D1100">
          <w:rPr>
            <w:noProof/>
            <w:webHidden/>
          </w:rPr>
          <w:instrText xml:space="preserve"> PAGEREF _Toc86657223 \h </w:instrText>
        </w:r>
        <w:r w:rsidR="000D1100">
          <w:rPr>
            <w:noProof/>
            <w:webHidden/>
          </w:rPr>
        </w:r>
        <w:r w:rsidR="000D1100">
          <w:rPr>
            <w:noProof/>
            <w:webHidden/>
          </w:rPr>
          <w:fldChar w:fldCharType="separate"/>
        </w:r>
        <w:r w:rsidR="00D172A7">
          <w:rPr>
            <w:noProof/>
            <w:webHidden/>
          </w:rPr>
          <w:t>21</w:t>
        </w:r>
        <w:r w:rsidR="000D1100">
          <w:rPr>
            <w:noProof/>
            <w:webHidden/>
          </w:rPr>
          <w:fldChar w:fldCharType="end"/>
        </w:r>
      </w:hyperlink>
    </w:p>
    <w:p w14:paraId="0E989270" w14:textId="0680E84E" w:rsidR="000D1100" w:rsidRDefault="00515BF3">
      <w:pPr>
        <w:pStyle w:val="TOC2"/>
        <w:rPr>
          <w:rFonts w:asciiTheme="minorHAnsi" w:eastAsiaTheme="minorEastAsia" w:hAnsiTheme="minorHAnsi" w:cstheme="minorBidi"/>
          <w:noProof/>
          <w:sz w:val="22"/>
          <w:szCs w:val="22"/>
          <w:lang w:eastAsia="en-NZ"/>
        </w:rPr>
      </w:pPr>
      <w:hyperlink w:anchor="_Toc86657224" w:history="1">
        <w:r w:rsidR="000D1100" w:rsidRPr="00145AA4">
          <w:rPr>
            <w:rStyle w:val="Hyperlink"/>
            <w:noProof/>
          </w:rPr>
          <w:t>3.13</w:t>
        </w:r>
        <w:r w:rsidR="000D1100">
          <w:rPr>
            <w:rFonts w:asciiTheme="minorHAnsi" w:eastAsiaTheme="minorEastAsia" w:hAnsiTheme="minorHAnsi" w:cstheme="minorBidi"/>
            <w:noProof/>
            <w:sz w:val="22"/>
            <w:szCs w:val="22"/>
            <w:lang w:eastAsia="en-NZ"/>
          </w:rPr>
          <w:tab/>
        </w:r>
        <w:r w:rsidR="000D1100" w:rsidRPr="00145AA4">
          <w:rPr>
            <w:rStyle w:val="Hyperlink"/>
            <w:noProof/>
          </w:rPr>
          <w:t>Not yet classified – now all prescription medicines</w:t>
        </w:r>
        <w:r w:rsidR="000D1100">
          <w:rPr>
            <w:noProof/>
            <w:webHidden/>
          </w:rPr>
          <w:tab/>
        </w:r>
        <w:r w:rsidR="000D1100">
          <w:rPr>
            <w:noProof/>
            <w:webHidden/>
          </w:rPr>
          <w:fldChar w:fldCharType="begin"/>
        </w:r>
        <w:r w:rsidR="000D1100">
          <w:rPr>
            <w:noProof/>
            <w:webHidden/>
          </w:rPr>
          <w:instrText xml:space="preserve"> PAGEREF _Toc86657224 \h </w:instrText>
        </w:r>
        <w:r w:rsidR="000D1100">
          <w:rPr>
            <w:noProof/>
            <w:webHidden/>
          </w:rPr>
        </w:r>
        <w:r w:rsidR="000D1100">
          <w:rPr>
            <w:noProof/>
            <w:webHidden/>
          </w:rPr>
          <w:fldChar w:fldCharType="separate"/>
        </w:r>
        <w:r w:rsidR="00D172A7">
          <w:rPr>
            <w:noProof/>
            <w:webHidden/>
          </w:rPr>
          <w:t>21</w:t>
        </w:r>
        <w:r w:rsidR="000D1100">
          <w:rPr>
            <w:noProof/>
            <w:webHidden/>
          </w:rPr>
          <w:fldChar w:fldCharType="end"/>
        </w:r>
      </w:hyperlink>
    </w:p>
    <w:p w14:paraId="0E36851E" w14:textId="72884197" w:rsidR="000D1100" w:rsidRDefault="00515BF3">
      <w:pPr>
        <w:pStyle w:val="TOC2"/>
        <w:rPr>
          <w:rFonts w:asciiTheme="minorHAnsi" w:eastAsiaTheme="minorEastAsia" w:hAnsiTheme="minorHAnsi" w:cstheme="minorBidi"/>
          <w:noProof/>
          <w:sz w:val="22"/>
          <w:szCs w:val="22"/>
          <w:lang w:eastAsia="en-NZ"/>
        </w:rPr>
      </w:pPr>
      <w:hyperlink w:anchor="_Toc86657225" w:history="1">
        <w:r w:rsidR="000D1100" w:rsidRPr="00145AA4">
          <w:rPr>
            <w:rStyle w:val="Hyperlink"/>
            <w:noProof/>
          </w:rPr>
          <w:t>3.14</w:t>
        </w:r>
        <w:r w:rsidR="000D1100">
          <w:rPr>
            <w:rFonts w:asciiTheme="minorHAnsi" w:eastAsiaTheme="minorEastAsia" w:hAnsiTheme="minorHAnsi" w:cstheme="minorBidi"/>
            <w:noProof/>
            <w:sz w:val="22"/>
            <w:szCs w:val="22"/>
            <w:lang w:eastAsia="en-NZ"/>
          </w:rPr>
          <w:tab/>
        </w:r>
        <w:r w:rsidR="000D1100" w:rsidRPr="00145AA4">
          <w:rPr>
            <w:rStyle w:val="Hyperlink"/>
            <w:noProof/>
          </w:rPr>
          <w:t>Summary of level of support</w:t>
        </w:r>
        <w:r w:rsidR="000D1100">
          <w:rPr>
            <w:noProof/>
            <w:webHidden/>
          </w:rPr>
          <w:tab/>
        </w:r>
        <w:r w:rsidR="000D1100">
          <w:rPr>
            <w:noProof/>
            <w:webHidden/>
          </w:rPr>
          <w:fldChar w:fldCharType="begin"/>
        </w:r>
        <w:r w:rsidR="000D1100">
          <w:rPr>
            <w:noProof/>
            <w:webHidden/>
          </w:rPr>
          <w:instrText xml:space="preserve"> PAGEREF _Toc86657225 \h </w:instrText>
        </w:r>
        <w:r w:rsidR="000D1100">
          <w:rPr>
            <w:noProof/>
            <w:webHidden/>
          </w:rPr>
        </w:r>
        <w:r w:rsidR="000D1100">
          <w:rPr>
            <w:noProof/>
            <w:webHidden/>
          </w:rPr>
          <w:fldChar w:fldCharType="separate"/>
        </w:r>
        <w:r w:rsidR="00D172A7">
          <w:rPr>
            <w:noProof/>
            <w:webHidden/>
          </w:rPr>
          <w:t>22</w:t>
        </w:r>
        <w:r w:rsidR="000D1100">
          <w:rPr>
            <w:noProof/>
            <w:webHidden/>
          </w:rPr>
          <w:fldChar w:fldCharType="end"/>
        </w:r>
      </w:hyperlink>
    </w:p>
    <w:p w14:paraId="5C9D8CBD" w14:textId="440FA082" w:rsidR="000D1100" w:rsidRDefault="00515BF3">
      <w:pPr>
        <w:pStyle w:val="TOC1"/>
        <w:rPr>
          <w:rFonts w:asciiTheme="minorHAnsi" w:eastAsiaTheme="minorEastAsia" w:hAnsiTheme="minorHAnsi" w:cstheme="minorBidi"/>
          <w:noProof/>
          <w:sz w:val="22"/>
          <w:szCs w:val="22"/>
          <w:lang w:eastAsia="en-NZ"/>
        </w:rPr>
      </w:pPr>
      <w:hyperlink w:anchor="_Toc86657226" w:history="1">
        <w:r w:rsidR="000D1100" w:rsidRPr="00145AA4">
          <w:rPr>
            <w:rStyle w:val="Hyperlink"/>
            <w:noProof/>
          </w:rPr>
          <w:t>4</w:t>
        </w:r>
        <w:r w:rsidR="000D1100">
          <w:rPr>
            <w:rFonts w:asciiTheme="minorHAnsi" w:eastAsiaTheme="minorEastAsia" w:hAnsiTheme="minorHAnsi" w:cstheme="minorBidi"/>
            <w:noProof/>
            <w:sz w:val="22"/>
            <w:szCs w:val="22"/>
            <w:lang w:eastAsia="en-NZ"/>
          </w:rPr>
          <w:tab/>
        </w:r>
        <w:r w:rsidR="000D1100" w:rsidRPr="00145AA4">
          <w:rPr>
            <w:rStyle w:val="Hyperlink"/>
            <w:noProof/>
          </w:rPr>
          <w:t>Future considerations</w:t>
        </w:r>
        <w:r w:rsidR="000D1100">
          <w:rPr>
            <w:noProof/>
            <w:webHidden/>
          </w:rPr>
          <w:tab/>
        </w:r>
        <w:r w:rsidR="000D1100">
          <w:rPr>
            <w:noProof/>
            <w:webHidden/>
          </w:rPr>
          <w:fldChar w:fldCharType="begin"/>
        </w:r>
        <w:r w:rsidR="000D1100">
          <w:rPr>
            <w:noProof/>
            <w:webHidden/>
          </w:rPr>
          <w:instrText xml:space="preserve"> PAGEREF _Toc86657226 \h </w:instrText>
        </w:r>
        <w:r w:rsidR="000D1100">
          <w:rPr>
            <w:noProof/>
            <w:webHidden/>
          </w:rPr>
        </w:r>
        <w:r w:rsidR="000D1100">
          <w:rPr>
            <w:noProof/>
            <w:webHidden/>
          </w:rPr>
          <w:fldChar w:fldCharType="separate"/>
        </w:r>
        <w:r w:rsidR="00D172A7">
          <w:rPr>
            <w:noProof/>
            <w:webHidden/>
          </w:rPr>
          <w:t>23</w:t>
        </w:r>
        <w:r w:rsidR="000D1100">
          <w:rPr>
            <w:noProof/>
            <w:webHidden/>
          </w:rPr>
          <w:fldChar w:fldCharType="end"/>
        </w:r>
      </w:hyperlink>
    </w:p>
    <w:p w14:paraId="232D1B62" w14:textId="1B46E50F" w:rsidR="000D1100" w:rsidRDefault="00515BF3">
      <w:pPr>
        <w:pStyle w:val="TOC2"/>
        <w:rPr>
          <w:rFonts w:asciiTheme="minorHAnsi" w:eastAsiaTheme="minorEastAsia" w:hAnsiTheme="minorHAnsi" w:cstheme="minorBidi"/>
          <w:noProof/>
          <w:sz w:val="22"/>
          <w:szCs w:val="22"/>
          <w:lang w:eastAsia="en-NZ"/>
        </w:rPr>
      </w:pPr>
      <w:hyperlink w:anchor="_Toc86657227" w:history="1">
        <w:r w:rsidR="000D1100" w:rsidRPr="00145AA4">
          <w:rPr>
            <w:rStyle w:val="Hyperlink"/>
            <w:noProof/>
          </w:rPr>
          <w:t>4.1</w:t>
        </w:r>
        <w:r w:rsidR="000D1100">
          <w:rPr>
            <w:rFonts w:asciiTheme="minorHAnsi" w:eastAsiaTheme="minorEastAsia" w:hAnsiTheme="minorHAnsi" w:cstheme="minorBidi"/>
            <w:noProof/>
            <w:sz w:val="22"/>
            <w:szCs w:val="22"/>
            <w:lang w:eastAsia="en-NZ"/>
          </w:rPr>
          <w:tab/>
        </w:r>
        <w:r w:rsidR="000D1100" w:rsidRPr="00145AA4">
          <w:rPr>
            <w:rStyle w:val="Hyperlink"/>
            <w:noProof/>
          </w:rPr>
          <w:t>Review process for updating the schedules</w:t>
        </w:r>
        <w:r w:rsidR="000D1100">
          <w:rPr>
            <w:noProof/>
            <w:webHidden/>
          </w:rPr>
          <w:tab/>
        </w:r>
        <w:r w:rsidR="000D1100">
          <w:rPr>
            <w:noProof/>
            <w:webHidden/>
          </w:rPr>
          <w:fldChar w:fldCharType="begin"/>
        </w:r>
        <w:r w:rsidR="000D1100">
          <w:rPr>
            <w:noProof/>
            <w:webHidden/>
          </w:rPr>
          <w:instrText xml:space="preserve"> PAGEREF _Toc86657227 \h </w:instrText>
        </w:r>
        <w:r w:rsidR="000D1100">
          <w:rPr>
            <w:noProof/>
            <w:webHidden/>
          </w:rPr>
        </w:r>
        <w:r w:rsidR="000D1100">
          <w:rPr>
            <w:noProof/>
            <w:webHidden/>
          </w:rPr>
          <w:fldChar w:fldCharType="separate"/>
        </w:r>
        <w:r w:rsidR="00D172A7">
          <w:rPr>
            <w:noProof/>
            <w:webHidden/>
          </w:rPr>
          <w:t>23</w:t>
        </w:r>
        <w:r w:rsidR="000D1100">
          <w:rPr>
            <w:noProof/>
            <w:webHidden/>
          </w:rPr>
          <w:fldChar w:fldCharType="end"/>
        </w:r>
      </w:hyperlink>
    </w:p>
    <w:p w14:paraId="14804796" w14:textId="4519C333" w:rsidR="000D1100" w:rsidRDefault="00515BF3">
      <w:pPr>
        <w:pStyle w:val="TOC2"/>
        <w:rPr>
          <w:rFonts w:asciiTheme="minorHAnsi" w:eastAsiaTheme="minorEastAsia" w:hAnsiTheme="minorHAnsi" w:cstheme="minorBidi"/>
          <w:noProof/>
          <w:sz w:val="22"/>
          <w:szCs w:val="22"/>
          <w:lang w:eastAsia="en-NZ"/>
        </w:rPr>
      </w:pPr>
      <w:hyperlink w:anchor="_Toc86657228" w:history="1">
        <w:r w:rsidR="000D1100" w:rsidRPr="00145AA4">
          <w:rPr>
            <w:rStyle w:val="Hyperlink"/>
            <w:noProof/>
          </w:rPr>
          <w:t>4.2</w:t>
        </w:r>
        <w:r w:rsidR="000D1100">
          <w:rPr>
            <w:rFonts w:asciiTheme="minorHAnsi" w:eastAsiaTheme="minorEastAsia" w:hAnsiTheme="minorHAnsi" w:cstheme="minorBidi"/>
            <w:noProof/>
            <w:sz w:val="22"/>
            <w:szCs w:val="22"/>
            <w:lang w:eastAsia="en-NZ"/>
          </w:rPr>
          <w:tab/>
        </w:r>
        <w:r w:rsidR="000D1100" w:rsidRPr="00145AA4">
          <w:rPr>
            <w:rStyle w:val="Hyperlink"/>
            <w:noProof/>
          </w:rPr>
          <w:t>Drugs excluded from the list</w:t>
        </w:r>
        <w:r w:rsidR="000D1100">
          <w:rPr>
            <w:noProof/>
            <w:webHidden/>
          </w:rPr>
          <w:tab/>
        </w:r>
        <w:r w:rsidR="000D1100">
          <w:rPr>
            <w:noProof/>
            <w:webHidden/>
          </w:rPr>
          <w:fldChar w:fldCharType="begin"/>
        </w:r>
        <w:r w:rsidR="000D1100">
          <w:rPr>
            <w:noProof/>
            <w:webHidden/>
          </w:rPr>
          <w:instrText xml:space="preserve"> PAGEREF _Toc86657228 \h </w:instrText>
        </w:r>
        <w:r w:rsidR="000D1100">
          <w:rPr>
            <w:noProof/>
            <w:webHidden/>
          </w:rPr>
        </w:r>
        <w:r w:rsidR="000D1100">
          <w:rPr>
            <w:noProof/>
            <w:webHidden/>
          </w:rPr>
          <w:fldChar w:fldCharType="separate"/>
        </w:r>
        <w:r w:rsidR="00D172A7">
          <w:rPr>
            <w:noProof/>
            <w:webHidden/>
          </w:rPr>
          <w:t>25</w:t>
        </w:r>
        <w:r w:rsidR="000D1100">
          <w:rPr>
            <w:noProof/>
            <w:webHidden/>
          </w:rPr>
          <w:fldChar w:fldCharType="end"/>
        </w:r>
      </w:hyperlink>
    </w:p>
    <w:p w14:paraId="1846F5D3" w14:textId="3FAB463C" w:rsidR="000D1100" w:rsidRDefault="00515BF3">
      <w:pPr>
        <w:pStyle w:val="TOC1"/>
        <w:rPr>
          <w:rFonts w:asciiTheme="minorHAnsi" w:eastAsiaTheme="minorEastAsia" w:hAnsiTheme="minorHAnsi" w:cstheme="minorBidi"/>
          <w:noProof/>
          <w:sz w:val="22"/>
          <w:szCs w:val="22"/>
          <w:lang w:eastAsia="en-NZ"/>
        </w:rPr>
      </w:pPr>
      <w:hyperlink w:anchor="_Toc86657229" w:history="1">
        <w:r w:rsidR="000D1100" w:rsidRPr="00145AA4">
          <w:rPr>
            <w:rStyle w:val="Hyperlink"/>
            <w:noProof/>
          </w:rPr>
          <w:t>Appendices</w:t>
        </w:r>
        <w:r w:rsidR="000D1100">
          <w:rPr>
            <w:noProof/>
            <w:webHidden/>
          </w:rPr>
          <w:tab/>
        </w:r>
        <w:r w:rsidR="000D1100">
          <w:rPr>
            <w:noProof/>
            <w:webHidden/>
          </w:rPr>
          <w:fldChar w:fldCharType="begin"/>
        </w:r>
        <w:r w:rsidR="000D1100">
          <w:rPr>
            <w:noProof/>
            <w:webHidden/>
          </w:rPr>
          <w:instrText xml:space="preserve"> PAGEREF _Toc86657229 \h </w:instrText>
        </w:r>
        <w:r w:rsidR="000D1100">
          <w:rPr>
            <w:noProof/>
            <w:webHidden/>
          </w:rPr>
        </w:r>
        <w:r w:rsidR="000D1100">
          <w:rPr>
            <w:noProof/>
            <w:webHidden/>
          </w:rPr>
          <w:fldChar w:fldCharType="separate"/>
        </w:r>
        <w:r w:rsidR="00D172A7">
          <w:rPr>
            <w:noProof/>
            <w:webHidden/>
          </w:rPr>
          <w:t>26</w:t>
        </w:r>
        <w:r w:rsidR="000D1100">
          <w:rPr>
            <w:noProof/>
            <w:webHidden/>
          </w:rPr>
          <w:fldChar w:fldCharType="end"/>
        </w:r>
      </w:hyperlink>
    </w:p>
    <w:p w14:paraId="75515932" w14:textId="593A9A7D" w:rsidR="000D1100" w:rsidRDefault="00515BF3">
      <w:pPr>
        <w:pStyle w:val="TOC2"/>
        <w:rPr>
          <w:rFonts w:asciiTheme="minorHAnsi" w:eastAsiaTheme="minorEastAsia" w:hAnsiTheme="minorHAnsi" w:cstheme="minorBidi"/>
          <w:noProof/>
          <w:sz w:val="22"/>
          <w:szCs w:val="22"/>
          <w:lang w:eastAsia="en-NZ"/>
        </w:rPr>
      </w:pPr>
      <w:hyperlink w:anchor="_Toc86657230" w:history="1">
        <w:r w:rsidR="000D1100" w:rsidRPr="00145AA4">
          <w:rPr>
            <w:rStyle w:val="Hyperlink"/>
            <w:noProof/>
          </w:rPr>
          <w:t>Appendix 1: Consultation document</w:t>
        </w:r>
        <w:r w:rsidR="000D1100">
          <w:rPr>
            <w:noProof/>
            <w:webHidden/>
          </w:rPr>
          <w:tab/>
        </w:r>
        <w:r w:rsidR="000D1100">
          <w:rPr>
            <w:noProof/>
            <w:webHidden/>
          </w:rPr>
          <w:fldChar w:fldCharType="begin"/>
        </w:r>
        <w:r w:rsidR="000D1100">
          <w:rPr>
            <w:noProof/>
            <w:webHidden/>
          </w:rPr>
          <w:instrText xml:space="preserve"> PAGEREF _Toc86657230 \h </w:instrText>
        </w:r>
        <w:r w:rsidR="000D1100">
          <w:rPr>
            <w:noProof/>
            <w:webHidden/>
          </w:rPr>
        </w:r>
        <w:r w:rsidR="000D1100">
          <w:rPr>
            <w:noProof/>
            <w:webHidden/>
          </w:rPr>
          <w:fldChar w:fldCharType="separate"/>
        </w:r>
        <w:r w:rsidR="00D172A7">
          <w:rPr>
            <w:noProof/>
            <w:webHidden/>
          </w:rPr>
          <w:t>26</w:t>
        </w:r>
        <w:r w:rsidR="000D1100">
          <w:rPr>
            <w:noProof/>
            <w:webHidden/>
          </w:rPr>
          <w:fldChar w:fldCharType="end"/>
        </w:r>
      </w:hyperlink>
    </w:p>
    <w:p w14:paraId="4CD7C02F" w14:textId="62F73F28" w:rsidR="000D1100" w:rsidRDefault="00515BF3">
      <w:pPr>
        <w:pStyle w:val="TOC2"/>
        <w:rPr>
          <w:rFonts w:asciiTheme="minorHAnsi" w:eastAsiaTheme="minorEastAsia" w:hAnsiTheme="minorHAnsi" w:cstheme="minorBidi"/>
          <w:noProof/>
          <w:sz w:val="22"/>
          <w:szCs w:val="22"/>
          <w:lang w:eastAsia="en-NZ"/>
        </w:rPr>
      </w:pPr>
      <w:hyperlink w:anchor="_Toc86657231" w:history="1">
        <w:r w:rsidR="000D1100" w:rsidRPr="00145AA4">
          <w:rPr>
            <w:rStyle w:val="Hyperlink"/>
            <w:noProof/>
          </w:rPr>
          <w:t>Appendix 2: Consultation questions</w:t>
        </w:r>
        <w:r w:rsidR="000D1100">
          <w:rPr>
            <w:noProof/>
            <w:webHidden/>
          </w:rPr>
          <w:tab/>
        </w:r>
        <w:r w:rsidR="000D1100">
          <w:rPr>
            <w:noProof/>
            <w:webHidden/>
          </w:rPr>
          <w:fldChar w:fldCharType="begin"/>
        </w:r>
        <w:r w:rsidR="000D1100">
          <w:rPr>
            <w:noProof/>
            <w:webHidden/>
          </w:rPr>
          <w:instrText xml:space="preserve"> PAGEREF _Toc86657231 \h </w:instrText>
        </w:r>
        <w:r w:rsidR="000D1100">
          <w:rPr>
            <w:noProof/>
            <w:webHidden/>
          </w:rPr>
        </w:r>
        <w:r w:rsidR="000D1100">
          <w:rPr>
            <w:noProof/>
            <w:webHidden/>
          </w:rPr>
          <w:fldChar w:fldCharType="separate"/>
        </w:r>
        <w:r w:rsidR="00D172A7">
          <w:rPr>
            <w:noProof/>
            <w:webHidden/>
          </w:rPr>
          <w:t>34</w:t>
        </w:r>
        <w:r w:rsidR="000D1100">
          <w:rPr>
            <w:noProof/>
            <w:webHidden/>
          </w:rPr>
          <w:fldChar w:fldCharType="end"/>
        </w:r>
      </w:hyperlink>
    </w:p>
    <w:p w14:paraId="0BF4B002" w14:textId="7C92B293" w:rsidR="000D1100" w:rsidRDefault="00515BF3">
      <w:pPr>
        <w:pStyle w:val="TOC2"/>
        <w:rPr>
          <w:rFonts w:asciiTheme="minorHAnsi" w:eastAsiaTheme="minorEastAsia" w:hAnsiTheme="minorHAnsi" w:cstheme="minorBidi"/>
          <w:noProof/>
          <w:sz w:val="22"/>
          <w:szCs w:val="22"/>
          <w:lang w:eastAsia="en-NZ"/>
        </w:rPr>
      </w:pPr>
      <w:hyperlink w:anchor="_Toc86657232" w:history="1">
        <w:r w:rsidR="000D1100" w:rsidRPr="00145AA4">
          <w:rPr>
            <w:rStyle w:val="Hyperlink"/>
            <w:noProof/>
          </w:rPr>
          <w:t>Appendix 3: Organisations consulted</w:t>
        </w:r>
        <w:r w:rsidR="000D1100">
          <w:rPr>
            <w:noProof/>
            <w:webHidden/>
          </w:rPr>
          <w:tab/>
        </w:r>
        <w:r w:rsidR="000D1100">
          <w:rPr>
            <w:noProof/>
            <w:webHidden/>
          </w:rPr>
          <w:fldChar w:fldCharType="begin"/>
        </w:r>
        <w:r w:rsidR="000D1100">
          <w:rPr>
            <w:noProof/>
            <w:webHidden/>
          </w:rPr>
          <w:instrText xml:space="preserve"> PAGEREF _Toc86657232 \h </w:instrText>
        </w:r>
        <w:r w:rsidR="000D1100">
          <w:rPr>
            <w:noProof/>
            <w:webHidden/>
          </w:rPr>
        </w:r>
        <w:r w:rsidR="000D1100">
          <w:rPr>
            <w:noProof/>
            <w:webHidden/>
          </w:rPr>
          <w:fldChar w:fldCharType="separate"/>
        </w:r>
        <w:r w:rsidR="00D172A7">
          <w:rPr>
            <w:noProof/>
            <w:webHidden/>
          </w:rPr>
          <w:t>38</w:t>
        </w:r>
        <w:r w:rsidR="000D1100">
          <w:rPr>
            <w:noProof/>
            <w:webHidden/>
          </w:rPr>
          <w:fldChar w:fldCharType="end"/>
        </w:r>
      </w:hyperlink>
    </w:p>
    <w:p w14:paraId="3DC9338C" w14:textId="4510E38A" w:rsidR="00C86248" w:rsidRDefault="000D1100">
      <w:r>
        <w:rPr>
          <w:rFonts w:ascii="Segoe UI Semibold" w:hAnsi="Segoe UI Semibold"/>
          <w:b/>
          <w:sz w:val="24"/>
        </w:rPr>
        <w:fldChar w:fldCharType="end"/>
      </w:r>
    </w:p>
    <w:p w14:paraId="3DC9338D" w14:textId="77777777" w:rsidR="002B76A7" w:rsidRDefault="002B76A7" w:rsidP="002B76A7">
      <w:pPr>
        <w:pStyle w:val="TOC1"/>
        <w:keepNext/>
      </w:pPr>
      <w:r>
        <w:t>List of Tables</w:t>
      </w:r>
    </w:p>
    <w:p w14:paraId="3DC9338E" w14:textId="1D0E1844" w:rsidR="00BC5453" w:rsidRDefault="002B76A7">
      <w:pPr>
        <w:pStyle w:val="TOC3"/>
        <w:rPr>
          <w:rFonts w:asciiTheme="minorHAnsi" w:eastAsiaTheme="minorEastAsia" w:hAnsiTheme="minorHAnsi" w:cstheme="minorBidi"/>
          <w:noProof/>
          <w:sz w:val="22"/>
          <w:szCs w:val="22"/>
          <w:lang w:eastAsia="en-NZ"/>
        </w:rPr>
      </w:pPr>
      <w:r>
        <w:rPr>
          <w:sz w:val="20"/>
        </w:rPr>
        <w:fldChar w:fldCharType="begin"/>
      </w:r>
      <w:r>
        <w:instrText xml:space="preserve"> TOC \t "Table,3" </w:instrText>
      </w:r>
      <w:r>
        <w:rPr>
          <w:sz w:val="20"/>
        </w:rPr>
        <w:fldChar w:fldCharType="separate"/>
      </w:r>
      <w:r w:rsidR="00BC5453">
        <w:rPr>
          <w:noProof/>
        </w:rPr>
        <w:t>Table 1:</w:t>
      </w:r>
      <w:r w:rsidR="00BC5453">
        <w:rPr>
          <w:noProof/>
        </w:rPr>
        <w:tab/>
        <w:t>Type of respondent</w:t>
      </w:r>
      <w:r w:rsidR="00BC5453">
        <w:rPr>
          <w:noProof/>
        </w:rPr>
        <w:tab/>
      </w:r>
      <w:r w:rsidR="00BC5453">
        <w:rPr>
          <w:noProof/>
        </w:rPr>
        <w:fldChar w:fldCharType="begin"/>
      </w:r>
      <w:r w:rsidR="00BC5453">
        <w:rPr>
          <w:noProof/>
        </w:rPr>
        <w:instrText xml:space="preserve"> PAGEREF _Toc86306623 \h </w:instrText>
      </w:r>
      <w:r w:rsidR="00BC5453">
        <w:rPr>
          <w:noProof/>
        </w:rPr>
      </w:r>
      <w:r w:rsidR="00BC5453">
        <w:rPr>
          <w:noProof/>
        </w:rPr>
        <w:fldChar w:fldCharType="separate"/>
      </w:r>
      <w:r w:rsidR="00D172A7">
        <w:rPr>
          <w:noProof/>
        </w:rPr>
        <w:t>4</w:t>
      </w:r>
      <w:r w:rsidR="00BC5453">
        <w:rPr>
          <w:noProof/>
        </w:rPr>
        <w:fldChar w:fldCharType="end"/>
      </w:r>
    </w:p>
    <w:p w14:paraId="3DC9338F" w14:textId="78D17933" w:rsidR="00BC5453" w:rsidRDefault="00BC5453">
      <w:pPr>
        <w:pStyle w:val="TOC3"/>
        <w:rPr>
          <w:rFonts w:asciiTheme="minorHAnsi" w:eastAsiaTheme="minorEastAsia" w:hAnsiTheme="minorHAnsi" w:cstheme="minorBidi"/>
          <w:noProof/>
          <w:sz w:val="22"/>
          <w:szCs w:val="22"/>
          <w:lang w:eastAsia="en-NZ"/>
        </w:rPr>
      </w:pPr>
      <w:r>
        <w:rPr>
          <w:noProof/>
        </w:rPr>
        <w:t>Table 2:</w:t>
      </w:r>
      <w:r>
        <w:rPr>
          <w:noProof/>
        </w:rPr>
        <w:tab/>
        <w:t>Respondent professional role</w:t>
      </w:r>
      <w:r>
        <w:rPr>
          <w:noProof/>
        </w:rPr>
        <w:tab/>
      </w:r>
      <w:r>
        <w:rPr>
          <w:noProof/>
        </w:rPr>
        <w:fldChar w:fldCharType="begin"/>
      </w:r>
      <w:r>
        <w:rPr>
          <w:noProof/>
        </w:rPr>
        <w:instrText xml:space="preserve"> PAGEREF _Toc86306624 \h </w:instrText>
      </w:r>
      <w:r>
        <w:rPr>
          <w:noProof/>
        </w:rPr>
      </w:r>
      <w:r>
        <w:rPr>
          <w:noProof/>
        </w:rPr>
        <w:fldChar w:fldCharType="separate"/>
      </w:r>
      <w:r w:rsidR="00D172A7">
        <w:rPr>
          <w:noProof/>
        </w:rPr>
        <w:t>6</w:t>
      </w:r>
      <w:r>
        <w:rPr>
          <w:noProof/>
        </w:rPr>
        <w:fldChar w:fldCharType="end"/>
      </w:r>
    </w:p>
    <w:p w14:paraId="3DC93390" w14:textId="482176E5" w:rsidR="00BC5453" w:rsidRDefault="00BC5453">
      <w:pPr>
        <w:pStyle w:val="TOC3"/>
        <w:rPr>
          <w:rFonts w:asciiTheme="minorHAnsi" w:eastAsiaTheme="minorEastAsia" w:hAnsiTheme="minorHAnsi" w:cstheme="minorBidi"/>
          <w:noProof/>
          <w:sz w:val="22"/>
          <w:szCs w:val="22"/>
          <w:lang w:eastAsia="en-NZ"/>
        </w:rPr>
      </w:pPr>
      <w:r>
        <w:rPr>
          <w:noProof/>
        </w:rPr>
        <w:t>Table 3:</w:t>
      </w:r>
      <w:r>
        <w:rPr>
          <w:noProof/>
        </w:rPr>
        <w:tab/>
        <w:t>Level of support</w:t>
      </w:r>
      <w:r>
        <w:rPr>
          <w:noProof/>
        </w:rPr>
        <w:tab/>
      </w:r>
      <w:r>
        <w:rPr>
          <w:noProof/>
        </w:rPr>
        <w:fldChar w:fldCharType="begin"/>
      </w:r>
      <w:r>
        <w:rPr>
          <w:noProof/>
        </w:rPr>
        <w:instrText xml:space="preserve"> PAGEREF _Toc86306625 \h </w:instrText>
      </w:r>
      <w:r>
        <w:rPr>
          <w:noProof/>
        </w:rPr>
      </w:r>
      <w:r>
        <w:rPr>
          <w:noProof/>
        </w:rPr>
        <w:fldChar w:fldCharType="separate"/>
      </w:r>
      <w:r w:rsidR="00D172A7">
        <w:rPr>
          <w:noProof/>
        </w:rPr>
        <w:t>7</w:t>
      </w:r>
      <w:r>
        <w:rPr>
          <w:noProof/>
        </w:rPr>
        <w:fldChar w:fldCharType="end"/>
      </w:r>
    </w:p>
    <w:p w14:paraId="3DC93391" w14:textId="5C9FE1F2" w:rsidR="00BC5453" w:rsidRDefault="00BC5453">
      <w:pPr>
        <w:pStyle w:val="TOC3"/>
        <w:rPr>
          <w:rFonts w:asciiTheme="minorHAnsi" w:eastAsiaTheme="minorEastAsia" w:hAnsiTheme="minorHAnsi" w:cstheme="minorBidi"/>
          <w:noProof/>
          <w:sz w:val="22"/>
          <w:szCs w:val="22"/>
          <w:lang w:eastAsia="en-NZ"/>
        </w:rPr>
      </w:pPr>
      <w:r>
        <w:rPr>
          <w:noProof/>
        </w:rPr>
        <w:t>Table 4:</w:t>
      </w:r>
      <w:r>
        <w:rPr>
          <w:noProof/>
        </w:rPr>
        <w:tab/>
        <w:t>Level of support by type of respondent</w:t>
      </w:r>
      <w:r>
        <w:rPr>
          <w:noProof/>
        </w:rPr>
        <w:tab/>
      </w:r>
      <w:r>
        <w:rPr>
          <w:noProof/>
        </w:rPr>
        <w:fldChar w:fldCharType="begin"/>
      </w:r>
      <w:r>
        <w:rPr>
          <w:noProof/>
        </w:rPr>
        <w:instrText xml:space="preserve"> PAGEREF _Toc86306626 \h </w:instrText>
      </w:r>
      <w:r>
        <w:rPr>
          <w:noProof/>
        </w:rPr>
      </w:r>
      <w:r>
        <w:rPr>
          <w:noProof/>
        </w:rPr>
        <w:fldChar w:fldCharType="separate"/>
      </w:r>
      <w:r w:rsidR="00D172A7">
        <w:rPr>
          <w:noProof/>
        </w:rPr>
        <w:t>8</w:t>
      </w:r>
      <w:r>
        <w:rPr>
          <w:noProof/>
        </w:rPr>
        <w:fldChar w:fldCharType="end"/>
      </w:r>
    </w:p>
    <w:p w14:paraId="3DC93392" w14:textId="77777777" w:rsidR="002B76A7" w:rsidRDefault="002B76A7" w:rsidP="003A5FEA">
      <w:r>
        <w:fldChar w:fldCharType="end"/>
      </w:r>
    </w:p>
    <w:p w14:paraId="3DC93393" w14:textId="77777777" w:rsidR="0033448B" w:rsidRDefault="0033448B" w:rsidP="0033448B">
      <w:pPr>
        <w:pStyle w:val="TOC1"/>
        <w:keepNext/>
      </w:pPr>
      <w:r>
        <w:t>List of Figures</w:t>
      </w:r>
    </w:p>
    <w:p w14:paraId="3DC93394" w14:textId="6BB124B8" w:rsidR="00BC5453" w:rsidRDefault="0033448B">
      <w:pPr>
        <w:pStyle w:val="TOC3"/>
        <w:rPr>
          <w:rFonts w:asciiTheme="minorHAnsi" w:eastAsiaTheme="minorEastAsia" w:hAnsiTheme="minorHAnsi" w:cstheme="minorBidi"/>
          <w:noProof/>
          <w:sz w:val="22"/>
          <w:szCs w:val="22"/>
          <w:lang w:eastAsia="en-NZ"/>
        </w:rPr>
      </w:pPr>
      <w:r>
        <w:fldChar w:fldCharType="begin"/>
      </w:r>
      <w:r>
        <w:instrText xml:space="preserve"> TOC \t "Figure,3" </w:instrText>
      </w:r>
      <w:r>
        <w:fldChar w:fldCharType="separate"/>
      </w:r>
      <w:r w:rsidR="00BC5453">
        <w:rPr>
          <w:noProof/>
        </w:rPr>
        <w:t>Figure 1:</w:t>
      </w:r>
      <w:r w:rsidR="00BC5453">
        <w:rPr>
          <w:noProof/>
        </w:rPr>
        <w:tab/>
        <w:t>Type of respondent</w:t>
      </w:r>
      <w:r w:rsidR="00BC5453">
        <w:rPr>
          <w:noProof/>
        </w:rPr>
        <w:tab/>
      </w:r>
      <w:r w:rsidR="00BC5453">
        <w:rPr>
          <w:noProof/>
        </w:rPr>
        <w:fldChar w:fldCharType="begin"/>
      </w:r>
      <w:r w:rsidR="00BC5453">
        <w:rPr>
          <w:noProof/>
        </w:rPr>
        <w:instrText xml:space="preserve"> PAGEREF _Toc86306627 \h </w:instrText>
      </w:r>
      <w:r w:rsidR="00BC5453">
        <w:rPr>
          <w:noProof/>
        </w:rPr>
      </w:r>
      <w:r w:rsidR="00BC5453">
        <w:rPr>
          <w:noProof/>
        </w:rPr>
        <w:fldChar w:fldCharType="separate"/>
      </w:r>
      <w:r w:rsidR="00D172A7">
        <w:rPr>
          <w:noProof/>
        </w:rPr>
        <w:t>4</w:t>
      </w:r>
      <w:r w:rsidR="00BC5453">
        <w:rPr>
          <w:noProof/>
        </w:rPr>
        <w:fldChar w:fldCharType="end"/>
      </w:r>
    </w:p>
    <w:p w14:paraId="3DC93395" w14:textId="2BC97CD7" w:rsidR="00BC5453" w:rsidRDefault="00BC5453">
      <w:pPr>
        <w:pStyle w:val="TOC3"/>
        <w:rPr>
          <w:rFonts w:asciiTheme="minorHAnsi" w:eastAsiaTheme="minorEastAsia" w:hAnsiTheme="minorHAnsi" w:cstheme="minorBidi"/>
          <w:noProof/>
          <w:sz w:val="22"/>
          <w:szCs w:val="22"/>
          <w:lang w:eastAsia="en-NZ"/>
        </w:rPr>
      </w:pPr>
      <w:r>
        <w:rPr>
          <w:noProof/>
        </w:rPr>
        <w:t>Figure 2:</w:t>
      </w:r>
      <w:r>
        <w:rPr>
          <w:noProof/>
        </w:rPr>
        <w:tab/>
        <w:t>Respondent professional role</w:t>
      </w:r>
      <w:r>
        <w:rPr>
          <w:noProof/>
        </w:rPr>
        <w:tab/>
      </w:r>
      <w:r>
        <w:rPr>
          <w:noProof/>
        </w:rPr>
        <w:fldChar w:fldCharType="begin"/>
      </w:r>
      <w:r>
        <w:rPr>
          <w:noProof/>
        </w:rPr>
        <w:instrText xml:space="preserve"> PAGEREF _Toc86306628 \h </w:instrText>
      </w:r>
      <w:r>
        <w:rPr>
          <w:noProof/>
        </w:rPr>
      </w:r>
      <w:r>
        <w:rPr>
          <w:noProof/>
        </w:rPr>
        <w:fldChar w:fldCharType="separate"/>
      </w:r>
      <w:r w:rsidR="00D172A7">
        <w:rPr>
          <w:noProof/>
        </w:rPr>
        <w:t>6</w:t>
      </w:r>
      <w:r>
        <w:rPr>
          <w:noProof/>
        </w:rPr>
        <w:fldChar w:fldCharType="end"/>
      </w:r>
    </w:p>
    <w:p w14:paraId="3DC93396" w14:textId="4BE0F79E" w:rsidR="00BC5453" w:rsidRDefault="00BC5453">
      <w:pPr>
        <w:pStyle w:val="TOC3"/>
        <w:rPr>
          <w:rFonts w:asciiTheme="minorHAnsi" w:eastAsiaTheme="minorEastAsia" w:hAnsiTheme="minorHAnsi" w:cstheme="minorBidi"/>
          <w:noProof/>
          <w:sz w:val="22"/>
          <w:szCs w:val="22"/>
          <w:lang w:eastAsia="en-NZ"/>
        </w:rPr>
      </w:pPr>
      <w:r>
        <w:rPr>
          <w:noProof/>
        </w:rPr>
        <w:t>Figure 3:</w:t>
      </w:r>
      <w:r>
        <w:rPr>
          <w:noProof/>
        </w:rPr>
        <w:tab/>
        <w:t>Level of support</w:t>
      </w:r>
      <w:r>
        <w:rPr>
          <w:noProof/>
        </w:rPr>
        <w:tab/>
      </w:r>
      <w:r>
        <w:rPr>
          <w:noProof/>
        </w:rPr>
        <w:fldChar w:fldCharType="begin"/>
      </w:r>
      <w:r>
        <w:rPr>
          <w:noProof/>
        </w:rPr>
        <w:instrText xml:space="preserve"> PAGEREF _Toc86306629 \h </w:instrText>
      </w:r>
      <w:r>
        <w:rPr>
          <w:noProof/>
        </w:rPr>
      </w:r>
      <w:r>
        <w:rPr>
          <w:noProof/>
        </w:rPr>
        <w:fldChar w:fldCharType="separate"/>
      </w:r>
      <w:r w:rsidR="00D172A7">
        <w:rPr>
          <w:noProof/>
        </w:rPr>
        <w:t>7</w:t>
      </w:r>
      <w:r>
        <w:rPr>
          <w:noProof/>
        </w:rPr>
        <w:fldChar w:fldCharType="end"/>
      </w:r>
    </w:p>
    <w:p w14:paraId="3DC93397" w14:textId="587897C7" w:rsidR="00BC5453" w:rsidRDefault="00BC5453">
      <w:pPr>
        <w:pStyle w:val="TOC3"/>
        <w:rPr>
          <w:rFonts w:asciiTheme="minorHAnsi" w:eastAsiaTheme="minorEastAsia" w:hAnsiTheme="minorHAnsi" w:cstheme="minorBidi"/>
          <w:noProof/>
          <w:sz w:val="22"/>
          <w:szCs w:val="22"/>
          <w:lang w:eastAsia="en-NZ"/>
        </w:rPr>
      </w:pPr>
      <w:r>
        <w:rPr>
          <w:noProof/>
        </w:rPr>
        <w:t>Figure 4:</w:t>
      </w:r>
      <w:r>
        <w:rPr>
          <w:noProof/>
        </w:rPr>
        <w:tab/>
        <w:t>Level of support by type of respondent</w:t>
      </w:r>
      <w:r>
        <w:rPr>
          <w:noProof/>
        </w:rPr>
        <w:tab/>
      </w:r>
      <w:r>
        <w:rPr>
          <w:noProof/>
        </w:rPr>
        <w:fldChar w:fldCharType="begin"/>
      </w:r>
      <w:r>
        <w:rPr>
          <w:noProof/>
        </w:rPr>
        <w:instrText xml:space="preserve"> PAGEREF _Toc86306630 \h </w:instrText>
      </w:r>
      <w:r>
        <w:rPr>
          <w:noProof/>
        </w:rPr>
      </w:r>
      <w:r>
        <w:rPr>
          <w:noProof/>
        </w:rPr>
        <w:fldChar w:fldCharType="separate"/>
      </w:r>
      <w:r w:rsidR="00D172A7">
        <w:rPr>
          <w:noProof/>
        </w:rPr>
        <w:t>8</w:t>
      </w:r>
      <w:r>
        <w:rPr>
          <w:noProof/>
        </w:rPr>
        <w:fldChar w:fldCharType="end"/>
      </w:r>
    </w:p>
    <w:p w14:paraId="3DC93398" w14:textId="764F7481" w:rsidR="00BC5453" w:rsidRDefault="00BC5453">
      <w:pPr>
        <w:pStyle w:val="TOC3"/>
        <w:rPr>
          <w:rFonts w:asciiTheme="minorHAnsi" w:eastAsiaTheme="minorEastAsia" w:hAnsiTheme="minorHAnsi" w:cstheme="minorBidi"/>
          <w:noProof/>
          <w:sz w:val="22"/>
          <w:szCs w:val="22"/>
          <w:lang w:eastAsia="en-NZ"/>
        </w:rPr>
      </w:pPr>
      <w:r>
        <w:rPr>
          <w:noProof/>
        </w:rPr>
        <w:t>Figure 5:</w:t>
      </w:r>
      <w:r>
        <w:rPr>
          <w:noProof/>
        </w:rPr>
        <w:tab/>
        <w:t>Summary of the review process for consultation on amendments to the schedules of specified prescription medicines for designated pharmacist prescribers</w:t>
      </w:r>
      <w:r>
        <w:rPr>
          <w:noProof/>
        </w:rPr>
        <w:tab/>
      </w:r>
      <w:r>
        <w:rPr>
          <w:noProof/>
        </w:rPr>
        <w:fldChar w:fldCharType="begin"/>
      </w:r>
      <w:r>
        <w:rPr>
          <w:noProof/>
        </w:rPr>
        <w:instrText xml:space="preserve"> PAGEREF _Toc86306631 \h </w:instrText>
      </w:r>
      <w:r>
        <w:rPr>
          <w:noProof/>
        </w:rPr>
      </w:r>
      <w:r>
        <w:rPr>
          <w:noProof/>
        </w:rPr>
        <w:fldChar w:fldCharType="separate"/>
      </w:r>
      <w:r w:rsidR="00D172A7">
        <w:rPr>
          <w:noProof/>
        </w:rPr>
        <w:t>24</w:t>
      </w:r>
      <w:r>
        <w:rPr>
          <w:noProof/>
        </w:rPr>
        <w:fldChar w:fldCharType="end"/>
      </w:r>
    </w:p>
    <w:p w14:paraId="3DC93399" w14:textId="77777777" w:rsidR="0033448B" w:rsidRPr="000A0158" w:rsidRDefault="0033448B" w:rsidP="0033448B">
      <w:r>
        <w:fldChar w:fldCharType="end"/>
      </w:r>
    </w:p>
    <w:p w14:paraId="3DC9339A" w14:textId="77777777" w:rsidR="00FB0A5B" w:rsidRDefault="00FB0A5B" w:rsidP="003A5FEA"/>
    <w:p w14:paraId="3DC9339B" w14:textId="77777777" w:rsidR="001D3E4E" w:rsidRDefault="001D3E4E" w:rsidP="003A5FEA">
      <w:pPr>
        <w:sectPr w:rsidR="001D3E4E" w:rsidSect="00925892">
          <w:headerReference w:type="even" r:id="rId15"/>
          <w:headerReference w:type="default" r:id="rId16"/>
          <w:footerReference w:type="even" r:id="rId17"/>
          <w:footerReference w:type="default" r:id="rId18"/>
          <w:pgSz w:w="11907" w:h="16840" w:code="9"/>
          <w:pgMar w:top="1418" w:right="1701" w:bottom="1134" w:left="1843" w:header="284" w:footer="425" w:gutter="284"/>
          <w:pgNumType w:fmt="lowerRoman"/>
          <w:cols w:space="720"/>
        </w:sectPr>
      </w:pPr>
    </w:p>
    <w:p w14:paraId="3DC9339C" w14:textId="77777777" w:rsidR="008C2973" w:rsidRDefault="002B7BEC" w:rsidP="00477406">
      <w:pPr>
        <w:pStyle w:val="Heading1"/>
        <w:numPr>
          <w:ilvl w:val="0"/>
          <w:numId w:val="0"/>
        </w:numPr>
      </w:pPr>
      <w:bookmarkStart w:id="2" w:name="_Ref86304821"/>
      <w:bookmarkStart w:id="3" w:name="_Toc86657200"/>
      <w:r>
        <w:lastRenderedPageBreak/>
        <w:t>Introduction</w:t>
      </w:r>
      <w:bookmarkEnd w:id="2"/>
      <w:bookmarkEnd w:id="3"/>
    </w:p>
    <w:p w14:paraId="3DC9339D" w14:textId="77777777" w:rsidR="00F062F2" w:rsidRDefault="004A0C97" w:rsidP="00477406">
      <w:r w:rsidRPr="00D429D9">
        <w:t>The Medicines (Designated Pharmacist Prescribers) Regulations 2013 have not been updated since their inception. In June 2021, the Clinical Advisory Pharmacists Association (CAPA)</w:t>
      </w:r>
      <w:r w:rsidRPr="00477406">
        <w:rPr>
          <w:rStyle w:val="FootnoteReference"/>
        </w:rPr>
        <w:footnoteReference w:id="1"/>
      </w:r>
      <w:r w:rsidRPr="00D429D9">
        <w:t xml:space="preserve"> approached both the Ministry of Health (the Ministry) and the Pharmacy Council (the Council) to request an update of the schedule to the Medicines (Designated Pharmacist Prescribers) Regulations 2013 and Schedule 1B to the Misuse of Drugs Regulations 1977. Together, these schedules set out the entire list of medicines and controlled drugs that a designated pharmacist prescriber may prescribe.</w:t>
      </w:r>
    </w:p>
    <w:p w14:paraId="3DC9339E" w14:textId="77777777" w:rsidR="004A0C97" w:rsidRPr="00D429D9" w:rsidRDefault="004A0C97" w:rsidP="00477406"/>
    <w:p w14:paraId="3DC9339F" w14:textId="77777777" w:rsidR="004A0C97" w:rsidRPr="00D429D9" w:rsidRDefault="004A0C97" w:rsidP="00477406">
      <w:r w:rsidRPr="00D429D9">
        <w:t>CAPA submitted a preliminary list of medicines and controlled drugs for the updated schedule. Council team members, in collaboration with the Ministry, further refined the list by removing medicines that met any of the following exclusion criteria:</w:t>
      </w:r>
    </w:p>
    <w:p w14:paraId="3DC933A0" w14:textId="77777777" w:rsidR="004A0C97" w:rsidRPr="00D429D9" w:rsidRDefault="004A0C97" w:rsidP="00477406">
      <w:pPr>
        <w:pStyle w:val="Bullet"/>
      </w:pPr>
      <w:r w:rsidRPr="00D429D9">
        <w:t>holding restricted medicine, pharmacy-only medicine or general sale classification</w:t>
      </w:r>
    </w:p>
    <w:p w14:paraId="3DC933A1" w14:textId="77777777" w:rsidR="004A0C97" w:rsidRPr="00D429D9" w:rsidRDefault="004A0C97" w:rsidP="00477406">
      <w:pPr>
        <w:pStyle w:val="Bullet"/>
      </w:pPr>
      <w:r w:rsidRPr="00D429D9">
        <w:t>being subject to prescribing restrictions under section 23 of the Medicines Act 1981 or regulation 22 of the Misuse of Drugs Regulations 1977 (see Section 4.3 for more detail)</w:t>
      </w:r>
    </w:p>
    <w:p w14:paraId="3DC933A2" w14:textId="77777777" w:rsidR="004A0C97" w:rsidRPr="00D429D9" w:rsidRDefault="004A0C97" w:rsidP="00477406">
      <w:pPr>
        <w:pStyle w:val="Bullet"/>
      </w:pPr>
      <w:r w:rsidRPr="00D429D9">
        <w:t>absence of an approved human indication</w:t>
      </w:r>
    </w:p>
    <w:p w14:paraId="3DC933A3" w14:textId="77777777" w:rsidR="004A0C97" w:rsidRPr="00D429D9" w:rsidRDefault="004A0C97" w:rsidP="00477406">
      <w:pPr>
        <w:pStyle w:val="Bullet"/>
      </w:pPr>
      <w:r w:rsidRPr="00D429D9">
        <w:t>an indication for use as a volatile anaesthetic.</w:t>
      </w:r>
    </w:p>
    <w:p w14:paraId="3DC933A4" w14:textId="77777777" w:rsidR="004A0C97" w:rsidRPr="00D429D9" w:rsidRDefault="004A0C97" w:rsidP="00477406">
      <w:pPr>
        <w:rPr>
          <w:highlight w:val="yellow"/>
        </w:rPr>
      </w:pPr>
    </w:p>
    <w:p w14:paraId="3DC933A5" w14:textId="77777777" w:rsidR="004A0C97" w:rsidRPr="00D429D9" w:rsidRDefault="004A0C97" w:rsidP="00477406">
      <w:r w:rsidRPr="00D429D9">
        <w:t>On 21 June 2021 a proposed list of 198 prescription-only medicines and three controlled drugs was formally submitted to the Ministry. Proposed additions to the list include a range of medicines in the following categories:</w:t>
      </w:r>
    </w:p>
    <w:p w14:paraId="3DC933A6" w14:textId="77777777" w:rsidR="00F062F2" w:rsidRDefault="004A0C97" w:rsidP="00477406">
      <w:pPr>
        <w:pStyle w:val="Bullet"/>
        <w:spacing w:before="60"/>
      </w:pPr>
      <w:r w:rsidRPr="00D429D9">
        <w:t>anaesthesia</w:t>
      </w:r>
    </w:p>
    <w:p w14:paraId="3DC933A7" w14:textId="77777777" w:rsidR="004A0C97" w:rsidRPr="00D429D9" w:rsidRDefault="004A0C97" w:rsidP="00477406">
      <w:pPr>
        <w:pStyle w:val="Bullet"/>
        <w:spacing w:before="60"/>
      </w:pPr>
      <w:r w:rsidRPr="00D429D9">
        <w:t>cardiovascular system</w:t>
      </w:r>
    </w:p>
    <w:p w14:paraId="3DC933A8" w14:textId="77777777" w:rsidR="004A0C97" w:rsidRPr="00D429D9" w:rsidRDefault="004A0C97" w:rsidP="00477406">
      <w:pPr>
        <w:pStyle w:val="Bullet"/>
        <w:spacing w:before="60"/>
      </w:pPr>
      <w:r w:rsidRPr="00D429D9">
        <w:t>central nervous system</w:t>
      </w:r>
    </w:p>
    <w:p w14:paraId="3DC933A9" w14:textId="77777777" w:rsidR="004A0C97" w:rsidRPr="00D429D9" w:rsidRDefault="004A0C97" w:rsidP="00477406">
      <w:pPr>
        <w:pStyle w:val="Bullet"/>
        <w:spacing w:before="60"/>
      </w:pPr>
      <w:r w:rsidRPr="00D429D9">
        <w:t>controlled drugs</w:t>
      </w:r>
    </w:p>
    <w:p w14:paraId="3DC933AA" w14:textId="77777777" w:rsidR="004A0C97" w:rsidRPr="00D429D9" w:rsidRDefault="004A0C97" w:rsidP="00477406">
      <w:pPr>
        <w:pStyle w:val="Bullet"/>
        <w:spacing w:before="60"/>
      </w:pPr>
      <w:r w:rsidRPr="00D429D9">
        <w:t>endocrine system and emergency treatment of poisoning</w:t>
      </w:r>
    </w:p>
    <w:p w14:paraId="3DC933AB" w14:textId="77777777" w:rsidR="004A0C97" w:rsidRPr="00D429D9" w:rsidRDefault="004A0C97" w:rsidP="00477406">
      <w:pPr>
        <w:pStyle w:val="Bullet"/>
        <w:spacing w:before="60"/>
      </w:pPr>
      <w:r w:rsidRPr="00D429D9">
        <w:t>immunological products and vaccines</w:t>
      </w:r>
    </w:p>
    <w:p w14:paraId="3DC933AC" w14:textId="77777777" w:rsidR="004A0C97" w:rsidRPr="00D429D9" w:rsidRDefault="004A0C97" w:rsidP="00477406">
      <w:pPr>
        <w:pStyle w:val="Bullet"/>
        <w:spacing w:before="60"/>
      </w:pPr>
      <w:r w:rsidRPr="00D429D9">
        <w:t>infections</w:t>
      </w:r>
    </w:p>
    <w:p w14:paraId="3DC933AD" w14:textId="77777777" w:rsidR="004A0C97" w:rsidRPr="00D429D9" w:rsidRDefault="004A0C97" w:rsidP="00477406">
      <w:pPr>
        <w:pStyle w:val="Bullet"/>
        <w:spacing w:before="60"/>
      </w:pPr>
      <w:r w:rsidRPr="00D429D9">
        <w:t>malignant disease and immunosuppression</w:t>
      </w:r>
    </w:p>
    <w:p w14:paraId="3DC933AE" w14:textId="77777777" w:rsidR="004A0C97" w:rsidRPr="00D429D9" w:rsidRDefault="004A0C97" w:rsidP="00477406">
      <w:pPr>
        <w:pStyle w:val="Bullet"/>
        <w:spacing w:before="60"/>
      </w:pPr>
      <w:r w:rsidRPr="00D429D9">
        <w:t>musculoskeletal and joint diseases</w:t>
      </w:r>
    </w:p>
    <w:p w14:paraId="3DC933AF" w14:textId="77777777" w:rsidR="004A0C97" w:rsidRPr="00D429D9" w:rsidRDefault="004A0C97" w:rsidP="00477406">
      <w:pPr>
        <w:pStyle w:val="Bullet"/>
        <w:spacing w:before="60"/>
      </w:pPr>
      <w:r w:rsidRPr="00D429D9">
        <w:t>nutrition and blood</w:t>
      </w:r>
    </w:p>
    <w:p w14:paraId="3DC933B0" w14:textId="77777777" w:rsidR="004A0C97" w:rsidRPr="00D429D9" w:rsidRDefault="004A0C97" w:rsidP="00477406">
      <w:pPr>
        <w:pStyle w:val="Bullet"/>
        <w:spacing w:before="60"/>
      </w:pPr>
      <w:r w:rsidRPr="00D429D9">
        <w:t>obstetrics, gynaecology and urinary-tract disorders</w:t>
      </w:r>
    </w:p>
    <w:p w14:paraId="3DC933B1" w14:textId="77777777" w:rsidR="004A0C97" w:rsidRPr="00D429D9" w:rsidRDefault="004A0C97" w:rsidP="00477406">
      <w:pPr>
        <w:pStyle w:val="Bullet"/>
        <w:spacing w:before="60"/>
      </w:pPr>
      <w:r w:rsidRPr="00D429D9">
        <w:t>respiratory system.</w:t>
      </w:r>
    </w:p>
    <w:p w14:paraId="3DC933B2" w14:textId="77777777" w:rsidR="004A0C97" w:rsidRPr="00D429D9" w:rsidRDefault="004A0C97" w:rsidP="00477406"/>
    <w:p w14:paraId="3DC933B3" w14:textId="77777777" w:rsidR="004A0C97" w:rsidRPr="00D429D9" w:rsidRDefault="004A0C97" w:rsidP="00477406">
      <w:r w:rsidRPr="00D429D9">
        <w:t xml:space="preserve">The Ministry (on behalf of the Director-General of Health) must consult individuals or organisations that may be affected by a change to the specified prescription medicines before making a legal change by </w:t>
      </w:r>
      <w:r w:rsidRPr="00D429D9">
        <w:rPr>
          <w:iCs/>
        </w:rPr>
        <w:t xml:space="preserve">Gazette </w:t>
      </w:r>
      <w:r w:rsidRPr="00D429D9">
        <w:t>notice as specified in section 105E(2) of the Medicines Act 1981.</w:t>
      </w:r>
    </w:p>
    <w:p w14:paraId="3DC933B4" w14:textId="77777777" w:rsidR="00477406" w:rsidRDefault="00477406" w:rsidP="004A0C97"/>
    <w:p w14:paraId="3DC933B5" w14:textId="77777777" w:rsidR="004A0C97" w:rsidRPr="00D429D9" w:rsidRDefault="004A0C97" w:rsidP="00477406">
      <w:r w:rsidRPr="00D429D9">
        <w:lastRenderedPageBreak/>
        <w:t>Designated pharmacist prescribers practise within collaborative health care team environments and within a defined clinical area of practice in which they have a required level of knowledge and competence. These teams are multidisciplinary and use the range of different professional experiences and strengths among their practitioners for the benefit and safety of the patient. This peer environment adds another level of safety to the practice of designated pharmacist prescribers.</w:t>
      </w:r>
    </w:p>
    <w:p w14:paraId="3DC933B6" w14:textId="77777777" w:rsidR="004A0C97" w:rsidRPr="00D429D9" w:rsidRDefault="004A0C97" w:rsidP="00477406"/>
    <w:p w14:paraId="3DC933B7" w14:textId="77777777" w:rsidR="004A0C97" w:rsidRPr="00D429D9" w:rsidRDefault="004A0C97" w:rsidP="00477406">
      <w:r w:rsidRPr="00D429D9">
        <w:t>Including a medicine or controlled drug in a relevant schedule does not automatically give the designated pharmacist prescriber the right to prescribe that medicine or controlled drug. A designated pharmacist prescriber may only prescribe a medicine if all the following conditions are met:</w:t>
      </w:r>
    </w:p>
    <w:p w14:paraId="3DC933B8" w14:textId="77777777" w:rsidR="004A0C97" w:rsidRPr="00D429D9" w:rsidRDefault="004A0C97" w:rsidP="00477406">
      <w:pPr>
        <w:pStyle w:val="Bullet"/>
      </w:pPr>
      <w:r w:rsidRPr="00D429D9">
        <w:t>they possess the appropriate knowledge and competence (both clinical and cultural)</w:t>
      </w:r>
    </w:p>
    <w:p w14:paraId="3DC933B9" w14:textId="77777777" w:rsidR="004A0C97" w:rsidRPr="00D429D9" w:rsidRDefault="004A0C97" w:rsidP="00477406">
      <w:pPr>
        <w:pStyle w:val="Bullet"/>
      </w:pPr>
      <w:r w:rsidRPr="00D429D9">
        <w:t>the condition and medicine lie within their specified clinical area of practice</w:t>
      </w:r>
    </w:p>
    <w:p w14:paraId="3DC933BA" w14:textId="77777777" w:rsidR="004A0C97" w:rsidRPr="00D429D9" w:rsidRDefault="004A0C97" w:rsidP="00477406">
      <w:pPr>
        <w:pStyle w:val="Bullet"/>
      </w:pPr>
      <w:r w:rsidRPr="00D429D9">
        <w:t xml:space="preserve">the medicine </w:t>
      </w:r>
      <w:r>
        <w:t>has</w:t>
      </w:r>
      <w:r w:rsidRPr="00D429D9">
        <w:t xml:space="preserve"> a brand that Medsafe has approved</w:t>
      </w:r>
    </w:p>
    <w:p w14:paraId="3DC933BB" w14:textId="77777777" w:rsidR="004A0C97" w:rsidRPr="00D429D9" w:rsidRDefault="004A0C97" w:rsidP="00477406">
      <w:pPr>
        <w:pStyle w:val="Bullet"/>
      </w:pPr>
      <w:r w:rsidRPr="00D429D9">
        <w:t>designated pharmacist prescribers are not excluded from prescribing the medicine under section 23 of the Medicines Act 1981 or regulation 22 of the Misuse of Drugs Regulations 1977</w:t>
      </w:r>
    </w:p>
    <w:p w14:paraId="3DC933BC" w14:textId="77777777" w:rsidR="004A0C97" w:rsidRPr="00D429D9" w:rsidRDefault="004A0C97" w:rsidP="00477406">
      <w:pPr>
        <w:pStyle w:val="Bullet"/>
      </w:pPr>
      <w:r w:rsidRPr="00D429D9">
        <w:t>the medicine is listed on the relevant schedules to the Medicines (Designated Pharmacist Prescribers) Regulations 2013 or Misuse of Drugs Regulations 1977.</w:t>
      </w:r>
    </w:p>
    <w:p w14:paraId="3DC933BD" w14:textId="77777777" w:rsidR="004A0C97" w:rsidRPr="00D429D9" w:rsidRDefault="004A0C97" w:rsidP="00477406"/>
    <w:p w14:paraId="3DC933BE" w14:textId="77777777" w:rsidR="004A0C97" w:rsidRPr="00D429D9" w:rsidRDefault="004A0C97" w:rsidP="00477406">
      <w:r w:rsidRPr="00D429D9">
        <w:t>These multiple conditions demonstrate that robust safeguards are in place to ensure that designated pharmacist prescribing is appropriate and safe.</w:t>
      </w:r>
    </w:p>
    <w:p w14:paraId="3DC933BF" w14:textId="77777777" w:rsidR="004A0C97" w:rsidRPr="00D429D9" w:rsidRDefault="004A0C97" w:rsidP="00477406"/>
    <w:p w14:paraId="3DC933C0" w14:textId="77777777" w:rsidR="004A0C97" w:rsidRPr="00D429D9" w:rsidRDefault="004A0C97" w:rsidP="00477406">
      <w:r w:rsidRPr="00D429D9">
        <w:t>The update of schedules for designated prescribers is comparable</w:t>
      </w:r>
      <w:r w:rsidRPr="00D429D9" w:rsidDel="00F12FE5">
        <w:t xml:space="preserve"> </w:t>
      </w:r>
      <w:r w:rsidRPr="00D429D9">
        <w:t>to the classification of new prescription medicines for authorised prescribers. When new prescription medicines are reclassified, authorised prescribers will only prescribe within their level and areas of competence, following workplace protocols and meeting their ethical, professional and legislative obligations. These same safeguards and obligations apply to designated pharmacist prescribers.</w:t>
      </w:r>
    </w:p>
    <w:p w14:paraId="3DC933C1" w14:textId="77777777" w:rsidR="004A0C97" w:rsidRPr="00D429D9" w:rsidRDefault="004A0C97" w:rsidP="00477406"/>
    <w:p w14:paraId="3DC933C2" w14:textId="77777777" w:rsidR="00F062F2" w:rsidRDefault="004A0C97" w:rsidP="00477406">
      <w:r w:rsidRPr="00D429D9">
        <w:t>This report is a summary of the submissions received during the four-week consultation period, starting on 12 July 2021 and ending on 12 August 2021.</w:t>
      </w:r>
      <w:r w:rsidRPr="00477406">
        <w:rPr>
          <w:rStyle w:val="FootnoteReference"/>
        </w:rPr>
        <w:footnoteReference w:id="2"/>
      </w:r>
      <w:r w:rsidRPr="00D429D9">
        <w:t xml:space="preserve"> Key stakeholders were identified and the Ministry emailed them with a personal invitation to take part in the consultation. Organisations and groups were encouraged to share the consultation link within their networks to ensure a wide coverage. The consultation was hosted on the Ministry</w:t>
      </w:r>
      <w:r w:rsidR="00F062F2">
        <w:t>’</w:t>
      </w:r>
      <w:r w:rsidRPr="00D429D9">
        <w:t>s Health Consultation Hub webpage.</w:t>
      </w:r>
    </w:p>
    <w:p w14:paraId="3DC933C3" w14:textId="77777777" w:rsidR="004A0C97" w:rsidRPr="00D429D9" w:rsidRDefault="004A0C97" w:rsidP="00477406"/>
    <w:p w14:paraId="3DC933C4" w14:textId="77777777" w:rsidR="004A0C97" w:rsidRPr="00D429D9" w:rsidRDefault="004A0C97" w:rsidP="006A54B6">
      <w:pPr>
        <w:keepNext/>
      </w:pPr>
      <w:r w:rsidRPr="00D429D9">
        <w:lastRenderedPageBreak/>
        <w:t>The Pharmacy team themed the data collected in the comments and free text sections of the submissions. The resulting themes were peer-reviewed and included in the analysis. The summary of submissions is presented in four sections.</w:t>
      </w:r>
    </w:p>
    <w:p w14:paraId="3DC933C5" w14:textId="77777777" w:rsidR="004A0C97" w:rsidRPr="00D429D9" w:rsidRDefault="004A0C97" w:rsidP="006A54B6">
      <w:pPr>
        <w:pStyle w:val="Number"/>
        <w:keepNext/>
      </w:pPr>
      <w:r w:rsidRPr="00D429D9">
        <w:t>Section 1 describes those who have made submissions.</w:t>
      </w:r>
    </w:p>
    <w:p w14:paraId="3DC933C6" w14:textId="77777777" w:rsidR="00F062F2" w:rsidRDefault="004A0C97" w:rsidP="006A54B6">
      <w:pPr>
        <w:pStyle w:val="Number"/>
        <w:keepNext/>
      </w:pPr>
      <w:r w:rsidRPr="00D429D9">
        <w:t>Section 2 presents the feedback from respondents by theme.</w:t>
      </w:r>
    </w:p>
    <w:p w14:paraId="3DC933C7" w14:textId="77777777" w:rsidR="004A0C97" w:rsidRPr="00D429D9" w:rsidRDefault="004A0C97" w:rsidP="00477406">
      <w:pPr>
        <w:pStyle w:val="Number"/>
        <w:keepNext/>
      </w:pPr>
      <w:r w:rsidRPr="00D429D9">
        <w:t>Section 3 presents the feedback from respondents by therapeutic class.</w:t>
      </w:r>
    </w:p>
    <w:p w14:paraId="3DC933C8" w14:textId="77777777" w:rsidR="00F062F2" w:rsidRDefault="004A0C97" w:rsidP="00477406">
      <w:pPr>
        <w:pStyle w:val="Number"/>
      </w:pPr>
      <w:r w:rsidRPr="00D429D9">
        <w:t>Section 4 summarises issues outside the scope of the current consultation to consider in the future.</w:t>
      </w:r>
    </w:p>
    <w:p w14:paraId="3DC933C9" w14:textId="77777777" w:rsidR="004A0C97" w:rsidRDefault="004A0C97" w:rsidP="00477406"/>
    <w:p w14:paraId="3DC933CA" w14:textId="77777777" w:rsidR="004A0C97" w:rsidRDefault="004A0C97" w:rsidP="00477406">
      <w:r>
        <w:t>Appendix 1 includes a copy of the consultation document.</w:t>
      </w:r>
    </w:p>
    <w:p w14:paraId="3DC933CB" w14:textId="77777777" w:rsidR="004A0C97" w:rsidRDefault="004A0C97" w:rsidP="00477406">
      <w:pPr>
        <w:spacing w:before="120"/>
      </w:pPr>
      <w:r>
        <w:t>Appendix 2 includes a copy of the consultation questions.</w:t>
      </w:r>
    </w:p>
    <w:p w14:paraId="3DC933CC" w14:textId="77777777" w:rsidR="004A0C97" w:rsidRPr="00D429D9" w:rsidRDefault="004A0C97" w:rsidP="00477406">
      <w:pPr>
        <w:spacing w:before="120"/>
      </w:pPr>
      <w:r>
        <w:t>Appendix 3 includes a list of organisations who were consulted.</w:t>
      </w:r>
    </w:p>
    <w:p w14:paraId="3DC933CD" w14:textId="77777777" w:rsidR="004A0C97" w:rsidRPr="00D429D9" w:rsidRDefault="004A0C97" w:rsidP="00477406"/>
    <w:p w14:paraId="3DC933CE" w14:textId="77777777" w:rsidR="004A0C97" w:rsidRPr="00D429D9" w:rsidRDefault="004A0C97" w:rsidP="00477406">
      <w:pPr>
        <w:pStyle w:val="Heading1"/>
      </w:pPr>
      <w:bookmarkStart w:id="4" w:name="_Toc80014990"/>
      <w:bookmarkStart w:id="5" w:name="_Toc84936520"/>
      <w:bookmarkStart w:id="6" w:name="_Toc86657201"/>
      <w:r w:rsidRPr="00D429D9">
        <w:lastRenderedPageBreak/>
        <w:t>Description of respondents</w:t>
      </w:r>
      <w:bookmarkEnd w:id="4"/>
      <w:bookmarkEnd w:id="5"/>
      <w:bookmarkEnd w:id="6"/>
    </w:p>
    <w:p w14:paraId="3DC933CF" w14:textId="37EB8CD0" w:rsidR="004A0C97" w:rsidRPr="00D429D9" w:rsidRDefault="004A0C97" w:rsidP="00477406">
      <w:r w:rsidRPr="00D429D9">
        <w:t>We received a total of 59 submissions, of which 30 (50.9%) were from individuals and 29 (49.1%) were from organisations or groups. No submissions were excluded (</w:t>
      </w:r>
      <w:r w:rsidR="002C4C29">
        <w:fldChar w:fldCharType="begin"/>
      </w:r>
      <w:r w:rsidR="002C4C29">
        <w:instrText xml:space="preserve"> REF _Ref86246106 \h </w:instrText>
      </w:r>
      <w:r w:rsidR="002C4C29">
        <w:fldChar w:fldCharType="separate"/>
      </w:r>
      <w:r w:rsidR="00D172A7">
        <w:t>Figure </w:t>
      </w:r>
      <w:r w:rsidR="00D172A7">
        <w:rPr>
          <w:noProof/>
        </w:rPr>
        <w:t>1</w:t>
      </w:r>
      <w:r w:rsidR="002C4C29">
        <w:fldChar w:fldCharType="end"/>
      </w:r>
      <w:r w:rsidRPr="00D429D9">
        <w:t xml:space="preserve"> and </w:t>
      </w:r>
      <w:r w:rsidR="002C4C29">
        <w:fldChar w:fldCharType="begin"/>
      </w:r>
      <w:r w:rsidR="002C4C29">
        <w:instrText xml:space="preserve"> REF _Ref86246126 \h </w:instrText>
      </w:r>
      <w:r w:rsidR="002C4C29">
        <w:fldChar w:fldCharType="separate"/>
      </w:r>
      <w:r w:rsidR="00D172A7">
        <w:t>Table </w:t>
      </w:r>
      <w:r w:rsidR="00D172A7">
        <w:rPr>
          <w:noProof/>
        </w:rPr>
        <w:t>1</w:t>
      </w:r>
      <w:r w:rsidR="002C4C29">
        <w:fldChar w:fldCharType="end"/>
      </w:r>
      <w:r w:rsidRPr="00D429D9">
        <w:t>).</w:t>
      </w:r>
    </w:p>
    <w:p w14:paraId="3DC933D0" w14:textId="77777777" w:rsidR="004A0C97" w:rsidRDefault="004A0C97" w:rsidP="00477406"/>
    <w:p w14:paraId="3DC933D1" w14:textId="70AB0CBA" w:rsidR="00477406" w:rsidRDefault="00477406" w:rsidP="00477406">
      <w:pPr>
        <w:pStyle w:val="Figure"/>
      </w:pPr>
      <w:bookmarkStart w:id="7" w:name="_Ref86246106"/>
      <w:bookmarkStart w:id="8" w:name="_Toc86306627"/>
      <w:r>
        <w:t>Figure</w:t>
      </w:r>
      <w:r w:rsidR="002C4C29">
        <w:t> </w:t>
      </w:r>
      <w:fldSimple w:instr=" SEQ Figure \* ARABIC ">
        <w:r w:rsidR="00D172A7">
          <w:rPr>
            <w:noProof/>
          </w:rPr>
          <w:t>1</w:t>
        </w:r>
      </w:fldSimple>
      <w:bookmarkEnd w:id="7"/>
      <w:r>
        <w:t>: Type of respondent</w:t>
      </w:r>
      <w:bookmarkEnd w:id="8"/>
    </w:p>
    <w:p w14:paraId="3DC933D2" w14:textId="77777777" w:rsidR="000401D1" w:rsidRPr="000401D1" w:rsidRDefault="001B0E61" w:rsidP="000401D1">
      <w:r w:rsidRPr="001B0E61">
        <w:rPr>
          <w:noProof/>
        </w:rPr>
        <w:drawing>
          <wp:inline distT="0" distB="0" distL="0" distR="0" wp14:anchorId="3DC9374A" wp14:editId="3DC9374B">
            <wp:extent cx="5130165" cy="3129620"/>
            <wp:effectExtent l="0" t="0" r="0" b="0"/>
            <wp:docPr id="15" name="Picture 15" title="Figure 1: Type of respo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130165" cy="3129620"/>
                    </a:xfrm>
                    <a:prstGeom prst="rect">
                      <a:avLst/>
                    </a:prstGeom>
                  </pic:spPr>
                </pic:pic>
              </a:graphicData>
            </a:graphic>
          </wp:inline>
        </w:drawing>
      </w:r>
    </w:p>
    <w:p w14:paraId="3DC933D3" w14:textId="77777777" w:rsidR="004A0C97" w:rsidRPr="00D429D9" w:rsidRDefault="004A0C97" w:rsidP="002C4C29"/>
    <w:p w14:paraId="3DC933D4" w14:textId="52B8D8DB" w:rsidR="002C4C29" w:rsidRPr="00D429D9" w:rsidRDefault="002C4C29" w:rsidP="002C4C29">
      <w:pPr>
        <w:pStyle w:val="Table"/>
      </w:pPr>
      <w:bookmarkStart w:id="9" w:name="_Ref86246126"/>
      <w:bookmarkStart w:id="10" w:name="_Toc86306623"/>
      <w:r>
        <w:t>Table </w:t>
      </w:r>
      <w:fldSimple w:instr=" SEQ Table \* ARABIC ">
        <w:r w:rsidR="00D172A7">
          <w:rPr>
            <w:noProof/>
          </w:rPr>
          <w:t>1</w:t>
        </w:r>
      </w:fldSimple>
      <w:bookmarkEnd w:id="9"/>
      <w:r>
        <w:t xml:space="preserve">: </w:t>
      </w:r>
      <w:r w:rsidRPr="00D429D9">
        <w:t>Type of respondent</w:t>
      </w:r>
      <w:bookmarkEnd w:id="10"/>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3261"/>
        <w:gridCol w:w="992"/>
      </w:tblGrid>
      <w:tr w:rsidR="004A0C97" w:rsidRPr="002C4C29" w14:paraId="3DC933D7" w14:textId="77777777" w:rsidTr="002C4C29">
        <w:trPr>
          <w:cantSplit/>
        </w:trPr>
        <w:tc>
          <w:tcPr>
            <w:tcW w:w="3261" w:type="dxa"/>
            <w:tcBorders>
              <w:top w:val="nil"/>
              <w:bottom w:val="nil"/>
            </w:tcBorders>
            <w:shd w:val="clear" w:color="auto" w:fill="D9D9D9" w:themeFill="background1" w:themeFillShade="D9"/>
          </w:tcPr>
          <w:p w14:paraId="3DC933D5" w14:textId="77777777" w:rsidR="004A0C97" w:rsidRPr="002C4C29" w:rsidRDefault="004A0C97" w:rsidP="002C4C29">
            <w:pPr>
              <w:pStyle w:val="TableText"/>
              <w:rPr>
                <w:b/>
              </w:rPr>
            </w:pPr>
            <w:r w:rsidRPr="002C4C29">
              <w:rPr>
                <w:b/>
              </w:rPr>
              <w:t>Option</w:t>
            </w:r>
          </w:p>
        </w:tc>
        <w:tc>
          <w:tcPr>
            <w:tcW w:w="992" w:type="dxa"/>
            <w:tcBorders>
              <w:top w:val="nil"/>
              <w:bottom w:val="nil"/>
            </w:tcBorders>
            <w:shd w:val="clear" w:color="auto" w:fill="D9D9D9" w:themeFill="background1" w:themeFillShade="D9"/>
          </w:tcPr>
          <w:p w14:paraId="3DC933D6" w14:textId="77777777" w:rsidR="004A0C97" w:rsidRPr="002C4C29" w:rsidRDefault="004A0C97" w:rsidP="002C4C29">
            <w:pPr>
              <w:pStyle w:val="TableText"/>
              <w:jc w:val="center"/>
              <w:rPr>
                <w:b/>
              </w:rPr>
            </w:pPr>
            <w:r w:rsidRPr="002C4C29">
              <w:rPr>
                <w:b/>
              </w:rPr>
              <w:t>Total</w:t>
            </w:r>
          </w:p>
        </w:tc>
      </w:tr>
      <w:tr w:rsidR="004A0C97" w:rsidRPr="00D429D9" w14:paraId="3DC933DA" w14:textId="77777777" w:rsidTr="002C4C29">
        <w:trPr>
          <w:cantSplit/>
        </w:trPr>
        <w:tc>
          <w:tcPr>
            <w:tcW w:w="3261" w:type="dxa"/>
            <w:tcBorders>
              <w:top w:val="nil"/>
            </w:tcBorders>
          </w:tcPr>
          <w:p w14:paraId="3DC933D8" w14:textId="77777777" w:rsidR="004A0C97" w:rsidRPr="002C4C29" w:rsidRDefault="004A0C97" w:rsidP="002C4C29">
            <w:pPr>
              <w:pStyle w:val="TableText"/>
            </w:pPr>
            <w:r w:rsidRPr="002C4C29">
              <w:t>Individual</w:t>
            </w:r>
          </w:p>
        </w:tc>
        <w:tc>
          <w:tcPr>
            <w:tcW w:w="992" w:type="dxa"/>
            <w:tcBorders>
              <w:top w:val="nil"/>
            </w:tcBorders>
          </w:tcPr>
          <w:p w14:paraId="3DC933D9" w14:textId="77777777" w:rsidR="004A0C97" w:rsidRPr="00D429D9" w:rsidRDefault="004A0C97" w:rsidP="002C4C29">
            <w:pPr>
              <w:pStyle w:val="TableText"/>
              <w:tabs>
                <w:tab w:val="decimal" w:pos="557"/>
              </w:tabs>
            </w:pPr>
            <w:r w:rsidRPr="00D429D9">
              <w:t>30</w:t>
            </w:r>
          </w:p>
        </w:tc>
      </w:tr>
      <w:tr w:rsidR="004A0C97" w:rsidRPr="00D429D9" w14:paraId="3DC933DD" w14:textId="77777777" w:rsidTr="002C4C29">
        <w:trPr>
          <w:cantSplit/>
        </w:trPr>
        <w:tc>
          <w:tcPr>
            <w:tcW w:w="3261" w:type="dxa"/>
          </w:tcPr>
          <w:p w14:paraId="3DC933DB" w14:textId="77777777" w:rsidR="004A0C97" w:rsidRPr="002C4C29" w:rsidRDefault="004A0C97" w:rsidP="002C4C29">
            <w:pPr>
              <w:pStyle w:val="TableText"/>
            </w:pPr>
            <w:r w:rsidRPr="002C4C29">
              <w:t>On behalf of an organisation</w:t>
            </w:r>
          </w:p>
        </w:tc>
        <w:tc>
          <w:tcPr>
            <w:tcW w:w="992" w:type="dxa"/>
          </w:tcPr>
          <w:p w14:paraId="3DC933DC" w14:textId="77777777" w:rsidR="004A0C97" w:rsidRPr="00D429D9" w:rsidRDefault="004A0C97" w:rsidP="002C4C29">
            <w:pPr>
              <w:pStyle w:val="TableText"/>
              <w:tabs>
                <w:tab w:val="decimal" w:pos="557"/>
              </w:tabs>
            </w:pPr>
            <w:r w:rsidRPr="00D429D9">
              <w:t>29</w:t>
            </w:r>
          </w:p>
        </w:tc>
      </w:tr>
      <w:tr w:rsidR="004A0C97" w:rsidRPr="00D429D9" w14:paraId="3DC933E0" w14:textId="77777777" w:rsidTr="002C4C29">
        <w:trPr>
          <w:cantSplit/>
        </w:trPr>
        <w:tc>
          <w:tcPr>
            <w:tcW w:w="3261" w:type="dxa"/>
          </w:tcPr>
          <w:p w14:paraId="3DC933DE" w14:textId="77777777" w:rsidR="004A0C97" w:rsidRPr="002C4C29" w:rsidRDefault="004A0C97" w:rsidP="002C4C29">
            <w:pPr>
              <w:pStyle w:val="TableText"/>
            </w:pPr>
            <w:r w:rsidRPr="002C4C29">
              <w:t>Not answered</w:t>
            </w:r>
          </w:p>
        </w:tc>
        <w:tc>
          <w:tcPr>
            <w:tcW w:w="992" w:type="dxa"/>
          </w:tcPr>
          <w:p w14:paraId="3DC933DF" w14:textId="77777777" w:rsidR="004A0C97" w:rsidRPr="00D429D9" w:rsidRDefault="004A0C97" w:rsidP="002C4C29">
            <w:pPr>
              <w:pStyle w:val="TableText"/>
              <w:tabs>
                <w:tab w:val="decimal" w:pos="557"/>
              </w:tabs>
            </w:pPr>
            <w:r w:rsidRPr="00D429D9">
              <w:t>0</w:t>
            </w:r>
          </w:p>
        </w:tc>
      </w:tr>
    </w:tbl>
    <w:p w14:paraId="3DC933E1" w14:textId="77777777" w:rsidR="004A0C97" w:rsidRPr="00D429D9" w:rsidRDefault="004A0C97" w:rsidP="002C4C29"/>
    <w:p w14:paraId="3DC933E2" w14:textId="77777777" w:rsidR="004A0C97" w:rsidRPr="00D429D9" w:rsidRDefault="004A0C97" w:rsidP="002C4C29">
      <w:pPr>
        <w:keepNext/>
        <w:spacing w:after="120"/>
      </w:pPr>
      <w:r w:rsidRPr="00D429D9">
        <w:lastRenderedPageBreak/>
        <w:t>The following organisations have provided a submission.</w:t>
      </w:r>
    </w:p>
    <w:tbl>
      <w:tblPr>
        <w:tblW w:w="0" w:type="auto"/>
        <w:tblInd w:w="57" w:type="dxa"/>
        <w:tblBorders>
          <w:top w:val="single" w:sz="4" w:space="0" w:color="A6A6A6" w:themeColor="background1" w:themeShade="A6"/>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560"/>
        <w:gridCol w:w="6520"/>
      </w:tblGrid>
      <w:tr w:rsidR="004A0C97" w:rsidRPr="00D429D9" w14:paraId="3DC933EE" w14:textId="77777777" w:rsidTr="002C4C29">
        <w:trPr>
          <w:cantSplit/>
        </w:trPr>
        <w:tc>
          <w:tcPr>
            <w:tcW w:w="1560" w:type="dxa"/>
            <w:tcBorders>
              <w:top w:val="single" w:sz="4" w:space="0" w:color="D9D9D9" w:themeColor="background1" w:themeShade="D9"/>
              <w:bottom w:val="single" w:sz="4" w:space="0" w:color="FFFFFF" w:themeColor="background1"/>
            </w:tcBorders>
            <w:shd w:val="clear" w:color="auto" w:fill="D9D9D9" w:themeFill="background1" w:themeFillShade="D9"/>
          </w:tcPr>
          <w:p w14:paraId="3DC933E3" w14:textId="77777777" w:rsidR="004A0C97" w:rsidRPr="002C4C29" w:rsidRDefault="004A0C97" w:rsidP="002C4C29">
            <w:pPr>
              <w:pStyle w:val="TableText"/>
              <w:keepNext/>
              <w:ind w:right="113"/>
              <w:rPr>
                <w:b/>
              </w:rPr>
            </w:pPr>
            <w:r w:rsidRPr="002C4C29">
              <w:rPr>
                <w:b/>
              </w:rPr>
              <w:t>Professional bodies of professions with prescribing scopes</w:t>
            </w:r>
          </w:p>
        </w:tc>
        <w:tc>
          <w:tcPr>
            <w:tcW w:w="6520" w:type="dxa"/>
          </w:tcPr>
          <w:p w14:paraId="3DC933E4" w14:textId="77777777" w:rsidR="004A0C97" w:rsidRPr="00D429D9" w:rsidRDefault="004A0C97" w:rsidP="002C4C29">
            <w:pPr>
              <w:pStyle w:val="TableText"/>
              <w:keepNext/>
            </w:pPr>
            <w:r w:rsidRPr="00D429D9">
              <w:t>Australian and New Zealand College of Anaesthetists &amp; Faculty of Pain Medicine</w:t>
            </w:r>
          </w:p>
          <w:p w14:paraId="3DC933E5" w14:textId="77777777" w:rsidR="004A0C97" w:rsidRPr="00D429D9" w:rsidRDefault="004A0C97" w:rsidP="002C4C29">
            <w:pPr>
              <w:pStyle w:val="TableText"/>
              <w:keepNext/>
            </w:pPr>
            <w:r w:rsidRPr="00D429D9">
              <w:t>Australasian College for Emergency Medicine</w:t>
            </w:r>
          </w:p>
          <w:p w14:paraId="3DC933E6" w14:textId="77777777" w:rsidR="004A0C97" w:rsidRPr="00D429D9" w:rsidRDefault="004A0C97" w:rsidP="002C4C29">
            <w:pPr>
              <w:pStyle w:val="TableText"/>
              <w:keepNext/>
            </w:pPr>
            <w:r w:rsidRPr="00D429D9">
              <w:t>New Zealand College of Midwives</w:t>
            </w:r>
          </w:p>
          <w:p w14:paraId="3DC933E7" w14:textId="77777777" w:rsidR="004A0C97" w:rsidRPr="00D429D9" w:rsidRDefault="004A0C97" w:rsidP="002C4C29">
            <w:pPr>
              <w:pStyle w:val="TableText"/>
              <w:keepNext/>
            </w:pPr>
            <w:r w:rsidRPr="00D429D9">
              <w:t>New Zealand Medical Association</w:t>
            </w:r>
          </w:p>
          <w:p w14:paraId="3DC933E8" w14:textId="77777777" w:rsidR="004A0C97" w:rsidRPr="00D429D9" w:rsidRDefault="004A0C97" w:rsidP="002C4C29">
            <w:pPr>
              <w:pStyle w:val="TableText"/>
              <w:keepNext/>
            </w:pPr>
            <w:r w:rsidRPr="00D429D9">
              <w:t>New Zealand Nurses Organisation</w:t>
            </w:r>
          </w:p>
          <w:p w14:paraId="3DC933E9" w14:textId="77777777" w:rsidR="004A0C97" w:rsidRPr="00D429D9" w:rsidRDefault="004A0C97" w:rsidP="002C4C29">
            <w:pPr>
              <w:pStyle w:val="TableText"/>
              <w:keepNext/>
            </w:pPr>
            <w:r w:rsidRPr="00D429D9">
              <w:t>New Zealand Society of Anaesthetists</w:t>
            </w:r>
          </w:p>
          <w:p w14:paraId="3DC933EA" w14:textId="77777777" w:rsidR="004A0C97" w:rsidRPr="00D429D9" w:rsidRDefault="004A0C97" w:rsidP="002C4C29">
            <w:pPr>
              <w:pStyle w:val="TableText"/>
              <w:keepNext/>
            </w:pPr>
            <w:r w:rsidRPr="00D429D9">
              <w:t>Nurse Practitioners New Zealand</w:t>
            </w:r>
          </w:p>
          <w:p w14:paraId="3DC933EB" w14:textId="77777777" w:rsidR="004A0C97" w:rsidRPr="00D429D9" w:rsidRDefault="004A0C97" w:rsidP="002C4C29">
            <w:pPr>
              <w:pStyle w:val="TableText"/>
              <w:keepNext/>
            </w:pPr>
            <w:r w:rsidRPr="00D429D9">
              <w:t>Royal Australasian College of Physicians</w:t>
            </w:r>
          </w:p>
          <w:p w14:paraId="3DC933EC" w14:textId="77777777" w:rsidR="004A0C97" w:rsidRPr="00D429D9" w:rsidRDefault="004A0C97" w:rsidP="002C4C29">
            <w:pPr>
              <w:pStyle w:val="TableText"/>
              <w:keepNext/>
            </w:pPr>
            <w:r w:rsidRPr="00D429D9">
              <w:t>Royal Australian and New Zealand College of Obstetricians and Gynaecologists</w:t>
            </w:r>
          </w:p>
          <w:p w14:paraId="3DC933ED" w14:textId="77777777" w:rsidR="004A0C97" w:rsidRPr="00D429D9" w:rsidRDefault="004A0C97" w:rsidP="002C4C29">
            <w:pPr>
              <w:pStyle w:val="TableText"/>
              <w:keepNext/>
            </w:pPr>
            <w:r w:rsidRPr="00D429D9">
              <w:t>Royal New Zealand College of General Practitioners</w:t>
            </w:r>
          </w:p>
        </w:tc>
      </w:tr>
      <w:tr w:rsidR="004A0C97" w:rsidRPr="00D429D9" w14:paraId="3DC933F6" w14:textId="77777777" w:rsidTr="002C4C29">
        <w:trPr>
          <w:cantSplit/>
        </w:trPr>
        <w:tc>
          <w:tcPr>
            <w:tcW w:w="1560" w:type="dxa"/>
            <w:tcBorders>
              <w:top w:val="single" w:sz="4" w:space="0" w:color="FFFFFF" w:themeColor="background1"/>
              <w:bottom w:val="single" w:sz="4" w:space="0" w:color="FFFFFF" w:themeColor="background1"/>
            </w:tcBorders>
            <w:shd w:val="clear" w:color="auto" w:fill="D9D9D9" w:themeFill="background1" w:themeFillShade="D9"/>
          </w:tcPr>
          <w:p w14:paraId="3DC933EF" w14:textId="77777777" w:rsidR="004A0C97" w:rsidRPr="002C4C29" w:rsidRDefault="004A0C97" w:rsidP="002C4C29">
            <w:pPr>
              <w:pStyle w:val="TableText"/>
              <w:keepNext/>
              <w:ind w:right="113"/>
              <w:rPr>
                <w:b/>
              </w:rPr>
            </w:pPr>
            <w:r w:rsidRPr="002C4C29">
              <w:rPr>
                <w:b/>
              </w:rPr>
              <w:t>Pharmacy professional bodies</w:t>
            </w:r>
          </w:p>
        </w:tc>
        <w:tc>
          <w:tcPr>
            <w:tcW w:w="6520" w:type="dxa"/>
          </w:tcPr>
          <w:p w14:paraId="3DC933F0" w14:textId="77777777" w:rsidR="004A0C97" w:rsidRPr="00D429D9" w:rsidRDefault="004A0C97" w:rsidP="002C4C29">
            <w:pPr>
              <w:pStyle w:val="TableText"/>
              <w:keepNext/>
            </w:pPr>
            <w:r w:rsidRPr="00D429D9">
              <w:t>Clinical Advisory Pharmacists Association</w:t>
            </w:r>
          </w:p>
          <w:p w14:paraId="3DC933F1" w14:textId="77777777" w:rsidR="004A0C97" w:rsidRPr="00D429D9" w:rsidRDefault="004A0C97" w:rsidP="002C4C29">
            <w:pPr>
              <w:pStyle w:val="TableText"/>
              <w:keepNext/>
            </w:pPr>
            <w:r w:rsidRPr="00D429D9">
              <w:t>Independent Pharmacists</w:t>
            </w:r>
            <w:r w:rsidR="00F062F2">
              <w:t>’</w:t>
            </w:r>
            <w:r w:rsidRPr="00D429D9">
              <w:t xml:space="preserve"> Association of New Zealand</w:t>
            </w:r>
          </w:p>
          <w:p w14:paraId="3DC933F2" w14:textId="77777777" w:rsidR="004A0C97" w:rsidRPr="00D429D9" w:rsidRDefault="004A0C97" w:rsidP="002C4C29">
            <w:pPr>
              <w:pStyle w:val="TableText"/>
              <w:keepNext/>
            </w:pPr>
            <w:r w:rsidRPr="00D429D9">
              <w:t>New Zealand Hospital Pharmacists</w:t>
            </w:r>
            <w:r w:rsidR="00F062F2">
              <w:t>’</w:t>
            </w:r>
            <w:r w:rsidRPr="00D429D9">
              <w:t xml:space="preserve"> Association</w:t>
            </w:r>
          </w:p>
          <w:p w14:paraId="3DC933F3" w14:textId="77777777" w:rsidR="004A0C97" w:rsidRPr="00D429D9" w:rsidRDefault="004A0C97" w:rsidP="002C4C29">
            <w:pPr>
              <w:pStyle w:val="TableText"/>
              <w:keepNext/>
            </w:pPr>
            <w:r w:rsidRPr="00D429D9">
              <w:t>Pharmaceutical Society of New Zealand</w:t>
            </w:r>
          </w:p>
          <w:p w14:paraId="3DC933F4" w14:textId="77777777" w:rsidR="004A0C97" w:rsidRPr="00D429D9" w:rsidRDefault="004A0C97" w:rsidP="002C4C29">
            <w:pPr>
              <w:pStyle w:val="TableText"/>
              <w:keepNext/>
            </w:pPr>
            <w:r w:rsidRPr="00D429D9">
              <w:t>Pharmacy Defence Association</w:t>
            </w:r>
          </w:p>
          <w:p w14:paraId="3DC933F5" w14:textId="77777777" w:rsidR="004A0C97" w:rsidRPr="00D429D9" w:rsidRDefault="004A0C97" w:rsidP="002C4C29">
            <w:pPr>
              <w:pStyle w:val="TableText"/>
              <w:keepNext/>
            </w:pPr>
            <w:r w:rsidRPr="00D429D9">
              <w:t>Pharmacy Guild of New Zealand</w:t>
            </w:r>
          </w:p>
        </w:tc>
      </w:tr>
      <w:tr w:rsidR="004A0C97" w:rsidRPr="00D429D9" w14:paraId="3DC933F9" w14:textId="77777777" w:rsidTr="002C4C29">
        <w:trPr>
          <w:cantSplit/>
        </w:trPr>
        <w:tc>
          <w:tcPr>
            <w:tcW w:w="1560" w:type="dxa"/>
            <w:tcBorders>
              <w:top w:val="single" w:sz="4" w:space="0" w:color="FFFFFF" w:themeColor="background1"/>
              <w:bottom w:val="single" w:sz="4" w:space="0" w:color="FFFFFF" w:themeColor="background1"/>
            </w:tcBorders>
            <w:shd w:val="clear" w:color="auto" w:fill="D9D9D9" w:themeFill="background1" w:themeFillShade="D9"/>
          </w:tcPr>
          <w:p w14:paraId="3DC933F7" w14:textId="77777777" w:rsidR="004A0C97" w:rsidRPr="002C4C29" w:rsidRDefault="004A0C97" w:rsidP="002C4C29">
            <w:pPr>
              <w:pStyle w:val="TableText"/>
              <w:ind w:right="113"/>
              <w:rPr>
                <w:b/>
              </w:rPr>
            </w:pPr>
            <w:r w:rsidRPr="002C4C29">
              <w:rPr>
                <w:b/>
              </w:rPr>
              <w:t>Educational institutions</w:t>
            </w:r>
          </w:p>
        </w:tc>
        <w:tc>
          <w:tcPr>
            <w:tcW w:w="6520" w:type="dxa"/>
          </w:tcPr>
          <w:p w14:paraId="3DC933F8" w14:textId="77777777" w:rsidR="004A0C97" w:rsidRPr="00D429D9" w:rsidRDefault="004A0C97" w:rsidP="002C4C29">
            <w:pPr>
              <w:pStyle w:val="TableText"/>
            </w:pPr>
            <w:r w:rsidRPr="00D429D9">
              <w:t>School of Pharmacy, The University of Auckland</w:t>
            </w:r>
          </w:p>
        </w:tc>
      </w:tr>
      <w:tr w:rsidR="004A0C97" w:rsidRPr="00D429D9" w14:paraId="3DC933FF" w14:textId="77777777" w:rsidTr="002C4C29">
        <w:trPr>
          <w:cantSplit/>
        </w:trPr>
        <w:tc>
          <w:tcPr>
            <w:tcW w:w="1560" w:type="dxa"/>
            <w:tcBorders>
              <w:top w:val="single" w:sz="4" w:space="0" w:color="FFFFFF" w:themeColor="background1"/>
              <w:bottom w:val="single" w:sz="4" w:space="0" w:color="FFFFFF" w:themeColor="background1"/>
            </w:tcBorders>
            <w:shd w:val="clear" w:color="auto" w:fill="D9D9D9" w:themeFill="background1" w:themeFillShade="D9"/>
          </w:tcPr>
          <w:p w14:paraId="3DC933FA" w14:textId="77777777" w:rsidR="004A0C97" w:rsidRPr="002C4C29" w:rsidRDefault="004A0C97" w:rsidP="002C4C29">
            <w:pPr>
              <w:pStyle w:val="TableText"/>
              <w:ind w:right="113"/>
              <w:rPr>
                <w:b/>
              </w:rPr>
            </w:pPr>
            <w:r w:rsidRPr="002C4C29">
              <w:rPr>
                <w:b/>
              </w:rPr>
              <w:t>District Health Boards (DHBs)</w:t>
            </w:r>
          </w:p>
        </w:tc>
        <w:tc>
          <w:tcPr>
            <w:tcW w:w="6520" w:type="dxa"/>
          </w:tcPr>
          <w:p w14:paraId="3DC933FB" w14:textId="77777777" w:rsidR="004A0C97" w:rsidRPr="00D429D9" w:rsidRDefault="004A0C97" w:rsidP="002C4C29">
            <w:pPr>
              <w:pStyle w:val="TableText"/>
            </w:pPr>
            <w:r w:rsidRPr="00D429D9">
              <w:t>Waitematā District Health Board (DHB)</w:t>
            </w:r>
          </w:p>
          <w:p w14:paraId="3DC933FC" w14:textId="77777777" w:rsidR="004A0C97" w:rsidRPr="00D429D9" w:rsidRDefault="004A0C97" w:rsidP="002C4C29">
            <w:pPr>
              <w:pStyle w:val="TableText"/>
            </w:pPr>
            <w:r w:rsidRPr="00D429D9">
              <w:t>Nelson Marlborough DHB</w:t>
            </w:r>
          </w:p>
          <w:p w14:paraId="3DC933FD" w14:textId="77777777" w:rsidR="004A0C97" w:rsidRPr="00D429D9" w:rsidRDefault="004A0C97" w:rsidP="002C4C29">
            <w:pPr>
              <w:pStyle w:val="TableText"/>
            </w:pPr>
            <w:r w:rsidRPr="00D429D9">
              <w:t>MidCentral DHB</w:t>
            </w:r>
          </w:p>
          <w:p w14:paraId="3DC933FE" w14:textId="77777777" w:rsidR="004A0C97" w:rsidRPr="00D429D9" w:rsidRDefault="004A0C97" w:rsidP="002C4C29">
            <w:pPr>
              <w:pStyle w:val="TableText"/>
            </w:pPr>
            <w:r w:rsidRPr="00D429D9">
              <w:t>Counties Manukau DHB</w:t>
            </w:r>
          </w:p>
        </w:tc>
      </w:tr>
      <w:tr w:rsidR="004A0C97" w:rsidRPr="00D429D9" w14:paraId="3DC93408" w14:textId="77777777" w:rsidTr="002C4C29">
        <w:trPr>
          <w:cantSplit/>
        </w:trPr>
        <w:tc>
          <w:tcPr>
            <w:tcW w:w="1560" w:type="dxa"/>
            <w:tcBorders>
              <w:top w:val="single" w:sz="4" w:space="0" w:color="FFFFFF" w:themeColor="background1"/>
              <w:bottom w:val="single" w:sz="4" w:space="0" w:color="D9D9D9" w:themeColor="background1" w:themeShade="D9"/>
            </w:tcBorders>
            <w:shd w:val="clear" w:color="auto" w:fill="D9D9D9" w:themeFill="background1" w:themeFillShade="D9"/>
          </w:tcPr>
          <w:p w14:paraId="3DC93400" w14:textId="77777777" w:rsidR="004A0C97" w:rsidRPr="002C4C29" w:rsidRDefault="004A0C97" w:rsidP="002C4C29">
            <w:pPr>
              <w:pStyle w:val="TableText"/>
              <w:ind w:right="113"/>
              <w:rPr>
                <w:b/>
              </w:rPr>
            </w:pPr>
            <w:r w:rsidRPr="002C4C29">
              <w:rPr>
                <w:b/>
              </w:rPr>
              <w:t>Other</w:t>
            </w:r>
          </w:p>
        </w:tc>
        <w:tc>
          <w:tcPr>
            <w:tcW w:w="6520" w:type="dxa"/>
          </w:tcPr>
          <w:p w14:paraId="3DC93401" w14:textId="77777777" w:rsidR="004A0C97" w:rsidRPr="00D429D9" w:rsidRDefault="004A0C97" w:rsidP="002C4C29">
            <w:pPr>
              <w:pStyle w:val="TableText"/>
            </w:pPr>
            <w:r w:rsidRPr="00D429D9">
              <w:t>Family Planning New Zealand</w:t>
            </w:r>
          </w:p>
          <w:p w14:paraId="3DC93402" w14:textId="77777777" w:rsidR="004A0C97" w:rsidRPr="00D429D9" w:rsidRDefault="004A0C97" w:rsidP="002C4C29">
            <w:pPr>
              <w:pStyle w:val="TableText"/>
            </w:pPr>
            <w:r w:rsidRPr="00D429D9">
              <w:t>Health and Disability Commissioner</w:t>
            </w:r>
          </w:p>
          <w:p w14:paraId="3DC93403" w14:textId="77777777" w:rsidR="004A0C97" w:rsidRPr="00D429D9" w:rsidRDefault="004A0C97" w:rsidP="002C4C29">
            <w:pPr>
              <w:pStyle w:val="TableText"/>
            </w:pPr>
            <w:r w:rsidRPr="00D429D9">
              <w:t>IStar Ltd</w:t>
            </w:r>
          </w:p>
          <w:p w14:paraId="3DC93404" w14:textId="77777777" w:rsidR="004A0C97" w:rsidRPr="00D429D9" w:rsidRDefault="004A0C97" w:rsidP="002C4C29">
            <w:pPr>
              <w:pStyle w:val="TableText"/>
            </w:pPr>
            <w:r w:rsidRPr="00D429D9">
              <w:t>Medicines Control</w:t>
            </w:r>
          </w:p>
          <w:p w14:paraId="3DC93405" w14:textId="77777777" w:rsidR="004A0C97" w:rsidRPr="00D429D9" w:rsidRDefault="004A0C97" w:rsidP="002C4C29">
            <w:pPr>
              <w:pStyle w:val="TableText"/>
            </w:pPr>
            <w:r w:rsidRPr="00D429D9">
              <w:t>National Directors of Allied Health, Scientific &amp; Technical</w:t>
            </w:r>
          </w:p>
          <w:p w14:paraId="3DC93406" w14:textId="77777777" w:rsidR="00F062F2" w:rsidRDefault="004A0C97" w:rsidP="002C4C29">
            <w:pPr>
              <w:pStyle w:val="TableText"/>
            </w:pPr>
            <w:r w:rsidRPr="00D429D9">
              <w:t>Totem Group of Pharmacies</w:t>
            </w:r>
          </w:p>
          <w:p w14:paraId="3DC93407" w14:textId="77777777" w:rsidR="004A0C97" w:rsidRPr="00D429D9" w:rsidRDefault="004A0C97" w:rsidP="002C4C29">
            <w:pPr>
              <w:pStyle w:val="TableText"/>
            </w:pPr>
            <w:r w:rsidRPr="00D429D9">
              <w:t>Westbury Pharmacy and Mahara Health GP Practice</w:t>
            </w:r>
          </w:p>
        </w:tc>
      </w:tr>
    </w:tbl>
    <w:p w14:paraId="3DC93409" w14:textId="77777777" w:rsidR="004A0C97" w:rsidRPr="00D429D9" w:rsidRDefault="004A0C97" w:rsidP="002C4C29"/>
    <w:p w14:paraId="3DC9340A" w14:textId="7B7C765C" w:rsidR="004A0C97" w:rsidRPr="00D429D9" w:rsidRDefault="002C4C29" w:rsidP="002C4C29">
      <w:r>
        <w:fldChar w:fldCharType="begin"/>
      </w:r>
      <w:r>
        <w:instrText xml:space="preserve"> REF _Ref86246336 \h </w:instrText>
      </w:r>
      <w:r>
        <w:fldChar w:fldCharType="separate"/>
      </w:r>
      <w:r w:rsidR="00D172A7">
        <w:t>Figure </w:t>
      </w:r>
      <w:r w:rsidR="00D172A7">
        <w:rPr>
          <w:noProof/>
        </w:rPr>
        <w:t>2</w:t>
      </w:r>
      <w:r>
        <w:fldChar w:fldCharType="end"/>
      </w:r>
      <w:r w:rsidR="004A0C97" w:rsidRPr="00D429D9">
        <w:t xml:space="preserve"> and </w:t>
      </w:r>
      <w:r>
        <w:fldChar w:fldCharType="begin"/>
      </w:r>
      <w:r>
        <w:instrText xml:space="preserve"> REF _Ref86246375 \h </w:instrText>
      </w:r>
      <w:r>
        <w:fldChar w:fldCharType="separate"/>
      </w:r>
      <w:r w:rsidR="00D172A7">
        <w:t>Table </w:t>
      </w:r>
      <w:r w:rsidR="00D172A7">
        <w:rPr>
          <w:noProof/>
        </w:rPr>
        <w:t>2</w:t>
      </w:r>
      <w:r>
        <w:fldChar w:fldCharType="end"/>
      </w:r>
      <w:r w:rsidR="004A0C97" w:rsidRPr="00D429D9">
        <w:t xml:space="preserve"> show the types of health professionals who have made submissions. The majority of the respondents were pharmacists. Most respondents in the </w:t>
      </w:r>
      <w:r w:rsidR="00F062F2">
        <w:t>‘</w:t>
      </w:r>
      <w:r w:rsidR="004A0C97" w:rsidRPr="00D429D9">
        <w:t>other</w:t>
      </w:r>
      <w:r w:rsidR="00F062F2">
        <w:t>’</w:t>
      </w:r>
      <w:r w:rsidR="004A0C97" w:rsidRPr="00D429D9">
        <w:t xml:space="preserve"> category were organisations and professional bodies.</w:t>
      </w:r>
    </w:p>
    <w:p w14:paraId="3DC9340B" w14:textId="77777777" w:rsidR="004A0C97" w:rsidRDefault="004A0C97" w:rsidP="002C4C29"/>
    <w:p w14:paraId="3DC9340C" w14:textId="53C35EAA" w:rsidR="002C4C29" w:rsidRPr="00D429D9" w:rsidRDefault="002C4C29" w:rsidP="002C4C29">
      <w:pPr>
        <w:pStyle w:val="Figure"/>
      </w:pPr>
      <w:bookmarkStart w:id="11" w:name="_Ref86246336"/>
      <w:bookmarkStart w:id="12" w:name="_Toc86306628"/>
      <w:r>
        <w:lastRenderedPageBreak/>
        <w:t>Figure </w:t>
      </w:r>
      <w:fldSimple w:instr=" SEQ Figure \* ARABIC ">
        <w:r w:rsidR="00D172A7">
          <w:rPr>
            <w:noProof/>
          </w:rPr>
          <w:t>2</w:t>
        </w:r>
      </w:fldSimple>
      <w:bookmarkEnd w:id="11"/>
      <w:r>
        <w:t>: Respondent professional role</w:t>
      </w:r>
      <w:bookmarkEnd w:id="12"/>
    </w:p>
    <w:p w14:paraId="3DC9340D" w14:textId="77777777" w:rsidR="004A0C97" w:rsidRPr="00D429D9" w:rsidRDefault="001B0E61" w:rsidP="001B0E61">
      <w:r w:rsidRPr="001B0E61">
        <w:rPr>
          <w:noProof/>
        </w:rPr>
        <w:drawing>
          <wp:inline distT="0" distB="0" distL="0" distR="0" wp14:anchorId="3DC9374C" wp14:editId="3DC9374D">
            <wp:extent cx="5130165" cy="3129620"/>
            <wp:effectExtent l="0" t="0" r="0" b="0"/>
            <wp:docPr id="14" name="Picture 14" title="Figure 2: Respondent professional 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130165" cy="3129620"/>
                    </a:xfrm>
                    <a:prstGeom prst="rect">
                      <a:avLst/>
                    </a:prstGeom>
                  </pic:spPr>
                </pic:pic>
              </a:graphicData>
            </a:graphic>
          </wp:inline>
        </w:drawing>
      </w:r>
    </w:p>
    <w:p w14:paraId="3DC9340E" w14:textId="77777777" w:rsidR="004A0C97" w:rsidRPr="00D429D9" w:rsidRDefault="004A0C97" w:rsidP="004A0C97"/>
    <w:p w14:paraId="3DC9340F" w14:textId="6E6B1A33" w:rsidR="002C4C29" w:rsidRDefault="002C4C29" w:rsidP="002C4C29">
      <w:pPr>
        <w:pStyle w:val="Table"/>
      </w:pPr>
      <w:bookmarkStart w:id="13" w:name="_Ref86246375"/>
      <w:bookmarkStart w:id="14" w:name="_Toc86306624"/>
      <w:r>
        <w:t>Table </w:t>
      </w:r>
      <w:fldSimple w:instr=" SEQ Table \* ARABIC ">
        <w:r w:rsidR="00D172A7">
          <w:rPr>
            <w:noProof/>
          </w:rPr>
          <w:t>2</w:t>
        </w:r>
      </w:fldSimple>
      <w:bookmarkEnd w:id="13"/>
      <w:r>
        <w:t>:</w:t>
      </w:r>
      <w:r w:rsidRPr="00D429D9">
        <w:t xml:space="preserve"> Respondent professional role</w:t>
      </w:r>
      <w:bookmarkEnd w:id="14"/>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3261"/>
        <w:gridCol w:w="992"/>
      </w:tblGrid>
      <w:tr w:rsidR="004A0C97" w:rsidRPr="002C4C29" w14:paraId="3DC93412" w14:textId="77777777" w:rsidTr="002C4C29">
        <w:trPr>
          <w:cantSplit/>
        </w:trPr>
        <w:tc>
          <w:tcPr>
            <w:tcW w:w="3261" w:type="dxa"/>
            <w:tcBorders>
              <w:top w:val="nil"/>
              <w:bottom w:val="nil"/>
            </w:tcBorders>
            <w:shd w:val="clear" w:color="auto" w:fill="D9D9D9" w:themeFill="background1" w:themeFillShade="D9"/>
          </w:tcPr>
          <w:p w14:paraId="3DC93410" w14:textId="77777777" w:rsidR="004A0C97" w:rsidRPr="002C4C29" w:rsidRDefault="004A0C97" w:rsidP="002C4C29">
            <w:pPr>
              <w:pStyle w:val="TableText"/>
              <w:rPr>
                <w:b/>
              </w:rPr>
            </w:pPr>
            <w:r w:rsidRPr="002C4C29">
              <w:rPr>
                <w:b/>
              </w:rPr>
              <w:t>Option</w:t>
            </w:r>
          </w:p>
        </w:tc>
        <w:tc>
          <w:tcPr>
            <w:tcW w:w="992" w:type="dxa"/>
            <w:tcBorders>
              <w:top w:val="nil"/>
              <w:bottom w:val="nil"/>
            </w:tcBorders>
            <w:shd w:val="clear" w:color="auto" w:fill="D9D9D9" w:themeFill="background1" w:themeFillShade="D9"/>
          </w:tcPr>
          <w:p w14:paraId="3DC93411" w14:textId="77777777" w:rsidR="004A0C97" w:rsidRPr="002C4C29" w:rsidRDefault="004A0C97" w:rsidP="002C4C29">
            <w:pPr>
              <w:pStyle w:val="TableText"/>
              <w:jc w:val="center"/>
              <w:rPr>
                <w:b/>
              </w:rPr>
            </w:pPr>
            <w:r w:rsidRPr="002C4C29">
              <w:rPr>
                <w:b/>
              </w:rPr>
              <w:t>Total</w:t>
            </w:r>
          </w:p>
        </w:tc>
      </w:tr>
      <w:tr w:rsidR="004A0C97" w:rsidRPr="00D429D9" w14:paraId="3DC93415" w14:textId="77777777" w:rsidTr="002C4C29">
        <w:trPr>
          <w:cantSplit/>
        </w:trPr>
        <w:tc>
          <w:tcPr>
            <w:tcW w:w="3261" w:type="dxa"/>
            <w:tcBorders>
              <w:top w:val="nil"/>
            </w:tcBorders>
          </w:tcPr>
          <w:p w14:paraId="3DC93413" w14:textId="77777777" w:rsidR="004A0C97" w:rsidRPr="002C4C29" w:rsidRDefault="004A0C97" w:rsidP="002C4C29">
            <w:pPr>
              <w:pStyle w:val="TableText"/>
            </w:pPr>
            <w:r w:rsidRPr="002C4C29">
              <w:t>Pharmacist prescriber</w:t>
            </w:r>
          </w:p>
        </w:tc>
        <w:tc>
          <w:tcPr>
            <w:tcW w:w="992" w:type="dxa"/>
            <w:tcBorders>
              <w:top w:val="nil"/>
            </w:tcBorders>
          </w:tcPr>
          <w:p w14:paraId="3DC93414" w14:textId="77777777" w:rsidR="004A0C97" w:rsidRPr="00D429D9" w:rsidRDefault="004A0C97" w:rsidP="002C4C29">
            <w:pPr>
              <w:pStyle w:val="TableText"/>
              <w:tabs>
                <w:tab w:val="decimal" w:pos="510"/>
              </w:tabs>
            </w:pPr>
            <w:r w:rsidRPr="00D429D9">
              <w:t>7</w:t>
            </w:r>
          </w:p>
        </w:tc>
      </w:tr>
      <w:tr w:rsidR="004A0C97" w:rsidRPr="00D429D9" w14:paraId="3DC93418" w14:textId="77777777" w:rsidTr="002C4C29">
        <w:trPr>
          <w:cantSplit/>
        </w:trPr>
        <w:tc>
          <w:tcPr>
            <w:tcW w:w="3261" w:type="dxa"/>
          </w:tcPr>
          <w:p w14:paraId="3DC93416" w14:textId="77777777" w:rsidR="004A0C97" w:rsidRPr="002C4C29" w:rsidRDefault="004A0C97" w:rsidP="002C4C29">
            <w:pPr>
              <w:pStyle w:val="TableText"/>
            </w:pPr>
            <w:r w:rsidRPr="002C4C29">
              <w:t>Pharmacist</w:t>
            </w:r>
          </w:p>
        </w:tc>
        <w:tc>
          <w:tcPr>
            <w:tcW w:w="992" w:type="dxa"/>
          </w:tcPr>
          <w:p w14:paraId="3DC93417" w14:textId="77777777" w:rsidR="004A0C97" w:rsidRPr="00D429D9" w:rsidRDefault="004A0C97" w:rsidP="002C4C29">
            <w:pPr>
              <w:pStyle w:val="TableText"/>
              <w:tabs>
                <w:tab w:val="decimal" w:pos="510"/>
              </w:tabs>
            </w:pPr>
            <w:r w:rsidRPr="00D429D9">
              <w:t>21</w:t>
            </w:r>
          </w:p>
        </w:tc>
      </w:tr>
      <w:tr w:rsidR="004A0C97" w:rsidRPr="00D429D9" w14:paraId="3DC9341B" w14:textId="77777777" w:rsidTr="002C4C29">
        <w:trPr>
          <w:cantSplit/>
        </w:trPr>
        <w:tc>
          <w:tcPr>
            <w:tcW w:w="3261" w:type="dxa"/>
          </w:tcPr>
          <w:p w14:paraId="3DC93419" w14:textId="77777777" w:rsidR="004A0C97" w:rsidRPr="002C4C29" w:rsidRDefault="004A0C97" w:rsidP="002C4C29">
            <w:pPr>
              <w:pStyle w:val="TableText"/>
            </w:pPr>
            <w:r w:rsidRPr="002C4C29">
              <w:t>Registered nurse prescriber</w:t>
            </w:r>
          </w:p>
        </w:tc>
        <w:tc>
          <w:tcPr>
            <w:tcW w:w="992" w:type="dxa"/>
          </w:tcPr>
          <w:p w14:paraId="3DC9341A" w14:textId="77777777" w:rsidR="004A0C97" w:rsidRPr="00D429D9" w:rsidRDefault="004A0C97" w:rsidP="002C4C29">
            <w:pPr>
              <w:pStyle w:val="TableText"/>
              <w:tabs>
                <w:tab w:val="decimal" w:pos="510"/>
              </w:tabs>
            </w:pPr>
            <w:r w:rsidRPr="00D429D9">
              <w:t>0</w:t>
            </w:r>
          </w:p>
        </w:tc>
      </w:tr>
      <w:tr w:rsidR="004A0C97" w:rsidRPr="00D429D9" w14:paraId="3DC9341E" w14:textId="77777777" w:rsidTr="002C4C29">
        <w:trPr>
          <w:cantSplit/>
        </w:trPr>
        <w:tc>
          <w:tcPr>
            <w:tcW w:w="3261" w:type="dxa"/>
          </w:tcPr>
          <w:p w14:paraId="3DC9341C" w14:textId="77777777" w:rsidR="004A0C97" w:rsidRPr="002C4C29" w:rsidRDefault="004A0C97" w:rsidP="002C4C29">
            <w:pPr>
              <w:pStyle w:val="TableText"/>
            </w:pPr>
            <w:r w:rsidRPr="002C4C29">
              <w:t>Registered nurse</w:t>
            </w:r>
          </w:p>
        </w:tc>
        <w:tc>
          <w:tcPr>
            <w:tcW w:w="992" w:type="dxa"/>
          </w:tcPr>
          <w:p w14:paraId="3DC9341D" w14:textId="77777777" w:rsidR="004A0C97" w:rsidRPr="00D429D9" w:rsidRDefault="004A0C97" w:rsidP="002C4C29">
            <w:pPr>
              <w:pStyle w:val="TableText"/>
              <w:tabs>
                <w:tab w:val="decimal" w:pos="510"/>
              </w:tabs>
            </w:pPr>
            <w:r w:rsidRPr="00D429D9">
              <w:t>1</w:t>
            </w:r>
          </w:p>
        </w:tc>
      </w:tr>
      <w:tr w:rsidR="004A0C97" w:rsidRPr="00D429D9" w14:paraId="3DC93421" w14:textId="77777777" w:rsidTr="002C4C29">
        <w:trPr>
          <w:cantSplit/>
        </w:trPr>
        <w:tc>
          <w:tcPr>
            <w:tcW w:w="3261" w:type="dxa"/>
          </w:tcPr>
          <w:p w14:paraId="3DC9341F" w14:textId="77777777" w:rsidR="004A0C97" w:rsidRPr="002C4C29" w:rsidRDefault="004A0C97" w:rsidP="002C4C29">
            <w:pPr>
              <w:pStyle w:val="TableText"/>
            </w:pPr>
            <w:r w:rsidRPr="002C4C29">
              <w:t>Nurse practitioner</w:t>
            </w:r>
          </w:p>
        </w:tc>
        <w:tc>
          <w:tcPr>
            <w:tcW w:w="992" w:type="dxa"/>
          </w:tcPr>
          <w:p w14:paraId="3DC93420" w14:textId="77777777" w:rsidR="004A0C97" w:rsidRPr="00D429D9" w:rsidRDefault="004A0C97" w:rsidP="002C4C29">
            <w:pPr>
              <w:pStyle w:val="TableText"/>
              <w:tabs>
                <w:tab w:val="decimal" w:pos="510"/>
              </w:tabs>
            </w:pPr>
            <w:r w:rsidRPr="00D429D9">
              <w:t>2</w:t>
            </w:r>
          </w:p>
        </w:tc>
      </w:tr>
      <w:tr w:rsidR="004A0C97" w:rsidRPr="00D429D9" w14:paraId="3DC93424" w14:textId="77777777" w:rsidTr="002C4C29">
        <w:trPr>
          <w:cantSplit/>
        </w:trPr>
        <w:tc>
          <w:tcPr>
            <w:tcW w:w="3261" w:type="dxa"/>
          </w:tcPr>
          <w:p w14:paraId="3DC93422" w14:textId="77777777" w:rsidR="004A0C97" w:rsidRPr="002C4C29" w:rsidRDefault="004A0C97" w:rsidP="002C4C29">
            <w:pPr>
              <w:pStyle w:val="TableText"/>
            </w:pPr>
            <w:r w:rsidRPr="002C4C29">
              <w:t>Medical practitioner</w:t>
            </w:r>
          </w:p>
        </w:tc>
        <w:tc>
          <w:tcPr>
            <w:tcW w:w="992" w:type="dxa"/>
          </w:tcPr>
          <w:p w14:paraId="3DC93423" w14:textId="77777777" w:rsidR="004A0C97" w:rsidRPr="00D429D9" w:rsidRDefault="004A0C97" w:rsidP="002C4C29">
            <w:pPr>
              <w:pStyle w:val="TableText"/>
              <w:tabs>
                <w:tab w:val="decimal" w:pos="510"/>
              </w:tabs>
            </w:pPr>
            <w:r w:rsidRPr="00D429D9">
              <w:t>7</w:t>
            </w:r>
          </w:p>
        </w:tc>
      </w:tr>
      <w:tr w:rsidR="004A0C97" w:rsidRPr="00D429D9" w14:paraId="3DC93427" w14:textId="77777777" w:rsidTr="002C4C29">
        <w:trPr>
          <w:cantSplit/>
        </w:trPr>
        <w:tc>
          <w:tcPr>
            <w:tcW w:w="3261" w:type="dxa"/>
          </w:tcPr>
          <w:p w14:paraId="3DC93425" w14:textId="77777777" w:rsidR="004A0C97" w:rsidRPr="002C4C29" w:rsidRDefault="004A0C97" w:rsidP="002C4C29">
            <w:pPr>
              <w:pStyle w:val="TableText"/>
            </w:pPr>
            <w:r w:rsidRPr="002C4C29">
              <w:t>Educator</w:t>
            </w:r>
          </w:p>
        </w:tc>
        <w:tc>
          <w:tcPr>
            <w:tcW w:w="992" w:type="dxa"/>
          </w:tcPr>
          <w:p w14:paraId="3DC93426" w14:textId="77777777" w:rsidR="004A0C97" w:rsidRPr="00D429D9" w:rsidRDefault="004A0C97" w:rsidP="002C4C29">
            <w:pPr>
              <w:pStyle w:val="TableText"/>
              <w:tabs>
                <w:tab w:val="decimal" w:pos="510"/>
              </w:tabs>
            </w:pPr>
            <w:r w:rsidRPr="00D429D9">
              <w:t>1</w:t>
            </w:r>
          </w:p>
        </w:tc>
      </w:tr>
      <w:tr w:rsidR="004A0C97" w:rsidRPr="00D429D9" w14:paraId="3DC9342A" w14:textId="77777777" w:rsidTr="002C4C29">
        <w:trPr>
          <w:cantSplit/>
        </w:trPr>
        <w:tc>
          <w:tcPr>
            <w:tcW w:w="3261" w:type="dxa"/>
          </w:tcPr>
          <w:p w14:paraId="3DC93428" w14:textId="77777777" w:rsidR="004A0C97" w:rsidRPr="002C4C29" w:rsidRDefault="004A0C97" w:rsidP="002C4C29">
            <w:pPr>
              <w:pStyle w:val="TableText"/>
            </w:pPr>
            <w:r w:rsidRPr="002C4C29">
              <w:t>Consumer</w:t>
            </w:r>
          </w:p>
        </w:tc>
        <w:tc>
          <w:tcPr>
            <w:tcW w:w="992" w:type="dxa"/>
          </w:tcPr>
          <w:p w14:paraId="3DC93429" w14:textId="77777777" w:rsidR="004A0C97" w:rsidRPr="00D429D9" w:rsidRDefault="004A0C97" w:rsidP="002C4C29">
            <w:pPr>
              <w:pStyle w:val="TableText"/>
              <w:tabs>
                <w:tab w:val="decimal" w:pos="510"/>
              </w:tabs>
            </w:pPr>
            <w:r w:rsidRPr="00D429D9">
              <w:t>0</w:t>
            </w:r>
          </w:p>
        </w:tc>
      </w:tr>
      <w:tr w:rsidR="004A0C97" w:rsidRPr="00D429D9" w14:paraId="3DC9342D" w14:textId="77777777" w:rsidTr="002C4C29">
        <w:trPr>
          <w:cantSplit/>
        </w:trPr>
        <w:tc>
          <w:tcPr>
            <w:tcW w:w="3261" w:type="dxa"/>
          </w:tcPr>
          <w:p w14:paraId="3DC9342B" w14:textId="77777777" w:rsidR="004A0C97" w:rsidRPr="002C4C29" w:rsidRDefault="004A0C97" w:rsidP="002C4C29">
            <w:pPr>
              <w:pStyle w:val="TableText"/>
            </w:pPr>
            <w:r w:rsidRPr="002C4C29">
              <w:t>Other (please specify)</w:t>
            </w:r>
          </w:p>
        </w:tc>
        <w:tc>
          <w:tcPr>
            <w:tcW w:w="992" w:type="dxa"/>
          </w:tcPr>
          <w:p w14:paraId="3DC9342C" w14:textId="77777777" w:rsidR="004A0C97" w:rsidRPr="00D429D9" w:rsidRDefault="004A0C97" w:rsidP="002C4C29">
            <w:pPr>
              <w:pStyle w:val="TableText"/>
              <w:tabs>
                <w:tab w:val="decimal" w:pos="510"/>
              </w:tabs>
            </w:pPr>
            <w:r w:rsidRPr="00D429D9">
              <w:t>20</w:t>
            </w:r>
          </w:p>
        </w:tc>
      </w:tr>
      <w:tr w:rsidR="004A0C97" w:rsidRPr="00D429D9" w14:paraId="3DC93430" w14:textId="77777777" w:rsidTr="002C4C29">
        <w:trPr>
          <w:cantSplit/>
        </w:trPr>
        <w:tc>
          <w:tcPr>
            <w:tcW w:w="3261" w:type="dxa"/>
          </w:tcPr>
          <w:p w14:paraId="3DC9342E" w14:textId="77777777" w:rsidR="004A0C97" w:rsidRPr="002C4C29" w:rsidRDefault="004A0C97" w:rsidP="002C4C29">
            <w:pPr>
              <w:pStyle w:val="TableText"/>
            </w:pPr>
            <w:r w:rsidRPr="002C4C29">
              <w:t>Not answered</w:t>
            </w:r>
          </w:p>
        </w:tc>
        <w:tc>
          <w:tcPr>
            <w:tcW w:w="992" w:type="dxa"/>
          </w:tcPr>
          <w:p w14:paraId="3DC9342F" w14:textId="77777777" w:rsidR="004A0C97" w:rsidRPr="00D429D9" w:rsidRDefault="004A0C97" w:rsidP="002C4C29">
            <w:pPr>
              <w:pStyle w:val="TableText"/>
              <w:tabs>
                <w:tab w:val="decimal" w:pos="510"/>
              </w:tabs>
            </w:pPr>
            <w:r w:rsidRPr="00D429D9">
              <w:t>0</w:t>
            </w:r>
          </w:p>
        </w:tc>
      </w:tr>
    </w:tbl>
    <w:p w14:paraId="3DC93431" w14:textId="77777777" w:rsidR="002C4C29" w:rsidRDefault="002C4C29" w:rsidP="002C4C29">
      <w:bookmarkStart w:id="15" w:name="_Toc76028246"/>
      <w:bookmarkStart w:id="16" w:name="_Toc80014991"/>
      <w:bookmarkStart w:id="17" w:name="_Toc84936521"/>
    </w:p>
    <w:p w14:paraId="3DC93432" w14:textId="77777777" w:rsidR="004A0C97" w:rsidRPr="00D429D9" w:rsidRDefault="004A0C97" w:rsidP="004A0C97">
      <w:pPr>
        <w:pStyle w:val="Heading2"/>
        <w:rPr>
          <w:szCs w:val="36"/>
        </w:rPr>
      </w:pPr>
      <w:bookmarkStart w:id="18" w:name="_Toc86657202"/>
      <w:bookmarkEnd w:id="15"/>
      <w:r w:rsidRPr="00D429D9">
        <w:rPr>
          <w:szCs w:val="36"/>
        </w:rPr>
        <w:t>Level of support</w:t>
      </w:r>
      <w:bookmarkEnd w:id="16"/>
      <w:bookmarkEnd w:id="17"/>
      <w:bookmarkEnd w:id="18"/>
    </w:p>
    <w:p w14:paraId="3DC93433" w14:textId="753C1222" w:rsidR="004A0C97" w:rsidRDefault="004A0C97" w:rsidP="00421B9D">
      <w:pPr>
        <w:keepNext/>
      </w:pPr>
      <w:r w:rsidRPr="00D429D9">
        <w:t xml:space="preserve">Respondents were asked if they agreed with the medicines on the proposed list (Yes/No). They had an opportunity to provide comments if they answered </w:t>
      </w:r>
      <w:r w:rsidR="00F062F2">
        <w:t>‘</w:t>
      </w:r>
      <w:r w:rsidRPr="00D429D9">
        <w:t>No</w:t>
      </w:r>
      <w:r w:rsidR="00F062F2">
        <w:t>’</w:t>
      </w:r>
      <w:r w:rsidRPr="00D429D9">
        <w:t xml:space="preserve">. A total </w:t>
      </w:r>
      <w:r w:rsidRPr="00D429D9">
        <w:lastRenderedPageBreak/>
        <w:t>of 36 respondents (61.0%) agreed with the proposed changes and 23 respondents (39.0%) disagreed (</w:t>
      </w:r>
      <w:r w:rsidR="002C4C29">
        <w:fldChar w:fldCharType="begin"/>
      </w:r>
      <w:r w:rsidR="002C4C29">
        <w:instrText xml:space="preserve"> REF _Ref86246532 \h </w:instrText>
      </w:r>
      <w:r w:rsidR="002C4C29">
        <w:fldChar w:fldCharType="separate"/>
      </w:r>
      <w:r w:rsidR="00D172A7">
        <w:t>Figure </w:t>
      </w:r>
      <w:r w:rsidR="00D172A7">
        <w:rPr>
          <w:noProof/>
        </w:rPr>
        <w:t>3</w:t>
      </w:r>
      <w:r w:rsidR="002C4C29">
        <w:fldChar w:fldCharType="end"/>
      </w:r>
      <w:r w:rsidRPr="00D429D9">
        <w:t xml:space="preserve"> and </w:t>
      </w:r>
      <w:r w:rsidR="002C4C29">
        <w:fldChar w:fldCharType="begin"/>
      </w:r>
      <w:r w:rsidR="002C4C29">
        <w:instrText xml:space="preserve"> REF _Ref86246568 \h </w:instrText>
      </w:r>
      <w:r w:rsidR="002C4C29">
        <w:fldChar w:fldCharType="separate"/>
      </w:r>
      <w:r w:rsidR="00D172A7">
        <w:t>Table </w:t>
      </w:r>
      <w:r w:rsidR="00D172A7">
        <w:rPr>
          <w:noProof/>
        </w:rPr>
        <w:t>3</w:t>
      </w:r>
      <w:r w:rsidR="002C4C29">
        <w:fldChar w:fldCharType="end"/>
      </w:r>
      <w:r w:rsidRPr="00D429D9">
        <w:t>).</w:t>
      </w:r>
    </w:p>
    <w:p w14:paraId="3DC93434" w14:textId="77777777" w:rsidR="002C4C29" w:rsidRDefault="002C4C29" w:rsidP="00421B9D">
      <w:pPr>
        <w:keepNext/>
      </w:pPr>
    </w:p>
    <w:p w14:paraId="3DC93435" w14:textId="192AAD2F" w:rsidR="002C4C29" w:rsidRDefault="002C4C29" w:rsidP="002C4C29">
      <w:pPr>
        <w:pStyle w:val="Figure"/>
      </w:pPr>
      <w:bookmarkStart w:id="19" w:name="_Ref86246532"/>
      <w:bookmarkStart w:id="20" w:name="_Toc86306629"/>
      <w:r>
        <w:t>Figure </w:t>
      </w:r>
      <w:fldSimple w:instr=" SEQ Figure \* ARABIC ">
        <w:r w:rsidR="00D172A7">
          <w:rPr>
            <w:noProof/>
          </w:rPr>
          <w:t>3</w:t>
        </w:r>
      </w:fldSimple>
      <w:bookmarkEnd w:id="19"/>
      <w:r>
        <w:t>: Level of support</w:t>
      </w:r>
      <w:bookmarkEnd w:id="20"/>
    </w:p>
    <w:p w14:paraId="3DC93436" w14:textId="77777777" w:rsidR="009220C3" w:rsidRPr="009220C3" w:rsidRDefault="009220C3" w:rsidP="009220C3">
      <w:r w:rsidRPr="009220C3">
        <w:rPr>
          <w:noProof/>
        </w:rPr>
        <w:drawing>
          <wp:inline distT="0" distB="0" distL="0" distR="0" wp14:anchorId="3DC9374E" wp14:editId="3DC9374F">
            <wp:extent cx="5130165" cy="3129620"/>
            <wp:effectExtent l="0" t="0" r="0" b="0"/>
            <wp:docPr id="16" name="Picture 16" title="Figure 3: Level of 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130165" cy="3129620"/>
                    </a:xfrm>
                    <a:prstGeom prst="rect">
                      <a:avLst/>
                    </a:prstGeom>
                  </pic:spPr>
                </pic:pic>
              </a:graphicData>
            </a:graphic>
          </wp:inline>
        </w:drawing>
      </w:r>
    </w:p>
    <w:p w14:paraId="3DC93437" w14:textId="77777777" w:rsidR="004A0C97" w:rsidRPr="00D429D9" w:rsidRDefault="004A0C97" w:rsidP="004A0C97"/>
    <w:p w14:paraId="3DC93438" w14:textId="3F577C37" w:rsidR="002C4C29" w:rsidRDefault="002C4C29" w:rsidP="002C4C29">
      <w:pPr>
        <w:pStyle w:val="Table"/>
      </w:pPr>
      <w:bookmarkStart w:id="21" w:name="_Ref86246568"/>
      <w:bookmarkStart w:id="22" w:name="_Toc86306625"/>
      <w:r>
        <w:t>Table </w:t>
      </w:r>
      <w:fldSimple w:instr=" SEQ Table \* ARABIC ">
        <w:r w:rsidR="00D172A7">
          <w:rPr>
            <w:noProof/>
          </w:rPr>
          <w:t>3</w:t>
        </w:r>
      </w:fldSimple>
      <w:bookmarkEnd w:id="21"/>
      <w:r>
        <w:t>:</w:t>
      </w:r>
      <w:r w:rsidRPr="00D429D9">
        <w:t xml:space="preserve"> Level of support</w:t>
      </w:r>
      <w:bookmarkEnd w:id="22"/>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3261"/>
        <w:gridCol w:w="992"/>
      </w:tblGrid>
      <w:tr w:rsidR="004A0C97" w:rsidRPr="002C4C29" w14:paraId="3DC9343B" w14:textId="77777777" w:rsidTr="002C4C29">
        <w:trPr>
          <w:cantSplit/>
        </w:trPr>
        <w:tc>
          <w:tcPr>
            <w:tcW w:w="3261" w:type="dxa"/>
            <w:tcBorders>
              <w:top w:val="nil"/>
              <w:bottom w:val="nil"/>
            </w:tcBorders>
            <w:shd w:val="clear" w:color="auto" w:fill="D9D9D9" w:themeFill="background1" w:themeFillShade="D9"/>
          </w:tcPr>
          <w:p w14:paraId="3DC93439" w14:textId="77777777" w:rsidR="004A0C97" w:rsidRPr="002C4C29" w:rsidRDefault="004A0C97" w:rsidP="002C4C29">
            <w:pPr>
              <w:pStyle w:val="TableText"/>
              <w:rPr>
                <w:b/>
              </w:rPr>
            </w:pPr>
            <w:r w:rsidRPr="002C4C29">
              <w:rPr>
                <w:b/>
              </w:rPr>
              <w:t>Option</w:t>
            </w:r>
          </w:p>
        </w:tc>
        <w:tc>
          <w:tcPr>
            <w:tcW w:w="992" w:type="dxa"/>
            <w:tcBorders>
              <w:top w:val="nil"/>
              <w:bottom w:val="nil"/>
            </w:tcBorders>
            <w:shd w:val="clear" w:color="auto" w:fill="D9D9D9" w:themeFill="background1" w:themeFillShade="D9"/>
          </w:tcPr>
          <w:p w14:paraId="3DC9343A" w14:textId="77777777" w:rsidR="004A0C97" w:rsidRPr="002C4C29" w:rsidRDefault="004A0C97" w:rsidP="002C4C29">
            <w:pPr>
              <w:pStyle w:val="TableText"/>
              <w:jc w:val="center"/>
              <w:rPr>
                <w:b/>
              </w:rPr>
            </w:pPr>
            <w:r w:rsidRPr="002C4C29">
              <w:rPr>
                <w:b/>
              </w:rPr>
              <w:t>Total</w:t>
            </w:r>
          </w:p>
        </w:tc>
      </w:tr>
      <w:tr w:rsidR="004A0C97" w:rsidRPr="00D429D9" w14:paraId="3DC9343E" w14:textId="77777777" w:rsidTr="002C4C29">
        <w:trPr>
          <w:cantSplit/>
        </w:trPr>
        <w:tc>
          <w:tcPr>
            <w:tcW w:w="3261" w:type="dxa"/>
            <w:tcBorders>
              <w:top w:val="nil"/>
            </w:tcBorders>
          </w:tcPr>
          <w:p w14:paraId="3DC9343C" w14:textId="77777777" w:rsidR="004A0C97" w:rsidRPr="002C4C29" w:rsidRDefault="004A0C97" w:rsidP="002C4C29">
            <w:pPr>
              <w:pStyle w:val="TableText"/>
            </w:pPr>
            <w:r w:rsidRPr="002C4C29">
              <w:t>Yes</w:t>
            </w:r>
          </w:p>
        </w:tc>
        <w:tc>
          <w:tcPr>
            <w:tcW w:w="992" w:type="dxa"/>
            <w:tcBorders>
              <w:top w:val="nil"/>
            </w:tcBorders>
          </w:tcPr>
          <w:p w14:paraId="3DC9343D" w14:textId="77777777" w:rsidR="004A0C97" w:rsidRPr="00D429D9" w:rsidRDefault="004A0C97" w:rsidP="002C4C29">
            <w:pPr>
              <w:pStyle w:val="TableText"/>
              <w:tabs>
                <w:tab w:val="decimal" w:pos="510"/>
              </w:tabs>
            </w:pPr>
            <w:r w:rsidRPr="00D429D9">
              <w:t>36</w:t>
            </w:r>
          </w:p>
        </w:tc>
      </w:tr>
      <w:tr w:rsidR="004A0C97" w:rsidRPr="00D429D9" w14:paraId="3DC93441" w14:textId="77777777" w:rsidTr="002C4C29">
        <w:trPr>
          <w:cantSplit/>
        </w:trPr>
        <w:tc>
          <w:tcPr>
            <w:tcW w:w="3261" w:type="dxa"/>
          </w:tcPr>
          <w:p w14:paraId="3DC9343F" w14:textId="77777777" w:rsidR="004A0C97" w:rsidRPr="002C4C29" w:rsidRDefault="004A0C97" w:rsidP="002C4C29">
            <w:pPr>
              <w:pStyle w:val="TableText"/>
            </w:pPr>
            <w:r w:rsidRPr="002C4C29">
              <w:t>No (proceed to next page)</w:t>
            </w:r>
          </w:p>
        </w:tc>
        <w:tc>
          <w:tcPr>
            <w:tcW w:w="992" w:type="dxa"/>
          </w:tcPr>
          <w:p w14:paraId="3DC93440" w14:textId="77777777" w:rsidR="004A0C97" w:rsidRPr="00D429D9" w:rsidRDefault="004A0C97" w:rsidP="002C4C29">
            <w:pPr>
              <w:pStyle w:val="TableText"/>
              <w:tabs>
                <w:tab w:val="decimal" w:pos="510"/>
              </w:tabs>
            </w:pPr>
            <w:r w:rsidRPr="00D429D9">
              <w:t>23</w:t>
            </w:r>
          </w:p>
        </w:tc>
      </w:tr>
      <w:tr w:rsidR="004A0C97" w:rsidRPr="00D429D9" w14:paraId="3DC93444" w14:textId="77777777" w:rsidTr="002C4C29">
        <w:trPr>
          <w:cantSplit/>
        </w:trPr>
        <w:tc>
          <w:tcPr>
            <w:tcW w:w="3261" w:type="dxa"/>
          </w:tcPr>
          <w:p w14:paraId="3DC93442" w14:textId="77777777" w:rsidR="004A0C97" w:rsidRPr="002C4C29" w:rsidRDefault="004A0C97" w:rsidP="002C4C29">
            <w:pPr>
              <w:pStyle w:val="TableText"/>
            </w:pPr>
            <w:r w:rsidRPr="002C4C29">
              <w:t>Not answered</w:t>
            </w:r>
          </w:p>
        </w:tc>
        <w:tc>
          <w:tcPr>
            <w:tcW w:w="992" w:type="dxa"/>
          </w:tcPr>
          <w:p w14:paraId="3DC93443" w14:textId="77777777" w:rsidR="004A0C97" w:rsidRPr="00D429D9" w:rsidRDefault="004A0C97" w:rsidP="002C4C29">
            <w:pPr>
              <w:pStyle w:val="TableText"/>
              <w:tabs>
                <w:tab w:val="decimal" w:pos="510"/>
              </w:tabs>
            </w:pPr>
            <w:r w:rsidRPr="00D429D9">
              <w:t>0</w:t>
            </w:r>
          </w:p>
        </w:tc>
      </w:tr>
    </w:tbl>
    <w:p w14:paraId="3DC93445" w14:textId="77777777" w:rsidR="004A0C97" w:rsidRPr="00D429D9" w:rsidRDefault="004A0C97" w:rsidP="002C4C29"/>
    <w:p w14:paraId="3DC93446" w14:textId="7037865B" w:rsidR="004A0C97" w:rsidRPr="00D429D9" w:rsidRDefault="009573EF" w:rsidP="004A0C97">
      <w:r>
        <w:fldChar w:fldCharType="begin"/>
      </w:r>
      <w:r>
        <w:instrText xml:space="preserve"> REF _Ref86246700 \h </w:instrText>
      </w:r>
      <w:r>
        <w:fldChar w:fldCharType="separate"/>
      </w:r>
      <w:r w:rsidR="00D172A7">
        <w:t>Figure </w:t>
      </w:r>
      <w:r w:rsidR="00D172A7">
        <w:rPr>
          <w:noProof/>
        </w:rPr>
        <w:t>4</w:t>
      </w:r>
      <w:r>
        <w:fldChar w:fldCharType="end"/>
      </w:r>
      <w:r w:rsidR="004A0C97" w:rsidRPr="00D429D9">
        <w:t xml:space="preserve"> and </w:t>
      </w:r>
      <w:r>
        <w:fldChar w:fldCharType="begin"/>
      </w:r>
      <w:r>
        <w:instrText xml:space="preserve"> REF _Ref86246748 \h </w:instrText>
      </w:r>
      <w:r>
        <w:fldChar w:fldCharType="separate"/>
      </w:r>
      <w:r w:rsidR="00D172A7">
        <w:t>Table </w:t>
      </w:r>
      <w:r w:rsidR="00D172A7">
        <w:rPr>
          <w:noProof/>
        </w:rPr>
        <w:t>4</w:t>
      </w:r>
      <w:r>
        <w:fldChar w:fldCharType="end"/>
      </w:r>
      <w:r w:rsidR="004A0C97" w:rsidRPr="00D429D9">
        <w:t xml:space="preserve"> show the level of support from individuals and organisations. Among the 23 respondents who disagreed with the proposed changes, 17 (28.8%) were organisations and 6 (10.2%) were individuals. Out of the 17 organisations that were not in favour of the proposed changes, the majority were from other non-pharmacy professional groups such as medical and nursing groups that were questioning the </w:t>
      </w:r>
      <w:r w:rsidR="004A0C97">
        <w:t>pharmacist prescriber</w:t>
      </w:r>
      <w:r w:rsidR="00F062F2">
        <w:t>’</w:t>
      </w:r>
      <w:r w:rsidR="004A0C97">
        <w:t xml:space="preserve">s </w:t>
      </w:r>
      <w:r w:rsidR="004A0C97" w:rsidRPr="00D429D9">
        <w:t xml:space="preserve">scope </w:t>
      </w:r>
      <w:r w:rsidR="004A0C97">
        <w:t xml:space="preserve">of practice </w:t>
      </w:r>
      <w:r w:rsidR="004A0C97" w:rsidRPr="00D429D9">
        <w:t xml:space="preserve">and </w:t>
      </w:r>
      <w:r w:rsidR="004A0C97">
        <w:t xml:space="preserve">their </w:t>
      </w:r>
      <w:r w:rsidR="004A0C97" w:rsidRPr="00D429D9">
        <w:t>extent. Note that one organisation that disagreed with the proposals responded twice.</w:t>
      </w:r>
    </w:p>
    <w:p w14:paraId="3DC93447" w14:textId="77777777" w:rsidR="004A0C97" w:rsidRDefault="004A0C97" w:rsidP="002C4C29"/>
    <w:p w14:paraId="3DC93448" w14:textId="6F5E0BE3" w:rsidR="002C4C29" w:rsidRPr="00D429D9" w:rsidRDefault="002C4C29" w:rsidP="009573EF">
      <w:pPr>
        <w:pStyle w:val="Figure"/>
      </w:pPr>
      <w:bookmarkStart w:id="23" w:name="_Ref86246700"/>
      <w:bookmarkStart w:id="24" w:name="_Toc86306630"/>
      <w:r>
        <w:lastRenderedPageBreak/>
        <w:t>Figure </w:t>
      </w:r>
      <w:fldSimple w:instr=" SEQ Figure \* ARABIC ">
        <w:r w:rsidR="00D172A7">
          <w:rPr>
            <w:noProof/>
          </w:rPr>
          <w:t>4</w:t>
        </w:r>
      </w:fldSimple>
      <w:bookmarkEnd w:id="23"/>
      <w:r>
        <w:t>: Level of support by type of respondent</w:t>
      </w:r>
      <w:bookmarkEnd w:id="24"/>
    </w:p>
    <w:p w14:paraId="3DC93449" w14:textId="77777777" w:rsidR="004A0C97" w:rsidRPr="00D429D9" w:rsidRDefault="009220C3" w:rsidP="004A0C97">
      <w:r w:rsidRPr="009220C3">
        <w:rPr>
          <w:noProof/>
        </w:rPr>
        <w:drawing>
          <wp:inline distT="0" distB="0" distL="0" distR="0" wp14:anchorId="3DC93750" wp14:editId="3DC93751">
            <wp:extent cx="5130165" cy="3129620"/>
            <wp:effectExtent l="0" t="0" r="0" b="0"/>
            <wp:docPr id="1" name="Picture 1" title="Figure 4: Level of support by type of respo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130165" cy="3129620"/>
                    </a:xfrm>
                    <a:prstGeom prst="rect">
                      <a:avLst/>
                    </a:prstGeom>
                  </pic:spPr>
                </pic:pic>
              </a:graphicData>
            </a:graphic>
          </wp:inline>
        </w:drawing>
      </w:r>
    </w:p>
    <w:p w14:paraId="3DC9344A" w14:textId="77777777" w:rsidR="004A0C97" w:rsidRPr="00D429D9" w:rsidRDefault="004A0C97" w:rsidP="004A0C97"/>
    <w:p w14:paraId="3DC9344B" w14:textId="3D6620E3" w:rsidR="009573EF" w:rsidRDefault="009573EF" w:rsidP="009573EF">
      <w:pPr>
        <w:pStyle w:val="Table"/>
      </w:pPr>
      <w:bookmarkStart w:id="25" w:name="_Ref86246748"/>
      <w:bookmarkStart w:id="26" w:name="_Toc86306626"/>
      <w:r>
        <w:t>Table </w:t>
      </w:r>
      <w:fldSimple w:instr=" SEQ Table \* ARABIC ">
        <w:r w:rsidR="00D172A7">
          <w:rPr>
            <w:noProof/>
          </w:rPr>
          <w:t>4</w:t>
        </w:r>
      </w:fldSimple>
      <w:bookmarkEnd w:id="25"/>
      <w:r>
        <w:t>:</w:t>
      </w:r>
      <w:r w:rsidRPr="00D429D9">
        <w:t xml:space="preserve"> Level of support by type of respondent</w:t>
      </w:r>
      <w:bookmarkEnd w:id="26"/>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3261"/>
        <w:gridCol w:w="992"/>
      </w:tblGrid>
      <w:tr w:rsidR="004A0C97" w:rsidRPr="009573EF" w14:paraId="3DC9344E" w14:textId="77777777" w:rsidTr="009573EF">
        <w:trPr>
          <w:cantSplit/>
        </w:trPr>
        <w:tc>
          <w:tcPr>
            <w:tcW w:w="3261" w:type="dxa"/>
            <w:tcBorders>
              <w:top w:val="nil"/>
              <w:bottom w:val="nil"/>
            </w:tcBorders>
            <w:shd w:val="clear" w:color="auto" w:fill="D9D9D9" w:themeFill="background1" w:themeFillShade="D9"/>
          </w:tcPr>
          <w:p w14:paraId="3DC9344C" w14:textId="77777777" w:rsidR="004A0C97" w:rsidRPr="009573EF" w:rsidRDefault="004A0C97" w:rsidP="00421B9D">
            <w:pPr>
              <w:pStyle w:val="TableText"/>
              <w:keepNext/>
              <w:rPr>
                <w:b/>
              </w:rPr>
            </w:pPr>
            <w:r w:rsidRPr="009573EF">
              <w:rPr>
                <w:b/>
              </w:rPr>
              <w:t>Option</w:t>
            </w:r>
          </w:p>
        </w:tc>
        <w:tc>
          <w:tcPr>
            <w:tcW w:w="992" w:type="dxa"/>
            <w:tcBorders>
              <w:top w:val="nil"/>
              <w:bottom w:val="nil"/>
            </w:tcBorders>
            <w:shd w:val="clear" w:color="auto" w:fill="D9D9D9" w:themeFill="background1" w:themeFillShade="D9"/>
          </w:tcPr>
          <w:p w14:paraId="3DC9344D" w14:textId="77777777" w:rsidR="004A0C97" w:rsidRPr="009573EF" w:rsidRDefault="004A0C97" w:rsidP="00421B9D">
            <w:pPr>
              <w:pStyle w:val="TableText"/>
              <w:keepNext/>
              <w:jc w:val="center"/>
              <w:rPr>
                <w:b/>
              </w:rPr>
            </w:pPr>
            <w:r w:rsidRPr="009573EF">
              <w:rPr>
                <w:b/>
              </w:rPr>
              <w:t>Total</w:t>
            </w:r>
          </w:p>
        </w:tc>
      </w:tr>
      <w:tr w:rsidR="004A0C97" w:rsidRPr="00D429D9" w14:paraId="3DC93451" w14:textId="77777777" w:rsidTr="009573EF">
        <w:trPr>
          <w:cantSplit/>
        </w:trPr>
        <w:tc>
          <w:tcPr>
            <w:tcW w:w="3261" w:type="dxa"/>
            <w:tcBorders>
              <w:top w:val="nil"/>
            </w:tcBorders>
          </w:tcPr>
          <w:p w14:paraId="3DC9344F" w14:textId="77777777" w:rsidR="004A0C97" w:rsidRPr="009573EF" w:rsidRDefault="004A0C97" w:rsidP="00421B9D">
            <w:pPr>
              <w:pStyle w:val="TableText"/>
              <w:keepNext/>
            </w:pPr>
            <w:r w:rsidRPr="009573EF">
              <w:t>No – Organisation</w:t>
            </w:r>
          </w:p>
        </w:tc>
        <w:tc>
          <w:tcPr>
            <w:tcW w:w="992" w:type="dxa"/>
            <w:tcBorders>
              <w:top w:val="nil"/>
            </w:tcBorders>
          </w:tcPr>
          <w:p w14:paraId="3DC93450" w14:textId="77777777" w:rsidR="004A0C97" w:rsidRPr="00D429D9" w:rsidRDefault="004A0C97" w:rsidP="00421B9D">
            <w:pPr>
              <w:pStyle w:val="TableText"/>
              <w:keepNext/>
              <w:tabs>
                <w:tab w:val="decimal" w:pos="510"/>
              </w:tabs>
            </w:pPr>
            <w:r w:rsidRPr="00D429D9">
              <w:t>17</w:t>
            </w:r>
          </w:p>
        </w:tc>
      </w:tr>
      <w:tr w:rsidR="004A0C97" w:rsidRPr="00D429D9" w14:paraId="3DC93454" w14:textId="77777777" w:rsidTr="009573EF">
        <w:trPr>
          <w:cantSplit/>
        </w:trPr>
        <w:tc>
          <w:tcPr>
            <w:tcW w:w="3261" w:type="dxa"/>
          </w:tcPr>
          <w:p w14:paraId="3DC93452" w14:textId="77777777" w:rsidR="004A0C97" w:rsidRPr="009573EF" w:rsidRDefault="004A0C97" w:rsidP="009573EF">
            <w:pPr>
              <w:pStyle w:val="TableText"/>
            </w:pPr>
            <w:r w:rsidRPr="009573EF">
              <w:t>No – Individual</w:t>
            </w:r>
          </w:p>
        </w:tc>
        <w:tc>
          <w:tcPr>
            <w:tcW w:w="992" w:type="dxa"/>
          </w:tcPr>
          <w:p w14:paraId="3DC93453" w14:textId="77777777" w:rsidR="004A0C97" w:rsidRPr="00D429D9" w:rsidRDefault="004A0C97" w:rsidP="009573EF">
            <w:pPr>
              <w:pStyle w:val="TableText"/>
              <w:tabs>
                <w:tab w:val="decimal" w:pos="510"/>
              </w:tabs>
            </w:pPr>
            <w:r w:rsidRPr="00D429D9">
              <w:t>6</w:t>
            </w:r>
          </w:p>
        </w:tc>
      </w:tr>
      <w:tr w:rsidR="004A0C97" w:rsidRPr="00D429D9" w14:paraId="3DC93457" w14:textId="77777777" w:rsidTr="009573EF">
        <w:trPr>
          <w:cantSplit/>
        </w:trPr>
        <w:tc>
          <w:tcPr>
            <w:tcW w:w="3261" w:type="dxa"/>
          </w:tcPr>
          <w:p w14:paraId="3DC93455" w14:textId="77777777" w:rsidR="004A0C97" w:rsidRPr="009573EF" w:rsidRDefault="004A0C97" w:rsidP="009573EF">
            <w:pPr>
              <w:pStyle w:val="TableText"/>
            </w:pPr>
            <w:r w:rsidRPr="009573EF">
              <w:t>Yes – Organisation</w:t>
            </w:r>
          </w:p>
        </w:tc>
        <w:tc>
          <w:tcPr>
            <w:tcW w:w="992" w:type="dxa"/>
          </w:tcPr>
          <w:p w14:paraId="3DC93456" w14:textId="77777777" w:rsidR="004A0C97" w:rsidRPr="00D429D9" w:rsidRDefault="004A0C97" w:rsidP="009573EF">
            <w:pPr>
              <w:pStyle w:val="TableText"/>
              <w:tabs>
                <w:tab w:val="decimal" w:pos="510"/>
              </w:tabs>
            </w:pPr>
            <w:r w:rsidRPr="00D429D9">
              <w:t>12</w:t>
            </w:r>
          </w:p>
        </w:tc>
      </w:tr>
      <w:tr w:rsidR="004A0C97" w:rsidRPr="00D429D9" w14:paraId="3DC9345A" w14:textId="77777777" w:rsidTr="009573EF">
        <w:trPr>
          <w:cantSplit/>
        </w:trPr>
        <w:tc>
          <w:tcPr>
            <w:tcW w:w="3261" w:type="dxa"/>
          </w:tcPr>
          <w:p w14:paraId="3DC93458" w14:textId="77777777" w:rsidR="004A0C97" w:rsidRPr="009573EF" w:rsidRDefault="004A0C97" w:rsidP="009573EF">
            <w:pPr>
              <w:pStyle w:val="TableText"/>
            </w:pPr>
            <w:r w:rsidRPr="009573EF">
              <w:t>Yes – Individual</w:t>
            </w:r>
          </w:p>
        </w:tc>
        <w:tc>
          <w:tcPr>
            <w:tcW w:w="992" w:type="dxa"/>
          </w:tcPr>
          <w:p w14:paraId="3DC93459" w14:textId="77777777" w:rsidR="004A0C97" w:rsidRPr="00D429D9" w:rsidRDefault="004A0C97" w:rsidP="009573EF">
            <w:pPr>
              <w:pStyle w:val="TableText"/>
              <w:tabs>
                <w:tab w:val="decimal" w:pos="510"/>
              </w:tabs>
            </w:pPr>
            <w:r w:rsidRPr="00D429D9">
              <w:t>24</w:t>
            </w:r>
          </w:p>
        </w:tc>
      </w:tr>
      <w:tr w:rsidR="004A0C97" w:rsidRPr="00D429D9" w14:paraId="3DC9345D" w14:textId="77777777" w:rsidTr="009573EF">
        <w:trPr>
          <w:cantSplit/>
        </w:trPr>
        <w:tc>
          <w:tcPr>
            <w:tcW w:w="3261" w:type="dxa"/>
          </w:tcPr>
          <w:p w14:paraId="3DC9345B" w14:textId="77777777" w:rsidR="00421B9D" w:rsidRPr="009573EF" w:rsidRDefault="004A0C97" w:rsidP="00421B9D">
            <w:pPr>
              <w:pStyle w:val="TableText"/>
            </w:pPr>
            <w:r w:rsidRPr="009573EF">
              <w:t>Not answered</w:t>
            </w:r>
          </w:p>
        </w:tc>
        <w:tc>
          <w:tcPr>
            <w:tcW w:w="992" w:type="dxa"/>
          </w:tcPr>
          <w:p w14:paraId="3DC9345C" w14:textId="77777777" w:rsidR="004A0C97" w:rsidRPr="00D429D9" w:rsidRDefault="004A0C97" w:rsidP="009573EF">
            <w:pPr>
              <w:pStyle w:val="TableText"/>
              <w:tabs>
                <w:tab w:val="decimal" w:pos="510"/>
              </w:tabs>
            </w:pPr>
            <w:r w:rsidRPr="00D429D9">
              <w:t>0</w:t>
            </w:r>
          </w:p>
        </w:tc>
      </w:tr>
    </w:tbl>
    <w:p w14:paraId="3DC9345E" w14:textId="77777777" w:rsidR="00421B9D" w:rsidRDefault="00421B9D"/>
    <w:p w14:paraId="3DC9345F" w14:textId="77777777" w:rsidR="004A0C97" w:rsidRDefault="004A0C97" w:rsidP="00C40AC8">
      <w:pPr>
        <w:pStyle w:val="Heading1"/>
      </w:pPr>
      <w:bookmarkStart w:id="27" w:name="_Toc80014993"/>
      <w:bookmarkStart w:id="28" w:name="_Toc84936523"/>
      <w:bookmarkStart w:id="29" w:name="_Toc86657203"/>
      <w:r w:rsidRPr="00D429D9">
        <w:lastRenderedPageBreak/>
        <w:t>Analysis by themes</w:t>
      </w:r>
      <w:bookmarkEnd w:id="27"/>
      <w:bookmarkEnd w:id="28"/>
      <w:bookmarkEnd w:id="29"/>
    </w:p>
    <w:p w14:paraId="3DC93460" w14:textId="77777777" w:rsidR="004A0C97" w:rsidRDefault="004A0C97" w:rsidP="00CA60F5">
      <w:r w:rsidRPr="00D429D9">
        <w:t>The majority of the respondents generally agreed that adding the proposed medicines to the schedules for pharmacist prescribers will contribute to making vital medicines more broadly accessible, which in turn helps to achieve pae ora</w:t>
      </w:r>
      <w:r w:rsidRPr="00CA60F5">
        <w:rPr>
          <w:rStyle w:val="FootnoteReference"/>
        </w:rPr>
        <w:footnoteReference w:id="3"/>
      </w:r>
      <w:r w:rsidRPr="00D429D9">
        <w:t xml:space="preserve"> (healthy futures). </w:t>
      </w:r>
      <w:r>
        <w:t>The remainder of the comments were grouped together and listed by themes below.</w:t>
      </w:r>
    </w:p>
    <w:p w14:paraId="3DC93461" w14:textId="77777777" w:rsidR="00CA60F5" w:rsidRPr="00481E0A" w:rsidRDefault="00CA60F5" w:rsidP="00CA60F5"/>
    <w:p w14:paraId="3DC93462" w14:textId="77777777" w:rsidR="00F062F2" w:rsidRDefault="004A0C97" w:rsidP="00CA60F5">
      <w:pPr>
        <w:pStyle w:val="Heading2"/>
        <w:rPr>
          <w:rFonts w:eastAsia="MS Gothic"/>
        </w:rPr>
      </w:pPr>
      <w:bookmarkStart w:id="30" w:name="_Toc80014994"/>
      <w:bookmarkStart w:id="31" w:name="_Toc84936524"/>
      <w:bookmarkStart w:id="32" w:name="_Toc86657204"/>
      <w:r>
        <w:rPr>
          <w:rFonts w:eastAsia="MS Gothic"/>
        </w:rPr>
        <w:t>Removing</w:t>
      </w:r>
      <w:r w:rsidRPr="00D429D9">
        <w:rPr>
          <w:rFonts w:eastAsia="MS Gothic"/>
        </w:rPr>
        <w:t xml:space="preserve"> the need for a schedule</w:t>
      </w:r>
      <w:bookmarkEnd w:id="30"/>
      <w:bookmarkEnd w:id="31"/>
      <w:bookmarkEnd w:id="32"/>
    </w:p>
    <w:p w14:paraId="3DC93463" w14:textId="77777777" w:rsidR="00F062F2" w:rsidRDefault="004A0C97" w:rsidP="00CA60F5">
      <w:pPr>
        <w:rPr>
          <w:rFonts w:eastAsiaTheme="minorHAnsi"/>
          <w:lang w:eastAsia="en-US"/>
        </w:rPr>
      </w:pPr>
      <w:r w:rsidRPr="00D429D9">
        <w:rPr>
          <w:rFonts w:eastAsiaTheme="minorHAnsi"/>
          <w:lang w:eastAsia="en-US"/>
        </w:rPr>
        <w:t xml:space="preserve">There is significant support from the pharmacy sector to change the need for a schedule that allows pharmacist prescribers to prescribe. Under the Medicines Act 1981, pharmacist prescribers are a designated prescriber, which allows them to prescribe </w:t>
      </w:r>
      <w:r w:rsidRPr="002D7330">
        <w:rPr>
          <w:rFonts w:eastAsiaTheme="minorHAnsi"/>
          <w:b/>
          <w:lang w:eastAsia="en-US"/>
        </w:rPr>
        <w:t>specific</w:t>
      </w:r>
      <w:r w:rsidRPr="00D429D9">
        <w:rPr>
          <w:rFonts w:eastAsiaTheme="minorHAnsi"/>
          <w:lang w:eastAsia="en-US"/>
        </w:rPr>
        <w:t xml:space="preserve"> prescription medicines, or a </w:t>
      </w:r>
      <w:r w:rsidRPr="002D7330">
        <w:rPr>
          <w:rFonts w:eastAsiaTheme="minorHAnsi"/>
          <w:b/>
          <w:lang w:eastAsia="en-US"/>
        </w:rPr>
        <w:t>specific class or description</w:t>
      </w:r>
      <w:r w:rsidRPr="00D429D9">
        <w:rPr>
          <w:rFonts w:eastAsiaTheme="minorHAnsi"/>
          <w:lang w:eastAsia="en-US"/>
        </w:rPr>
        <w:t xml:space="preserve"> of prescription medicines. This contrasts with an authorised prescriber who can prescribe </w:t>
      </w:r>
      <w:r w:rsidRPr="005C467C">
        <w:rPr>
          <w:rFonts w:eastAsiaTheme="minorHAnsi"/>
          <w:b/>
          <w:lang w:eastAsia="en-US"/>
        </w:rPr>
        <w:t>any</w:t>
      </w:r>
      <w:r w:rsidRPr="00D429D9">
        <w:rPr>
          <w:rFonts w:eastAsiaTheme="minorHAnsi"/>
          <w:i/>
          <w:lang w:eastAsia="en-US"/>
        </w:rPr>
        <w:t xml:space="preserve"> </w:t>
      </w:r>
      <w:r w:rsidRPr="00D429D9">
        <w:rPr>
          <w:rFonts w:eastAsiaTheme="minorHAnsi"/>
          <w:lang w:eastAsia="en-US"/>
        </w:rPr>
        <w:t>prescription medicine.</w:t>
      </w:r>
    </w:p>
    <w:p w14:paraId="3DC93464" w14:textId="77777777" w:rsidR="00CA60F5" w:rsidRDefault="00CA60F5" w:rsidP="00CA60F5"/>
    <w:p w14:paraId="3DC93465" w14:textId="77777777" w:rsidR="00CA60F5" w:rsidRPr="00CA60F5" w:rsidRDefault="00CA60F5" w:rsidP="00CA60F5">
      <w:pPr>
        <w:rPr>
          <w:spacing w:val="-2"/>
        </w:rPr>
      </w:pPr>
      <w:r w:rsidRPr="00CA60F5">
        <w:rPr>
          <w:spacing w:val="-2"/>
        </w:rPr>
        <w:t>Numerous submissions commented on the need for more timely updates to the medicines list so that pharmacist prescribers can provide access to medicines. Respondents noted that medicines are often funded and listed on the New Zealand pharmaceutical schedule years before the medicines list for pharmacist prescribers is updated to include them. The delays create inefficiencies for pharmacist prescribers, increase the workload for other prescribers, and reduce access to medicines for patients.</w:t>
      </w:r>
    </w:p>
    <w:p w14:paraId="3DC93466" w14:textId="77777777" w:rsidR="00CA60F5" w:rsidRDefault="00CA60F5" w:rsidP="00CA60F5"/>
    <w:p w14:paraId="3DC93467" w14:textId="77777777" w:rsidR="00CA60F5" w:rsidRPr="003F5D80" w:rsidRDefault="00CA60F5" w:rsidP="00CA60F5">
      <w:pPr>
        <w:pStyle w:val="Box"/>
        <w:rPr>
          <w:highlight w:val="yellow"/>
        </w:rPr>
      </w:pPr>
      <w:r w:rsidRPr="00F65005">
        <w:t xml:space="preserve">Going </w:t>
      </w:r>
      <w:r w:rsidRPr="003F5D80">
        <w:t>forward please can consideration be given to adding new medicines to the specified medicines list for designated pharmacist prescribers at the point where the medicine is given authorisation for distribution within N</w:t>
      </w:r>
      <w:r>
        <w:t xml:space="preserve">ew </w:t>
      </w:r>
      <w:r w:rsidRPr="003F5D80">
        <w:t>Z</w:t>
      </w:r>
      <w:r>
        <w:t>ealand</w:t>
      </w:r>
      <w:r w:rsidRPr="003F5D80">
        <w:t xml:space="preserve">. This will mean that the list is a living document and will allow it to </w:t>
      </w:r>
      <w:r>
        <w:t>‘</w:t>
      </w:r>
      <w:r w:rsidRPr="003F5D80">
        <w:t>keep up with</w:t>
      </w:r>
      <w:r>
        <w:t>’</w:t>
      </w:r>
      <w:r w:rsidRPr="003F5D80">
        <w:t xml:space="preserve"> changes in the optimal medicine treatment of N</w:t>
      </w:r>
      <w:r>
        <w:t xml:space="preserve">ew </w:t>
      </w:r>
      <w:r w:rsidRPr="003F5D80">
        <w:t>Z</w:t>
      </w:r>
      <w:r>
        <w:t>ealande</w:t>
      </w:r>
      <w:r w:rsidRPr="003F5D80">
        <w:t>rs.</w:t>
      </w:r>
    </w:p>
    <w:p w14:paraId="3DC93468" w14:textId="77777777" w:rsidR="00CA60F5" w:rsidRPr="003F5D80" w:rsidRDefault="00CA60F5" w:rsidP="00CA60F5">
      <w:pPr>
        <w:pStyle w:val="Box"/>
        <w:spacing w:before="0"/>
        <w:jc w:val="right"/>
      </w:pPr>
      <w:r w:rsidRPr="003F5D80">
        <w:t>Respondent</w:t>
      </w:r>
    </w:p>
    <w:p w14:paraId="3DC93469" w14:textId="77777777" w:rsidR="00CA60F5" w:rsidRDefault="00CA60F5" w:rsidP="00CA60F5"/>
    <w:p w14:paraId="3DC9346A" w14:textId="77777777" w:rsidR="004A0C97" w:rsidRDefault="004A0C97" w:rsidP="00CA60F5">
      <w:r w:rsidRPr="00D429D9">
        <w:t xml:space="preserve">One of the solutions offered was to remove the need for a </w:t>
      </w:r>
      <w:r w:rsidR="00F062F2">
        <w:t>‘</w:t>
      </w:r>
      <w:r w:rsidRPr="00D429D9">
        <w:t>schedule</w:t>
      </w:r>
      <w:r w:rsidR="00F062F2">
        <w:t>’</w:t>
      </w:r>
      <w:r w:rsidRPr="00D429D9">
        <w:t xml:space="preserve"> and include the class of medicines instead.</w:t>
      </w:r>
      <w:r>
        <w:t xml:space="preserve"> </w:t>
      </w:r>
      <w:r w:rsidRPr="0058136D">
        <w:t xml:space="preserve">The suggestion was to amend the definition of </w:t>
      </w:r>
      <w:r w:rsidR="00F062F2">
        <w:t>‘</w:t>
      </w:r>
      <w:r w:rsidRPr="0058136D">
        <w:t>specified prescription medicines</w:t>
      </w:r>
      <w:r w:rsidR="00F062F2">
        <w:t>’</w:t>
      </w:r>
      <w:r w:rsidRPr="0058136D">
        <w:t xml:space="preserve"> under regulation 4 of the Medicines (Designated Pharmacist Prescribers) Regulations 2013 to include a medicine that </w:t>
      </w:r>
      <w:r w:rsidR="00F062F2">
        <w:t>‘</w:t>
      </w:r>
      <w:r w:rsidRPr="0058136D">
        <w:t>belongs to a class or description of prescription medicines that are specified for prescription by pharmacist prescribers</w:t>
      </w:r>
      <w:r w:rsidR="00F062F2">
        <w:t>’</w:t>
      </w:r>
      <w:r w:rsidRPr="0058136D">
        <w:t>, which occurs already, for example, under the Medicines (Designated Prescriber—Registered Nurses) Regulations 2016.</w:t>
      </w:r>
    </w:p>
    <w:p w14:paraId="3DC9346B" w14:textId="77777777" w:rsidR="00CA60F5" w:rsidRDefault="004A0C97" w:rsidP="00CA60F5">
      <w:pPr>
        <w:pStyle w:val="Heading3"/>
        <w:spacing w:before="600"/>
        <w:rPr>
          <w:rFonts w:eastAsiaTheme="minorHAnsi"/>
          <w:lang w:eastAsia="en-US"/>
        </w:rPr>
      </w:pPr>
      <w:r w:rsidRPr="00D429D9">
        <w:rPr>
          <w:rFonts w:eastAsiaTheme="minorHAnsi"/>
          <w:lang w:eastAsia="en-US"/>
        </w:rPr>
        <w:lastRenderedPageBreak/>
        <w:t>Reasons why respondents supported changing this requirement can be grouped under two major themes: medicine access equity; and the difficult or resource-intensive nature of the review process</w:t>
      </w:r>
    </w:p>
    <w:p w14:paraId="3DC9346C" w14:textId="77777777" w:rsidR="004A0C97" w:rsidRPr="00D429D9" w:rsidRDefault="004A0C97" w:rsidP="00CA60F5">
      <w:pPr>
        <w:pStyle w:val="Heading4"/>
        <w:rPr>
          <w:rFonts w:eastAsiaTheme="minorHAnsi"/>
          <w:lang w:eastAsia="en-US"/>
        </w:rPr>
      </w:pPr>
      <w:r w:rsidRPr="00D429D9">
        <w:rPr>
          <w:rFonts w:eastAsiaTheme="minorHAnsi"/>
          <w:lang w:eastAsia="en-US"/>
        </w:rPr>
        <w:t>Medicine access equity</w:t>
      </w:r>
      <w:r w:rsidRPr="00CA60F5">
        <w:rPr>
          <w:rStyle w:val="FootnoteReference"/>
          <w:rFonts w:eastAsiaTheme="minorHAnsi"/>
        </w:rPr>
        <w:footnoteReference w:id="4"/>
      </w:r>
    </w:p>
    <w:p w14:paraId="3DC9346D" w14:textId="77777777" w:rsidR="00F062F2" w:rsidRDefault="004A0C97" w:rsidP="00CA60F5">
      <w:pPr>
        <w:rPr>
          <w:rFonts w:eastAsiaTheme="minorHAnsi"/>
          <w:lang w:eastAsia="en-US"/>
        </w:rPr>
      </w:pPr>
      <w:r w:rsidRPr="00D429D9">
        <w:rPr>
          <w:rFonts w:eastAsiaTheme="minorHAnsi"/>
          <w:lang w:eastAsia="en-US"/>
        </w:rPr>
        <w:t>We have received anecdotal evidence showing the need for pharmacists to prescribe medicines such as empagliflozin. If the schedule is not updated in a timely manner, treatment for patients requiring empagliflozin is delayed while they are waiting for authorised prescribers to write their prescriptions. This is of concern as many pharmacist prescribers work in clinics serving high-needs or rural populations where it can be difficult to arrange for patients to return to collect a prescription.</w:t>
      </w:r>
    </w:p>
    <w:p w14:paraId="3DC9346E" w14:textId="77777777" w:rsidR="004A0C97" w:rsidRPr="00D429D9" w:rsidRDefault="004A0C97" w:rsidP="00CA60F5">
      <w:pPr>
        <w:rPr>
          <w:rFonts w:eastAsiaTheme="minorHAnsi"/>
          <w:lang w:eastAsia="en-US"/>
        </w:rPr>
      </w:pPr>
    </w:p>
    <w:p w14:paraId="3DC9346F" w14:textId="77777777" w:rsidR="00F062F2" w:rsidRDefault="004A0C97" w:rsidP="00CA60F5">
      <w:pPr>
        <w:rPr>
          <w:rFonts w:eastAsiaTheme="minorHAnsi"/>
          <w:lang w:eastAsia="en-US"/>
        </w:rPr>
      </w:pPr>
      <w:r w:rsidRPr="00D429D9">
        <w:rPr>
          <w:rFonts w:eastAsiaTheme="minorHAnsi"/>
          <w:lang w:eastAsia="en-US"/>
        </w:rPr>
        <w:t xml:space="preserve">As a prescriber professional body highlights, </w:t>
      </w:r>
      <w:r w:rsidR="00F062F2">
        <w:rPr>
          <w:rFonts w:eastAsiaTheme="minorHAnsi"/>
          <w:lang w:eastAsia="en-US"/>
        </w:rPr>
        <w:t>‘</w:t>
      </w:r>
      <w:r w:rsidRPr="00D429D9">
        <w:rPr>
          <w:rFonts w:eastAsiaTheme="minorHAnsi"/>
          <w:lang w:eastAsia="en-US"/>
        </w:rPr>
        <w:t>inclusion [of a medicine in the list] does not imply these medicines will be prescribed by pharmacist prescribers</w:t>
      </w:r>
      <w:r w:rsidR="00F062F2">
        <w:rPr>
          <w:rFonts w:eastAsiaTheme="minorHAnsi"/>
          <w:lang w:eastAsia="en-US"/>
        </w:rPr>
        <w:t>’</w:t>
      </w:r>
      <w:r w:rsidRPr="00D429D9">
        <w:rPr>
          <w:rFonts w:eastAsiaTheme="minorHAnsi"/>
          <w:lang w:eastAsia="en-US"/>
        </w:rPr>
        <w:t xml:space="preserve">. This is consistent with the daily practice of authorised prescribers such as dentists and medical practitioners, who under legislation can prescribe </w:t>
      </w:r>
      <w:r w:rsidRPr="0042335E">
        <w:rPr>
          <w:rFonts w:eastAsiaTheme="minorHAnsi"/>
          <w:b/>
          <w:lang w:eastAsia="en-US"/>
        </w:rPr>
        <w:t>any</w:t>
      </w:r>
      <w:r w:rsidRPr="00D429D9">
        <w:rPr>
          <w:rFonts w:eastAsiaTheme="minorHAnsi"/>
          <w:i/>
          <w:lang w:eastAsia="en-US"/>
        </w:rPr>
        <w:t xml:space="preserve"> </w:t>
      </w:r>
      <w:r w:rsidRPr="00D429D9">
        <w:rPr>
          <w:rFonts w:eastAsiaTheme="minorHAnsi"/>
          <w:lang w:eastAsia="en-US"/>
        </w:rPr>
        <w:t>medicine but they only prescribe medicines within their scope of practice. The professional body also notes the current process of updating the schedule makes it harder to realise the benefits of pharmacist-prescribing, particularly when unanticipated medicines gain Medsafe approval between now and the next update.</w:t>
      </w:r>
    </w:p>
    <w:p w14:paraId="3DC93470" w14:textId="77777777" w:rsidR="00CA60F5" w:rsidRDefault="00CA60F5" w:rsidP="00CA60F5">
      <w:pPr>
        <w:rPr>
          <w:rFonts w:eastAsiaTheme="minorHAnsi"/>
          <w:lang w:eastAsia="en-US"/>
        </w:rPr>
      </w:pPr>
    </w:p>
    <w:p w14:paraId="3DC93471" w14:textId="77777777" w:rsidR="00CA60F5" w:rsidRPr="00535A5B" w:rsidRDefault="00CA60F5" w:rsidP="00CA60F5">
      <w:pPr>
        <w:pStyle w:val="Box"/>
      </w:pPr>
      <w:r w:rsidRPr="00535A5B">
        <w:t>Pharmacist prescribers work in a variety of practice settings. Many are working in general practices with high unmet need, such as Very Low Cost Access (VLCA) practices, marae-based clinics and in secondary care. Pharmacist prescribers therefore need to be able to prescribe from the full range of medicines in order to meet the individual needs of their patient to optimise their medicines and help them get the best possible health outcomes from medicines.</w:t>
      </w:r>
    </w:p>
    <w:p w14:paraId="3DC93472" w14:textId="77777777" w:rsidR="00CA60F5" w:rsidRPr="00535A5B" w:rsidRDefault="00CA60F5" w:rsidP="00CA60F5">
      <w:pPr>
        <w:pStyle w:val="Box"/>
        <w:spacing w:before="0"/>
        <w:jc w:val="right"/>
      </w:pPr>
      <w:r w:rsidRPr="00535A5B">
        <w:t>Professional body</w:t>
      </w:r>
    </w:p>
    <w:p w14:paraId="3DC93473" w14:textId="77777777" w:rsidR="00CA60F5" w:rsidRDefault="00CA60F5" w:rsidP="00CA60F5">
      <w:pPr>
        <w:rPr>
          <w:rFonts w:eastAsiaTheme="minorHAnsi"/>
          <w:lang w:eastAsia="en-US"/>
        </w:rPr>
      </w:pPr>
    </w:p>
    <w:p w14:paraId="3DC93474" w14:textId="77777777" w:rsidR="00F062F2" w:rsidRDefault="004A0C97" w:rsidP="00CA60F5">
      <w:pPr>
        <w:pStyle w:val="Heading4"/>
        <w:rPr>
          <w:rFonts w:eastAsiaTheme="minorHAnsi"/>
          <w:lang w:eastAsia="en-US"/>
        </w:rPr>
      </w:pPr>
      <w:r w:rsidRPr="00D429D9">
        <w:rPr>
          <w:rFonts w:eastAsiaTheme="minorHAnsi"/>
          <w:lang w:eastAsia="en-US"/>
        </w:rPr>
        <w:t>Difficult or resource-intensive process</w:t>
      </w:r>
    </w:p>
    <w:p w14:paraId="3DC93475" w14:textId="77777777" w:rsidR="00F062F2" w:rsidRDefault="004A0C97" w:rsidP="00CA60F5">
      <w:pPr>
        <w:keepNext/>
        <w:rPr>
          <w:rFonts w:eastAsiaTheme="minorHAnsi"/>
          <w:lang w:eastAsia="en-US"/>
        </w:rPr>
      </w:pPr>
      <w:r w:rsidRPr="00D429D9">
        <w:rPr>
          <w:rFonts w:eastAsiaTheme="minorHAnsi"/>
          <w:lang w:eastAsia="en-US"/>
        </w:rPr>
        <w:t xml:space="preserve">Other respondents have pointed out the process required to add medicines to the schedule is resource intensive and difficult and cannot feasibly be conducted in a </w:t>
      </w:r>
      <w:r w:rsidRPr="00D429D9">
        <w:rPr>
          <w:rFonts w:eastAsiaTheme="minorHAnsi"/>
          <w:lang w:eastAsia="en-US"/>
        </w:rPr>
        <w:lastRenderedPageBreak/>
        <w:t>timely manner. As mentioned in the Introduction, the schedule has not been updated since its inception in 2013.</w:t>
      </w:r>
    </w:p>
    <w:p w14:paraId="3DC93476" w14:textId="77777777" w:rsidR="004A0C97" w:rsidRDefault="004A0C97" w:rsidP="00CA60F5">
      <w:pPr>
        <w:keepNext/>
      </w:pPr>
    </w:p>
    <w:p w14:paraId="3DC93477" w14:textId="77777777" w:rsidR="00CA60F5" w:rsidRPr="00B70C1F" w:rsidRDefault="00CA60F5" w:rsidP="00CA60F5">
      <w:pPr>
        <w:pStyle w:val="Box"/>
      </w:pPr>
      <w:r w:rsidRPr="00ED495A">
        <w:t>The required consultation process creates a barrier and delays access to new medicines for patients and potentially fragment</w:t>
      </w:r>
      <w:r>
        <w:t>s</w:t>
      </w:r>
      <w:r w:rsidRPr="00ED495A">
        <w:t xml:space="preserve"> </w:t>
      </w:r>
      <w:r w:rsidRPr="00B70C1F">
        <w:t>care. New medicines become available frequently and it is not feasible under the current system to allocate the required amount of time and resources into starting a consultation process often enough so as to keep up with the rapidly developing prescribing guidelines involving up-to-date pharmaceuticals. It is a waste of resources for everyone.</w:t>
      </w:r>
    </w:p>
    <w:p w14:paraId="3DC93478" w14:textId="77777777" w:rsidR="00CA60F5" w:rsidRPr="00B70C1F" w:rsidRDefault="00CA60F5" w:rsidP="00CA60F5">
      <w:pPr>
        <w:pStyle w:val="Box"/>
      </w:pPr>
      <w:r w:rsidRPr="00B70C1F">
        <w:t xml:space="preserve">We are hopeful that in the new Therapeutic Products legislation a better, more streamlined, less resource-heavy approach will be taken. In the meantime, we suggest that pharmacist prescribers regulations be amended so that the definition of </w:t>
      </w:r>
      <w:r>
        <w:t>‘</w:t>
      </w:r>
      <w:r w:rsidRPr="00B70C1F">
        <w:t>specified prescription medicine</w:t>
      </w:r>
      <w:r>
        <w:t>’</w:t>
      </w:r>
      <w:r w:rsidRPr="00B70C1F">
        <w:t xml:space="preserve"> include classes of drugs as well, such as the case under the regulations in relation to registered nurse prescribers. This would promote a better system that could potentially require less frequent updates</w:t>
      </w:r>
      <w:r w:rsidRPr="00D429D9">
        <w:t>.</w:t>
      </w:r>
    </w:p>
    <w:p w14:paraId="3DC93479" w14:textId="77777777" w:rsidR="00CA60F5" w:rsidRPr="00B70C1F" w:rsidRDefault="00CA60F5" w:rsidP="00CA60F5">
      <w:pPr>
        <w:pStyle w:val="Box"/>
        <w:jc w:val="right"/>
      </w:pPr>
      <w:r w:rsidRPr="00B70C1F">
        <w:t>Respondent</w:t>
      </w:r>
    </w:p>
    <w:p w14:paraId="3DC9347A" w14:textId="77777777" w:rsidR="00CA60F5" w:rsidRPr="00D429D9" w:rsidRDefault="00CA60F5" w:rsidP="00CA60F5"/>
    <w:p w14:paraId="3DC9347B" w14:textId="77777777" w:rsidR="00F062F2" w:rsidRDefault="004A0C97" w:rsidP="00CA60F5">
      <w:pPr>
        <w:pStyle w:val="Heading2"/>
        <w:rPr>
          <w:rFonts w:eastAsia="MS Gothic"/>
        </w:rPr>
      </w:pPr>
      <w:bookmarkStart w:id="33" w:name="_Toc80014995"/>
      <w:bookmarkStart w:id="34" w:name="_Toc84936525"/>
      <w:bookmarkStart w:id="35" w:name="_Ref86303299"/>
      <w:bookmarkStart w:id="36" w:name="_Toc86657205"/>
      <w:r w:rsidRPr="00D429D9">
        <w:rPr>
          <w:rFonts w:eastAsia="MS Gothic"/>
          <w:szCs w:val="36"/>
        </w:rPr>
        <w:t>Unapproved</w:t>
      </w:r>
      <w:r w:rsidRPr="00D429D9">
        <w:rPr>
          <w:rFonts w:eastAsia="MS Gothic"/>
        </w:rPr>
        <w:t xml:space="preserve"> medicines</w:t>
      </w:r>
      <w:bookmarkEnd w:id="33"/>
      <w:bookmarkEnd w:id="34"/>
      <w:bookmarkEnd w:id="35"/>
      <w:bookmarkEnd w:id="36"/>
    </w:p>
    <w:p w14:paraId="3DC9347C" w14:textId="77777777" w:rsidR="00421B9D" w:rsidRPr="0006238A" w:rsidRDefault="00421B9D" w:rsidP="00421B9D">
      <w:pPr>
        <w:pStyle w:val="Box"/>
      </w:pPr>
      <w:r w:rsidRPr="00B70C1F">
        <w:t>With COVID-19 and ongoing stock shortages and changes, this has highlighted the inadequacy of the current process of section 29 unregistered medications in N</w:t>
      </w:r>
      <w:r>
        <w:t xml:space="preserve">ew </w:t>
      </w:r>
      <w:r w:rsidRPr="00B70C1F">
        <w:t>Z</w:t>
      </w:r>
      <w:r>
        <w:t>ealand</w:t>
      </w:r>
      <w:r w:rsidRPr="00B70C1F">
        <w:t xml:space="preserve"> and both pharmacist prescribers and nurse practitioners not being legally allowed to prescribe these medications. This is putting barriers to patient care and affecting health outcomes especially when a medication may not have been a section 29 medication on the first dispensing but is on subsequent dispensing</w:t>
      </w:r>
      <w:r>
        <w:t>’</w:t>
      </w:r>
      <w:r w:rsidRPr="00B70C1F">
        <w:t>s. Again we seek a review and mitigation of this to allow both pharmacist prescribers and nurse practitioners to be allow</w:t>
      </w:r>
      <w:r>
        <w:t>ed</w:t>
      </w:r>
      <w:r w:rsidRPr="00B70C1F">
        <w:t xml:space="preserve"> </w:t>
      </w:r>
      <w:r w:rsidRPr="0006238A">
        <w:t>to prescribe section</w:t>
      </w:r>
      <w:r>
        <w:t> </w:t>
      </w:r>
      <w:r w:rsidRPr="0006238A">
        <w:t>29 medicines with some urgency</w:t>
      </w:r>
      <w:r w:rsidRPr="00D429D9">
        <w:t>.</w:t>
      </w:r>
    </w:p>
    <w:p w14:paraId="3DC9347D" w14:textId="77777777" w:rsidR="00421B9D" w:rsidRPr="0006238A" w:rsidRDefault="00421B9D" w:rsidP="00421B9D">
      <w:pPr>
        <w:pStyle w:val="Box"/>
        <w:spacing w:before="0"/>
        <w:jc w:val="right"/>
      </w:pPr>
      <w:r w:rsidRPr="0006238A">
        <w:t>Respondent</w:t>
      </w:r>
    </w:p>
    <w:p w14:paraId="3DC9347E" w14:textId="77777777" w:rsidR="004A0C97" w:rsidRPr="00D429D9" w:rsidRDefault="004A0C97" w:rsidP="00421B9D"/>
    <w:p w14:paraId="3DC9347F" w14:textId="77777777" w:rsidR="004A0C97" w:rsidRDefault="004A0C97" w:rsidP="00421B9D">
      <w:r w:rsidRPr="00D429D9">
        <w:t>Legislation does not currently permit designated pharmacist prescribers to prescribe unapproved medicines under section 29 of the Medicines Act 1981. While all the medicines on the proposed medicines list held current prescription or controlled drug classification, not all medicines had a Medsafe-approved brand.</w:t>
      </w:r>
    </w:p>
    <w:p w14:paraId="3DC93480" w14:textId="77777777" w:rsidR="00421B9D" w:rsidRPr="00D429D9" w:rsidRDefault="00421B9D" w:rsidP="00421B9D"/>
    <w:p w14:paraId="3DC93481" w14:textId="77777777" w:rsidR="004A0C97" w:rsidRPr="00D429D9" w:rsidRDefault="004A0C97" w:rsidP="00421B9D">
      <w:pPr>
        <w:keepLines/>
      </w:pPr>
      <w:r w:rsidRPr="00D429D9">
        <w:lastRenderedPageBreak/>
        <w:t>Unapproved medicines were included as a practical measure to provide a level of future-proofing for the schedules. Limiting the proposed list to medicines with only currently approved brands available would result in the list becoming out of date almost as soon as it is gazetted. A prime example is dulaglutide, a medicine to manage type 2 diabetes. During the consultation period, Medsafe was processing an application for approval of Trulicity.</w:t>
      </w:r>
      <w:r w:rsidRPr="00421B9D">
        <w:rPr>
          <w:rStyle w:val="FootnoteReference"/>
        </w:rPr>
        <w:footnoteReference w:id="5"/>
      </w:r>
      <w:r w:rsidRPr="00D429D9">
        <w:t xml:space="preserve"> Approval was granted on 12 August 2021. If this medicine had been left out of the consultation, the public would not have been able to access this medicine through designated pharmacist prescribers until the next review of the schedules. Because designated pharmacist prescribers may not prescribe unapproved medicines, scheduling of medicines without an approved brand does not bypass any safeguards, but does allow potential access once a brand gains Medsafe approval.</w:t>
      </w:r>
    </w:p>
    <w:p w14:paraId="3DC93482" w14:textId="77777777" w:rsidR="00421B9D" w:rsidRDefault="00421B9D" w:rsidP="00421B9D"/>
    <w:p w14:paraId="3DC93483" w14:textId="77777777" w:rsidR="004A0C97" w:rsidRPr="00D429D9" w:rsidRDefault="004A0C97" w:rsidP="00421B9D">
      <w:r w:rsidRPr="00D429D9">
        <w:t xml:space="preserve">Section 20 of the Medicines Act 1981 requires that ministerial consent (delegated to Medsafe) is given before any medicine can be sold, supplied, distributed or advertised in New Zealand. These medicines are often referred as </w:t>
      </w:r>
      <w:r w:rsidR="00F062F2">
        <w:t>‘</w:t>
      </w:r>
      <w:r w:rsidRPr="00D429D9">
        <w:t>approved medicines</w:t>
      </w:r>
      <w:r w:rsidR="00F062F2">
        <w:t>’</w:t>
      </w:r>
      <w:r w:rsidRPr="00D429D9">
        <w:t>.</w:t>
      </w:r>
    </w:p>
    <w:p w14:paraId="3DC93484" w14:textId="77777777" w:rsidR="004A0C97" w:rsidRPr="00D429D9" w:rsidRDefault="004A0C97" w:rsidP="00421B9D"/>
    <w:p w14:paraId="3DC93485" w14:textId="77777777" w:rsidR="00F062F2" w:rsidRDefault="004A0C97" w:rsidP="00421B9D">
      <w:r w:rsidRPr="00D429D9">
        <w:t xml:space="preserve">However, some patients may require treatment with medicines for which consent has not been granted (known as </w:t>
      </w:r>
      <w:r w:rsidR="00F062F2">
        <w:t>‘</w:t>
      </w:r>
      <w:r w:rsidRPr="00D429D9">
        <w:t>unapproved medicines</w:t>
      </w:r>
      <w:r w:rsidR="00F062F2">
        <w:t>’</w:t>
      </w:r>
      <w:r w:rsidRPr="00D429D9">
        <w:t>). Medicines may also need to be used for indications or in ways that are different to the approved use (as described in the medicine</w:t>
      </w:r>
      <w:r w:rsidR="00F062F2">
        <w:t>’</w:t>
      </w:r>
      <w:r w:rsidRPr="00D429D9">
        <w:t>s data sheet). Provisions in the Medicines Act 1981 allow unapproved medicines to be obtained or administered, and allow approved medicines to be used outside their approved use.</w:t>
      </w:r>
    </w:p>
    <w:p w14:paraId="3DC93486" w14:textId="77777777" w:rsidR="004A0C97" w:rsidRPr="00D429D9" w:rsidRDefault="004A0C97" w:rsidP="00421B9D"/>
    <w:p w14:paraId="3DC93487" w14:textId="77777777" w:rsidR="004A0C97" w:rsidRPr="00D429D9" w:rsidRDefault="004A0C97" w:rsidP="00421B9D">
      <w:r w:rsidRPr="00D429D9">
        <w:t>Section 29 of the Medicines Act 1981 only allows the sale or supply of unapproved medicines to registered medical practitioners. Some in the sector support amending the legislation to enable pharmacist prescribers to prescribe these unapproved medicines. However, others in the sector oppose allowing pharmacist prescribers to prescribe unapproved medicines. The main reason for their opposition is that Medsafe has not assessed the</w:t>
      </w:r>
      <w:r w:rsidRPr="00D429D9">
        <w:rPr>
          <w:color w:val="FF0000"/>
        </w:rPr>
        <w:t xml:space="preserve"> </w:t>
      </w:r>
      <w:r w:rsidRPr="00D429D9">
        <w:t>quality, efficacy and safety of unapproved medicines.</w:t>
      </w:r>
    </w:p>
    <w:p w14:paraId="3DC93488" w14:textId="77777777" w:rsidR="004A0C97" w:rsidRPr="00D429D9" w:rsidRDefault="004A0C97" w:rsidP="00421B9D"/>
    <w:p w14:paraId="3DC93489" w14:textId="77777777" w:rsidR="00F062F2" w:rsidRDefault="004A0C97" w:rsidP="00421B9D">
      <w:r w:rsidRPr="00D429D9">
        <w:t>It is important to note that although pharmacist prescribers are not legally permitted to prescribe unapproved medicines, Medsafe provides clear guidance about the use, prescribing and dispensing of these unapproved or section 29 medicines.</w:t>
      </w:r>
      <w:r w:rsidRPr="00421B9D">
        <w:rPr>
          <w:rStyle w:val="FootnoteReference"/>
        </w:rPr>
        <w:footnoteReference w:id="6"/>
      </w:r>
    </w:p>
    <w:p w14:paraId="3DC9348A" w14:textId="77777777" w:rsidR="004A0C97" w:rsidRPr="00D429D9" w:rsidRDefault="004A0C97" w:rsidP="00421B9D">
      <w:pPr>
        <w:rPr>
          <w:rFonts w:eastAsiaTheme="minorHAnsi"/>
        </w:rPr>
      </w:pPr>
    </w:p>
    <w:p w14:paraId="3DC9348B" w14:textId="77777777" w:rsidR="00F062F2" w:rsidRDefault="004A0C97" w:rsidP="00421B9D">
      <w:pPr>
        <w:rPr>
          <w:rFonts w:eastAsiaTheme="minorHAnsi"/>
          <w:lang w:eastAsia="en-US"/>
        </w:rPr>
      </w:pPr>
      <w:r w:rsidRPr="00D429D9">
        <w:rPr>
          <w:rFonts w:eastAsiaTheme="minorHAnsi"/>
          <w:lang w:eastAsia="en-US"/>
        </w:rPr>
        <w:t>Although the subject is outside of the scope of this consultation, many individuals have voiced concern about stock issues where unapproved medicines have replaced commonly used approved medicines because the COVID-19 pandemic has disrupted global medicine supply chains. These unapproved versions of approved medicines still can only be prescribed by medical practitioners, potentially reducing access to them in populations that rely on non-medical prescribing.</w:t>
      </w:r>
    </w:p>
    <w:p w14:paraId="3DC9348C" w14:textId="77777777" w:rsidR="00421B9D" w:rsidRDefault="00421B9D" w:rsidP="00421B9D">
      <w:pPr>
        <w:rPr>
          <w:rFonts w:eastAsiaTheme="minorHAnsi"/>
          <w:lang w:eastAsia="en-US"/>
        </w:rPr>
      </w:pPr>
    </w:p>
    <w:p w14:paraId="3DC9348D" w14:textId="77777777" w:rsidR="00F062F2" w:rsidRDefault="004A0C97" w:rsidP="00421B9D">
      <w:pPr>
        <w:pStyle w:val="Heading2"/>
        <w:rPr>
          <w:rFonts w:eastAsia="MS Gothic"/>
        </w:rPr>
      </w:pPr>
      <w:bookmarkStart w:id="37" w:name="_Toc84936526"/>
      <w:bookmarkStart w:id="38" w:name="_Toc86657206"/>
      <w:r w:rsidRPr="00D429D9">
        <w:rPr>
          <w:rFonts w:eastAsia="MS Gothic"/>
        </w:rPr>
        <w:lastRenderedPageBreak/>
        <w:t>Period of supply for controlled drugs</w:t>
      </w:r>
      <w:bookmarkEnd w:id="37"/>
      <w:bookmarkEnd w:id="38"/>
    </w:p>
    <w:p w14:paraId="3DC9348E" w14:textId="77777777" w:rsidR="00F062F2" w:rsidRDefault="004A0C97" w:rsidP="00421B9D">
      <w:pPr>
        <w:rPr>
          <w:rFonts w:eastAsiaTheme="minorHAnsi"/>
          <w:lang w:eastAsia="en-US"/>
        </w:rPr>
      </w:pPr>
      <w:r w:rsidRPr="00D429D9">
        <w:rPr>
          <w:rFonts w:eastAsiaTheme="minorHAnsi"/>
          <w:lang w:eastAsia="en-US"/>
        </w:rPr>
        <w:t>Regulation 21(5)(b) of the Misuse of Drugs Regulations 1977 permits pharmacist prescribers to only prescribe up to a maximum of three days</w:t>
      </w:r>
      <w:r w:rsidR="00F062F2">
        <w:rPr>
          <w:rFonts w:eastAsiaTheme="minorHAnsi"/>
          <w:lang w:eastAsia="en-US"/>
        </w:rPr>
        <w:t>’</w:t>
      </w:r>
      <w:r w:rsidRPr="00D429D9">
        <w:rPr>
          <w:rFonts w:eastAsiaTheme="minorHAnsi"/>
          <w:lang w:eastAsia="en-US"/>
        </w:rPr>
        <w:t xml:space="preserve"> supply of a Class B or C controlled drug. This is in contrast with what is allowed for:</w:t>
      </w:r>
    </w:p>
    <w:p w14:paraId="3DC9348F" w14:textId="77777777" w:rsidR="00F062F2" w:rsidRDefault="004A0C97" w:rsidP="00421B9D">
      <w:pPr>
        <w:pStyle w:val="Bullet"/>
        <w:rPr>
          <w:rFonts w:eastAsiaTheme="minorHAnsi"/>
          <w:lang w:eastAsia="en-US"/>
        </w:rPr>
      </w:pPr>
      <w:r w:rsidRPr="00D429D9">
        <w:rPr>
          <w:rFonts w:eastAsiaTheme="minorHAnsi"/>
          <w:lang w:eastAsia="en-US"/>
        </w:rPr>
        <w:t>medical and nurse practitioners, and veterinarians (one month for Class B, three</w:t>
      </w:r>
      <w:r w:rsidR="00421B9D">
        <w:rPr>
          <w:rFonts w:eastAsiaTheme="minorHAnsi"/>
          <w:lang w:eastAsia="en-US"/>
        </w:rPr>
        <w:t> </w:t>
      </w:r>
      <w:r w:rsidRPr="00D429D9">
        <w:rPr>
          <w:rFonts w:eastAsiaTheme="minorHAnsi"/>
          <w:lang w:eastAsia="en-US"/>
        </w:rPr>
        <w:t>months for Class C)</w:t>
      </w:r>
    </w:p>
    <w:p w14:paraId="3DC93490" w14:textId="77777777" w:rsidR="004A0C97" w:rsidRPr="00D429D9" w:rsidRDefault="004A0C97" w:rsidP="00421B9D">
      <w:pPr>
        <w:pStyle w:val="Bullet"/>
        <w:rPr>
          <w:rFonts w:eastAsiaTheme="minorHAnsi"/>
          <w:lang w:eastAsia="en-US"/>
        </w:rPr>
      </w:pPr>
      <w:r w:rsidRPr="00D429D9">
        <w:rPr>
          <w:rFonts w:eastAsiaTheme="minorHAnsi"/>
          <w:lang w:eastAsia="en-US"/>
        </w:rPr>
        <w:t>dentists (seven days for both classes)</w:t>
      </w:r>
    </w:p>
    <w:p w14:paraId="3DC93491" w14:textId="77777777" w:rsidR="00F062F2" w:rsidRDefault="004A0C97" w:rsidP="00421B9D">
      <w:pPr>
        <w:pStyle w:val="Bullet"/>
        <w:rPr>
          <w:rFonts w:eastAsiaTheme="minorHAnsi"/>
          <w:lang w:eastAsia="en-US"/>
        </w:rPr>
      </w:pPr>
      <w:r w:rsidRPr="00D429D9">
        <w:rPr>
          <w:rFonts w:eastAsiaTheme="minorHAnsi"/>
          <w:lang w:eastAsia="en-US"/>
        </w:rPr>
        <w:t>midwives (can only prescribe pethidine, morphine and fentanyl for one month maximum).</w:t>
      </w:r>
    </w:p>
    <w:p w14:paraId="3DC93492" w14:textId="77777777" w:rsidR="004A0C97" w:rsidRPr="00D429D9" w:rsidRDefault="004A0C97" w:rsidP="00421B9D">
      <w:pPr>
        <w:rPr>
          <w:rFonts w:eastAsiaTheme="minorHAnsi"/>
          <w:lang w:eastAsia="en-US"/>
        </w:rPr>
      </w:pPr>
    </w:p>
    <w:p w14:paraId="3DC93493" w14:textId="77777777" w:rsidR="00F062F2" w:rsidRDefault="004A0C97" w:rsidP="00421B9D">
      <w:pPr>
        <w:rPr>
          <w:rFonts w:eastAsiaTheme="minorHAnsi"/>
          <w:lang w:eastAsia="en-US"/>
        </w:rPr>
      </w:pPr>
      <w:r w:rsidRPr="00D429D9">
        <w:rPr>
          <w:rFonts w:eastAsiaTheme="minorHAnsi"/>
          <w:lang w:eastAsia="en-US"/>
        </w:rPr>
        <w:t>Several pharmacists have commented that this restriction is a barrier to accessibility as it limits pharmacists</w:t>
      </w:r>
      <w:r w:rsidR="00F062F2">
        <w:rPr>
          <w:rFonts w:eastAsiaTheme="minorHAnsi"/>
          <w:lang w:eastAsia="en-US"/>
        </w:rPr>
        <w:t>’</w:t>
      </w:r>
      <w:r w:rsidRPr="00D429D9">
        <w:rPr>
          <w:rFonts w:eastAsiaTheme="minorHAnsi"/>
          <w:lang w:eastAsia="en-US"/>
        </w:rPr>
        <w:t xml:space="preserve"> ability to prescribe enough medicine to cover patient needs. Settings in which this has been a problem include postoperative pain management, sleep management with benzodiazepines in acute settings, and opioid-substitution treatment clinics.</w:t>
      </w:r>
    </w:p>
    <w:p w14:paraId="3DC93494" w14:textId="77777777" w:rsidR="00421B9D" w:rsidRDefault="00421B9D" w:rsidP="00421B9D">
      <w:pPr>
        <w:rPr>
          <w:rFonts w:eastAsiaTheme="minorHAnsi"/>
          <w:lang w:eastAsia="en-US"/>
        </w:rPr>
      </w:pPr>
    </w:p>
    <w:p w14:paraId="3DC93495" w14:textId="77777777" w:rsidR="004A0C97" w:rsidRDefault="004A0C97" w:rsidP="00421B9D">
      <w:r w:rsidRPr="00D429D9">
        <w:t>The review of the current period of supply for controlled drugs by prescribing pharmacists is outside the scope of this consultation.</w:t>
      </w:r>
      <w:r w:rsidRPr="00D429D9">
        <w:rPr>
          <w:color w:val="FF0000"/>
        </w:rPr>
        <w:t xml:space="preserve"> </w:t>
      </w:r>
      <w:r w:rsidRPr="00D429D9">
        <w:t>The legislative work programme does not include any planned updates or changes to the Misuse of Drugs Regulations 1977 in this area, so pharmacist prescribers must keep to the current maximum period of three days</w:t>
      </w:r>
      <w:r w:rsidR="00F062F2">
        <w:t>’</w:t>
      </w:r>
      <w:r w:rsidRPr="00D429D9">
        <w:t xml:space="preserve"> supply. Feedback from this consultation advocating for future changes to this piece of legislation has been forwarded to the Strategy and Policy team within the Ministry. The team is currently working through what changes are required to enable electronic controlled drugs prescriptions.</w:t>
      </w:r>
    </w:p>
    <w:p w14:paraId="3DC93496" w14:textId="77777777" w:rsidR="00421B9D" w:rsidRPr="00D429D9" w:rsidRDefault="00421B9D" w:rsidP="00421B9D"/>
    <w:p w14:paraId="3DC93497" w14:textId="77777777" w:rsidR="00F062F2" w:rsidRDefault="004A0C97" w:rsidP="00421B9D">
      <w:pPr>
        <w:pStyle w:val="Heading2"/>
        <w:rPr>
          <w:rFonts w:eastAsia="MS Gothic"/>
        </w:rPr>
      </w:pPr>
      <w:bookmarkStart w:id="39" w:name="_Toc80014997"/>
      <w:bookmarkStart w:id="40" w:name="_Toc84936527"/>
      <w:bookmarkStart w:id="41" w:name="_Toc86657207"/>
      <w:r w:rsidRPr="00D429D9">
        <w:rPr>
          <w:rFonts w:eastAsia="MS Gothic"/>
        </w:rPr>
        <w:t>Prescribing methylphenidate, a controlled drug with prescribing restrictions</w:t>
      </w:r>
      <w:bookmarkEnd w:id="39"/>
      <w:bookmarkEnd w:id="40"/>
      <w:bookmarkEnd w:id="41"/>
    </w:p>
    <w:p w14:paraId="3DC93498" w14:textId="77777777" w:rsidR="00F062F2" w:rsidRDefault="004A0C97" w:rsidP="00421B9D">
      <w:r w:rsidRPr="00D429D9">
        <w:t xml:space="preserve">One respondent commented on the possibility of adding methylphenidate to the pharmacist prescriber schedule. It is important to note that pharmacist prescribers are currently not legally permitted to prescribe methylphenidate. The respondent stated that, rather than looking to initiate treatment with this medicine, they would be prescribing for the purpose of </w:t>
      </w:r>
      <w:r w:rsidR="00F062F2">
        <w:t>‘</w:t>
      </w:r>
      <w:r w:rsidRPr="00C6598D">
        <w:t>re-charting medication charts, correcting omission on admission to hospital</w:t>
      </w:r>
      <w:r w:rsidR="00421B9D">
        <w:t>,</w:t>
      </w:r>
      <w:r w:rsidRPr="00C6598D">
        <w:t xml:space="preserve"> etc</w:t>
      </w:r>
      <w:r w:rsidR="00F062F2">
        <w:t>’</w:t>
      </w:r>
      <w:r w:rsidRPr="00D429D9">
        <w:t>.</w:t>
      </w:r>
    </w:p>
    <w:p w14:paraId="3DC93499" w14:textId="77777777" w:rsidR="00421B9D" w:rsidRDefault="00421B9D" w:rsidP="00421B9D"/>
    <w:p w14:paraId="3DC9349A" w14:textId="77777777" w:rsidR="004A0C97" w:rsidRPr="00D429D9" w:rsidRDefault="004A0C97" w:rsidP="00421B9D">
      <w:pPr>
        <w:keepLines/>
      </w:pPr>
      <w:r w:rsidRPr="00D429D9">
        <w:lastRenderedPageBreak/>
        <w:t xml:space="preserve">Currently the only practitioners who can prescribe methylphenidate are </w:t>
      </w:r>
      <w:r w:rsidR="00F062F2">
        <w:t>‘</w:t>
      </w:r>
      <w:r w:rsidRPr="00D429D9">
        <w:t>vocational medical practitioners</w:t>
      </w:r>
      <w:r w:rsidR="00F062F2">
        <w:t>’</w:t>
      </w:r>
      <w:r w:rsidRPr="00D429D9">
        <w:t xml:space="preserve"> or any medical or nurse practitioner acting on their written approval. Adding pharmacist prescribers to this list would require ministerial approval under section 22 of the Misuse of Drugs Regulations 1977, which is outside of the scope of this consultation. Feedback from this consultation advocating for future changes to this piece of legislation has been forwarded to the Strategy and Policy team within the Ministry.</w:t>
      </w:r>
    </w:p>
    <w:p w14:paraId="3DC9349B" w14:textId="77777777" w:rsidR="004A0C97" w:rsidRPr="00D429D9" w:rsidRDefault="004A0C97" w:rsidP="00421B9D"/>
    <w:p w14:paraId="3DC9349C" w14:textId="77777777" w:rsidR="004A0C97" w:rsidRPr="00421B9D" w:rsidRDefault="004A0C97" w:rsidP="00421B9D">
      <w:r w:rsidRPr="00D429D9">
        <w:t xml:space="preserve">For more information on prescribing methylphenidate, please visit </w:t>
      </w:r>
      <w:hyperlink r:id="rId23" w:history="1">
        <w:r w:rsidRPr="00D429D9">
          <w:rPr>
            <w:rStyle w:val="Hyperlink"/>
            <w:rFonts w:cs="Segoe UI"/>
            <w:bCs/>
            <w:sz w:val="20"/>
          </w:rPr>
          <w:t>https://www.medsafe.govt.nz/profs/riss/restrict.asp</w:t>
        </w:r>
      </w:hyperlink>
      <w:r w:rsidR="00421B9D" w:rsidRPr="00421B9D">
        <w:t>.</w:t>
      </w:r>
    </w:p>
    <w:p w14:paraId="3DC9349D" w14:textId="77777777" w:rsidR="00421B9D" w:rsidRPr="00D429D9" w:rsidRDefault="00421B9D" w:rsidP="00421B9D"/>
    <w:p w14:paraId="3DC9349E" w14:textId="77777777" w:rsidR="00F062F2" w:rsidRDefault="004A0C97" w:rsidP="00421B9D">
      <w:pPr>
        <w:pStyle w:val="Heading2"/>
        <w:rPr>
          <w:rFonts w:eastAsia="MS Gothic"/>
        </w:rPr>
      </w:pPr>
      <w:bookmarkStart w:id="42" w:name="_Toc84936528"/>
      <w:bookmarkStart w:id="43" w:name="_Toc86657208"/>
      <w:r w:rsidRPr="00D429D9">
        <w:rPr>
          <w:rFonts w:eastAsia="MS Gothic"/>
        </w:rPr>
        <w:t>Prescribing controlled drugs such as benzodiazepine and drugs for opioid substitution therapy</w:t>
      </w:r>
      <w:bookmarkEnd w:id="42"/>
      <w:bookmarkEnd w:id="43"/>
    </w:p>
    <w:p w14:paraId="3DC9349F" w14:textId="77777777" w:rsidR="004A0C97" w:rsidRPr="00D429D9" w:rsidRDefault="004A0C97" w:rsidP="00421B9D">
      <w:r w:rsidRPr="00D429D9">
        <w:t>A respondent commented that benzodiazepine and drugs for opioid substitution treatment should be added to the pharmacist prescriber list. It is important to note that:</w:t>
      </w:r>
    </w:p>
    <w:p w14:paraId="3DC934A0" w14:textId="77777777" w:rsidR="004A0C97" w:rsidRPr="00D429D9" w:rsidRDefault="004A0C97" w:rsidP="00421B9D">
      <w:pPr>
        <w:pStyle w:val="Bullet"/>
      </w:pPr>
      <w:r w:rsidRPr="00D429D9">
        <w:t>benzodiazepines (eg, alprazolam, clobazam, clonazepam) are already listed under Schedule 1B to the Misuse of Drugs Regulations 1977</w:t>
      </w:r>
    </w:p>
    <w:p w14:paraId="3DC934A1" w14:textId="77777777" w:rsidR="004A0C97" w:rsidRPr="00D429D9" w:rsidRDefault="004A0C97" w:rsidP="00421B9D">
      <w:pPr>
        <w:pStyle w:val="Bullet"/>
      </w:pPr>
      <w:r w:rsidRPr="00D429D9">
        <w:t>methadone is listed under Schedule 1B to the Misuse of Drugs Regulations 1977</w:t>
      </w:r>
      <w:r w:rsidRPr="00D429D9" w:rsidDel="007D76E0">
        <w:t xml:space="preserve"> </w:t>
      </w:r>
      <w:r w:rsidRPr="00D429D9">
        <w:t>(number 13 on the list)</w:t>
      </w:r>
    </w:p>
    <w:p w14:paraId="3DC934A2" w14:textId="77777777" w:rsidR="004A0C97" w:rsidRPr="00D429D9" w:rsidRDefault="004A0C97" w:rsidP="00421B9D">
      <w:pPr>
        <w:pStyle w:val="Bullet"/>
      </w:pPr>
      <w:r w:rsidRPr="00D429D9">
        <w:t>buprenorphine is already listed under Schedule 1B to the Misuse of Drugs Regulations 1977</w:t>
      </w:r>
      <w:r w:rsidRPr="00D429D9" w:rsidDel="007D76E0">
        <w:t xml:space="preserve"> </w:t>
      </w:r>
      <w:r w:rsidRPr="00D429D9">
        <w:t>(number 2)</w:t>
      </w:r>
    </w:p>
    <w:p w14:paraId="3DC934A3" w14:textId="77777777" w:rsidR="004A0C97" w:rsidRPr="00D429D9" w:rsidRDefault="004A0C97" w:rsidP="00421B9D">
      <w:pPr>
        <w:pStyle w:val="Bullet"/>
      </w:pPr>
      <w:r w:rsidRPr="00D429D9">
        <w:t>naloxone is already listed under the schedule to the Medicines (Designated Pharmacist Prescribers) Regulations 2013 (number 944).</w:t>
      </w:r>
    </w:p>
    <w:p w14:paraId="3DC934A4" w14:textId="77777777" w:rsidR="004A0C97" w:rsidRDefault="004A0C97" w:rsidP="00421B9D"/>
    <w:p w14:paraId="3DC934A5" w14:textId="77777777" w:rsidR="004A0C97" w:rsidRDefault="004A0C97" w:rsidP="00421B9D">
      <w:r w:rsidRPr="00D429D9">
        <w:t>The medicines the respondent recommended for inclusion are already listed in the respective schedules given above (noting that there is currently a limit on the period of supply for controlled drugs). No further actions on this matter are required.</w:t>
      </w:r>
    </w:p>
    <w:p w14:paraId="3DC934A6" w14:textId="77777777" w:rsidR="00421B9D" w:rsidRPr="00D429D9" w:rsidRDefault="00421B9D" w:rsidP="00421B9D"/>
    <w:p w14:paraId="3DC934A7" w14:textId="77777777" w:rsidR="004A0C97" w:rsidRPr="00D429D9" w:rsidRDefault="004A0C97" w:rsidP="00421B9D">
      <w:pPr>
        <w:pStyle w:val="Heading2"/>
        <w:rPr>
          <w:rFonts w:eastAsia="MS Gothic"/>
        </w:rPr>
      </w:pPr>
      <w:bookmarkStart w:id="44" w:name="_Toc84936529"/>
      <w:bookmarkStart w:id="45" w:name="_Toc86657209"/>
      <w:r w:rsidRPr="00D429D9">
        <w:rPr>
          <w:rFonts w:eastAsia="MS Gothic"/>
        </w:rPr>
        <w:lastRenderedPageBreak/>
        <w:t>Sharing prescribing data</w:t>
      </w:r>
      <w:bookmarkEnd w:id="44"/>
      <w:bookmarkEnd w:id="45"/>
    </w:p>
    <w:p w14:paraId="3DC934A8" w14:textId="77777777" w:rsidR="004A0C97" w:rsidRPr="00D429D9" w:rsidRDefault="004A0C97" w:rsidP="006A54B6">
      <w:pPr>
        <w:keepNext/>
      </w:pPr>
      <w:r w:rsidRPr="00D429D9">
        <w:t>One respondent asked the Ministry to share any data it may have on the extent of current pharmacist prescribing as well as any evidence of the impacts of pharmacist prescribing on access to medicines.</w:t>
      </w:r>
    </w:p>
    <w:p w14:paraId="3DC934A9" w14:textId="77777777" w:rsidR="004A0C97" w:rsidRPr="00D429D9" w:rsidRDefault="004A0C97" w:rsidP="006A54B6">
      <w:pPr>
        <w:keepNext/>
      </w:pPr>
    </w:p>
    <w:p w14:paraId="3DC934AA" w14:textId="7A81C073" w:rsidR="004A0C97" w:rsidRPr="00D429D9" w:rsidRDefault="004A0C97" w:rsidP="00421B9D">
      <w:r w:rsidRPr="00D429D9">
        <w:t>A recent article</w:t>
      </w:r>
      <w:r w:rsidR="00D5210F" w:rsidRPr="00421B9D">
        <w:rPr>
          <w:rStyle w:val="FootnoteReference"/>
        </w:rPr>
        <w:footnoteReference w:id="7"/>
      </w:r>
      <w:r w:rsidRPr="00D429D9">
        <w:t xml:space="preserve"> examined the non-medical prescribing</w:t>
      </w:r>
      <w:r w:rsidRPr="00421B9D">
        <w:rPr>
          <w:rStyle w:val="FootnoteReference"/>
        </w:rPr>
        <w:footnoteReference w:id="8"/>
      </w:r>
      <w:r w:rsidRPr="00D429D9">
        <w:t xml:space="preserve"> (NMP) trends in New Zealand for a </w:t>
      </w:r>
      <w:r w:rsidR="003754BB" w:rsidRPr="003754BB">
        <w:t>four-and-a-half</w:t>
      </w:r>
      <w:r w:rsidRPr="00D429D9">
        <w:t>-year period from 2016 to 2020. It found pharmacist prescribers contributed to 9</w:t>
      </w:r>
      <w:r w:rsidR="003754BB">
        <w:t>%</w:t>
      </w:r>
      <w:r w:rsidRPr="00D429D9">
        <w:t xml:space="preserve"> of all NMP prescriptions during that period overall. Within that period, however, their contributions increased from 2</w:t>
      </w:r>
      <w:r w:rsidR="003754BB">
        <w:t>%</w:t>
      </w:r>
      <w:r w:rsidRPr="00D429D9">
        <w:t xml:space="preserve"> in 2016 to 11</w:t>
      </w:r>
      <w:r w:rsidR="003754BB">
        <w:t>%</w:t>
      </w:r>
      <w:r w:rsidRPr="00D429D9">
        <w:t xml:space="preserve"> in 2019. The proportion of prescriptions written by NMP providers and patients receiving NMP prescriptions also increased from 1.8</w:t>
      </w:r>
      <w:r w:rsidR="003754BB">
        <w:t>%</w:t>
      </w:r>
      <w:r w:rsidRPr="00D429D9">
        <w:t xml:space="preserve"> in 2016 to 14.4</w:t>
      </w:r>
      <w:r w:rsidR="003754BB">
        <w:t>%</w:t>
      </w:r>
      <w:r w:rsidRPr="00D429D9">
        <w:t xml:space="preserve"> in 2019.</w:t>
      </w:r>
    </w:p>
    <w:p w14:paraId="3DC934AB" w14:textId="77777777" w:rsidR="004A0C97" w:rsidRPr="00D429D9" w:rsidRDefault="004A0C97" w:rsidP="00421B9D"/>
    <w:p w14:paraId="3DC934AC" w14:textId="77777777" w:rsidR="004A0C97" w:rsidRPr="00D429D9" w:rsidRDefault="004A0C97" w:rsidP="00421B9D">
      <w:r w:rsidRPr="00D429D9">
        <w:t>The authors commented that NMPs could be further used to reach communities who are experiencing unmet primary health care needs in rural New Zealand. NMP providers could reduce the prescribing burden on GPs and improve access to medicines by prescribing for acute conditions that require pain relief or antibiotics.</w:t>
      </w:r>
    </w:p>
    <w:p w14:paraId="3DC934AD" w14:textId="77777777" w:rsidR="004A0C97" w:rsidRPr="00D429D9" w:rsidRDefault="004A0C97" w:rsidP="00421B9D"/>
    <w:p w14:paraId="3DC934AE" w14:textId="77777777" w:rsidR="00421B9D" w:rsidRPr="00647E29" w:rsidRDefault="00421B9D" w:rsidP="00421B9D">
      <w:pPr>
        <w:pStyle w:val="Box"/>
      </w:pPr>
      <w:r w:rsidRPr="00647E29">
        <w:t>Current N</w:t>
      </w:r>
      <w:r>
        <w:t xml:space="preserve">ew </w:t>
      </w:r>
      <w:r w:rsidRPr="00647E29">
        <w:t>Z</w:t>
      </w:r>
      <w:r>
        <w:t>ealand</w:t>
      </w:r>
      <w:r w:rsidRPr="00647E29">
        <w:t xml:space="preserve"> pharmacist prescriber practice indicates that they prescribe more medicines for long term conditions and for a higher proportion of older patients. N</w:t>
      </w:r>
      <w:r>
        <w:t xml:space="preserve">ew </w:t>
      </w:r>
      <w:r w:rsidRPr="00647E29">
        <w:t>Z</w:t>
      </w:r>
      <w:r>
        <w:t>ealand</w:t>
      </w:r>
      <w:r w:rsidRPr="00647E29">
        <w:t xml:space="preserve"> pharmacist prescribing services could be improved in primary care to help manage the increasing prescribing burden associated with long term conditions and an aging population.</w:t>
      </w:r>
    </w:p>
    <w:p w14:paraId="3DC934AF" w14:textId="657BF08D" w:rsidR="00421B9D" w:rsidRPr="00D429D9" w:rsidRDefault="00421B9D" w:rsidP="00421B9D">
      <w:pPr>
        <w:pStyle w:val="Box"/>
        <w:spacing w:before="0"/>
        <w:jc w:val="right"/>
      </w:pPr>
      <w:r w:rsidRPr="00647E29">
        <w:t>Raghunandan et al</w:t>
      </w:r>
      <w:r w:rsidR="00D5210F">
        <w:t>.</w:t>
      </w:r>
    </w:p>
    <w:p w14:paraId="3DC934B0" w14:textId="77777777" w:rsidR="00421B9D" w:rsidRPr="00D429D9" w:rsidRDefault="00421B9D" w:rsidP="00421B9D">
      <w:pPr>
        <w:rPr>
          <w:rFonts w:eastAsia="MS Gothic"/>
        </w:rPr>
      </w:pPr>
    </w:p>
    <w:p w14:paraId="3DC934B1" w14:textId="77777777" w:rsidR="004A0C97" w:rsidRDefault="004A0C97" w:rsidP="00421B9D">
      <w:pPr>
        <w:rPr>
          <w:rStyle w:val="Hyperlink"/>
          <w:szCs w:val="22"/>
        </w:rPr>
      </w:pPr>
      <w:r w:rsidRPr="00D429D9">
        <w:t xml:space="preserve">There are opportunities for pharmacist prescribers to play a greater role in NMP as the Health and Disability System Reforms (the Reforms) look to develop models of care and funding models to support the new provider networks within Tier 1 locality structures. Key deliverables from the Reforms should break down cultural differences across professions and ensure a collaborative approach to care. For more information about the Reforms, please visit </w:t>
      </w:r>
      <w:hyperlink r:id="rId24" w:history="1">
        <w:r w:rsidRPr="00D429D9">
          <w:rPr>
            <w:rStyle w:val="Hyperlink"/>
            <w:szCs w:val="22"/>
          </w:rPr>
          <w:t>https://dpmc.govt.nz/our-business-units/transition-unit/response-health-and-disability-system-review/information</w:t>
        </w:r>
      </w:hyperlink>
      <w:r w:rsidR="00421B9D">
        <w:rPr>
          <w:rStyle w:val="Hyperlink"/>
          <w:szCs w:val="22"/>
        </w:rPr>
        <w:t>.</w:t>
      </w:r>
    </w:p>
    <w:p w14:paraId="3DC934B2" w14:textId="77777777" w:rsidR="00421B9D" w:rsidRPr="00D429D9" w:rsidRDefault="00421B9D" w:rsidP="00421B9D">
      <w:pPr>
        <w:rPr>
          <w:rFonts w:eastAsia="MS Gothic"/>
        </w:rPr>
      </w:pPr>
    </w:p>
    <w:p w14:paraId="3DC934B3" w14:textId="77777777" w:rsidR="00F062F2" w:rsidRDefault="004A0C97" w:rsidP="00421B9D">
      <w:pPr>
        <w:pStyle w:val="Heading2"/>
        <w:rPr>
          <w:rFonts w:eastAsia="MS Gothic"/>
        </w:rPr>
      </w:pPr>
      <w:bookmarkStart w:id="46" w:name="_Toc84936530"/>
      <w:bookmarkStart w:id="47" w:name="_Toc86657210"/>
      <w:r w:rsidRPr="00D429D9">
        <w:rPr>
          <w:rFonts w:eastAsia="MS Gothic"/>
        </w:rPr>
        <w:lastRenderedPageBreak/>
        <w:t>Queries about pharmacy prescriber practice</w:t>
      </w:r>
      <w:bookmarkEnd w:id="46"/>
      <w:bookmarkEnd w:id="47"/>
    </w:p>
    <w:p w14:paraId="3DC934B4" w14:textId="77777777" w:rsidR="004A0C97" w:rsidRPr="00D429D9" w:rsidRDefault="004A0C97" w:rsidP="006A54B6">
      <w:pPr>
        <w:keepLines/>
      </w:pPr>
      <w:r w:rsidRPr="00D429D9">
        <w:t>We forwarded a small number of respondents</w:t>
      </w:r>
      <w:r w:rsidR="00F062F2">
        <w:t>’</w:t>
      </w:r>
      <w:r w:rsidRPr="00D429D9">
        <w:t xml:space="preserve"> questions to the Council for response. One respondent asked for clarification on whether individual schedule entries would prevent pharmacists from prescribing combination products. The Council clarified that a combination entry is not required to prescribe a combination product, though all active ingredients in the combination product must be scheduled.</w:t>
      </w:r>
    </w:p>
    <w:p w14:paraId="3DC934B5" w14:textId="77777777" w:rsidR="00421B9D" w:rsidRDefault="00421B9D" w:rsidP="00421B9D"/>
    <w:p w14:paraId="3DC934B6" w14:textId="77777777" w:rsidR="004A0C97" w:rsidRPr="00D429D9" w:rsidRDefault="004A0C97" w:rsidP="00421B9D">
      <w:r w:rsidRPr="00D429D9">
        <w:t>Another respondent asked for clarification on what the process of compiling the list involved. The Council provided the details of the process as described in the Introduction.</w:t>
      </w:r>
    </w:p>
    <w:p w14:paraId="3DC934B7" w14:textId="77777777" w:rsidR="00421B9D" w:rsidRDefault="00421B9D" w:rsidP="00421B9D"/>
    <w:p w14:paraId="3DC934B8" w14:textId="2DA5178B" w:rsidR="004A0C97" w:rsidRPr="00D429D9" w:rsidRDefault="004A0C97" w:rsidP="00421B9D">
      <w:r w:rsidRPr="00D429D9">
        <w:t xml:space="preserve">Two other respondents asked for the rationale behind the medicines included in the obstetrics, gynaecology and urinary-tract disorders category. The response outlined the defined and collaborative environment in which designated pharmacist prescribers work, and the additional safeguards in place to ensure patient safety. For more detail on the submissions on medicines in the obstetrics, gynaecology and urinary-tract disorders category, see </w:t>
      </w:r>
      <w:r w:rsidRPr="00512812">
        <w:t xml:space="preserve">Section </w:t>
      </w:r>
      <w:r w:rsidR="00512812" w:rsidRPr="00512812">
        <w:fldChar w:fldCharType="begin"/>
      </w:r>
      <w:r w:rsidR="00512812" w:rsidRPr="00512812">
        <w:instrText xml:space="preserve"> REF _Ref86303352 \r \h </w:instrText>
      </w:r>
      <w:r w:rsidR="00512812">
        <w:instrText xml:space="preserve"> \* MERGEFORMAT </w:instrText>
      </w:r>
      <w:r w:rsidR="00512812" w:rsidRPr="00512812">
        <w:fldChar w:fldCharType="separate"/>
      </w:r>
      <w:r w:rsidR="00D172A7">
        <w:rPr>
          <w:cs/>
        </w:rPr>
        <w:t>‎</w:t>
      </w:r>
      <w:r w:rsidR="00D172A7">
        <w:t>3.9</w:t>
      </w:r>
      <w:r w:rsidR="00512812" w:rsidRPr="00512812">
        <w:fldChar w:fldCharType="end"/>
      </w:r>
      <w:r w:rsidRPr="00512812">
        <w:t>.</w:t>
      </w:r>
    </w:p>
    <w:p w14:paraId="3DC934B9" w14:textId="77777777" w:rsidR="004A0C97" w:rsidRPr="00D429D9" w:rsidRDefault="004A0C97" w:rsidP="005B2BCF"/>
    <w:p w14:paraId="3DC934BA" w14:textId="77777777" w:rsidR="00F062F2" w:rsidRPr="005B2BCF" w:rsidRDefault="004A0C97" w:rsidP="005B2BCF">
      <w:pPr>
        <w:pStyle w:val="Heading1"/>
        <w:rPr>
          <w:rFonts w:eastAsia="MS Gothic"/>
        </w:rPr>
      </w:pPr>
      <w:bookmarkStart w:id="48" w:name="_Toc80015001"/>
      <w:bookmarkStart w:id="49" w:name="_Toc84936531"/>
      <w:bookmarkStart w:id="50" w:name="_Toc86657211"/>
      <w:r w:rsidRPr="00D429D9">
        <w:rPr>
          <w:rFonts w:eastAsia="MS Gothic"/>
        </w:rPr>
        <w:lastRenderedPageBreak/>
        <w:t>Analysis by therapeutic class</w:t>
      </w:r>
      <w:bookmarkEnd w:id="48"/>
      <w:bookmarkEnd w:id="49"/>
      <w:bookmarkEnd w:id="50"/>
    </w:p>
    <w:p w14:paraId="3DC934BB" w14:textId="77777777" w:rsidR="004A0C97" w:rsidRDefault="004A0C97" w:rsidP="005B2BCF">
      <w:r w:rsidRPr="00D429D9">
        <w:t xml:space="preserve">The Pharmacy team </w:t>
      </w:r>
      <w:r>
        <w:t>grouped</w:t>
      </w:r>
      <w:r w:rsidRPr="00D429D9">
        <w:t xml:space="preserve"> the data collected in the comments and free text sections of the submissions</w:t>
      </w:r>
      <w:r>
        <w:t xml:space="preserve"> by therapeutic class.</w:t>
      </w:r>
      <w:r w:rsidR="00F062F2">
        <w:t xml:space="preserve"> </w:t>
      </w:r>
      <w:r>
        <w:t>Comments about specific medicines have been mentioned by respondents have been included for clarity.</w:t>
      </w:r>
    </w:p>
    <w:p w14:paraId="3DC934BC" w14:textId="77777777" w:rsidR="005B2BCF" w:rsidRPr="00686F24" w:rsidRDefault="005B2BCF" w:rsidP="005B2BCF">
      <w:pPr>
        <w:rPr>
          <w:rFonts w:eastAsia="MS Gothic"/>
        </w:rPr>
      </w:pPr>
    </w:p>
    <w:p w14:paraId="3DC934BD" w14:textId="77777777" w:rsidR="004A0C97" w:rsidRPr="00D429D9" w:rsidRDefault="004A0C97" w:rsidP="005B2BCF">
      <w:pPr>
        <w:pStyle w:val="Heading2"/>
      </w:pPr>
      <w:bookmarkStart w:id="51" w:name="_Toc84936532"/>
      <w:bookmarkStart w:id="52" w:name="_Toc86657212"/>
      <w:bookmarkStart w:id="53" w:name="_Toc76028263"/>
      <w:r w:rsidRPr="00D429D9">
        <w:t>Musculoskeletal and joint diseases</w:t>
      </w:r>
      <w:bookmarkEnd w:id="51"/>
      <w:bookmarkEnd w:id="52"/>
    </w:p>
    <w:p w14:paraId="3DC934BE" w14:textId="77777777" w:rsidR="004A0C97" w:rsidRDefault="004A0C97" w:rsidP="005B2BCF">
      <w:r w:rsidRPr="00D429D9">
        <w:t>No submissions opposed the inclusion of medicines in the musculoskeletal and joint diseases category.</w:t>
      </w:r>
    </w:p>
    <w:p w14:paraId="3DC934BF" w14:textId="77777777" w:rsidR="005B2BCF" w:rsidRPr="00D429D9" w:rsidRDefault="005B2BCF" w:rsidP="005B2BCF"/>
    <w:p w14:paraId="3DC934C0" w14:textId="77777777" w:rsidR="00F062F2" w:rsidRDefault="004A0C97" w:rsidP="005B2BCF">
      <w:pPr>
        <w:pStyle w:val="Heading2"/>
      </w:pPr>
      <w:bookmarkStart w:id="54" w:name="_Toc84936533"/>
      <w:bookmarkStart w:id="55" w:name="_Toc86657213"/>
      <w:r w:rsidRPr="00D429D9">
        <w:t>Respiratory system</w:t>
      </w:r>
      <w:bookmarkEnd w:id="54"/>
      <w:bookmarkEnd w:id="55"/>
    </w:p>
    <w:p w14:paraId="3DC934C1" w14:textId="77777777" w:rsidR="004A0C97" w:rsidRDefault="004A0C97" w:rsidP="005B2BCF">
      <w:r w:rsidRPr="00D429D9">
        <w:t>No submissions opposed the inclusion of medicines in the respiratory system category.</w:t>
      </w:r>
    </w:p>
    <w:p w14:paraId="3DC934C2" w14:textId="77777777" w:rsidR="005B2BCF" w:rsidRPr="00D429D9" w:rsidRDefault="005B2BCF" w:rsidP="005B2BCF"/>
    <w:p w14:paraId="3DC934C3" w14:textId="77777777" w:rsidR="004A0C97" w:rsidRPr="00D429D9" w:rsidRDefault="004A0C97" w:rsidP="005B2BCF">
      <w:pPr>
        <w:pStyle w:val="Heading2"/>
      </w:pPr>
      <w:bookmarkStart w:id="56" w:name="_Toc84936534"/>
      <w:bookmarkStart w:id="57" w:name="_Toc86657214"/>
      <w:r w:rsidRPr="00D429D9">
        <w:t>Central nervous system</w:t>
      </w:r>
      <w:bookmarkEnd w:id="56"/>
      <w:bookmarkEnd w:id="57"/>
    </w:p>
    <w:p w14:paraId="3DC934C4" w14:textId="77777777" w:rsidR="004A0C97" w:rsidRPr="00D429D9" w:rsidRDefault="004A0C97" w:rsidP="005B2BCF">
      <w:pPr>
        <w:pStyle w:val="Heading3"/>
      </w:pPr>
      <w:r w:rsidRPr="00D429D9">
        <w:t>Cannabidiol (CBD)</w:t>
      </w:r>
    </w:p>
    <w:p w14:paraId="3DC934C5" w14:textId="77777777" w:rsidR="00F062F2" w:rsidRDefault="004A0C97" w:rsidP="005B2BCF">
      <w:r w:rsidRPr="00D429D9">
        <w:t>Two respondents had concerns about the inclusion of cannabidiol on the list. Although both respondents shared the view that only specialists should prescribe cannabidiol, their reasons for it were different.</w:t>
      </w:r>
    </w:p>
    <w:p w14:paraId="3DC934C6" w14:textId="77777777" w:rsidR="004A0C97" w:rsidRPr="00D429D9" w:rsidRDefault="004A0C97" w:rsidP="005B2BCF"/>
    <w:p w14:paraId="3DC934C7" w14:textId="77777777" w:rsidR="004A0C97" w:rsidRPr="00D429D9" w:rsidRDefault="004A0C97" w:rsidP="005B2BCF">
      <w:r w:rsidRPr="00D429D9">
        <w:t xml:space="preserve">One felt a specialist is required to </w:t>
      </w:r>
      <w:r w:rsidR="00F062F2">
        <w:t>‘</w:t>
      </w:r>
      <w:r w:rsidRPr="00D429D9">
        <w:t>comprehensively assess the client</w:t>
      </w:r>
      <w:r w:rsidR="00F062F2">
        <w:t>’</w:t>
      </w:r>
      <w:r w:rsidRPr="00D429D9">
        <w:t>s motivation to want to use CBD products, as well as assessing their clinical need. Given that there are many individuals with huge variety of conditions who may want to trial CBD products to see if they are suitable to assist.</w:t>
      </w:r>
      <w:r w:rsidR="00F062F2">
        <w:t>’</w:t>
      </w:r>
    </w:p>
    <w:p w14:paraId="3DC934C8" w14:textId="77777777" w:rsidR="004A0C97" w:rsidRPr="00D429D9" w:rsidRDefault="004A0C97" w:rsidP="005B2BCF"/>
    <w:p w14:paraId="3DC934C9" w14:textId="77777777" w:rsidR="004A0C97" w:rsidRDefault="004A0C97" w:rsidP="005B2BCF">
      <w:pPr>
        <w:keepNext/>
      </w:pPr>
      <w:r w:rsidRPr="00D429D9">
        <w:t xml:space="preserve">The other felt cannabidiol should not be scheduled because the medicine is not funded, nor widely included in clinical guidelines. They also felt including and prescribing it would contradict the </w:t>
      </w:r>
      <w:r w:rsidR="00F062F2">
        <w:t>‘</w:t>
      </w:r>
      <w:r w:rsidRPr="00D429D9">
        <w:t xml:space="preserve">ethical principle that Pharmacist Prescribers must </w:t>
      </w:r>
      <w:r w:rsidRPr="00D429D9">
        <w:lastRenderedPageBreak/>
        <w:t>be evidence-based in your prescribing practice and prescribe in accordance with accepted best practice and any relevant local and national guidelines</w:t>
      </w:r>
      <w:r w:rsidR="00F062F2">
        <w:t>’</w:t>
      </w:r>
      <w:r w:rsidRPr="00D429D9">
        <w:t>.</w:t>
      </w:r>
    </w:p>
    <w:p w14:paraId="3DC934CA" w14:textId="77777777" w:rsidR="005B2BCF" w:rsidRPr="00D429D9" w:rsidRDefault="005B2BCF" w:rsidP="005B2BCF"/>
    <w:p w14:paraId="3DC934CB" w14:textId="77777777" w:rsidR="00F062F2" w:rsidRDefault="004A0C97" w:rsidP="005B2BCF">
      <w:pPr>
        <w:pStyle w:val="Heading3"/>
      </w:pPr>
      <w:r w:rsidRPr="00D429D9">
        <w:t>Esketamine</w:t>
      </w:r>
    </w:p>
    <w:p w14:paraId="3DC934CC" w14:textId="77777777" w:rsidR="00F062F2" w:rsidRDefault="004A0C97" w:rsidP="005B2BCF">
      <w:r w:rsidRPr="00D429D9">
        <w:t xml:space="preserve">One respondent was against including esketamine on the list, noting esketamine </w:t>
      </w:r>
      <w:r w:rsidR="00F062F2">
        <w:t>‘</w:t>
      </w:r>
      <w:r w:rsidRPr="00D429D9">
        <w:t>is a very specialized drug</w:t>
      </w:r>
      <w:r w:rsidR="00F062F2">
        <w:t>’</w:t>
      </w:r>
      <w:r w:rsidRPr="00D429D9">
        <w:t xml:space="preserve"> and is </w:t>
      </w:r>
      <w:r w:rsidR="00F062F2">
        <w:t>‘</w:t>
      </w:r>
      <w:r w:rsidRPr="00D429D9">
        <w:t>currently infrequently prescribed due to the intensive time required for supervision and monitoring</w:t>
      </w:r>
      <w:r w:rsidR="00F062F2">
        <w:t>’</w:t>
      </w:r>
      <w:r w:rsidRPr="00D429D9">
        <w:t xml:space="preserve">. They also thought </w:t>
      </w:r>
      <w:r w:rsidR="00F062F2">
        <w:t>‘</w:t>
      </w:r>
      <w:r w:rsidRPr="00D429D9">
        <w:t>a specialist mental health provider has to assess and diagnose the mental health condition, trial numerous other medications before esketamine would be considered an option</w:t>
      </w:r>
      <w:r w:rsidR="00F062F2">
        <w:t>’</w:t>
      </w:r>
      <w:r w:rsidRPr="00D429D9">
        <w:t>.</w:t>
      </w:r>
    </w:p>
    <w:p w14:paraId="3DC934CD" w14:textId="77777777" w:rsidR="005B2BCF" w:rsidRDefault="005B2BCF" w:rsidP="005B2BCF"/>
    <w:p w14:paraId="3DC934CE" w14:textId="77777777" w:rsidR="004A0C97" w:rsidRPr="00D429D9" w:rsidRDefault="004A0C97" w:rsidP="005B2BCF">
      <w:pPr>
        <w:pStyle w:val="Heading3"/>
      </w:pPr>
      <w:r w:rsidRPr="00D429D9">
        <w:t>Ziprasidone</w:t>
      </w:r>
    </w:p>
    <w:p w14:paraId="3DC934CF" w14:textId="77777777" w:rsidR="004A0C97" w:rsidRDefault="004A0C97" w:rsidP="005B2BCF">
      <w:r w:rsidRPr="00D429D9">
        <w:t xml:space="preserve">Another respondent opposed the inclusion of ziprasidone as it is </w:t>
      </w:r>
      <w:r w:rsidR="00F062F2">
        <w:t>‘</w:t>
      </w:r>
      <w:r w:rsidRPr="00D429D9">
        <w:t>an atypical antipsychotic that is seldomly used. It could be fifth line treatment that is almost always commenced following involvement of a specialist and multidisciplinary team (MDT).</w:t>
      </w:r>
      <w:r w:rsidR="00F062F2">
        <w:t>’</w:t>
      </w:r>
    </w:p>
    <w:p w14:paraId="3DC934D0" w14:textId="77777777" w:rsidR="005B2BCF" w:rsidRPr="00D429D9" w:rsidRDefault="005B2BCF" w:rsidP="005B2BCF"/>
    <w:p w14:paraId="3DC934D1" w14:textId="77777777" w:rsidR="004A0C97" w:rsidRPr="00D429D9" w:rsidRDefault="004A0C97" w:rsidP="005B2BCF">
      <w:pPr>
        <w:pStyle w:val="Heading2"/>
      </w:pPr>
      <w:bookmarkStart w:id="58" w:name="_Toc84936535"/>
      <w:bookmarkStart w:id="59" w:name="_Toc86657215"/>
      <w:r w:rsidRPr="00D429D9">
        <w:t>Immunological products and vaccines</w:t>
      </w:r>
      <w:bookmarkEnd w:id="58"/>
      <w:bookmarkEnd w:id="59"/>
    </w:p>
    <w:p w14:paraId="3DC934D2" w14:textId="77777777" w:rsidR="004A0C97" w:rsidRPr="00D429D9" w:rsidRDefault="004A0C97" w:rsidP="005B2BCF">
      <w:r w:rsidRPr="00D429D9">
        <w:t>No submissions opposed the inclusion of medicines in the immunological products and vaccines category.</w:t>
      </w:r>
    </w:p>
    <w:p w14:paraId="3DC934D3" w14:textId="77777777" w:rsidR="004A0C97" w:rsidRPr="00D429D9" w:rsidRDefault="004A0C97" w:rsidP="005B2BCF"/>
    <w:p w14:paraId="3DC934D4" w14:textId="77777777" w:rsidR="00F062F2" w:rsidRDefault="004A0C97" w:rsidP="005B2BCF">
      <w:r w:rsidRPr="00D429D9">
        <w:t>Several respondents supported initiatives that increase the access to vaccines.</w:t>
      </w:r>
    </w:p>
    <w:p w14:paraId="3DC934D5" w14:textId="77777777" w:rsidR="005B2BCF" w:rsidRDefault="005B2BCF" w:rsidP="005B2BCF"/>
    <w:p w14:paraId="3DC934D6" w14:textId="77777777" w:rsidR="004A0C97" w:rsidRPr="00D429D9" w:rsidRDefault="004A0C97" w:rsidP="005B2BCF">
      <w:pPr>
        <w:pStyle w:val="Heading2"/>
        <w:ind w:right="-567"/>
      </w:pPr>
      <w:bookmarkStart w:id="60" w:name="_Toc84936536"/>
      <w:bookmarkStart w:id="61" w:name="_Toc86657216"/>
      <w:r w:rsidRPr="00D429D9">
        <w:t>Endocrine system and emergency treatment of poisoning</w:t>
      </w:r>
      <w:bookmarkEnd w:id="60"/>
      <w:bookmarkEnd w:id="61"/>
    </w:p>
    <w:p w14:paraId="3DC934D7" w14:textId="77777777" w:rsidR="004A0C97" w:rsidRPr="00D429D9" w:rsidRDefault="004A0C97" w:rsidP="005B2BCF">
      <w:r w:rsidRPr="00D429D9">
        <w:t>No submissions opposed the inclusion of medicines in the endocrine system and emergency treatment of poisoning category.</w:t>
      </w:r>
    </w:p>
    <w:p w14:paraId="3DC934D8" w14:textId="77777777" w:rsidR="004A0C97" w:rsidRPr="00D429D9" w:rsidRDefault="004A0C97" w:rsidP="005B2BCF"/>
    <w:p w14:paraId="3DC934D9" w14:textId="77777777" w:rsidR="004A0C97" w:rsidRDefault="004A0C97" w:rsidP="005B2BCF">
      <w:r w:rsidRPr="00D429D9">
        <w:t>One respondent supported adding fomepizole to the list to treat toxic alcohol poisoning.</w:t>
      </w:r>
    </w:p>
    <w:p w14:paraId="3DC934DA" w14:textId="77777777" w:rsidR="005B2BCF" w:rsidRPr="00D429D9" w:rsidRDefault="005B2BCF" w:rsidP="005B2BCF"/>
    <w:p w14:paraId="3DC934DB" w14:textId="77777777" w:rsidR="00F062F2" w:rsidRDefault="004A0C97" w:rsidP="005B2BCF">
      <w:pPr>
        <w:pStyle w:val="Heading2"/>
      </w:pPr>
      <w:bookmarkStart w:id="62" w:name="_Toc84936537"/>
      <w:bookmarkStart w:id="63" w:name="_Toc86657217"/>
      <w:r w:rsidRPr="00D429D9">
        <w:lastRenderedPageBreak/>
        <w:t>Malignant disease and immunosuppression</w:t>
      </w:r>
      <w:bookmarkEnd w:id="62"/>
      <w:bookmarkEnd w:id="63"/>
    </w:p>
    <w:p w14:paraId="3DC934DC" w14:textId="77777777" w:rsidR="004A0C97" w:rsidRPr="00D429D9" w:rsidRDefault="004A0C97" w:rsidP="005B2BCF">
      <w:r w:rsidRPr="00D429D9">
        <w:t>No submissions explicitly opposed the inclusion of medicines in the malignant disease and immunosuppression category.</w:t>
      </w:r>
    </w:p>
    <w:p w14:paraId="3DC934DD" w14:textId="77777777" w:rsidR="004A0C97" w:rsidRPr="00D429D9" w:rsidRDefault="004A0C97" w:rsidP="005B2BCF"/>
    <w:p w14:paraId="3DC934DE" w14:textId="77777777" w:rsidR="004A0C97" w:rsidRDefault="004A0C97" w:rsidP="005B2BCF">
      <w:r w:rsidRPr="00D429D9">
        <w:t xml:space="preserve">One respondent did comment that most medicines in this category were </w:t>
      </w:r>
      <w:r w:rsidR="00F062F2">
        <w:t>‘</w:t>
      </w:r>
      <w:r w:rsidRPr="00D429D9">
        <w:t>biologics</w:t>
      </w:r>
      <w:r w:rsidR="00F062F2">
        <w:t>’</w:t>
      </w:r>
      <w:r w:rsidRPr="00D429D9">
        <w:t xml:space="preserve"> and thus extremely expensive. The respondent recommended that these medicines should be </w:t>
      </w:r>
      <w:r w:rsidR="00F062F2">
        <w:t>‘</w:t>
      </w:r>
      <w:r w:rsidRPr="00D429D9">
        <w:t>prescribed only by specialists</w:t>
      </w:r>
      <w:r w:rsidRPr="005B2BCF">
        <w:rPr>
          <w:rStyle w:val="FootnoteReference"/>
        </w:rPr>
        <w:footnoteReference w:id="9"/>
      </w:r>
      <w:r w:rsidRPr="00D429D9">
        <w:t xml:space="preserve"> with explicit knowledge and training in their use</w:t>
      </w:r>
      <w:r w:rsidR="00F062F2">
        <w:t>’</w:t>
      </w:r>
      <w:r w:rsidRPr="00D429D9">
        <w:t>.</w:t>
      </w:r>
    </w:p>
    <w:p w14:paraId="3DC934DF" w14:textId="77777777" w:rsidR="005B2BCF" w:rsidRPr="00D429D9" w:rsidRDefault="005B2BCF" w:rsidP="005B2BCF"/>
    <w:p w14:paraId="3DC934E0" w14:textId="77777777" w:rsidR="004A0C97" w:rsidRPr="00D429D9" w:rsidRDefault="004A0C97" w:rsidP="005B2BCF">
      <w:pPr>
        <w:pStyle w:val="Heading2"/>
      </w:pPr>
      <w:bookmarkStart w:id="64" w:name="_Toc84936538"/>
      <w:bookmarkStart w:id="65" w:name="_Toc86657218"/>
      <w:r w:rsidRPr="00D429D9">
        <w:t>Nutrition and blood</w:t>
      </w:r>
      <w:bookmarkEnd w:id="64"/>
      <w:bookmarkEnd w:id="65"/>
    </w:p>
    <w:p w14:paraId="3DC934E1" w14:textId="77777777" w:rsidR="004A0C97" w:rsidRDefault="004A0C97" w:rsidP="005B2BCF">
      <w:r w:rsidRPr="00D429D9">
        <w:t>No submissions opposed the inclusion of medicines in the nutrition and blood category.</w:t>
      </w:r>
    </w:p>
    <w:p w14:paraId="3DC934E2" w14:textId="77777777" w:rsidR="005B2BCF" w:rsidRPr="00D429D9" w:rsidRDefault="005B2BCF" w:rsidP="005B2BCF"/>
    <w:p w14:paraId="3DC934E3" w14:textId="77777777" w:rsidR="004A0C97" w:rsidRPr="00D429D9" w:rsidRDefault="004A0C97" w:rsidP="005B2BCF">
      <w:pPr>
        <w:pStyle w:val="Heading2"/>
      </w:pPr>
      <w:bookmarkStart w:id="66" w:name="_Toc84936539"/>
      <w:bookmarkStart w:id="67" w:name="_Toc86657219"/>
      <w:r w:rsidRPr="00D429D9">
        <w:t>Infections</w:t>
      </w:r>
      <w:bookmarkEnd w:id="66"/>
      <w:bookmarkEnd w:id="67"/>
    </w:p>
    <w:p w14:paraId="3DC934E4" w14:textId="77777777" w:rsidR="004A0C97" w:rsidRDefault="004A0C97" w:rsidP="005B2BCF">
      <w:r w:rsidRPr="00D429D9">
        <w:t xml:space="preserve">Although not explicitly against including any medicines on this list, one respondent noted that </w:t>
      </w:r>
      <w:r w:rsidR="00F062F2">
        <w:t>‘</w:t>
      </w:r>
      <w:r w:rsidRPr="00D429D9">
        <w:t>many antivirals have marginal benefits and much like antibiotics, have significant potential for over-prescribing. Once again we could hope there is significant control over indications and prescriptions of these medications</w:t>
      </w:r>
      <w:r w:rsidR="005B2BCF">
        <w:t>’</w:t>
      </w:r>
      <w:r w:rsidRPr="00D429D9">
        <w:t>.</w:t>
      </w:r>
    </w:p>
    <w:p w14:paraId="3DC934E5" w14:textId="77777777" w:rsidR="005B2BCF" w:rsidRPr="00D429D9" w:rsidRDefault="005B2BCF" w:rsidP="005B2BCF"/>
    <w:p w14:paraId="3DC934E6" w14:textId="77777777" w:rsidR="004A0C97" w:rsidRPr="00D429D9" w:rsidRDefault="004A0C97" w:rsidP="005B2BCF">
      <w:pPr>
        <w:pStyle w:val="Heading2"/>
      </w:pPr>
      <w:bookmarkStart w:id="68" w:name="_Toc84936540"/>
      <w:bookmarkStart w:id="69" w:name="_Ref86303352"/>
      <w:bookmarkStart w:id="70" w:name="_Toc86657220"/>
      <w:r w:rsidRPr="00D429D9">
        <w:t>Obstetrics, gynaecology and urinary-tract disorders</w:t>
      </w:r>
      <w:bookmarkEnd w:id="68"/>
      <w:bookmarkEnd w:id="69"/>
      <w:bookmarkEnd w:id="70"/>
    </w:p>
    <w:p w14:paraId="3DC934E7" w14:textId="77777777" w:rsidR="00F062F2" w:rsidRDefault="004A0C97" w:rsidP="005B2BCF">
      <w:r w:rsidRPr="00D429D9">
        <w:t>A total of 11 submissions from the obstetrics and gynaecology sector were against the inclusion of carboprost, dinoprostone and mifepristone in the list. Nearly all of these respondents stated that carboprost and dinoprostone are point-of-care medicines used in medical emergencies and a pharmacist should not be providing care in that situation. Two respondents pointed to the need for considerable clinical assessment and investigation before prescribing mifepristone, along with the need for further psychological support and potentially surgical intervention after its use, all of which pharmacists are not well placed to provide.</w:t>
      </w:r>
    </w:p>
    <w:p w14:paraId="3DC934E8" w14:textId="77777777" w:rsidR="005B2BCF" w:rsidRPr="00D429D9" w:rsidRDefault="005B2BCF" w:rsidP="005B2BCF"/>
    <w:p w14:paraId="3DC934E9" w14:textId="77777777" w:rsidR="00F062F2" w:rsidRDefault="004A0C97" w:rsidP="005B2BCF">
      <w:r w:rsidRPr="00D429D9">
        <w:lastRenderedPageBreak/>
        <w:t xml:space="preserve">One medical professional body was in favour of including mifepristone. It noted that </w:t>
      </w:r>
      <w:r w:rsidR="00F062F2">
        <w:t>‘</w:t>
      </w:r>
      <w:r w:rsidRPr="00D429D9">
        <w:t>widening access through pharmacist prescribers will allow easier access for people in need and contribute to reducing location-based inequity in access to abortion services throughout Aotearoa New Zealand</w:t>
      </w:r>
      <w:r w:rsidR="00F062F2">
        <w:t>’</w:t>
      </w:r>
      <w:r w:rsidRPr="00D429D9">
        <w:t>.</w:t>
      </w:r>
    </w:p>
    <w:p w14:paraId="3DC934EA" w14:textId="77777777" w:rsidR="004A0C97" w:rsidRPr="00D429D9" w:rsidRDefault="004A0C97" w:rsidP="005B2BCF"/>
    <w:p w14:paraId="3DC934EB" w14:textId="77777777" w:rsidR="004A0C97" w:rsidRDefault="004A0C97" w:rsidP="005B2BCF">
      <w:r w:rsidRPr="00D429D9">
        <w:t>Although pharmacists are working within obstetrics and gynaecology teams currently, they are not designated pharmacist prescribers. However, new roles for designated pharmacist prescribers are constantly being developed and pioneered and there is no reason why a designated pharmacist could not be a member of such a team in the future. In that role, a designated pharmacist prescriber would have the competence to prescribe relevant medicines and be working within workplace authority and protocols; the team itself would include midwifery and/or obstetrics experience.</w:t>
      </w:r>
    </w:p>
    <w:p w14:paraId="3DC934EC" w14:textId="77777777" w:rsidR="005B2BCF" w:rsidRPr="00D429D9" w:rsidRDefault="005B2BCF" w:rsidP="005B2BCF"/>
    <w:p w14:paraId="3DC934ED" w14:textId="77777777" w:rsidR="004A0C97" w:rsidRPr="00D429D9" w:rsidRDefault="004A0C97" w:rsidP="005B2BCF">
      <w:pPr>
        <w:pStyle w:val="Heading2"/>
        <w:ind w:left="1134" w:hanging="1134"/>
      </w:pPr>
      <w:bookmarkStart w:id="71" w:name="_Toc84936541"/>
      <w:bookmarkStart w:id="72" w:name="_Toc86657221"/>
      <w:r w:rsidRPr="00D429D9">
        <w:t>Cardiovascular system</w:t>
      </w:r>
      <w:bookmarkEnd w:id="71"/>
      <w:bookmarkEnd w:id="72"/>
    </w:p>
    <w:p w14:paraId="3DC934EE" w14:textId="77777777" w:rsidR="004A0C97" w:rsidRDefault="004A0C97" w:rsidP="005B2BCF">
      <w:r w:rsidRPr="00D429D9">
        <w:t>No submissions opposed the inclusion of medicines in the cardiovascular system category.</w:t>
      </w:r>
    </w:p>
    <w:p w14:paraId="3DC934EF" w14:textId="77777777" w:rsidR="005B2BCF" w:rsidRPr="00D429D9" w:rsidRDefault="005B2BCF" w:rsidP="005B2BCF"/>
    <w:p w14:paraId="3DC934F0" w14:textId="77777777" w:rsidR="00F062F2" w:rsidRDefault="004A0C97" w:rsidP="005B2BCF">
      <w:pPr>
        <w:pStyle w:val="Heading2"/>
        <w:ind w:left="1134" w:hanging="1134"/>
      </w:pPr>
      <w:bookmarkStart w:id="73" w:name="_Toc84936542"/>
      <w:bookmarkStart w:id="74" w:name="_Toc86657222"/>
      <w:r w:rsidRPr="00D429D9">
        <w:t>Anaesthesia</w:t>
      </w:r>
      <w:bookmarkEnd w:id="73"/>
      <w:bookmarkEnd w:id="74"/>
    </w:p>
    <w:p w14:paraId="3DC934F1" w14:textId="77777777" w:rsidR="004A0C97" w:rsidRPr="00D429D9" w:rsidRDefault="004A0C97" w:rsidP="005B2BCF">
      <w:r w:rsidRPr="00D429D9">
        <w:t xml:space="preserve">Several respondents were against the inclusion of medicines in the anaesthesia category, as well as of alfentanil in the controlled drug category. The reason that most of them gave for their opposition related to the clinical skills required to safely administer these medicines. One respondent submitted that they </w:t>
      </w:r>
      <w:r w:rsidR="00F062F2">
        <w:t>‘</w:t>
      </w:r>
      <w:r w:rsidRPr="00D429D9">
        <w:t>cannot envisage when, or why, it would ever be appropriate or necessary for pharmacists to prescribe such medicines, even within a multidisciplinary team</w:t>
      </w:r>
      <w:r w:rsidR="00F062F2">
        <w:t>’</w:t>
      </w:r>
      <w:r w:rsidRPr="00D429D9">
        <w:t xml:space="preserve">. Another felt </w:t>
      </w:r>
      <w:r w:rsidR="00F062F2">
        <w:t>‘</w:t>
      </w:r>
      <w:r w:rsidRPr="00D429D9">
        <w:t>prescriptions of anaesthesia medicine should not be done by anyone who does not possess the skills necessary to provide life support after administration of these drugs</w:t>
      </w:r>
      <w:r w:rsidR="00F062F2">
        <w:t>’</w:t>
      </w:r>
      <w:r w:rsidRPr="00D429D9">
        <w:t xml:space="preserve">, and that its inclusion in the list </w:t>
      </w:r>
      <w:r w:rsidR="00F062F2">
        <w:t>‘</w:t>
      </w:r>
      <w:r w:rsidRPr="00D429D9">
        <w:t>appears to be wildly out of scope and dangerous</w:t>
      </w:r>
      <w:r w:rsidR="00F062F2">
        <w:t>’</w:t>
      </w:r>
      <w:r w:rsidRPr="00D429D9">
        <w:t>.</w:t>
      </w:r>
    </w:p>
    <w:p w14:paraId="3DC934F2" w14:textId="77777777" w:rsidR="004A0C97" w:rsidRPr="00D429D9" w:rsidRDefault="004A0C97" w:rsidP="005B2BCF"/>
    <w:p w14:paraId="3DC934F3" w14:textId="77777777" w:rsidR="00F062F2" w:rsidRDefault="004A0C97" w:rsidP="005B2BCF">
      <w:r w:rsidRPr="00D429D9">
        <w:t>However, one of the medicines in this category, glycopyrronium, is also used as an antimuscarinic bronchodilator to treat chronic obstructive pulmonary disease (COPD). Excluding it from the schedule would restrict its use in that setting as well. No respondents opposed the inclusion of glycopyrronium as a bronchodilator.</w:t>
      </w:r>
    </w:p>
    <w:p w14:paraId="3DC934F4" w14:textId="77777777" w:rsidR="004A0C97" w:rsidRPr="00D429D9" w:rsidRDefault="004A0C97" w:rsidP="005B2BCF"/>
    <w:p w14:paraId="3DC934F5" w14:textId="77777777" w:rsidR="004A0C97" w:rsidRDefault="004A0C97" w:rsidP="005B2BCF">
      <w:r w:rsidRPr="00D429D9">
        <w:t xml:space="preserve">A current designated pharmacist prescriber noted that in the United Kingdom </w:t>
      </w:r>
      <w:r>
        <w:t>pharmacist prescribers</w:t>
      </w:r>
      <w:r w:rsidRPr="00D429D9">
        <w:t xml:space="preserve"> had scope to potentially prescribe any medicine in the British National Formulary. They would regularly prescribe medicines as part of a multidisciplinary team caring for critical care unit patients. In this unit, medicines such as alfentanil and muscle relaxants were required for patients with specific conditions or for patients undertaking specific treatments.</w:t>
      </w:r>
      <w:r w:rsidR="005B2BCF">
        <w:t xml:space="preserve"> </w:t>
      </w:r>
      <w:r w:rsidRPr="00D429D9">
        <w:t>While no designated pharmacist prescribers currently work in this clinical area in New Zealand, a body of overseas</w:t>
      </w:r>
      <w:r w:rsidR="005B2BCF">
        <w:t xml:space="preserve"> </w:t>
      </w:r>
      <w:r w:rsidRPr="00D429D9">
        <w:t>evidence shows critical care pharmacists are valuable. Where they are involved in</w:t>
      </w:r>
      <w:r w:rsidR="005B2BCF">
        <w:t xml:space="preserve"> </w:t>
      </w:r>
      <w:r w:rsidRPr="00D429D9">
        <w:t xml:space="preserve">critical care, outcomes improve for patients, in situations where accurate medicine </w:t>
      </w:r>
      <w:r w:rsidRPr="00D429D9">
        <w:lastRenderedPageBreak/>
        <w:t>dosing is difficult due to unstable and complex conditions, and fewer medication-related errors and costs occur.</w:t>
      </w:r>
      <w:r w:rsidRPr="005B2BCF">
        <w:rPr>
          <w:rStyle w:val="FootnoteReference"/>
        </w:rPr>
        <w:footnoteReference w:id="10"/>
      </w:r>
    </w:p>
    <w:p w14:paraId="3DC934F6" w14:textId="77777777" w:rsidR="005B2BCF" w:rsidRPr="00D429D9" w:rsidRDefault="005B2BCF" w:rsidP="005B2BCF"/>
    <w:p w14:paraId="3DC934F7" w14:textId="77777777" w:rsidR="004A0C97" w:rsidRPr="00D429D9" w:rsidRDefault="004A0C97" w:rsidP="005B2BCF">
      <w:pPr>
        <w:pStyle w:val="Heading2"/>
        <w:ind w:left="1134" w:hanging="1134"/>
      </w:pPr>
      <w:bookmarkStart w:id="75" w:name="_Toc84936543"/>
      <w:bookmarkStart w:id="76" w:name="_Toc86657223"/>
      <w:r w:rsidRPr="00D429D9">
        <w:t>Controlled drugs</w:t>
      </w:r>
      <w:bookmarkEnd w:id="75"/>
      <w:bookmarkEnd w:id="76"/>
    </w:p>
    <w:p w14:paraId="3DC934F8" w14:textId="77777777" w:rsidR="004A0C97" w:rsidRPr="00D429D9" w:rsidRDefault="004A0C97" w:rsidP="005B2BCF">
      <w:pPr>
        <w:pStyle w:val="Heading3"/>
      </w:pPr>
      <w:r w:rsidRPr="00D429D9">
        <w:t>Alfentanil</w:t>
      </w:r>
    </w:p>
    <w:p w14:paraId="3DC934F9" w14:textId="77777777" w:rsidR="00F062F2" w:rsidRDefault="004A0C97" w:rsidP="005B2BCF">
      <w:r w:rsidRPr="00D429D9">
        <w:t xml:space="preserve">One respondent noted that, as an intravenous short-acting opioid, alfentanil has </w:t>
      </w:r>
      <w:r w:rsidR="00F062F2">
        <w:t>‘</w:t>
      </w:r>
      <w:r w:rsidRPr="00D429D9">
        <w:t>significant abuse potential</w:t>
      </w:r>
      <w:r w:rsidR="00F062F2">
        <w:t>’</w:t>
      </w:r>
      <w:r w:rsidRPr="00D429D9">
        <w:t xml:space="preserve"> and they would like to </w:t>
      </w:r>
      <w:r w:rsidR="00F062F2">
        <w:t>‘</w:t>
      </w:r>
      <w:r w:rsidRPr="00D429D9">
        <w:t>ensure that the use of this medication does not cause harm</w:t>
      </w:r>
      <w:r w:rsidR="00F062F2">
        <w:t>’</w:t>
      </w:r>
      <w:r w:rsidRPr="00D429D9">
        <w:t>.</w:t>
      </w:r>
    </w:p>
    <w:p w14:paraId="3DC934FA" w14:textId="77777777" w:rsidR="005B2BCF" w:rsidRDefault="005B2BCF" w:rsidP="005B2BCF"/>
    <w:p w14:paraId="3DC934FB" w14:textId="77777777" w:rsidR="004A0C97" w:rsidRPr="00D429D9" w:rsidRDefault="004A0C97" w:rsidP="005B2BCF">
      <w:pPr>
        <w:pStyle w:val="Heading3"/>
      </w:pPr>
      <w:r w:rsidRPr="00D429D9">
        <w:t>Nabilone</w:t>
      </w:r>
    </w:p>
    <w:p w14:paraId="3DC934FC" w14:textId="77777777" w:rsidR="00F062F2" w:rsidRDefault="004A0C97" w:rsidP="005B2BCF">
      <w:r w:rsidRPr="00D429D9">
        <w:t xml:space="preserve">One respondent noted nabilone is </w:t>
      </w:r>
      <w:r w:rsidR="00F062F2">
        <w:t>‘</w:t>
      </w:r>
      <w:r w:rsidRPr="00D429D9">
        <w:t>not funded or widely included in guidelines for use</w:t>
      </w:r>
      <w:r w:rsidR="00F062F2">
        <w:t>’</w:t>
      </w:r>
      <w:r w:rsidRPr="00D429D9">
        <w:t xml:space="preserve"> and therefore the proposal to allow pharmacist prescribers to prescribe it conflicts with the </w:t>
      </w:r>
      <w:r w:rsidR="00F062F2">
        <w:t>‘</w:t>
      </w:r>
      <w:r w:rsidRPr="00D429D9">
        <w:t>ethical principle that pharmacist prescribers must be evidence-based</w:t>
      </w:r>
      <w:r w:rsidR="00F062F2">
        <w:t>’</w:t>
      </w:r>
      <w:r w:rsidRPr="00D429D9">
        <w:t>. Another respondent commented that no nabilone product consented by Medsafe is yet available for distribution in New Zealand, so pharmacist prescribers are currently unable to prescribe the medicine regardless of whether it is scheduled or not.</w:t>
      </w:r>
    </w:p>
    <w:p w14:paraId="3DC934FD" w14:textId="77777777" w:rsidR="005B2BCF" w:rsidRDefault="005B2BCF" w:rsidP="005B2BCF"/>
    <w:p w14:paraId="3DC934FE" w14:textId="77777777" w:rsidR="004A0C97" w:rsidRPr="00D429D9" w:rsidRDefault="004A0C97" w:rsidP="005B2BCF">
      <w:pPr>
        <w:pStyle w:val="Heading3"/>
      </w:pPr>
      <w:r w:rsidRPr="00D429D9">
        <w:t>Tapentadol</w:t>
      </w:r>
    </w:p>
    <w:p w14:paraId="3DC934FF" w14:textId="77777777" w:rsidR="00F062F2" w:rsidRDefault="004A0C97" w:rsidP="005B2BCF">
      <w:r w:rsidRPr="00D429D9">
        <w:t>One respondent supported the inclusion of tapentadol. They noted it can have significantly fewer side effects in the older population compared with tramadol. Another respondent noted there is no approved tapentadol product yet in New</w:t>
      </w:r>
      <w:r w:rsidR="005B2BCF">
        <w:t> </w:t>
      </w:r>
      <w:r w:rsidRPr="00D429D9">
        <w:t>Zealand.</w:t>
      </w:r>
    </w:p>
    <w:p w14:paraId="3DC93500" w14:textId="77777777" w:rsidR="005B2BCF" w:rsidRDefault="005B2BCF" w:rsidP="005B2BCF"/>
    <w:p w14:paraId="3DC93501" w14:textId="77777777" w:rsidR="004A0C97" w:rsidRPr="00D429D9" w:rsidRDefault="004A0C97" w:rsidP="005B2BCF">
      <w:pPr>
        <w:pStyle w:val="Heading2"/>
        <w:ind w:left="1134" w:hanging="1134"/>
      </w:pPr>
      <w:bookmarkStart w:id="77" w:name="_Toc84936544"/>
      <w:bookmarkStart w:id="78" w:name="_Toc86657224"/>
      <w:r w:rsidRPr="00D429D9">
        <w:t>Not yet classified – now all prescription medicines</w:t>
      </w:r>
      <w:bookmarkEnd w:id="77"/>
      <w:bookmarkEnd w:id="78"/>
    </w:p>
    <w:p w14:paraId="3DC93502" w14:textId="552ED7A8" w:rsidR="00F062F2" w:rsidRDefault="004A0C97" w:rsidP="005B2BCF">
      <w:r w:rsidRPr="00D429D9">
        <w:t xml:space="preserve">For details on submissions on the appropriateness of pharmacists prescribing unapproved medicines, see </w:t>
      </w:r>
      <w:r w:rsidR="005B2BCF">
        <w:t>s</w:t>
      </w:r>
      <w:r w:rsidRPr="00D429D9">
        <w:t xml:space="preserve">ection </w:t>
      </w:r>
      <w:r w:rsidR="005B2BCF">
        <w:fldChar w:fldCharType="begin"/>
      </w:r>
      <w:r w:rsidR="005B2BCF">
        <w:instrText xml:space="preserve"> REF _Ref86303299 \r \h </w:instrText>
      </w:r>
      <w:r w:rsidR="005B2BCF">
        <w:fldChar w:fldCharType="separate"/>
      </w:r>
      <w:r w:rsidR="00D172A7">
        <w:rPr>
          <w:cs/>
        </w:rPr>
        <w:t>‎</w:t>
      </w:r>
      <w:r w:rsidR="00D172A7">
        <w:t>2.2</w:t>
      </w:r>
      <w:r w:rsidR="005B2BCF">
        <w:fldChar w:fldCharType="end"/>
      </w:r>
      <w:r w:rsidRPr="00D429D9">
        <w:t>.</w:t>
      </w:r>
    </w:p>
    <w:p w14:paraId="3DC93503" w14:textId="77777777" w:rsidR="004A0C97" w:rsidRPr="00D429D9" w:rsidRDefault="004A0C97" w:rsidP="005B2BCF">
      <w:pPr>
        <w:pStyle w:val="Heading2"/>
        <w:ind w:left="1134" w:hanging="1134"/>
      </w:pPr>
      <w:bookmarkStart w:id="79" w:name="_Toc86657225"/>
      <w:r w:rsidRPr="00D429D9">
        <w:lastRenderedPageBreak/>
        <w:t>Summary of level of support</w:t>
      </w:r>
      <w:bookmarkEnd w:id="79"/>
    </w:p>
    <w:p w14:paraId="3DC93504" w14:textId="77777777" w:rsidR="004A0C97" w:rsidRPr="00512812" w:rsidRDefault="004A0C97" w:rsidP="00512812">
      <w:pPr>
        <w:pStyle w:val="TableText"/>
        <w:rPr>
          <w:b/>
        </w:rPr>
      </w:pPr>
      <w:r w:rsidRPr="00512812">
        <w:rPr>
          <w:b/>
        </w:rPr>
        <w:t>Key</w:t>
      </w:r>
    </w:p>
    <w:tbl>
      <w:tblPr>
        <w:tblW w:w="0" w:type="auto"/>
        <w:tblInd w:w="57" w:type="dxa"/>
        <w:tblLayout w:type="fixed"/>
        <w:tblCellMar>
          <w:left w:w="57" w:type="dxa"/>
          <w:right w:w="57" w:type="dxa"/>
        </w:tblCellMar>
        <w:tblLook w:val="04A0" w:firstRow="1" w:lastRow="0" w:firstColumn="1" w:lastColumn="0" w:noHBand="0" w:noVBand="1"/>
      </w:tblPr>
      <w:tblGrid>
        <w:gridCol w:w="988"/>
        <w:gridCol w:w="4257"/>
      </w:tblGrid>
      <w:tr w:rsidR="004A0C97" w:rsidRPr="00D429D9" w14:paraId="3DC93507" w14:textId="77777777" w:rsidTr="00512812">
        <w:trPr>
          <w:cantSplit/>
        </w:trPr>
        <w:tc>
          <w:tcPr>
            <w:tcW w:w="988" w:type="dxa"/>
            <w:shd w:val="clear" w:color="auto" w:fill="00B050"/>
          </w:tcPr>
          <w:p w14:paraId="3DC93505" w14:textId="77777777" w:rsidR="004A0C97" w:rsidRPr="00D429D9" w:rsidRDefault="004A0C97" w:rsidP="00512812">
            <w:pPr>
              <w:pStyle w:val="TableText"/>
            </w:pPr>
          </w:p>
        </w:tc>
        <w:tc>
          <w:tcPr>
            <w:tcW w:w="4257" w:type="dxa"/>
          </w:tcPr>
          <w:p w14:paraId="3DC93506" w14:textId="77777777" w:rsidR="004A0C97" w:rsidRPr="00D429D9" w:rsidRDefault="004A0C97" w:rsidP="00512812">
            <w:pPr>
              <w:pStyle w:val="TableText"/>
            </w:pPr>
            <w:r w:rsidRPr="00D429D9">
              <w:t>Strong support for inclusion in the schedule</w:t>
            </w:r>
          </w:p>
        </w:tc>
      </w:tr>
      <w:tr w:rsidR="004A0C97" w:rsidRPr="00D429D9" w14:paraId="3DC9350A" w14:textId="77777777" w:rsidTr="00512812">
        <w:trPr>
          <w:cantSplit/>
        </w:trPr>
        <w:tc>
          <w:tcPr>
            <w:tcW w:w="988" w:type="dxa"/>
            <w:shd w:val="clear" w:color="auto" w:fill="FFC000"/>
          </w:tcPr>
          <w:p w14:paraId="3DC93508" w14:textId="77777777" w:rsidR="004A0C97" w:rsidRPr="00D429D9" w:rsidRDefault="004A0C97" w:rsidP="00512812">
            <w:pPr>
              <w:pStyle w:val="TableText"/>
            </w:pPr>
          </w:p>
        </w:tc>
        <w:tc>
          <w:tcPr>
            <w:tcW w:w="4257" w:type="dxa"/>
          </w:tcPr>
          <w:p w14:paraId="3DC93509" w14:textId="77777777" w:rsidR="004A0C97" w:rsidRPr="00D429D9" w:rsidRDefault="004A0C97" w:rsidP="00512812">
            <w:pPr>
              <w:pStyle w:val="TableText"/>
            </w:pPr>
            <w:r w:rsidRPr="00D429D9">
              <w:t>Some support for inclusion in the schedule</w:t>
            </w:r>
          </w:p>
        </w:tc>
      </w:tr>
      <w:tr w:rsidR="004A0C97" w:rsidRPr="00D429D9" w14:paraId="3DC9350D" w14:textId="77777777" w:rsidTr="00512812">
        <w:trPr>
          <w:cantSplit/>
        </w:trPr>
        <w:tc>
          <w:tcPr>
            <w:tcW w:w="988" w:type="dxa"/>
            <w:shd w:val="clear" w:color="auto" w:fill="808080" w:themeFill="background1" w:themeFillShade="80"/>
          </w:tcPr>
          <w:p w14:paraId="3DC9350B" w14:textId="77777777" w:rsidR="004A0C97" w:rsidRPr="00D429D9" w:rsidRDefault="004A0C97" w:rsidP="00512812">
            <w:pPr>
              <w:pStyle w:val="TableText"/>
            </w:pPr>
          </w:p>
        </w:tc>
        <w:tc>
          <w:tcPr>
            <w:tcW w:w="4257" w:type="dxa"/>
          </w:tcPr>
          <w:p w14:paraId="3DC9350C" w14:textId="77777777" w:rsidR="004A0C97" w:rsidRPr="00D429D9" w:rsidRDefault="004A0C97" w:rsidP="00512812">
            <w:pPr>
              <w:pStyle w:val="TableText"/>
            </w:pPr>
            <w:r w:rsidRPr="00D429D9">
              <w:t>Little or no support for inclusion in the schedule</w:t>
            </w:r>
          </w:p>
        </w:tc>
      </w:tr>
    </w:tbl>
    <w:p w14:paraId="3DC9350E" w14:textId="77777777" w:rsidR="004A0C97" w:rsidRPr="00D429D9" w:rsidRDefault="004A0C97" w:rsidP="00512812"/>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410"/>
        <w:gridCol w:w="567"/>
        <w:gridCol w:w="5103"/>
      </w:tblGrid>
      <w:tr w:rsidR="004A0C97" w:rsidRPr="00512812" w14:paraId="3DC93512" w14:textId="77777777" w:rsidTr="00512812">
        <w:trPr>
          <w:cantSplit/>
        </w:trPr>
        <w:tc>
          <w:tcPr>
            <w:tcW w:w="2410" w:type="dxa"/>
            <w:tcBorders>
              <w:top w:val="nil"/>
              <w:bottom w:val="nil"/>
            </w:tcBorders>
            <w:shd w:val="clear" w:color="auto" w:fill="D9D9D9" w:themeFill="background1" w:themeFillShade="D9"/>
          </w:tcPr>
          <w:p w14:paraId="3DC9350F" w14:textId="77777777" w:rsidR="004A0C97" w:rsidRPr="00512812" w:rsidRDefault="004A0C97" w:rsidP="00512812">
            <w:pPr>
              <w:pStyle w:val="TableText"/>
              <w:ind w:right="57"/>
              <w:rPr>
                <w:b/>
              </w:rPr>
            </w:pPr>
            <w:r w:rsidRPr="00512812">
              <w:rPr>
                <w:b/>
              </w:rPr>
              <w:t>Therapeutic class</w:t>
            </w:r>
          </w:p>
        </w:tc>
        <w:tc>
          <w:tcPr>
            <w:tcW w:w="567" w:type="dxa"/>
            <w:tcBorders>
              <w:top w:val="nil"/>
              <w:bottom w:val="nil"/>
            </w:tcBorders>
            <w:shd w:val="clear" w:color="auto" w:fill="auto"/>
          </w:tcPr>
          <w:p w14:paraId="3DC93510" w14:textId="77777777" w:rsidR="004A0C97" w:rsidRPr="00512812" w:rsidRDefault="004A0C97" w:rsidP="00512812">
            <w:pPr>
              <w:pStyle w:val="TableText"/>
              <w:jc w:val="center"/>
              <w:rPr>
                <w:b/>
              </w:rPr>
            </w:pPr>
          </w:p>
        </w:tc>
        <w:tc>
          <w:tcPr>
            <w:tcW w:w="5103" w:type="dxa"/>
            <w:tcBorders>
              <w:top w:val="nil"/>
              <w:bottom w:val="nil"/>
            </w:tcBorders>
            <w:shd w:val="clear" w:color="auto" w:fill="D9D9D9" w:themeFill="background1" w:themeFillShade="D9"/>
          </w:tcPr>
          <w:p w14:paraId="3DC93511" w14:textId="77777777" w:rsidR="004A0C97" w:rsidRPr="00512812" w:rsidRDefault="004A0C97" w:rsidP="00512812">
            <w:pPr>
              <w:pStyle w:val="TableText"/>
              <w:rPr>
                <w:b/>
              </w:rPr>
            </w:pPr>
            <w:r w:rsidRPr="00512812">
              <w:rPr>
                <w:b/>
              </w:rPr>
              <w:t>Level of support</w:t>
            </w:r>
          </w:p>
        </w:tc>
      </w:tr>
      <w:tr w:rsidR="004A0C97" w:rsidRPr="00D429D9" w14:paraId="3DC93516" w14:textId="77777777" w:rsidTr="00512812">
        <w:trPr>
          <w:cantSplit/>
        </w:trPr>
        <w:tc>
          <w:tcPr>
            <w:tcW w:w="2410" w:type="dxa"/>
            <w:tcBorders>
              <w:top w:val="nil"/>
            </w:tcBorders>
          </w:tcPr>
          <w:p w14:paraId="3DC93513" w14:textId="77777777" w:rsidR="004A0C97" w:rsidRPr="00D429D9" w:rsidRDefault="004A0C97" w:rsidP="00512812">
            <w:pPr>
              <w:pStyle w:val="TableText"/>
              <w:ind w:right="57"/>
            </w:pPr>
            <w:r w:rsidRPr="00D429D9">
              <w:t>Musculoskeletal and joint diseases</w:t>
            </w:r>
          </w:p>
        </w:tc>
        <w:tc>
          <w:tcPr>
            <w:tcW w:w="567" w:type="dxa"/>
            <w:tcBorders>
              <w:top w:val="nil"/>
              <w:bottom w:val="single" w:sz="4" w:space="0" w:color="FFFFFF" w:themeColor="background1"/>
            </w:tcBorders>
            <w:shd w:val="clear" w:color="auto" w:fill="00B050"/>
          </w:tcPr>
          <w:p w14:paraId="3DC93514" w14:textId="77777777" w:rsidR="004A0C97" w:rsidRPr="00D429D9" w:rsidRDefault="004A0C97" w:rsidP="00512812">
            <w:pPr>
              <w:pStyle w:val="TableText"/>
              <w:jc w:val="center"/>
            </w:pPr>
          </w:p>
        </w:tc>
        <w:tc>
          <w:tcPr>
            <w:tcW w:w="5103" w:type="dxa"/>
            <w:tcBorders>
              <w:top w:val="nil"/>
            </w:tcBorders>
          </w:tcPr>
          <w:p w14:paraId="3DC93515" w14:textId="77777777" w:rsidR="004A0C97" w:rsidRPr="00D429D9" w:rsidRDefault="004A0C97" w:rsidP="00512812">
            <w:pPr>
              <w:pStyle w:val="TableText"/>
            </w:pPr>
            <w:r w:rsidRPr="00D429D9">
              <w:t>Support for inclusion</w:t>
            </w:r>
          </w:p>
        </w:tc>
      </w:tr>
      <w:tr w:rsidR="004A0C97" w:rsidRPr="00D429D9" w14:paraId="3DC9351A" w14:textId="77777777" w:rsidTr="00512812">
        <w:trPr>
          <w:cantSplit/>
        </w:trPr>
        <w:tc>
          <w:tcPr>
            <w:tcW w:w="2410" w:type="dxa"/>
          </w:tcPr>
          <w:p w14:paraId="3DC93517" w14:textId="77777777" w:rsidR="004A0C97" w:rsidRPr="00D429D9" w:rsidRDefault="004A0C97" w:rsidP="00512812">
            <w:pPr>
              <w:pStyle w:val="TableText"/>
              <w:ind w:right="57"/>
            </w:pPr>
            <w:r w:rsidRPr="00D429D9">
              <w:t>Respiratory system</w:t>
            </w:r>
          </w:p>
        </w:tc>
        <w:tc>
          <w:tcPr>
            <w:tcW w:w="567" w:type="dxa"/>
            <w:tcBorders>
              <w:top w:val="single" w:sz="4" w:space="0" w:color="FFFFFF" w:themeColor="background1"/>
              <w:bottom w:val="single" w:sz="4" w:space="0" w:color="FFFFFF" w:themeColor="background1"/>
            </w:tcBorders>
            <w:shd w:val="clear" w:color="auto" w:fill="00B050"/>
          </w:tcPr>
          <w:p w14:paraId="3DC93518" w14:textId="77777777" w:rsidR="004A0C97" w:rsidRPr="00D429D9" w:rsidRDefault="004A0C97" w:rsidP="00512812">
            <w:pPr>
              <w:pStyle w:val="TableText"/>
              <w:jc w:val="center"/>
            </w:pPr>
          </w:p>
        </w:tc>
        <w:tc>
          <w:tcPr>
            <w:tcW w:w="5103" w:type="dxa"/>
          </w:tcPr>
          <w:p w14:paraId="3DC93519" w14:textId="77777777" w:rsidR="004A0C97" w:rsidRPr="00D429D9" w:rsidRDefault="004A0C97" w:rsidP="00512812">
            <w:pPr>
              <w:pStyle w:val="TableText"/>
            </w:pPr>
            <w:r w:rsidRPr="00D429D9">
              <w:t>Support for inclusion</w:t>
            </w:r>
          </w:p>
        </w:tc>
      </w:tr>
      <w:tr w:rsidR="004A0C97" w:rsidRPr="00D429D9" w14:paraId="3DC9351E" w14:textId="77777777" w:rsidTr="00512812">
        <w:trPr>
          <w:cantSplit/>
        </w:trPr>
        <w:tc>
          <w:tcPr>
            <w:tcW w:w="2410" w:type="dxa"/>
          </w:tcPr>
          <w:p w14:paraId="3DC9351B" w14:textId="77777777" w:rsidR="004A0C97" w:rsidRPr="00D429D9" w:rsidRDefault="004A0C97" w:rsidP="00512812">
            <w:pPr>
              <w:pStyle w:val="TableText"/>
              <w:ind w:right="57"/>
            </w:pPr>
            <w:r w:rsidRPr="00D429D9">
              <w:t>Central nervous system</w:t>
            </w:r>
          </w:p>
        </w:tc>
        <w:tc>
          <w:tcPr>
            <w:tcW w:w="567" w:type="dxa"/>
            <w:tcBorders>
              <w:top w:val="single" w:sz="4" w:space="0" w:color="FFFFFF" w:themeColor="background1"/>
              <w:bottom w:val="single" w:sz="4" w:space="0" w:color="FFFFFF" w:themeColor="background1"/>
            </w:tcBorders>
            <w:shd w:val="clear" w:color="auto" w:fill="FFC000"/>
          </w:tcPr>
          <w:p w14:paraId="3DC9351C" w14:textId="77777777" w:rsidR="004A0C97" w:rsidRPr="00D429D9" w:rsidRDefault="004A0C97" w:rsidP="00512812">
            <w:pPr>
              <w:pStyle w:val="TableText"/>
              <w:jc w:val="center"/>
            </w:pPr>
          </w:p>
        </w:tc>
        <w:tc>
          <w:tcPr>
            <w:tcW w:w="5103" w:type="dxa"/>
          </w:tcPr>
          <w:p w14:paraId="3DC9351D" w14:textId="77777777" w:rsidR="004A0C97" w:rsidRPr="00D429D9" w:rsidRDefault="004A0C97" w:rsidP="00512812">
            <w:pPr>
              <w:pStyle w:val="TableText"/>
            </w:pPr>
            <w:r w:rsidRPr="00D429D9">
              <w:t>No support for inclusion of cannabidiol (CBD), esketamine, ziprasidone and riluzole</w:t>
            </w:r>
            <w:r w:rsidRPr="00512812">
              <w:rPr>
                <w:rStyle w:val="FootnoteReference"/>
              </w:rPr>
              <w:footnoteReference w:id="11"/>
            </w:r>
          </w:p>
        </w:tc>
      </w:tr>
      <w:tr w:rsidR="004A0C97" w:rsidRPr="00D429D9" w14:paraId="3DC93522" w14:textId="77777777" w:rsidTr="00512812">
        <w:trPr>
          <w:cantSplit/>
        </w:trPr>
        <w:tc>
          <w:tcPr>
            <w:tcW w:w="2410" w:type="dxa"/>
          </w:tcPr>
          <w:p w14:paraId="3DC9351F" w14:textId="77777777" w:rsidR="004A0C97" w:rsidRPr="00D429D9" w:rsidRDefault="004A0C97" w:rsidP="00512812">
            <w:pPr>
              <w:pStyle w:val="TableText"/>
              <w:ind w:right="57"/>
            </w:pPr>
            <w:r w:rsidRPr="00D429D9">
              <w:t>Immunological products and vaccines</w:t>
            </w:r>
          </w:p>
        </w:tc>
        <w:tc>
          <w:tcPr>
            <w:tcW w:w="567" w:type="dxa"/>
            <w:tcBorders>
              <w:top w:val="single" w:sz="4" w:space="0" w:color="FFFFFF" w:themeColor="background1"/>
              <w:bottom w:val="single" w:sz="4" w:space="0" w:color="FFFFFF" w:themeColor="background1"/>
            </w:tcBorders>
            <w:shd w:val="clear" w:color="auto" w:fill="00B050"/>
          </w:tcPr>
          <w:p w14:paraId="3DC93520" w14:textId="77777777" w:rsidR="004A0C97" w:rsidRPr="00D429D9" w:rsidRDefault="004A0C97" w:rsidP="00512812">
            <w:pPr>
              <w:pStyle w:val="TableText"/>
              <w:jc w:val="center"/>
            </w:pPr>
          </w:p>
        </w:tc>
        <w:tc>
          <w:tcPr>
            <w:tcW w:w="5103" w:type="dxa"/>
          </w:tcPr>
          <w:p w14:paraId="3DC93521" w14:textId="77777777" w:rsidR="004A0C97" w:rsidRPr="00D429D9" w:rsidRDefault="004A0C97" w:rsidP="00512812">
            <w:pPr>
              <w:pStyle w:val="TableText"/>
            </w:pPr>
            <w:r w:rsidRPr="00D429D9">
              <w:t>Support for inclusion</w:t>
            </w:r>
          </w:p>
        </w:tc>
      </w:tr>
      <w:tr w:rsidR="004A0C97" w:rsidRPr="00D429D9" w14:paraId="3DC93527" w14:textId="77777777" w:rsidTr="00512812">
        <w:trPr>
          <w:cantSplit/>
        </w:trPr>
        <w:tc>
          <w:tcPr>
            <w:tcW w:w="2410" w:type="dxa"/>
          </w:tcPr>
          <w:p w14:paraId="3DC93523" w14:textId="77777777" w:rsidR="004A0C97" w:rsidRPr="00D429D9" w:rsidRDefault="004A0C97" w:rsidP="00512812">
            <w:pPr>
              <w:pStyle w:val="TableText"/>
              <w:ind w:right="57"/>
            </w:pPr>
            <w:r w:rsidRPr="00D429D9">
              <w:t>Endocrine system and emergency treatment of poisoning</w:t>
            </w:r>
          </w:p>
        </w:tc>
        <w:tc>
          <w:tcPr>
            <w:tcW w:w="567" w:type="dxa"/>
            <w:tcBorders>
              <w:top w:val="single" w:sz="4" w:space="0" w:color="FFFFFF" w:themeColor="background1"/>
              <w:bottom w:val="single" w:sz="4" w:space="0" w:color="FFFFFF" w:themeColor="background1"/>
            </w:tcBorders>
            <w:shd w:val="clear" w:color="auto" w:fill="00B050"/>
          </w:tcPr>
          <w:p w14:paraId="3DC93524" w14:textId="77777777" w:rsidR="004A0C97" w:rsidRPr="00D429D9" w:rsidRDefault="004A0C97" w:rsidP="00512812">
            <w:pPr>
              <w:pStyle w:val="TableText"/>
              <w:jc w:val="center"/>
            </w:pPr>
          </w:p>
        </w:tc>
        <w:tc>
          <w:tcPr>
            <w:tcW w:w="5103" w:type="dxa"/>
          </w:tcPr>
          <w:p w14:paraId="3DC93525" w14:textId="77777777" w:rsidR="004A0C97" w:rsidRPr="00D429D9" w:rsidRDefault="004A0C97" w:rsidP="00512812">
            <w:pPr>
              <w:pStyle w:val="TableText"/>
            </w:pPr>
            <w:r w:rsidRPr="00D429D9">
              <w:t>Support for inclusion</w:t>
            </w:r>
          </w:p>
          <w:p w14:paraId="3DC93526" w14:textId="77777777" w:rsidR="004A0C97" w:rsidRPr="00D429D9" w:rsidRDefault="004A0C97" w:rsidP="00512812">
            <w:pPr>
              <w:pStyle w:val="TableText"/>
            </w:pPr>
            <w:r w:rsidRPr="00D429D9">
              <w:t>Add fomepizole (competitive alcohol dehydrogenase inhibitor)</w:t>
            </w:r>
          </w:p>
        </w:tc>
      </w:tr>
      <w:tr w:rsidR="004A0C97" w:rsidRPr="00D429D9" w14:paraId="3DC9352B" w14:textId="77777777" w:rsidTr="00512812">
        <w:trPr>
          <w:cantSplit/>
        </w:trPr>
        <w:tc>
          <w:tcPr>
            <w:tcW w:w="2410" w:type="dxa"/>
          </w:tcPr>
          <w:p w14:paraId="3DC93528" w14:textId="77777777" w:rsidR="004A0C97" w:rsidRPr="00D429D9" w:rsidRDefault="004A0C97" w:rsidP="00512812">
            <w:pPr>
              <w:pStyle w:val="TableText"/>
              <w:ind w:right="57"/>
            </w:pPr>
            <w:r w:rsidRPr="00D429D9">
              <w:t>Malignant disease and immunosuppression</w:t>
            </w:r>
          </w:p>
        </w:tc>
        <w:tc>
          <w:tcPr>
            <w:tcW w:w="567" w:type="dxa"/>
            <w:tcBorders>
              <w:top w:val="single" w:sz="4" w:space="0" w:color="FFFFFF" w:themeColor="background1"/>
              <w:bottom w:val="single" w:sz="4" w:space="0" w:color="FFFFFF" w:themeColor="background1"/>
            </w:tcBorders>
            <w:shd w:val="clear" w:color="auto" w:fill="00B050"/>
          </w:tcPr>
          <w:p w14:paraId="3DC93529" w14:textId="77777777" w:rsidR="004A0C97" w:rsidRPr="00D429D9" w:rsidRDefault="004A0C97" w:rsidP="00512812">
            <w:pPr>
              <w:pStyle w:val="TableText"/>
              <w:jc w:val="center"/>
            </w:pPr>
          </w:p>
        </w:tc>
        <w:tc>
          <w:tcPr>
            <w:tcW w:w="5103" w:type="dxa"/>
          </w:tcPr>
          <w:p w14:paraId="3DC9352A" w14:textId="77777777" w:rsidR="004A0C97" w:rsidRPr="00D429D9" w:rsidRDefault="004A0C97" w:rsidP="00512812">
            <w:pPr>
              <w:pStyle w:val="TableText"/>
            </w:pPr>
            <w:r w:rsidRPr="00D429D9">
              <w:t>Support for inclusion</w:t>
            </w:r>
          </w:p>
        </w:tc>
      </w:tr>
      <w:tr w:rsidR="004A0C97" w:rsidRPr="00D429D9" w14:paraId="3DC9352F" w14:textId="77777777" w:rsidTr="00512812">
        <w:trPr>
          <w:cantSplit/>
        </w:trPr>
        <w:tc>
          <w:tcPr>
            <w:tcW w:w="2410" w:type="dxa"/>
          </w:tcPr>
          <w:p w14:paraId="3DC9352C" w14:textId="77777777" w:rsidR="004A0C97" w:rsidRPr="00D429D9" w:rsidRDefault="004A0C97" w:rsidP="00512812">
            <w:pPr>
              <w:pStyle w:val="TableText"/>
              <w:ind w:right="57"/>
            </w:pPr>
            <w:r w:rsidRPr="00D429D9">
              <w:t>Nutrition and blood</w:t>
            </w:r>
          </w:p>
        </w:tc>
        <w:tc>
          <w:tcPr>
            <w:tcW w:w="567" w:type="dxa"/>
            <w:tcBorders>
              <w:top w:val="single" w:sz="4" w:space="0" w:color="FFFFFF" w:themeColor="background1"/>
              <w:bottom w:val="single" w:sz="4" w:space="0" w:color="FFFFFF" w:themeColor="background1"/>
            </w:tcBorders>
            <w:shd w:val="clear" w:color="auto" w:fill="00B050"/>
          </w:tcPr>
          <w:p w14:paraId="3DC9352D" w14:textId="77777777" w:rsidR="004A0C97" w:rsidRPr="00D429D9" w:rsidRDefault="004A0C97" w:rsidP="00512812">
            <w:pPr>
              <w:pStyle w:val="TableText"/>
              <w:jc w:val="center"/>
            </w:pPr>
          </w:p>
        </w:tc>
        <w:tc>
          <w:tcPr>
            <w:tcW w:w="5103" w:type="dxa"/>
          </w:tcPr>
          <w:p w14:paraId="3DC9352E" w14:textId="77777777" w:rsidR="004A0C97" w:rsidRPr="00D429D9" w:rsidRDefault="004A0C97" w:rsidP="00512812">
            <w:pPr>
              <w:pStyle w:val="TableText"/>
            </w:pPr>
            <w:r w:rsidRPr="00D429D9">
              <w:t>Support for inclusion</w:t>
            </w:r>
          </w:p>
        </w:tc>
      </w:tr>
      <w:tr w:rsidR="004A0C97" w:rsidRPr="00D429D9" w14:paraId="3DC93533" w14:textId="77777777" w:rsidTr="00512812">
        <w:trPr>
          <w:cantSplit/>
        </w:trPr>
        <w:tc>
          <w:tcPr>
            <w:tcW w:w="2410" w:type="dxa"/>
          </w:tcPr>
          <w:p w14:paraId="3DC93530" w14:textId="77777777" w:rsidR="004A0C97" w:rsidRPr="00D429D9" w:rsidRDefault="004A0C97" w:rsidP="00512812">
            <w:pPr>
              <w:pStyle w:val="TableText"/>
              <w:ind w:right="57"/>
            </w:pPr>
            <w:r w:rsidRPr="00D429D9">
              <w:t>Infections</w:t>
            </w:r>
          </w:p>
        </w:tc>
        <w:tc>
          <w:tcPr>
            <w:tcW w:w="567" w:type="dxa"/>
            <w:tcBorders>
              <w:top w:val="single" w:sz="4" w:space="0" w:color="FFFFFF" w:themeColor="background1"/>
              <w:bottom w:val="single" w:sz="4" w:space="0" w:color="FFFFFF" w:themeColor="background1"/>
            </w:tcBorders>
            <w:shd w:val="clear" w:color="auto" w:fill="00B050"/>
          </w:tcPr>
          <w:p w14:paraId="3DC93531" w14:textId="77777777" w:rsidR="004A0C97" w:rsidRPr="00D429D9" w:rsidRDefault="004A0C97" w:rsidP="00512812">
            <w:pPr>
              <w:pStyle w:val="TableText"/>
              <w:jc w:val="center"/>
            </w:pPr>
          </w:p>
        </w:tc>
        <w:tc>
          <w:tcPr>
            <w:tcW w:w="5103" w:type="dxa"/>
          </w:tcPr>
          <w:p w14:paraId="3DC93532" w14:textId="77777777" w:rsidR="004A0C97" w:rsidRPr="00D429D9" w:rsidRDefault="004A0C97" w:rsidP="00512812">
            <w:pPr>
              <w:pStyle w:val="TableText"/>
            </w:pPr>
            <w:r w:rsidRPr="00D429D9">
              <w:t>Support for inclusion</w:t>
            </w:r>
          </w:p>
        </w:tc>
      </w:tr>
      <w:tr w:rsidR="004A0C97" w:rsidRPr="00D429D9" w14:paraId="3DC93538" w14:textId="77777777" w:rsidTr="00512812">
        <w:trPr>
          <w:cantSplit/>
        </w:trPr>
        <w:tc>
          <w:tcPr>
            <w:tcW w:w="2410" w:type="dxa"/>
          </w:tcPr>
          <w:p w14:paraId="3DC93534" w14:textId="77777777" w:rsidR="004A0C97" w:rsidRPr="00D429D9" w:rsidRDefault="004A0C97" w:rsidP="00512812">
            <w:pPr>
              <w:pStyle w:val="TableText"/>
              <w:ind w:right="57"/>
            </w:pPr>
            <w:r w:rsidRPr="00D429D9">
              <w:t>Obstetrics, gynaecology and urinary-tract disorders</w:t>
            </w:r>
          </w:p>
        </w:tc>
        <w:tc>
          <w:tcPr>
            <w:tcW w:w="567" w:type="dxa"/>
            <w:tcBorders>
              <w:top w:val="single" w:sz="4" w:space="0" w:color="FFFFFF" w:themeColor="background1"/>
              <w:bottom w:val="single" w:sz="4" w:space="0" w:color="FFFFFF" w:themeColor="background1"/>
            </w:tcBorders>
            <w:shd w:val="clear" w:color="auto" w:fill="FFC000"/>
          </w:tcPr>
          <w:p w14:paraId="3DC93535" w14:textId="77777777" w:rsidR="004A0C97" w:rsidRPr="00D429D9" w:rsidRDefault="004A0C97" w:rsidP="00512812">
            <w:pPr>
              <w:pStyle w:val="TableText"/>
              <w:jc w:val="center"/>
            </w:pPr>
          </w:p>
        </w:tc>
        <w:tc>
          <w:tcPr>
            <w:tcW w:w="5103" w:type="dxa"/>
          </w:tcPr>
          <w:p w14:paraId="3DC93536" w14:textId="77777777" w:rsidR="004A0C97" w:rsidRPr="00D429D9" w:rsidRDefault="004A0C97" w:rsidP="00512812">
            <w:pPr>
              <w:pStyle w:val="TableText"/>
            </w:pPr>
            <w:r w:rsidRPr="00D429D9">
              <w:t>Some support for inclusion</w:t>
            </w:r>
          </w:p>
          <w:p w14:paraId="3DC93537" w14:textId="77777777" w:rsidR="004A0C97" w:rsidRPr="00D429D9" w:rsidRDefault="004A0C97" w:rsidP="00512812">
            <w:pPr>
              <w:pStyle w:val="TableText"/>
            </w:pPr>
            <w:r w:rsidRPr="00D429D9">
              <w:t>Some strong opposition</w:t>
            </w:r>
          </w:p>
        </w:tc>
      </w:tr>
      <w:tr w:rsidR="004A0C97" w:rsidRPr="00D429D9" w14:paraId="3DC9353C" w14:textId="77777777" w:rsidTr="00512812">
        <w:trPr>
          <w:cantSplit/>
        </w:trPr>
        <w:tc>
          <w:tcPr>
            <w:tcW w:w="2410" w:type="dxa"/>
          </w:tcPr>
          <w:p w14:paraId="3DC93539" w14:textId="77777777" w:rsidR="004A0C97" w:rsidRPr="00D429D9" w:rsidRDefault="004A0C97" w:rsidP="00512812">
            <w:pPr>
              <w:pStyle w:val="TableText"/>
              <w:ind w:right="57"/>
            </w:pPr>
            <w:r w:rsidRPr="00D429D9">
              <w:t>Cardiovascular system</w:t>
            </w:r>
          </w:p>
        </w:tc>
        <w:tc>
          <w:tcPr>
            <w:tcW w:w="567" w:type="dxa"/>
            <w:tcBorders>
              <w:top w:val="single" w:sz="4" w:space="0" w:color="FFFFFF" w:themeColor="background1"/>
              <w:bottom w:val="single" w:sz="4" w:space="0" w:color="FFFFFF" w:themeColor="background1"/>
            </w:tcBorders>
            <w:shd w:val="clear" w:color="auto" w:fill="00B050"/>
          </w:tcPr>
          <w:p w14:paraId="3DC9353A" w14:textId="77777777" w:rsidR="004A0C97" w:rsidRPr="00D429D9" w:rsidRDefault="004A0C97" w:rsidP="00512812">
            <w:pPr>
              <w:pStyle w:val="TableText"/>
              <w:jc w:val="center"/>
            </w:pPr>
          </w:p>
        </w:tc>
        <w:tc>
          <w:tcPr>
            <w:tcW w:w="5103" w:type="dxa"/>
          </w:tcPr>
          <w:p w14:paraId="3DC9353B" w14:textId="77777777" w:rsidR="004A0C97" w:rsidRPr="00D429D9" w:rsidRDefault="004A0C97" w:rsidP="00512812">
            <w:pPr>
              <w:pStyle w:val="TableText"/>
            </w:pPr>
            <w:r w:rsidRPr="00D429D9">
              <w:t>Support for inclusion</w:t>
            </w:r>
          </w:p>
        </w:tc>
      </w:tr>
      <w:tr w:rsidR="004A0C97" w:rsidRPr="00D429D9" w14:paraId="3DC93541" w14:textId="77777777" w:rsidTr="00512812">
        <w:trPr>
          <w:cantSplit/>
        </w:trPr>
        <w:tc>
          <w:tcPr>
            <w:tcW w:w="2410" w:type="dxa"/>
          </w:tcPr>
          <w:p w14:paraId="3DC9353D" w14:textId="77777777" w:rsidR="004A0C97" w:rsidRPr="00D429D9" w:rsidRDefault="004A0C97" w:rsidP="00512812">
            <w:pPr>
              <w:pStyle w:val="TableText"/>
              <w:ind w:right="57"/>
            </w:pPr>
            <w:r w:rsidRPr="00D429D9">
              <w:t>Anaesthesia</w:t>
            </w:r>
          </w:p>
        </w:tc>
        <w:tc>
          <w:tcPr>
            <w:tcW w:w="567" w:type="dxa"/>
            <w:tcBorders>
              <w:top w:val="single" w:sz="4" w:space="0" w:color="FFFFFF" w:themeColor="background1"/>
              <w:bottom w:val="single" w:sz="4" w:space="0" w:color="FFFFFF" w:themeColor="background1"/>
            </w:tcBorders>
            <w:shd w:val="clear" w:color="auto" w:fill="FFC000"/>
          </w:tcPr>
          <w:p w14:paraId="3DC9353E" w14:textId="77777777" w:rsidR="004A0C97" w:rsidRPr="00D429D9" w:rsidRDefault="004A0C97" w:rsidP="00512812">
            <w:pPr>
              <w:pStyle w:val="TableText"/>
              <w:jc w:val="center"/>
            </w:pPr>
          </w:p>
        </w:tc>
        <w:tc>
          <w:tcPr>
            <w:tcW w:w="5103" w:type="dxa"/>
          </w:tcPr>
          <w:p w14:paraId="3DC9353F" w14:textId="77777777" w:rsidR="004A0C97" w:rsidRPr="00D429D9" w:rsidRDefault="004A0C97" w:rsidP="00512812">
            <w:pPr>
              <w:pStyle w:val="TableText"/>
            </w:pPr>
            <w:r w:rsidRPr="00D429D9">
              <w:t>Some strong opposition</w:t>
            </w:r>
          </w:p>
          <w:p w14:paraId="3DC93540" w14:textId="77777777" w:rsidR="004A0C97" w:rsidRPr="00D429D9" w:rsidRDefault="004A0C97" w:rsidP="00512812">
            <w:pPr>
              <w:pStyle w:val="TableText"/>
            </w:pPr>
            <w:r w:rsidRPr="00D429D9">
              <w:t>No opposition to the inclusion of glycopyrronium as a bronchodilator</w:t>
            </w:r>
          </w:p>
        </w:tc>
      </w:tr>
      <w:tr w:rsidR="004A0C97" w:rsidRPr="00D429D9" w14:paraId="3DC93545" w14:textId="77777777" w:rsidTr="00512812">
        <w:trPr>
          <w:cantSplit/>
        </w:trPr>
        <w:tc>
          <w:tcPr>
            <w:tcW w:w="2410" w:type="dxa"/>
          </w:tcPr>
          <w:p w14:paraId="3DC93542" w14:textId="77777777" w:rsidR="004A0C97" w:rsidRPr="00D429D9" w:rsidRDefault="004A0C97" w:rsidP="00512812">
            <w:pPr>
              <w:pStyle w:val="TableText"/>
              <w:ind w:right="57"/>
            </w:pPr>
            <w:r w:rsidRPr="00D429D9">
              <w:t>Controlled drugs</w:t>
            </w:r>
          </w:p>
        </w:tc>
        <w:tc>
          <w:tcPr>
            <w:tcW w:w="567" w:type="dxa"/>
            <w:tcBorders>
              <w:top w:val="single" w:sz="4" w:space="0" w:color="FFFFFF" w:themeColor="background1"/>
              <w:bottom w:val="single" w:sz="4" w:space="0" w:color="FFFFFF" w:themeColor="background1"/>
            </w:tcBorders>
            <w:shd w:val="clear" w:color="auto" w:fill="808080" w:themeFill="background1" w:themeFillShade="80"/>
          </w:tcPr>
          <w:p w14:paraId="3DC93543" w14:textId="77777777" w:rsidR="004A0C97" w:rsidRPr="00D429D9" w:rsidRDefault="004A0C97" w:rsidP="00512812">
            <w:pPr>
              <w:pStyle w:val="TableText"/>
              <w:jc w:val="center"/>
            </w:pPr>
          </w:p>
        </w:tc>
        <w:tc>
          <w:tcPr>
            <w:tcW w:w="5103" w:type="dxa"/>
          </w:tcPr>
          <w:p w14:paraId="3DC93544" w14:textId="77777777" w:rsidR="004A0C97" w:rsidRPr="00D429D9" w:rsidRDefault="004A0C97" w:rsidP="00512812">
            <w:pPr>
              <w:pStyle w:val="TableText"/>
            </w:pPr>
            <w:r w:rsidRPr="00D429D9">
              <w:t>Resource, time and/or effort to change Schedule 1B to Misuse of Drugs Regulations 1977 – not supported</w:t>
            </w:r>
          </w:p>
        </w:tc>
      </w:tr>
      <w:tr w:rsidR="004A0C97" w:rsidRPr="00D429D9" w14:paraId="3DC9354B" w14:textId="77777777" w:rsidTr="00512812">
        <w:trPr>
          <w:cantSplit/>
        </w:trPr>
        <w:tc>
          <w:tcPr>
            <w:tcW w:w="2410" w:type="dxa"/>
          </w:tcPr>
          <w:p w14:paraId="3DC93546" w14:textId="77777777" w:rsidR="004A0C97" w:rsidRPr="00D429D9" w:rsidRDefault="004A0C97" w:rsidP="00512812">
            <w:pPr>
              <w:pStyle w:val="TableText"/>
              <w:ind w:right="57"/>
            </w:pPr>
            <w:r w:rsidRPr="00D429D9">
              <w:t>Not yet classified (unapproved medicines)</w:t>
            </w:r>
          </w:p>
          <w:p w14:paraId="3DC93547" w14:textId="77777777" w:rsidR="004A0C97" w:rsidRPr="00D429D9" w:rsidRDefault="004A0C97" w:rsidP="00512812">
            <w:pPr>
              <w:pStyle w:val="TableText"/>
              <w:ind w:right="57"/>
            </w:pPr>
            <w:r w:rsidRPr="00D429D9">
              <w:t xml:space="preserve">Re-labelled as </w:t>
            </w:r>
            <w:r w:rsidR="00F062F2">
              <w:t>‘</w:t>
            </w:r>
            <w:r w:rsidRPr="00D429D9">
              <w:t>active pharmaceutical ingredients</w:t>
            </w:r>
            <w:r w:rsidR="00F062F2">
              <w:t>’</w:t>
            </w:r>
          </w:p>
        </w:tc>
        <w:tc>
          <w:tcPr>
            <w:tcW w:w="567" w:type="dxa"/>
            <w:tcBorders>
              <w:top w:val="single" w:sz="4" w:space="0" w:color="FFFFFF" w:themeColor="background1"/>
              <w:bottom w:val="single" w:sz="4" w:space="0" w:color="FFC000"/>
            </w:tcBorders>
            <w:shd w:val="clear" w:color="auto" w:fill="FFC000"/>
          </w:tcPr>
          <w:p w14:paraId="3DC93548" w14:textId="77777777" w:rsidR="004A0C97" w:rsidRPr="00D429D9" w:rsidRDefault="004A0C97" w:rsidP="00512812">
            <w:pPr>
              <w:pStyle w:val="TableText"/>
              <w:jc w:val="center"/>
            </w:pPr>
          </w:p>
        </w:tc>
        <w:tc>
          <w:tcPr>
            <w:tcW w:w="5103" w:type="dxa"/>
          </w:tcPr>
          <w:p w14:paraId="3DC93549" w14:textId="77777777" w:rsidR="004A0C97" w:rsidRPr="00D429D9" w:rsidRDefault="004A0C97" w:rsidP="00512812">
            <w:pPr>
              <w:pStyle w:val="TableText"/>
            </w:pPr>
            <w:r w:rsidRPr="00D429D9">
              <w:t>Some support for inclusion</w:t>
            </w:r>
          </w:p>
          <w:p w14:paraId="3DC9354A" w14:textId="77777777" w:rsidR="004A0C97" w:rsidRPr="00D429D9" w:rsidRDefault="004A0C97" w:rsidP="00512812">
            <w:pPr>
              <w:pStyle w:val="TableText"/>
              <w:rPr>
                <w:rFonts w:asciiTheme="minorHAnsi" w:hAnsiTheme="minorHAnsi"/>
                <w:sz w:val="20"/>
                <w:lang w:eastAsia="en-US"/>
              </w:rPr>
            </w:pPr>
            <w:r w:rsidRPr="00D429D9">
              <w:t>Some strong opposition if they were unapproved medicines</w:t>
            </w:r>
          </w:p>
        </w:tc>
      </w:tr>
    </w:tbl>
    <w:p w14:paraId="3DC9354C" w14:textId="77777777" w:rsidR="004A0C97" w:rsidRPr="00D429D9" w:rsidRDefault="004A0C97" w:rsidP="00512812"/>
    <w:p w14:paraId="3DC9354D" w14:textId="77777777" w:rsidR="004A0C97" w:rsidRDefault="004A0C97" w:rsidP="00512812">
      <w:pPr>
        <w:pStyle w:val="Heading1"/>
      </w:pPr>
      <w:bookmarkStart w:id="80" w:name="_Toc80015015"/>
      <w:bookmarkStart w:id="81" w:name="_Toc84936545"/>
      <w:bookmarkStart w:id="82" w:name="_Toc86657226"/>
      <w:bookmarkEnd w:id="53"/>
      <w:r w:rsidRPr="00D429D9">
        <w:lastRenderedPageBreak/>
        <w:t>Future considerations</w:t>
      </w:r>
      <w:bookmarkEnd w:id="80"/>
      <w:bookmarkEnd w:id="81"/>
      <w:bookmarkEnd w:id="82"/>
    </w:p>
    <w:p w14:paraId="3DC9354E" w14:textId="77777777" w:rsidR="00F062F2" w:rsidRDefault="004A0C97" w:rsidP="00512812">
      <w:r>
        <w:t>This is the first time that the schedule to the Medicines (Designated Pharmacist Prescribers) Regulations 2013 has been updated since its inception.</w:t>
      </w:r>
      <w:r w:rsidR="00F062F2">
        <w:t xml:space="preserve"> </w:t>
      </w:r>
      <w:r>
        <w:t>The process involves stakeholder consultation, as required by the Medicines Act and working collaboratively with the Council.</w:t>
      </w:r>
      <w:r w:rsidR="00F062F2">
        <w:t xml:space="preserve"> </w:t>
      </w:r>
      <w:r>
        <w:t>We will need to consider how future review of the schedule could be improved on.</w:t>
      </w:r>
    </w:p>
    <w:p w14:paraId="3DC9354F" w14:textId="77777777" w:rsidR="00512812" w:rsidRDefault="00512812" w:rsidP="00512812"/>
    <w:p w14:paraId="3DC93550" w14:textId="77777777" w:rsidR="00F062F2" w:rsidRDefault="004A0C97" w:rsidP="00512812">
      <w:pPr>
        <w:pStyle w:val="Heading2"/>
      </w:pPr>
      <w:bookmarkStart w:id="83" w:name="_Toc84936546"/>
      <w:bookmarkStart w:id="84" w:name="_Toc86657227"/>
      <w:r w:rsidRPr="007F279F">
        <w:t>Review process for updating the schedules</w:t>
      </w:r>
      <w:bookmarkEnd w:id="83"/>
      <w:bookmarkEnd w:id="84"/>
    </w:p>
    <w:p w14:paraId="3DC93551" w14:textId="77777777" w:rsidR="00512812" w:rsidRPr="00660F1F" w:rsidRDefault="00512812" w:rsidP="00512812">
      <w:pPr>
        <w:pStyle w:val="Box"/>
      </w:pPr>
      <w:bookmarkStart w:id="85" w:name="_Toc76028270"/>
      <w:r w:rsidRPr="00660F1F">
        <w:t>We request consideration to determine a regular and appropriate review frequency of the current schedule of prescription medicines. This is to ensure that the current schedule does not hinder pharmacist prescribers undertaking best practice prescribing.</w:t>
      </w:r>
    </w:p>
    <w:p w14:paraId="3DC93552" w14:textId="77777777" w:rsidR="004A0C97" w:rsidRPr="00D429D9" w:rsidRDefault="00512812" w:rsidP="00512812">
      <w:pPr>
        <w:pStyle w:val="Box"/>
        <w:spacing w:before="0"/>
        <w:jc w:val="right"/>
      </w:pPr>
      <w:r w:rsidRPr="00660F1F">
        <w:t>Respondent</w:t>
      </w:r>
    </w:p>
    <w:p w14:paraId="3DC93553" w14:textId="77777777" w:rsidR="00512812" w:rsidRDefault="00512812" w:rsidP="00512812"/>
    <w:p w14:paraId="3DC93554" w14:textId="7EFCD3A5" w:rsidR="004A0C97" w:rsidRPr="00D429D9" w:rsidRDefault="004A0C97" w:rsidP="00512812">
      <w:r w:rsidRPr="00D429D9">
        <w:t xml:space="preserve">One respondent raised concerns that the process involved in reviewing the pharmacist prescriber schedule and the fact that it happens so rarely have impacted on the practice of pharmacist prescribers. </w:t>
      </w:r>
      <w:r w:rsidR="00512812">
        <w:fldChar w:fldCharType="begin"/>
      </w:r>
      <w:r w:rsidR="00512812">
        <w:instrText xml:space="preserve"> REF _Ref86303801 \h </w:instrText>
      </w:r>
      <w:r w:rsidR="00512812">
        <w:fldChar w:fldCharType="separate"/>
      </w:r>
      <w:r w:rsidR="00D172A7">
        <w:t>Figure </w:t>
      </w:r>
      <w:r w:rsidR="00D172A7">
        <w:rPr>
          <w:noProof/>
        </w:rPr>
        <w:t>5</w:t>
      </w:r>
      <w:r w:rsidR="00512812">
        <w:fldChar w:fldCharType="end"/>
      </w:r>
      <w:r w:rsidRPr="00D429D9">
        <w:t xml:space="preserve"> summarises the review process. Please note it does not include internal engagements within the Ministry.</w:t>
      </w:r>
    </w:p>
    <w:p w14:paraId="3DC93555" w14:textId="77777777" w:rsidR="004A0C97" w:rsidRPr="00D429D9" w:rsidRDefault="004A0C97" w:rsidP="00512812"/>
    <w:p w14:paraId="3DC93556" w14:textId="5504BAEA" w:rsidR="004A0C97" w:rsidRPr="00D429D9" w:rsidRDefault="00512812" w:rsidP="00512812">
      <w:pPr>
        <w:pStyle w:val="Figure"/>
      </w:pPr>
      <w:bookmarkStart w:id="86" w:name="_Ref86303801"/>
      <w:bookmarkStart w:id="87" w:name="_Toc86306631"/>
      <w:r>
        <w:lastRenderedPageBreak/>
        <w:t>Figure </w:t>
      </w:r>
      <w:fldSimple w:instr=" SEQ Figure \* ARABIC ">
        <w:r w:rsidR="00D172A7">
          <w:rPr>
            <w:noProof/>
          </w:rPr>
          <w:t>5</w:t>
        </w:r>
      </w:fldSimple>
      <w:bookmarkEnd w:id="86"/>
      <w:r w:rsidR="004A0C97" w:rsidRPr="00D429D9">
        <w:t>: Summary of the review process for consultation on amendments to the schedules of specified prescription medicines for designated pharmacist prescribers</w:t>
      </w:r>
      <w:bookmarkEnd w:id="87"/>
    </w:p>
    <w:p w14:paraId="3DC93557" w14:textId="77777777" w:rsidR="004A0C97" w:rsidRPr="00512812" w:rsidRDefault="00CA0260" w:rsidP="00CA0260">
      <w:pPr>
        <w:rPr>
          <w:rFonts w:eastAsia="Arial"/>
        </w:rPr>
      </w:pPr>
      <w:r w:rsidRPr="00CA0260">
        <w:rPr>
          <w:noProof/>
        </w:rPr>
        <w:drawing>
          <wp:inline distT="0" distB="0" distL="0" distR="0" wp14:anchorId="3DC93752" wp14:editId="6369EFD2">
            <wp:extent cx="5130165" cy="4089333"/>
            <wp:effectExtent l="0" t="0" r="0" b="6985"/>
            <wp:docPr id="11" name="Picture 11" descr="Flow chart of the review process from the start when the Pharmacy Council makes a request to the Ministry of Health with a proposed list and stakeholder consultation to end which is inform Pharmacy Council of the DG's decision and DG approves finalised list and finalised list published in Gaz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Flow chart of the review process from the start when the Pharmacy Council makes a request to the Ministry of Health with a proposed list and stakeholder consultation to end which is inform Pharmacy Council of the DG's decision and DG approves finalised list and finalised list published in Gazette"/>
                    <pic:cNvPicPr/>
                  </pic:nvPicPr>
                  <pic:blipFill>
                    <a:blip r:embed="rId25"/>
                    <a:stretch>
                      <a:fillRect/>
                    </a:stretch>
                  </pic:blipFill>
                  <pic:spPr>
                    <a:xfrm>
                      <a:off x="0" y="0"/>
                      <a:ext cx="5130165" cy="4089333"/>
                    </a:xfrm>
                    <a:prstGeom prst="rect">
                      <a:avLst/>
                    </a:prstGeom>
                  </pic:spPr>
                </pic:pic>
              </a:graphicData>
            </a:graphic>
          </wp:inline>
        </w:drawing>
      </w:r>
    </w:p>
    <w:p w14:paraId="3DC93558" w14:textId="77777777" w:rsidR="004A0C97" w:rsidRPr="00D429D9" w:rsidRDefault="004A0C97" w:rsidP="00512812">
      <w:pPr>
        <w:rPr>
          <w:rFonts w:eastAsia="Arial"/>
          <w:lang w:eastAsia="en-US"/>
        </w:rPr>
      </w:pPr>
    </w:p>
    <w:p w14:paraId="3DC93559" w14:textId="126E5130" w:rsidR="004A0C97" w:rsidRPr="00D429D9" w:rsidRDefault="004A0C97" w:rsidP="00512812">
      <w:pPr>
        <w:rPr>
          <w:rFonts w:eastAsia="Arial"/>
          <w:lang w:eastAsia="en-US"/>
        </w:rPr>
      </w:pPr>
      <w:r w:rsidRPr="00D429D9">
        <w:rPr>
          <w:rFonts w:eastAsia="Arial"/>
          <w:lang w:eastAsia="en-US"/>
        </w:rPr>
        <w:t xml:space="preserve">The process that the Ministry and Council follow aligns with current requirements under the relevant legislation. See the </w:t>
      </w:r>
      <w:r w:rsidR="00CA0260">
        <w:rPr>
          <w:rFonts w:eastAsia="Arial"/>
          <w:lang w:eastAsia="en-US"/>
        </w:rPr>
        <w:fldChar w:fldCharType="begin"/>
      </w:r>
      <w:r w:rsidR="00CA0260">
        <w:rPr>
          <w:rFonts w:eastAsia="Arial"/>
          <w:lang w:eastAsia="en-US"/>
        </w:rPr>
        <w:instrText xml:space="preserve"> REF _Ref86304821 \h </w:instrText>
      </w:r>
      <w:r w:rsidR="00CA0260">
        <w:rPr>
          <w:rFonts w:eastAsia="Arial"/>
          <w:lang w:eastAsia="en-US"/>
        </w:rPr>
      </w:r>
      <w:r w:rsidR="00CA0260">
        <w:rPr>
          <w:rFonts w:eastAsia="Arial"/>
          <w:lang w:eastAsia="en-US"/>
        </w:rPr>
        <w:fldChar w:fldCharType="separate"/>
      </w:r>
      <w:r w:rsidR="00D172A7">
        <w:t>Introduction</w:t>
      </w:r>
      <w:r w:rsidR="00CA0260">
        <w:rPr>
          <w:rFonts w:eastAsia="Arial"/>
          <w:lang w:eastAsia="en-US"/>
        </w:rPr>
        <w:fldChar w:fldCharType="end"/>
      </w:r>
      <w:r w:rsidRPr="00D429D9">
        <w:rPr>
          <w:rFonts w:eastAsia="Arial"/>
          <w:lang w:eastAsia="en-US"/>
        </w:rPr>
        <w:t xml:space="preserve"> for details of this legislation.</w:t>
      </w:r>
    </w:p>
    <w:p w14:paraId="3DC9355A" w14:textId="77777777" w:rsidR="004A0C97" w:rsidRPr="00D429D9" w:rsidRDefault="004A0C97" w:rsidP="00CA0260">
      <w:pPr>
        <w:rPr>
          <w:rFonts w:eastAsia="Arial"/>
          <w:lang w:eastAsia="en-US"/>
        </w:rPr>
      </w:pPr>
    </w:p>
    <w:p w14:paraId="3DC9355B" w14:textId="3A29A4C9" w:rsidR="00F062F2" w:rsidRDefault="004A0C97" w:rsidP="00CA0260">
      <w:pPr>
        <w:rPr>
          <w:rFonts w:eastAsia="Arial"/>
          <w:lang w:eastAsia="en-US"/>
        </w:rPr>
      </w:pPr>
      <w:r w:rsidRPr="00D429D9">
        <w:rPr>
          <w:rFonts w:eastAsia="Arial"/>
          <w:lang w:eastAsia="en-US"/>
        </w:rPr>
        <w:t xml:space="preserve">At the end the process set out in </w:t>
      </w:r>
      <w:r w:rsidR="00CA0260">
        <w:rPr>
          <w:rFonts w:eastAsia="Arial"/>
          <w:lang w:eastAsia="en-US"/>
        </w:rPr>
        <w:fldChar w:fldCharType="begin"/>
      </w:r>
      <w:r w:rsidR="00CA0260">
        <w:rPr>
          <w:rFonts w:eastAsia="Arial"/>
          <w:lang w:eastAsia="en-US"/>
        </w:rPr>
        <w:instrText xml:space="preserve"> REF _Ref86303801 \h </w:instrText>
      </w:r>
      <w:r w:rsidR="00CA0260">
        <w:rPr>
          <w:rFonts w:eastAsia="Arial"/>
          <w:lang w:eastAsia="en-US"/>
        </w:rPr>
      </w:r>
      <w:r w:rsidR="00CA0260">
        <w:rPr>
          <w:rFonts w:eastAsia="Arial"/>
          <w:lang w:eastAsia="en-US"/>
        </w:rPr>
        <w:fldChar w:fldCharType="separate"/>
      </w:r>
      <w:r w:rsidR="00D172A7">
        <w:t>Figure </w:t>
      </w:r>
      <w:r w:rsidR="00D172A7">
        <w:rPr>
          <w:noProof/>
        </w:rPr>
        <w:t>5</w:t>
      </w:r>
      <w:r w:rsidR="00CA0260">
        <w:rPr>
          <w:rFonts w:eastAsia="Arial"/>
          <w:lang w:eastAsia="en-US"/>
        </w:rPr>
        <w:fldChar w:fldCharType="end"/>
      </w:r>
      <w:r w:rsidRPr="00D429D9">
        <w:rPr>
          <w:rFonts w:eastAsia="Arial"/>
          <w:lang w:eastAsia="en-US"/>
        </w:rPr>
        <w:t>, after publication of the list in the Gazette, the Ministry and Council will undertake a debrief of the consultation process. We anticipate this will include reviewing feedback from the stakeholders about, for example, the consultation process and format.</w:t>
      </w:r>
    </w:p>
    <w:p w14:paraId="3DC9355C" w14:textId="77777777" w:rsidR="004A0C97" w:rsidRPr="00D429D9" w:rsidRDefault="004A0C97" w:rsidP="00CA0260">
      <w:pPr>
        <w:rPr>
          <w:rFonts w:eastAsia="Arial"/>
          <w:lang w:eastAsia="en-US"/>
        </w:rPr>
      </w:pPr>
    </w:p>
    <w:p w14:paraId="3DC9355D" w14:textId="77777777" w:rsidR="00F062F2" w:rsidRDefault="004A0C97" w:rsidP="00CA0260">
      <w:pPr>
        <w:rPr>
          <w:rFonts w:eastAsia="Arial"/>
          <w:lang w:eastAsia="en-US"/>
        </w:rPr>
      </w:pPr>
      <w:r w:rsidRPr="00D429D9">
        <w:rPr>
          <w:rFonts w:eastAsia="Arial"/>
          <w:lang w:eastAsia="en-US"/>
        </w:rPr>
        <w:t>One of the objectives of this review is to further streamline and structure the process while meeting legislative requirements to give pharmacist prescribers greater access to medicines.</w:t>
      </w:r>
    </w:p>
    <w:p w14:paraId="3DC9355E" w14:textId="77777777" w:rsidR="004A0C97" w:rsidRPr="00D429D9" w:rsidRDefault="004A0C97" w:rsidP="00CA0260">
      <w:pPr>
        <w:rPr>
          <w:rFonts w:eastAsia="Arial"/>
          <w:lang w:eastAsia="en-US"/>
        </w:rPr>
      </w:pPr>
    </w:p>
    <w:p w14:paraId="3DC9355F" w14:textId="77777777" w:rsidR="004A0C97" w:rsidRDefault="004A0C97" w:rsidP="00CA0260">
      <w:pPr>
        <w:rPr>
          <w:rFonts w:eastAsia="Arial"/>
          <w:lang w:eastAsia="en-US"/>
        </w:rPr>
      </w:pPr>
      <w:r w:rsidRPr="00D429D9">
        <w:rPr>
          <w:rFonts w:eastAsia="Arial"/>
          <w:lang w:eastAsia="en-US"/>
        </w:rPr>
        <w:t>In the longer term, the Ministry and Council will engage in opportunities to gather feedback on the current regulatory framework. Feedback will address the benefits of an updated process that is more responsive to changes in practice.</w:t>
      </w:r>
    </w:p>
    <w:p w14:paraId="3DC93560" w14:textId="77777777" w:rsidR="004A0C97" w:rsidRPr="00D429D9" w:rsidRDefault="004A0C97" w:rsidP="00CA0260">
      <w:pPr>
        <w:spacing w:before="240"/>
        <w:jc w:val="right"/>
        <w:rPr>
          <w:rFonts w:eastAsia="Arial"/>
          <w:lang w:eastAsia="en-US"/>
        </w:rPr>
      </w:pPr>
      <w:r>
        <w:rPr>
          <w:rFonts w:eastAsia="Arial"/>
          <w:lang w:eastAsia="en-US"/>
        </w:rPr>
        <w:t>Pharmacy Council</w:t>
      </w:r>
    </w:p>
    <w:p w14:paraId="3DC93561" w14:textId="77777777" w:rsidR="004A0C97" w:rsidRPr="00D429D9" w:rsidRDefault="004A0C97" w:rsidP="00CA0260"/>
    <w:p w14:paraId="3DC93562" w14:textId="77777777" w:rsidR="004A0C97" w:rsidRPr="00D429D9" w:rsidRDefault="004A0C97" w:rsidP="00CA0260">
      <w:pPr>
        <w:pStyle w:val="Heading2"/>
      </w:pPr>
      <w:bookmarkStart w:id="88" w:name="_Toc80015018"/>
      <w:bookmarkStart w:id="89" w:name="_Toc84936548"/>
      <w:bookmarkStart w:id="90" w:name="_Toc86657228"/>
      <w:bookmarkEnd w:id="85"/>
      <w:r w:rsidRPr="00D429D9">
        <w:lastRenderedPageBreak/>
        <w:t>Drugs excluded from the list</w:t>
      </w:r>
      <w:bookmarkEnd w:id="88"/>
      <w:bookmarkEnd w:id="89"/>
      <w:bookmarkEnd w:id="90"/>
    </w:p>
    <w:p w14:paraId="3DC93563" w14:textId="77777777" w:rsidR="004A0C97" w:rsidRPr="00D429D9" w:rsidRDefault="004A0C97" w:rsidP="00CA0260">
      <w:pPr>
        <w:keepNext/>
      </w:pPr>
      <w:r w:rsidRPr="00D429D9">
        <w:t>Numerous submissions were about medicines that were not included on the proposed list (eg, methylphenidate).</w:t>
      </w:r>
    </w:p>
    <w:p w14:paraId="3DC93564" w14:textId="77777777" w:rsidR="004A0C97" w:rsidRPr="00D429D9" w:rsidRDefault="004A0C97" w:rsidP="00CA0260"/>
    <w:p w14:paraId="3DC93565" w14:textId="77777777" w:rsidR="004A0C97" w:rsidRPr="00D429D9" w:rsidRDefault="004A0C97" w:rsidP="00CA0260">
      <w:pPr>
        <w:rPr>
          <w:rFonts w:eastAsia="Arial"/>
          <w:lang w:eastAsia="en-US"/>
        </w:rPr>
      </w:pPr>
      <w:r w:rsidRPr="00D429D9">
        <w:rPr>
          <w:rFonts w:eastAsia="Arial"/>
          <w:lang w:eastAsia="en-US"/>
        </w:rPr>
        <w:t>The Ministry of Health and Council compiled a preliminary list of medicines and controlled drugs from a proposed list that CAPA submitted. In doing so, they removed from the list active pharmaceutical ingredients that met any of the following exclusion criteria:</w:t>
      </w:r>
    </w:p>
    <w:p w14:paraId="3DC93566" w14:textId="77777777" w:rsidR="004A0C97" w:rsidRPr="00D429D9" w:rsidRDefault="004A0C97" w:rsidP="00CA0260">
      <w:pPr>
        <w:pStyle w:val="Bullet"/>
        <w:rPr>
          <w:rFonts w:eastAsia="Arial"/>
          <w:lang w:eastAsia="en-US"/>
        </w:rPr>
      </w:pPr>
      <w:r w:rsidRPr="00D429D9">
        <w:rPr>
          <w:rFonts w:eastAsia="Arial"/>
          <w:lang w:eastAsia="en-US"/>
        </w:rPr>
        <w:t>holding restricted medicine, pharmacy-only medicine, or general sale classification</w:t>
      </w:r>
    </w:p>
    <w:p w14:paraId="3DC93567" w14:textId="77777777" w:rsidR="004A0C97" w:rsidRPr="00D429D9" w:rsidRDefault="004A0C97" w:rsidP="00CA0260">
      <w:pPr>
        <w:pStyle w:val="Bullet"/>
        <w:rPr>
          <w:rFonts w:eastAsia="Arial"/>
          <w:lang w:eastAsia="en-US"/>
        </w:rPr>
      </w:pPr>
      <w:r w:rsidRPr="00D429D9">
        <w:rPr>
          <w:rFonts w:eastAsia="Arial"/>
          <w:lang w:eastAsia="en-US"/>
        </w:rPr>
        <w:t>being subject to prescribing restrictions under section 23 of the Medicines Act 1981 or regulation 22 of the Misuse of Drugs Regulations 1977</w:t>
      </w:r>
    </w:p>
    <w:p w14:paraId="3DC93568" w14:textId="77777777" w:rsidR="004A0C97" w:rsidRPr="00D429D9" w:rsidRDefault="004A0C97" w:rsidP="00CA0260">
      <w:pPr>
        <w:pStyle w:val="Bullet"/>
        <w:rPr>
          <w:rFonts w:eastAsia="Arial"/>
          <w:lang w:eastAsia="en-US"/>
        </w:rPr>
      </w:pPr>
      <w:r w:rsidRPr="00D429D9">
        <w:rPr>
          <w:rFonts w:eastAsia="Arial"/>
          <w:lang w:eastAsia="en-US"/>
        </w:rPr>
        <w:t>absence of an approved human indication</w:t>
      </w:r>
    </w:p>
    <w:p w14:paraId="3DC93569" w14:textId="77777777" w:rsidR="004A0C97" w:rsidRPr="00D429D9" w:rsidRDefault="004A0C97" w:rsidP="00CA0260">
      <w:pPr>
        <w:pStyle w:val="Bullet"/>
        <w:rPr>
          <w:rFonts w:eastAsia="Arial"/>
          <w:lang w:eastAsia="en-US"/>
        </w:rPr>
      </w:pPr>
      <w:r w:rsidRPr="00D429D9">
        <w:rPr>
          <w:rFonts w:eastAsia="Arial"/>
          <w:lang w:eastAsia="en-US"/>
        </w:rPr>
        <w:t>an indication for use as a volatile anaesthetic.</w:t>
      </w:r>
    </w:p>
    <w:p w14:paraId="3DC9356A" w14:textId="77777777" w:rsidR="004A0C97" w:rsidRPr="00D429D9" w:rsidRDefault="004A0C97" w:rsidP="00CA0260">
      <w:pPr>
        <w:rPr>
          <w:rFonts w:eastAsia="Arial"/>
          <w:lang w:eastAsia="en-US"/>
        </w:rPr>
      </w:pPr>
    </w:p>
    <w:p w14:paraId="3DC9356B" w14:textId="77777777" w:rsidR="00F062F2" w:rsidRDefault="004A0C97" w:rsidP="00CA0260">
      <w:pPr>
        <w:rPr>
          <w:rFonts w:eastAsia="Arial"/>
          <w:lang w:eastAsia="en-US"/>
        </w:rPr>
      </w:pPr>
      <w:r w:rsidRPr="00D429D9">
        <w:rPr>
          <w:rFonts w:eastAsia="Arial"/>
          <w:lang w:eastAsia="en-US"/>
        </w:rPr>
        <w:t>Clozapine, riluzole and thalidomide were excluded on the basis of restrictions under section 23 of the Medicines Act 1981.</w:t>
      </w:r>
    </w:p>
    <w:p w14:paraId="3DC9356C" w14:textId="77777777" w:rsidR="004A0C97" w:rsidRPr="00D429D9" w:rsidRDefault="004A0C97" w:rsidP="00CA0260">
      <w:pPr>
        <w:rPr>
          <w:rFonts w:eastAsia="Arial"/>
          <w:lang w:eastAsia="en-US"/>
        </w:rPr>
      </w:pPr>
    </w:p>
    <w:p w14:paraId="3DC9356D" w14:textId="77777777" w:rsidR="00F062F2" w:rsidRDefault="004A0C97" w:rsidP="00CA0260">
      <w:pPr>
        <w:rPr>
          <w:rFonts w:eastAsia="Arial"/>
          <w:lang w:eastAsia="en-US"/>
        </w:rPr>
      </w:pPr>
      <w:r w:rsidRPr="00D429D9">
        <w:rPr>
          <w:rFonts w:eastAsia="Arial"/>
          <w:lang w:eastAsia="en-US"/>
        </w:rPr>
        <w:t>Similarly, dexamphetamine, ephedrine, pseudoephedrine and methylphenidate were excluded due to restrictions under regulation 22 of the Misuse of Drugs Regulations 1977. For more information on these restrictions, visit the Medsafe website.</w:t>
      </w:r>
    </w:p>
    <w:p w14:paraId="3DC9356E" w14:textId="77777777" w:rsidR="004A0C97" w:rsidRPr="00D429D9" w:rsidRDefault="004A0C97" w:rsidP="00CA0260">
      <w:pPr>
        <w:rPr>
          <w:rFonts w:eastAsia="Arial"/>
          <w:lang w:eastAsia="en-US"/>
        </w:rPr>
      </w:pPr>
    </w:p>
    <w:p w14:paraId="3DC9356F" w14:textId="77777777" w:rsidR="004A0C97" w:rsidRDefault="004A0C97" w:rsidP="00CA0260">
      <w:pPr>
        <w:rPr>
          <w:rFonts w:eastAsia="Arial"/>
          <w:lang w:eastAsia="en-US"/>
        </w:rPr>
      </w:pPr>
      <w:r w:rsidRPr="00D429D9">
        <w:rPr>
          <w:rFonts w:eastAsia="Arial"/>
          <w:lang w:eastAsia="en-US"/>
        </w:rPr>
        <w:t>The Council submitted the reviewed list to the Ministry on 21 June 2021.</w:t>
      </w:r>
    </w:p>
    <w:p w14:paraId="3DC93570" w14:textId="77777777" w:rsidR="004A0C97" w:rsidRPr="00D429D9" w:rsidRDefault="004A0C97" w:rsidP="00CA0260">
      <w:pPr>
        <w:spacing w:before="240"/>
        <w:jc w:val="right"/>
        <w:rPr>
          <w:rFonts w:eastAsia="Arial"/>
          <w:lang w:eastAsia="en-US"/>
        </w:rPr>
      </w:pPr>
      <w:r>
        <w:rPr>
          <w:rFonts w:eastAsia="Arial"/>
          <w:lang w:eastAsia="en-US"/>
        </w:rPr>
        <w:t>Pharmacy Council</w:t>
      </w:r>
    </w:p>
    <w:p w14:paraId="3DC93571" w14:textId="77777777" w:rsidR="004A0C97" w:rsidRPr="00D429D9" w:rsidRDefault="004A0C97" w:rsidP="00CA0260">
      <w:pPr>
        <w:rPr>
          <w:rFonts w:eastAsia="Arial"/>
          <w:lang w:eastAsia="en-US"/>
        </w:rPr>
      </w:pPr>
    </w:p>
    <w:p w14:paraId="3DC93572" w14:textId="77777777" w:rsidR="00CA0260" w:rsidRDefault="00CA0260" w:rsidP="00CA0260">
      <w:pPr>
        <w:pStyle w:val="Heading1"/>
        <w:numPr>
          <w:ilvl w:val="0"/>
          <w:numId w:val="0"/>
        </w:numPr>
      </w:pPr>
      <w:bookmarkStart w:id="91" w:name="_Toc86657229"/>
      <w:bookmarkStart w:id="92" w:name="_Toc76659396"/>
      <w:bookmarkStart w:id="93" w:name="_Toc80015019"/>
      <w:bookmarkStart w:id="94" w:name="_Toc84936549"/>
      <w:r>
        <w:lastRenderedPageBreak/>
        <w:t>Appendices</w:t>
      </w:r>
      <w:bookmarkEnd w:id="91"/>
    </w:p>
    <w:p w14:paraId="3DC93573" w14:textId="77777777" w:rsidR="004A0C97" w:rsidRPr="00D429D9" w:rsidRDefault="004A0C97" w:rsidP="00CA0260">
      <w:pPr>
        <w:pStyle w:val="Heading2"/>
        <w:numPr>
          <w:ilvl w:val="0"/>
          <w:numId w:val="0"/>
        </w:numPr>
      </w:pPr>
      <w:bookmarkStart w:id="95" w:name="_Toc86657230"/>
      <w:r w:rsidRPr="00D429D9">
        <w:t xml:space="preserve">Appendix 1: </w:t>
      </w:r>
      <w:bookmarkEnd w:id="92"/>
      <w:r w:rsidRPr="00D429D9">
        <w:t>Consultation document</w:t>
      </w:r>
      <w:bookmarkEnd w:id="93"/>
      <w:bookmarkEnd w:id="94"/>
      <w:bookmarkEnd w:id="95"/>
    </w:p>
    <w:p w14:paraId="3DC93574" w14:textId="77777777" w:rsidR="004A0C97" w:rsidRPr="00D429D9" w:rsidRDefault="004A0C97" w:rsidP="00CA0260">
      <w:pPr>
        <w:pStyle w:val="Heading3"/>
        <w:rPr>
          <w:rFonts w:eastAsia="Times"/>
          <w:i/>
          <w:lang w:eastAsia="en-US"/>
        </w:rPr>
      </w:pPr>
      <w:r w:rsidRPr="00D429D9">
        <w:rPr>
          <w:rFonts w:eastAsia="Times"/>
          <w:lang w:eastAsia="en-US"/>
        </w:rPr>
        <w:t>Submission on amendments to the schedule of the Medicines (Designated Pharmacist Prescribers) Regulations 2013 and Schedule 1B of the Misuse of Drugs Regulations 1977</w:t>
      </w:r>
    </w:p>
    <w:p w14:paraId="3DC93575" w14:textId="77777777" w:rsidR="004A0C97" w:rsidRPr="00D429D9" w:rsidRDefault="004A0C97" w:rsidP="00CA0260">
      <w:pPr>
        <w:pStyle w:val="Heading4"/>
        <w:rPr>
          <w:rFonts w:eastAsia="Arial"/>
          <w:lang w:eastAsia="en-US"/>
        </w:rPr>
      </w:pPr>
      <w:r w:rsidRPr="00D429D9">
        <w:rPr>
          <w:rFonts w:eastAsia="Arial"/>
          <w:lang w:eastAsia="en-US"/>
        </w:rPr>
        <w:t>Purpose</w:t>
      </w:r>
    </w:p>
    <w:p w14:paraId="3DC93576" w14:textId="77777777" w:rsidR="004A0C97" w:rsidRPr="00D429D9" w:rsidRDefault="004A0C97" w:rsidP="00CA0260">
      <w:r w:rsidRPr="00D429D9">
        <w:t>The Ministry of Health invites submissions on proposed amendments to the schedule of specified prescription medicines for designated pharmacist prescribers.</w:t>
      </w:r>
    </w:p>
    <w:p w14:paraId="3DC93577" w14:textId="77777777" w:rsidR="00CA0260" w:rsidRDefault="00CA0260" w:rsidP="00CA0260"/>
    <w:p w14:paraId="3DC93578" w14:textId="77777777" w:rsidR="004A0C97" w:rsidRPr="00D429D9" w:rsidRDefault="004A0C97" w:rsidP="00CA0260">
      <w:r w:rsidRPr="00D429D9">
        <w:t>The Ministry of Health, on behalf of the Director-General, must consult with those people or organisations that may be affected by a change to the schedules before making a legal change by Gazette notice.</w:t>
      </w:r>
    </w:p>
    <w:p w14:paraId="3DC93579" w14:textId="77777777" w:rsidR="00CA0260" w:rsidRDefault="00CA0260" w:rsidP="00CA0260"/>
    <w:p w14:paraId="3DC9357A" w14:textId="77777777" w:rsidR="00F062F2" w:rsidRDefault="004A0C97" w:rsidP="00CA0260">
      <w:r w:rsidRPr="00D429D9">
        <w:t>This submission will allow you to provide feedback on the proposed medicines, or to propose medicines that have not been referenced.</w:t>
      </w:r>
    </w:p>
    <w:p w14:paraId="3DC9357B" w14:textId="77777777" w:rsidR="004A0C97" w:rsidRPr="00CA0260" w:rsidRDefault="00515BF3" w:rsidP="00CA0260">
      <w:pPr>
        <w:pStyle w:val="Bullet"/>
        <w:rPr>
          <w:rStyle w:val="Hyperlink"/>
        </w:rPr>
      </w:pPr>
      <w:hyperlink r:id="rId26" w:tgtFrame="_blank" w:history="1">
        <w:r w:rsidR="004A0C97" w:rsidRPr="00CA0260">
          <w:rPr>
            <w:rStyle w:val="Hyperlink"/>
          </w:rPr>
          <w:t>View the proposed medicines list</w:t>
        </w:r>
      </w:hyperlink>
    </w:p>
    <w:p w14:paraId="3DC9357C" w14:textId="77777777" w:rsidR="00CA0260" w:rsidRDefault="00CA0260" w:rsidP="00CA0260"/>
    <w:p w14:paraId="3DC9357D" w14:textId="77777777" w:rsidR="004A0C97" w:rsidRPr="00D429D9" w:rsidRDefault="004A0C97" w:rsidP="00CA0260">
      <w:pPr>
        <w:rPr>
          <w:color w:val="000000"/>
        </w:rPr>
      </w:pPr>
      <w:r w:rsidRPr="00D429D9">
        <w:t>Please submit your feedback on the proposed amendments by</w:t>
      </w:r>
      <w:r w:rsidR="00CA0260">
        <w:t xml:space="preserve"> </w:t>
      </w:r>
      <w:r w:rsidRPr="00D429D9">
        <w:rPr>
          <w:b/>
          <w:bCs/>
        </w:rPr>
        <w:t>12 August 2021</w:t>
      </w:r>
      <w:r w:rsidRPr="00D429D9">
        <w:rPr>
          <w:bCs/>
        </w:rPr>
        <w:t>.</w:t>
      </w:r>
      <w:r w:rsidRPr="00CA0260">
        <w:rPr>
          <w:rStyle w:val="FootnoteReference"/>
        </w:rPr>
        <w:footnoteReference w:id="12"/>
      </w:r>
    </w:p>
    <w:p w14:paraId="3DC9357E" w14:textId="77777777" w:rsidR="00CA0260" w:rsidRDefault="00CA0260" w:rsidP="00CA0260"/>
    <w:p w14:paraId="3DC9357F" w14:textId="77777777" w:rsidR="004A0C97" w:rsidRPr="00D429D9" w:rsidRDefault="004A0C97" w:rsidP="00CA0260">
      <w:r w:rsidRPr="00D429D9">
        <w:t>Note that specific questions you may have about the proposed prescription medicines or controlled drugs for designated pharmacist prescribers should be directed to the</w:t>
      </w:r>
      <w:r w:rsidR="00CA0260">
        <w:t xml:space="preserve"> </w:t>
      </w:r>
      <w:hyperlink r:id="rId27" w:history="1">
        <w:r w:rsidRPr="00CA0260">
          <w:rPr>
            <w:rStyle w:val="Hyperlink"/>
            <w:rFonts w:eastAsiaTheme="majorEastAsia"/>
          </w:rPr>
          <w:t>Pharmacy Council</w:t>
        </w:r>
      </w:hyperlink>
      <w:r w:rsidRPr="00D429D9">
        <w:t>.</w:t>
      </w:r>
    </w:p>
    <w:p w14:paraId="3DC93580" w14:textId="77777777" w:rsidR="004A0C97" w:rsidRPr="00D429D9" w:rsidRDefault="004A0C97" w:rsidP="00CA0260"/>
    <w:p w14:paraId="3DC93581" w14:textId="77777777" w:rsidR="004A0C97" w:rsidRPr="00D429D9" w:rsidRDefault="004A0C97" w:rsidP="00CA0260">
      <w:pPr>
        <w:pStyle w:val="Heading4"/>
        <w:rPr>
          <w:rFonts w:eastAsia="Arial"/>
          <w:lang w:eastAsia="en-US"/>
        </w:rPr>
      </w:pPr>
      <w:r w:rsidRPr="00D429D9">
        <w:rPr>
          <w:rFonts w:eastAsia="Arial"/>
          <w:lang w:eastAsia="en-US"/>
        </w:rPr>
        <w:t>Background</w:t>
      </w:r>
    </w:p>
    <w:p w14:paraId="3DC93582" w14:textId="084DFE01" w:rsidR="004A0C97" w:rsidRPr="00D429D9" w:rsidRDefault="004A0C97" w:rsidP="00CA0260">
      <w:r w:rsidRPr="00D429D9">
        <w:t>Designated pharmacist prescribers have met specific requirements and are registered in an additional scope of practice by the Pharmacy Council.</w:t>
      </w:r>
      <w:r w:rsidRPr="00CA0260">
        <w:rPr>
          <w:rStyle w:val="FootnoteReference"/>
        </w:rPr>
        <w:footnoteReference w:id="13"/>
      </w:r>
      <w:r w:rsidR="00CA0260">
        <w:t xml:space="preserve"> </w:t>
      </w:r>
      <w:r w:rsidRPr="00D429D9">
        <w:t xml:space="preserve">They work in collaborative multidisciplinary health care teams and only prescribe medicines within their specific area of practice. Additional information on requirements and practice context is provided in the </w:t>
      </w:r>
      <w:r w:rsidR="00F062F2">
        <w:t>“</w:t>
      </w:r>
      <w:r w:rsidR="00CA0260">
        <w:fldChar w:fldCharType="begin"/>
      </w:r>
      <w:r w:rsidR="00CA0260">
        <w:instrText xml:space="preserve"> REF _Ref86305060 \h </w:instrText>
      </w:r>
      <w:r w:rsidR="00CA0260">
        <w:fldChar w:fldCharType="separate"/>
      </w:r>
      <w:r w:rsidR="00D172A7" w:rsidRPr="00D429D9">
        <w:rPr>
          <w:rFonts w:eastAsia="Arial"/>
          <w:lang w:eastAsia="en-US"/>
        </w:rPr>
        <w:t>Who/What is a Designated Pharmacist Prescriber?</w:t>
      </w:r>
      <w:r w:rsidR="00CA0260">
        <w:fldChar w:fldCharType="end"/>
      </w:r>
      <w:r w:rsidR="00F062F2">
        <w:t>”</w:t>
      </w:r>
      <w:r w:rsidRPr="00D429D9">
        <w:t xml:space="preserve"> section.</w:t>
      </w:r>
    </w:p>
    <w:p w14:paraId="3DC93583" w14:textId="77777777" w:rsidR="00CA0260" w:rsidRDefault="00CA0260" w:rsidP="00CA0260"/>
    <w:p w14:paraId="3DC93584" w14:textId="77777777" w:rsidR="004A0C97" w:rsidRPr="00D429D9" w:rsidRDefault="004A0C97" w:rsidP="00CA0260">
      <w:pPr>
        <w:keepLines/>
      </w:pPr>
      <w:r w:rsidRPr="00D429D9">
        <w:lastRenderedPageBreak/>
        <w:t>The current schedule of 1,517 prescription medicines has been in effect since the Medicines (Designated Pharmacist Prescribers) Regulations passed into legislation in June 2013. Since then, additional medicines have become available in New Zealand, to which wider access would benefit patients. The schedule needs to be amended to reflect these additional medicines.</w:t>
      </w:r>
    </w:p>
    <w:p w14:paraId="3DC93585" w14:textId="77777777" w:rsidR="004A0C97" w:rsidRPr="00D429D9" w:rsidRDefault="004A0C97" w:rsidP="00CA0260">
      <w:pPr>
        <w:rPr>
          <w:rFonts w:eastAsia="Arial"/>
          <w:lang w:eastAsia="en-US"/>
        </w:rPr>
      </w:pPr>
    </w:p>
    <w:p w14:paraId="3DC93586" w14:textId="77777777" w:rsidR="004A0C97" w:rsidRPr="00D429D9" w:rsidRDefault="004A0C97" w:rsidP="00CA0260">
      <w:pPr>
        <w:pStyle w:val="Heading4"/>
        <w:rPr>
          <w:color w:val="000000"/>
        </w:rPr>
      </w:pPr>
      <w:r w:rsidRPr="00D429D9">
        <w:rPr>
          <w:rFonts w:eastAsia="Arial"/>
          <w:lang w:eastAsia="en-US"/>
        </w:rPr>
        <w:t>Required Amendments to Schedules</w:t>
      </w:r>
    </w:p>
    <w:p w14:paraId="3DC93587" w14:textId="77777777" w:rsidR="004A0C97" w:rsidRPr="00D429D9" w:rsidRDefault="004A0C97" w:rsidP="00CA0260">
      <w:r w:rsidRPr="00D429D9">
        <w:t>Following work with pharmacist prescribers and Ministry of Health, the Pharmacy Council recommends 198 prescription medicines should be added to the schedule of the Medicines (Designated Pharmacist Prescribers) Regulations 2013.</w:t>
      </w:r>
      <w:r w:rsidRPr="00CA0260">
        <w:rPr>
          <w:rStyle w:val="FootnoteReference"/>
        </w:rPr>
        <w:footnoteReference w:id="14"/>
      </w:r>
    </w:p>
    <w:p w14:paraId="3DC93588" w14:textId="77777777" w:rsidR="00CA0260" w:rsidRDefault="00CA0260" w:rsidP="00CA0260"/>
    <w:p w14:paraId="3DC93589" w14:textId="77777777" w:rsidR="00F062F2" w:rsidRDefault="004A0C97" w:rsidP="00CA0260">
      <w:r w:rsidRPr="00D429D9">
        <w:t>Schedule 1B of the Misuse of Drugs Regulations 1977 specifies 25 controlled drugs that may be prescribed by designated pharmacist prescribers. Three controlled drugs should be added to this schedule.</w:t>
      </w:r>
    </w:p>
    <w:p w14:paraId="3DC9358A" w14:textId="77777777" w:rsidR="00CA0260" w:rsidRDefault="00CA0260" w:rsidP="00CA0260"/>
    <w:p w14:paraId="3DC9358B" w14:textId="77777777" w:rsidR="004A0C97" w:rsidRPr="00D429D9" w:rsidRDefault="004A0C97" w:rsidP="00CA0260">
      <w:pPr>
        <w:pStyle w:val="Heading4"/>
        <w:rPr>
          <w:color w:val="000000"/>
        </w:rPr>
      </w:pPr>
      <w:bookmarkStart w:id="96" w:name="_Ref86305060"/>
      <w:r w:rsidRPr="00D429D9">
        <w:rPr>
          <w:rFonts w:eastAsia="Arial"/>
          <w:lang w:eastAsia="en-US"/>
        </w:rPr>
        <w:t>Who/What is a Designated Pharmacist Prescriber?</w:t>
      </w:r>
      <w:bookmarkEnd w:id="96"/>
    </w:p>
    <w:p w14:paraId="3DC9358C" w14:textId="77777777" w:rsidR="004A0C97" w:rsidRPr="00D429D9" w:rsidRDefault="004A0C97" w:rsidP="00CA0260">
      <w:r w:rsidRPr="00D429D9">
        <w:t>The Medicines (Designated Pharmacist Prescribers) Regulations 2013 and Misuse of Drugs Regulations 1977 permit designated pharmacist prescribers to prescribe specified prescription medicines.</w:t>
      </w:r>
    </w:p>
    <w:p w14:paraId="3DC9358D" w14:textId="77777777" w:rsidR="00CA0260" w:rsidRDefault="00CA0260" w:rsidP="00CA0260"/>
    <w:p w14:paraId="3DC9358E" w14:textId="77777777" w:rsidR="00F062F2" w:rsidRDefault="004A0C97" w:rsidP="00CA0260">
      <w:r w:rsidRPr="00D429D9">
        <w:t xml:space="preserve">Pharmacy Council sets the Pharmacist Prescriber scope of practice and the required qualifications to enter the scope. These are published in a </w:t>
      </w:r>
      <w:hyperlink r:id="rId28" w:history="1">
        <w:r w:rsidRPr="00D429D9">
          <w:rPr>
            <w:b/>
          </w:rPr>
          <w:t>Gazette notice</w:t>
        </w:r>
      </w:hyperlink>
      <w:r w:rsidRPr="00D429D9">
        <w:t>. The prescribing activities of designated pharmacist prescribers are therefore tightly regulated via the Medicines Act 1981, the Misuse of Drugs Act 1975, and the Health Practitioners Competence Assurance Act 2003.</w:t>
      </w:r>
    </w:p>
    <w:p w14:paraId="3DC9358F" w14:textId="77777777" w:rsidR="004A0C97" w:rsidRPr="00D429D9" w:rsidRDefault="004A0C97" w:rsidP="00CA0260"/>
    <w:p w14:paraId="3DC93590" w14:textId="77777777" w:rsidR="004A0C97" w:rsidRPr="00D429D9" w:rsidRDefault="004A0C97" w:rsidP="00CA0260">
      <w:r w:rsidRPr="00D429D9">
        <w:t>Pharmacy Council also sets expected levels of competence and requirements for entry into the scope. Requirements include:</w:t>
      </w:r>
    </w:p>
    <w:p w14:paraId="3DC93591" w14:textId="77777777" w:rsidR="004A0C97" w:rsidRPr="00D429D9" w:rsidRDefault="004A0C97" w:rsidP="00CA0260">
      <w:pPr>
        <w:pStyle w:val="Bullet"/>
      </w:pPr>
      <w:r w:rsidRPr="00D429D9">
        <w:t>holding an annual practising certificate in the Pharmacist scope of practice</w:t>
      </w:r>
    </w:p>
    <w:p w14:paraId="3DC93592" w14:textId="77777777" w:rsidR="004A0C97" w:rsidRPr="00D429D9" w:rsidRDefault="004A0C97" w:rsidP="00CA0260">
      <w:pPr>
        <w:pStyle w:val="Bullet"/>
      </w:pPr>
      <w:r w:rsidRPr="00D429D9">
        <w:t>having at least three (3) years of recent and appropriate post-registration experience working in a collaborative health care team environment</w:t>
      </w:r>
    </w:p>
    <w:p w14:paraId="3DC93593" w14:textId="77777777" w:rsidR="004A0C97" w:rsidRPr="00D429D9" w:rsidRDefault="004A0C97" w:rsidP="00CA0260">
      <w:pPr>
        <w:pStyle w:val="Bullet"/>
      </w:pPr>
      <w:r w:rsidRPr="00D429D9">
        <w:t>holding a qualification prescribed by the Pharmacy Council for entry into the Pharmacist Prescriber scope</w:t>
      </w:r>
    </w:p>
    <w:p w14:paraId="3DC93594" w14:textId="77777777" w:rsidR="004A0C97" w:rsidRPr="00D429D9" w:rsidRDefault="004A0C97" w:rsidP="00CA0260">
      <w:pPr>
        <w:pStyle w:val="Bullet"/>
      </w:pPr>
      <w:r w:rsidRPr="00D429D9">
        <w:t>submission of a practice plan which is endorsed by the clinical lead of their collaborative health care team</w:t>
      </w:r>
    </w:p>
    <w:p w14:paraId="3DC93595" w14:textId="77777777" w:rsidR="004A0C97" w:rsidRPr="00D429D9" w:rsidRDefault="004A0C97" w:rsidP="00CA0260">
      <w:pPr>
        <w:pStyle w:val="Bullet"/>
      </w:pPr>
      <w:r w:rsidRPr="00D429D9">
        <w:t>a declaration that their current practice includes competence standards M1, M2 and O1 from the Competence Standards for the Pharmacy Profession, and all the Pharmacist Prescriber Competence Standards.</w:t>
      </w:r>
      <w:r w:rsidRPr="00CA0260">
        <w:rPr>
          <w:rStyle w:val="FootnoteReference"/>
        </w:rPr>
        <w:footnoteReference w:id="15"/>
      </w:r>
    </w:p>
    <w:p w14:paraId="3DC93596" w14:textId="77777777" w:rsidR="00F062F2" w:rsidRDefault="004A0C97" w:rsidP="00CA0260">
      <w:pPr>
        <w:spacing w:before="240"/>
      </w:pPr>
      <w:r w:rsidRPr="00D429D9">
        <w:lastRenderedPageBreak/>
        <w:t>Designated pharmacist prescribers must prescribe within a collaborative and multidisciplinary health care team setting. In this environment it is inherent that the designated pharmacist prescriber is part of the patient</w:t>
      </w:r>
      <w:r w:rsidR="00F062F2">
        <w:t>’</w:t>
      </w:r>
      <w:r w:rsidRPr="00D429D9">
        <w:t>s collaborative health care team. Although the designated pharmacist prescriber is not the primary diagnostician in the collaborative health care team, they must be able to carry out clinical assessments and monitoring that are relevant to the medicines and conditions for which they prescribe.</w:t>
      </w:r>
    </w:p>
    <w:p w14:paraId="3DC93597" w14:textId="77777777" w:rsidR="004A0C97" w:rsidRPr="00D429D9" w:rsidRDefault="004A0C97" w:rsidP="00CA0260"/>
    <w:p w14:paraId="3DC93598" w14:textId="77777777" w:rsidR="004A0C97" w:rsidRPr="00D429D9" w:rsidRDefault="004A0C97" w:rsidP="00CA0260">
      <w:r w:rsidRPr="00D429D9">
        <w:t>The designated pharmacist prescriber must only prescribe within the limits of their professional expertise, competence and ethical codes of practice. They are responsible and accountable for the prescribing decisions they make and the care they provide. A designated pharmacist prescriber may only prescribe a medicine if:</w:t>
      </w:r>
    </w:p>
    <w:p w14:paraId="3DC93599" w14:textId="77777777" w:rsidR="004A0C97" w:rsidRPr="00D429D9" w:rsidRDefault="004A0C97" w:rsidP="00CA0260">
      <w:pPr>
        <w:pStyle w:val="Bullet"/>
      </w:pPr>
      <w:r w:rsidRPr="00D429D9">
        <w:rPr>
          <w:rFonts w:cs="Segoe UI"/>
        </w:rPr>
        <w:t>they</w:t>
      </w:r>
      <w:r w:rsidRPr="00D429D9">
        <w:t xml:space="preserve"> possess the appropriate knowledge and competence (both clinical and cultural)</w:t>
      </w:r>
    </w:p>
    <w:p w14:paraId="3DC9359A" w14:textId="77777777" w:rsidR="004A0C97" w:rsidRPr="00D429D9" w:rsidRDefault="004A0C97" w:rsidP="00CA0260">
      <w:pPr>
        <w:pStyle w:val="Bullet"/>
      </w:pPr>
      <w:r w:rsidRPr="00D429D9">
        <w:t>the condition and medicine lie within their specified clinical area of practice</w:t>
      </w:r>
    </w:p>
    <w:p w14:paraId="3DC9359B" w14:textId="77777777" w:rsidR="004A0C97" w:rsidRPr="00D429D9" w:rsidRDefault="004A0C97" w:rsidP="00CA0260">
      <w:pPr>
        <w:pStyle w:val="Bullet"/>
      </w:pPr>
      <w:r w:rsidRPr="00D429D9">
        <w:t>the clinical lead of the collaborative team is satisfied that pharmacist prescribing of the medicine is safe, aligns with legal and workplace protocols, and is in the best interests of the patient.</w:t>
      </w:r>
    </w:p>
    <w:p w14:paraId="3DC9359C" w14:textId="77777777" w:rsidR="00CA0260" w:rsidRDefault="00CA0260" w:rsidP="00CA0260"/>
    <w:p w14:paraId="3DC9359D" w14:textId="77777777" w:rsidR="004A0C97" w:rsidRDefault="004A0C97" w:rsidP="00CA0260">
      <w:r w:rsidRPr="00D429D9">
        <w:t xml:space="preserve">Additional information on designated pharmacist prescribers including requirements to enter the scope of practice and competence standards can be found on the Pharmacy Council </w:t>
      </w:r>
      <w:hyperlink r:id="rId29" w:history="1">
        <w:r w:rsidRPr="00CA0260">
          <w:rPr>
            <w:rStyle w:val="Hyperlink"/>
          </w:rPr>
          <w:t>website</w:t>
        </w:r>
      </w:hyperlink>
      <w:r w:rsidRPr="00D429D9">
        <w:t>.</w:t>
      </w:r>
    </w:p>
    <w:p w14:paraId="3DC9359E" w14:textId="77777777" w:rsidR="00CA0260" w:rsidRPr="00CA0260" w:rsidRDefault="00CA0260" w:rsidP="004216D5"/>
    <w:p w14:paraId="3DC9359F" w14:textId="77777777" w:rsidR="004A0C97" w:rsidRPr="00D429D9" w:rsidRDefault="004A0C97" w:rsidP="004216D5">
      <w:pPr>
        <w:pStyle w:val="Heading4"/>
        <w:rPr>
          <w:rFonts w:eastAsia="Arial"/>
          <w:lang w:eastAsia="en-US"/>
        </w:rPr>
      </w:pPr>
      <w:r w:rsidRPr="00D429D9">
        <w:rPr>
          <w:rFonts w:eastAsia="Arial"/>
          <w:lang w:eastAsia="en-US"/>
        </w:rPr>
        <w:t>View the proposed medicines list</w:t>
      </w:r>
    </w:p>
    <w:tbl>
      <w:tblPr>
        <w:tblW w:w="0" w:type="auto"/>
        <w:tblInd w:w="57" w:type="dxa"/>
        <w:tblLayout w:type="fixed"/>
        <w:tblCellMar>
          <w:left w:w="57" w:type="dxa"/>
          <w:right w:w="57" w:type="dxa"/>
        </w:tblCellMar>
        <w:tblLook w:val="04A0" w:firstRow="1" w:lastRow="0" w:firstColumn="1" w:lastColumn="0" w:noHBand="0" w:noVBand="1"/>
      </w:tblPr>
      <w:tblGrid>
        <w:gridCol w:w="2552"/>
        <w:gridCol w:w="5528"/>
      </w:tblGrid>
      <w:tr w:rsidR="004A0C97" w:rsidRPr="004216D5" w14:paraId="3DC935A2" w14:textId="77777777" w:rsidTr="004216D5">
        <w:trPr>
          <w:cantSplit/>
          <w:tblHeader/>
        </w:trPr>
        <w:tc>
          <w:tcPr>
            <w:tcW w:w="2552" w:type="dxa"/>
            <w:shd w:val="clear" w:color="auto" w:fill="D9D9D9" w:themeFill="background1" w:themeFillShade="D9"/>
          </w:tcPr>
          <w:p w14:paraId="3DC935A0" w14:textId="77777777" w:rsidR="004A0C97" w:rsidRPr="004216D5" w:rsidRDefault="004A0C97" w:rsidP="004216D5">
            <w:pPr>
              <w:pStyle w:val="TableText"/>
              <w:rPr>
                <w:b/>
                <w:lang w:eastAsia="en-NZ"/>
              </w:rPr>
            </w:pPr>
            <w:r w:rsidRPr="004216D5">
              <w:rPr>
                <w:b/>
              </w:rPr>
              <w:t>Pharmacological class</w:t>
            </w:r>
            <w:r w:rsidRPr="004216D5">
              <w:rPr>
                <w:rStyle w:val="FootnoteReference"/>
                <w:b/>
              </w:rPr>
              <w:footnoteReference w:id="16"/>
            </w:r>
          </w:p>
        </w:tc>
        <w:tc>
          <w:tcPr>
            <w:tcW w:w="5528" w:type="dxa"/>
            <w:shd w:val="clear" w:color="auto" w:fill="D9D9D9" w:themeFill="background1" w:themeFillShade="D9"/>
          </w:tcPr>
          <w:p w14:paraId="3DC935A1" w14:textId="77777777" w:rsidR="004A0C97" w:rsidRPr="004216D5" w:rsidRDefault="004A0C97" w:rsidP="004216D5">
            <w:pPr>
              <w:pStyle w:val="TableText"/>
              <w:rPr>
                <w:b/>
                <w:lang w:eastAsia="en-NZ"/>
              </w:rPr>
            </w:pPr>
            <w:r w:rsidRPr="004216D5">
              <w:rPr>
                <w:b/>
                <w:color w:val="000000"/>
                <w:lang w:eastAsia="en-NZ"/>
              </w:rPr>
              <w:t>Proposed prescription medicines to be added to the schedules</w:t>
            </w:r>
          </w:p>
        </w:tc>
      </w:tr>
      <w:tr w:rsidR="004216D5" w:rsidRPr="004216D5" w14:paraId="3DC935AA" w14:textId="77777777" w:rsidTr="004216D5">
        <w:trPr>
          <w:cantSplit/>
        </w:trPr>
        <w:tc>
          <w:tcPr>
            <w:tcW w:w="2552" w:type="dxa"/>
            <w:tcBorders>
              <w:bottom w:val="single" w:sz="4" w:space="0" w:color="A6A6A6" w:themeColor="background1" w:themeShade="A6"/>
            </w:tcBorders>
            <w:shd w:val="clear" w:color="auto" w:fill="auto"/>
          </w:tcPr>
          <w:p w14:paraId="3DC935A3" w14:textId="77777777" w:rsidR="004216D5" w:rsidRPr="00D429D9" w:rsidRDefault="004216D5" w:rsidP="007E64AF">
            <w:pPr>
              <w:pStyle w:val="TableText"/>
              <w:rPr>
                <w:lang w:eastAsia="en-NZ"/>
              </w:rPr>
            </w:pPr>
            <w:r w:rsidRPr="00D429D9">
              <w:t>Musculoskeletal and joint diseases (6)</w:t>
            </w:r>
          </w:p>
        </w:tc>
        <w:tc>
          <w:tcPr>
            <w:tcW w:w="5528" w:type="dxa"/>
            <w:tcBorders>
              <w:bottom w:val="single" w:sz="4" w:space="0" w:color="A6A6A6" w:themeColor="background1" w:themeShade="A6"/>
            </w:tcBorders>
            <w:shd w:val="clear" w:color="auto" w:fill="auto"/>
          </w:tcPr>
          <w:p w14:paraId="3DC935A4" w14:textId="77777777" w:rsidR="004216D5" w:rsidRPr="00D429D9" w:rsidRDefault="004216D5" w:rsidP="004216D5">
            <w:pPr>
              <w:pStyle w:val="TableText"/>
              <w:rPr>
                <w:lang w:eastAsia="en-NZ"/>
              </w:rPr>
            </w:pPr>
            <w:r w:rsidRPr="00D429D9">
              <w:rPr>
                <w:lang w:eastAsia="en-NZ"/>
              </w:rPr>
              <w:t>Apremilast</w:t>
            </w:r>
          </w:p>
          <w:p w14:paraId="3DC935A5" w14:textId="77777777" w:rsidR="004216D5" w:rsidRPr="00D429D9" w:rsidRDefault="004216D5" w:rsidP="004216D5">
            <w:pPr>
              <w:pStyle w:val="TableText"/>
              <w:rPr>
                <w:lang w:eastAsia="en-NZ"/>
              </w:rPr>
            </w:pPr>
            <w:r w:rsidRPr="00D429D9">
              <w:rPr>
                <w:lang w:eastAsia="en-NZ"/>
              </w:rPr>
              <w:t>Benzbromarone</w:t>
            </w:r>
          </w:p>
          <w:p w14:paraId="3DC935A6" w14:textId="77777777" w:rsidR="004216D5" w:rsidRPr="00D429D9" w:rsidRDefault="004216D5" w:rsidP="004216D5">
            <w:pPr>
              <w:pStyle w:val="TableText"/>
              <w:rPr>
                <w:lang w:eastAsia="en-NZ"/>
              </w:rPr>
            </w:pPr>
            <w:r w:rsidRPr="00D429D9">
              <w:rPr>
                <w:lang w:eastAsia="en-NZ"/>
              </w:rPr>
              <w:t>Febuxostat</w:t>
            </w:r>
          </w:p>
          <w:p w14:paraId="3DC935A7" w14:textId="77777777" w:rsidR="004216D5" w:rsidRPr="00D429D9" w:rsidRDefault="004216D5" w:rsidP="004216D5">
            <w:pPr>
              <w:pStyle w:val="TableText"/>
              <w:rPr>
                <w:lang w:eastAsia="en-NZ"/>
              </w:rPr>
            </w:pPr>
            <w:r w:rsidRPr="00D429D9">
              <w:rPr>
                <w:lang w:eastAsia="en-NZ"/>
              </w:rPr>
              <w:t>Neostigmine</w:t>
            </w:r>
          </w:p>
          <w:p w14:paraId="3DC935A8" w14:textId="77777777" w:rsidR="004216D5" w:rsidRPr="00D429D9" w:rsidRDefault="004216D5" w:rsidP="004216D5">
            <w:pPr>
              <w:pStyle w:val="TableText"/>
              <w:rPr>
                <w:lang w:eastAsia="en-NZ"/>
              </w:rPr>
            </w:pPr>
            <w:r w:rsidRPr="00D429D9">
              <w:rPr>
                <w:lang w:eastAsia="en-NZ"/>
              </w:rPr>
              <w:t>Nusinersen</w:t>
            </w:r>
          </w:p>
          <w:p w14:paraId="3DC935A9" w14:textId="77777777" w:rsidR="004216D5" w:rsidRPr="004216D5" w:rsidRDefault="004216D5" w:rsidP="004216D5">
            <w:pPr>
              <w:pStyle w:val="TableText"/>
              <w:rPr>
                <w:color w:val="000000"/>
                <w:lang w:eastAsia="en-NZ"/>
              </w:rPr>
            </w:pPr>
            <w:r w:rsidRPr="00D429D9">
              <w:rPr>
                <w:lang w:eastAsia="en-NZ"/>
              </w:rPr>
              <w:t>Secukinumab</w:t>
            </w:r>
          </w:p>
        </w:tc>
      </w:tr>
      <w:tr w:rsidR="004216D5" w:rsidRPr="004216D5" w14:paraId="3DC935B5" w14:textId="77777777" w:rsidTr="004216D5">
        <w:trPr>
          <w:cantSplit/>
        </w:trPr>
        <w:tc>
          <w:tcPr>
            <w:tcW w:w="2552" w:type="dxa"/>
            <w:tcBorders>
              <w:top w:val="single" w:sz="4" w:space="0" w:color="A6A6A6" w:themeColor="background1" w:themeShade="A6"/>
              <w:bottom w:val="single" w:sz="4" w:space="0" w:color="A6A6A6" w:themeColor="background1" w:themeShade="A6"/>
            </w:tcBorders>
            <w:shd w:val="clear" w:color="auto" w:fill="auto"/>
          </w:tcPr>
          <w:p w14:paraId="3DC935AB" w14:textId="77777777" w:rsidR="004216D5" w:rsidRPr="00D429D9" w:rsidRDefault="004216D5" w:rsidP="007E64AF">
            <w:pPr>
              <w:pStyle w:val="TableText"/>
              <w:rPr>
                <w:lang w:eastAsia="en-NZ"/>
              </w:rPr>
            </w:pPr>
            <w:r w:rsidRPr="00D429D9">
              <w:t>Respiratory system (9)</w:t>
            </w:r>
          </w:p>
        </w:tc>
        <w:tc>
          <w:tcPr>
            <w:tcW w:w="5528" w:type="dxa"/>
            <w:tcBorders>
              <w:top w:val="single" w:sz="4" w:space="0" w:color="A6A6A6" w:themeColor="background1" w:themeShade="A6"/>
              <w:bottom w:val="single" w:sz="4" w:space="0" w:color="A6A6A6" w:themeColor="background1" w:themeShade="A6"/>
            </w:tcBorders>
            <w:shd w:val="clear" w:color="auto" w:fill="auto"/>
          </w:tcPr>
          <w:p w14:paraId="3DC935AC" w14:textId="77777777" w:rsidR="004216D5" w:rsidRPr="00D429D9" w:rsidRDefault="004216D5" w:rsidP="004216D5">
            <w:pPr>
              <w:pStyle w:val="TableText"/>
              <w:rPr>
                <w:lang w:eastAsia="en-NZ"/>
              </w:rPr>
            </w:pPr>
            <w:r w:rsidRPr="00D429D9">
              <w:rPr>
                <w:lang w:eastAsia="en-NZ"/>
              </w:rPr>
              <w:t>Bee venom</w:t>
            </w:r>
          </w:p>
          <w:p w14:paraId="3DC935AD" w14:textId="77777777" w:rsidR="004216D5" w:rsidRPr="00D429D9" w:rsidRDefault="004216D5" w:rsidP="004216D5">
            <w:pPr>
              <w:pStyle w:val="TableText"/>
              <w:rPr>
                <w:lang w:eastAsia="en-NZ"/>
              </w:rPr>
            </w:pPr>
            <w:r w:rsidRPr="00D429D9">
              <w:rPr>
                <w:lang w:eastAsia="en-NZ"/>
              </w:rPr>
              <w:t>Ivacaftor</w:t>
            </w:r>
          </w:p>
          <w:p w14:paraId="3DC935AE" w14:textId="77777777" w:rsidR="004216D5" w:rsidRPr="00D429D9" w:rsidRDefault="004216D5" w:rsidP="004216D5">
            <w:pPr>
              <w:pStyle w:val="TableText"/>
              <w:rPr>
                <w:lang w:eastAsia="en-NZ"/>
              </w:rPr>
            </w:pPr>
            <w:r w:rsidRPr="00D429D9">
              <w:rPr>
                <w:lang w:eastAsia="en-NZ"/>
              </w:rPr>
              <w:t>Mepolizumab</w:t>
            </w:r>
          </w:p>
          <w:p w14:paraId="3DC935AF" w14:textId="77777777" w:rsidR="004216D5" w:rsidRPr="00D429D9" w:rsidRDefault="004216D5" w:rsidP="004216D5">
            <w:pPr>
              <w:pStyle w:val="TableText"/>
              <w:rPr>
                <w:lang w:eastAsia="en-NZ"/>
              </w:rPr>
            </w:pPr>
            <w:r w:rsidRPr="00D429D9">
              <w:rPr>
                <w:lang w:eastAsia="en-NZ"/>
              </w:rPr>
              <w:t>Olodaterol</w:t>
            </w:r>
          </w:p>
          <w:p w14:paraId="3DC935B0" w14:textId="77777777" w:rsidR="004216D5" w:rsidRPr="00D429D9" w:rsidRDefault="004216D5" w:rsidP="004216D5">
            <w:pPr>
              <w:pStyle w:val="TableText"/>
              <w:rPr>
                <w:lang w:eastAsia="en-NZ"/>
              </w:rPr>
            </w:pPr>
            <w:r w:rsidRPr="00D429D9">
              <w:rPr>
                <w:lang w:eastAsia="en-NZ"/>
              </w:rPr>
              <w:t>Pirfenidone</w:t>
            </w:r>
          </w:p>
          <w:p w14:paraId="3DC935B1" w14:textId="77777777" w:rsidR="004216D5" w:rsidRPr="00D429D9" w:rsidRDefault="004216D5" w:rsidP="004216D5">
            <w:pPr>
              <w:pStyle w:val="TableText"/>
              <w:rPr>
                <w:lang w:eastAsia="en-NZ"/>
              </w:rPr>
            </w:pPr>
            <w:r w:rsidRPr="00D429D9">
              <w:rPr>
                <w:lang w:eastAsia="en-NZ"/>
              </w:rPr>
              <w:t>Squill</w:t>
            </w:r>
          </w:p>
          <w:p w14:paraId="3DC935B2" w14:textId="77777777" w:rsidR="004216D5" w:rsidRPr="00D429D9" w:rsidRDefault="004216D5" w:rsidP="004216D5">
            <w:pPr>
              <w:pStyle w:val="TableText"/>
              <w:rPr>
                <w:lang w:eastAsia="en-NZ"/>
              </w:rPr>
            </w:pPr>
            <w:r w:rsidRPr="00D429D9">
              <w:rPr>
                <w:lang w:eastAsia="en-NZ"/>
              </w:rPr>
              <w:t>Umeclidinium bromide</w:t>
            </w:r>
          </w:p>
          <w:p w14:paraId="3DC935B3" w14:textId="77777777" w:rsidR="004216D5" w:rsidRPr="00D429D9" w:rsidRDefault="004216D5" w:rsidP="004216D5">
            <w:pPr>
              <w:pStyle w:val="TableText"/>
              <w:rPr>
                <w:lang w:eastAsia="en-NZ"/>
              </w:rPr>
            </w:pPr>
            <w:r w:rsidRPr="00D429D9">
              <w:rPr>
                <w:lang w:eastAsia="en-NZ"/>
              </w:rPr>
              <w:t>Vilanterol</w:t>
            </w:r>
          </w:p>
          <w:p w14:paraId="3DC935B4" w14:textId="77777777" w:rsidR="004216D5" w:rsidRPr="004216D5" w:rsidRDefault="004216D5" w:rsidP="004216D5">
            <w:pPr>
              <w:pStyle w:val="TableText"/>
              <w:rPr>
                <w:color w:val="000000"/>
                <w:lang w:eastAsia="en-NZ"/>
              </w:rPr>
            </w:pPr>
            <w:r w:rsidRPr="00D429D9">
              <w:rPr>
                <w:lang w:eastAsia="en-NZ"/>
              </w:rPr>
              <w:t>Wasp venom allergy treatment</w:t>
            </w:r>
          </w:p>
        </w:tc>
      </w:tr>
      <w:tr w:rsidR="00303AB2" w:rsidRPr="004216D5" w14:paraId="3DC935C0" w14:textId="77777777" w:rsidTr="004216D5">
        <w:trPr>
          <w:cantSplit/>
        </w:trPr>
        <w:tc>
          <w:tcPr>
            <w:tcW w:w="2552" w:type="dxa"/>
            <w:tcBorders>
              <w:top w:val="single" w:sz="4" w:space="0" w:color="A6A6A6" w:themeColor="background1" w:themeShade="A6"/>
            </w:tcBorders>
            <w:shd w:val="clear" w:color="auto" w:fill="auto"/>
          </w:tcPr>
          <w:p w14:paraId="3DC935B6" w14:textId="77777777" w:rsidR="00303AB2" w:rsidRPr="00D429D9" w:rsidRDefault="00303AB2" w:rsidP="007E64AF">
            <w:pPr>
              <w:pStyle w:val="TableText"/>
              <w:rPr>
                <w:lang w:eastAsia="en-NZ"/>
              </w:rPr>
            </w:pPr>
            <w:r w:rsidRPr="00D429D9">
              <w:lastRenderedPageBreak/>
              <w:t>Central nervous system (9)</w:t>
            </w:r>
          </w:p>
        </w:tc>
        <w:tc>
          <w:tcPr>
            <w:tcW w:w="5528" w:type="dxa"/>
            <w:tcBorders>
              <w:top w:val="single" w:sz="4" w:space="0" w:color="A6A6A6" w:themeColor="background1" w:themeShade="A6"/>
            </w:tcBorders>
            <w:shd w:val="clear" w:color="auto" w:fill="auto"/>
          </w:tcPr>
          <w:p w14:paraId="3DC935B7" w14:textId="77777777" w:rsidR="00303AB2" w:rsidRPr="00D429D9" w:rsidRDefault="00303AB2" w:rsidP="00303AB2">
            <w:pPr>
              <w:pStyle w:val="TableText"/>
              <w:rPr>
                <w:lang w:eastAsia="en-NZ"/>
              </w:rPr>
            </w:pPr>
            <w:r w:rsidRPr="00D429D9">
              <w:t>Cannabidiol</w:t>
            </w:r>
          </w:p>
          <w:p w14:paraId="3DC935B8" w14:textId="77777777" w:rsidR="00303AB2" w:rsidRPr="00D429D9" w:rsidRDefault="00303AB2" w:rsidP="00303AB2">
            <w:pPr>
              <w:pStyle w:val="TableText"/>
              <w:rPr>
                <w:lang w:eastAsia="en-NZ"/>
              </w:rPr>
            </w:pPr>
            <w:r w:rsidRPr="00D429D9">
              <w:t>Dimethyl fumarate</w:t>
            </w:r>
          </w:p>
          <w:p w14:paraId="3DC935B9" w14:textId="77777777" w:rsidR="00303AB2" w:rsidRPr="00D429D9" w:rsidRDefault="00303AB2" w:rsidP="00303AB2">
            <w:pPr>
              <w:pStyle w:val="TableText"/>
              <w:rPr>
                <w:lang w:eastAsia="en-NZ"/>
              </w:rPr>
            </w:pPr>
            <w:r w:rsidRPr="00D429D9">
              <w:t>Erenumab</w:t>
            </w:r>
          </w:p>
          <w:p w14:paraId="3DC935BA" w14:textId="77777777" w:rsidR="00303AB2" w:rsidRPr="00D429D9" w:rsidRDefault="00303AB2" w:rsidP="00303AB2">
            <w:pPr>
              <w:pStyle w:val="TableText"/>
              <w:rPr>
                <w:lang w:eastAsia="en-NZ"/>
              </w:rPr>
            </w:pPr>
            <w:r w:rsidRPr="00D429D9">
              <w:t>Esketamine</w:t>
            </w:r>
          </w:p>
          <w:p w14:paraId="3DC935BB" w14:textId="77777777" w:rsidR="00303AB2" w:rsidRPr="00D429D9" w:rsidRDefault="00303AB2" w:rsidP="00303AB2">
            <w:pPr>
              <w:pStyle w:val="TableText"/>
              <w:rPr>
                <w:lang w:eastAsia="en-NZ"/>
              </w:rPr>
            </w:pPr>
            <w:r w:rsidRPr="00D429D9">
              <w:t>Ocrelizumab</w:t>
            </w:r>
          </w:p>
          <w:p w14:paraId="3DC935BC" w14:textId="77777777" w:rsidR="00303AB2" w:rsidRPr="00D429D9" w:rsidRDefault="00303AB2" w:rsidP="00303AB2">
            <w:pPr>
              <w:pStyle w:val="TableText"/>
              <w:rPr>
                <w:lang w:eastAsia="en-NZ"/>
              </w:rPr>
            </w:pPr>
            <w:r w:rsidRPr="00D429D9">
              <w:t>Riluzole</w:t>
            </w:r>
          </w:p>
          <w:p w14:paraId="3DC935BD" w14:textId="77777777" w:rsidR="00303AB2" w:rsidRPr="00D429D9" w:rsidRDefault="00303AB2" w:rsidP="00303AB2">
            <w:pPr>
              <w:pStyle w:val="TableText"/>
              <w:rPr>
                <w:lang w:eastAsia="en-NZ"/>
              </w:rPr>
            </w:pPr>
            <w:r w:rsidRPr="00D429D9">
              <w:t>Rufinamide</w:t>
            </w:r>
          </w:p>
          <w:p w14:paraId="3DC935BE" w14:textId="77777777" w:rsidR="00303AB2" w:rsidRPr="00D429D9" w:rsidRDefault="00303AB2" w:rsidP="00303AB2">
            <w:pPr>
              <w:pStyle w:val="TableText"/>
            </w:pPr>
            <w:r w:rsidRPr="00D429D9">
              <w:t>Teriflunomide</w:t>
            </w:r>
          </w:p>
          <w:p w14:paraId="3DC935BF" w14:textId="77777777" w:rsidR="00303AB2" w:rsidRPr="00D429D9" w:rsidRDefault="00303AB2" w:rsidP="004216D5">
            <w:pPr>
              <w:pStyle w:val="TableText"/>
              <w:rPr>
                <w:lang w:eastAsia="en-NZ"/>
              </w:rPr>
            </w:pPr>
            <w:r w:rsidRPr="00D429D9">
              <w:rPr>
                <w:lang w:eastAsia="en-NZ"/>
              </w:rPr>
              <w:t>Ziprasidone</w:t>
            </w:r>
          </w:p>
        </w:tc>
      </w:tr>
      <w:tr w:rsidR="00303AB2" w:rsidRPr="004216D5" w14:paraId="3DC935C9" w14:textId="77777777" w:rsidTr="004216D5">
        <w:trPr>
          <w:cantSplit/>
        </w:trPr>
        <w:tc>
          <w:tcPr>
            <w:tcW w:w="2552" w:type="dxa"/>
            <w:tcBorders>
              <w:top w:val="single" w:sz="4" w:space="0" w:color="A6A6A6" w:themeColor="background1" w:themeShade="A6"/>
            </w:tcBorders>
            <w:shd w:val="clear" w:color="auto" w:fill="auto"/>
          </w:tcPr>
          <w:p w14:paraId="3DC935C1" w14:textId="77777777" w:rsidR="00303AB2" w:rsidRPr="00D429D9" w:rsidRDefault="00303AB2" w:rsidP="007E64AF">
            <w:pPr>
              <w:pStyle w:val="TableText"/>
              <w:rPr>
                <w:lang w:eastAsia="en-NZ"/>
              </w:rPr>
            </w:pPr>
            <w:r w:rsidRPr="00D429D9">
              <w:rPr>
                <w:rFonts w:eastAsiaTheme="minorHAnsi"/>
                <w:lang w:eastAsia="en-US"/>
              </w:rPr>
              <w:t>Immunological products and vaccines (7)</w:t>
            </w:r>
          </w:p>
        </w:tc>
        <w:tc>
          <w:tcPr>
            <w:tcW w:w="5528" w:type="dxa"/>
            <w:tcBorders>
              <w:top w:val="single" w:sz="4" w:space="0" w:color="A6A6A6" w:themeColor="background1" w:themeShade="A6"/>
            </w:tcBorders>
            <w:shd w:val="clear" w:color="auto" w:fill="auto"/>
          </w:tcPr>
          <w:p w14:paraId="3DC935C2" w14:textId="77777777" w:rsidR="00303AB2" w:rsidRPr="00D429D9" w:rsidRDefault="00303AB2" w:rsidP="00303AB2">
            <w:pPr>
              <w:pStyle w:val="TableText"/>
            </w:pPr>
            <w:r w:rsidRPr="00D429D9">
              <w:t>COVID-19 vaccine</w:t>
            </w:r>
          </w:p>
          <w:p w14:paraId="3DC935C3" w14:textId="77777777" w:rsidR="00303AB2" w:rsidRPr="00D429D9" w:rsidRDefault="00303AB2" w:rsidP="00303AB2">
            <w:pPr>
              <w:pStyle w:val="TableText"/>
            </w:pPr>
            <w:r w:rsidRPr="00D429D9">
              <w:t>Diphtheria, tetanus and pertussis (acellular, component) vaccine</w:t>
            </w:r>
          </w:p>
          <w:p w14:paraId="3DC935C4" w14:textId="77777777" w:rsidR="00303AB2" w:rsidRPr="00D429D9" w:rsidRDefault="00303AB2" w:rsidP="00303AB2">
            <w:pPr>
              <w:pStyle w:val="TableText"/>
              <w:rPr>
                <w:rFonts w:eastAsiaTheme="minorHAnsi"/>
                <w:lang w:eastAsia="en-US"/>
              </w:rPr>
            </w:pPr>
            <w:r w:rsidRPr="00D429D9">
              <w:t>Immunoglobulins</w:t>
            </w:r>
          </w:p>
          <w:p w14:paraId="3DC935C5" w14:textId="77777777" w:rsidR="00303AB2" w:rsidRPr="00D429D9" w:rsidRDefault="00303AB2" w:rsidP="00303AB2">
            <w:pPr>
              <w:pStyle w:val="TableText"/>
              <w:rPr>
                <w:rFonts w:eastAsiaTheme="minorHAnsi"/>
                <w:lang w:eastAsia="en-US"/>
              </w:rPr>
            </w:pPr>
            <w:r w:rsidRPr="00D429D9">
              <w:t>Influenza vaccine</w:t>
            </w:r>
          </w:p>
          <w:p w14:paraId="3DC935C6" w14:textId="77777777" w:rsidR="00303AB2" w:rsidRPr="00D429D9" w:rsidRDefault="00303AB2" w:rsidP="00303AB2">
            <w:pPr>
              <w:pStyle w:val="TableText"/>
              <w:rPr>
                <w:rFonts w:eastAsiaTheme="minorHAnsi"/>
                <w:lang w:eastAsia="en-US"/>
              </w:rPr>
            </w:pPr>
            <w:r w:rsidRPr="00D429D9">
              <w:t>Varicella (chickenpox) vaccine</w:t>
            </w:r>
          </w:p>
          <w:p w14:paraId="3DC935C7" w14:textId="77777777" w:rsidR="00303AB2" w:rsidRPr="00D429D9" w:rsidRDefault="00303AB2" w:rsidP="00303AB2">
            <w:pPr>
              <w:pStyle w:val="TableText"/>
              <w:rPr>
                <w:rFonts w:eastAsiaTheme="minorHAnsi"/>
                <w:lang w:eastAsia="en-US"/>
              </w:rPr>
            </w:pPr>
            <w:r w:rsidRPr="00D429D9">
              <w:t>Varicella vaccine</w:t>
            </w:r>
          </w:p>
          <w:p w14:paraId="3DC935C8" w14:textId="77777777" w:rsidR="00303AB2" w:rsidRPr="00D429D9" w:rsidRDefault="00303AB2" w:rsidP="00303AB2">
            <w:pPr>
              <w:pStyle w:val="TableText"/>
              <w:rPr>
                <w:lang w:eastAsia="en-NZ"/>
              </w:rPr>
            </w:pPr>
            <w:r w:rsidRPr="00D429D9">
              <w:t>Varicella zoster (shingles) vaccine</w:t>
            </w:r>
          </w:p>
        </w:tc>
      </w:tr>
      <w:tr w:rsidR="00303AB2" w:rsidRPr="004216D5" w14:paraId="3DC935CE" w14:textId="77777777" w:rsidTr="004216D5">
        <w:trPr>
          <w:cantSplit/>
        </w:trPr>
        <w:tc>
          <w:tcPr>
            <w:tcW w:w="2552" w:type="dxa"/>
            <w:tcBorders>
              <w:top w:val="single" w:sz="4" w:space="0" w:color="A6A6A6" w:themeColor="background1" w:themeShade="A6"/>
            </w:tcBorders>
            <w:shd w:val="clear" w:color="auto" w:fill="auto"/>
          </w:tcPr>
          <w:p w14:paraId="3DC935CA" w14:textId="77777777" w:rsidR="00303AB2" w:rsidRPr="00D429D9" w:rsidRDefault="00303AB2" w:rsidP="007E64AF">
            <w:pPr>
              <w:pStyle w:val="TableText"/>
              <w:rPr>
                <w:lang w:eastAsia="en-NZ"/>
              </w:rPr>
            </w:pPr>
            <w:r w:rsidRPr="00D429D9">
              <w:t>E</w:t>
            </w:r>
            <w:r w:rsidRPr="00D429D9">
              <w:rPr>
                <w:rFonts w:eastAsiaTheme="minorHAnsi"/>
                <w:lang w:eastAsia="en-US"/>
              </w:rPr>
              <w:t>ndocrine</w:t>
            </w:r>
            <w:r w:rsidRPr="00D429D9">
              <w:t xml:space="preserve"> system</w:t>
            </w:r>
            <w:r w:rsidRPr="00D429D9">
              <w:rPr>
                <w:rFonts w:eastAsiaTheme="minorHAnsi"/>
                <w:lang w:eastAsia="en-US"/>
              </w:rPr>
              <w:t xml:space="preserve"> and emergency </w:t>
            </w:r>
            <w:r w:rsidRPr="00D429D9">
              <w:t>treatment of poisoning</w:t>
            </w:r>
            <w:r w:rsidRPr="00D429D9">
              <w:rPr>
                <w:rFonts w:eastAsiaTheme="minorHAnsi"/>
                <w:lang w:eastAsia="en-US"/>
              </w:rPr>
              <w:t xml:space="preserve"> (3)</w:t>
            </w:r>
          </w:p>
        </w:tc>
        <w:tc>
          <w:tcPr>
            <w:tcW w:w="5528" w:type="dxa"/>
            <w:tcBorders>
              <w:top w:val="single" w:sz="4" w:space="0" w:color="A6A6A6" w:themeColor="background1" w:themeShade="A6"/>
            </w:tcBorders>
            <w:shd w:val="clear" w:color="auto" w:fill="auto"/>
          </w:tcPr>
          <w:p w14:paraId="3DC935CB" w14:textId="77777777" w:rsidR="00303AB2" w:rsidRPr="00D429D9" w:rsidRDefault="00303AB2" w:rsidP="00303AB2">
            <w:pPr>
              <w:pStyle w:val="TableText"/>
              <w:rPr>
                <w:lang w:eastAsia="en-NZ"/>
              </w:rPr>
            </w:pPr>
            <w:r w:rsidRPr="00D429D9">
              <w:rPr>
                <w:lang w:eastAsia="en-NZ"/>
              </w:rPr>
              <w:t>Empagliflozin</w:t>
            </w:r>
          </w:p>
          <w:p w14:paraId="3DC935CC" w14:textId="77777777" w:rsidR="00303AB2" w:rsidRPr="00D429D9" w:rsidRDefault="00303AB2" w:rsidP="00303AB2">
            <w:pPr>
              <w:pStyle w:val="TableText"/>
              <w:rPr>
                <w:lang w:eastAsia="en-NZ"/>
              </w:rPr>
            </w:pPr>
            <w:r w:rsidRPr="00D429D9">
              <w:rPr>
                <w:lang w:eastAsia="en-NZ"/>
              </w:rPr>
              <w:t>Fomepizole</w:t>
            </w:r>
          </w:p>
          <w:p w14:paraId="3DC935CD" w14:textId="77777777" w:rsidR="00303AB2" w:rsidRPr="00D429D9" w:rsidRDefault="00303AB2" w:rsidP="00303AB2">
            <w:pPr>
              <w:pStyle w:val="TableText"/>
              <w:rPr>
                <w:lang w:eastAsia="en-NZ"/>
              </w:rPr>
            </w:pPr>
            <w:r w:rsidRPr="00D429D9">
              <w:rPr>
                <w:lang w:eastAsia="en-NZ"/>
              </w:rPr>
              <w:t>Menotrophin</w:t>
            </w:r>
          </w:p>
        </w:tc>
      </w:tr>
      <w:tr w:rsidR="00303AB2" w:rsidRPr="004216D5" w14:paraId="3DC935E8" w14:textId="77777777" w:rsidTr="00303AB2">
        <w:trPr>
          <w:cantSplit/>
        </w:trPr>
        <w:tc>
          <w:tcPr>
            <w:tcW w:w="2552" w:type="dxa"/>
            <w:tcBorders>
              <w:top w:val="single" w:sz="4" w:space="0" w:color="A6A6A6" w:themeColor="background1" w:themeShade="A6"/>
              <w:bottom w:val="single" w:sz="4" w:space="0" w:color="A6A6A6" w:themeColor="background1" w:themeShade="A6"/>
            </w:tcBorders>
            <w:shd w:val="clear" w:color="auto" w:fill="auto"/>
          </w:tcPr>
          <w:p w14:paraId="3DC935CF" w14:textId="77777777" w:rsidR="00303AB2" w:rsidRPr="00D429D9" w:rsidRDefault="00303AB2" w:rsidP="007E64AF">
            <w:pPr>
              <w:pStyle w:val="TableText"/>
            </w:pPr>
            <w:r w:rsidRPr="00D429D9">
              <w:t>Malignant disease and immunosuppression</w:t>
            </w:r>
            <w:r w:rsidRPr="00D429D9">
              <w:rPr>
                <w:rFonts w:eastAsiaTheme="minorHAnsi"/>
                <w:lang w:eastAsia="en-US"/>
              </w:rPr>
              <w:t xml:space="preserve"> (43)</w:t>
            </w:r>
          </w:p>
        </w:tc>
        <w:tc>
          <w:tcPr>
            <w:tcW w:w="5528" w:type="dxa"/>
            <w:tcBorders>
              <w:top w:val="single" w:sz="4" w:space="0" w:color="A6A6A6" w:themeColor="background1" w:themeShade="A6"/>
              <w:bottom w:val="single" w:sz="4" w:space="0" w:color="A6A6A6" w:themeColor="background1" w:themeShade="A6"/>
            </w:tcBorders>
            <w:shd w:val="clear" w:color="auto" w:fill="auto"/>
          </w:tcPr>
          <w:p w14:paraId="3DC935D0" w14:textId="77777777" w:rsidR="00303AB2" w:rsidRPr="00D429D9" w:rsidRDefault="00303AB2" w:rsidP="00303AB2">
            <w:pPr>
              <w:pStyle w:val="TableText"/>
              <w:rPr>
                <w:lang w:eastAsia="en-NZ"/>
              </w:rPr>
            </w:pPr>
            <w:r w:rsidRPr="00D429D9">
              <w:rPr>
                <w:lang w:eastAsia="en-NZ"/>
              </w:rPr>
              <w:t>Abiraterone</w:t>
            </w:r>
          </w:p>
          <w:p w14:paraId="3DC935D1" w14:textId="77777777" w:rsidR="00303AB2" w:rsidRPr="00D429D9" w:rsidRDefault="00303AB2" w:rsidP="00303AB2">
            <w:pPr>
              <w:pStyle w:val="TableText"/>
              <w:rPr>
                <w:lang w:eastAsia="en-NZ"/>
              </w:rPr>
            </w:pPr>
            <w:r w:rsidRPr="00D429D9">
              <w:rPr>
                <w:lang w:eastAsia="en-NZ"/>
              </w:rPr>
              <w:t>Afatinib</w:t>
            </w:r>
          </w:p>
          <w:p w14:paraId="3DC935D2" w14:textId="77777777" w:rsidR="00303AB2" w:rsidRPr="00D429D9" w:rsidRDefault="00303AB2" w:rsidP="00303AB2">
            <w:pPr>
              <w:pStyle w:val="TableText"/>
              <w:rPr>
                <w:lang w:eastAsia="en-NZ"/>
              </w:rPr>
            </w:pPr>
            <w:r w:rsidRPr="00D429D9">
              <w:rPr>
                <w:lang w:eastAsia="en-NZ"/>
              </w:rPr>
              <w:t>Alectinib</w:t>
            </w:r>
          </w:p>
          <w:p w14:paraId="3DC935D3" w14:textId="77777777" w:rsidR="00303AB2" w:rsidRPr="00D429D9" w:rsidRDefault="00303AB2" w:rsidP="00303AB2">
            <w:pPr>
              <w:pStyle w:val="TableText"/>
              <w:rPr>
                <w:lang w:eastAsia="en-NZ"/>
              </w:rPr>
            </w:pPr>
            <w:r w:rsidRPr="00D429D9">
              <w:rPr>
                <w:lang w:eastAsia="en-NZ"/>
              </w:rPr>
              <w:t>Apalutamide</w:t>
            </w:r>
          </w:p>
          <w:p w14:paraId="3DC935D4" w14:textId="77777777" w:rsidR="00303AB2" w:rsidRPr="00D429D9" w:rsidRDefault="00303AB2" w:rsidP="00303AB2">
            <w:pPr>
              <w:pStyle w:val="TableText"/>
              <w:rPr>
                <w:lang w:eastAsia="en-NZ"/>
              </w:rPr>
            </w:pPr>
            <w:r w:rsidRPr="00D429D9">
              <w:rPr>
                <w:lang w:eastAsia="en-NZ"/>
              </w:rPr>
              <w:t>Atezolizumab</w:t>
            </w:r>
          </w:p>
          <w:p w14:paraId="3DC935D5" w14:textId="77777777" w:rsidR="00303AB2" w:rsidRPr="00D429D9" w:rsidRDefault="00303AB2" w:rsidP="00303AB2">
            <w:pPr>
              <w:pStyle w:val="TableText"/>
              <w:rPr>
                <w:lang w:eastAsia="en-NZ"/>
              </w:rPr>
            </w:pPr>
            <w:r w:rsidRPr="00D429D9">
              <w:rPr>
                <w:lang w:eastAsia="en-NZ"/>
              </w:rPr>
              <w:t>Axitinib</w:t>
            </w:r>
          </w:p>
          <w:p w14:paraId="3DC935D6" w14:textId="77777777" w:rsidR="00303AB2" w:rsidRPr="00D429D9" w:rsidRDefault="00303AB2" w:rsidP="00303AB2">
            <w:pPr>
              <w:pStyle w:val="TableText"/>
              <w:rPr>
                <w:lang w:eastAsia="en-NZ"/>
              </w:rPr>
            </w:pPr>
            <w:r w:rsidRPr="00D429D9">
              <w:rPr>
                <w:lang w:eastAsia="en-NZ"/>
              </w:rPr>
              <w:t>Bendamustine</w:t>
            </w:r>
          </w:p>
          <w:p w14:paraId="3DC935D7" w14:textId="77777777" w:rsidR="00303AB2" w:rsidRPr="00D429D9" w:rsidRDefault="00303AB2" w:rsidP="00303AB2">
            <w:pPr>
              <w:pStyle w:val="TableText"/>
              <w:rPr>
                <w:lang w:eastAsia="en-NZ"/>
              </w:rPr>
            </w:pPr>
            <w:r w:rsidRPr="00D429D9">
              <w:rPr>
                <w:lang w:eastAsia="en-NZ"/>
              </w:rPr>
              <w:t>Brentuximab vedotin</w:t>
            </w:r>
          </w:p>
          <w:p w14:paraId="3DC935D8" w14:textId="77777777" w:rsidR="00303AB2" w:rsidRPr="00D429D9" w:rsidRDefault="00303AB2" w:rsidP="00303AB2">
            <w:pPr>
              <w:pStyle w:val="TableText"/>
              <w:rPr>
                <w:lang w:eastAsia="en-NZ"/>
              </w:rPr>
            </w:pPr>
            <w:r w:rsidRPr="00D429D9">
              <w:rPr>
                <w:lang w:eastAsia="en-NZ"/>
              </w:rPr>
              <w:t>Carfilzomib</w:t>
            </w:r>
          </w:p>
          <w:p w14:paraId="3DC935D9" w14:textId="77777777" w:rsidR="00303AB2" w:rsidRPr="00D429D9" w:rsidRDefault="00303AB2" w:rsidP="00303AB2">
            <w:pPr>
              <w:pStyle w:val="TableText"/>
              <w:rPr>
                <w:lang w:eastAsia="en-NZ"/>
              </w:rPr>
            </w:pPr>
            <w:r w:rsidRPr="00D429D9">
              <w:rPr>
                <w:lang w:eastAsia="en-NZ"/>
              </w:rPr>
              <w:t>Cobimetinib</w:t>
            </w:r>
          </w:p>
          <w:p w14:paraId="3DC935DA" w14:textId="77777777" w:rsidR="00303AB2" w:rsidRPr="00D429D9" w:rsidRDefault="00303AB2" w:rsidP="00303AB2">
            <w:pPr>
              <w:pStyle w:val="TableText"/>
              <w:rPr>
                <w:lang w:eastAsia="en-NZ"/>
              </w:rPr>
            </w:pPr>
            <w:r w:rsidRPr="00D429D9">
              <w:rPr>
                <w:lang w:eastAsia="en-NZ"/>
              </w:rPr>
              <w:t>Crizotinib</w:t>
            </w:r>
          </w:p>
          <w:p w14:paraId="3DC935DB" w14:textId="77777777" w:rsidR="00303AB2" w:rsidRPr="00D429D9" w:rsidRDefault="00303AB2" w:rsidP="00303AB2">
            <w:pPr>
              <w:pStyle w:val="TableText"/>
              <w:rPr>
                <w:lang w:eastAsia="en-NZ"/>
              </w:rPr>
            </w:pPr>
            <w:r w:rsidRPr="00D429D9">
              <w:rPr>
                <w:lang w:eastAsia="en-NZ"/>
              </w:rPr>
              <w:t>Dabrafenib mesilate</w:t>
            </w:r>
          </w:p>
          <w:p w14:paraId="3DC935DC" w14:textId="77777777" w:rsidR="00303AB2" w:rsidRPr="00D429D9" w:rsidRDefault="00303AB2" w:rsidP="00303AB2">
            <w:pPr>
              <w:pStyle w:val="TableText"/>
              <w:rPr>
                <w:lang w:eastAsia="en-NZ"/>
              </w:rPr>
            </w:pPr>
            <w:r w:rsidRPr="00D429D9">
              <w:rPr>
                <w:lang w:eastAsia="en-NZ"/>
              </w:rPr>
              <w:t>Daratumumab</w:t>
            </w:r>
          </w:p>
          <w:p w14:paraId="3DC935DD" w14:textId="77777777" w:rsidR="00303AB2" w:rsidRPr="00D429D9" w:rsidRDefault="00303AB2" w:rsidP="00303AB2">
            <w:pPr>
              <w:pStyle w:val="TableText"/>
              <w:rPr>
                <w:lang w:eastAsia="en-NZ"/>
              </w:rPr>
            </w:pPr>
            <w:r w:rsidRPr="00D429D9">
              <w:rPr>
                <w:lang w:eastAsia="en-NZ"/>
              </w:rPr>
              <w:t>Durvalumab</w:t>
            </w:r>
          </w:p>
          <w:p w14:paraId="3DC935DE" w14:textId="77777777" w:rsidR="00303AB2" w:rsidRPr="00D429D9" w:rsidRDefault="00303AB2" w:rsidP="00303AB2">
            <w:pPr>
              <w:pStyle w:val="TableText"/>
              <w:rPr>
                <w:lang w:eastAsia="en-NZ"/>
              </w:rPr>
            </w:pPr>
            <w:r w:rsidRPr="00D429D9">
              <w:rPr>
                <w:lang w:eastAsia="en-NZ"/>
              </w:rPr>
              <w:t>Enasidenib</w:t>
            </w:r>
          </w:p>
          <w:p w14:paraId="3DC935DF" w14:textId="77777777" w:rsidR="00303AB2" w:rsidRPr="00D429D9" w:rsidRDefault="00303AB2" w:rsidP="00303AB2">
            <w:pPr>
              <w:pStyle w:val="TableText"/>
              <w:rPr>
                <w:lang w:eastAsia="en-NZ"/>
              </w:rPr>
            </w:pPr>
            <w:r w:rsidRPr="00D429D9">
              <w:rPr>
                <w:lang w:eastAsia="en-NZ"/>
              </w:rPr>
              <w:t>Encorafenib</w:t>
            </w:r>
          </w:p>
          <w:p w14:paraId="3DC935E0" w14:textId="77777777" w:rsidR="00303AB2" w:rsidRPr="00D429D9" w:rsidRDefault="00303AB2" w:rsidP="00303AB2">
            <w:pPr>
              <w:pStyle w:val="TableText"/>
              <w:rPr>
                <w:lang w:eastAsia="en-NZ"/>
              </w:rPr>
            </w:pPr>
            <w:r w:rsidRPr="00D429D9">
              <w:rPr>
                <w:lang w:eastAsia="en-NZ"/>
              </w:rPr>
              <w:t>Entrectinib</w:t>
            </w:r>
          </w:p>
          <w:p w14:paraId="3DC935E1" w14:textId="77777777" w:rsidR="00303AB2" w:rsidRPr="00D429D9" w:rsidRDefault="00303AB2" w:rsidP="00303AB2">
            <w:pPr>
              <w:pStyle w:val="TableText"/>
              <w:rPr>
                <w:lang w:eastAsia="en-NZ"/>
              </w:rPr>
            </w:pPr>
            <w:r w:rsidRPr="00D429D9">
              <w:rPr>
                <w:lang w:eastAsia="en-NZ"/>
              </w:rPr>
              <w:t>Enzalutamide</w:t>
            </w:r>
          </w:p>
          <w:p w14:paraId="3DC935E2" w14:textId="77777777" w:rsidR="00303AB2" w:rsidRPr="00D429D9" w:rsidRDefault="00303AB2" w:rsidP="00303AB2">
            <w:pPr>
              <w:pStyle w:val="TableText"/>
              <w:rPr>
                <w:lang w:eastAsia="en-NZ"/>
              </w:rPr>
            </w:pPr>
            <w:r w:rsidRPr="00D429D9">
              <w:rPr>
                <w:lang w:eastAsia="en-NZ"/>
              </w:rPr>
              <w:t>Gilteritinib</w:t>
            </w:r>
          </w:p>
          <w:p w14:paraId="3DC935E3" w14:textId="77777777" w:rsidR="00303AB2" w:rsidRPr="00D429D9" w:rsidRDefault="00303AB2" w:rsidP="00303AB2">
            <w:pPr>
              <w:pStyle w:val="TableText"/>
              <w:rPr>
                <w:lang w:eastAsia="en-NZ"/>
              </w:rPr>
            </w:pPr>
            <w:r w:rsidRPr="00D429D9">
              <w:rPr>
                <w:lang w:eastAsia="en-NZ"/>
              </w:rPr>
              <w:t>Ibrutinib</w:t>
            </w:r>
          </w:p>
          <w:p w14:paraId="3DC935E4" w14:textId="77777777" w:rsidR="00303AB2" w:rsidRPr="00D429D9" w:rsidRDefault="00303AB2" w:rsidP="00303AB2">
            <w:pPr>
              <w:pStyle w:val="TableText"/>
              <w:rPr>
                <w:lang w:eastAsia="en-NZ"/>
              </w:rPr>
            </w:pPr>
            <w:r w:rsidRPr="00D429D9">
              <w:rPr>
                <w:lang w:eastAsia="en-NZ"/>
              </w:rPr>
              <w:t>Ixazomib</w:t>
            </w:r>
          </w:p>
          <w:p w14:paraId="3DC935E5" w14:textId="77777777" w:rsidR="00303AB2" w:rsidRPr="00D429D9" w:rsidRDefault="00303AB2" w:rsidP="00303AB2">
            <w:pPr>
              <w:pStyle w:val="TableText"/>
              <w:rPr>
                <w:lang w:eastAsia="en-NZ"/>
              </w:rPr>
            </w:pPr>
            <w:r w:rsidRPr="00D429D9">
              <w:rPr>
                <w:lang w:eastAsia="en-NZ"/>
              </w:rPr>
              <w:t>Larotrectinib</w:t>
            </w:r>
          </w:p>
          <w:p w14:paraId="3DC935E6" w14:textId="77777777" w:rsidR="00303AB2" w:rsidRPr="00D429D9" w:rsidRDefault="00303AB2" w:rsidP="00303AB2">
            <w:pPr>
              <w:pStyle w:val="TableText"/>
              <w:rPr>
                <w:lang w:eastAsia="en-NZ"/>
              </w:rPr>
            </w:pPr>
            <w:r w:rsidRPr="00D429D9">
              <w:rPr>
                <w:lang w:eastAsia="en-NZ"/>
              </w:rPr>
              <w:t>Lenvatinib</w:t>
            </w:r>
          </w:p>
          <w:p w14:paraId="3DC935E7" w14:textId="77777777" w:rsidR="00303AB2" w:rsidRPr="00D429D9" w:rsidRDefault="00303AB2" w:rsidP="004216D5">
            <w:pPr>
              <w:pStyle w:val="TableText"/>
              <w:rPr>
                <w:lang w:eastAsia="en-NZ"/>
              </w:rPr>
            </w:pPr>
            <w:r>
              <w:rPr>
                <w:lang w:eastAsia="en-NZ"/>
              </w:rPr>
              <w:t>Lorlatinib</w:t>
            </w:r>
          </w:p>
        </w:tc>
      </w:tr>
      <w:tr w:rsidR="00303AB2" w:rsidRPr="004216D5" w14:paraId="3DC935FD" w14:textId="77777777" w:rsidTr="00303AB2">
        <w:trPr>
          <w:cantSplit/>
        </w:trPr>
        <w:tc>
          <w:tcPr>
            <w:tcW w:w="2552" w:type="dxa"/>
            <w:tcBorders>
              <w:top w:val="single" w:sz="4" w:space="0" w:color="A6A6A6" w:themeColor="background1" w:themeShade="A6"/>
              <w:bottom w:val="single" w:sz="4" w:space="0" w:color="A6A6A6" w:themeColor="background1" w:themeShade="A6"/>
            </w:tcBorders>
            <w:shd w:val="clear" w:color="auto" w:fill="auto"/>
          </w:tcPr>
          <w:p w14:paraId="3DC935E9" w14:textId="77777777" w:rsidR="00303AB2" w:rsidRPr="00D429D9" w:rsidRDefault="00303AB2" w:rsidP="007E64AF">
            <w:pPr>
              <w:pStyle w:val="TableText"/>
              <w:rPr>
                <w:rFonts w:eastAsiaTheme="minorHAnsi"/>
                <w:lang w:eastAsia="en-US"/>
              </w:rPr>
            </w:pPr>
            <w:r w:rsidRPr="00D429D9">
              <w:lastRenderedPageBreak/>
              <w:t>Malignant disease and immunosuppression</w:t>
            </w:r>
            <w:r w:rsidRPr="00D429D9">
              <w:rPr>
                <w:rFonts w:eastAsiaTheme="minorHAnsi"/>
                <w:lang w:eastAsia="en-US"/>
              </w:rPr>
              <w:t xml:space="preserve"> (43)</w:t>
            </w:r>
            <w:r>
              <w:rPr>
                <w:rFonts w:eastAsiaTheme="minorHAnsi"/>
                <w:lang w:eastAsia="en-US"/>
              </w:rPr>
              <w:t xml:space="preserve"> (continued)</w:t>
            </w:r>
          </w:p>
        </w:tc>
        <w:tc>
          <w:tcPr>
            <w:tcW w:w="5528" w:type="dxa"/>
            <w:tcBorders>
              <w:top w:val="single" w:sz="4" w:space="0" w:color="A6A6A6" w:themeColor="background1" w:themeShade="A6"/>
              <w:bottom w:val="single" w:sz="4" w:space="0" w:color="A6A6A6" w:themeColor="background1" w:themeShade="A6"/>
            </w:tcBorders>
            <w:shd w:val="clear" w:color="auto" w:fill="auto"/>
          </w:tcPr>
          <w:p w14:paraId="3DC935EA" w14:textId="77777777" w:rsidR="00303AB2" w:rsidRPr="00D429D9" w:rsidRDefault="00303AB2" w:rsidP="00303AB2">
            <w:pPr>
              <w:pStyle w:val="TableText"/>
              <w:rPr>
                <w:lang w:eastAsia="en-NZ"/>
              </w:rPr>
            </w:pPr>
            <w:r w:rsidRPr="00D429D9">
              <w:rPr>
                <w:lang w:eastAsia="en-NZ"/>
              </w:rPr>
              <w:t>Neratinib</w:t>
            </w:r>
          </w:p>
          <w:p w14:paraId="3DC935EB" w14:textId="77777777" w:rsidR="00303AB2" w:rsidRPr="00D429D9" w:rsidRDefault="00303AB2" w:rsidP="00303AB2">
            <w:pPr>
              <w:pStyle w:val="TableText"/>
              <w:rPr>
                <w:lang w:eastAsia="en-NZ"/>
              </w:rPr>
            </w:pPr>
            <w:r w:rsidRPr="00D429D9">
              <w:rPr>
                <w:lang w:eastAsia="en-NZ"/>
              </w:rPr>
              <w:t>Nintedanib</w:t>
            </w:r>
          </w:p>
          <w:p w14:paraId="3DC935EC" w14:textId="77777777" w:rsidR="00303AB2" w:rsidRPr="00D429D9" w:rsidRDefault="00303AB2" w:rsidP="00303AB2">
            <w:pPr>
              <w:pStyle w:val="TableText"/>
              <w:rPr>
                <w:lang w:eastAsia="en-NZ"/>
              </w:rPr>
            </w:pPr>
            <w:r w:rsidRPr="00D429D9">
              <w:rPr>
                <w:lang w:eastAsia="en-NZ"/>
              </w:rPr>
              <w:t>Nivolumab</w:t>
            </w:r>
          </w:p>
          <w:p w14:paraId="3DC935ED" w14:textId="77777777" w:rsidR="00303AB2" w:rsidRPr="00D429D9" w:rsidRDefault="00303AB2" w:rsidP="00303AB2">
            <w:pPr>
              <w:pStyle w:val="TableText"/>
              <w:rPr>
                <w:lang w:eastAsia="en-NZ"/>
              </w:rPr>
            </w:pPr>
            <w:r w:rsidRPr="00D429D9">
              <w:rPr>
                <w:lang w:eastAsia="en-NZ"/>
              </w:rPr>
              <w:t>Obinutuzumab</w:t>
            </w:r>
          </w:p>
          <w:p w14:paraId="3DC935EE" w14:textId="77777777" w:rsidR="00303AB2" w:rsidRPr="00D429D9" w:rsidRDefault="00303AB2" w:rsidP="00303AB2">
            <w:pPr>
              <w:pStyle w:val="TableText"/>
              <w:rPr>
                <w:lang w:eastAsia="en-NZ"/>
              </w:rPr>
            </w:pPr>
            <w:r w:rsidRPr="00D429D9">
              <w:rPr>
                <w:lang w:eastAsia="en-NZ"/>
              </w:rPr>
              <w:t>Olaparib</w:t>
            </w:r>
          </w:p>
          <w:p w14:paraId="3DC935EF" w14:textId="77777777" w:rsidR="00303AB2" w:rsidRPr="00D429D9" w:rsidRDefault="00303AB2" w:rsidP="00303AB2">
            <w:pPr>
              <w:pStyle w:val="TableText"/>
              <w:rPr>
                <w:lang w:eastAsia="en-NZ"/>
              </w:rPr>
            </w:pPr>
            <w:r w:rsidRPr="00D429D9">
              <w:rPr>
                <w:lang w:eastAsia="en-NZ"/>
              </w:rPr>
              <w:t>Osimertinib</w:t>
            </w:r>
          </w:p>
          <w:p w14:paraId="3DC935F0" w14:textId="77777777" w:rsidR="00303AB2" w:rsidRPr="00D429D9" w:rsidRDefault="00303AB2" w:rsidP="00303AB2">
            <w:pPr>
              <w:pStyle w:val="TableText"/>
              <w:rPr>
                <w:lang w:eastAsia="en-NZ"/>
              </w:rPr>
            </w:pPr>
            <w:r w:rsidRPr="00D429D9">
              <w:rPr>
                <w:lang w:eastAsia="en-NZ"/>
              </w:rPr>
              <w:t>Palbociclib</w:t>
            </w:r>
          </w:p>
          <w:p w14:paraId="3DC935F1" w14:textId="77777777" w:rsidR="00303AB2" w:rsidRPr="00D429D9" w:rsidRDefault="00303AB2" w:rsidP="00303AB2">
            <w:pPr>
              <w:pStyle w:val="TableText"/>
              <w:rPr>
                <w:lang w:eastAsia="en-NZ"/>
              </w:rPr>
            </w:pPr>
            <w:r w:rsidRPr="00D429D9">
              <w:rPr>
                <w:lang w:eastAsia="en-NZ"/>
              </w:rPr>
              <w:t>Pegaspargase</w:t>
            </w:r>
          </w:p>
          <w:p w14:paraId="3DC935F2" w14:textId="77777777" w:rsidR="00303AB2" w:rsidRPr="00D429D9" w:rsidRDefault="00303AB2" w:rsidP="00303AB2">
            <w:pPr>
              <w:pStyle w:val="TableText"/>
              <w:rPr>
                <w:lang w:eastAsia="en-NZ"/>
              </w:rPr>
            </w:pPr>
            <w:r w:rsidRPr="00D429D9">
              <w:rPr>
                <w:lang w:eastAsia="en-NZ"/>
              </w:rPr>
              <w:t>Pembrolizumab</w:t>
            </w:r>
          </w:p>
          <w:p w14:paraId="3DC935F3" w14:textId="77777777" w:rsidR="00303AB2" w:rsidRPr="00D429D9" w:rsidRDefault="00303AB2" w:rsidP="00303AB2">
            <w:pPr>
              <w:pStyle w:val="TableText"/>
              <w:rPr>
                <w:lang w:eastAsia="en-NZ"/>
              </w:rPr>
            </w:pPr>
            <w:r w:rsidRPr="00D429D9">
              <w:rPr>
                <w:lang w:eastAsia="en-NZ"/>
              </w:rPr>
              <w:t>Pertuzumab</w:t>
            </w:r>
          </w:p>
          <w:p w14:paraId="3DC935F4" w14:textId="77777777" w:rsidR="00303AB2" w:rsidRPr="00D429D9" w:rsidRDefault="00303AB2" w:rsidP="00303AB2">
            <w:pPr>
              <w:pStyle w:val="TableText"/>
              <w:rPr>
                <w:lang w:eastAsia="en-NZ"/>
              </w:rPr>
            </w:pPr>
            <w:r w:rsidRPr="00D429D9">
              <w:rPr>
                <w:lang w:eastAsia="en-NZ"/>
              </w:rPr>
              <w:t>Pomalidomide</w:t>
            </w:r>
          </w:p>
          <w:p w14:paraId="3DC935F5" w14:textId="77777777" w:rsidR="00303AB2" w:rsidRPr="00D429D9" w:rsidRDefault="00303AB2" w:rsidP="00303AB2">
            <w:pPr>
              <w:pStyle w:val="TableText"/>
              <w:rPr>
                <w:lang w:eastAsia="en-NZ"/>
              </w:rPr>
            </w:pPr>
            <w:r w:rsidRPr="00D429D9">
              <w:rPr>
                <w:lang w:eastAsia="en-NZ"/>
              </w:rPr>
              <w:t>Regorafenib</w:t>
            </w:r>
          </w:p>
          <w:p w14:paraId="3DC935F6" w14:textId="77777777" w:rsidR="00303AB2" w:rsidRPr="00D429D9" w:rsidRDefault="00303AB2" w:rsidP="00303AB2">
            <w:pPr>
              <w:pStyle w:val="TableText"/>
              <w:rPr>
                <w:lang w:eastAsia="en-NZ"/>
              </w:rPr>
            </w:pPr>
            <w:r w:rsidRPr="00D429D9">
              <w:rPr>
                <w:lang w:eastAsia="en-NZ"/>
              </w:rPr>
              <w:t>Ribociclib</w:t>
            </w:r>
          </w:p>
          <w:p w14:paraId="3DC935F7" w14:textId="77777777" w:rsidR="00303AB2" w:rsidRPr="00D429D9" w:rsidRDefault="00303AB2" w:rsidP="00303AB2">
            <w:pPr>
              <w:pStyle w:val="TableText"/>
              <w:rPr>
                <w:lang w:eastAsia="en-NZ"/>
              </w:rPr>
            </w:pPr>
            <w:r w:rsidRPr="00D429D9">
              <w:rPr>
                <w:lang w:eastAsia="en-NZ"/>
              </w:rPr>
              <w:t>Ruxolitinib</w:t>
            </w:r>
          </w:p>
          <w:p w14:paraId="3DC935F8" w14:textId="77777777" w:rsidR="00303AB2" w:rsidRPr="00D429D9" w:rsidRDefault="00303AB2" w:rsidP="00303AB2">
            <w:pPr>
              <w:pStyle w:val="TableText"/>
              <w:rPr>
                <w:lang w:eastAsia="en-NZ"/>
              </w:rPr>
            </w:pPr>
            <w:r w:rsidRPr="00D429D9">
              <w:rPr>
                <w:lang w:eastAsia="en-NZ"/>
              </w:rPr>
              <w:t>Siltuximab</w:t>
            </w:r>
          </w:p>
          <w:p w14:paraId="3DC935F9" w14:textId="77777777" w:rsidR="00303AB2" w:rsidRPr="00D429D9" w:rsidRDefault="00303AB2" w:rsidP="00303AB2">
            <w:pPr>
              <w:pStyle w:val="TableText"/>
              <w:rPr>
                <w:lang w:eastAsia="en-NZ"/>
              </w:rPr>
            </w:pPr>
            <w:r w:rsidRPr="00D429D9">
              <w:rPr>
                <w:lang w:eastAsia="en-NZ"/>
              </w:rPr>
              <w:t>Trametinib dimethyl sulfoxide</w:t>
            </w:r>
          </w:p>
          <w:p w14:paraId="3DC935FA" w14:textId="77777777" w:rsidR="00303AB2" w:rsidRPr="00D429D9" w:rsidRDefault="00303AB2" w:rsidP="00303AB2">
            <w:pPr>
              <w:pStyle w:val="TableText"/>
              <w:rPr>
                <w:lang w:eastAsia="en-NZ"/>
              </w:rPr>
            </w:pPr>
            <w:r w:rsidRPr="00D429D9">
              <w:rPr>
                <w:lang w:eastAsia="en-NZ"/>
              </w:rPr>
              <w:t>Trastuzumab emtansine</w:t>
            </w:r>
          </w:p>
          <w:p w14:paraId="3DC935FB" w14:textId="77777777" w:rsidR="00303AB2" w:rsidRPr="00D429D9" w:rsidRDefault="00303AB2" w:rsidP="00303AB2">
            <w:pPr>
              <w:pStyle w:val="TableText"/>
              <w:rPr>
                <w:lang w:eastAsia="en-NZ"/>
              </w:rPr>
            </w:pPr>
            <w:r w:rsidRPr="00D429D9">
              <w:rPr>
                <w:lang w:eastAsia="en-NZ"/>
              </w:rPr>
              <w:t>Venetoclax</w:t>
            </w:r>
          </w:p>
          <w:p w14:paraId="3DC935FC" w14:textId="77777777" w:rsidR="00303AB2" w:rsidRPr="00D429D9" w:rsidRDefault="00303AB2" w:rsidP="00303AB2">
            <w:pPr>
              <w:pStyle w:val="TableText"/>
              <w:rPr>
                <w:lang w:eastAsia="en-NZ"/>
              </w:rPr>
            </w:pPr>
            <w:r w:rsidRPr="00D429D9">
              <w:rPr>
                <w:lang w:eastAsia="en-NZ"/>
              </w:rPr>
              <w:t>Vismodegib</w:t>
            </w:r>
          </w:p>
        </w:tc>
      </w:tr>
      <w:tr w:rsidR="00303AB2" w:rsidRPr="004216D5" w14:paraId="3DC93603" w14:textId="77777777" w:rsidTr="00303AB2">
        <w:trPr>
          <w:cantSplit/>
        </w:trPr>
        <w:tc>
          <w:tcPr>
            <w:tcW w:w="2552" w:type="dxa"/>
            <w:tcBorders>
              <w:top w:val="single" w:sz="4" w:space="0" w:color="A6A6A6" w:themeColor="background1" w:themeShade="A6"/>
            </w:tcBorders>
            <w:shd w:val="clear" w:color="auto" w:fill="auto"/>
          </w:tcPr>
          <w:p w14:paraId="3DC935FE" w14:textId="77777777" w:rsidR="00303AB2" w:rsidRPr="00D429D9" w:rsidRDefault="00303AB2" w:rsidP="007E64AF">
            <w:pPr>
              <w:pStyle w:val="TableText"/>
              <w:rPr>
                <w:lang w:eastAsia="en-NZ"/>
              </w:rPr>
            </w:pPr>
            <w:r w:rsidRPr="00D429D9">
              <w:rPr>
                <w:rFonts w:eastAsiaTheme="minorHAnsi"/>
                <w:lang w:eastAsia="en-US"/>
              </w:rPr>
              <w:t>Nutrition and blood (4)</w:t>
            </w:r>
          </w:p>
        </w:tc>
        <w:tc>
          <w:tcPr>
            <w:tcW w:w="5528" w:type="dxa"/>
            <w:tcBorders>
              <w:top w:val="single" w:sz="4" w:space="0" w:color="A6A6A6" w:themeColor="background1" w:themeShade="A6"/>
            </w:tcBorders>
            <w:shd w:val="clear" w:color="auto" w:fill="auto"/>
          </w:tcPr>
          <w:p w14:paraId="3DC935FF" w14:textId="77777777" w:rsidR="00303AB2" w:rsidRPr="00D429D9" w:rsidRDefault="00303AB2" w:rsidP="00303AB2">
            <w:pPr>
              <w:pStyle w:val="TableText"/>
              <w:rPr>
                <w:lang w:eastAsia="en-NZ"/>
              </w:rPr>
            </w:pPr>
            <w:r w:rsidRPr="00D429D9">
              <w:rPr>
                <w:lang w:eastAsia="en-NZ"/>
              </w:rPr>
              <w:t>Betaine</w:t>
            </w:r>
          </w:p>
          <w:p w14:paraId="3DC93600" w14:textId="77777777" w:rsidR="00303AB2" w:rsidRPr="00D429D9" w:rsidRDefault="00303AB2" w:rsidP="00303AB2">
            <w:pPr>
              <w:pStyle w:val="TableText"/>
              <w:rPr>
                <w:lang w:eastAsia="en-NZ"/>
              </w:rPr>
            </w:pPr>
            <w:r w:rsidRPr="00D429D9">
              <w:rPr>
                <w:lang w:eastAsia="en-NZ"/>
              </w:rPr>
              <w:t>Elosulfase alfa</w:t>
            </w:r>
          </w:p>
          <w:p w14:paraId="3DC93601" w14:textId="77777777" w:rsidR="00303AB2" w:rsidRPr="00D429D9" w:rsidRDefault="00303AB2" w:rsidP="00303AB2">
            <w:pPr>
              <w:pStyle w:val="TableText"/>
              <w:rPr>
                <w:lang w:eastAsia="en-NZ"/>
              </w:rPr>
            </w:pPr>
            <w:r w:rsidRPr="00D429D9">
              <w:rPr>
                <w:lang w:eastAsia="en-NZ"/>
              </w:rPr>
              <w:t>Emicizumab</w:t>
            </w:r>
          </w:p>
          <w:p w14:paraId="3DC93602" w14:textId="77777777" w:rsidR="00303AB2" w:rsidRPr="00D429D9" w:rsidRDefault="00303AB2" w:rsidP="004216D5">
            <w:pPr>
              <w:pStyle w:val="TableText"/>
              <w:rPr>
                <w:lang w:eastAsia="en-NZ"/>
              </w:rPr>
            </w:pPr>
            <w:r>
              <w:rPr>
                <w:lang w:eastAsia="en-NZ"/>
              </w:rPr>
              <w:t>Zinc</w:t>
            </w:r>
          </w:p>
        </w:tc>
      </w:tr>
      <w:tr w:rsidR="00303AB2" w:rsidRPr="004216D5" w14:paraId="3DC93612" w14:textId="77777777" w:rsidTr="004216D5">
        <w:trPr>
          <w:cantSplit/>
        </w:trPr>
        <w:tc>
          <w:tcPr>
            <w:tcW w:w="2552" w:type="dxa"/>
            <w:tcBorders>
              <w:top w:val="single" w:sz="4" w:space="0" w:color="A6A6A6" w:themeColor="background1" w:themeShade="A6"/>
            </w:tcBorders>
            <w:shd w:val="clear" w:color="auto" w:fill="auto"/>
          </w:tcPr>
          <w:p w14:paraId="3DC93604" w14:textId="77777777" w:rsidR="00303AB2" w:rsidRPr="00D429D9" w:rsidRDefault="00303AB2" w:rsidP="007E64AF">
            <w:pPr>
              <w:pStyle w:val="TableText"/>
              <w:rPr>
                <w:lang w:eastAsia="en-NZ"/>
              </w:rPr>
            </w:pPr>
            <w:r w:rsidRPr="00D429D9">
              <w:rPr>
                <w:rFonts w:eastAsiaTheme="minorHAnsi"/>
                <w:lang w:eastAsia="en-US"/>
              </w:rPr>
              <w:t>Infections (13)</w:t>
            </w:r>
          </w:p>
        </w:tc>
        <w:tc>
          <w:tcPr>
            <w:tcW w:w="5528" w:type="dxa"/>
            <w:tcBorders>
              <w:top w:val="single" w:sz="4" w:space="0" w:color="A6A6A6" w:themeColor="background1" w:themeShade="A6"/>
            </w:tcBorders>
            <w:shd w:val="clear" w:color="auto" w:fill="auto"/>
          </w:tcPr>
          <w:p w14:paraId="3DC93605" w14:textId="77777777" w:rsidR="00303AB2" w:rsidRPr="00D429D9" w:rsidRDefault="00303AB2" w:rsidP="00303AB2">
            <w:pPr>
              <w:pStyle w:val="TableText"/>
              <w:rPr>
                <w:lang w:eastAsia="en-NZ"/>
              </w:rPr>
            </w:pPr>
            <w:r w:rsidRPr="00D429D9">
              <w:rPr>
                <w:lang w:eastAsia="en-NZ"/>
              </w:rPr>
              <w:t>Artesunate</w:t>
            </w:r>
          </w:p>
          <w:p w14:paraId="3DC93606" w14:textId="77777777" w:rsidR="00303AB2" w:rsidRPr="00D429D9" w:rsidRDefault="00303AB2" w:rsidP="00303AB2">
            <w:pPr>
              <w:pStyle w:val="TableText"/>
              <w:rPr>
                <w:lang w:eastAsia="en-NZ"/>
              </w:rPr>
            </w:pPr>
            <w:r w:rsidRPr="00D429D9">
              <w:rPr>
                <w:lang w:eastAsia="en-NZ"/>
              </w:rPr>
              <w:t>Bedaquiline</w:t>
            </w:r>
          </w:p>
          <w:p w14:paraId="3DC93607" w14:textId="77777777" w:rsidR="00303AB2" w:rsidRPr="00D429D9" w:rsidRDefault="00303AB2" w:rsidP="00303AB2">
            <w:pPr>
              <w:pStyle w:val="TableText"/>
              <w:rPr>
                <w:lang w:eastAsia="en-NZ"/>
              </w:rPr>
            </w:pPr>
            <w:r w:rsidRPr="00D429D9">
              <w:rPr>
                <w:lang w:eastAsia="en-NZ"/>
              </w:rPr>
              <w:t>Ceftolozane</w:t>
            </w:r>
          </w:p>
          <w:p w14:paraId="3DC93608" w14:textId="77777777" w:rsidR="00303AB2" w:rsidRPr="00D429D9" w:rsidRDefault="00303AB2" w:rsidP="00303AB2">
            <w:pPr>
              <w:pStyle w:val="TableText"/>
              <w:rPr>
                <w:lang w:eastAsia="en-NZ"/>
              </w:rPr>
            </w:pPr>
            <w:r w:rsidRPr="00D429D9">
              <w:rPr>
                <w:lang w:eastAsia="en-NZ"/>
              </w:rPr>
              <w:t>Cobicistat</w:t>
            </w:r>
          </w:p>
          <w:p w14:paraId="3DC93609" w14:textId="77777777" w:rsidR="00303AB2" w:rsidRPr="00D429D9" w:rsidRDefault="00303AB2" w:rsidP="00303AB2">
            <w:pPr>
              <w:pStyle w:val="TableText"/>
              <w:rPr>
                <w:lang w:eastAsia="en-NZ"/>
              </w:rPr>
            </w:pPr>
            <w:r w:rsidRPr="00D429D9">
              <w:rPr>
                <w:lang w:eastAsia="en-NZ"/>
              </w:rPr>
              <w:t>Dolutegravir</w:t>
            </w:r>
          </w:p>
          <w:p w14:paraId="3DC9360A" w14:textId="77777777" w:rsidR="00303AB2" w:rsidRPr="00D429D9" w:rsidRDefault="00303AB2" w:rsidP="00303AB2">
            <w:pPr>
              <w:pStyle w:val="TableText"/>
              <w:rPr>
                <w:lang w:eastAsia="en-NZ"/>
              </w:rPr>
            </w:pPr>
            <w:r w:rsidRPr="00D429D9">
              <w:rPr>
                <w:lang w:eastAsia="en-NZ"/>
              </w:rPr>
              <w:t>Elvitegravir</w:t>
            </w:r>
          </w:p>
          <w:p w14:paraId="3DC9360B" w14:textId="77777777" w:rsidR="00303AB2" w:rsidRPr="00D429D9" w:rsidRDefault="00303AB2" w:rsidP="00303AB2">
            <w:pPr>
              <w:pStyle w:val="TableText"/>
              <w:rPr>
                <w:lang w:eastAsia="en-NZ"/>
              </w:rPr>
            </w:pPr>
            <w:r w:rsidRPr="00D429D9">
              <w:rPr>
                <w:lang w:eastAsia="en-NZ"/>
              </w:rPr>
              <w:t>Fidaxomicin</w:t>
            </w:r>
          </w:p>
          <w:p w14:paraId="3DC9360C" w14:textId="77777777" w:rsidR="00303AB2" w:rsidRPr="00D429D9" w:rsidRDefault="00303AB2" w:rsidP="00303AB2">
            <w:pPr>
              <w:pStyle w:val="TableText"/>
              <w:rPr>
                <w:lang w:eastAsia="en-NZ"/>
              </w:rPr>
            </w:pPr>
            <w:r w:rsidRPr="00D429D9">
              <w:rPr>
                <w:lang w:eastAsia="en-NZ"/>
              </w:rPr>
              <w:t>Fosfomycin</w:t>
            </w:r>
          </w:p>
          <w:p w14:paraId="3DC9360D" w14:textId="77777777" w:rsidR="00303AB2" w:rsidRPr="00D429D9" w:rsidRDefault="00303AB2" w:rsidP="00303AB2">
            <w:pPr>
              <w:pStyle w:val="TableText"/>
              <w:rPr>
                <w:lang w:eastAsia="en-NZ"/>
              </w:rPr>
            </w:pPr>
            <w:r w:rsidRPr="00D429D9">
              <w:rPr>
                <w:lang w:eastAsia="en-NZ"/>
              </w:rPr>
              <w:t>Glecaprevir</w:t>
            </w:r>
          </w:p>
          <w:p w14:paraId="3DC9360E" w14:textId="77777777" w:rsidR="00303AB2" w:rsidRPr="00D429D9" w:rsidRDefault="00303AB2" w:rsidP="00303AB2">
            <w:pPr>
              <w:pStyle w:val="TableText"/>
              <w:rPr>
                <w:lang w:eastAsia="en-NZ"/>
              </w:rPr>
            </w:pPr>
            <w:r w:rsidRPr="00D429D9">
              <w:rPr>
                <w:lang w:eastAsia="en-NZ"/>
              </w:rPr>
              <w:t>Ledipasvir</w:t>
            </w:r>
          </w:p>
          <w:p w14:paraId="3DC9360F" w14:textId="77777777" w:rsidR="00303AB2" w:rsidRPr="00D429D9" w:rsidRDefault="00303AB2" w:rsidP="00303AB2">
            <w:pPr>
              <w:pStyle w:val="TableText"/>
              <w:rPr>
                <w:lang w:eastAsia="en-NZ"/>
              </w:rPr>
            </w:pPr>
            <w:r w:rsidRPr="00D429D9">
              <w:rPr>
                <w:lang w:eastAsia="en-NZ"/>
              </w:rPr>
              <w:t>Nitazoxanide</w:t>
            </w:r>
          </w:p>
          <w:p w14:paraId="3DC93610" w14:textId="77777777" w:rsidR="00303AB2" w:rsidRPr="00D429D9" w:rsidRDefault="00303AB2" w:rsidP="00303AB2">
            <w:pPr>
              <w:pStyle w:val="TableText"/>
              <w:rPr>
                <w:lang w:eastAsia="en-NZ"/>
              </w:rPr>
            </w:pPr>
            <w:r w:rsidRPr="00D429D9">
              <w:rPr>
                <w:lang w:eastAsia="en-NZ"/>
              </w:rPr>
              <w:t>Pibrentasvir</w:t>
            </w:r>
          </w:p>
          <w:p w14:paraId="3DC93611" w14:textId="77777777" w:rsidR="00303AB2" w:rsidRPr="00D429D9" w:rsidRDefault="00303AB2" w:rsidP="004216D5">
            <w:pPr>
              <w:pStyle w:val="TableText"/>
              <w:rPr>
                <w:lang w:eastAsia="en-NZ"/>
              </w:rPr>
            </w:pPr>
            <w:r w:rsidRPr="00D429D9">
              <w:rPr>
                <w:lang w:eastAsia="en-NZ"/>
              </w:rPr>
              <w:t>Sulfadiazine</w:t>
            </w:r>
          </w:p>
        </w:tc>
      </w:tr>
      <w:tr w:rsidR="00303AB2" w:rsidRPr="004216D5" w14:paraId="3DC93617" w14:textId="77777777" w:rsidTr="004216D5">
        <w:trPr>
          <w:cantSplit/>
        </w:trPr>
        <w:tc>
          <w:tcPr>
            <w:tcW w:w="2552" w:type="dxa"/>
            <w:tcBorders>
              <w:top w:val="single" w:sz="4" w:space="0" w:color="A6A6A6" w:themeColor="background1" w:themeShade="A6"/>
            </w:tcBorders>
            <w:shd w:val="clear" w:color="auto" w:fill="auto"/>
          </w:tcPr>
          <w:p w14:paraId="3DC93613" w14:textId="77777777" w:rsidR="00303AB2" w:rsidRPr="00D429D9" w:rsidRDefault="00303AB2" w:rsidP="007E64AF">
            <w:pPr>
              <w:pStyle w:val="TableText"/>
            </w:pPr>
            <w:r w:rsidRPr="00D429D9">
              <w:rPr>
                <w:lang w:eastAsia="en-NZ"/>
              </w:rPr>
              <w:t>Obstetrics, gynaecology, and urinary-tract disorders (3)</w:t>
            </w:r>
          </w:p>
        </w:tc>
        <w:tc>
          <w:tcPr>
            <w:tcW w:w="5528" w:type="dxa"/>
            <w:tcBorders>
              <w:top w:val="single" w:sz="4" w:space="0" w:color="A6A6A6" w:themeColor="background1" w:themeShade="A6"/>
            </w:tcBorders>
            <w:shd w:val="clear" w:color="auto" w:fill="auto"/>
          </w:tcPr>
          <w:p w14:paraId="3DC93614" w14:textId="77777777" w:rsidR="00303AB2" w:rsidRPr="00D429D9" w:rsidRDefault="00303AB2" w:rsidP="00303AB2">
            <w:pPr>
              <w:pStyle w:val="TableText"/>
              <w:rPr>
                <w:lang w:eastAsia="en-NZ"/>
              </w:rPr>
            </w:pPr>
            <w:r w:rsidRPr="00D429D9">
              <w:rPr>
                <w:lang w:eastAsia="en-NZ"/>
              </w:rPr>
              <w:t>Carboprost</w:t>
            </w:r>
          </w:p>
          <w:p w14:paraId="3DC93615" w14:textId="77777777" w:rsidR="00303AB2" w:rsidRPr="00D429D9" w:rsidRDefault="00303AB2" w:rsidP="00303AB2">
            <w:pPr>
              <w:pStyle w:val="TableText"/>
              <w:rPr>
                <w:lang w:eastAsia="en-NZ"/>
              </w:rPr>
            </w:pPr>
            <w:r w:rsidRPr="00D429D9">
              <w:rPr>
                <w:lang w:eastAsia="en-NZ"/>
              </w:rPr>
              <w:t>Dinoprostone</w:t>
            </w:r>
          </w:p>
          <w:p w14:paraId="3DC93616" w14:textId="77777777" w:rsidR="00303AB2" w:rsidRPr="00D429D9" w:rsidRDefault="00303AB2" w:rsidP="004216D5">
            <w:pPr>
              <w:pStyle w:val="TableText"/>
              <w:rPr>
                <w:lang w:eastAsia="en-NZ"/>
              </w:rPr>
            </w:pPr>
            <w:r w:rsidRPr="00D429D9">
              <w:rPr>
                <w:lang w:eastAsia="en-NZ"/>
              </w:rPr>
              <w:t>Mifepristone</w:t>
            </w:r>
          </w:p>
        </w:tc>
      </w:tr>
      <w:tr w:rsidR="00303AB2" w:rsidRPr="004216D5" w14:paraId="3DC9361B" w14:textId="77777777" w:rsidTr="00303AB2">
        <w:trPr>
          <w:cantSplit/>
        </w:trPr>
        <w:tc>
          <w:tcPr>
            <w:tcW w:w="2552" w:type="dxa"/>
            <w:tcBorders>
              <w:top w:val="single" w:sz="4" w:space="0" w:color="A6A6A6" w:themeColor="background1" w:themeShade="A6"/>
              <w:bottom w:val="single" w:sz="4" w:space="0" w:color="A6A6A6" w:themeColor="background1" w:themeShade="A6"/>
            </w:tcBorders>
            <w:shd w:val="clear" w:color="auto" w:fill="auto"/>
          </w:tcPr>
          <w:p w14:paraId="3DC93618" w14:textId="77777777" w:rsidR="00303AB2" w:rsidRPr="00D429D9" w:rsidRDefault="00303AB2" w:rsidP="007E64AF">
            <w:pPr>
              <w:pStyle w:val="TableText"/>
            </w:pPr>
            <w:r w:rsidRPr="00D429D9">
              <w:rPr>
                <w:lang w:eastAsia="en-NZ"/>
              </w:rPr>
              <w:t>Cardiovascular system (2)</w:t>
            </w:r>
          </w:p>
        </w:tc>
        <w:tc>
          <w:tcPr>
            <w:tcW w:w="5528" w:type="dxa"/>
            <w:tcBorders>
              <w:top w:val="single" w:sz="4" w:space="0" w:color="A6A6A6" w:themeColor="background1" w:themeShade="A6"/>
              <w:bottom w:val="single" w:sz="4" w:space="0" w:color="A6A6A6" w:themeColor="background1" w:themeShade="A6"/>
            </w:tcBorders>
            <w:shd w:val="clear" w:color="auto" w:fill="auto"/>
          </w:tcPr>
          <w:p w14:paraId="3DC93619" w14:textId="77777777" w:rsidR="00303AB2" w:rsidRPr="00D429D9" w:rsidRDefault="00303AB2" w:rsidP="00303AB2">
            <w:pPr>
              <w:pStyle w:val="TableText"/>
              <w:rPr>
                <w:lang w:eastAsia="en-NZ"/>
              </w:rPr>
            </w:pPr>
            <w:r w:rsidRPr="00D429D9">
              <w:rPr>
                <w:lang w:eastAsia="en-NZ"/>
              </w:rPr>
              <w:t>Idarucizumab</w:t>
            </w:r>
          </w:p>
          <w:p w14:paraId="3DC9361A" w14:textId="77777777" w:rsidR="00303AB2" w:rsidRPr="00D429D9" w:rsidRDefault="00303AB2" w:rsidP="004216D5">
            <w:pPr>
              <w:pStyle w:val="TableText"/>
              <w:rPr>
                <w:lang w:eastAsia="en-NZ"/>
              </w:rPr>
            </w:pPr>
            <w:r w:rsidRPr="00D429D9">
              <w:rPr>
                <w:lang w:eastAsia="en-NZ"/>
              </w:rPr>
              <w:t>Sacubitril</w:t>
            </w:r>
          </w:p>
        </w:tc>
      </w:tr>
      <w:tr w:rsidR="00303AB2" w:rsidRPr="004216D5" w14:paraId="3DC93627" w14:textId="77777777" w:rsidTr="00303AB2">
        <w:trPr>
          <w:cantSplit/>
        </w:trPr>
        <w:tc>
          <w:tcPr>
            <w:tcW w:w="2552" w:type="dxa"/>
            <w:tcBorders>
              <w:top w:val="single" w:sz="4" w:space="0" w:color="A6A6A6" w:themeColor="background1" w:themeShade="A6"/>
              <w:bottom w:val="single" w:sz="4" w:space="0" w:color="A6A6A6" w:themeColor="background1" w:themeShade="A6"/>
            </w:tcBorders>
            <w:shd w:val="clear" w:color="auto" w:fill="auto"/>
          </w:tcPr>
          <w:p w14:paraId="3DC9361C" w14:textId="77777777" w:rsidR="00303AB2" w:rsidRPr="00D429D9" w:rsidRDefault="00303AB2" w:rsidP="007E64AF">
            <w:pPr>
              <w:pStyle w:val="TableText"/>
              <w:rPr>
                <w:lang w:eastAsia="en-NZ"/>
              </w:rPr>
            </w:pPr>
            <w:r>
              <w:rPr>
                <w:lang w:eastAsia="en-NZ"/>
              </w:rPr>
              <w:lastRenderedPageBreak/>
              <w:t>Anaesthesia (10)</w:t>
            </w:r>
          </w:p>
        </w:tc>
        <w:tc>
          <w:tcPr>
            <w:tcW w:w="5528" w:type="dxa"/>
            <w:tcBorders>
              <w:top w:val="single" w:sz="4" w:space="0" w:color="A6A6A6" w:themeColor="background1" w:themeShade="A6"/>
              <w:bottom w:val="single" w:sz="4" w:space="0" w:color="A6A6A6" w:themeColor="background1" w:themeShade="A6"/>
            </w:tcBorders>
            <w:shd w:val="clear" w:color="auto" w:fill="auto"/>
          </w:tcPr>
          <w:p w14:paraId="3DC9361D" w14:textId="77777777" w:rsidR="00303AB2" w:rsidRPr="00D429D9" w:rsidRDefault="00303AB2" w:rsidP="00303AB2">
            <w:pPr>
              <w:pStyle w:val="TableText"/>
              <w:rPr>
                <w:lang w:eastAsia="en-NZ"/>
              </w:rPr>
            </w:pPr>
            <w:r w:rsidRPr="00D429D9">
              <w:rPr>
                <w:lang w:eastAsia="en-NZ"/>
              </w:rPr>
              <w:t>Atracurium</w:t>
            </w:r>
          </w:p>
          <w:p w14:paraId="3DC9361E" w14:textId="77777777" w:rsidR="00303AB2" w:rsidRPr="00D429D9" w:rsidRDefault="00303AB2" w:rsidP="00303AB2">
            <w:pPr>
              <w:pStyle w:val="TableText"/>
              <w:rPr>
                <w:lang w:eastAsia="en-NZ"/>
              </w:rPr>
            </w:pPr>
            <w:r w:rsidRPr="00D429D9">
              <w:rPr>
                <w:lang w:eastAsia="en-NZ"/>
              </w:rPr>
              <w:t>Dexmedetomidine</w:t>
            </w:r>
          </w:p>
          <w:p w14:paraId="3DC9361F" w14:textId="77777777" w:rsidR="00303AB2" w:rsidRPr="00D429D9" w:rsidRDefault="00303AB2" w:rsidP="00303AB2">
            <w:pPr>
              <w:pStyle w:val="TableText"/>
              <w:rPr>
                <w:lang w:eastAsia="en-NZ"/>
              </w:rPr>
            </w:pPr>
            <w:r w:rsidRPr="00D429D9">
              <w:rPr>
                <w:lang w:eastAsia="en-NZ"/>
              </w:rPr>
              <w:t>Etomidate</w:t>
            </w:r>
          </w:p>
          <w:p w14:paraId="3DC93620" w14:textId="77777777" w:rsidR="00303AB2" w:rsidRPr="00D429D9" w:rsidRDefault="00303AB2" w:rsidP="00303AB2">
            <w:pPr>
              <w:pStyle w:val="TableText"/>
              <w:rPr>
                <w:lang w:eastAsia="en-NZ"/>
              </w:rPr>
            </w:pPr>
            <w:r w:rsidRPr="00D429D9">
              <w:rPr>
                <w:lang w:eastAsia="en-NZ"/>
              </w:rPr>
              <w:t>Glycopyrronium</w:t>
            </w:r>
          </w:p>
          <w:p w14:paraId="3DC93621" w14:textId="77777777" w:rsidR="00303AB2" w:rsidRPr="00D429D9" w:rsidRDefault="00303AB2" w:rsidP="00303AB2">
            <w:pPr>
              <w:pStyle w:val="TableText"/>
              <w:rPr>
                <w:lang w:eastAsia="en-NZ"/>
              </w:rPr>
            </w:pPr>
            <w:r w:rsidRPr="00D429D9">
              <w:rPr>
                <w:lang w:eastAsia="en-NZ"/>
              </w:rPr>
              <w:t>Mivacurium</w:t>
            </w:r>
          </w:p>
          <w:p w14:paraId="3DC93622" w14:textId="77777777" w:rsidR="00303AB2" w:rsidRPr="00D429D9" w:rsidRDefault="00303AB2" w:rsidP="00303AB2">
            <w:pPr>
              <w:pStyle w:val="TableText"/>
              <w:rPr>
                <w:lang w:eastAsia="en-NZ"/>
              </w:rPr>
            </w:pPr>
            <w:r w:rsidRPr="00D429D9">
              <w:rPr>
                <w:lang w:eastAsia="en-NZ"/>
              </w:rPr>
              <w:t>Pancuronium</w:t>
            </w:r>
          </w:p>
          <w:p w14:paraId="3DC93623" w14:textId="77777777" w:rsidR="00303AB2" w:rsidRPr="00D429D9" w:rsidRDefault="00303AB2" w:rsidP="00303AB2">
            <w:pPr>
              <w:pStyle w:val="TableText"/>
              <w:rPr>
                <w:lang w:eastAsia="en-NZ"/>
              </w:rPr>
            </w:pPr>
            <w:r w:rsidRPr="00D429D9">
              <w:rPr>
                <w:lang w:eastAsia="en-NZ"/>
              </w:rPr>
              <w:t>Rocuronium</w:t>
            </w:r>
          </w:p>
          <w:p w14:paraId="3DC93624" w14:textId="77777777" w:rsidR="00303AB2" w:rsidRPr="00D429D9" w:rsidRDefault="00303AB2" w:rsidP="00303AB2">
            <w:pPr>
              <w:pStyle w:val="TableText"/>
              <w:rPr>
                <w:lang w:eastAsia="en-NZ"/>
              </w:rPr>
            </w:pPr>
            <w:r w:rsidRPr="00D429D9">
              <w:rPr>
                <w:lang w:eastAsia="en-NZ"/>
              </w:rPr>
              <w:t>Sugammadex</w:t>
            </w:r>
          </w:p>
          <w:p w14:paraId="3DC93625" w14:textId="77777777" w:rsidR="00303AB2" w:rsidRPr="00D429D9" w:rsidRDefault="00303AB2" w:rsidP="00303AB2">
            <w:pPr>
              <w:pStyle w:val="TableText"/>
              <w:rPr>
                <w:lang w:eastAsia="en-NZ"/>
              </w:rPr>
            </w:pPr>
            <w:r w:rsidRPr="00D429D9">
              <w:rPr>
                <w:lang w:eastAsia="en-NZ"/>
              </w:rPr>
              <w:t>Suxamethonium</w:t>
            </w:r>
          </w:p>
          <w:p w14:paraId="3DC93626" w14:textId="77777777" w:rsidR="00303AB2" w:rsidRPr="00D429D9" w:rsidRDefault="00303AB2" w:rsidP="004216D5">
            <w:pPr>
              <w:pStyle w:val="TableText"/>
              <w:rPr>
                <w:lang w:eastAsia="en-NZ"/>
              </w:rPr>
            </w:pPr>
            <w:r w:rsidRPr="00D429D9">
              <w:rPr>
                <w:lang w:eastAsia="en-NZ"/>
              </w:rPr>
              <w:t>Vecuronium</w:t>
            </w:r>
          </w:p>
        </w:tc>
      </w:tr>
      <w:tr w:rsidR="00303AB2" w:rsidRPr="004216D5" w14:paraId="3DC9362C" w14:textId="77777777" w:rsidTr="00830F81">
        <w:trPr>
          <w:cantSplit/>
        </w:trPr>
        <w:tc>
          <w:tcPr>
            <w:tcW w:w="2552" w:type="dxa"/>
            <w:tcBorders>
              <w:top w:val="single" w:sz="4" w:space="0" w:color="A6A6A6" w:themeColor="background1" w:themeShade="A6"/>
              <w:bottom w:val="single" w:sz="4" w:space="0" w:color="A6A6A6" w:themeColor="background1" w:themeShade="A6"/>
            </w:tcBorders>
            <w:shd w:val="clear" w:color="auto" w:fill="auto"/>
          </w:tcPr>
          <w:p w14:paraId="3DC93628" w14:textId="77777777" w:rsidR="00303AB2" w:rsidRDefault="00303AB2" w:rsidP="007E64AF">
            <w:pPr>
              <w:pStyle w:val="TableText"/>
              <w:rPr>
                <w:lang w:eastAsia="en-NZ"/>
              </w:rPr>
            </w:pPr>
            <w:r w:rsidRPr="00D429D9">
              <w:rPr>
                <w:lang w:eastAsia="en-NZ"/>
              </w:rPr>
              <w:t>Controlled drugs (3)</w:t>
            </w:r>
          </w:p>
        </w:tc>
        <w:tc>
          <w:tcPr>
            <w:tcW w:w="5528" w:type="dxa"/>
            <w:tcBorders>
              <w:top w:val="single" w:sz="4" w:space="0" w:color="A6A6A6" w:themeColor="background1" w:themeShade="A6"/>
              <w:bottom w:val="single" w:sz="4" w:space="0" w:color="A6A6A6" w:themeColor="background1" w:themeShade="A6"/>
            </w:tcBorders>
            <w:shd w:val="clear" w:color="auto" w:fill="auto"/>
          </w:tcPr>
          <w:p w14:paraId="3DC93629" w14:textId="77777777" w:rsidR="00303AB2" w:rsidRPr="00D429D9" w:rsidRDefault="00303AB2" w:rsidP="00303AB2">
            <w:pPr>
              <w:pStyle w:val="TableText"/>
              <w:rPr>
                <w:lang w:eastAsia="en-NZ"/>
              </w:rPr>
            </w:pPr>
            <w:r w:rsidRPr="00D429D9">
              <w:rPr>
                <w:lang w:eastAsia="en-NZ"/>
              </w:rPr>
              <w:t>Alfentanil</w:t>
            </w:r>
          </w:p>
          <w:p w14:paraId="3DC9362A" w14:textId="77777777" w:rsidR="00303AB2" w:rsidRPr="00D429D9" w:rsidRDefault="00303AB2" w:rsidP="00303AB2">
            <w:pPr>
              <w:pStyle w:val="TableText"/>
              <w:rPr>
                <w:lang w:eastAsia="en-NZ"/>
              </w:rPr>
            </w:pPr>
            <w:r w:rsidRPr="00D429D9">
              <w:rPr>
                <w:lang w:eastAsia="en-NZ"/>
              </w:rPr>
              <w:t>Nabilone</w:t>
            </w:r>
          </w:p>
          <w:p w14:paraId="3DC9362B" w14:textId="77777777" w:rsidR="00303AB2" w:rsidRPr="00D429D9" w:rsidRDefault="00303AB2" w:rsidP="00303AB2">
            <w:pPr>
              <w:pStyle w:val="TableText"/>
              <w:rPr>
                <w:lang w:eastAsia="en-NZ"/>
              </w:rPr>
            </w:pPr>
            <w:r w:rsidRPr="00D429D9">
              <w:rPr>
                <w:lang w:eastAsia="en-NZ"/>
              </w:rPr>
              <w:t>Tapentadol</w:t>
            </w:r>
          </w:p>
        </w:tc>
      </w:tr>
      <w:tr w:rsidR="00303AB2" w:rsidRPr="004216D5" w14:paraId="3DC9364C" w14:textId="77777777" w:rsidTr="00830F81">
        <w:trPr>
          <w:cantSplit/>
        </w:trPr>
        <w:tc>
          <w:tcPr>
            <w:tcW w:w="2552" w:type="dxa"/>
            <w:tcBorders>
              <w:top w:val="single" w:sz="4" w:space="0" w:color="A6A6A6" w:themeColor="background1" w:themeShade="A6"/>
              <w:bottom w:val="single" w:sz="4" w:space="0" w:color="A6A6A6" w:themeColor="background1" w:themeShade="A6"/>
            </w:tcBorders>
            <w:shd w:val="clear" w:color="auto" w:fill="auto"/>
          </w:tcPr>
          <w:p w14:paraId="3DC9362D" w14:textId="77777777" w:rsidR="00303AB2" w:rsidRPr="00D429D9" w:rsidRDefault="00830F81" w:rsidP="007E64AF">
            <w:pPr>
              <w:pStyle w:val="TableText"/>
              <w:rPr>
                <w:lang w:eastAsia="en-NZ"/>
              </w:rPr>
            </w:pPr>
            <w:r w:rsidRPr="00D429D9">
              <w:t>No class assigned</w:t>
            </w:r>
            <w:r w:rsidRPr="00D429D9">
              <w:rPr>
                <w:color w:val="000000"/>
                <w:lang w:eastAsia="en-NZ"/>
              </w:rPr>
              <w:t xml:space="preserve"> (89)</w:t>
            </w:r>
          </w:p>
        </w:tc>
        <w:tc>
          <w:tcPr>
            <w:tcW w:w="5528" w:type="dxa"/>
            <w:tcBorders>
              <w:top w:val="single" w:sz="4" w:space="0" w:color="A6A6A6" w:themeColor="background1" w:themeShade="A6"/>
              <w:bottom w:val="single" w:sz="4" w:space="0" w:color="A6A6A6" w:themeColor="background1" w:themeShade="A6"/>
            </w:tcBorders>
            <w:shd w:val="clear" w:color="auto" w:fill="auto"/>
          </w:tcPr>
          <w:p w14:paraId="3DC9362E" w14:textId="77777777" w:rsidR="00830F81" w:rsidRPr="00D429D9" w:rsidRDefault="00830F81" w:rsidP="00830F81">
            <w:pPr>
              <w:pStyle w:val="TableText"/>
              <w:rPr>
                <w:lang w:eastAsia="en-NZ"/>
              </w:rPr>
            </w:pPr>
            <w:r w:rsidRPr="00D429D9">
              <w:rPr>
                <w:lang w:eastAsia="en-NZ"/>
              </w:rPr>
              <w:t>Abemaciclib</w:t>
            </w:r>
          </w:p>
          <w:p w14:paraId="3DC9362F" w14:textId="77777777" w:rsidR="00830F81" w:rsidRPr="00D429D9" w:rsidRDefault="00830F81" w:rsidP="00830F81">
            <w:pPr>
              <w:pStyle w:val="TableText"/>
              <w:rPr>
                <w:lang w:eastAsia="en-NZ"/>
              </w:rPr>
            </w:pPr>
            <w:r w:rsidRPr="00D429D9">
              <w:rPr>
                <w:lang w:eastAsia="en-NZ"/>
              </w:rPr>
              <w:t>Acalabrutinib</w:t>
            </w:r>
          </w:p>
          <w:p w14:paraId="3DC93630" w14:textId="77777777" w:rsidR="00830F81" w:rsidRPr="00D429D9" w:rsidRDefault="00830F81" w:rsidP="00830F81">
            <w:pPr>
              <w:pStyle w:val="TableText"/>
              <w:rPr>
                <w:lang w:eastAsia="en-NZ"/>
              </w:rPr>
            </w:pPr>
            <w:r w:rsidRPr="00D429D9">
              <w:rPr>
                <w:lang w:eastAsia="en-NZ"/>
              </w:rPr>
              <w:t>Aclidinium bromide</w:t>
            </w:r>
          </w:p>
          <w:p w14:paraId="3DC93631" w14:textId="77777777" w:rsidR="00830F81" w:rsidRPr="00D429D9" w:rsidRDefault="00830F81" w:rsidP="00830F81">
            <w:pPr>
              <w:pStyle w:val="TableText"/>
              <w:rPr>
                <w:lang w:eastAsia="en-NZ"/>
              </w:rPr>
            </w:pPr>
            <w:r w:rsidRPr="00D429D9">
              <w:rPr>
                <w:lang w:eastAsia="en-NZ"/>
              </w:rPr>
              <w:t>Adrafinil</w:t>
            </w:r>
          </w:p>
          <w:p w14:paraId="3DC93632" w14:textId="77777777" w:rsidR="00830F81" w:rsidRDefault="00830F81" w:rsidP="00830F81">
            <w:pPr>
              <w:pStyle w:val="TableText"/>
              <w:rPr>
                <w:lang w:eastAsia="en-NZ"/>
              </w:rPr>
            </w:pPr>
            <w:r w:rsidRPr="00D429D9">
              <w:rPr>
                <w:lang w:eastAsia="en-NZ"/>
              </w:rPr>
              <w:t>Alitretinoin</w:t>
            </w:r>
          </w:p>
          <w:p w14:paraId="3DC93633" w14:textId="77777777" w:rsidR="00830F81" w:rsidRDefault="00830F81" w:rsidP="00830F81">
            <w:pPr>
              <w:pStyle w:val="TableText"/>
              <w:rPr>
                <w:lang w:eastAsia="en-NZ"/>
              </w:rPr>
            </w:pPr>
            <w:r w:rsidRPr="00D429D9">
              <w:rPr>
                <w:lang w:eastAsia="en-NZ"/>
              </w:rPr>
              <w:t>Alogliptin</w:t>
            </w:r>
          </w:p>
          <w:p w14:paraId="3DC93634" w14:textId="77777777" w:rsidR="00830F81" w:rsidRDefault="00830F81" w:rsidP="00830F81">
            <w:pPr>
              <w:pStyle w:val="TableText"/>
              <w:rPr>
                <w:lang w:eastAsia="en-NZ"/>
              </w:rPr>
            </w:pPr>
            <w:r w:rsidRPr="00D429D9">
              <w:rPr>
                <w:lang w:eastAsia="en-NZ"/>
              </w:rPr>
              <w:t>Alpelisib</w:t>
            </w:r>
          </w:p>
          <w:p w14:paraId="3DC93635" w14:textId="77777777" w:rsidR="00830F81" w:rsidRDefault="00830F81" w:rsidP="00830F81">
            <w:pPr>
              <w:pStyle w:val="TableText"/>
              <w:rPr>
                <w:lang w:eastAsia="en-NZ"/>
              </w:rPr>
            </w:pPr>
            <w:r w:rsidRPr="00D429D9">
              <w:rPr>
                <w:lang w:eastAsia="en-NZ"/>
              </w:rPr>
              <w:t>Avanafil</w:t>
            </w:r>
          </w:p>
          <w:p w14:paraId="3DC93636" w14:textId="77777777" w:rsidR="00830F81" w:rsidRDefault="00830F81" w:rsidP="00830F81">
            <w:pPr>
              <w:pStyle w:val="TableText"/>
              <w:rPr>
                <w:lang w:eastAsia="en-NZ"/>
              </w:rPr>
            </w:pPr>
            <w:r w:rsidRPr="00D429D9">
              <w:rPr>
                <w:lang w:eastAsia="en-NZ"/>
              </w:rPr>
              <w:t>Avelumab</w:t>
            </w:r>
          </w:p>
          <w:p w14:paraId="3DC93637" w14:textId="77777777" w:rsidR="00830F81" w:rsidRPr="00D429D9" w:rsidRDefault="00830F81" w:rsidP="00830F81">
            <w:pPr>
              <w:pStyle w:val="TableText"/>
              <w:rPr>
                <w:lang w:eastAsia="en-NZ"/>
              </w:rPr>
            </w:pPr>
            <w:r w:rsidRPr="00D429D9">
              <w:rPr>
                <w:lang w:eastAsia="en-NZ"/>
              </w:rPr>
              <w:t>Avibactam</w:t>
            </w:r>
          </w:p>
          <w:p w14:paraId="3DC93638" w14:textId="77777777" w:rsidR="00830F81" w:rsidRDefault="00830F81" w:rsidP="00830F81">
            <w:pPr>
              <w:pStyle w:val="TableText"/>
              <w:rPr>
                <w:lang w:eastAsia="en-NZ"/>
              </w:rPr>
            </w:pPr>
            <w:r w:rsidRPr="00D429D9">
              <w:rPr>
                <w:lang w:eastAsia="en-NZ"/>
              </w:rPr>
              <w:t>Baloxavir marboxil</w:t>
            </w:r>
          </w:p>
          <w:p w14:paraId="3DC93639" w14:textId="77777777" w:rsidR="00830F81" w:rsidRDefault="00830F81" w:rsidP="00830F81">
            <w:pPr>
              <w:pStyle w:val="TableText"/>
              <w:rPr>
                <w:lang w:eastAsia="en-NZ"/>
              </w:rPr>
            </w:pPr>
            <w:r w:rsidRPr="00D429D9">
              <w:rPr>
                <w:lang w:eastAsia="en-NZ"/>
              </w:rPr>
              <w:t>Bamlanivimab</w:t>
            </w:r>
          </w:p>
          <w:p w14:paraId="3DC9363A" w14:textId="77777777" w:rsidR="00830F81" w:rsidRDefault="00830F81" w:rsidP="00830F81">
            <w:pPr>
              <w:pStyle w:val="TableText"/>
              <w:rPr>
                <w:lang w:eastAsia="en-NZ"/>
              </w:rPr>
            </w:pPr>
            <w:r w:rsidRPr="00D429D9">
              <w:rPr>
                <w:lang w:eastAsia="en-NZ"/>
              </w:rPr>
              <w:t>Baricitinib</w:t>
            </w:r>
          </w:p>
          <w:p w14:paraId="3DC9363B" w14:textId="77777777" w:rsidR="00830F81" w:rsidRDefault="00830F81" w:rsidP="00830F81">
            <w:pPr>
              <w:pStyle w:val="TableText"/>
              <w:rPr>
                <w:lang w:eastAsia="en-NZ"/>
              </w:rPr>
            </w:pPr>
            <w:r w:rsidRPr="00D429D9">
              <w:rPr>
                <w:lang w:eastAsia="en-NZ"/>
              </w:rPr>
              <w:t>Benralizumab</w:t>
            </w:r>
          </w:p>
          <w:p w14:paraId="3DC9363C" w14:textId="77777777" w:rsidR="00830F81" w:rsidRPr="00D429D9" w:rsidRDefault="00830F81" w:rsidP="00830F81">
            <w:pPr>
              <w:pStyle w:val="TableText"/>
              <w:rPr>
                <w:lang w:eastAsia="en-NZ"/>
              </w:rPr>
            </w:pPr>
            <w:r w:rsidRPr="00D429D9">
              <w:rPr>
                <w:lang w:eastAsia="en-NZ"/>
              </w:rPr>
              <w:t>Bezlotoxumab</w:t>
            </w:r>
          </w:p>
          <w:p w14:paraId="3DC9363D" w14:textId="77777777" w:rsidR="00830F81" w:rsidRDefault="00830F81" w:rsidP="00830F81">
            <w:pPr>
              <w:pStyle w:val="TableText"/>
              <w:rPr>
                <w:lang w:eastAsia="en-NZ"/>
              </w:rPr>
            </w:pPr>
            <w:r w:rsidRPr="00D429D9">
              <w:rPr>
                <w:lang w:eastAsia="en-NZ"/>
              </w:rPr>
              <w:t>Bictegravir</w:t>
            </w:r>
          </w:p>
          <w:p w14:paraId="3DC9363E" w14:textId="77777777" w:rsidR="00830F81" w:rsidRDefault="00830F81" w:rsidP="00830F81">
            <w:pPr>
              <w:pStyle w:val="TableText"/>
              <w:rPr>
                <w:lang w:eastAsia="en-NZ"/>
              </w:rPr>
            </w:pPr>
            <w:r w:rsidRPr="00D429D9">
              <w:rPr>
                <w:lang w:eastAsia="en-NZ"/>
              </w:rPr>
              <w:t>Blinatumomab</w:t>
            </w:r>
          </w:p>
          <w:p w14:paraId="3DC9363F" w14:textId="77777777" w:rsidR="00830F81" w:rsidRDefault="00830F81" w:rsidP="00830F81">
            <w:pPr>
              <w:pStyle w:val="TableText"/>
              <w:rPr>
                <w:lang w:eastAsia="en-NZ"/>
              </w:rPr>
            </w:pPr>
            <w:r w:rsidRPr="00D429D9">
              <w:rPr>
                <w:lang w:eastAsia="en-NZ"/>
              </w:rPr>
              <w:t>Bosutinib</w:t>
            </w:r>
          </w:p>
          <w:p w14:paraId="3DC93640" w14:textId="77777777" w:rsidR="00830F81" w:rsidRDefault="00830F81" w:rsidP="00830F81">
            <w:pPr>
              <w:pStyle w:val="TableText"/>
              <w:rPr>
                <w:lang w:eastAsia="en-NZ"/>
              </w:rPr>
            </w:pPr>
            <w:r w:rsidRPr="00D429D9">
              <w:rPr>
                <w:lang w:eastAsia="en-NZ"/>
              </w:rPr>
              <w:t>Brigatinib</w:t>
            </w:r>
          </w:p>
          <w:p w14:paraId="3DC93641" w14:textId="77777777" w:rsidR="00830F81" w:rsidRPr="00D429D9" w:rsidRDefault="00830F81" w:rsidP="00830F81">
            <w:pPr>
              <w:pStyle w:val="TableText"/>
              <w:rPr>
                <w:lang w:eastAsia="en-NZ"/>
              </w:rPr>
            </w:pPr>
            <w:r w:rsidRPr="00D429D9">
              <w:rPr>
                <w:lang w:eastAsia="en-NZ"/>
              </w:rPr>
              <w:t>Brolucizumab</w:t>
            </w:r>
          </w:p>
          <w:p w14:paraId="3DC93642" w14:textId="77777777" w:rsidR="00830F81" w:rsidRDefault="00830F81" w:rsidP="00830F81">
            <w:pPr>
              <w:pStyle w:val="TableText"/>
              <w:rPr>
                <w:lang w:eastAsia="en-NZ"/>
              </w:rPr>
            </w:pPr>
            <w:r w:rsidRPr="00D429D9">
              <w:rPr>
                <w:lang w:eastAsia="en-NZ"/>
              </w:rPr>
              <w:t>Cabotegravir</w:t>
            </w:r>
          </w:p>
          <w:p w14:paraId="3DC93643" w14:textId="77777777" w:rsidR="00830F81" w:rsidRDefault="00830F81" w:rsidP="00830F81">
            <w:pPr>
              <w:pStyle w:val="TableText"/>
              <w:rPr>
                <w:lang w:eastAsia="en-NZ"/>
              </w:rPr>
            </w:pPr>
            <w:r w:rsidRPr="00D429D9">
              <w:rPr>
                <w:lang w:eastAsia="en-NZ"/>
              </w:rPr>
              <w:t>Cabozantinib</w:t>
            </w:r>
          </w:p>
          <w:p w14:paraId="3DC93644" w14:textId="77777777" w:rsidR="00830F81" w:rsidRDefault="00830F81" w:rsidP="00830F81">
            <w:pPr>
              <w:pStyle w:val="TableText"/>
              <w:rPr>
                <w:lang w:eastAsia="en-NZ"/>
              </w:rPr>
            </w:pPr>
            <w:r w:rsidRPr="00D429D9">
              <w:rPr>
                <w:lang w:eastAsia="en-NZ"/>
              </w:rPr>
              <w:t>Canagliflozin</w:t>
            </w:r>
          </w:p>
          <w:p w14:paraId="3DC93645" w14:textId="77777777" w:rsidR="00830F81" w:rsidRDefault="00830F81" w:rsidP="00830F81">
            <w:pPr>
              <w:pStyle w:val="TableText"/>
              <w:rPr>
                <w:lang w:eastAsia="en-NZ"/>
              </w:rPr>
            </w:pPr>
            <w:r w:rsidRPr="00D429D9">
              <w:rPr>
                <w:lang w:eastAsia="en-NZ"/>
              </w:rPr>
              <w:t>Carglumic acid</w:t>
            </w:r>
          </w:p>
          <w:p w14:paraId="3DC93646" w14:textId="77777777" w:rsidR="00830F81" w:rsidRDefault="00830F81" w:rsidP="00830F81">
            <w:pPr>
              <w:pStyle w:val="TableText"/>
              <w:rPr>
                <w:lang w:eastAsia="en-NZ"/>
              </w:rPr>
            </w:pPr>
            <w:r w:rsidRPr="00D429D9">
              <w:rPr>
                <w:lang w:eastAsia="en-NZ"/>
              </w:rPr>
              <w:t>Cefaloridine</w:t>
            </w:r>
          </w:p>
          <w:p w14:paraId="3DC93647" w14:textId="77777777" w:rsidR="00830F81" w:rsidRDefault="00830F81" w:rsidP="00830F81">
            <w:pPr>
              <w:pStyle w:val="TableText"/>
              <w:rPr>
                <w:lang w:eastAsia="en-NZ"/>
              </w:rPr>
            </w:pPr>
            <w:r w:rsidRPr="00D429D9">
              <w:rPr>
                <w:lang w:eastAsia="en-NZ"/>
              </w:rPr>
              <w:t>Ceritinib</w:t>
            </w:r>
          </w:p>
          <w:p w14:paraId="3DC93648" w14:textId="77777777" w:rsidR="005E5AEF" w:rsidRDefault="005E5AEF" w:rsidP="005E5AEF">
            <w:pPr>
              <w:pStyle w:val="TableText"/>
              <w:rPr>
                <w:lang w:eastAsia="en-NZ"/>
              </w:rPr>
            </w:pPr>
            <w:r w:rsidRPr="00D429D9">
              <w:rPr>
                <w:lang w:eastAsia="en-NZ"/>
              </w:rPr>
              <w:t>Daclatasvir</w:t>
            </w:r>
          </w:p>
          <w:p w14:paraId="3DC93649" w14:textId="77777777" w:rsidR="005E5AEF" w:rsidRDefault="005E5AEF" w:rsidP="005E5AEF">
            <w:pPr>
              <w:pStyle w:val="TableText"/>
              <w:rPr>
                <w:lang w:eastAsia="en-NZ"/>
              </w:rPr>
            </w:pPr>
            <w:r w:rsidRPr="00D429D9">
              <w:rPr>
                <w:lang w:eastAsia="en-NZ"/>
              </w:rPr>
              <w:t>Darolutamide</w:t>
            </w:r>
          </w:p>
          <w:p w14:paraId="3DC9364A" w14:textId="77777777" w:rsidR="005E5AEF" w:rsidRDefault="005E5AEF" w:rsidP="005E5AEF">
            <w:pPr>
              <w:pStyle w:val="TableText"/>
              <w:rPr>
                <w:lang w:eastAsia="en-NZ"/>
              </w:rPr>
            </w:pPr>
            <w:r w:rsidRPr="00D429D9">
              <w:rPr>
                <w:lang w:eastAsia="en-NZ"/>
              </w:rPr>
              <w:t>Dasabuvir</w:t>
            </w:r>
          </w:p>
          <w:p w14:paraId="3DC9364B" w14:textId="77777777" w:rsidR="00303AB2" w:rsidRPr="00D429D9" w:rsidRDefault="005E5AEF" w:rsidP="005E5AEF">
            <w:pPr>
              <w:pStyle w:val="TableText"/>
              <w:rPr>
                <w:lang w:eastAsia="en-NZ"/>
              </w:rPr>
            </w:pPr>
            <w:r w:rsidRPr="00D429D9">
              <w:rPr>
                <w:lang w:eastAsia="en-NZ"/>
              </w:rPr>
              <w:t>Decitabine</w:t>
            </w:r>
          </w:p>
        </w:tc>
      </w:tr>
      <w:tr w:rsidR="00830F81" w:rsidRPr="004216D5" w14:paraId="3DC93678" w14:textId="77777777" w:rsidTr="00830F81">
        <w:trPr>
          <w:cantSplit/>
        </w:trPr>
        <w:tc>
          <w:tcPr>
            <w:tcW w:w="2552" w:type="dxa"/>
            <w:tcBorders>
              <w:top w:val="single" w:sz="4" w:space="0" w:color="A6A6A6" w:themeColor="background1" w:themeShade="A6"/>
              <w:bottom w:val="single" w:sz="4" w:space="0" w:color="A6A6A6" w:themeColor="background1" w:themeShade="A6"/>
            </w:tcBorders>
            <w:shd w:val="clear" w:color="auto" w:fill="auto"/>
          </w:tcPr>
          <w:p w14:paraId="3DC9364D" w14:textId="77777777" w:rsidR="00830F81" w:rsidRPr="00D429D9" w:rsidRDefault="00830F81" w:rsidP="007E64AF">
            <w:pPr>
              <w:pStyle w:val="TableText"/>
              <w:rPr>
                <w:lang w:eastAsia="en-NZ"/>
              </w:rPr>
            </w:pPr>
            <w:r w:rsidRPr="00D429D9">
              <w:lastRenderedPageBreak/>
              <w:t>No class assigned</w:t>
            </w:r>
            <w:r w:rsidRPr="00D429D9">
              <w:rPr>
                <w:color w:val="000000"/>
                <w:lang w:eastAsia="en-NZ"/>
              </w:rPr>
              <w:t xml:space="preserve"> (89)</w:t>
            </w:r>
            <w:r>
              <w:rPr>
                <w:color w:val="000000"/>
                <w:lang w:eastAsia="en-NZ"/>
              </w:rPr>
              <w:t xml:space="preserve"> (continued)</w:t>
            </w:r>
          </w:p>
        </w:tc>
        <w:tc>
          <w:tcPr>
            <w:tcW w:w="5528" w:type="dxa"/>
            <w:tcBorders>
              <w:top w:val="single" w:sz="4" w:space="0" w:color="A6A6A6" w:themeColor="background1" w:themeShade="A6"/>
              <w:bottom w:val="single" w:sz="4" w:space="0" w:color="A6A6A6" w:themeColor="background1" w:themeShade="A6"/>
            </w:tcBorders>
            <w:shd w:val="clear" w:color="auto" w:fill="auto"/>
          </w:tcPr>
          <w:p w14:paraId="3DC9364E" w14:textId="77777777" w:rsidR="005E5AEF" w:rsidRDefault="005E5AEF" w:rsidP="005E5AEF">
            <w:pPr>
              <w:pStyle w:val="TableText"/>
              <w:rPr>
                <w:lang w:eastAsia="en-NZ"/>
              </w:rPr>
            </w:pPr>
            <w:r w:rsidRPr="00D429D9">
              <w:rPr>
                <w:lang w:eastAsia="en-NZ"/>
              </w:rPr>
              <w:t>Defibrotide</w:t>
            </w:r>
          </w:p>
          <w:p w14:paraId="3DC9364F" w14:textId="77777777" w:rsidR="005E5AEF" w:rsidRDefault="005E5AEF" w:rsidP="005E5AEF">
            <w:pPr>
              <w:pStyle w:val="TableText"/>
              <w:rPr>
                <w:lang w:eastAsia="en-NZ"/>
              </w:rPr>
            </w:pPr>
            <w:r w:rsidRPr="00D429D9">
              <w:rPr>
                <w:lang w:eastAsia="en-NZ"/>
              </w:rPr>
              <w:t>Deoxycholic acid</w:t>
            </w:r>
          </w:p>
          <w:p w14:paraId="3DC93650" w14:textId="77777777" w:rsidR="005E5AEF" w:rsidRDefault="005E5AEF" w:rsidP="005E5AEF">
            <w:pPr>
              <w:pStyle w:val="TableText"/>
              <w:rPr>
                <w:lang w:eastAsia="en-NZ"/>
              </w:rPr>
            </w:pPr>
            <w:r w:rsidRPr="00D429D9">
              <w:rPr>
                <w:lang w:eastAsia="en-NZ"/>
              </w:rPr>
              <w:t>Dulaglutide</w:t>
            </w:r>
          </w:p>
          <w:p w14:paraId="3DC93651" w14:textId="77777777" w:rsidR="005E5AEF" w:rsidRDefault="005E5AEF" w:rsidP="005E5AEF">
            <w:pPr>
              <w:pStyle w:val="TableText"/>
              <w:rPr>
                <w:lang w:eastAsia="en-NZ"/>
              </w:rPr>
            </w:pPr>
            <w:r w:rsidRPr="00D429D9">
              <w:rPr>
                <w:lang w:eastAsia="en-NZ"/>
              </w:rPr>
              <w:t>Dupilumab</w:t>
            </w:r>
          </w:p>
          <w:p w14:paraId="3DC93652" w14:textId="77777777" w:rsidR="005E5AEF" w:rsidRDefault="005E5AEF" w:rsidP="005E5AEF">
            <w:pPr>
              <w:pStyle w:val="TableText"/>
              <w:rPr>
                <w:lang w:eastAsia="en-NZ"/>
              </w:rPr>
            </w:pPr>
            <w:r w:rsidRPr="00D429D9">
              <w:rPr>
                <w:lang w:eastAsia="en-NZ"/>
              </w:rPr>
              <w:t>Elotuzumab</w:t>
            </w:r>
          </w:p>
          <w:p w14:paraId="3DC93653" w14:textId="77777777" w:rsidR="005E5AEF" w:rsidRDefault="005E5AEF" w:rsidP="005E5AEF">
            <w:pPr>
              <w:pStyle w:val="TableText"/>
              <w:rPr>
                <w:lang w:eastAsia="en-NZ"/>
              </w:rPr>
            </w:pPr>
            <w:r w:rsidRPr="00D429D9">
              <w:rPr>
                <w:lang w:eastAsia="en-NZ"/>
              </w:rPr>
              <w:t>Ertugliflozin</w:t>
            </w:r>
          </w:p>
          <w:p w14:paraId="3DC93654" w14:textId="77777777" w:rsidR="005E5AEF" w:rsidRDefault="005E5AEF" w:rsidP="005E5AEF">
            <w:pPr>
              <w:pStyle w:val="TableText"/>
              <w:rPr>
                <w:lang w:eastAsia="en-NZ"/>
              </w:rPr>
            </w:pPr>
            <w:r w:rsidRPr="00D429D9">
              <w:rPr>
                <w:lang w:eastAsia="en-NZ"/>
              </w:rPr>
              <w:t>Evolocumab</w:t>
            </w:r>
          </w:p>
          <w:p w14:paraId="3DC93655" w14:textId="77777777" w:rsidR="005E5AEF" w:rsidRDefault="005E5AEF" w:rsidP="005E5AEF">
            <w:pPr>
              <w:pStyle w:val="TableText"/>
              <w:rPr>
                <w:lang w:eastAsia="en-NZ"/>
              </w:rPr>
            </w:pPr>
            <w:r w:rsidRPr="00D429D9">
              <w:rPr>
                <w:lang w:eastAsia="en-NZ"/>
              </w:rPr>
              <w:t>Fenfluramine</w:t>
            </w:r>
          </w:p>
          <w:p w14:paraId="3DC93656" w14:textId="77777777" w:rsidR="005E5AEF" w:rsidRDefault="005E5AEF" w:rsidP="005E5AEF">
            <w:pPr>
              <w:pStyle w:val="TableText"/>
              <w:rPr>
                <w:lang w:eastAsia="en-NZ"/>
              </w:rPr>
            </w:pPr>
            <w:r w:rsidRPr="00D429D9">
              <w:rPr>
                <w:lang w:eastAsia="en-NZ"/>
              </w:rPr>
              <w:t>Ferric derisomaltose</w:t>
            </w:r>
          </w:p>
          <w:p w14:paraId="3DC93657" w14:textId="77777777" w:rsidR="005E5AEF" w:rsidRDefault="005E5AEF" w:rsidP="005E5AEF">
            <w:pPr>
              <w:pStyle w:val="TableText"/>
              <w:rPr>
                <w:lang w:eastAsia="en-NZ"/>
              </w:rPr>
            </w:pPr>
            <w:r w:rsidRPr="00D429D9">
              <w:rPr>
                <w:lang w:eastAsia="en-NZ"/>
              </w:rPr>
              <w:t>Fremanezumab</w:t>
            </w:r>
          </w:p>
          <w:p w14:paraId="3DC93658" w14:textId="77777777" w:rsidR="005E5AEF" w:rsidRDefault="005E5AEF" w:rsidP="005E5AEF">
            <w:pPr>
              <w:pStyle w:val="TableText"/>
              <w:rPr>
                <w:lang w:eastAsia="en-NZ"/>
              </w:rPr>
            </w:pPr>
            <w:r w:rsidRPr="00D429D9">
              <w:rPr>
                <w:lang w:eastAsia="en-NZ"/>
              </w:rPr>
              <w:t>Galcanezumab</w:t>
            </w:r>
          </w:p>
          <w:p w14:paraId="3DC93659" w14:textId="77777777" w:rsidR="005E5AEF" w:rsidRDefault="005E5AEF" w:rsidP="005E5AEF">
            <w:pPr>
              <w:pStyle w:val="TableText"/>
              <w:rPr>
                <w:lang w:eastAsia="en-NZ"/>
              </w:rPr>
            </w:pPr>
            <w:r w:rsidRPr="00D429D9">
              <w:rPr>
                <w:lang w:eastAsia="en-NZ"/>
              </w:rPr>
              <w:t>Grazoprevir</w:t>
            </w:r>
          </w:p>
          <w:p w14:paraId="3DC9365A" w14:textId="77777777" w:rsidR="005E5AEF" w:rsidRDefault="005E5AEF" w:rsidP="005E5AEF">
            <w:pPr>
              <w:pStyle w:val="TableText"/>
              <w:rPr>
                <w:lang w:eastAsia="en-NZ"/>
              </w:rPr>
            </w:pPr>
            <w:r w:rsidRPr="00D429D9">
              <w:rPr>
                <w:lang w:eastAsia="en-NZ"/>
              </w:rPr>
              <w:t>Guselkumab</w:t>
            </w:r>
          </w:p>
          <w:p w14:paraId="3DC9365B" w14:textId="77777777" w:rsidR="005E5AEF" w:rsidRDefault="005E5AEF" w:rsidP="005E5AEF">
            <w:pPr>
              <w:pStyle w:val="TableText"/>
              <w:rPr>
                <w:lang w:eastAsia="en-NZ"/>
              </w:rPr>
            </w:pPr>
            <w:r w:rsidRPr="00D429D9">
              <w:rPr>
                <w:lang w:eastAsia="en-NZ"/>
              </w:rPr>
              <w:t>Hexaminolevulinate</w:t>
            </w:r>
          </w:p>
          <w:p w14:paraId="3DC9365C" w14:textId="77777777" w:rsidR="005E5AEF" w:rsidRDefault="005E5AEF" w:rsidP="005E5AEF">
            <w:pPr>
              <w:pStyle w:val="TableText"/>
              <w:rPr>
                <w:lang w:eastAsia="en-NZ"/>
              </w:rPr>
            </w:pPr>
            <w:r w:rsidRPr="00D429D9">
              <w:rPr>
                <w:lang w:eastAsia="en-NZ"/>
              </w:rPr>
              <w:t>Inotuzumab ozogamicin</w:t>
            </w:r>
          </w:p>
          <w:p w14:paraId="3DC9365D" w14:textId="77777777" w:rsidR="005E5AEF" w:rsidRDefault="005E5AEF" w:rsidP="005E5AEF">
            <w:pPr>
              <w:pStyle w:val="TableText"/>
              <w:rPr>
                <w:lang w:eastAsia="en-NZ"/>
              </w:rPr>
            </w:pPr>
            <w:r w:rsidRPr="00D429D9">
              <w:rPr>
                <w:lang w:eastAsia="en-NZ"/>
              </w:rPr>
              <w:t>Isatuximab</w:t>
            </w:r>
          </w:p>
          <w:p w14:paraId="3DC9365E" w14:textId="77777777" w:rsidR="005E5AEF" w:rsidRDefault="005E5AEF" w:rsidP="005E5AEF">
            <w:pPr>
              <w:pStyle w:val="TableText"/>
              <w:rPr>
                <w:lang w:eastAsia="en-NZ"/>
              </w:rPr>
            </w:pPr>
            <w:r w:rsidRPr="00D429D9">
              <w:rPr>
                <w:lang w:eastAsia="en-NZ"/>
              </w:rPr>
              <w:t>Isavuconazole</w:t>
            </w:r>
          </w:p>
          <w:p w14:paraId="3DC9365F" w14:textId="77777777" w:rsidR="005E5AEF" w:rsidRDefault="005E5AEF" w:rsidP="005E5AEF">
            <w:pPr>
              <w:pStyle w:val="TableText"/>
              <w:rPr>
                <w:lang w:eastAsia="en-NZ"/>
              </w:rPr>
            </w:pPr>
            <w:r w:rsidRPr="00D429D9">
              <w:rPr>
                <w:lang w:eastAsia="en-NZ"/>
              </w:rPr>
              <w:t>Ixekizumab</w:t>
            </w:r>
          </w:p>
          <w:p w14:paraId="3DC93660" w14:textId="77777777" w:rsidR="005E5AEF" w:rsidRDefault="005E5AEF" w:rsidP="005E5AEF">
            <w:pPr>
              <w:pStyle w:val="TableText"/>
              <w:rPr>
                <w:lang w:eastAsia="en-NZ"/>
              </w:rPr>
            </w:pPr>
            <w:r w:rsidRPr="00D429D9">
              <w:rPr>
                <w:lang w:eastAsia="en-NZ"/>
              </w:rPr>
              <w:t>Lanadelumab</w:t>
            </w:r>
          </w:p>
          <w:p w14:paraId="3DC93661" w14:textId="77777777" w:rsidR="005E5AEF" w:rsidRDefault="005E5AEF" w:rsidP="005E5AEF">
            <w:pPr>
              <w:pStyle w:val="TableText"/>
              <w:rPr>
                <w:lang w:eastAsia="en-NZ"/>
              </w:rPr>
            </w:pPr>
            <w:r w:rsidRPr="00D429D9">
              <w:rPr>
                <w:lang w:eastAsia="en-NZ"/>
              </w:rPr>
              <w:t>Letermovir</w:t>
            </w:r>
          </w:p>
          <w:p w14:paraId="3DC93662" w14:textId="77777777" w:rsidR="005E5AEF" w:rsidRDefault="005E5AEF" w:rsidP="005E5AEF">
            <w:pPr>
              <w:pStyle w:val="TableText"/>
              <w:rPr>
                <w:lang w:eastAsia="en-NZ"/>
              </w:rPr>
            </w:pPr>
            <w:r w:rsidRPr="00D429D9">
              <w:rPr>
                <w:lang w:eastAsia="en-NZ"/>
              </w:rPr>
              <w:t>Lipegfilgrastim</w:t>
            </w:r>
          </w:p>
          <w:p w14:paraId="3DC93663" w14:textId="77777777" w:rsidR="005E5AEF" w:rsidRDefault="005E5AEF" w:rsidP="005E5AEF">
            <w:pPr>
              <w:pStyle w:val="TableText"/>
              <w:rPr>
                <w:lang w:eastAsia="en-NZ"/>
              </w:rPr>
            </w:pPr>
            <w:r w:rsidRPr="00D429D9">
              <w:rPr>
                <w:lang w:eastAsia="en-NZ"/>
              </w:rPr>
              <w:t>Lurasidone</w:t>
            </w:r>
          </w:p>
          <w:p w14:paraId="3DC93664" w14:textId="77777777" w:rsidR="005E5AEF" w:rsidRDefault="005E5AEF" w:rsidP="005E5AEF">
            <w:pPr>
              <w:pStyle w:val="TableText"/>
              <w:rPr>
                <w:lang w:eastAsia="en-NZ"/>
              </w:rPr>
            </w:pPr>
            <w:r w:rsidRPr="00D429D9">
              <w:rPr>
                <w:lang w:eastAsia="en-NZ"/>
              </w:rPr>
              <w:t>Macitentan</w:t>
            </w:r>
          </w:p>
          <w:p w14:paraId="3DC93665" w14:textId="77777777" w:rsidR="005E5AEF" w:rsidRDefault="005E5AEF" w:rsidP="005E5AEF">
            <w:pPr>
              <w:pStyle w:val="TableText"/>
              <w:rPr>
                <w:lang w:eastAsia="en-NZ"/>
              </w:rPr>
            </w:pPr>
            <w:r w:rsidRPr="00D429D9">
              <w:rPr>
                <w:lang w:eastAsia="en-NZ"/>
              </w:rPr>
              <w:t>Micafungin</w:t>
            </w:r>
          </w:p>
          <w:p w14:paraId="3DC93666" w14:textId="77777777" w:rsidR="005E5AEF" w:rsidRDefault="005E5AEF" w:rsidP="005E5AEF">
            <w:pPr>
              <w:pStyle w:val="TableText"/>
              <w:rPr>
                <w:lang w:eastAsia="en-NZ"/>
              </w:rPr>
            </w:pPr>
            <w:r w:rsidRPr="00D429D9">
              <w:rPr>
                <w:lang w:eastAsia="en-NZ"/>
              </w:rPr>
              <w:t>Midostaurin</w:t>
            </w:r>
          </w:p>
          <w:p w14:paraId="3DC93667" w14:textId="77777777" w:rsidR="005E5AEF" w:rsidRDefault="005E5AEF" w:rsidP="005E5AEF">
            <w:pPr>
              <w:pStyle w:val="TableText"/>
              <w:rPr>
                <w:lang w:eastAsia="en-NZ"/>
              </w:rPr>
            </w:pPr>
            <w:r w:rsidRPr="00D429D9">
              <w:rPr>
                <w:lang w:eastAsia="en-NZ"/>
              </w:rPr>
              <w:t>Milnacipran</w:t>
            </w:r>
          </w:p>
          <w:p w14:paraId="3DC93668" w14:textId="77777777" w:rsidR="005E5AEF" w:rsidRDefault="005E5AEF" w:rsidP="005E5AEF">
            <w:pPr>
              <w:pStyle w:val="TableText"/>
              <w:rPr>
                <w:lang w:eastAsia="en-NZ"/>
              </w:rPr>
            </w:pPr>
            <w:r w:rsidRPr="00D429D9">
              <w:rPr>
                <w:lang w:eastAsia="en-NZ"/>
              </w:rPr>
              <w:t>Nebacumab</w:t>
            </w:r>
          </w:p>
          <w:p w14:paraId="3DC93669" w14:textId="77777777" w:rsidR="005E5AEF" w:rsidRDefault="005E5AEF" w:rsidP="005E5AEF">
            <w:pPr>
              <w:pStyle w:val="TableText"/>
              <w:rPr>
                <w:lang w:eastAsia="en-NZ"/>
              </w:rPr>
            </w:pPr>
            <w:r w:rsidRPr="00D429D9">
              <w:rPr>
                <w:lang w:eastAsia="en-NZ"/>
              </w:rPr>
              <w:t>Niraparib</w:t>
            </w:r>
          </w:p>
          <w:p w14:paraId="3DC9366A" w14:textId="77777777" w:rsidR="005E5AEF" w:rsidRDefault="005E5AEF" w:rsidP="005E5AEF">
            <w:pPr>
              <w:pStyle w:val="TableText"/>
              <w:rPr>
                <w:lang w:eastAsia="en-NZ"/>
              </w:rPr>
            </w:pPr>
            <w:r w:rsidRPr="00D429D9">
              <w:rPr>
                <w:lang w:eastAsia="en-NZ"/>
              </w:rPr>
              <w:t>Olaratumab</w:t>
            </w:r>
          </w:p>
          <w:p w14:paraId="3DC9366B" w14:textId="77777777" w:rsidR="005E5AEF" w:rsidRDefault="005E5AEF" w:rsidP="005E5AEF">
            <w:pPr>
              <w:pStyle w:val="TableText"/>
              <w:rPr>
                <w:lang w:eastAsia="en-NZ"/>
              </w:rPr>
            </w:pPr>
            <w:r w:rsidRPr="00D429D9">
              <w:rPr>
                <w:lang w:eastAsia="en-NZ"/>
              </w:rPr>
              <w:t>Ombitasvir</w:t>
            </w:r>
          </w:p>
          <w:p w14:paraId="3DC9366C" w14:textId="77777777" w:rsidR="005E5AEF" w:rsidRDefault="005E5AEF" w:rsidP="005E5AEF">
            <w:pPr>
              <w:pStyle w:val="TableText"/>
              <w:rPr>
                <w:lang w:eastAsia="en-NZ"/>
              </w:rPr>
            </w:pPr>
            <w:r w:rsidRPr="00D429D9">
              <w:rPr>
                <w:lang w:eastAsia="en-NZ"/>
              </w:rPr>
              <w:t>Paritaprevir</w:t>
            </w:r>
          </w:p>
          <w:p w14:paraId="3DC9366D" w14:textId="77777777" w:rsidR="005E5AEF" w:rsidRDefault="005E5AEF" w:rsidP="005E5AEF">
            <w:pPr>
              <w:pStyle w:val="TableText"/>
              <w:rPr>
                <w:lang w:eastAsia="en-NZ"/>
              </w:rPr>
            </w:pPr>
            <w:r w:rsidRPr="00D429D9">
              <w:rPr>
                <w:lang w:eastAsia="en-NZ"/>
              </w:rPr>
              <w:t>Pasireotide</w:t>
            </w:r>
          </w:p>
          <w:p w14:paraId="3DC9366E" w14:textId="77777777" w:rsidR="005E5AEF" w:rsidRDefault="005E5AEF" w:rsidP="005E5AEF">
            <w:pPr>
              <w:pStyle w:val="TableText"/>
              <w:rPr>
                <w:lang w:eastAsia="en-NZ"/>
              </w:rPr>
            </w:pPr>
            <w:r w:rsidRPr="00D429D9">
              <w:rPr>
                <w:lang w:eastAsia="en-NZ"/>
              </w:rPr>
              <w:t>Peramivir</w:t>
            </w:r>
          </w:p>
          <w:p w14:paraId="3DC9366F" w14:textId="77777777" w:rsidR="005E5AEF" w:rsidRDefault="005E5AEF" w:rsidP="005E5AEF">
            <w:pPr>
              <w:pStyle w:val="TableText"/>
              <w:rPr>
                <w:lang w:eastAsia="en-NZ"/>
              </w:rPr>
            </w:pPr>
            <w:r w:rsidRPr="00D429D9">
              <w:rPr>
                <w:lang w:eastAsia="en-NZ"/>
              </w:rPr>
              <w:t>Perampanel</w:t>
            </w:r>
          </w:p>
          <w:p w14:paraId="3DC93670" w14:textId="77777777" w:rsidR="005E5AEF" w:rsidRDefault="005E5AEF" w:rsidP="005E5AEF">
            <w:pPr>
              <w:pStyle w:val="TableText"/>
              <w:rPr>
                <w:lang w:eastAsia="en-NZ"/>
              </w:rPr>
            </w:pPr>
            <w:r w:rsidRPr="00D429D9">
              <w:rPr>
                <w:lang w:eastAsia="en-NZ"/>
              </w:rPr>
              <w:t>Polatuzumab vedotin</w:t>
            </w:r>
          </w:p>
          <w:p w14:paraId="3DC93671" w14:textId="77777777" w:rsidR="005E5AEF" w:rsidRDefault="005E5AEF" w:rsidP="005E5AEF">
            <w:pPr>
              <w:pStyle w:val="TableText"/>
              <w:rPr>
                <w:lang w:eastAsia="en-NZ"/>
              </w:rPr>
            </w:pPr>
            <w:r w:rsidRPr="00D429D9">
              <w:rPr>
                <w:lang w:eastAsia="en-NZ"/>
              </w:rPr>
              <w:t>Ponatinib</w:t>
            </w:r>
          </w:p>
          <w:p w14:paraId="3DC93672" w14:textId="77777777" w:rsidR="005E5AEF" w:rsidRDefault="005E5AEF" w:rsidP="005E5AEF">
            <w:pPr>
              <w:pStyle w:val="TableText"/>
              <w:rPr>
                <w:lang w:eastAsia="en-NZ"/>
              </w:rPr>
            </w:pPr>
            <w:r w:rsidRPr="00D429D9">
              <w:rPr>
                <w:lang w:eastAsia="en-NZ"/>
              </w:rPr>
              <w:t>Ramucirumab</w:t>
            </w:r>
          </w:p>
          <w:p w14:paraId="3DC93673" w14:textId="77777777" w:rsidR="005E5AEF" w:rsidRDefault="005E5AEF" w:rsidP="005E5AEF">
            <w:pPr>
              <w:pStyle w:val="TableText"/>
              <w:rPr>
                <w:lang w:eastAsia="en-NZ"/>
              </w:rPr>
            </w:pPr>
            <w:r w:rsidRPr="00D429D9">
              <w:rPr>
                <w:lang w:eastAsia="en-NZ"/>
              </w:rPr>
              <w:t>Ranolazine</w:t>
            </w:r>
          </w:p>
          <w:p w14:paraId="3DC93674" w14:textId="77777777" w:rsidR="005E5AEF" w:rsidRDefault="005E5AEF" w:rsidP="005E5AEF">
            <w:pPr>
              <w:pStyle w:val="TableText"/>
              <w:rPr>
                <w:lang w:eastAsia="en-NZ"/>
              </w:rPr>
            </w:pPr>
            <w:r w:rsidRPr="00D429D9">
              <w:rPr>
                <w:lang w:eastAsia="en-NZ"/>
              </w:rPr>
              <w:t>Remdesivir</w:t>
            </w:r>
          </w:p>
          <w:p w14:paraId="3DC93675" w14:textId="77777777" w:rsidR="005E5AEF" w:rsidRDefault="005E5AEF" w:rsidP="005E5AEF">
            <w:pPr>
              <w:pStyle w:val="TableText"/>
              <w:rPr>
                <w:lang w:eastAsia="en-NZ"/>
              </w:rPr>
            </w:pPr>
            <w:r w:rsidRPr="00D429D9">
              <w:rPr>
                <w:lang w:eastAsia="en-NZ"/>
              </w:rPr>
              <w:t>Reslizumab</w:t>
            </w:r>
          </w:p>
          <w:p w14:paraId="3DC93676" w14:textId="77777777" w:rsidR="005E5AEF" w:rsidRDefault="005E5AEF" w:rsidP="005E5AEF">
            <w:pPr>
              <w:pStyle w:val="TableText"/>
              <w:rPr>
                <w:lang w:eastAsia="en-NZ"/>
              </w:rPr>
            </w:pPr>
            <w:r w:rsidRPr="00D429D9">
              <w:rPr>
                <w:lang w:eastAsia="en-NZ"/>
              </w:rPr>
              <w:t>Risankizumab</w:t>
            </w:r>
          </w:p>
          <w:p w14:paraId="3DC93677" w14:textId="77777777" w:rsidR="00830F81" w:rsidRPr="00D429D9" w:rsidRDefault="005E5AEF" w:rsidP="005E5AEF">
            <w:pPr>
              <w:pStyle w:val="TableText"/>
              <w:rPr>
                <w:lang w:eastAsia="en-NZ"/>
              </w:rPr>
            </w:pPr>
            <w:r w:rsidRPr="00D429D9">
              <w:rPr>
                <w:lang w:eastAsia="en-NZ"/>
              </w:rPr>
              <w:t>Romosozumab</w:t>
            </w:r>
          </w:p>
        </w:tc>
      </w:tr>
      <w:tr w:rsidR="005E5AEF" w:rsidRPr="004216D5" w14:paraId="3DC9368B" w14:textId="77777777" w:rsidTr="00830F81">
        <w:trPr>
          <w:cantSplit/>
        </w:trPr>
        <w:tc>
          <w:tcPr>
            <w:tcW w:w="2552" w:type="dxa"/>
            <w:tcBorders>
              <w:top w:val="single" w:sz="4" w:space="0" w:color="A6A6A6" w:themeColor="background1" w:themeShade="A6"/>
              <w:bottom w:val="single" w:sz="4" w:space="0" w:color="A6A6A6" w:themeColor="background1" w:themeShade="A6"/>
            </w:tcBorders>
            <w:shd w:val="clear" w:color="auto" w:fill="auto"/>
          </w:tcPr>
          <w:p w14:paraId="3DC93679" w14:textId="77777777" w:rsidR="005E5AEF" w:rsidRPr="00D429D9" w:rsidRDefault="005E5AEF" w:rsidP="007E64AF">
            <w:pPr>
              <w:pStyle w:val="TableText"/>
            </w:pPr>
            <w:r w:rsidRPr="00D429D9">
              <w:lastRenderedPageBreak/>
              <w:t>No class assigned</w:t>
            </w:r>
            <w:r w:rsidRPr="00D429D9">
              <w:rPr>
                <w:color w:val="000000"/>
                <w:lang w:eastAsia="en-NZ"/>
              </w:rPr>
              <w:t xml:space="preserve"> (89)</w:t>
            </w:r>
            <w:r>
              <w:rPr>
                <w:color w:val="000000"/>
                <w:lang w:eastAsia="en-NZ"/>
              </w:rPr>
              <w:t xml:space="preserve"> (continued)</w:t>
            </w:r>
          </w:p>
        </w:tc>
        <w:tc>
          <w:tcPr>
            <w:tcW w:w="5528" w:type="dxa"/>
            <w:tcBorders>
              <w:top w:val="single" w:sz="4" w:space="0" w:color="A6A6A6" w:themeColor="background1" w:themeShade="A6"/>
              <w:bottom w:val="single" w:sz="4" w:space="0" w:color="A6A6A6" w:themeColor="background1" w:themeShade="A6"/>
            </w:tcBorders>
            <w:shd w:val="clear" w:color="auto" w:fill="auto"/>
          </w:tcPr>
          <w:p w14:paraId="3DC9367A" w14:textId="77777777" w:rsidR="005E5AEF" w:rsidRDefault="005E5AEF" w:rsidP="005E5AEF">
            <w:pPr>
              <w:pStyle w:val="TableText"/>
              <w:rPr>
                <w:lang w:eastAsia="en-NZ"/>
              </w:rPr>
            </w:pPr>
            <w:r w:rsidRPr="00D429D9">
              <w:rPr>
                <w:lang w:eastAsia="en-NZ"/>
              </w:rPr>
              <w:t>Sarilumab</w:t>
            </w:r>
          </w:p>
          <w:p w14:paraId="3DC9367B" w14:textId="77777777" w:rsidR="005E5AEF" w:rsidRDefault="005E5AEF" w:rsidP="005E5AEF">
            <w:pPr>
              <w:pStyle w:val="TableText"/>
              <w:rPr>
                <w:lang w:eastAsia="en-NZ"/>
              </w:rPr>
            </w:pPr>
            <w:r w:rsidRPr="00D429D9">
              <w:rPr>
                <w:lang w:eastAsia="en-NZ"/>
              </w:rPr>
              <w:t>Semaglutide</w:t>
            </w:r>
          </w:p>
          <w:p w14:paraId="3DC9367C" w14:textId="77777777" w:rsidR="005E5AEF" w:rsidRDefault="005E5AEF" w:rsidP="005E5AEF">
            <w:pPr>
              <w:pStyle w:val="TableText"/>
              <w:rPr>
                <w:lang w:eastAsia="en-NZ"/>
              </w:rPr>
            </w:pPr>
            <w:r w:rsidRPr="00D429D9">
              <w:rPr>
                <w:lang w:eastAsia="en-NZ"/>
              </w:rPr>
              <w:t>Simeprevir</w:t>
            </w:r>
          </w:p>
          <w:p w14:paraId="3DC9367D" w14:textId="77777777" w:rsidR="005E5AEF" w:rsidRDefault="005E5AEF" w:rsidP="005E5AEF">
            <w:pPr>
              <w:pStyle w:val="TableText"/>
              <w:rPr>
                <w:lang w:eastAsia="en-NZ"/>
              </w:rPr>
            </w:pPr>
            <w:r w:rsidRPr="00D429D9">
              <w:rPr>
                <w:lang w:eastAsia="en-NZ"/>
              </w:rPr>
              <w:t>Sofosbuvir</w:t>
            </w:r>
          </w:p>
          <w:p w14:paraId="3DC9367E" w14:textId="77777777" w:rsidR="005E5AEF" w:rsidRDefault="005E5AEF" w:rsidP="005E5AEF">
            <w:pPr>
              <w:pStyle w:val="TableText"/>
              <w:rPr>
                <w:lang w:eastAsia="en-NZ"/>
              </w:rPr>
            </w:pPr>
            <w:r w:rsidRPr="00D429D9">
              <w:rPr>
                <w:lang w:eastAsia="en-NZ"/>
              </w:rPr>
              <w:t>Sonidegib</w:t>
            </w:r>
          </w:p>
          <w:p w14:paraId="3DC9367F" w14:textId="77777777" w:rsidR="005E5AEF" w:rsidRDefault="005E5AEF" w:rsidP="005E5AEF">
            <w:pPr>
              <w:pStyle w:val="TableText"/>
              <w:rPr>
                <w:lang w:eastAsia="en-NZ"/>
              </w:rPr>
            </w:pPr>
            <w:r w:rsidRPr="00D429D9">
              <w:rPr>
                <w:lang w:eastAsia="en-NZ"/>
              </w:rPr>
              <w:t>Talazoparib</w:t>
            </w:r>
          </w:p>
          <w:p w14:paraId="3DC93680" w14:textId="77777777" w:rsidR="005E5AEF" w:rsidRDefault="005E5AEF" w:rsidP="005E5AEF">
            <w:pPr>
              <w:pStyle w:val="TableText"/>
              <w:rPr>
                <w:lang w:eastAsia="en-NZ"/>
              </w:rPr>
            </w:pPr>
            <w:r w:rsidRPr="00D429D9">
              <w:rPr>
                <w:lang w:eastAsia="en-NZ"/>
              </w:rPr>
              <w:t>Teduglutide</w:t>
            </w:r>
          </w:p>
          <w:p w14:paraId="3DC93681" w14:textId="77777777" w:rsidR="005E5AEF" w:rsidRDefault="005E5AEF" w:rsidP="005E5AEF">
            <w:pPr>
              <w:pStyle w:val="TableText"/>
              <w:rPr>
                <w:lang w:eastAsia="en-NZ"/>
              </w:rPr>
            </w:pPr>
            <w:r w:rsidRPr="00D429D9">
              <w:rPr>
                <w:lang w:eastAsia="en-NZ"/>
              </w:rPr>
              <w:t>Tivozanib</w:t>
            </w:r>
          </w:p>
          <w:p w14:paraId="3DC93682" w14:textId="77777777" w:rsidR="005E5AEF" w:rsidRDefault="005E5AEF" w:rsidP="005E5AEF">
            <w:pPr>
              <w:pStyle w:val="TableText"/>
              <w:rPr>
                <w:lang w:eastAsia="en-NZ"/>
              </w:rPr>
            </w:pPr>
            <w:r w:rsidRPr="00D429D9">
              <w:rPr>
                <w:lang w:eastAsia="en-NZ"/>
              </w:rPr>
              <w:t>Tofacitinib</w:t>
            </w:r>
          </w:p>
          <w:p w14:paraId="3DC93683" w14:textId="77777777" w:rsidR="005E5AEF" w:rsidRDefault="005E5AEF" w:rsidP="005E5AEF">
            <w:pPr>
              <w:pStyle w:val="TableText"/>
              <w:rPr>
                <w:lang w:eastAsia="en-NZ"/>
              </w:rPr>
            </w:pPr>
            <w:r w:rsidRPr="00D429D9">
              <w:rPr>
                <w:lang w:eastAsia="en-NZ"/>
              </w:rPr>
              <w:t>Tucatinib</w:t>
            </w:r>
          </w:p>
          <w:p w14:paraId="3DC93684" w14:textId="77777777" w:rsidR="005E5AEF" w:rsidRDefault="005E5AEF" w:rsidP="005E5AEF">
            <w:pPr>
              <w:pStyle w:val="TableText"/>
              <w:rPr>
                <w:lang w:eastAsia="en-NZ"/>
              </w:rPr>
            </w:pPr>
            <w:r w:rsidRPr="00D429D9">
              <w:rPr>
                <w:lang w:eastAsia="en-NZ"/>
              </w:rPr>
              <w:t>Upadacitinib</w:t>
            </w:r>
          </w:p>
          <w:p w14:paraId="3DC93685" w14:textId="77777777" w:rsidR="005E5AEF" w:rsidRDefault="005E5AEF" w:rsidP="005E5AEF">
            <w:pPr>
              <w:pStyle w:val="TableText"/>
              <w:rPr>
                <w:lang w:eastAsia="en-NZ"/>
              </w:rPr>
            </w:pPr>
            <w:r w:rsidRPr="00D429D9">
              <w:rPr>
                <w:lang w:eastAsia="en-NZ"/>
              </w:rPr>
              <w:t>Vandetanib</w:t>
            </w:r>
          </w:p>
          <w:p w14:paraId="3DC93686" w14:textId="77777777" w:rsidR="005E5AEF" w:rsidRDefault="005E5AEF" w:rsidP="005E5AEF">
            <w:pPr>
              <w:pStyle w:val="TableText"/>
              <w:rPr>
                <w:lang w:eastAsia="en-NZ"/>
              </w:rPr>
            </w:pPr>
            <w:r w:rsidRPr="00D429D9">
              <w:rPr>
                <w:lang w:eastAsia="en-NZ"/>
              </w:rPr>
              <w:t>Vedolizumab</w:t>
            </w:r>
          </w:p>
          <w:p w14:paraId="3DC93687" w14:textId="77777777" w:rsidR="005E5AEF" w:rsidRDefault="005E5AEF" w:rsidP="005E5AEF">
            <w:pPr>
              <w:pStyle w:val="TableText"/>
              <w:rPr>
                <w:lang w:eastAsia="en-NZ"/>
              </w:rPr>
            </w:pPr>
            <w:r w:rsidRPr="00D429D9">
              <w:rPr>
                <w:lang w:eastAsia="en-NZ"/>
              </w:rPr>
              <w:t>Velpatasvir</w:t>
            </w:r>
          </w:p>
          <w:p w14:paraId="3DC93688" w14:textId="77777777" w:rsidR="005E5AEF" w:rsidRDefault="005E5AEF" w:rsidP="005E5AEF">
            <w:pPr>
              <w:pStyle w:val="TableText"/>
              <w:rPr>
                <w:lang w:eastAsia="en-NZ"/>
              </w:rPr>
            </w:pPr>
            <w:r w:rsidRPr="00D429D9">
              <w:rPr>
                <w:lang w:eastAsia="en-NZ"/>
              </w:rPr>
              <w:t>Veruprevir</w:t>
            </w:r>
          </w:p>
          <w:p w14:paraId="3DC93689" w14:textId="77777777" w:rsidR="005E5AEF" w:rsidRDefault="005E5AEF" w:rsidP="005E5AEF">
            <w:pPr>
              <w:pStyle w:val="TableText"/>
              <w:rPr>
                <w:lang w:eastAsia="en-NZ"/>
              </w:rPr>
            </w:pPr>
            <w:r w:rsidRPr="00D429D9">
              <w:rPr>
                <w:lang w:eastAsia="en-NZ"/>
              </w:rPr>
              <w:t>Vortioxetine</w:t>
            </w:r>
          </w:p>
          <w:p w14:paraId="3DC9368A" w14:textId="77777777" w:rsidR="005E5AEF" w:rsidRPr="00D429D9" w:rsidRDefault="006A3D1C" w:rsidP="005E5AEF">
            <w:pPr>
              <w:pStyle w:val="TableText"/>
              <w:rPr>
                <w:lang w:eastAsia="en-NZ"/>
              </w:rPr>
            </w:pPr>
            <w:r>
              <w:rPr>
                <w:lang w:eastAsia="en-NZ"/>
              </w:rPr>
              <w:t>Voxilaprevir</w:t>
            </w:r>
          </w:p>
        </w:tc>
      </w:tr>
    </w:tbl>
    <w:p w14:paraId="3DC9368C" w14:textId="77777777" w:rsidR="004216D5" w:rsidRDefault="004216D5"/>
    <w:p w14:paraId="3DC9368D" w14:textId="77777777" w:rsidR="004A0C97" w:rsidRPr="00D429D9" w:rsidRDefault="004A0C97" w:rsidP="006A3D1C">
      <w:pPr>
        <w:pStyle w:val="Heading2"/>
        <w:keepNext w:val="0"/>
        <w:pageBreakBefore/>
        <w:numPr>
          <w:ilvl w:val="0"/>
          <w:numId w:val="0"/>
        </w:numPr>
        <w:spacing w:before="0" w:after="480"/>
      </w:pPr>
      <w:bookmarkStart w:id="97" w:name="_Toc80015020"/>
      <w:bookmarkStart w:id="98" w:name="_Toc84936550"/>
      <w:bookmarkStart w:id="99" w:name="_Toc86657231"/>
      <w:r w:rsidRPr="00D429D9">
        <w:lastRenderedPageBreak/>
        <w:t>Appendix 2: Consultation questions</w:t>
      </w:r>
      <w:bookmarkEnd w:id="97"/>
      <w:bookmarkEnd w:id="98"/>
      <w:bookmarkEnd w:id="99"/>
    </w:p>
    <w:p w14:paraId="3DC9368E" w14:textId="77777777" w:rsidR="004A0C97" w:rsidRPr="00D429D9" w:rsidRDefault="004A0C97" w:rsidP="006A3D1C">
      <w:r w:rsidRPr="00D429D9">
        <w:t>1</w:t>
      </w:r>
      <w:r w:rsidR="006A3D1C">
        <w:tab/>
      </w:r>
      <w:r w:rsidRPr="00D429D9">
        <w:t>What is your name?</w:t>
      </w:r>
    </w:p>
    <w:p w14:paraId="3DC9368F" w14:textId="77777777" w:rsidR="004A0C97" w:rsidRPr="00D429D9" w:rsidRDefault="004A0C97" w:rsidP="006A3D1C"/>
    <w:p w14:paraId="3DC93690" w14:textId="77777777" w:rsidR="004A0C97" w:rsidRPr="00D429D9" w:rsidRDefault="004A0C97" w:rsidP="006A3D1C">
      <w:r w:rsidRPr="00D429D9">
        <w:t>2</w:t>
      </w:r>
      <w:r w:rsidR="006A3D1C">
        <w:tab/>
      </w:r>
      <w:r w:rsidRPr="00D429D9">
        <w:t>What is your email address?</w:t>
      </w:r>
    </w:p>
    <w:p w14:paraId="3DC93691" w14:textId="77777777" w:rsidR="004A0C97" w:rsidRPr="00D429D9" w:rsidRDefault="004A0C97" w:rsidP="006A3D1C"/>
    <w:p w14:paraId="3DC93692" w14:textId="77777777" w:rsidR="004A0C97" w:rsidRPr="00D429D9" w:rsidRDefault="004A0C97" w:rsidP="006A3D1C">
      <w:r w:rsidRPr="00D429D9">
        <w:t>3</w:t>
      </w:r>
      <w:r w:rsidR="006A3D1C">
        <w:tab/>
      </w:r>
      <w:r w:rsidRPr="00D429D9">
        <w:t>What is your organisation?</w:t>
      </w:r>
    </w:p>
    <w:p w14:paraId="3DC93693" w14:textId="77777777" w:rsidR="004A0C97" w:rsidRPr="00D429D9" w:rsidRDefault="004A0C97" w:rsidP="006A3D1C"/>
    <w:p w14:paraId="3DC93694" w14:textId="77777777" w:rsidR="004A0C97" w:rsidRPr="00D429D9" w:rsidRDefault="004A0C97" w:rsidP="006A3D1C">
      <w:r w:rsidRPr="00D429D9">
        <w:t>4</w:t>
      </w:r>
      <w:r w:rsidR="006A3D1C">
        <w:tab/>
      </w:r>
      <w:r w:rsidRPr="00D429D9">
        <w:t>Are you submitting as an individual or on behalf of an organisation?</w:t>
      </w:r>
    </w:p>
    <w:p w14:paraId="3DC93695" w14:textId="77777777" w:rsidR="004A0C97" w:rsidRPr="00D429D9" w:rsidRDefault="004A0C97" w:rsidP="006A3D1C">
      <w:pPr>
        <w:pStyle w:val="Bullet"/>
        <w:ind w:left="851"/>
      </w:pPr>
      <w:r w:rsidRPr="00D429D9">
        <w:t>Individual</w:t>
      </w:r>
    </w:p>
    <w:p w14:paraId="3DC93696" w14:textId="77777777" w:rsidR="004A0C97" w:rsidRPr="00D429D9" w:rsidRDefault="004A0C97" w:rsidP="006A3D1C">
      <w:pPr>
        <w:pStyle w:val="Bullet"/>
        <w:ind w:left="851"/>
      </w:pPr>
      <w:r w:rsidRPr="00D429D9">
        <w:t>On behalf of an organisation</w:t>
      </w:r>
    </w:p>
    <w:p w14:paraId="3DC93697" w14:textId="77777777" w:rsidR="004A0C97" w:rsidRPr="00D429D9" w:rsidRDefault="004A0C97" w:rsidP="006A3D1C"/>
    <w:p w14:paraId="3DC93698" w14:textId="77777777" w:rsidR="004A0C97" w:rsidRPr="00D429D9" w:rsidRDefault="004A0C97" w:rsidP="006A3D1C">
      <w:r w:rsidRPr="00D429D9">
        <w:t>5</w:t>
      </w:r>
      <w:r w:rsidR="006A3D1C">
        <w:tab/>
      </w:r>
      <w:r w:rsidRPr="00D429D9">
        <w:t>What is your job title?</w:t>
      </w:r>
    </w:p>
    <w:p w14:paraId="3DC93699" w14:textId="77777777" w:rsidR="004A0C97" w:rsidRPr="00D429D9" w:rsidRDefault="004A0C97" w:rsidP="006A3D1C"/>
    <w:p w14:paraId="3DC9369A" w14:textId="77777777" w:rsidR="004A0C97" w:rsidRPr="00D429D9" w:rsidRDefault="004A0C97" w:rsidP="006A3D1C">
      <w:pPr>
        <w:spacing w:after="120"/>
      </w:pPr>
      <w:r w:rsidRPr="00D429D9">
        <w:t>6</w:t>
      </w:r>
      <w:r w:rsidR="006A3D1C">
        <w:tab/>
        <w:t>W</w:t>
      </w:r>
      <w:r w:rsidRPr="00D429D9">
        <w:t>hich of these best describes you?</w:t>
      </w:r>
    </w:p>
    <w:tbl>
      <w:tblPr>
        <w:tblW w:w="0" w:type="auto"/>
        <w:tblInd w:w="624"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3261"/>
      </w:tblGrid>
      <w:tr w:rsidR="004A0C97" w:rsidRPr="006A3D1C" w14:paraId="3DC9369C" w14:textId="77777777" w:rsidTr="006A3D1C">
        <w:trPr>
          <w:cantSplit/>
        </w:trPr>
        <w:tc>
          <w:tcPr>
            <w:tcW w:w="3261" w:type="dxa"/>
            <w:tcBorders>
              <w:top w:val="nil"/>
              <w:bottom w:val="nil"/>
            </w:tcBorders>
            <w:shd w:val="clear" w:color="auto" w:fill="D9D9D9" w:themeFill="background1" w:themeFillShade="D9"/>
          </w:tcPr>
          <w:p w14:paraId="3DC9369B" w14:textId="77777777" w:rsidR="004A0C97" w:rsidRPr="006A3D1C" w:rsidRDefault="004A0C97" w:rsidP="006A3D1C">
            <w:pPr>
              <w:pStyle w:val="TableText"/>
              <w:rPr>
                <w:b/>
              </w:rPr>
            </w:pPr>
            <w:r w:rsidRPr="006A3D1C">
              <w:rPr>
                <w:b/>
              </w:rPr>
              <w:t>Options</w:t>
            </w:r>
          </w:p>
        </w:tc>
      </w:tr>
      <w:tr w:rsidR="004A0C97" w:rsidRPr="00D429D9" w14:paraId="3DC9369E" w14:textId="77777777" w:rsidTr="006A3D1C">
        <w:trPr>
          <w:cantSplit/>
        </w:trPr>
        <w:tc>
          <w:tcPr>
            <w:tcW w:w="3261" w:type="dxa"/>
            <w:tcBorders>
              <w:top w:val="nil"/>
            </w:tcBorders>
          </w:tcPr>
          <w:p w14:paraId="3DC9369D" w14:textId="77777777" w:rsidR="004A0C97" w:rsidRPr="006A3D1C" w:rsidRDefault="004A0C97" w:rsidP="006A3D1C">
            <w:pPr>
              <w:pStyle w:val="TableText"/>
              <w:rPr>
                <w:bCs/>
              </w:rPr>
            </w:pPr>
            <w:r w:rsidRPr="006A3D1C">
              <w:t>Pharmacist prescriber</w:t>
            </w:r>
          </w:p>
        </w:tc>
      </w:tr>
      <w:tr w:rsidR="004A0C97" w:rsidRPr="00D429D9" w14:paraId="3DC936A0" w14:textId="77777777" w:rsidTr="006A3D1C">
        <w:trPr>
          <w:cantSplit/>
        </w:trPr>
        <w:tc>
          <w:tcPr>
            <w:tcW w:w="3261" w:type="dxa"/>
          </w:tcPr>
          <w:p w14:paraId="3DC9369F" w14:textId="77777777" w:rsidR="004A0C97" w:rsidRPr="006A3D1C" w:rsidRDefault="004A0C97" w:rsidP="006A3D1C">
            <w:pPr>
              <w:pStyle w:val="TableText"/>
              <w:rPr>
                <w:bCs/>
              </w:rPr>
            </w:pPr>
            <w:r w:rsidRPr="006A3D1C">
              <w:t>Pharmacist</w:t>
            </w:r>
          </w:p>
        </w:tc>
      </w:tr>
      <w:tr w:rsidR="004A0C97" w:rsidRPr="00D429D9" w14:paraId="3DC936A2" w14:textId="77777777" w:rsidTr="006A3D1C">
        <w:trPr>
          <w:cantSplit/>
        </w:trPr>
        <w:tc>
          <w:tcPr>
            <w:tcW w:w="3261" w:type="dxa"/>
          </w:tcPr>
          <w:p w14:paraId="3DC936A1" w14:textId="77777777" w:rsidR="004A0C97" w:rsidRPr="006A3D1C" w:rsidRDefault="004A0C97" w:rsidP="006A3D1C">
            <w:pPr>
              <w:pStyle w:val="TableText"/>
              <w:rPr>
                <w:bCs/>
              </w:rPr>
            </w:pPr>
            <w:r w:rsidRPr="006A3D1C">
              <w:t>Registered nurse prescriber</w:t>
            </w:r>
          </w:p>
        </w:tc>
      </w:tr>
      <w:tr w:rsidR="004A0C97" w:rsidRPr="00D429D9" w14:paraId="3DC936A4" w14:textId="77777777" w:rsidTr="006A3D1C">
        <w:trPr>
          <w:cantSplit/>
        </w:trPr>
        <w:tc>
          <w:tcPr>
            <w:tcW w:w="3261" w:type="dxa"/>
          </w:tcPr>
          <w:p w14:paraId="3DC936A3" w14:textId="77777777" w:rsidR="004A0C97" w:rsidRPr="006A3D1C" w:rsidRDefault="004A0C97" w:rsidP="006A3D1C">
            <w:pPr>
              <w:pStyle w:val="TableText"/>
              <w:rPr>
                <w:bCs/>
              </w:rPr>
            </w:pPr>
            <w:r w:rsidRPr="006A3D1C">
              <w:t>Registered nurse</w:t>
            </w:r>
          </w:p>
        </w:tc>
      </w:tr>
      <w:tr w:rsidR="004A0C97" w:rsidRPr="00D429D9" w14:paraId="3DC936A6" w14:textId="77777777" w:rsidTr="006A3D1C">
        <w:trPr>
          <w:cantSplit/>
        </w:trPr>
        <w:tc>
          <w:tcPr>
            <w:tcW w:w="3261" w:type="dxa"/>
          </w:tcPr>
          <w:p w14:paraId="3DC936A5" w14:textId="77777777" w:rsidR="004A0C97" w:rsidRPr="006A3D1C" w:rsidRDefault="004A0C97" w:rsidP="006A3D1C">
            <w:pPr>
              <w:pStyle w:val="TableText"/>
              <w:rPr>
                <w:bCs/>
              </w:rPr>
            </w:pPr>
            <w:r w:rsidRPr="006A3D1C">
              <w:t>Nurse practitioner</w:t>
            </w:r>
          </w:p>
        </w:tc>
      </w:tr>
      <w:tr w:rsidR="004A0C97" w:rsidRPr="00D429D9" w14:paraId="3DC936A8" w14:textId="77777777" w:rsidTr="006A3D1C">
        <w:trPr>
          <w:cantSplit/>
        </w:trPr>
        <w:tc>
          <w:tcPr>
            <w:tcW w:w="3261" w:type="dxa"/>
          </w:tcPr>
          <w:p w14:paraId="3DC936A7" w14:textId="77777777" w:rsidR="004A0C97" w:rsidRPr="006A3D1C" w:rsidRDefault="004A0C97" w:rsidP="006A3D1C">
            <w:pPr>
              <w:pStyle w:val="TableText"/>
              <w:rPr>
                <w:bCs/>
              </w:rPr>
            </w:pPr>
            <w:r w:rsidRPr="006A3D1C">
              <w:t>Medical practitioner</w:t>
            </w:r>
          </w:p>
        </w:tc>
      </w:tr>
      <w:tr w:rsidR="004A0C97" w:rsidRPr="00D429D9" w14:paraId="3DC936AA" w14:textId="77777777" w:rsidTr="006A3D1C">
        <w:trPr>
          <w:cantSplit/>
        </w:trPr>
        <w:tc>
          <w:tcPr>
            <w:tcW w:w="3261" w:type="dxa"/>
          </w:tcPr>
          <w:p w14:paraId="3DC936A9" w14:textId="77777777" w:rsidR="004A0C97" w:rsidRPr="006A3D1C" w:rsidRDefault="004A0C97" w:rsidP="006A3D1C">
            <w:pPr>
              <w:pStyle w:val="TableText"/>
              <w:rPr>
                <w:bCs/>
              </w:rPr>
            </w:pPr>
            <w:r w:rsidRPr="006A3D1C">
              <w:t>Educator</w:t>
            </w:r>
          </w:p>
        </w:tc>
      </w:tr>
      <w:tr w:rsidR="004A0C97" w:rsidRPr="00D429D9" w14:paraId="3DC936AC" w14:textId="77777777" w:rsidTr="006A3D1C">
        <w:trPr>
          <w:cantSplit/>
        </w:trPr>
        <w:tc>
          <w:tcPr>
            <w:tcW w:w="3261" w:type="dxa"/>
          </w:tcPr>
          <w:p w14:paraId="3DC936AB" w14:textId="77777777" w:rsidR="004A0C97" w:rsidRPr="006A3D1C" w:rsidRDefault="004A0C97" w:rsidP="006A3D1C">
            <w:pPr>
              <w:pStyle w:val="TableText"/>
              <w:rPr>
                <w:bCs/>
              </w:rPr>
            </w:pPr>
            <w:r w:rsidRPr="006A3D1C">
              <w:t>Consumer</w:t>
            </w:r>
          </w:p>
        </w:tc>
      </w:tr>
      <w:tr w:rsidR="004A0C97" w:rsidRPr="00D429D9" w14:paraId="3DC936AE" w14:textId="77777777" w:rsidTr="006A3D1C">
        <w:trPr>
          <w:cantSplit/>
        </w:trPr>
        <w:tc>
          <w:tcPr>
            <w:tcW w:w="3261" w:type="dxa"/>
          </w:tcPr>
          <w:p w14:paraId="3DC936AD" w14:textId="77777777" w:rsidR="004A0C97" w:rsidRPr="006A3D1C" w:rsidRDefault="004A0C97" w:rsidP="006A3D1C">
            <w:pPr>
              <w:pStyle w:val="TableText"/>
              <w:rPr>
                <w:bCs/>
              </w:rPr>
            </w:pPr>
            <w:r w:rsidRPr="006A3D1C">
              <w:t>Other (please specify)</w:t>
            </w:r>
          </w:p>
        </w:tc>
      </w:tr>
    </w:tbl>
    <w:p w14:paraId="3DC936AF" w14:textId="77777777" w:rsidR="004A0C97" w:rsidRPr="00D429D9" w:rsidRDefault="004A0C97" w:rsidP="006A3D1C"/>
    <w:p w14:paraId="3DC936B0" w14:textId="77777777" w:rsidR="004A0C97" w:rsidRPr="00D429D9" w:rsidRDefault="004A0C97" w:rsidP="006A3D1C">
      <w:r w:rsidRPr="00D429D9">
        <w:t>7</w:t>
      </w:r>
      <w:r w:rsidR="006A3D1C">
        <w:tab/>
      </w:r>
      <w:r w:rsidRPr="00D429D9">
        <w:t>Do you agree with the proposed medicines on the list?</w:t>
      </w:r>
    </w:p>
    <w:p w14:paraId="3DC936B1" w14:textId="77777777" w:rsidR="004A0C97" w:rsidRPr="00D429D9" w:rsidRDefault="004A0C97" w:rsidP="006A3D1C">
      <w:pPr>
        <w:pStyle w:val="Bullet"/>
        <w:ind w:left="851"/>
      </w:pPr>
      <w:r w:rsidRPr="00D429D9">
        <w:t>Yes</w:t>
      </w:r>
    </w:p>
    <w:p w14:paraId="3DC936B2" w14:textId="77777777" w:rsidR="004A0C97" w:rsidRPr="00D429D9" w:rsidRDefault="004A0C97" w:rsidP="006A3D1C">
      <w:pPr>
        <w:pStyle w:val="Bullet"/>
        <w:ind w:left="851"/>
      </w:pPr>
      <w:r w:rsidRPr="00D429D9">
        <w:t>No (</w:t>
      </w:r>
      <w:r>
        <w:t>proceed to the next page</w:t>
      </w:r>
      <w:r w:rsidRPr="00D429D9">
        <w:t>)</w:t>
      </w:r>
    </w:p>
    <w:p w14:paraId="3DC936B3" w14:textId="77777777" w:rsidR="004A0C97" w:rsidRPr="00D429D9" w:rsidRDefault="004A0C97" w:rsidP="006A3D1C"/>
    <w:p w14:paraId="3DC936B4" w14:textId="77777777" w:rsidR="004A0C97" w:rsidRPr="00D429D9" w:rsidRDefault="004A0C97" w:rsidP="006A3D1C">
      <w:pPr>
        <w:ind w:left="567" w:hanging="567"/>
      </w:pPr>
      <w:r w:rsidRPr="00D429D9">
        <w:t>8</w:t>
      </w:r>
      <w:r w:rsidR="006A3D1C">
        <w:tab/>
      </w:r>
      <w:r w:rsidRPr="00D429D9">
        <w:t>I disagree with medicines for musculoskeletal and joint diseases</w:t>
      </w:r>
    </w:p>
    <w:p w14:paraId="3DC936B5" w14:textId="77777777" w:rsidR="004A0C97" w:rsidRPr="00D429D9" w:rsidRDefault="004A0C97" w:rsidP="006A3D1C">
      <w:pPr>
        <w:spacing w:before="120" w:after="120"/>
        <w:ind w:left="567"/>
      </w:pPr>
      <w:r w:rsidRPr="00D429D9">
        <w:t>Please name the medicine(s) and state your reason(s) why you disagree with its inclusion on the list.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tblGrid>
      <w:tr w:rsidR="004A0C97" w:rsidRPr="00D429D9" w14:paraId="3DC936B7" w14:textId="77777777" w:rsidTr="006A3D1C">
        <w:trPr>
          <w:cantSplit/>
          <w:trHeight w:val="1134"/>
        </w:trPr>
        <w:tc>
          <w:tcPr>
            <w:tcW w:w="7513" w:type="dxa"/>
            <w:tcBorders>
              <w:top w:val="single" w:sz="4" w:space="0" w:color="auto"/>
              <w:left w:val="single" w:sz="4" w:space="0" w:color="auto"/>
              <w:bottom w:val="single" w:sz="4" w:space="0" w:color="auto"/>
              <w:right w:val="single" w:sz="4" w:space="0" w:color="auto"/>
            </w:tcBorders>
            <w:hideMark/>
          </w:tcPr>
          <w:p w14:paraId="3DC936B6" w14:textId="77777777" w:rsidR="004A0C97" w:rsidRPr="00D429D9" w:rsidRDefault="004A0C97" w:rsidP="00477406">
            <w:pPr>
              <w:spacing w:before="120" w:after="120"/>
              <w:rPr>
                <w:rFonts w:cs="Segoe UI"/>
                <w:sz w:val="20"/>
              </w:rPr>
            </w:pPr>
            <w:r w:rsidRPr="00D429D9">
              <w:rPr>
                <w:rFonts w:cs="Segoe UI"/>
                <w:sz w:val="20"/>
              </w:rPr>
              <w:fldChar w:fldCharType="begin">
                <w:ffData>
                  <w:name w:val="Text17"/>
                  <w:enabled/>
                  <w:calcOnExit w:val="0"/>
                  <w:textInput/>
                </w:ffData>
              </w:fldChar>
            </w:r>
            <w:bookmarkStart w:id="100" w:name="Text17"/>
            <w:r w:rsidRPr="00D429D9">
              <w:rPr>
                <w:rFonts w:cs="Segoe UI"/>
                <w:sz w:val="20"/>
              </w:rPr>
              <w:instrText xml:space="preserve"> FORMTEXT </w:instrText>
            </w:r>
            <w:r w:rsidRPr="00D429D9">
              <w:rPr>
                <w:rFonts w:cs="Segoe UI"/>
                <w:sz w:val="20"/>
              </w:rPr>
            </w:r>
            <w:r w:rsidRPr="00D429D9">
              <w:rPr>
                <w:rFonts w:cs="Segoe UI"/>
                <w:sz w:val="20"/>
              </w:rPr>
              <w:fldChar w:fldCharType="separate"/>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sz w:val="20"/>
              </w:rPr>
              <w:fldChar w:fldCharType="end"/>
            </w:r>
            <w:bookmarkEnd w:id="100"/>
          </w:p>
        </w:tc>
      </w:tr>
    </w:tbl>
    <w:p w14:paraId="3DC936B8" w14:textId="77777777" w:rsidR="004A0C97" w:rsidRPr="00D429D9" w:rsidRDefault="004A0C97" w:rsidP="006A3D1C"/>
    <w:p w14:paraId="3DC936B9" w14:textId="77777777" w:rsidR="004A0C97" w:rsidRPr="00D429D9" w:rsidRDefault="004A0C97" w:rsidP="006A3D1C">
      <w:pPr>
        <w:keepNext/>
        <w:ind w:left="567" w:hanging="567"/>
      </w:pPr>
      <w:r w:rsidRPr="00D429D9">
        <w:lastRenderedPageBreak/>
        <w:t>9</w:t>
      </w:r>
      <w:r w:rsidR="006A3D1C">
        <w:tab/>
      </w:r>
      <w:r w:rsidRPr="00D429D9">
        <w:t>I disagree with medicines for respiratory system</w:t>
      </w:r>
    </w:p>
    <w:p w14:paraId="3DC936BA" w14:textId="77777777" w:rsidR="004A0C97" w:rsidRPr="00D429D9" w:rsidRDefault="004A0C97" w:rsidP="006A3D1C">
      <w:pPr>
        <w:keepNext/>
        <w:spacing w:before="120" w:after="120"/>
        <w:ind w:left="567"/>
      </w:pPr>
      <w:r w:rsidRPr="00D429D9">
        <w:t>Please name the medicine(s) and state your reason(s) why you disagree with its inclusion on the list.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tblGrid>
      <w:tr w:rsidR="006A3D1C" w:rsidRPr="00D429D9" w14:paraId="3DC936BC" w14:textId="77777777" w:rsidTr="007E64AF">
        <w:trPr>
          <w:cantSplit/>
          <w:trHeight w:val="1134"/>
        </w:trPr>
        <w:tc>
          <w:tcPr>
            <w:tcW w:w="7513" w:type="dxa"/>
            <w:tcBorders>
              <w:top w:val="single" w:sz="4" w:space="0" w:color="auto"/>
              <w:left w:val="single" w:sz="4" w:space="0" w:color="auto"/>
              <w:bottom w:val="single" w:sz="4" w:space="0" w:color="auto"/>
              <w:right w:val="single" w:sz="4" w:space="0" w:color="auto"/>
            </w:tcBorders>
            <w:hideMark/>
          </w:tcPr>
          <w:p w14:paraId="3DC936BB" w14:textId="77777777" w:rsidR="006A3D1C" w:rsidRPr="00D429D9" w:rsidRDefault="006A3D1C" w:rsidP="007E64AF">
            <w:pPr>
              <w:spacing w:before="120" w:after="120"/>
              <w:rPr>
                <w:rFonts w:cs="Segoe UI"/>
                <w:sz w:val="20"/>
              </w:rPr>
            </w:pPr>
            <w:r w:rsidRPr="00D429D9">
              <w:rPr>
                <w:rFonts w:cs="Segoe UI"/>
                <w:sz w:val="20"/>
              </w:rPr>
              <w:fldChar w:fldCharType="begin">
                <w:ffData>
                  <w:name w:val="Text17"/>
                  <w:enabled/>
                  <w:calcOnExit w:val="0"/>
                  <w:textInput/>
                </w:ffData>
              </w:fldChar>
            </w:r>
            <w:r w:rsidRPr="00D429D9">
              <w:rPr>
                <w:rFonts w:cs="Segoe UI"/>
                <w:sz w:val="20"/>
              </w:rPr>
              <w:instrText xml:space="preserve"> FORMTEXT </w:instrText>
            </w:r>
            <w:r w:rsidRPr="00D429D9">
              <w:rPr>
                <w:rFonts w:cs="Segoe UI"/>
                <w:sz w:val="20"/>
              </w:rPr>
            </w:r>
            <w:r w:rsidRPr="00D429D9">
              <w:rPr>
                <w:rFonts w:cs="Segoe UI"/>
                <w:sz w:val="20"/>
              </w:rPr>
              <w:fldChar w:fldCharType="separate"/>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sz w:val="20"/>
              </w:rPr>
              <w:fldChar w:fldCharType="end"/>
            </w:r>
          </w:p>
        </w:tc>
      </w:tr>
    </w:tbl>
    <w:p w14:paraId="3DC936BD" w14:textId="77777777" w:rsidR="004A0C97" w:rsidRPr="00D429D9" w:rsidRDefault="004A0C97" w:rsidP="006A3D1C"/>
    <w:p w14:paraId="3DC936BE" w14:textId="77777777" w:rsidR="004A0C97" w:rsidRPr="00D429D9" w:rsidRDefault="004A0C97" w:rsidP="006A3D1C">
      <w:pPr>
        <w:ind w:left="567" w:hanging="567"/>
      </w:pPr>
      <w:r w:rsidRPr="00D429D9">
        <w:t>10</w:t>
      </w:r>
      <w:r w:rsidR="006A3D1C">
        <w:tab/>
      </w:r>
      <w:r w:rsidRPr="00D429D9">
        <w:t>I disagree with medicines for central nervous system</w:t>
      </w:r>
    </w:p>
    <w:p w14:paraId="3DC936BF" w14:textId="77777777" w:rsidR="004A0C97" w:rsidRPr="00D429D9" w:rsidRDefault="004A0C97" w:rsidP="006A3D1C">
      <w:pPr>
        <w:spacing w:before="120" w:after="120"/>
        <w:ind w:left="567"/>
      </w:pPr>
      <w:r w:rsidRPr="00D429D9">
        <w:t>Please name the medicine(s) and state your reason(s) why you disagree with its inclusion on the list.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tblGrid>
      <w:tr w:rsidR="006A3D1C" w:rsidRPr="00D429D9" w14:paraId="3DC936C1" w14:textId="77777777" w:rsidTr="007E64AF">
        <w:trPr>
          <w:cantSplit/>
          <w:trHeight w:val="1134"/>
        </w:trPr>
        <w:tc>
          <w:tcPr>
            <w:tcW w:w="7513" w:type="dxa"/>
            <w:tcBorders>
              <w:top w:val="single" w:sz="4" w:space="0" w:color="auto"/>
              <w:left w:val="single" w:sz="4" w:space="0" w:color="auto"/>
              <w:bottom w:val="single" w:sz="4" w:space="0" w:color="auto"/>
              <w:right w:val="single" w:sz="4" w:space="0" w:color="auto"/>
            </w:tcBorders>
            <w:hideMark/>
          </w:tcPr>
          <w:p w14:paraId="3DC936C0" w14:textId="77777777" w:rsidR="006A3D1C" w:rsidRPr="00D429D9" w:rsidRDefault="006A3D1C" w:rsidP="007E64AF">
            <w:pPr>
              <w:spacing w:before="120" w:after="120"/>
              <w:rPr>
                <w:rFonts w:cs="Segoe UI"/>
                <w:sz w:val="20"/>
              </w:rPr>
            </w:pPr>
            <w:r w:rsidRPr="00D429D9">
              <w:rPr>
                <w:rFonts w:cs="Segoe UI"/>
                <w:sz w:val="20"/>
              </w:rPr>
              <w:fldChar w:fldCharType="begin">
                <w:ffData>
                  <w:name w:val="Text17"/>
                  <w:enabled/>
                  <w:calcOnExit w:val="0"/>
                  <w:textInput/>
                </w:ffData>
              </w:fldChar>
            </w:r>
            <w:r w:rsidRPr="00D429D9">
              <w:rPr>
                <w:rFonts w:cs="Segoe UI"/>
                <w:sz w:val="20"/>
              </w:rPr>
              <w:instrText xml:space="preserve"> FORMTEXT </w:instrText>
            </w:r>
            <w:r w:rsidRPr="00D429D9">
              <w:rPr>
                <w:rFonts w:cs="Segoe UI"/>
                <w:sz w:val="20"/>
              </w:rPr>
            </w:r>
            <w:r w:rsidRPr="00D429D9">
              <w:rPr>
                <w:rFonts w:cs="Segoe UI"/>
                <w:sz w:val="20"/>
              </w:rPr>
              <w:fldChar w:fldCharType="separate"/>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sz w:val="20"/>
              </w:rPr>
              <w:fldChar w:fldCharType="end"/>
            </w:r>
          </w:p>
        </w:tc>
      </w:tr>
    </w:tbl>
    <w:p w14:paraId="3DC936C2" w14:textId="77777777" w:rsidR="004A0C97" w:rsidRPr="00D429D9" w:rsidRDefault="004A0C97" w:rsidP="006A3D1C"/>
    <w:p w14:paraId="3DC936C3" w14:textId="77777777" w:rsidR="004A0C97" w:rsidRPr="00D429D9" w:rsidRDefault="004A0C97" w:rsidP="006A3D1C">
      <w:pPr>
        <w:ind w:left="567" w:hanging="567"/>
      </w:pPr>
      <w:r w:rsidRPr="00D429D9">
        <w:t>11</w:t>
      </w:r>
      <w:r w:rsidR="006A3D1C">
        <w:tab/>
      </w:r>
      <w:r w:rsidRPr="00D429D9">
        <w:t>I disagree with medicines for immunological products and vaccines</w:t>
      </w:r>
    </w:p>
    <w:p w14:paraId="3DC936C4" w14:textId="77777777" w:rsidR="004A0C97" w:rsidRPr="00D429D9" w:rsidRDefault="004A0C97" w:rsidP="006A3D1C">
      <w:pPr>
        <w:spacing w:before="120" w:after="120"/>
        <w:ind w:left="567"/>
      </w:pPr>
      <w:r w:rsidRPr="00D429D9">
        <w:t>Please name the medicine(s) and state your reason(s) why you disagree with its inclusion on the list.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tblGrid>
      <w:tr w:rsidR="006A3D1C" w:rsidRPr="00D429D9" w14:paraId="3DC936C6" w14:textId="77777777" w:rsidTr="007E64AF">
        <w:trPr>
          <w:cantSplit/>
          <w:trHeight w:val="1134"/>
        </w:trPr>
        <w:tc>
          <w:tcPr>
            <w:tcW w:w="7513" w:type="dxa"/>
            <w:tcBorders>
              <w:top w:val="single" w:sz="4" w:space="0" w:color="auto"/>
              <w:left w:val="single" w:sz="4" w:space="0" w:color="auto"/>
              <w:bottom w:val="single" w:sz="4" w:space="0" w:color="auto"/>
              <w:right w:val="single" w:sz="4" w:space="0" w:color="auto"/>
            </w:tcBorders>
            <w:hideMark/>
          </w:tcPr>
          <w:p w14:paraId="3DC936C5" w14:textId="77777777" w:rsidR="006A3D1C" w:rsidRPr="00D429D9" w:rsidRDefault="006A3D1C" w:rsidP="007E64AF">
            <w:pPr>
              <w:spacing w:before="120" w:after="120"/>
              <w:rPr>
                <w:rFonts w:cs="Segoe UI"/>
                <w:sz w:val="20"/>
              </w:rPr>
            </w:pPr>
            <w:r w:rsidRPr="00D429D9">
              <w:rPr>
                <w:rFonts w:cs="Segoe UI"/>
                <w:sz w:val="20"/>
              </w:rPr>
              <w:fldChar w:fldCharType="begin">
                <w:ffData>
                  <w:name w:val="Text17"/>
                  <w:enabled/>
                  <w:calcOnExit w:val="0"/>
                  <w:textInput/>
                </w:ffData>
              </w:fldChar>
            </w:r>
            <w:r w:rsidRPr="00D429D9">
              <w:rPr>
                <w:rFonts w:cs="Segoe UI"/>
                <w:sz w:val="20"/>
              </w:rPr>
              <w:instrText xml:space="preserve"> FORMTEXT </w:instrText>
            </w:r>
            <w:r w:rsidRPr="00D429D9">
              <w:rPr>
                <w:rFonts w:cs="Segoe UI"/>
                <w:sz w:val="20"/>
              </w:rPr>
            </w:r>
            <w:r w:rsidRPr="00D429D9">
              <w:rPr>
                <w:rFonts w:cs="Segoe UI"/>
                <w:sz w:val="20"/>
              </w:rPr>
              <w:fldChar w:fldCharType="separate"/>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sz w:val="20"/>
              </w:rPr>
              <w:fldChar w:fldCharType="end"/>
            </w:r>
          </w:p>
        </w:tc>
      </w:tr>
    </w:tbl>
    <w:p w14:paraId="3DC936C7" w14:textId="77777777" w:rsidR="004A0C97" w:rsidRPr="00D429D9" w:rsidRDefault="004A0C97" w:rsidP="006A3D1C"/>
    <w:p w14:paraId="3DC936C8" w14:textId="77777777" w:rsidR="004A0C97" w:rsidRPr="00D429D9" w:rsidRDefault="004A0C97" w:rsidP="006A3D1C">
      <w:pPr>
        <w:ind w:left="567" w:hanging="567"/>
      </w:pPr>
      <w:r w:rsidRPr="00D429D9">
        <w:t>12</w:t>
      </w:r>
      <w:r w:rsidR="006A3D1C">
        <w:tab/>
      </w:r>
      <w:r w:rsidRPr="00D429D9">
        <w:t>I disagree with medicines for endocrine system and emergency treatment of poisoning</w:t>
      </w:r>
    </w:p>
    <w:p w14:paraId="3DC936C9" w14:textId="77777777" w:rsidR="004A0C97" w:rsidRPr="00D429D9" w:rsidRDefault="004A0C97" w:rsidP="006A3D1C">
      <w:pPr>
        <w:spacing w:before="120" w:after="120"/>
        <w:ind w:left="567"/>
      </w:pPr>
      <w:r w:rsidRPr="00D429D9">
        <w:t>Please name the medicine(s) and state your reason(s) why you disagree with its inclusion on the list.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tblGrid>
      <w:tr w:rsidR="006A3D1C" w:rsidRPr="00D429D9" w14:paraId="3DC936CB" w14:textId="77777777" w:rsidTr="007E64AF">
        <w:trPr>
          <w:cantSplit/>
          <w:trHeight w:val="1134"/>
        </w:trPr>
        <w:tc>
          <w:tcPr>
            <w:tcW w:w="7513" w:type="dxa"/>
            <w:tcBorders>
              <w:top w:val="single" w:sz="4" w:space="0" w:color="auto"/>
              <w:left w:val="single" w:sz="4" w:space="0" w:color="auto"/>
              <w:bottom w:val="single" w:sz="4" w:space="0" w:color="auto"/>
              <w:right w:val="single" w:sz="4" w:space="0" w:color="auto"/>
            </w:tcBorders>
            <w:hideMark/>
          </w:tcPr>
          <w:p w14:paraId="3DC936CA" w14:textId="77777777" w:rsidR="006A3D1C" w:rsidRPr="00D429D9" w:rsidRDefault="006A3D1C" w:rsidP="007E64AF">
            <w:pPr>
              <w:spacing w:before="120" w:after="120"/>
              <w:rPr>
                <w:rFonts w:cs="Segoe UI"/>
                <w:sz w:val="20"/>
              </w:rPr>
            </w:pPr>
            <w:r w:rsidRPr="00D429D9">
              <w:rPr>
                <w:rFonts w:cs="Segoe UI"/>
                <w:sz w:val="20"/>
              </w:rPr>
              <w:fldChar w:fldCharType="begin">
                <w:ffData>
                  <w:name w:val="Text17"/>
                  <w:enabled/>
                  <w:calcOnExit w:val="0"/>
                  <w:textInput/>
                </w:ffData>
              </w:fldChar>
            </w:r>
            <w:r w:rsidRPr="00D429D9">
              <w:rPr>
                <w:rFonts w:cs="Segoe UI"/>
                <w:sz w:val="20"/>
              </w:rPr>
              <w:instrText xml:space="preserve"> FORMTEXT </w:instrText>
            </w:r>
            <w:r w:rsidRPr="00D429D9">
              <w:rPr>
                <w:rFonts w:cs="Segoe UI"/>
                <w:sz w:val="20"/>
              </w:rPr>
            </w:r>
            <w:r w:rsidRPr="00D429D9">
              <w:rPr>
                <w:rFonts w:cs="Segoe UI"/>
                <w:sz w:val="20"/>
              </w:rPr>
              <w:fldChar w:fldCharType="separate"/>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sz w:val="20"/>
              </w:rPr>
              <w:fldChar w:fldCharType="end"/>
            </w:r>
          </w:p>
        </w:tc>
      </w:tr>
    </w:tbl>
    <w:p w14:paraId="3DC936CC" w14:textId="77777777" w:rsidR="004A0C97" w:rsidRPr="00D429D9" w:rsidRDefault="004A0C97" w:rsidP="006A3D1C"/>
    <w:p w14:paraId="3DC936CD" w14:textId="77777777" w:rsidR="004A0C97" w:rsidRPr="00D429D9" w:rsidRDefault="004A0C97" w:rsidP="006A3D1C">
      <w:pPr>
        <w:ind w:left="567" w:hanging="567"/>
      </w:pPr>
      <w:r w:rsidRPr="00D429D9">
        <w:t>13</w:t>
      </w:r>
      <w:r w:rsidR="006A3D1C">
        <w:tab/>
      </w:r>
      <w:r w:rsidRPr="00D429D9">
        <w:t>I disagree with medicines for malignant disease and immunosuppression</w:t>
      </w:r>
    </w:p>
    <w:p w14:paraId="3DC936CE" w14:textId="77777777" w:rsidR="004A0C97" w:rsidRPr="00D429D9" w:rsidRDefault="004A0C97" w:rsidP="006A3D1C">
      <w:pPr>
        <w:spacing w:before="120" w:after="120"/>
        <w:ind w:left="567"/>
      </w:pPr>
      <w:r w:rsidRPr="00D429D9">
        <w:t>Please name the medicine(s) and state your reason(s) why you disagree with its inclusion on the list.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tblGrid>
      <w:tr w:rsidR="006A3D1C" w:rsidRPr="00D429D9" w14:paraId="3DC936D0" w14:textId="77777777" w:rsidTr="007E64AF">
        <w:trPr>
          <w:cantSplit/>
          <w:trHeight w:val="1134"/>
        </w:trPr>
        <w:tc>
          <w:tcPr>
            <w:tcW w:w="7513" w:type="dxa"/>
            <w:tcBorders>
              <w:top w:val="single" w:sz="4" w:space="0" w:color="auto"/>
              <w:left w:val="single" w:sz="4" w:space="0" w:color="auto"/>
              <w:bottom w:val="single" w:sz="4" w:space="0" w:color="auto"/>
              <w:right w:val="single" w:sz="4" w:space="0" w:color="auto"/>
            </w:tcBorders>
            <w:hideMark/>
          </w:tcPr>
          <w:p w14:paraId="3DC936CF" w14:textId="77777777" w:rsidR="006A3D1C" w:rsidRPr="00D429D9" w:rsidRDefault="006A3D1C" w:rsidP="007E64AF">
            <w:pPr>
              <w:spacing w:before="120" w:after="120"/>
              <w:rPr>
                <w:rFonts w:cs="Segoe UI"/>
                <w:sz w:val="20"/>
              </w:rPr>
            </w:pPr>
            <w:r w:rsidRPr="00D429D9">
              <w:rPr>
                <w:rFonts w:cs="Segoe UI"/>
                <w:sz w:val="20"/>
              </w:rPr>
              <w:fldChar w:fldCharType="begin">
                <w:ffData>
                  <w:name w:val="Text17"/>
                  <w:enabled/>
                  <w:calcOnExit w:val="0"/>
                  <w:textInput/>
                </w:ffData>
              </w:fldChar>
            </w:r>
            <w:r w:rsidRPr="00D429D9">
              <w:rPr>
                <w:rFonts w:cs="Segoe UI"/>
                <w:sz w:val="20"/>
              </w:rPr>
              <w:instrText xml:space="preserve"> FORMTEXT </w:instrText>
            </w:r>
            <w:r w:rsidRPr="00D429D9">
              <w:rPr>
                <w:rFonts w:cs="Segoe UI"/>
                <w:sz w:val="20"/>
              </w:rPr>
            </w:r>
            <w:r w:rsidRPr="00D429D9">
              <w:rPr>
                <w:rFonts w:cs="Segoe UI"/>
                <w:sz w:val="20"/>
              </w:rPr>
              <w:fldChar w:fldCharType="separate"/>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sz w:val="20"/>
              </w:rPr>
              <w:fldChar w:fldCharType="end"/>
            </w:r>
          </w:p>
        </w:tc>
      </w:tr>
    </w:tbl>
    <w:p w14:paraId="3DC936D1" w14:textId="77777777" w:rsidR="004A0C97" w:rsidRPr="00D429D9" w:rsidRDefault="004A0C97" w:rsidP="006A3D1C"/>
    <w:p w14:paraId="3DC936D2" w14:textId="77777777" w:rsidR="004A0C97" w:rsidRPr="00D429D9" w:rsidRDefault="004A0C97" w:rsidP="006A3D1C">
      <w:pPr>
        <w:keepNext/>
        <w:ind w:left="567" w:hanging="567"/>
      </w:pPr>
      <w:r w:rsidRPr="00D429D9">
        <w:lastRenderedPageBreak/>
        <w:t>14</w:t>
      </w:r>
      <w:r w:rsidR="006A3D1C">
        <w:tab/>
      </w:r>
      <w:r w:rsidRPr="00D429D9">
        <w:t>I disagree with medicines for nutrition and blood</w:t>
      </w:r>
    </w:p>
    <w:p w14:paraId="3DC936D3" w14:textId="77777777" w:rsidR="004A0C97" w:rsidRPr="00D429D9" w:rsidRDefault="004A0C97" w:rsidP="006A3D1C">
      <w:pPr>
        <w:keepNext/>
        <w:spacing w:before="120" w:after="120"/>
        <w:ind w:left="567"/>
      </w:pPr>
      <w:r w:rsidRPr="00D429D9">
        <w:t>Please name the medicine(s) and state your reason(s) why you disagree with its inclusion on the list.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tblGrid>
      <w:tr w:rsidR="006A3D1C" w:rsidRPr="00D429D9" w14:paraId="3DC936D5" w14:textId="77777777" w:rsidTr="007E64AF">
        <w:trPr>
          <w:cantSplit/>
          <w:trHeight w:val="1134"/>
        </w:trPr>
        <w:tc>
          <w:tcPr>
            <w:tcW w:w="7513" w:type="dxa"/>
            <w:tcBorders>
              <w:top w:val="single" w:sz="4" w:space="0" w:color="auto"/>
              <w:left w:val="single" w:sz="4" w:space="0" w:color="auto"/>
              <w:bottom w:val="single" w:sz="4" w:space="0" w:color="auto"/>
              <w:right w:val="single" w:sz="4" w:space="0" w:color="auto"/>
            </w:tcBorders>
            <w:hideMark/>
          </w:tcPr>
          <w:p w14:paraId="3DC936D4" w14:textId="77777777" w:rsidR="006A3D1C" w:rsidRPr="00D429D9" w:rsidRDefault="006A3D1C" w:rsidP="007E64AF">
            <w:pPr>
              <w:spacing w:before="120" w:after="120"/>
              <w:rPr>
                <w:rFonts w:cs="Segoe UI"/>
                <w:sz w:val="20"/>
              </w:rPr>
            </w:pPr>
            <w:r w:rsidRPr="00D429D9">
              <w:rPr>
                <w:rFonts w:cs="Segoe UI"/>
                <w:sz w:val="20"/>
              </w:rPr>
              <w:fldChar w:fldCharType="begin">
                <w:ffData>
                  <w:name w:val="Text17"/>
                  <w:enabled/>
                  <w:calcOnExit w:val="0"/>
                  <w:textInput/>
                </w:ffData>
              </w:fldChar>
            </w:r>
            <w:r w:rsidRPr="00D429D9">
              <w:rPr>
                <w:rFonts w:cs="Segoe UI"/>
                <w:sz w:val="20"/>
              </w:rPr>
              <w:instrText xml:space="preserve"> FORMTEXT </w:instrText>
            </w:r>
            <w:r w:rsidRPr="00D429D9">
              <w:rPr>
                <w:rFonts w:cs="Segoe UI"/>
                <w:sz w:val="20"/>
              </w:rPr>
            </w:r>
            <w:r w:rsidRPr="00D429D9">
              <w:rPr>
                <w:rFonts w:cs="Segoe UI"/>
                <w:sz w:val="20"/>
              </w:rPr>
              <w:fldChar w:fldCharType="separate"/>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sz w:val="20"/>
              </w:rPr>
              <w:fldChar w:fldCharType="end"/>
            </w:r>
          </w:p>
        </w:tc>
      </w:tr>
    </w:tbl>
    <w:p w14:paraId="3DC936D6" w14:textId="77777777" w:rsidR="004A0C97" w:rsidRPr="00D429D9" w:rsidRDefault="004A0C97" w:rsidP="006A3D1C"/>
    <w:p w14:paraId="3DC936D7" w14:textId="77777777" w:rsidR="004A0C97" w:rsidRPr="00D429D9" w:rsidRDefault="004A0C97" w:rsidP="006A3D1C">
      <w:pPr>
        <w:ind w:left="567" w:hanging="567"/>
      </w:pPr>
      <w:r w:rsidRPr="00D429D9">
        <w:t>15</w:t>
      </w:r>
      <w:r w:rsidR="006A3D1C">
        <w:tab/>
      </w:r>
      <w:r w:rsidRPr="00D429D9">
        <w:t>I disagree with medicines for infections</w:t>
      </w:r>
    </w:p>
    <w:p w14:paraId="3DC936D8" w14:textId="77777777" w:rsidR="004A0C97" w:rsidRPr="00D429D9" w:rsidRDefault="004A0C97" w:rsidP="006A3D1C">
      <w:pPr>
        <w:spacing w:before="120" w:after="120"/>
        <w:ind w:left="567"/>
        <w:rPr>
          <w:rFonts w:cs="Segoe UI"/>
        </w:rPr>
      </w:pPr>
      <w:r w:rsidRPr="00D429D9">
        <w:rPr>
          <w:rFonts w:cs="Segoe UI"/>
        </w:rPr>
        <w:t xml:space="preserve">Please name the medicine(s) and state your reason(s) why you disagree </w:t>
      </w:r>
      <w:r w:rsidR="006A3D1C">
        <w:rPr>
          <w:rFonts w:cs="Segoe UI"/>
        </w:rPr>
        <w:t>with its inclusion on the list.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tblGrid>
      <w:tr w:rsidR="006A3D1C" w:rsidRPr="00D429D9" w14:paraId="3DC936DA" w14:textId="77777777" w:rsidTr="007E64AF">
        <w:trPr>
          <w:cantSplit/>
          <w:trHeight w:val="1134"/>
        </w:trPr>
        <w:tc>
          <w:tcPr>
            <w:tcW w:w="7513" w:type="dxa"/>
            <w:tcBorders>
              <w:top w:val="single" w:sz="4" w:space="0" w:color="auto"/>
              <w:left w:val="single" w:sz="4" w:space="0" w:color="auto"/>
              <w:bottom w:val="single" w:sz="4" w:space="0" w:color="auto"/>
              <w:right w:val="single" w:sz="4" w:space="0" w:color="auto"/>
            </w:tcBorders>
            <w:hideMark/>
          </w:tcPr>
          <w:p w14:paraId="3DC936D9" w14:textId="77777777" w:rsidR="006A3D1C" w:rsidRPr="00D429D9" w:rsidRDefault="006A3D1C" w:rsidP="007E64AF">
            <w:pPr>
              <w:spacing w:before="120" w:after="120"/>
              <w:rPr>
                <w:rFonts w:cs="Segoe UI"/>
                <w:sz w:val="20"/>
              </w:rPr>
            </w:pPr>
            <w:r w:rsidRPr="00D429D9">
              <w:rPr>
                <w:rFonts w:cs="Segoe UI"/>
                <w:sz w:val="20"/>
              </w:rPr>
              <w:fldChar w:fldCharType="begin">
                <w:ffData>
                  <w:name w:val="Text17"/>
                  <w:enabled/>
                  <w:calcOnExit w:val="0"/>
                  <w:textInput/>
                </w:ffData>
              </w:fldChar>
            </w:r>
            <w:r w:rsidRPr="00D429D9">
              <w:rPr>
                <w:rFonts w:cs="Segoe UI"/>
                <w:sz w:val="20"/>
              </w:rPr>
              <w:instrText xml:space="preserve"> FORMTEXT </w:instrText>
            </w:r>
            <w:r w:rsidRPr="00D429D9">
              <w:rPr>
                <w:rFonts w:cs="Segoe UI"/>
                <w:sz w:val="20"/>
              </w:rPr>
            </w:r>
            <w:r w:rsidRPr="00D429D9">
              <w:rPr>
                <w:rFonts w:cs="Segoe UI"/>
                <w:sz w:val="20"/>
              </w:rPr>
              <w:fldChar w:fldCharType="separate"/>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sz w:val="20"/>
              </w:rPr>
              <w:fldChar w:fldCharType="end"/>
            </w:r>
          </w:p>
        </w:tc>
      </w:tr>
    </w:tbl>
    <w:p w14:paraId="3DC936DB" w14:textId="77777777" w:rsidR="004A0C97" w:rsidRPr="00D429D9" w:rsidRDefault="004A0C97" w:rsidP="006A3D1C"/>
    <w:p w14:paraId="3DC936DC" w14:textId="77777777" w:rsidR="00F062F2" w:rsidRDefault="004A0C97" w:rsidP="006A3D1C">
      <w:pPr>
        <w:ind w:left="567" w:hanging="567"/>
      </w:pPr>
      <w:r w:rsidRPr="00D429D9">
        <w:t>16</w:t>
      </w:r>
      <w:r w:rsidR="006A3D1C">
        <w:tab/>
      </w:r>
      <w:r w:rsidRPr="00D429D9">
        <w:t>I disagree with medicines for obstetrics, gynaecology, and urinary-tract disorders</w:t>
      </w:r>
    </w:p>
    <w:p w14:paraId="3DC936DD" w14:textId="77777777" w:rsidR="004A0C97" w:rsidRPr="00D429D9" w:rsidRDefault="004A0C97" w:rsidP="006A3D1C">
      <w:pPr>
        <w:spacing w:before="120" w:after="120"/>
        <w:ind w:left="567"/>
        <w:rPr>
          <w:rFonts w:cs="Segoe UI"/>
        </w:rPr>
      </w:pPr>
      <w:r w:rsidRPr="00D429D9">
        <w:rPr>
          <w:rFonts w:cs="Segoe UI"/>
        </w:rPr>
        <w:t>Please name the medicine(s) and state your reason(s) why you disagree with its inclusion on the list.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tblGrid>
      <w:tr w:rsidR="006A3D1C" w:rsidRPr="00D429D9" w14:paraId="3DC936DF" w14:textId="77777777" w:rsidTr="007E64AF">
        <w:trPr>
          <w:cantSplit/>
          <w:trHeight w:val="1134"/>
        </w:trPr>
        <w:tc>
          <w:tcPr>
            <w:tcW w:w="7513" w:type="dxa"/>
            <w:tcBorders>
              <w:top w:val="single" w:sz="4" w:space="0" w:color="auto"/>
              <w:left w:val="single" w:sz="4" w:space="0" w:color="auto"/>
              <w:bottom w:val="single" w:sz="4" w:space="0" w:color="auto"/>
              <w:right w:val="single" w:sz="4" w:space="0" w:color="auto"/>
            </w:tcBorders>
            <w:hideMark/>
          </w:tcPr>
          <w:p w14:paraId="3DC936DE" w14:textId="77777777" w:rsidR="006A3D1C" w:rsidRPr="00D429D9" w:rsidRDefault="006A3D1C" w:rsidP="007E64AF">
            <w:pPr>
              <w:spacing w:before="120" w:after="120"/>
              <w:rPr>
                <w:rFonts w:cs="Segoe UI"/>
                <w:sz w:val="20"/>
              </w:rPr>
            </w:pPr>
            <w:r w:rsidRPr="00D429D9">
              <w:rPr>
                <w:rFonts w:cs="Segoe UI"/>
                <w:sz w:val="20"/>
              </w:rPr>
              <w:fldChar w:fldCharType="begin">
                <w:ffData>
                  <w:name w:val="Text17"/>
                  <w:enabled/>
                  <w:calcOnExit w:val="0"/>
                  <w:textInput/>
                </w:ffData>
              </w:fldChar>
            </w:r>
            <w:r w:rsidRPr="00D429D9">
              <w:rPr>
                <w:rFonts w:cs="Segoe UI"/>
                <w:sz w:val="20"/>
              </w:rPr>
              <w:instrText xml:space="preserve"> FORMTEXT </w:instrText>
            </w:r>
            <w:r w:rsidRPr="00D429D9">
              <w:rPr>
                <w:rFonts w:cs="Segoe UI"/>
                <w:sz w:val="20"/>
              </w:rPr>
            </w:r>
            <w:r w:rsidRPr="00D429D9">
              <w:rPr>
                <w:rFonts w:cs="Segoe UI"/>
                <w:sz w:val="20"/>
              </w:rPr>
              <w:fldChar w:fldCharType="separate"/>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sz w:val="20"/>
              </w:rPr>
              <w:fldChar w:fldCharType="end"/>
            </w:r>
          </w:p>
        </w:tc>
      </w:tr>
    </w:tbl>
    <w:p w14:paraId="3DC936E0" w14:textId="77777777" w:rsidR="004A0C97" w:rsidRPr="00D429D9" w:rsidRDefault="004A0C97" w:rsidP="006A3D1C"/>
    <w:p w14:paraId="3DC936E1" w14:textId="77777777" w:rsidR="004A0C97" w:rsidRPr="00D429D9" w:rsidRDefault="004A0C97" w:rsidP="006A3D1C">
      <w:pPr>
        <w:ind w:left="567" w:hanging="567"/>
      </w:pPr>
      <w:r w:rsidRPr="00D429D9">
        <w:t>17</w:t>
      </w:r>
      <w:r w:rsidR="006A3D1C">
        <w:tab/>
      </w:r>
      <w:r w:rsidRPr="00D429D9">
        <w:t>I disagree with medicines for cardiovascular system</w:t>
      </w:r>
    </w:p>
    <w:p w14:paraId="3DC936E2" w14:textId="77777777" w:rsidR="004A0C97" w:rsidRPr="00D429D9" w:rsidRDefault="004A0C97" w:rsidP="006A3D1C">
      <w:pPr>
        <w:spacing w:before="120" w:after="120"/>
        <w:ind w:left="567"/>
        <w:rPr>
          <w:rFonts w:cs="Segoe UI"/>
        </w:rPr>
      </w:pPr>
      <w:r w:rsidRPr="00D429D9">
        <w:rPr>
          <w:rFonts w:cs="Segoe UI"/>
        </w:rPr>
        <w:t xml:space="preserve">Please name the medicine(s) and state your reason(s) why you disagree with its inclusion on the list.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tblGrid>
      <w:tr w:rsidR="006A3D1C" w:rsidRPr="00D429D9" w14:paraId="3DC936E4" w14:textId="77777777" w:rsidTr="007E64AF">
        <w:trPr>
          <w:cantSplit/>
          <w:trHeight w:val="1134"/>
        </w:trPr>
        <w:tc>
          <w:tcPr>
            <w:tcW w:w="7513" w:type="dxa"/>
            <w:tcBorders>
              <w:top w:val="single" w:sz="4" w:space="0" w:color="auto"/>
              <w:left w:val="single" w:sz="4" w:space="0" w:color="auto"/>
              <w:bottom w:val="single" w:sz="4" w:space="0" w:color="auto"/>
              <w:right w:val="single" w:sz="4" w:space="0" w:color="auto"/>
            </w:tcBorders>
            <w:hideMark/>
          </w:tcPr>
          <w:p w14:paraId="3DC936E3" w14:textId="77777777" w:rsidR="006A3D1C" w:rsidRPr="00D429D9" w:rsidRDefault="006A3D1C" w:rsidP="007E64AF">
            <w:pPr>
              <w:spacing w:before="120" w:after="120"/>
              <w:rPr>
                <w:rFonts w:cs="Segoe UI"/>
                <w:sz w:val="20"/>
              </w:rPr>
            </w:pPr>
            <w:r w:rsidRPr="00D429D9">
              <w:rPr>
                <w:rFonts w:cs="Segoe UI"/>
                <w:sz w:val="20"/>
              </w:rPr>
              <w:fldChar w:fldCharType="begin">
                <w:ffData>
                  <w:name w:val="Text17"/>
                  <w:enabled/>
                  <w:calcOnExit w:val="0"/>
                  <w:textInput/>
                </w:ffData>
              </w:fldChar>
            </w:r>
            <w:r w:rsidRPr="00D429D9">
              <w:rPr>
                <w:rFonts w:cs="Segoe UI"/>
                <w:sz w:val="20"/>
              </w:rPr>
              <w:instrText xml:space="preserve"> FORMTEXT </w:instrText>
            </w:r>
            <w:r w:rsidRPr="00D429D9">
              <w:rPr>
                <w:rFonts w:cs="Segoe UI"/>
                <w:sz w:val="20"/>
              </w:rPr>
            </w:r>
            <w:r w:rsidRPr="00D429D9">
              <w:rPr>
                <w:rFonts w:cs="Segoe UI"/>
                <w:sz w:val="20"/>
              </w:rPr>
              <w:fldChar w:fldCharType="separate"/>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sz w:val="20"/>
              </w:rPr>
              <w:fldChar w:fldCharType="end"/>
            </w:r>
          </w:p>
        </w:tc>
      </w:tr>
    </w:tbl>
    <w:p w14:paraId="3DC936E5" w14:textId="77777777" w:rsidR="004A0C97" w:rsidRPr="00D429D9" w:rsidRDefault="004A0C97" w:rsidP="006A3D1C"/>
    <w:p w14:paraId="3DC936E6" w14:textId="77777777" w:rsidR="004A0C97" w:rsidRPr="00D429D9" w:rsidRDefault="004A0C97" w:rsidP="006A3D1C">
      <w:pPr>
        <w:ind w:left="567" w:hanging="567"/>
      </w:pPr>
      <w:r w:rsidRPr="00D429D9">
        <w:t>18</w:t>
      </w:r>
      <w:r w:rsidR="006A3D1C">
        <w:tab/>
      </w:r>
      <w:r w:rsidRPr="00D429D9">
        <w:t>I disagree with medicines for anaesthesia</w:t>
      </w:r>
    </w:p>
    <w:p w14:paraId="3DC936E7" w14:textId="77777777" w:rsidR="004A0C97" w:rsidRPr="00D429D9" w:rsidRDefault="004A0C97" w:rsidP="006A3D1C">
      <w:pPr>
        <w:spacing w:before="120" w:after="120"/>
        <w:ind w:left="567"/>
        <w:rPr>
          <w:rFonts w:cs="Segoe UI"/>
        </w:rPr>
      </w:pPr>
      <w:r w:rsidRPr="00D429D9">
        <w:rPr>
          <w:rFonts w:cs="Segoe UI"/>
        </w:rPr>
        <w:t xml:space="preserve">Please name the medicine(s) and state your reason(s) why you disagree with its inclusion on the list.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tblGrid>
      <w:tr w:rsidR="006A3D1C" w:rsidRPr="00D429D9" w14:paraId="3DC936E9" w14:textId="77777777" w:rsidTr="007E64AF">
        <w:trPr>
          <w:cantSplit/>
          <w:trHeight w:val="1134"/>
        </w:trPr>
        <w:tc>
          <w:tcPr>
            <w:tcW w:w="7513" w:type="dxa"/>
            <w:tcBorders>
              <w:top w:val="single" w:sz="4" w:space="0" w:color="auto"/>
              <w:left w:val="single" w:sz="4" w:space="0" w:color="auto"/>
              <w:bottom w:val="single" w:sz="4" w:space="0" w:color="auto"/>
              <w:right w:val="single" w:sz="4" w:space="0" w:color="auto"/>
            </w:tcBorders>
            <w:hideMark/>
          </w:tcPr>
          <w:p w14:paraId="3DC936E8" w14:textId="77777777" w:rsidR="006A3D1C" w:rsidRPr="00D429D9" w:rsidRDefault="006A3D1C" w:rsidP="007E64AF">
            <w:pPr>
              <w:spacing w:before="120" w:after="120"/>
              <w:rPr>
                <w:rFonts w:cs="Segoe UI"/>
                <w:sz w:val="20"/>
              </w:rPr>
            </w:pPr>
            <w:r w:rsidRPr="00D429D9">
              <w:rPr>
                <w:rFonts w:cs="Segoe UI"/>
                <w:sz w:val="20"/>
              </w:rPr>
              <w:fldChar w:fldCharType="begin">
                <w:ffData>
                  <w:name w:val="Text17"/>
                  <w:enabled/>
                  <w:calcOnExit w:val="0"/>
                  <w:textInput/>
                </w:ffData>
              </w:fldChar>
            </w:r>
            <w:r w:rsidRPr="00D429D9">
              <w:rPr>
                <w:rFonts w:cs="Segoe UI"/>
                <w:sz w:val="20"/>
              </w:rPr>
              <w:instrText xml:space="preserve"> FORMTEXT </w:instrText>
            </w:r>
            <w:r w:rsidRPr="00D429D9">
              <w:rPr>
                <w:rFonts w:cs="Segoe UI"/>
                <w:sz w:val="20"/>
              </w:rPr>
            </w:r>
            <w:r w:rsidRPr="00D429D9">
              <w:rPr>
                <w:rFonts w:cs="Segoe UI"/>
                <w:sz w:val="20"/>
              </w:rPr>
              <w:fldChar w:fldCharType="separate"/>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sz w:val="20"/>
              </w:rPr>
              <w:fldChar w:fldCharType="end"/>
            </w:r>
          </w:p>
        </w:tc>
      </w:tr>
    </w:tbl>
    <w:p w14:paraId="3DC936EA" w14:textId="77777777" w:rsidR="004A0C97" w:rsidRPr="00D429D9" w:rsidRDefault="004A0C97" w:rsidP="006A3D1C"/>
    <w:p w14:paraId="3DC936EB" w14:textId="77777777" w:rsidR="004A0C97" w:rsidRPr="00D429D9" w:rsidRDefault="004A0C97" w:rsidP="006A3D1C">
      <w:pPr>
        <w:keepNext/>
        <w:ind w:left="567" w:hanging="567"/>
      </w:pPr>
      <w:r w:rsidRPr="00D429D9">
        <w:lastRenderedPageBreak/>
        <w:t>19</w:t>
      </w:r>
      <w:r w:rsidR="006A3D1C">
        <w:tab/>
      </w:r>
      <w:r w:rsidRPr="00D429D9">
        <w:t>I disagree with controlled drugs being included on the list</w:t>
      </w:r>
    </w:p>
    <w:p w14:paraId="3DC936EC" w14:textId="77777777" w:rsidR="004A0C97" w:rsidRPr="00D429D9" w:rsidRDefault="004A0C97" w:rsidP="006A3D1C">
      <w:pPr>
        <w:keepNext/>
        <w:spacing w:before="120" w:after="120"/>
        <w:ind w:left="567"/>
        <w:rPr>
          <w:rFonts w:cs="Segoe UI"/>
        </w:rPr>
      </w:pPr>
      <w:r w:rsidRPr="00D429D9">
        <w:rPr>
          <w:rFonts w:cs="Segoe UI"/>
        </w:rPr>
        <w:t>Please name the medicine(s) and state your reason(s) why you disagree with its in</w:t>
      </w:r>
      <w:r w:rsidR="006A3D1C">
        <w:rPr>
          <w:rFonts w:cs="Segoe UI"/>
        </w:rPr>
        <w:t>clusion on the list.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tblGrid>
      <w:tr w:rsidR="006A3D1C" w:rsidRPr="00D429D9" w14:paraId="3DC936EE" w14:textId="77777777" w:rsidTr="007E64AF">
        <w:trPr>
          <w:cantSplit/>
          <w:trHeight w:val="1134"/>
        </w:trPr>
        <w:tc>
          <w:tcPr>
            <w:tcW w:w="7513" w:type="dxa"/>
            <w:tcBorders>
              <w:top w:val="single" w:sz="4" w:space="0" w:color="auto"/>
              <w:left w:val="single" w:sz="4" w:space="0" w:color="auto"/>
              <w:bottom w:val="single" w:sz="4" w:space="0" w:color="auto"/>
              <w:right w:val="single" w:sz="4" w:space="0" w:color="auto"/>
            </w:tcBorders>
            <w:hideMark/>
          </w:tcPr>
          <w:p w14:paraId="3DC936ED" w14:textId="77777777" w:rsidR="006A3D1C" w:rsidRPr="00D429D9" w:rsidRDefault="006A3D1C" w:rsidP="007E64AF">
            <w:pPr>
              <w:spacing w:before="120" w:after="120"/>
              <w:rPr>
                <w:rFonts w:cs="Segoe UI"/>
                <w:sz w:val="20"/>
              </w:rPr>
            </w:pPr>
            <w:r w:rsidRPr="00D429D9">
              <w:rPr>
                <w:rFonts w:cs="Segoe UI"/>
                <w:sz w:val="20"/>
              </w:rPr>
              <w:fldChar w:fldCharType="begin">
                <w:ffData>
                  <w:name w:val="Text17"/>
                  <w:enabled/>
                  <w:calcOnExit w:val="0"/>
                  <w:textInput/>
                </w:ffData>
              </w:fldChar>
            </w:r>
            <w:r w:rsidRPr="00D429D9">
              <w:rPr>
                <w:rFonts w:cs="Segoe UI"/>
                <w:sz w:val="20"/>
              </w:rPr>
              <w:instrText xml:space="preserve"> FORMTEXT </w:instrText>
            </w:r>
            <w:r w:rsidRPr="00D429D9">
              <w:rPr>
                <w:rFonts w:cs="Segoe UI"/>
                <w:sz w:val="20"/>
              </w:rPr>
            </w:r>
            <w:r w:rsidRPr="00D429D9">
              <w:rPr>
                <w:rFonts w:cs="Segoe UI"/>
                <w:sz w:val="20"/>
              </w:rPr>
              <w:fldChar w:fldCharType="separate"/>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sz w:val="20"/>
              </w:rPr>
              <w:fldChar w:fldCharType="end"/>
            </w:r>
          </w:p>
        </w:tc>
      </w:tr>
    </w:tbl>
    <w:p w14:paraId="3DC936EF" w14:textId="77777777" w:rsidR="004A0C97" w:rsidRPr="00D429D9" w:rsidRDefault="004A0C97" w:rsidP="006A3D1C"/>
    <w:p w14:paraId="3DC936F0" w14:textId="77777777" w:rsidR="00F062F2" w:rsidRDefault="004A0C97" w:rsidP="006A3D1C">
      <w:pPr>
        <w:ind w:left="567" w:hanging="567"/>
      </w:pPr>
      <w:r w:rsidRPr="00D429D9">
        <w:t>20</w:t>
      </w:r>
      <w:r w:rsidR="006A3D1C">
        <w:tab/>
      </w:r>
      <w:r w:rsidRPr="00D429D9">
        <w:t>I disagree with medicines that do not have the pharmaceutical class assigned being included on the list</w:t>
      </w:r>
    </w:p>
    <w:p w14:paraId="3DC936F1" w14:textId="77777777" w:rsidR="004A0C97" w:rsidRPr="00D429D9" w:rsidRDefault="004A0C97" w:rsidP="006A3D1C">
      <w:pPr>
        <w:spacing w:before="120" w:after="120"/>
        <w:ind w:left="567"/>
        <w:rPr>
          <w:rFonts w:cs="Segoe UI"/>
        </w:rPr>
      </w:pPr>
      <w:r w:rsidRPr="00D429D9">
        <w:rPr>
          <w:rFonts w:cs="Segoe UI"/>
        </w:rPr>
        <w:t xml:space="preserve">Please name the medicine(s) and state your reason(s) why you disagree with its inclusion on the list.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tblGrid>
      <w:tr w:rsidR="006A3D1C" w:rsidRPr="00D429D9" w14:paraId="3DC936F3" w14:textId="77777777" w:rsidTr="007E64AF">
        <w:trPr>
          <w:cantSplit/>
          <w:trHeight w:val="1134"/>
        </w:trPr>
        <w:tc>
          <w:tcPr>
            <w:tcW w:w="7513" w:type="dxa"/>
            <w:tcBorders>
              <w:top w:val="single" w:sz="4" w:space="0" w:color="auto"/>
              <w:left w:val="single" w:sz="4" w:space="0" w:color="auto"/>
              <w:bottom w:val="single" w:sz="4" w:space="0" w:color="auto"/>
              <w:right w:val="single" w:sz="4" w:space="0" w:color="auto"/>
            </w:tcBorders>
            <w:hideMark/>
          </w:tcPr>
          <w:p w14:paraId="3DC936F2" w14:textId="77777777" w:rsidR="006A3D1C" w:rsidRPr="00D429D9" w:rsidRDefault="006A3D1C" w:rsidP="007E64AF">
            <w:pPr>
              <w:spacing w:before="120" w:after="120"/>
              <w:rPr>
                <w:rFonts w:cs="Segoe UI"/>
                <w:sz w:val="20"/>
              </w:rPr>
            </w:pPr>
            <w:r w:rsidRPr="00D429D9">
              <w:rPr>
                <w:rFonts w:cs="Segoe UI"/>
                <w:sz w:val="20"/>
              </w:rPr>
              <w:fldChar w:fldCharType="begin">
                <w:ffData>
                  <w:name w:val="Text17"/>
                  <w:enabled/>
                  <w:calcOnExit w:val="0"/>
                  <w:textInput/>
                </w:ffData>
              </w:fldChar>
            </w:r>
            <w:r w:rsidRPr="00D429D9">
              <w:rPr>
                <w:rFonts w:cs="Segoe UI"/>
                <w:sz w:val="20"/>
              </w:rPr>
              <w:instrText xml:space="preserve"> FORMTEXT </w:instrText>
            </w:r>
            <w:r w:rsidRPr="00D429D9">
              <w:rPr>
                <w:rFonts w:cs="Segoe UI"/>
                <w:sz w:val="20"/>
              </w:rPr>
            </w:r>
            <w:r w:rsidRPr="00D429D9">
              <w:rPr>
                <w:rFonts w:cs="Segoe UI"/>
                <w:sz w:val="20"/>
              </w:rPr>
              <w:fldChar w:fldCharType="separate"/>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sz w:val="20"/>
              </w:rPr>
              <w:fldChar w:fldCharType="end"/>
            </w:r>
          </w:p>
        </w:tc>
      </w:tr>
    </w:tbl>
    <w:p w14:paraId="3DC936F4" w14:textId="77777777" w:rsidR="004A0C97" w:rsidRPr="00D429D9" w:rsidRDefault="004A0C97" w:rsidP="006A3D1C"/>
    <w:p w14:paraId="3DC936F5" w14:textId="77777777" w:rsidR="004A0C97" w:rsidRPr="00D429D9" w:rsidRDefault="004A0C97" w:rsidP="006A3D1C">
      <w:pPr>
        <w:ind w:left="567" w:hanging="567"/>
      </w:pPr>
      <w:r w:rsidRPr="00D429D9">
        <w:t>21</w:t>
      </w:r>
      <w:r w:rsidR="006A3D1C">
        <w:tab/>
      </w:r>
      <w:r w:rsidRPr="00D429D9">
        <w:t>I disagree with all the medicines on the list</w:t>
      </w:r>
    </w:p>
    <w:p w14:paraId="3DC936F6" w14:textId="77777777" w:rsidR="004A0C97" w:rsidRPr="00D429D9" w:rsidRDefault="004A0C97" w:rsidP="006A3D1C">
      <w:pPr>
        <w:spacing w:before="120" w:after="120"/>
        <w:ind w:left="567"/>
        <w:rPr>
          <w:rFonts w:cs="Segoe UI"/>
        </w:rPr>
      </w:pPr>
      <w:r w:rsidRPr="00D429D9">
        <w:rPr>
          <w:rFonts w:cs="Segoe UI"/>
        </w:rPr>
        <w:t>Please state your reason(s) why all the medicines should not be on the list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tblGrid>
      <w:tr w:rsidR="006A3D1C" w:rsidRPr="00D429D9" w14:paraId="3DC936F8" w14:textId="77777777" w:rsidTr="007E64AF">
        <w:trPr>
          <w:cantSplit/>
          <w:trHeight w:val="1134"/>
        </w:trPr>
        <w:tc>
          <w:tcPr>
            <w:tcW w:w="7513" w:type="dxa"/>
            <w:tcBorders>
              <w:top w:val="single" w:sz="4" w:space="0" w:color="auto"/>
              <w:left w:val="single" w:sz="4" w:space="0" w:color="auto"/>
              <w:bottom w:val="single" w:sz="4" w:space="0" w:color="auto"/>
              <w:right w:val="single" w:sz="4" w:space="0" w:color="auto"/>
            </w:tcBorders>
            <w:hideMark/>
          </w:tcPr>
          <w:p w14:paraId="3DC936F7" w14:textId="77777777" w:rsidR="006A3D1C" w:rsidRPr="00D429D9" w:rsidRDefault="006A3D1C" w:rsidP="007E64AF">
            <w:pPr>
              <w:spacing w:before="120" w:after="120"/>
              <w:rPr>
                <w:rFonts w:cs="Segoe UI"/>
                <w:sz w:val="20"/>
              </w:rPr>
            </w:pPr>
            <w:r w:rsidRPr="00D429D9">
              <w:rPr>
                <w:rFonts w:cs="Segoe UI"/>
                <w:sz w:val="20"/>
              </w:rPr>
              <w:fldChar w:fldCharType="begin">
                <w:ffData>
                  <w:name w:val="Text17"/>
                  <w:enabled/>
                  <w:calcOnExit w:val="0"/>
                  <w:textInput/>
                </w:ffData>
              </w:fldChar>
            </w:r>
            <w:r w:rsidRPr="00D429D9">
              <w:rPr>
                <w:rFonts w:cs="Segoe UI"/>
                <w:sz w:val="20"/>
              </w:rPr>
              <w:instrText xml:space="preserve"> FORMTEXT </w:instrText>
            </w:r>
            <w:r w:rsidRPr="00D429D9">
              <w:rPr>
                <w:rFonts w:cs="Segoe UI"/>
                <w:sz w:val="20"/>
              </w:rPr>
            </w:r>
            <w:r w:rsidRPr="00D429D9">
              <w:rPr>
                <w:rFonts w:cs="Segoe UI"/>
                <w:sz w:val="20"/>
              </w:rPr>
              <w:fldChar w:fldCharType="separate"/>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sz w:val="20"/>
              </w:rPr>
              <w:fldChar w:fldCharType="end"/>
            </w:r>
          </w:p>
        </w:tc>
      </w:tr>
    </w:tbl>
    <w:p w14:paraId="3DC936F9" w14:textId="77777777" w:rsidR="004A0C97" w:rsidRPr="00D429D9" w:rsidRDefault="004A0C97" w:rsidP="006A3D1C"/>
    <w:p w14:paraId="3DC936FA" w14:textId="77777777" w:rsidR="004A0C97" w:rsidRPr="00D429D9" w:rsidRDefault="004A0C97" w:rsidP="006A3D1C">
      <w:pPr>
        <w:spacing w:after="120"/>
        <w:ind w:left="567" w:hanging="567"/>
      </w:pPr>
      <w:r w:rsidRPr="00D429D9">
        <w:t>22</w:t>
      </w:r>
      <w:r w:rsidR="006A3D1C">
        <w:tab/>
      </w:r>
      <w:r w:rsidRPr="00D429D9">
        <w:t>Is there anything else that you would like to tell us relating to the proposed amendment to the specified prescription medicine list for designated pharmacist prescribers?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3"/>
      </w:tblGrid>
      <w:tr w:rsidR="006A3D1C" w:rsidRPr="00D429D9" w14:paraId="3DC936FC" w14:textId="77777777" w:rsidTr="007E64AF">
        <w:trPr>
          <w:cantSplit/>
          <w:trHeight w:val="1134"/>
        </w:trPr>
        <w:tc>
          <w:tcPr>
            <w:tcW w:w="7513" w:type="dxa"/>
            <w:tcBorders>
              <w:top w:val="single" w:sz="4" w:space="0" w:color="auto"/>
              <w:left w:val="single" w:sz="4" w:space="0" w:color="auto"/>
              <w:bottom w:val="single" w:sz="4" w:space="0" w:color="auto"/>
              <w:right w:val="single" w:sz="4" w:space="0" w:color="auto"/>
            </w:tcBorders>
            <w:hideMark/>
          </w:tcPr>
          <w:bookmarkStart w:id="101" w:name="_bookmark70"/>
          <w:bookmarkEnd w:id="101"/>
          <w:p w14:paraId="3DC936FB" w14:textId="77777777" w:rsidR="006A3D1C" w:rsidRPr="00D429D9" w:rsidRDefault="006A3D1C" w:rsidP="007E64AF">
            <w:pPr>
              <w:spacing w:before="120" w:after="120"/>
              <w:rPr>
                <w:rFonts w:cs="Segoe UI"/>
                <w:sz w:val="20"/>
              </w:rPr>
            </w:pPr>
            <w:r w:rsidRPr="00D429D9">
              <w:rPr>
                <w:rFonts w:cs="Segoe UI"/>
                <w:sz w:val="20"/>
              </w:rPr>
              <w:fldChar w:fldCharType="begin">
                <w:ffData>
                  <w:name w:val="Text17"/>
                  <w:enabled/>
                  <w:calcOnExit w:val="0"/>
                  <w:textInput/>
                </w:ffData>
              </w:fldChar>
            </w:r>
            <w:r w:rsidRPr="00D429D9">
              <w:rPr>
                <w:rFonts w:cs="Segoe UI"/>
                <w:sz w:val="20"/>
              </w:rPr>
              <w:instrText xml:space="preserve"> FORMTEXT </w:instrText>
            </w:r>
            <w:r w:rsidRPr="00D429D9">
              <w:rPr>
                <w:rFonts w:cs="Segoe UI"/>
                <w:sz w:val="20"/>
              </w:rPr>
            </w:r>
            <w:r w:rsidRPr="00D429D9">
              <w:rPr>
                <w:rFonts w:cs="Segoe UI"/>
                <w:sz w:val="20"/>
              </w:rPr>
              <w:fldChar w:fldCharType="separate"/>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noProof/>
                <w:sz w:val="20"/>
              </w:rPr>
              <w:t> </w:t>
            </w:r>
            <w:r w:rsidRPr="00D429D9">
              <w:rPr>
                <w:rFonts w:cs="Segoe UI"/>
                <w:sz w:val="20"/>
              </w:rPr>
              <w:fldChar w:fldCharType="end"/>
            </w:r>
          </w:p>
        </w:tc>
      </w:tr>
    </w:tbl>
    <w:p w14:paraId="3DC936FD" w14:textId="77777777" w:rsidR="004A0C97" w:rsidRPr="00D429D9" w:rsidRDefault="004A0C97" w:rsidP="006A3D1C"/>
    <w:p w14:paraId="3DC936FE" w14:textId="77777777" w:rsidR="004A0C97" w:rsidRPr="00D429D9" w:rsidRDefault="004A0C97" w:rsidP="00612682">
      <w:pPr>
        <w:pStyle w:val="Heading2"/>
        <w:keepNext w:val="0"/>
        <w:pageBreakBefore/>
        <w:numPr>
          <w:ilvl w:val="0"/>
          <w:numId w:val="0"/>
        </w:numPr>
        <w:spacing w:before="0" w:after="480"/>
      </w:pPr>
      <w:bookmarkStart w:id="102" w:name="_Toc80015021"/>
      <w:bookmarkStart w:id="103" w:name="_Toc84936551"/>
      <w:bookmarkStart w:id="104" w:name="_Toc86657232"/>
      <w:r w:rsidRPr="00D429D9">
        <w:lastRenderedPageBreak/>
        <w:t>Appendix 3: Organisations consulted</w:t>
      </w:r>
      <w:bookmarkEnd w:id="102"/>
      <w:bookmarkEnd w:id="103"/>
      <w:bookmarkEnd w:id="104"/>
    </w:p>
    <w:tbl>
      <w:tblPr>
        <w:tblW w:w="0" w:type="auto"/>
        <w:tblInd w:w="57" w:type="dxa"/>
        <w:tblLayout w:type="fixed"/>
        <w:tblCellMar>
          <w:left w:w="57" w:type="dxa"/>
          <w:right w:w="57" w:type="dxa"/>
        </w:tblCellMar>
        <w:tblLook w:val="04A0" w:firstRow="1" w:lastRow="0" w:firstColumn="1" w:lastColumn="0" w:noHBand="0" w:noVBand="1"/>
      </w:tblPr>
      <w:tblGrid>
        <w:gridCol w:w="1825"/>
        <w:gridCol w:w="6255"/>
      </w:tblGrid>
      <w:tr w:rsidR="004A0C97" w:rsidRPr="00D429D9" w14:paraId="3DC93706" w14:textId="77777777" w:rsidTr="007F6F58">
        <w:trPr>
          <w:cantSplit/>
        </w:trPr>
        <w:tc>
          <w:tcPr>
            <w:tcW w:w="1825" w:type="dxa"/>
            <w:tcBorders>
              <w:top w:val="single" w:sz="4" w:space="0" w:color="D9D9D9" w:themeColor="background1" w:themeShade="D9"/>
              <w:bottom w:val="single" w:sz="4" w:space="0" w:color="FFFFFF" w:themeColor="background1"/>
            </w:tcBorders>
            <w:shd w:val="clear" w:color="auto" w:fill="D9D9D9" w:themeFill="background1" w:themeFillShade="D9"/>
          </w:tcPr>
          <w:p w14:paraId="3DC936FF" w14:textId="77777777" w:rsidR="004A0C97" w:rsidRPr="00D429D9" w:rsidRDefault="004A0C97" w:rsidP="00612682">
            <w:pPr>
              <w:pStyle w:val="TableText"/>
            </w:pPr>
            <w:r w:rsidRPr="00D429D9">
              <w:t>Responsible authorities</w:t>
            </w:r>
            <w:r w:rsidRPr="007F6F58">
              <w:rPr>
                <w:rStyle w:val="FootnoteReference"/>
              </w:rPr>
              <w:footnoteReference w:id="17"/>
            </w:r>
            <w:r w:rsidRPr="00D429D9">
              <w:t xml:space="preserve"> with prescribing scopes</w:t>
            </w:r>
          </w:p>
        </w:tc>
        <w:tc>
          <w:tcPr>
            <w:tcW w:w="6255" w:type="dxa"/>
            <w:tcBorders>
              <w:top w:val="single" w:sz="4" w:space="0" w:color="A6A6A6" w:themeColor="background1" w:themeShade="A6"/>
              <w:bottom w:val="single" w:sz="4" w:space="0" w:color="A6A6A6" w:themeColor="background1" w:themeShade="A6"/>
            </w:tcBorders>
          </w:tcPr>
          <w:p w14:paraId="3DC93700" w14:textId="77777777" w:rsidR="004A0C97" w:rsidRPr="00D429D9" w:rsidRDefault="004A0C97" w:rsidP="00612682">
            <w:pPr>
              <w:pStyle w:val="TableText"/>
            </w:pPr>
            <w:r w:rsidRPr="00D429D9">
              <w:t>Dental Council</w:t>
            </w:r>
          </w:p>
          <w:p w14:paraId="3DC93701" w14:textId="77777777" w:rsidR="004A0C97" w:rsidRPr="00D429D9" w:rsidRDefault="004A0C97" w:rsidP="00612682">
            <w:pPr>
              <w:pStyle w:val="TableText"/>
            </w:pPr>
            <w:r w:rsidRPr="00D429D9">
              <w:t>Dietitians Board</w:t>
            </w:r>
          </w:p>
          <w:p w14:paraId="3DC93702" w14:textId="77777777" w:rsidR="004A0C97" w:rsidRPr="00D429D9" w:rsidRDefault="004A0C97" w:rsidP="00612682">
            <w:pPr>
              <w:pStyle w:val="TableText"/>
            </w:pPr>
            <w:r w:rsidRPr="00D429D9">
              <w:t>Medical Council</w:t>
            </w:r>
          </w:p>
          <w:p w14:paraId="3DC93703" w14:textId="77777777" w:rsidR="004A0C97" w:rsidRPr="00D429D9" w:rsidRDefault="004A0C97" w:rsidP="00612682">
            <w:pPr>
              <w:pStyle w:val="TableText"/>
            </w:pPr>
            <w:r w:rsidRPr="00D429D9">
              <w:t>Midwifery Council</w:t>
            </w:r>
          </w:p>
          <w:p w14:paraId="3DC93704" w14:textId="77777777" w:rsidR="004A0C97" w:rsidRPr="00D429D9" w:rsidRDefault="004A0C97" w:rsidP="00612682">
            <w:pPr>
              <w:pStyle w:val="TableText"/>
            </w:pPr>
            <w:r w:rsidRPr="00D429D9">
              <w:t>Nursing Council</w:t>
            </w:r>
          </w:p>
          <w:p w14:paraId="3DC93705" w14:textId="77777777" w:rsidR="004A0C97" w:rsidRPr="00D429D9" w:rsidRDefault="004A0C97" w:rsidP="00612682">
            <w:pPr>
              <w:pStyle w:val="TableText"/>
            </w:pPr>
            <w:r w:rsidRPr="00D429D9">
              <w:t>Optometrists and Dispensing Opticians Board</w:t>
            </w:r>
          </w:p>
        </w:tc>
      </w:tr>
      <w:tr w:rsidR="004A0C97" w:rsidRPr="00D429D9" w14:paraId="3DC93716" w14:textId="77777777" w:rsidTr="007F6F58">
        <w:trPr>
          <w:cantSplit/>
        </w:trPr>
        <w:tc>
          <w:tcPr>
            <w:tcW w:w="1825" w:type="dxa"/>
            <w:tcBorders>
              <w:top w:val="single" w:sz="4" w:space="0" w:color="FFFFFF" w:themeColor="background1"/>
              <w:bottom w:val="single" w:sz="4" w:space="0" w:color="FFFFFF" w:themeColor="background1"/>
            </w:tcBorders>
            <w:shd w:val="clear" w:color="auto" w:fill="D9D9D9" w:themeFill="background1" w:themeFillShade="D9"/>
          </w:tcPr>
          <w:p w14:paraId="3DC93707" w14:textId="77777777" w:rsidR="004A0C97" w:rsidRPr="00D429D9" w:rsidRDefault="004A0C97" w:rsidP="007F6F58">
            <w:pPr>
              <w:pStyle w:val="TableText"/>
            </w:pPr>
            <w:r w:rsidRPr="00D429D9">
              <w:t>Professional bodies of professions with prescribing scopes</w:t>
            </w:r>
          </w:p>
        </w:tc>
        <w:tc>
          <w:tcPr>
            <w:tcW w:w="6255" w:type="dxa"/>
            <w:tcBorders>
              <w:top w:val="single" w:sz="4" w:space="0" w:color="A6A6A6" w:themeColor="background1" w:themeShade="A6"/>
              <w:bottom w:val="single" w:sz="4" w:space="0" w:color="A6A6A6" w:themeColor="background1" w:themeShade="A6"/>
            </w:tcBorders>
          </w:tcPr>
          <w:p w14:paraId="3DC93708" w14:textId="77777777" w:rsidR="004A0C97" w:rsidRPr="00D429D9" w:rsidRDefault="004A0C97" w:rsidP="00612682">
            <w:pPr>
              <w:pStyle w:val="TableText"/>
            </w:pPr>
            <w:r w:rsidRPr="00D429D9">
              <w:t>Australian and New Zealand College of Anaesthetists &amp; Faculty of Pain Medicine</w:t>
            </w:r>
          </w:p>
          <w:p w14:paraId="3DC93709" w14:textId="77777777" w:rsidR="004A0C97" w:rsidRPr="00D429D9" w:rsidRDefault="004A0C97" w:rsidP="00612682">
            <w:pPr>
              <w:pStyle w:val="TableText"/>
            </w:pPr>
            <w:r w:rsidRPr="00D429D9">
              <w:t>College of Nurses Aotearoa</w:t>
            </w:r>
          </w:p>
          <w:p w14:paraId="3DC9370A" w14:textId="77777777" w:rsidR="004A0C97" w:rsidRPr="00D429D9" w:rsidRDefault="004A0C97" w:rsidP="00612682">
            <w:pPr>
              <w:pStyle w:val="TableText"/>
            </w:pPr>
            <w:r w:rsidRPr="00D429D9">
              <w:t>Council of Medical Colleges</w:t>
            </w:r>
          </w:p>
          <w:p w14:paraId="3DC9370B" w14:textId="77777777" w:rsidR="004A0C97" w:rsidRPr="00D429D9" w:rsidRDefault="004A0C97" w:rsidP="00612682">
            <w:pPr>
              <w:pStyle w:val="TableText"/>
            </w:pPr>
            <w:r w:rsidRPr="00D429D9">
              <w:t>Dietitians NZ</w:t>
            </w:r>
          </w:p>
          <w:p w14:paraId="3DC9370C" w14:textId="77777777" w:rsidR="004A0C97" w:rsidRPr="00D429D9" w:rsidRDefault="004A0C97" w:rsidP="00612682">
            <w:pPr>
              <w:pStyle w:val="TableText"/>
            </w:pPr>
            <w:r w:rsidRPr="00D429D9">
              <w:t>New Zealand Association of Optometrists</w:t>
            </w:r>
          </w:p>
          <w:p w14:paraId="3DC9370D" w14:textId="77777777" w:rsidR="004A0C97" w:rsidRPr="00D429D9" w:rsidRDefault="004A0C97" w:rsidP="00612682">
            <w:pPr>
              <w:pStyle w:val="TableText"/>
            </w:pPr>
            <w:r w:rsidRPr="00D429D9">
              <w:t>New Zealand College of Midwives</w:t>
            </w:r>
          </w:p>
          <w:p w14:paraId="3DC9370E" w14:textId="77777777" w:rsidR="004A0C97" w:rsidRPr="00D429D9" w:rsidRDefault="004A0C97" w:rsidP="00612682">
            <w:pPr>
              <w:pStyle w:val="TableText"/>
            </w:pPr>
            <w:r w:rsidRPr="00D429D9">
              <w:t>New Zealand Dental Association</w:t>
            </w:r>
          </w:p>
          <w:p w14:paraId="3DC9370F" w14:textId="77777777" w:rsidR="004A0C97" w:rsidRPr="00D429D9" w:rsidRDefault="004A0C97" w:rsidP="00612682">
            <w:pPr>
              <w:pStyle w:val="TableText"/>
            </w:pPr>
            <w:r w:rsidRPr="00D429D9">
              <w:t>New Zealand Medical Association</w:t>
            </w:r>
          </w:p>
          <w:p w14:paraId="3DC93710" w14:textId="77777777" w:rsidR="004A0C97" w:rsidRPr="00D429D9" w:rsidRDefault="004A0C97" w:rsidP="00612682">
            <w:pPr>
              <w:pStyle w:val="TableText"/>
            </w:pPr>
            <w:r w:rsidRPr="00D429D9">
              <w:t>New Zealand Nurses Organisation</w:t>
            </w:r>
          </w:p>
          <w:p w14:paraId="3DC93711" w14:textId="77777777" w:rsidR="004A0C97" w:rsidRPr="00D429D9" w:rsidRDefault="004A0C97" w:rsidP="00612682">
            <w:pPr>
              <w:pStyle w:val="TableText"/>
            </w:pPr>
            <w:r w:rsidRPr="00D429D9">
              <w:t>Nurse Practitioners New Zealand</w:t>
            </w:r>
          </w:p>
          <w:p w14:paraId="3DC93712" w14:textId="77777777" w:rsidR="004A0C97" w:rsidRPr="00D429D9" w:rsidRDefault="004A0C97" w:rsidP="00612682">
            <w:pPr>
              <w:pStyle w:val="TableText"/>
            </w:pPr>
            <w:r w:rsidRPr="00D429D9">
              <w:t>Royal Australasian College of Physicians</w:t>
            </w:r>
          </w:p>
          <w:p w14:paraId="3DC93713" w14:textId="77777777" w:rsidR="004A0C97" w:rsidRPr="00D429D9" w:rsidRDefault="004A0C97" w:rsidP="00612682">
            <w:pPr>
              <w:pStyle w:val="TableText"/>
            </w:pPr>
            <w:r w:rsidRPr="00D429D9">
              <w:t>Royal Australian and New Zealand College of Obstetricians and Gynaecologists</w:t>
            </w:r>
          </w:p>
          <w:p w14:paraId="3DC93714" w14:textId="77777777" w:rsidR="004A0C97" w:rsidRPr="00D429D9" w:rsidRDefault="004A0C97" w:rsidP="00612682">
            <w:pPr>
              <w:pStyle w:val="TableText"/>
            </w:pPr>
            <w:r w:rsidRPr="00D429D9">
              <w:t>Royal New Zealand College of General Practitioners</w:t>
            </w:r>
          </w:p>
          <w:p w14:paraId="3DC93715" w14:textId="77777777" w:rsidR="004A0C97" w:rsidRPr="00D429D9" w:rsidRDefault="004A0C97" w:rsidP="00612682">
            <w:pPr>
              <w:pStyle w:val="TableText"/>
            </w:pPr>
            <w:r w:rsidRPr="00D429D9">
              <w:t>Te Ora Māori Medical Practitioners</w:t>
            </w:r>
          </w:p>
        </w:tc>
      </w:tr>
      <w:tr w:rsidR="004A0C97" w:rsidRPr="00D429D9" w14:paraId="3DC93724" w14:textId="77777777" w:rsidTr="007F6F58">
        <w:trPr>
          <w:cantSplit/>
        </w:trPr>
        <w:tc>
          <w:tcPr>
            <w:tcW w:w="1825" w:type="dxa"/>
            <w:tcBorders>
              <w:top w:val="single" w:sz="4" w:space="0" w:color="FFFFFF" w:themeColor="background1"/>
              <w:bottom w:val="single" w:sz="4" w:space="0" w:color="FFFFFF" w:themeColor="background1"/>
            </w:tcBorders>
            <w:shd w:val="clear" w:color="auto" w:fill="D9D9D9" w:themeFill="background1" w:themeFillShade="D9"/>
          </w:tcPr>
          <w:p w14:paraId="3DC93717" w14:textId="77777777" w:rsidR="004A0C97" w:rsidRPr="00D429D9" w:rsidRDefault="004A0C97" w:rsidP="007F6F58">
            <w:pPr>
              <w:pStyle w:val="TableText"/>
            </w:pPr>
            <w:r w:rsidRPr="00D429D9">
              <w:t>Pharmacy professional bodies</w:t>
            </w:r>
          </w:p>
        </w:tc>
        <w:tc>
          <w:tcPr>
            <w:tcW w:w="6255" w:type="dxa"/>
            <w:tcBorders>
              <w:top w:val="single" w:sz="4" w:space="0" w:color="A6A6A6" w:themeColor="background1" w:themeShade="A6"/>
              <w:bottom w:val="single" w:sz="4" w:space="0" w:color="A6A6A6" w:themeColor="background1" w:themeShade="A6"/>
            </w:tcBorders>
          </w:tcPr>
          <w:p w14:paraId="3DC93718" w14:textId="77777777" w:rsidR="004A0C97" w:rsidRPr="00D429D9" w:rsidRDefault="004A0C97" w:rsidP="00612682">
            <w:pPr>
              <w:pStyle w:val="TableText"/>
            </w:pPr>
            <w:r w:rsidRPr="00D429D9">
              <w:t>Canterbury Community Pharmacy Group</w:t>
            </w:r>
          </w:p>
          <w:p w14:paraId="3DC93719" w14:textId="77777777" w:rsidR="004A0C97" w:rsidRPr="00D429D9" w:rsidRDefault="004A0C97" w:rsidP="00612682">
            <w:pPr>
              <w:pStyle w:val="TableText"/>
            </w:pPr>
            <w:r w:rsidRPr="00D429D9">
              <w:t>Clinical Advisory Pharmacists Association</w:t>
            </w:r>
          </w:p>
          <w:p w14:paraId="3DC9371A" w14:textId="77777777" w:rsidR="004A0C97" w:rsidRPr="00D429D9" w:rsidRDefault="004A0C97" w:rsidP="00612682">
            <w:pPr>
              <w:pStyle w:val="TableText"/>
            </w:pPr>
            <w:r w:rsidRPr="00D429D9">
              <w:t>Independent Pharmacists</w:t>
            </w:r>
            <w:r w:rsidR="00F062F2">
              <w:t>’</w:t>
            </w:r>
            <w:r w:rsidRPr="00D429D9">
              <w:t xml:space="preserve"> Association of New Zealand</w:t>
            </w:r>
          </w:p>
          <w:p w14:paraId="3DC9371B" w14:textId="77777777" w:rsidR="004A0C97" w:rsidRPr="00D429D9" w:rsidRDefault="004A0C97" w:rsidP="00612682">
            <w:pPr>
              <w:pStyle w:val="TableText"/>
            </w:pPr>
            <w:r w:rsidRPr="00D429D9">
              <w:t>Māori Pharmacists</w:t>
            </w:r>
            <w:r w:rsidR="00F062F2">
              <w:t>’</w:t>
            </w:r>
            <w:r w:rsidRPr="00D429D9">
              <w:t xml:space="preserve"> Association</w:t>
            </w:r>
          </w:p>
          <w:p w14:paraId="3DC9371C" w14:textId="77777777" w:rsidR="004A0C97" w:rsidRPr="00D429D9" w:rsidRDefault="004A0C97" w:rsidP="00612682">
            <w:pPr>
              <w:pStyle w:val="TableText"/>
            </w:pPr>
            <w:r w:rsidRPr="00D429D9">
              <w:t>MidCentral Community Pharmacy Group</w:t>
            </w:r>
          </w:p>
          <w:p w14:paraId="3DC9371D" w14:textId="77777777" w:rsidR="004A0C97" w:rsidRPr="00D429D9" w:rsidRDefault="004A0C97" w:rsidP="00612682">
            <w:pPr>
              <w:pStyle w:val="TableText"/>
            </w:pPr>
            <w:r w:rsidRPr="00D429D9">
              <w:t>Midlands Community Pharmacy Group</w:t>
            </w:r>
          </w:p>
          <w:p w14:paraId="3DC9371E" w14:textId="77777777" w:rsidR="004A0C97" w:rsidRPr="00D429D9" w:rsidRDefault="004A0C97" w:rsidP="00612682">
            <w:pPr>
              <w:pStyle w:val="TableText"/>
            </w:pPr>
            <w:r w:rsidRPr="00D429D9">
              <w:t>New Zealand Hospital Pharmacists</w:t>
            </w:r>
            <w:r w:rsidR="00F062F2">
              <w:t>’</w:t>
            </w:r>
            <w:r w:rsidRPr="00D429D9">
              <w:t xml:space="preserve"> Association</w:t>
            </w:r>
          </w:p>
          <w:p w14:paraId="3DC9371F" w14:textId="77777777" w:rsidR="004A0C97" w:rsidRPr="00D429D9" w:rsidRDefault="004A0C97" w:rsidP="00612682">
            <w:pPr>
              <w:pStyle w:val="TableText"/>
            </w:pPr>
            <w:r w:rsidRPr="00D429D9">
              <w:t>Nirvana Pharmacy Group</w:t>
            </w:r>
          </w:p>
          <w:p w14:paraId="3DC93720" w14:textId="77777777" w:rsidR="004A0C97" w:rsidRPr="00D429D9" w:rsidRDefault="004A0C97" w:rsidP="00612682">
            <w:pPr>
              <w:pStyle w:val="TableText"/>
            </w:pPr>
            <w:r w:rsidRPr="00D429D9">
              <w:t>Pacific Pharmacists</w:t>
            </w:r>
            <w:r w:rsidR="00F062F2">
              <w:t>’</w:t>
            </w:r>
            <w:r w:rsidRPr="00D429D9">
              <w:t xml:space="preserve"> Association</w:t>
            </w:r>
          </w:p>
          <w:p w14:paraId="3DC93721" w14:textId="77777777" w:rsidR="004A0C97" w:rsidRPr="00D429D9" w:rsidRDefault="004A0C97" w:rsidP="00612682">
            <w:pPr>
              <w:pStyle w:val="TableText"/>
            </w:pPr>
            <w:r w:rsidRPr="00D429D9">
              <w:t>Pharmaceutical Society of New Zealand</w:t>
            </w:r>
          </w:p>
          <w:p w14:paraId="3DC93722" w14:textId="77777777" w:rsidR="004A0C97" w:rsidRPr="00D429D9" w:rsidRDefault="004A0C97" w:rsidP="00612682">
            <w:pPr>
              <w:pStyle w:val="TableText"/>
            </w:pPr>
            <w:r w:rsidRPr="00D429D9">
              <w:t>Pharmacy Defence Association</w:t>
            </w:r>
          </w:p>
          <w:p w14:paraId="3DC93723" w14:textId="77777777" w:rsidR="004A0C97" w:rsidRPr="00D429D9" w:rsidRDefault="004A0C97" w:rsidP="00612682">
            <w:pPr>
              <w:pStyle w:val="TableText"/>
            </w:pPr>
            <w:r w:rsidRPr="00D429D9">
              <w:t>Pharmacy Guild of New Zealand</w:t>
            </w:r>
          </w:p>
        </w:tc>
      </w:tr>
      <w:tr w:rsidR="004A0C97" w:rsidRPr="00D429D9" w14:paraId="3DC9372E" w14:textId="77777777" w:rsidTr="007F6F58">
        <w:trPr>
          <w:cantSplit/>
        </w:trPr>
        <w:tc>
          <w:tcPr>
            <w:tcW w:w="1825" w:type="dxa"/>
            <w:tcBorders>
              <w:top w:val="single" w:sz="4" w:space="0" w:color="FFFFFF" w:themeColor="background1"/>
              <w:bottom w:val="single" w:sz="4" w:space="0" w:color="FFFFFF" w:themeColor="background1"/>
            </w:tcBorders>
            <w:shd w:val="clear" w:color="auto" w:fill="D9D9D9" w:themeFill="background1" w:themeFillShade="D9"/>
          </w:tcPr>
          <w:p w14:paraId="3DC93725" w14:textId="77777777" w:rsidR="004A0C97" w:rsidRPr="00D429D9" w:rsidRDefault="004A0C97" w:rsidP="007F6F58">
            <w:pPr>
              <w:pStyle w:val="TableText"/>
            </w:pPr>
            <w:r w:rsidRPr="00D429D9">
              <w:lastRenderedPageBreak/>
              <w:t>Educational institutions</w:t>
            </w:r>
          </w:p>
        </w:tc>
        <w:tc>
          <w:tcPr>
            <w:tcW w:w="6255" w:type="dxa"/>
            <w:tcBorders>
              <w:top w:val="single" w:sz="4" w:space="0" w:color="A6A6A6" w:themeColor="background1" w:themeShade="A6"/>
              <w:bottom w:val="single" w:sz="4" w:space="0" w:color="A6A6A6" w:themeColor="background1" w:themeShade="A6"/>
            </w:tcBorders>
          </w:tcPr>
          <w:p w14:paraId="3DC93726" w14:textId="77777777" w:rsidR="004A0C97" w:rsidRPr="00D429D9" w:rsidRDefault="004A0C97" w:rsidP="00612682">
            <w:pPr>
              <w:pStyle w:val="TableText"/>
            </w:pPr>
            <w:r w:rsidRPr="00D429D9">
              <w:t>Nursing and Health Science | Eastern Institute of Technology</w:t>
            </w:r>
          </w:p>
          <w:p w14:paraId="3DC93727" w14:textId="77777777" w:rsidR="004A0C97" w:rsidRPr="00D429D9" w:rsidRDefault="004A0C97" w:rsidP="00612682">
            <w:pPr>
              <w:pStyle w:val="TableText"/>
            </w:pPr>
            <w:r w:rsidRPr="00D429D9">
              <w:t>Nursing, Midwifery and Medical Imaging, Ara Institute of Canterbury Ltd</w:t>
            </w:r>
          </w:p>
          <w:p w14:paraId="3DC93728" w14:textId="77777777" w:rsidR="004A0C97" w:rsidRPr="00D429D9" w:rsidRDefault="004A0C97" w:rsidP="00612682">
            <w:pPr>
              <w:pStyle w:val="TableText"/>
            </w:pPr>
            <w:r w:rsidRPr="00D429D9">
              <w:t>Otago Medical School, University of Otago</w:t>
            </w:r>
          </w:p>
          <w:p w14:paraId="3DC93729" w14:textId="77777777" w:rsidR="004A0C97" w:rsidRPr="00D429D9" w:rsidRDefault="004A0C97" w:rsidP="00612682">
            <w:pPr>
              <w:pStyle w:val="TableText"/>
            </w:pPr>
            <w:r w:rsidRPr="00D429D9">
              <w:t>School of Clinical Sciences, Auckland University of Technology</w:t>
            </w:r>
          </w:p>
          <w:p w14:paraId="3DC9372A" w14:textId="77777777" w:rsidR="004A0C97" w:rsidRPr="00D429D9" w:rsidRDefault="004A0C97" w:rsidP="00612682">
            <w:pPr>
              <w:pStyle w:val="TableText"/>
            </w:pPr>
            <w:r w:rsidRPr="00D429D9">
              <w:t>School of Medicine, The University of Auckland</w:t>
            </w:r>
          </w:p>
          <w:p w14:paraId="3DC9372B" w14:textId="77777777" w:rsidR="004A0C97" w:rsidRPr="00D429D9" w:rsidRDefault="004A0C97" w:rsidP="00612682">
            <w:pPr>
              <w:pStyle w:val="TableText"/>
            </w:pPr>
            <w:r w:rsidRPr="00D429D9">
              <w:t>School of Nursing, Massey University</w:t>
            </w:r>
          </w:p>
          <w:p w14:paraId="3DC9372C" w14:textId="77777777" w:rsidR="004A0C97" w:rsidRPr="00D429D9" w:rsidRDefault="004A0C97" w:rsidP="00612682">
            <w:pPr>
              <w:pStyle w:val="TableText"/>
            </w:pPr>
            <w:r w:rsidRPr="00D429D9">
              <w:t>School of Pharmacy, The University of Auckland</w:t>
            </w:r>
          </w:p>
          <w:p w14:paraId="3DC9372D" w14:textId="77777777" w:rsidR="004A0C97" w:rsidRPr="00D429D9" w:rsidRDefault="004A0C97" w:rsidP="00612682">
            <w:pPr>
              <w:pStyle w:val="TableText"/>
            </w:pPr>
            <w:r w:rsidRPr="00D429D9">
              <w:t>School of Pharmacy, University of Otago</w:t>
            </w:r>
          </w:p>
        </w:tc>
      </w:tr>
      <w:tr w:rsidR="004A0C97" w:rsidRPr="00D429D9" w14:paraId="3DC93737" w14:textId="77777777" w:rsidTr="007F6F58">
        <w:trPr>
          <w:cantSplit/>
        </w:trPr>
        <w:tc>
          <w:tcPr>
            <w:tcW w:w="1825" w:type="dxa"/>
            <w:tcBorders>
              <w:top w:val="single" w:sz="4" w:space="0" w:color="FFFFFF" w:themeColor="background1"/>
              <w:bottom w:val="single" w:sz="4" w:space="0" w:color="FFFFFF" w:themeColor="background1"/>
            </w:tcBorders>
            <w:shd w:val="clear" w:color="auto" w:fill="D9D9D9" w:themeFill="background1" w:themeFillShade="D9"/>
          </w:tcPr>
          <w:p w14:paraId="3DC9372F" w14:textId="77777777" w:rsidR="004A0C97" w:rsidRPr="00D429D9" w:rsidRDefault="004A0C97" w:rsidP="007F6F58">
            <w:pPr>
              <w:pStyle w:val="TableText"/>
            </w:pPr>
            <w:r w:rsidRPr="00D429D9">
              <w:t>Commissioners</w:t>
            </w:r>
          </w:p>
        </w:tc>
        <w:tc>
          <w:tcPr>
            <w:tcW w:w="6255" w:type="dxa"/>
            <w:tcBorders>
              <w:top w:val="single" w:sz="4" w:space="0" w:color="A6A6A6" w:themeColor="background1" w:themeShade="A6"/>
              <w:bottom w:val="single" w:sz="4" w:space="0" w:color="A6A6A6" w:themeColor="background1" w:themeShade="A6"/>
            </w:tcBorders>
          </w:tcPr>
          <w:p w14:paraId="3DC93730" w14:textId="77777777" w:rsidR="00F062F2" w:rsidRDefault="004A0C97" w:rsidP="00612682">
            <w:pPr>
              <w:pStyle w:val="TableText"/>
            </w:pPr>
            <w:r w:rsidRPr="00D429D9">
              <w:t>District health boards</w:t>
            </w:r>
          </w:p>
          <w:p w14:paraId="3DC93731" w14:textId="77777777" w:rsidR="004A0C97" w:rsidRPr="00D429D9" w:rsidRDefault="004A0C97" w:rsidP="00612682">
            <w:pPr>
              <w:pStyle w:val="TableText"/>
            </w:pPr>
            <w:r w:rsidRPr="00D429D9">
              <w:t>DHB Chief Medical Officers</w:t>
            </w:r>
          </w:p>
          <w:p w14:paraId="3DC93732" w14:textId="77777777" w:rsidR="004A0C97" w:rsidRPr="00D429D9" w:rsidRDefault="004A0C97" w:rsidP="00612682">
            <w:pPr>
              <w:pStyle w:val="TableText"/>
            </w:pPr>
            <w:r w:rsidRPr="00D429D9">
              <w:t>DHB Directors of Allied Health</w:t>
            </w:r>
          </w:p>
          <w:p w14:paraId="3DC93733" w14:textId="77777777" w:rsidR="00F062F2" w:rsidRDefault="004A0C97" w:rsidP="00612682">
            <w:pPr>
              <w:pStyle w:val="TableText"/>
            </w:pPr>
            <w:r w:rsidRPr="00D429D9">
              <w:t>DHB Directors of Nursing</w:t>
            </w:r>
          </w:p>
          <w:p w14:paraId="3DC93734" w14:textId="77777777" w:rsidR="004A0C97" w:rsidRPr="00D429D9" w:rsidRDefault="004A0C97" w:rsidP="00612682">
            <w:pPr>
              <w:pStyle w:val="TableText"/>
            </w:pPr>
            <w:r w:rsidRPr="00D429D9">
              <w:t>DHB Hospital Pharmacy Managers</w:t>
            </w:r>
          </w:p>
          <w:p w14:paraId="3DC93735" w14:textId="77777777" w:rsidR="004A0C97" w:rsidRPr="00D429D9" w:rsidRDefault="004A0C97" w:rsidP="00612682">
            <w:pPr>
              <w:pStyle w:val="TableText"/>
            </w:pPr>
            <w:r w:rsidRPr="00D429D9">
              <w:t>DHB Pharmacy Portfolio Managers</w:t>
            </w:r>
          </w:p>
          <w:p w14:paraId="3DC93736" w14:textId="77777777" w:rsidR="004A0C97" w:rsidRPr="00D429D9" w:rsidRDefault="004A0C97" w:rsidP="00612682">
            <w:pPr>
              <w:pStyle w:val="TableText"/>
            </w:pPr>
            <w:r w:rsidRPr="00D429D9">
              <w:t xml:space="preserve">Primary health organisations </w:t>
            </w:r>
          </w:p>
        </w:tc>
      </w:tr>
      <w:tr w:rsidR="004A0C97" w:rsidRPr="00D429D9" w14:paraId="3DC93744" w14:textId="77777777" w:rsidTr="007F6F58">
        <w:trPr>
          <w:cantSplit/>
        </w:trPr>
        <w:tc>
          <w:tcPr>
            <w:tcW w:w="1825" w:type="dxa"/>
            <w:tcBorders>
              <w:top w:val="single" w:sz="4" w:space="0" w:color="FFFFFF" w:themeColor="background1"/>
              <w:bottom w:val="single" w:sz="4" w:space="0" w:color="D9D9D9" w:themeColor="background1" w:themeShade="D9"/>
            </w:tcBorders>
            <w:shd w:val="clear" w:color="auto" w:fill="D9D9D9" w:themeFill="background1" w:themeFillShade="D9"/>
          </w:tcPr>
          <w:p w14:paraId="3DC93738" w14:textId="77777777" w:rsidR="004A0C97" w:rsidRPr="00D429D9" w:rsidRDefault="004A0C97" w:rsidP="007F6F58">
            <w:pPr>
              <w:pStyle w:val="TableText"/>
            </w:pPr>
            <w:r w:rsidRPr="00D429D9">
              <w:t>Other</w:t>
            </w:r>
          </w:p>
        </w:tc>
        <w:tc>
          <w:tcPr>
            <w:tcW w:w="6255" w:type="dxa"/>
            <w:tcBorders>
              <w:top w:val="single" w:sz="4" w:space="0" w:color="A6A6A6" w:themeColor="background1" w:themeShade="A6"/>
              <w:bottom w:val="single" w:sz="4" w:space="0" w:color="A6A6A6" w:themeColor="background1" w:themeShade="A6"/>
            </w:tcBorders>
          </w:tcPr>
          <w:p w14:paraId="3DC93739" w14:textId="77777777" w:rsidR="004A0C97" w:rsidRPr="00D429D9" w:rsidRDefault="004A0C97" w:rsidP="00612682">
            <w:pPr>
              <w:pStyle w:val="TableText"/>
            </w:pPr>
            <w:r w:rsidRPr="00D429D9">
              <w:t>Allied Health Aotearoa New Zealand</w:t>
            </w:r>
          </w:p>
          <w:p w14:paraId="3DC9373A" w14:textId="77777777" w:rsidR="004A0C97" w:rsidRPr="00D429D9" w:rsidRDefault="004A0C97" w:rsidP="00612682">
            <w:pPr>
              <w:pStyle w:val="TableText"/>
            </w:pPr>
            <w:r w:rsidRPr="00D429D9">
              <w:t>Family Planning New Zealand</w:t>
            </w:r>
          </w:p>
          <w:p w14:paraId="3DC9373B" w14:textId="77777777" w:rsidR="004A0C97" w:rsidRPr="00D429D9" w:rsidRDefault="004A0C97" w:rsidP="00612682">
            <w:pPr>
              <w:pStyle w:val="TableText"/>
            </w:pPr>
            <w:r w:rsidRPr="00D429D9">
              <w:t>Health and Disability Commissioner</w:t>
            </w:r>
          </w:p>
          <w:p w14:paraId="3DC9373C" w14:textId="77777777" w:rsidR="004A0C97" w:rsidRPr="00D429D9" w:rsidRDefault="004A0C97" w:rsidP="00612682">
            <w:pPr>
              <w:pStyle w:val="TableText"/>
            </w:pPr>
            <w:r w:rsidRPr="00D429D9">
              <w:t>Health Quality &amp; Safety Commission</w:t>
            </w:r>
          </w:p>
          <w:p w14:paraId="3DC9373D" w14:textId="77777777" w:rsidR="004A0C97" w:rsidRPr="00D429D9" w:rsidRDefault="004A0C97" w:rsidP="00612682">
            <w:pPr>
              <w:pStyle w:val="TableText"/>
            </w:pPr>
            <w:r w:rsidRPr="00D429D9">
              <w:t>Medsafe</w:t>
            </w:r>
          </w:p>
          <w:p w14:paraId="3DC9373E" w14:textId="77777777" w:rsidR="004A0C97" w:rsidRPr="00D429D9" w:rsidRDefault="004A0C97" w:rsidP="00612682">
            <w:pPr>
              <w:pStyle w:val="TableText"/>
            </w:pPr>
            <w:r w:rsidRPr="00D429D9">
              <w:t>National Directors of Allied Health, Scientific &amp; Technical</w:t>
            </w:r>
          </w:p>
          <w:p w14:paraId="3DC9373F" w14:textId="77777777" w:rsidR="004A0C97" w:rsidRPr="00D429D9" w:rsidRDefault="004A0C97" w:rsidP="00612682">
            <w:pPr>
              <w:pStyle w:val="TableText"/>
            </w:pPr>
            <w:r w:rsidRPr="00D429D9">
              <w:t>Ngā Pou Mana – Tangata Whenua Allied Health</w:t>
            </w:r>
          </w:p>
          <w:p w14:paraId="3DC93740" w14:textId="77777777" w:rsidR="004A0C97" w:rsidRPr="00D429D9" w:rsidRDefault="004A0C97" w:rsidP="00612682">
            <w:pPr>
              <w:pStyle w:val="TableText"/>
            </w:pPr>
            <w:r w:rsidRPr="00D429D9">
              <w:t>Pasifika Allied Health Aotearoa New Zealand (PAHANZ)</w:t>
            </w:r>
          </w:p>
          <w:p w14:paraId="3DC93741" w14:textId="77777777" w:rsidR="004A0C97" w:rsidRPr="00D429D9" w:rsidRDefault="004A0C97" w:rsidP="00612682">
            <w:pPr>
              <w:pStyle w:val="TableText"/>
            </w:pPr>
            <w:r w:rsidRPr="00D429D9">
              <w:t>PHARMAC</w:t>
            </w:r>
          </w:p>
          <w:p w14:paraId="3DC93742" w14:textId="77777777" w:rsidR="00F062F2" w:rsidRDefault="004A0C97" w:rsidP="00612682">
            <w:pPr>
              <w:pStyle w:val="TableText"/>
            </w:pPr>
            <w:r w:rsidRPr="00D429D9">
              <w:t>Totem Group of Pharmacies</w:t>
            </w:r>
          </w:p>
          <w:p w14:paraId="3DC93743" w14:textId="77777777" w:rsidR="004A0C97" w:rsidRPr="00D429D9" w:rsidRDefault="004A0C97" w:rsidP="00612682">
            <w:pPr>
              <w:pStyle w:val="TableText"/>
            </w:pPr>
            <w:r w:rsidRPr="00D429D9">
              <w:t>Westbury Pharmacy and Mahara Health GP Practice</w:t>
            </w:r>
          </w:p>
        </w:tc>
      </w:tr>
    </w:tbl>
    <w:p w14:paraId="3DC93745" w14:textId="77777777" w:rsidR="0082081A" w:rsidRDefault="0082081A" w:rsidP="007F6F58"/>
    <w:sectPr w:rsidR="0082081A" w:rsidSect="002B7BEC">
      <w:footerReference w:type="even" r:id="rId30"/>
      <w:footerReference w:type="default" r:id="rId31"/>
      <w:pgSz w:w="11907" w:h="16834" w:code="9"/>
      <w:pgMar w:top="1418" w:right="1701" w:bottom="1134" w:left="1843" w:header="284" w:footer="425" w:gutter="284"/>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4CF8D" w14:textId="77777777" w:rsidR="00515BF3" w:rsidRDefault="00515BF3">
      <w:r>
        <w:separator/>
      </w:r>
    </w:p>
    <w:p w14:paraId="6ADB07D9" w14:textId="77777777" w:rsidR="00515BF3" w:rsidRDefault="00515BF3"/>
  </w:endnote>
  <w:endnote w:type="continuationSeparator" w:id="0">
    <w:p w14:paraId="0A96A197" w14:textId="77777777" w:rsidR="00515BF3" w:rsidRDefault="00515BF3">
      <w:r>
        <w:continuationSeparator/>
      </w:r>
    </w:p>
    <w:p w14:paraId="4FC1C1BF" w14:textId="77777777" w:rsidR="00515BF3" w:rsidRDefault="00515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9375F" w14:textId="77777777" w:rsidR="00421B9D" w:rsidRPr="00581136" w:rsidRDefault="00421B9D" w:rsidP="005A79E5">
    <w:pPr>
      <w:pStyle w:val="Footer"/>
      <w:pBdr>
        <w:bottom w:val="single" w:sz="4" w:space="1" w:color="auto"/>
      </w:pBdr>
      <w:tabs>
        <w:tab w:val="right" w:pos="9639"/>
      </w:tabs>
      <w:rPr>
        <w:b/>
      </w:rPr>
    </w:pPr>
    <w:r w:rsidRPr="00581136">
      <w:rPr>
        <w:b/>
      </w:rPr>
      <w:t>Released 20</w:t>
    </w:r>
    <w:r>
      <w:rPr>
        <w:b/>
      </w:rPr>
      <w:t>21</w:t>
    </w:r>
    <w:r w:rsidRPr="00581136">
      <w:rPr>
        <w:b/>
      </w:rPr>
      <w:tab/>
      <w:t>health.govt.nz</w:t>
    </w:r>
  </w:p>
  <w:p w14:paraId="3DC93760" w14:textId="77777777" w:rsidR="00421B9D" w:rsidRPr="005A79E5" w:rsidRDefault="00421B9D">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93761" w14:textId="77777777" w:rsidR="00421B9D" w:rsidRDefault="00421B9D"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93762" w14:textId="77777777" w:rsidR="00421B9D" w:rsidRDefault="00421B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421B9D" w14:paraId="3DC93767" w14:textId="77777777" w:rsidTr="00D662F8">
      <w:trPr>
        <w:cantSplit/>
      </w:trPr>
      <w:tc>
        <w:tcPr>
          <w:tcW w:w="709" w:type="dxa"/>
          <w:vAlign w:val="center"/>
        </w:tcPr>
        <w:p w14:paraId="3DC93765" w14:textId="77777777" w:rsidR="00421B9D" w:rsidRPr="00931466" w:rsidRDefault="00421B9D"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703CD">
            <w:rPr>
              <w:rStyle w:val="PageNumber"/>
              <w:noProof/>
            </w:rPr>
            <w:t>iv</w:t>
          </w:r>
          <w:r w:rsidRPr="00931466">
            <w:rPr>
              <w:rStyle w:val="PageNumber"/>
            </w:rPr>
            <w:fldChar w:fldCharType="end"/>
          </w:r>
        </w:p>
      </w:tc>
      <w:tc>
        <w:tcPr>
          <w:tcW w:w="8080" w:type="dxa"/>
          <w:vAlign w:val="center"/>
        </w:tcPr>
        <w:p w14:paraId="3DC93766" w14:textId="77777777" w:rsidR="00421B9D" w:rsidRDefault="00E44A90" w:rsidP="00E44A90">
          <w:pPr>
            <w:pStyle w:val="RectoFooter"/>
            <w:jc w:val="left"/>
          </w:pPr>
          <w:r>
            <w:t>Consultation on amendments to the schedules of specified prescription medicines</w:t>
          </w:r>
          <w:r>
            <w:br/>
            <w:t>for designated pharmacist prescribers: analysis of submissions</w:t>
          </w:r>
        </w:p>
      </w:tc>
    </w:tr>
  </w:tbl>
  <w:p w14:paraId="3DC93768" w14:textId="77777777" w:rsidR="00421B9D" w:rsidRPr="00571223" w:rsidRDefault="00421B9D"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421B9D" w14:paraId="3DC9376B" w14:textId="77777777" w:rsidTr="006E2886">
      <w:trPr>
        <w:cantSplit/>
      </w:trPr>
      <w:tc>
        <w:tcPr>
          <w:tcW w:w="8080" w:type="dxa"/>
          <w:vAlign w:val="center"/>
        </w:tcPr>
        <w:p w14:paraId="3DC93769" w14:textId="77777777" w:rsidR="00421B9D" w:rsidRDefault="00421B9D" w:rsidP="004A0C97">
          <w:pPr>
            <w:pStyle w:val="RectoFooter"/>
          </w:pPr>
          <w:r>
            <w:t>Consultation on amendments to the schedules of specified prescription medicines</w:t>
          </w:r>
          <w:r>
            <w:br/>
            <w:t>for designated pharmacist prescribers: analysis of submissions</w:t>
          </w:r>
        </w:p>
      </w:tc>
      <w:tc>
        <w:tcPr>
          <w:tcW w:w="709" w:type="dxa"/>
          <w:vAlign w:val="center"/>
        </w:tcPr>
        <w:p w14:paraId="3DC9376A" w14:textId="77777777" w:rsidR="00421B9D" w:rsidRPr="00931466" w:rsidRDefault="00421B9D"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703CD">
            <w:rPr>
              <w:rStyle w:val="PageNumber"/>
              <w:noProof/>
            </w:rPr>
            <w:t>iii</w:t>
          </w:r>
          <w:r w:rsidRPr="00931466">
            <w:rPr>
              <w:rStyle w:val="PageNumber"/>
            </w:rPr>
            <w:fldChar w:fldCharType="end"/>
          </w:r>
        </w:p>
      </w:tc>
    </w:tr>
  </w:tbl>
  <w:p w14:paraId="3DC9376C" w14:textId="77777777" w:rsidR="00421B9D" w:rsidRPr="00581EB8" w:rsidRDefault="00421B9D"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421B9D" w14:paraId="3DC9376F" w14:textId="77777777" w:rsidTr="006E2886">
      <w:trPr>
        <w:cantSplit/>
      </w:trPr>
      <w:tc>
        <w:tcPr>
          <w:tcW w:w="675" w:type="dxa"/>
          <w:vAlign w:val="center"/>
        </w:tcPr>
        <w:p w14:paraId="3DC9376D" w14:textId="77777777" w:rsidR="00421B9D" w:rsidRPr="00931466" w:rsidRDefault="00421B9D" w:rsidP="006E2886">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6A54B6">
            <w:rPr>
              <w:rStyle w:val="PageNumber"/>
              <w:noProof/>
            </w:rPr>
            <w:t>16</w:t>
          </w:r>
          <w:r w:rsidRPr="00931466">
            <w:rPr>
              <w:rStyle w:val="PageNumber"/>
            </w:rPr>
            <w:fldChar w:fldCharType="end"/>
          </w:r>
        </w:p>
      </w:tc>
      <w:tc>
        <w:tcPr>
          <w:tcW w:w="9072" w:type="dxa"/>
          <w:vAlign w:val="center"/>
        </w:tcPr>
        <w:p w14:paraId="3DC9376E" w14:textId="77777777" w:rsidR="00421B9D" w:rsidRDefault="00421B9D" w:rsidP="004A0C97">
          <w:pPr>
            <w:pStyle w:val="RectoFooter"/>
            <w:ind w:left="-108"/>
            <w:jc w:val="left"/>
          </w:pPr>
          <w:r>
            <w:t>Consultation on amendments to the schedules of specified prescription medicines</w:t>
          </w:r>
          <w:r>
            <w:br/>
            <w:t>for designated pharmacist prescribers: analysis of submissions</w:t>
          </w:r>
        </w:p>
      </w:tc>
    </w:tr>
  </w:tbl>
  <w:p w14:paraId="3DC93770" w14:textId="77777777" w:rsidR="00421B9D" w:rsidRPr="00571223" w:rsidRDefault="00421B9D"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421B9D" w14:paraId="3DC93773" w14:textId="77777777" w:rsidTr="006E2886">
      <w:trPr>
        <w:cantSplit/>
      </w:trPr>
      <w:tc>
        <w:tcPr>
          <w:tcW w:w="8080" w:type="dxa"/>
          <w:vAlign w:val="center"/>
        </w:tcPr>
        <w:p w14:paraId="3DC93771" w14:textId="77777777" w:rsidR="00421B9D" w:rsidRDefault="00421B9D" w:rsidP="004A0C97">
          <w:pPr>
            <w:pStyle w:val="RectoFooter"/>
          </w:pPr>
          <w:r>
            <w:t>Consultation on amendments to the schedules of specified prescription medicines</w:t>
          </w:r>
          <w:r>
            <w:br/>
            <w:t>for designated pharmacist prescribers: analysis of submissions</w:t>
          </w:r>
        </w:p>
      </w:tc>
      <w:tc>
        <w:tcPr>
          <w:tcW w:w="709" w:type="dxa"/>
          <w:vAlign w:val="center"/>
        </w:tcPr>
        <w:p w14:paraId="3DC93772" w14:textId="77777777" w:rsidR="00421B9D" w:rsidRPr="00931466" w:rsidRDefault="00421B9D" w:rsidP="006E288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6A54B6">
            <w:rPr>
              <w:rStyle w:val="PageNumber"/>
              <w:noProof/>
            </w:rPr>
            <w:t>23</w:t>
          </w:r>
          <w:r w:rsidRPr="00931466">
            <w:rPr>
              <w:rStyle w:val="PageNumber"/>
            </w:rPr>
            <w:fldChar w:fldCharType="end"/>
          </w:r>
        </w:p>
      </w:tc>
    </w:tr>
  </w:tbl>
  <w:p w14:paraId="3DC93774" w14:textId="77777777" w:rsidR="00421B9D" w:rsidRPr="00581EB8" w:rsidRDefault="00421B9D"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FBAFF" w14:textId="77777777" w:rsidR="00515BF3" w:rsidRPr="00A26E6B" w:rsidRDefault="00515BF3" w:rsidP="00A26E6B"/>
  </w:footnote>
  <w:footnote w:type="continuationSeparator" w:id="0">
    <w:p w14:paraId="01F28408" w14:textId="77777777" w:rsidR="00515BF3" w:rsidRDefault="00515BF3">
      <w:r>
        <w:continuationSeparator/>
      </w:r>
    </w:p>
    <w:p w14:paraId="4FBFE638" w14:textId="77777777" w:rsidR="00515BF3" w:rsidRDefault="00515BF3"/>
  </w:footnote>
  <w:footnote w:id="1">
    <w:p w14:paraId="3DC93779" w14:textId="77777777" w:rsidR="00421B9D" w:rsidRPr="00F062F2" w:rsidRDefault="00421B9D" w:rsidP="00477406">
      <w:pPr>
        <w:pStyle w:val="FootnoteText"/>
      </w:pPr>
      <w:r w:rsidRPr="00477406">
        <w:rPr>
          <w:rStyle w:val="FootnoteReference"/>
        </w:rPr>
        <w:footnoteRef/>
      </w:r>
      <w:r>
        <w:tab/>
      </w:r>
      <w:r w:rsidRPr="00156470">
        <w:t>CAPA is a professional body that represents the designated pharmacist prescribers</w:t>
      </w:r>
      <w:r>
        <w:t>.</w:t>
      </w:r>
    </w:p>
  </w:footnote>
  <w:footnote w:id="2">
    <w:p w14:paraId="3DC9377A" w14:textId="77777777" w:rsidR="00421B9D" w:rsidRDefault="00421B9D" w:rsidP="00477406">
      <w:pPr>
        <w:pStyle w:val="FootnoteText"/>
      </w:pPr>
      <w:r w:rsidRPr="00477406">
        <w:rPr>
          <w:rStyle w:val="FootnoteReference"/>
        </w:rPr>
        <w:footnoteRef/>
      </w:r>
      <w:r>
        <w:tab/>
        <w:t>The original closing date was 9 August 2021. It was extended to 12 August 2021 due to a request for an extension from the sectors involved in the consultation.</w:t>
      </w:r>
    </w:p>
  </w:footnote>
  <w:footnote w:id="3">
    <w:p w14:paraId="3DC9377B" w14:textId="77777777" w:rsidR="00421B9D" w:rsidRDefault="00421B9D" w:rsidP="00CA60F5">
      <w:pPr>
        <w:pStyle w:val="FootnoteText"/>
      </w:pPr>
      <w:r w:rsidRPr="00CA60F5">
        <w:rPr>
          <w:rStyle w:val="FootnoteReference"/>
        </w:rPr>
        <w:footnoteRef/>
      </w:r>
      <w:r>
        <w:tab/>
      </w:r>
      <w:hyperlink r:id="rId1" w:history="1">
        <w:r w:rsidRPr="00B53B7A">
          <w:rPr>
            <w:rStyle w:val="Hyperlink"/>
          </w:rPr>
          <w:t>https://www.health.govt.nz/our-work/populations/maori-health/he-korowai-oranga/pae-ora-healthy-futures</w:t>
        </w:r>
      </w:hyperlink>
    </w:p>
  </w:footnote>
  <w:footnote w:id="4">
    <w:p w14:paraId="3DC9377C" w14:textId="77777777" w:rsidR="00421B9D" w:rsidRPr="005B6FB3" w:rsidRDefault="00421B9D" w:rsidP="00CA60F5">
      <w:pPr>
        <w:pStyle w:val="FootnoteText"/>
      </w:pPr>
      <w:r w:rsidRPr="00CA60F5">
        <w:rPr>
          <w:rStyle w:val="FootnoteReference"/>
        </w:rPr>
        <w:footnoteRef/>
      </w:r>
      <w:r>
        <w:tab/>
        <w:t xml:space="preserve">Medicine access equity means that everyone should have a fair opportunity to access funded medicines to achieve their full health potential, and that no one should be disadvantaged from achieving this potential. PHARMAC. 2020. </w:t>
      </w:r>
      <w:r>
        <w:rPr>
          <w:i/>
        </w:rPr>
        <w:t xml:space="preserve">Achieving Medicine Access Equity in Aotearoa New Zealand: Towards a theory of change. </w:t>
      </w:r>
      <w:r>
        <w:t xml:space="preserve">Wellington: Pharmaceutical Management Agency. URL: </w:t>
      </w:r>
      <w:hyperlink r:id="rId2" w:history="1">
        <w:r w:rsidRPr="002901D3">
          <w:rPr>
            <w:rStyle w:val="Hyperlink"/>
          </w:rPr>
          <w:t>http://www.pharmac.govt.nz/assets/achieving-medicine-access-equity-in-aotearoa-new-zealand-towards-a-theory-of-change.pdf</w:t>
        </w:r>
      </w:hyperlink>
      <w:r>
        <w:t xml:space="preserve"> (accessed 8 October 2021).</w:t>
      </w:r>
    </w:p>
    <w:p w14:paraId="3DC9377D" w14:textId="77777777" w:rsidR="00421B9D" w:rsidRDefault="00421B9D" w:rsidP="004A0C97">
      <w:pPr>
        <w:pStyle w:val="FootnoteText"/>
      </w:pPr>
    </w:p>
  </w:footnote>
  <w:footnote w:id="5">
    <w:p w14:paraId="3DC9377E" w14:textId="77777777" w:rsidR="00421B9D" w:rsidRPr="00F062F2" w:rsidRDefault="00421B9D" w:rsidP="00421B9D">
      <w:pPr>
        <w:pStyle w:val="FootnoteText"/>
      </w:pPr>
      <w:r w:rsidRPr="00421B9D">
        <w:rPr>
          <w:rStyle w:val="FootnoteReference"/>
        </w:rPr>
        <w:footnoteRef/>
      </w:r>
      <w:r>
        <w:tab/>
        <w:t xml:space="preserve">Trulicity is a specific brand of medicine that contains the active ingredient </w:t>
      </w:r>
      <w:r w:rsidRPr="00BA1906">
        <w:t>dulaglutide</w:t>
      </w:r>
      <w:r>
        <w:t>.</w:t>
      </w:r>
    </w:p>
  </w:footnote>
  <w:footnote w:id="6">
    <w:p w14:paraId="3DC9377F" w14:textId="77777777" w:rsidR="00421B9D" w:rsidRPr="006021D6" w:rsidRDefault="00421B9D" w:rsidP="00421B9D">
      <w:pPr>
        <w:pStyle w:val="FootnoteText"/>
        <w:rPr>
          <w:sz w:val="16"/>
          <w:szCs w:val="16"/>
        </w:rPr>
      </w:pPr>
      <w:r w:rsidRPr="00421B9D">
        <w:rPr>
          <w:rStyle w:val="FootnoteReference"/>
        </w:rPr>
        <w:footnoteRef/>
      </w:r>
      <w:r>
        <w:tab/>
      </w:r>
      <w:hyperlink r:id="rId3" w:history="1">
        <w:r w:rsidRPr="00421B9D">
          <w:rPr>
            <w:rStyle w:val="Hyperlink"/>
          </w:rPr>
          <w:t>https://www.medsafe.govt.nz/profs/RIss/unapp.asp</w:t>
        </w:r>
      </w:hyperlink>
    </w:p>
  </w:footnote>
  <w:footnote w:id="7">
    <w:p w14:paraId="5EC0E4FA" w14:textId="77777777" w:rsidR="00D5210F" w:rsidRDefault="00D5210F" w:rsidP="00D5210F">
      <w:pPr>
        <w:pStyle w:val="FootnoteText"/>
      </w:pPr>
      <w:r w:rsidRPr="00421B9D">
        <w:rPr>
          <w:rStyle w:val="FootnoteReference"/>
        </w:rPr>
        <w:footnoteRef/>
      </w:r>
      <w:r>
        <w:rPr>
          <w:shd w:val="clear" w:color="auto" w:fill="FCFCFC"/>
        </w:rPr>
        <w:tab/>
        <w:t>Raghunandan R, Marra CA, Tordoff J, </w:t>
      </w:r>
      <w:r w:rsidRPr="00647E29">
        <w:rPr>
          <w:iCs/>
          <w:shd w:val="clear" w:color="auto" w:fill="FCFCFC"/>
        </w:rPr>
        <w:t>et al</w:t>
      </w:r>
      <w:r>
        <w:rPr>
          <w:i/>
          <w:iCs/>
          <w:shd w:val="clear" w:color="auto" w:fill="FCFCFC"/>
        </w:rPr>
        <w:t>.</w:t>
      </w:r>
      <w:r>
        <w:t xml:space="preserve"> 2021.</w:t>
      </w:r>
      <w:r>
        <w:rPr>
          <w:shd w:val="clear" w:color="auto" w:fill="FCFCFC"/>
        </w:rPr>
        <w:t xml:space="preserve"> Examining non-medical prescribing trends in New Zealand: 2016–2020. </w:t>
      </w:r>
      <w:r>
        <w:rPr>
          <w:i/>
          <w:iCs/>
          <w:shd w:val="clear" w:color="auto" w:fill="FCFCFC"/>
        </w:rPr>
        <w:t>BMC Health Services Research</w:t>
      </w:r>
      <w:r>
        <w:rPr>
          <w:shd w:val="clear" w:color="auto" w:fill="FCFCFC"/>
        </w:rPr>
        <w:t xml:space="preserve"> </w:t>
      </w:r>
      <w:r w:rsidRPr="00647E29">
        <w:t>21</w:t>
      </w:r>
      <w:r>
        <w:t xml:space="preserve">: </w:t>
      </w:r>
      <w:r>
        <w:rPr>
          <w:shd w:val="clear" w:color="auto" w:fill="FCFCFC"/>
        </w:rPr>
        <w:t xml:space="preserve">418. URL: </w:t>
      </w:r>
      <w:hyperlink r:id="rId4" w:history="1">
        <w:r w:rsidRPr="00484B78">
          <w:rPr>
            <w:rStyle w:val="Hyperlink"/>
            <w:rFonts w:cs="Segoe UI"/>
            <w:shd w:val="clear" w:color="auto" w:fill="FCFCFC"/>
          </w:rPr>
          <w:t>https://link.springer.com/content/pdf/10.1186/s12913-021-06435-y.pdf</w:t>
        </w:r>
      </w:hyperlink>
      <w:r>
        <w:rPr>
          <w:b/>
          <w:shd w:val="clear" w:color="auto" w:fill="FCFCFC"/>
        </w:rPr>
        <w:t xml:space="preserve"> </w:t>
      </w:r>
      <w:r>
        <w:rPr>
          <w:shd w:val="clear" w:color="auto" w:fill="FCFCFC"/>
        </w:rPr>
        <w:t>(accessed 11 August 2021).</w:t>
      </w:r>
    </w:p>
  </w:footnote>
  <w:footnote w:id="8">
    <w:p w14:paraId="3DC93781" w14:textId="77777777" w:rsidR="00421B9D" w:rsidRDefault="00421B9D" w:rsidP="00421B9D">
      <w:pPr>
        <w:pStyle w:val="FootnoteText"/>
      </w:pPr>
      <w:r w:rsidRPr="00421B9D">
        <w:rPr>
          <w:rStyle w:val="FootnoteReference"/>
        </w:rPr>
        <w:footnoteRef/>
      </w:r>
      <w:r>
        <w:tab/>
        <w:t>Non-medical prescribers include dentists, midwives, nurse prescribers (nurse practitioners and registered nurse prescribers), pharmacist prescribers, optometrists and dietitian prescribers.</w:t>
      </w:r>
    </w:p>
  </w:footnote>
  <w:footnote w:id="9">
    <w:p w14:paraId="3DC93782" w14:textId="77777777" w:rsidR="00421B9D" w:rsidRDefault="00421B9D" w:rsidP="005B2BCF">
      <w:pPr>
        <w:pStyle w:val="FootnoteText"/>
      </w:pPr>
      <w:r w:rsidRPr="005B2BCF">
        <w:rPr>
          <w:rStyle w:val="FootnoteReference"/>
        </w:rPr>
        <w:footnoteRef/>
      </w:r>
      <w:r w:rsidR="005B2BCF">
        <w:tab/>
      </w:r>
      <w:r>
        <w:t>It is unclear whether the respondent meant hospital specialist medical practitioners or pharmacist prescribers who have explicit knowledge and training in their use.</w:t>
      </w:r>
    </w:p>
  </w:footnote>
  <w:footnote w:id="10">
    <w:p w14:paraId="3DC93783" w14:textId="77777777" w:rsidR="00421B9D" w:rsidRPr="00F062F2" w:rsidRDefault="00421B9D" w:rsidP="005B2BCF">
      <w:pPr>
        <w:pStyle w:val="FootnoteText"/>
      </w:pPr>
      <w:r w:rsidRPr="005B2BCF">
        <w:rPr>
          <w:rStyle w:val="FootnoteReference"/>
        </w:rPr>
        <w:footnoteRef/>
      </w:r>
      <w:r w:rsidR="005B2BCF">
        <w:tab/>
      </w:r>
      <w:r w:rsidRPr="00922FD7">
        <w:t>Preslaski CR, Lat I, MacLaren R,</w:t>
      </w:r>
      <w:r>
        <w:t xml:space="preserve"> et al. 2013</w:t>
      </w:r>
      <w:r w:rsidRPr="00922FD7">
        <w:t>. Pharmacist contributions as members of the multi</w:t>
      </w:r>
      <w:r w:rsidR="005B2BCF">
        <w:noBreakHyphen/>
      </w:r>
      <w:r w:rsidRPr="00922FD7">
        <w:t xml:space="preserve">disciplinary ICU team. </w:t>
      </w:r>
      <w:r w:rsidRPr="00686F24">
        <w:rPr>
          <w:i/>
        </w:rPr>
        <w:t>Chest</w:t>
      </w:r>
      <w:r>
        <w:t xml:space="preserve"> </w:t>
      </w:r>
      <w:r w:rsidRPr="00922FD7">
        <w:t>144(5):</w:t>
      </w:r>
      <w:r>
        <w:t xml:space="preserve"> </w:t>
      </w:r>
      <w:r w:rsidRPr="00922FD7">
        <w:t>1687</w:t>
      </w:r>
      <w:r>
        <w:t>–</w:t>
      </w:r>
      <w:r w:rsidRPr="00922FD7">
        <w:t>95.</w:t>
      </w:r>
    </w:p>
  </w:footnote>
  <w:footnote w:id="11">
    <w:p w14:paraId="3DC93784" w14:textId="77777777" w:rsidR="00421B9D" w:rsidRDefault="00421B9D" w:rsidP="00512812">
      <w:pPr>
        <w:pStyle w:val="FootnoteText"/>
      </w:pPr>
      <w:r w:rsidRPr="00512812">
        <w:rPr>
          <w:rStyle w:val="FootnoteReference"/>
        </w:rPr>
        <w:footnoteRef/>
      </w:r>
      <w:r w:rsidR="00512812">
        <w:tab/>
      </w:r>
      <w:r>
        <w:t>R</w:t>
      </w:r>
      <w:r w:rsidRPr="00C4567D">
        <w:t>estrictions under section 23 of the Medicines Act 1981</w:t>
      </w:r>
      <w:r>
        <w:t>.</w:t>
      </w:r>
    </w:p>
  </w:footnote>
  <w:footnote w:id="12">
    <w:p w14:paraId="3DC93785" w14:textId="77777777" w:rsidR="00421B9D" w:rsidRPr="00CA0260" w:rsidRDefault="00421B9D" w:rsidP="00CA0260">
      <w:pPr>
        <w:pStyle w:val="FootnoteText"/>
      </w:pPr>
      <w:r w:rsidRPr="00CA0260">
        <w:rPr>
          <w:rStyle w:val="FootnoteReference"/>
        </w:rPr>
        <w:footnoteRef/>
      </w:r>
      <w:r w:rsidR="00CA0260">
        <w:tab/>
      </w:r>
      <w:r>
        <w:t>The original closing date was 9 August 2021. It was extended to 12 August 2021 due to the pharmacy sector’s request for an extension.</w:t>
      </w:r>
    </w:p>
  </w:footnote>
  <w:footnote w:id="13">
    <w:p w14:paraId="3DC93786" w14:textId="77777777" w:rsidR="00421B9D" w:rsidRPr="00822750" w:rsidRDefault="00421B9D" w:rsidP="00CA0260">
      <w:pPr>
        <w:pStyle w:val="FootnoteText"/>
      </w:pPr>
      <w:r w:rsidRPr="00CA0260">
        <w:rPr>
          <w:rStyle w:val="FootnoteReference"/>
        </w:rPr>
        <w:footnoteRef/>
      </w:r>
      <w:r w:rsidR="00CA0260">
        <w:tab/>
      </w:r>
      <w:r w:rsidRPr="00822750">
        <w:t>Pharmacy Council is the regulator for the pharmacy profession (including pharmacist prescribers) in Aotearoa New Zealand and is mandated by the Health Practitioners Competence Assurance Act 2003.</w:t>
      </w:r>
    </w:p>
  </w:footnote>
  <w:footnote w:id="14">
    <w:p w14:paraId="3DC93787" w14:textId="77777777" w:rsidR="00421B9D" w:rsidRPr="009219CE" w:rsidRDefault="00421B9D" w:rsidP="00CA0260">
      <w:pPr>
        <w:pStyle w:val="FootnoteText"/>
      </w:pPr>
      <w:r w:rsidRPr="00CA0260">
        <w:rPr>
          <w:rStyle w:val="FootnoteReference"/>
        </w:rPr>
        <w:footnoteRef/>
      </w:r>
      <w:r w:rsidR="00CA0260">
        <w:tab/>
      </w:r>
      <w:r w:rsidRPr="00822750">
        <w:t>Not all of the medicines proposed are currently Medsafe approved. Current legislation does not authorise pharmacist prescribers to prescribe unapproved products, therefore these proposals are</w:t>
      </w:r>
      <w:r w:rsidRPr="00C71EBE">
        <w:rPr>
          <w:rFonts w:ascii="Arial" w:hAnsi="Arial" w:cs="Arial"/>
          <w:color w:val="000000"/>
          <w:sz w:val="18"/>
          <w:szCs w:val="18"/>
        </w:rPr>
        <w:t xml:space="preserve"> </w:t>
      </w:r>
      <w:r w:rsidRPr="009219CE">
        <w:t>forward-looking to avoid barriers accessing important medicines which may become available in New Zealand (such as dulaglutide for type 2 diabetes).</w:t>
      </w:r>
    </w:p>
  </w:footnote>
  <w:footnote w:id="15">
    <w:p w14:paraId="3DC93788" w14:textId="77777777" w:rsidR="00421B9D" w:rsidRPr="00CA0260" w:rsidRDefault="00421B9D" w:rsidP="00CA0260">
      <w:pPr>
        <w:pStyle w:val="FootnoteText"/>
      </w:pPr>
      <w:r w:rsidRPr="00CA0260">
        <w:rPr>
          <w:rStyle w:val="FootnoteReference"/>
        </w:rPr>
        <w:footnoteRef/>
      </w:r>
      <w:r w:rsidR="00CA0260">
        <w:tab/>
      </w:r>
      <w:r w:rsidRPr="009219CE">
        <w:t>View the full Competence Standards for the Pharmacy Profession 2015 and Pharmacist Prescriber:</w:t>
      </w:r>
      <w:r w:rsidR="00CA0260">
        <w:t xml:space="preserve"> </w:t>
      </w:r>
      <w:r w:rsidRPr="009219CE">
        <w:t xml:space="preserve">Prescribing competency framework and standards at </w:t>
      </w:r>
      <w:hyperlink r:id="rId5" w:history="1">
        <w:r w:rsidRPr="008C2813">
          <w:rPr>
            <w:b/>
            <w:bCs/>
          </w:rPr>
          <w:t>https://pharmacycouncil.org.nz/pharmacist/competence-standards/</w:t>
        </w:r>
      </w:hyperlink>
      <w:r w:rsidR="00CA0260" w:rsidRPr="00CA0260">
        <w:t>.</w:t>
      </w:r>
    </w:p>
  </w:footnote>
  <w:footnote w:id="16">
    <w:p w14:paraId="3DC93789" w14:textId="77777777" w:rsidR="00421B9D" w:rsidRDefault="00421B9D" w:rsidP="004216D5">
      <w:pPr>
        <w:pStyle w:val="FootnoteText"/>
      </w:pPr>
      <w:r w:rsidRPr="004216D5">
        <w:rPr>
          <w:rStyle w:val="FootnoteReference"/>
        </w:rPr>
        <w:footnoteRef/>
      </w:r>
      <w:r w:rsidR="004216D5">
        <w:tab/>
      </w:r>
      <w:r>
        <w:t>As listed on the New Zealand Formulary as of 28 June 2021.</w:t>
      </w:r>
    </w:p>
  </w:footnote>
  <w:footnote w:id="17">
    <w:p w14:paraId="3DC9378A" w14:textId="77777777" w:rsidR="00421B9D" w:rsidRDefault="00421B9D" w:rsidP="007F6F58">
      <w:pPr>
        <w:pStyle w:val="FootnoteText"/>
      </w:pPr>
      <w:r w:rsidRPr="007F6F58">
        <w:rPr>
          <w:rStyle w:val="FootnoteReference"/>
        </w:rPr>
        <w:footnoteRef/>
      </w:r>
      <w:r w:rsidR="007F6F58">
        <w:tab/>
      </w:r>
      <w:r>
        <w:t>The Ministry of Health is collaborating with the Pharmacy Council on this consultation.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5210"/>
      <w:gridCol w:w="4429"/>
    </w:tblGrid>
    <w:tr w:rsidR="00421B9D" w14:paraId="3DC9375D" w14:textId="77777777" w:rsidTr="005A79E5">
      <w:trPr>
        <w:cantSplit/>
      </w:trPr>
      <w:tc>
        <w:tcPr>
          <w:tcW w:w="5210" w:type="dxa"/>
        </w:tcPr>
        <w:p w14:paraId="3DC9375B" w14:textId="77777777" w:rsidR="00421B9D" w:rsidRDefault="00421B9D" w:rsidP="008814E8">
          <w:pPr>
            <w:pStyle w:val="Header"/>
          </w:pPr>
          <w:r>
            <w:rPr>
              <w:noProof/>
              <w:lang w:eastAsia="en-NZ"/>
            </w:rPr>
            <w:drawing>
              <wp:inline distT="0" distB="0" distL="0" distR="0" wp14:anchorId="3DC93775" wp14:editId="2BAEA039">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istry of Health logo"/>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3DC9375C" w14:textId="77777777" w:rsidR="00421B9D" w:rsidRDefault="00421B9D" w:rsidP="008814E8">
          <w:pPr>
            <w:pStyle w:val="Header"/>
            <w:jc w:val="right"/>
          </w:pPr>
          <w:r>
            <w:rPr>
              <w:noProof/>
              <w:lang w:eastAsia="en-NZ"/>
            </w:rPr>
            <w:drawing>
              <wp:inline distT="0" distB="0" distL="0" distR="0" wp14:anchorId="3DC93777" wp14:editId="1EE764D6">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Zealand Government logo"/>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3DC9375E" w14:textId="77777777" w:rsidR="00421B9D" w:rsidRDefault="00421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93763" w14:textId="77777777" w:rsidR="00421B9D" w:rsidRDefault="00421B9D"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93764" w14:textId="77777777" w:rsidR="00421B9D" w:rsidRDefault="00421B9D" w:rsidP="00900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17C7"/>
    <w:multiLevelType w:val="multilevel"/>
    <w:tmpl w:val="7A1E5B02"/>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pStyle w:val="Heading3"/>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A8668C4"/>
    <w:multiLevelType w:val="hybridMultilevel"/>
    <w:tmpl w:val="E2C2CF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23452C"/>
    <w:multiLevelType w:val="hybridMultilevel"/>
    <w:tmpl w:val="E16EDA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33355E"/>
    <w:multiLevelType w:val="hybridMultilevel"/>
    <w:tmpl w:val="2F6C9D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B10200C"/>
    <w:multiLevelType w:val="multilevel"/>
    <w:tmpl w:val="A4D27532"/>
    <w:lvl w:ilvl="0">
      <w:start w:val="1"/>
      <w:numFmt w:val="decimal"/>
      <w:pStyle w:val="Heading1"/>
      <w:lvlText w:val="%1"/>
      <w:lvlJc w:val="left"/>
      <w:pPr>
        <w:ind w:left="992" w:hanging="992"/>
      </w:pPr>
      <w:rPr>
        <w:rFonts w:hint="default"/>
      </w:rPr>
    </w:lvl>
    <w:lvl w:ilvl="1">
      <w:start w:val="1"/>
      <w:numFmt w:val="decimal"/>
      <w:pStyle w:val="Heading2"/>
      <w:lvlText w:val="%1.%2"/>
      <w:lvlJc w:val="left"/>
      <w:pPr>
        <w:ind w:left="992" w:hanging="99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73553D"/>
    <w:multiLevelType w:val="multilevel"/>
    <w:tmpl w:val="93B622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7C1218D3"/>
    <w:multiLevelType w:val="singleLevel"/>
    <w:tmpl w:val="F9C47940"/>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9"/>
  </w:num>
  <w:num w:numId="2">
    <w:abstractNumId w:val="6"/>
  </w:num>
  <w:num w:numId="3">
    <w:abstractNumId w:val="7"/>
  </w:num>
  <w:num w:numId="4">
    <w:abstractNumId w:val="1"/>
  </w:num>
  <w:num w:numId="5">
    <w:abstractNumId w:val="0"/>
  </w:num>
  <w:num w:numId="6">
    <w:abstractNumId w:val="8"/>
  </w:num>
  <w:num w:numId="7">
    <w:abstractNumId w:val="3"/>
  </w:num>
  <w:num w:numId="8">
    <w:abstractNumId w:val="2"/>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25A6F"/>
    <w:rsid w:val="0002618D"/>
    <w:rsid w:val="00030B26"/>
    <w:rsid w:val="00030E84"/>
    <w:rsid w:val="00032C0A"/>
    <w:rsid w:val="00035257"/>
    <w:rsid w:val="00035D68"/>
    <w:rsid w:val="00036027"/>
    <w:rsid w:val="000401D1"/>
    <w:rsid w:val="000419A9"/>
    <w:rsid w:val="00045613"/>
    <w:rsid w:val="00047899"/>
    <w:rsid w:val="00053921"/>
    <w:rsid w:val="00054B44"/>
    <w:rsid w:val="0006006B"/>
    <w:rsid w:val="0006228D"/>
    <w:rsid w:val="00072BD6"/>
    <w:rsid w:val="00075B78"/>
    <w:rsid w:val="000763E9"/>
    <w:rsid w:val="00082CD6"/>
    <w:rsid w:val="0008437D"/>
    <w:rsid w:val="00085AFE"/>
    <w:rsid w:val="00094800"/>
    <w:rsid w:val="000A0158"/>
    <w:rsid w:val="000A373D"/>
    <w:rsid w:val="000A41ED"/>
    <w:rsid w:val="000B0730"/>
    <w:rsid w:val="000D1100"/>
    <w:rsid w:val="000D19F4"/>
    <w:rsid w:val="000D58DD"/>
    <w:rsid w:val="000F1F42"/>
    <w:rsid w:val="000F2AE2"/>
    <w:rsid w:val="000F2BFF"/>
    <w:rsid w:val="00102063"/>
    <w:rsid w:val="0010541C"/>
    <w:rsid w:val="00105770"/>
    <w:rsid w:val="00106F93"/>
    <w:rsid w:val="00111D50"/>
    <w:rsid w:val="00113B8E"/>
    <w:rsid w:val="00117F59"/>
    <w:rsid w:val="0012053C"/>
    <w:rsid w:val="00122363"/>
    <w:rsid w:val="00125D45"/>
    <w:rsid w:val="001342C7"/>
    <w:rsid w:val="0013585C"/>
    <w:rsid w:val="00142261"/>
    <w:rsid w:val="00142954"/>
    <w:rsid w:val="001460E0"/>
    <w:rsid w:val="001472F0"/>
    <w:rsid w:val="00147F71"/>
    <w:rsid w:val="00150A6E"/>
    <w:rsid w:val="0016304B"/>
    <w:rsid w:val="0016318F"/>
    <w:rsid w:val="0016468A"/>
    <w:rsid w:val="0017070E"/>
    <w:rsid w:val="00174F02"/>
    <w:rsid w:val="0018376C"/>
    <w:rsid w:val="0018662D"/>
    <w:rsid w:val="00197427"/>
    <w:rsid w:val="001A21B4"/>
    <w:rsid w:val="001A5CF5"/>
    <w:rsid w:val="001B0E61"/>
    <w:rsid w:val="001B39D2"/>
    <w:rsid w:val="001B4BF8"/>
    <w:rsid w:val="001B7B14"/>
    <w:rsid w:val="001C4326"/>
    <w:rsid w:val="001C665E"/>
    <w:rsid w:val="001D3541"/>
    <w:rsid w:val="001D3E4E"/>
    <w:rsid w:val="001E254A"/>
    <w:rsid w:val="001E7386"/>
    <w:rsid w:val="001F45A7"/>
    <w:rsid w:val="001F5E27"/>
    <w:rsid w:val="0020027C"/>
    <w:rsid w:val="00201A01"/>
    <w:rsid w:val="0020754B"/>
    <w:rsid w:val="002104D3"/>
    <w:rsid w:val="00213A33"/>
    <w:rsid w:val="0021763B"/>
    <w:rsid w:val="00232E9F"/>
    <w:rsid w:val="00245748"/>
    <w:rsid w:val="00246DB1"/>
    <w:rsid w:val="002476B5"/>
    <w:rsid w:val="002520CC"/>
    <w:rsid w:val="00253ECF"/>
    <w:rsid w:val="00254044"/>
    <w:rsid w:val="002546A1"/>
    <w:rsid w:val="002575E8"/>
    <w:rsid w:val="00257EF1"/>
    <w:rsid w:val="002628F4"/>
    <w:rsid w:val="00275D08"/>
    <w:rsid w:val="002839AF"/>
    <w:rsid w:val="002858E3"/>
    <w:rsid w:val="0029190A"/>
    <w:rsid w:val="00292C5A"/>
    <w:rsid w:val="00295241"/>
    <w:rsid w:val="002A4DFC"/>
    <w:rsid w:val="002B047D"/>
    <w:rsid w:val="002B732B"/>
    <w:rsid w:val="002B76A7"/>
    <w:rsid w:val="002B7BEC"/>
    <w:rsid w:val="002C2219"/>
    <w:rsid w:val="002C2552"/>
    <w:rsid w:val="002C380A"/>
    <w:rsid w:val="002C4C29"/>
    <w:rsid w:val="002D0DF2"/>
    <w:rsid w:val="002D23BD"/>
    <w:rsid w:val="002E0B47"/>
    <w:rsid w:val="002E7F7D"/>
    <w:rsid w:val="002F3A0D"/>
    <w:rsid w:val="002F4685"/>
    <w:rsid w:val="002F7213"/>
    <w:rsid w:val="0030382F"/>
    <w:rsid w:val="00303AB2"/>
    <w:rsid w:val="0030408D"/>
    <w:rsid w:val="003060E4"/>
    <w:rsid w:val="003160E7"/>
    <w:rsid w:val="0031739E"/>
    <w:rsid w:val="00317DA3"/>
    <w:rsid w:val="003212F4"/>
    <w:rsid w:val="00321381"/>
    <w:rsid w:val="003235C6"/>
    <w:rsid w:val="003309CA"/>
    <w:rsid w:val="003325AB"/>
    <w:rsid w:val="003332D1"/>
    <w:rsid w:val="0033412B"/>
    <w:rsid w:val="0033448B"/>
    <w:rsid w:val="00341161"/>
    <w:rsid w:val="00343365"/>
    <w:rsid w:val="003445F4"/>
    <w:rsid w:val="00353501"/>
    <w:rsid w:val="00353734"/>
    <w:rsid w:val="003538D4"/>
    <w:rsid w:val="003606F8"/>
    <w:rsid w:val="003648EF"/>
    <w:rsid w:val="003673E6"/>
    <w:rsid w:val="003754BB"/>
    <w:rsid w:val="00377264"/>
    <w:rsid w:val="003779D2"/>
    <w:rsid w:val="00385E38"/>
    <w:rsid w:val="003A26A5"/>
    <w:rsid w:val="003A3761"/>
    <w:rsid w:val="003A512D"/>
    <w:rsid w:val="003A5FEA"/>
    <w:rsid w:val="003A710B"/>
    <w:rsid w:val="003B1D10"/>
    <w:rsid w:val="003C310C"/>
    <w:rsid w:val="003C76D4"/>
    <w:rsid w:val="003D137D"/>
    <w:rsid w:val="003D2CC5"/>
    <w:rsid w:val="003D3E5C"/>
    <w:rsid w:val="003E04C1"/>
    <w:rsid w:val="003E0887"/>
    <w:rsid w:val="003E74C8"/>
    <w:rsid w:val="003E74E2"/>
    <w:rsid w:val="003E7C46"/>
    <w:rsid w:val="003F2106"/>
    <w:rsid w:val="003F52A7"/>
    <w:rsid w:val="003F7013"/>
    <w:rsid w:val="003F7F6A"/>
    <w:rsid w:val="00401F76"/>
    <w:rsid w:val="0040240C"/>
    <w:rsid w:val="00413021"/>
    <w:rsid w:val="00414C35"/>
    <w:rsid w:val="004171B7"/>
    <w:rsid w:val="004216D5"/>
    <w:rsid w:val="00421B9D"/>
    <w:rsid w:val="004301C6"/>
    <w:rsid w:val="0043478F"/>
    <w:rsid w:val="0043602B"/>
    <w:rsid w:val="004367D2"/>
    <w:rsid w:val="00440BE0"/>
    <w:rsid w:val="00442A06"/>
    <w:rsid w:val="00442C1C"/>
    <w:rsid w:val="0044584B"/>
    <w:rsid w:val="00447CB7"/>
    <w:rsid w:val="00455CC9"/>
    <w:rsid w:val="0046056A"/>
    <w:rsid w:val="00460826"/>
    <w:rsid w:val="00460B1E"/>
    <w:rsid w:val="00460EA7"/>
    <w:rsid w:val="0046195B"/>
    <w:rsid w:val="0046362D"/>
    <w:rsid w:val="0046596D"/>
    <w:rsid w:val="00476B21"/>
    <w:rsid w:val="00477406"/>
    <w:rsid w:val="004852AB"/>
    <w:rsid w:val="00487C04"/>
    <w:rsid w:val="004907E1"/>
    <w:rsid w:val="00494C8E"/>
    <w:rsid w:val="004A035B"/>
    <w:rsid w:val="004A0C97"/>
    <w:rsid w:val="004A2108"/>
    <w:rsid w:val="004A38D7"/>
    <w:rsid w:val="004A778C"/>
    <w:rsid w:val="004B14DD"/>
    <w:rsid w:val="004B48C7"/>
    <w:rsid w:val="004C2E6A"/>
    <w:rsid w:val="004C64B8"/>
    <w:rsid w:val="004D2A2D"/>
    <w:rsid w:val="004D479F"/>
    <w:rsid w:val="004D6689"/>
    <w:rsid w:val="004E1D1D"/>
    <w:rsid w:val="004E7AC8"/>
    <w:rsid w:val="004F05F4"/>
    <w:rsid w:val="004F0C94"/>
    <w:rsid w:val="004F4E9A"/>
    <w:rsid w:val="005019AE"/>
    <w:rsid w:val="00503749"/>
    <w:rsid w:val="00503D59"/>
    <w:rsid w:val="00504CF4"/>
    <w:rsid w:val="0050635B"/>
    <w:rsid w:val="005075B3"/>
    <w:rsid w:val="00512812"/>
    <w:rsid w:val="005151C2"/>
    <w:rsid w:val="00515BF3"/>
    <w:rsid w:val="005275E8"/>
    <w:rsid w:val="005309FE"/>
    <w:rsid w:val="0053199F"/>
    <w:rsid w:val="00531E12"/>
    <w:rsid w:val="00533B90"/>
    <w:rsid w:val="005410F8"/>
    <w:rsid w:val="005448EC"/>
    <w:rsid w:val="00545963"/>
    <w:rsid w:val="00550256"/>
    <w:rsid w:val="00553165"/>
    <w:rsid w:val="00553958"/>
    <w:rsid w:val="00556BB7"/>
    <w:rsid w:val="0055763D"/>
    <w:rsid w:val="00561516"/>
    <w:rsid w:val="005621F2"/>
    <w:rsid w:val="00567B58"/>
    <w:rsid w:val="00571223"/>
    <w:rsid w:val="005763E0"/>
    <w:rsid w:val="00581136"/>
    <w:rsid w:val="005817ED"/>
    <w:rsid w:val="00581EB8"/>
    <w:rsid w:val="005839E7"/>
    <w:rsid w:val="0058437F"/>
    <w:rsid w:val="005A0EA1"/>
    <w:rsid w:val="005A27CA"/>
    <w:rsid w:val="005A43BD"/>
    <w:rsid w:val="005A79E5"/>
    <w:rsid w:val="005B2BCF"/>
    <w:rsid w:val="005D034C"/>
    <w:rsid w:val="005E226E"/>
    <w:rsid w:val="005E2636"/>
    <w:rsid w:val="005E5AEF"/>
    <w:rsid w:val="006015D7"/>
    <w:rsid w:val="00601B21"/>
    <w:rsid w:val="006041F0"/>
    <w:rsid w:val="00605C6D"/>
    <w:rsid w:val="006120CA"/>
    <w:rsid w:val="00612682"/>
    <w:rsid w:val="0061443A"/>
    <w:rsid w:val="00624174"/>
    <w:rsid w:val="00626CF8"/>
    <w:rsid w:val="006314AF"/>
    <w:rsid w:val="00634003"/>
    <w:rsid w:val="00634ED8"/>
    <w:rsid w:val="00636D7D"/>
    <w:rsid w:val="00637408"/>
    <w:rsid w:val="00642868"/>
    <w:rsid w:val="00647AFE"/>
    <w:rsid w:val="00650417"/>
    <w:rsid w:val="006512BC"/>
    <w:rsid w:val="00653A5A"/>
    <w:rsid w:val="006554AC"/>
    <w:rsid w:val="00656F28"/>
    <w:rsid w:val="006575F4"/>
    <w:rsid w:val="006579E6"/>
    <w:rsid w:val="00660682"/>
    <w:rsid w:val="00660F74"/>
    <w:rsid w:val="00663EDC"/>
    <w:rsid w:val="00671078"/>
    <w:rsid w:val="006758CA"/>
    <w:rsid w:val="00680A04"/>
    <w:rsid w:val="00686D80"/>
    <w:rsid w:val="00694895"/>
    <w:rsid w:val="00697E2E"/>
    <w:rsid w:val="006A25A2"/>
    <w:rsid w:val="006A3B87"/>
    <w:rsid w:val="006A3D1C"/>
    <w:rsid w:val="006A54B6"/>
    <w:rsid w:val="006B0A88"/>
    <w:rsid w:val="006B0E73"/>
    <w:rsid w:val="006B1C1E"/>
    <w:rsid w:val="006B1E3D"/>
    <w:rsid w:val="006B4A4D"/>
    <w:rsid w:val="006B5695"/>
    <w:rsid w:val="006B62E6"/>
    <w:rsid w:val="006B7B2E"/>
    <w:rsid w:val="006C78EB"/>
    <w:rsid w:val="006D1660"/>
    <w:rsid w:val="006D63E5"/>
    <w:rsid w:val="006E1753"/>
    <w:rsid w:val="006E2886"/>
    <w:rsid w:val="006E3911"/>
    <w:rsid w:val="006E69F4"/>
    <w:rsid w:val="006F1B67"/>
    <w:rsid w:val="006F4D9C"/>
    <w:rsid w:val="006F765E"/>
    <w:rsid w:val="0070091D"/>
    <w:rsid w:val="00702854"/>
    <w:rsid w:val="0071741C"/>
    <w:rsid w:val="00742B90"/>
    <w:rsid w:val="0074434D"/>
    <w:rsid w:val="00752E53"/>
    <w:rsid w:val="007570C4"/>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43B6"/>
    <w:rsid w:val="007D2151"/>
    <w:rsid w:val="007D3B90"/>
    <w:rsid w:val="007D42CC"/>
    <w:rsid w:val="007D5DE4"/>
    <w:rsid w:val="007D7C3A"/>
    <w:rsid w:val="007E0777"/>
    <w:rsid w:val="007E1341"/>
    <w:rsid w:val="007E1B41"/>
    <w:rsid w:val="007E1EC4"/>
    <w:rsid w:val="007E30B9"/>
    <w:rsid w:val="007E74F1"/>
    <w:rsid w:val="007F0F0C"/>
    <w:rsid w:val="007F1288"/>
    <w:rsid w:val="007F3E11"/>
    <w:rsid w:val="007F6F58"/>
    <w:rsid w:val="00800A8A"/>
    <w:rsid w:val="0080155C"/>
    <w:rsid w:val="008017B4"/>
    <w:rsid w:val="008052E1"/>
    <w:rsid w:val="00811EEB"/>
    <w:rsid w:val="0082081A"/>
    <w:rsid w:val="00822F2C"/>
    <w:rsid w:val="00823DEE"/>
    <w:rsid w:val="008305E8"/>
    <w:rsid w:val="00830F81"/>
    <w:rsid w:val="00836165"/>
    <w:rsid w:val="008365B2"/>
    <w:rsid w:val="0084640C"/>
    <w:rsid w:val="00856088"/>
    <w:rsid w:val="00860758"/>
    <w:rsid w:val="00860826"/>
    <w:rsid w:val="00860E21"/>
    <w:rsid w:val="00863117"/>
    <w:rsid w:val="0086388B"/>
    <w:rsid w:val="008642E5"/>
    <w:rsid w:val="00864488"/>
    <w:rsid w:val="00870A36"/>
    <w:rsid w:val="00872D93"/>
    <w:rsid w:val="00880470"/>
    <w:rsid w:val="00880D94"/>
    <w:rsid w:val="008814E8"/>
    <w:rsid w:val="00886F64"/>
    <w:rsid w:val="008924DE"/>
    <w:rsid w:val="008A3755"/>
    <w:rsid w:val="008B19DC"/>
    <w:rsid w:val="008B264F"/>
    <w:rsid w:val="008B6F83"/>
    <w:rsid w:val="008B7FD8"/>
    <w:rsid w:val="008C2973"/>
    <w:rsid w:val="008C6324"/>
    <w:rsid w:val="008C64C4"/>
    <w:rsid w:val="008D2CDD"/>
    <w:rsid w:val="008D74D5"/>
    <w:rsid w:val="008D7C9F"/>
    <w:rsid w:val="008E04BA"/>
    <w:rsid w:val="008E0ED1"/>
    <w:rsid w:val="008E2083"/>
    <w:rsid w:val="008E3A07"/>
    <w:rsid w:val="008E537B"/>
    <w:rsid w:val="008F29BE"/>
    <w:rsid w:val="008F4AE5"/>
    <w:rsid w:val="008F51EB"/>
    <w:rsid w:val="00900197"/>
    <w:rsid w:val="00902F55"/>
    <w:rsid w:val="0090582B"/>
    <w:rsid w:val="009060C0"/>
    <w:rsid w:val="009133F5"/>
    <w:rsid w:val="0091756F"/>
    <w:rsid w:val="00920A27"/>
    <w:rsid w:val="00921216"/>
    <w:rsid w:val="009216CC"/>
    <w:rsid w:val="009220C3"/>
    <w:rsid w:val="00922E41"/>
    <w:rsid w:val="00925892"/>
    <w:rsid w:val="00926083"/>
    <w:rsid w:val="00926D08"/>
    <w:rsid w:val="00930D08"/>
    <w:rsid w:val="00931466"/>
    <w:rsid w:val="00932D69"/>
    <w:rsid w:val="009354FD"/>
    <w:rsid w:val="00935589"/>
    <w:rsid w:val="00937408"/>
    <w:rsid w:val="009427FA"/>
    <w:rsid w:val="00944647"/>
    <w:rsid w:val="009469E2"/>
    <w:rsid w:val="0095565C"/>
    <w:rsid w:val="009573EF"/>
    <w:rsid w:val="00964AB6"/>
    <w:rsid w:val="00966F9A"/>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372"/>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97A3A"/>
    <w:rsid w:val="00AA240C"/>
    <w:rsid w:val="00AB0332"/>
    <w:rsid w:val="00AC101C"/>
    <w:rsid w:val="00AD4CF1"/>
    <w:rsid w:val="00AD5988"/>
    <w:rsid w:val="00AD6293"/>
    <w:rsid w:val="00AE1643"/>
    <w:rsid w:val="00AE16AF"/>
    <w:rsid w:val="00AF372E"/>
    <w:rsid w:val="00AF7800"/>
    <w:rsid w:val="00B00CF5"/>
    <w:rsid w:val="00B072E0"/>
    <w:rsid w:val="00B1007E"/>
    <w:rsid w:val="00B13D41"/>
    <w:rsid w:val="00B253F6"/>
    <w:rsid w:val="00B26675"/>
    <w:rsid w:val="00B305DB"/>
    <w:rsid w:val="00B332F8"/>
    <w:rsid w:val="00B3492B"/>
    <w:rsid w:val="00B4646F"/>
    <w:rsid w:val="00B55C7D"/>
    <w:rsid w:val="00B63038"/>
    <w:rsid w:val="00B64BD8"/>
    <w:rsid w:val="00B701D1"/>
    <w:rsid w:val="00B703CD"/>
    <w:rsid w:val="00B73AF2"/>
    <w:rsid w:val="00B73D79"/>
    <w:rsid w:val="00B7551A"/>
    <w:rsid w:val="00B773F1"/>
    <w:rsid w:val="00B86AB1"/>
    <w:rsid w:val="00B87726"/>
    <w:rsid w:val="00B91B22"/>
    <w:rsid w:val="00BA7EBA"/>
    <w:rsid w:val="00BB2A06"/>
    <w:rsid w:val="00BB2CBB"/>
    <w:rsid w:val="00BB4198"/>
    <w:rsid w:val="00BC03EE"/>
    <w:rsid w:val="00BC5453"/>
    <w:rsid w:val="00BC59F1"/>
    <w:rsid w:val="00BD488E"/>
    <w:rsid w:val="00BF3DE1"/>
    <w:rsid w:val="00BF4843"/>
    <w:rsid w:val="00BF5205"/>
    <w:rsid w:val="00C05132"/>
    <w:rsid w:val="00C12012"/>
    <w:rsid w:val="00C12508"/>
    <w:rsid w:val="00C23728"/>
    <w:rsid w:val="00C3026C"/>
    <w:rsid w:val="00C313A9"/>
    <w:rsid w:val="00C347C8"/>
    <w:rsid w:val="00C358E4"/>
    <w:rsid w:val="00C40AC8"/>
    <w:rsid w:val="00C418EE"/>
    <w:rsid w:val="00C441CF"/>
    <w:rsid w:val="00C45AA2"/>
    <w:rsid w:val="00C4792C"/>
    <w:rsid w:val="00C55BEF"/>
    <w:rsid w:val="00C57C00"/>
    <w:rsid w:val="00C601AF"/>
    <w:rsid w:val="00C61A63"/>
    <w:rsid w:val="00C66296"/>
    <w:rsid w:val="00C7394D"/>
    <w:rsid w:val="00C756B7"/>
    <w:rsid w:val="00C77282"/>
    <w:rsid w:val="00C84DE5"/>
    <w:rsid w:val="00C86248"/>
    <w:rsid w:val="00C90B31"/>
    <w:rsid w:val="00C9462B"/>
    <w:rsid w:val="00CA0260"/>
    <w:rsid w:val="00CA0D6F"/>
    <w:rsid w:val="00CA4C33"/>
    <w:rsid w:val="00CA60F5"/>
    <w:rsid w:val="00CA6F4A"/>
    <w:rsid w:val="00CB3483"/>
    <w:rsid w:val="00CB6427"/>
    <w:rsid w:val="00CC0FBE"/>
    <w:rsid w:val="00CD077C"/>
    <w:rsid w:val="00CD2119"/>
    <w:rsid w:val="00CD237A"/>
    <w:rsid w:val="00CD36AC"/>
    <w:rsid w:val="00CE13A3"/>
    <w:rsid w:val="00CE36BC"/>
    <w:rsid w:val="00CF1747"/>
    <w:rsid w:val="00CF60ED"/>
    <w:rsid w:val="00D05D74"/>
    <w:rsid w:val="00D172A7"/>
    <w:rsid w:val="00D20C59"/>
    <w:rsid w:val="00D23323"/>
    <w:rsid w:val="00D2392A"/>
    <w:rsid w:val="00D25FFE"/>
    <w:rsid w:val="00D26427"/>
    <w:rsid w:val="00D27922"/>
    <w:rsid w:val="00D27A64"/>
    <w:rsid w:val="00D37D80"/>
    <w:rsid w:val="00D442F3"/>
    <w:rsid w:val="00D44483"/>
    <w:rsid w:val="00D4476F"/>
    <w:rsid w:val="00D50573"/>
    <w:rsid w:val="00D5210F"/>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A7F9E"/>
    <w:rsid w:val="00DB39CF"/>
    <w:rsid w:val="00DB7256"/>
    <w:rsid w:val="00DC0401"/>
    <w:rsid w:val="00DC20BD"/>
    <w:rsid w:val="00DD0BCD"/>
    <w:rsid w:val="00DD447A"/>
    <w:rsid w:val="00DE3B20"/>
    <w:rsid w:val="00DE6C94"/>
    <w:rsid w:val="00DE6FD7"/>
    <w:rsid w:val="00DF0C7C"/>
    <w:rsid w:val="00E10B18"/>
    <w:rsid w:val="00E23271"/>
    <w:rsid w:val="00E24F80"/>
    <w:rsid w:val="00E259F3"/>
    <w:rsid w:val="00E30985"/>
    <w:rsid w:val="00E33238"/>
    <w:rsid w:val="00E33934"/>
    <w:rsid w:val="00E376B7"/>
    <w:rsid w:val="00E42F5D"/>
    <w:rsid w:val="00E4486C"/>
    <w:rsid w:val="00E44A90"/>
    <w:rsid w:val="00E460B6"/>
    <w:rsid w:val="00E511D5"/>
    <w:rsid w:val="00E53A9F"/>
    <w:rsid w:val="00E57349"/>
    <w:rsid w:val="00E60249"/>
    <w:rsid w:val="00E62238"/>
    <w:rsid w:val="00E65269"/>
    <w:rsid w:val="00E76D66"/>
    <w:rsid w:val="00EA796A"/>
    <w:rsid w:val="00EB1856"/>
    <w:rsid w:val="00EC50CE"/>
    <w:rsid w:val="00EC5B34"/>
    <w:rsid w:val="00EC5DEB"/>
    <w:rsid w:val="00ED021E"/>
    <w:rsid w:val="00ED323C"/>
    <w:rsid w:val="00EE2D5C"/>
    <w:rsid w:val="00EE4ADE"/>
    <w:rsid w:val="00EE4DE8"/>
    <w:rsid w:val="00EE5CB7"/>
    <w:rsid w:val="00F000BF"/>
    <w:rsid w:val="00F024FE"/>
    <w:rsid w:val="00F05AD4"/>
    <w:rsid w:val="00F062F2"/>
    <w:rsid w:val="00F103BE"/>
    <w:rsid w:val="00F10EB6"/>
    <w:rsid w:val="00F13F07"/>
    <w:rsid w:val="00F140B2"/>
    <w:rsid w:val="00F16595"/>
    <w:rsid w:val="00F25970"/>
    <w:rsid w:val="00F311A9"/>
    <w:rsid w:val="00F31343"/>
    <w:rsid w:val="00F37381"/>
    <w:rsid w:val="00F5180D"/>
    <w:rsid w:val="00F54E74"/>
    <w:rsid w:val="00F63781"/>
    <w:rsid w:val="00F67496"/>
    <w:rsid w:val="00F7421E"/>
    <w:rsid w:val="00F801BA"/>
    <w:rsid w:val="00F807AD"/>
    <w:rsid w:val="00F9366A"/>
    <w:rsid w:val="00F946C9"/>
    <w:rsid w:val="00FA0EA5"/>
    <w:rsid w:val="00FA68C7"/>
    <w:rsid w:val="00FA74EE"/>
    <w:rsid w:val="00FB0A5B"/>
    <w:rsid w:val="00FB1B8E"/>
    <w:rsid w:val="00FC3711"/>
    <w:rsid w:val="00FC46E7"/>
    <w:rsid w:val="00FC5D25"/>
    <w:rsid w:val="00FD0D7E"/>
    <w:rsid w:val="00FD16C4"/>
    <w:rsid w:val="00FD362F"/>
    <w:rsid w:val="00FD47FE"/>
    <w:rsid w:val="00FD4FFB"/>
    <w:rsid w:val="00FE022F"/>
    <w:rsid w:val="00FE6E13"/>
    <w:rsid w:val="00FE7D38"/>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C93358"/>
  <w15:docId w15:val="{B0664576-33E6-4B64-9F02-209CBB91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nhideWhenUsed="1" w:qFormat="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81A"/>
    <w:rPr>
      <w:rFonts w:ascii="Segoe UI" w:hAnsi="Segoe UI"/>
      <w:sz w:val="21"/>
      <w:lang w:eastAsia="en-GB"/>
    </w:rPr>
  </w:style>
  <w:style w:type="paragraph" w:styleId="Heading1">
    <w:name w:val="heading 1"/>
    <w:basedOn w:val="Normal"/>
    <w:next w:val="Normal"/>
    <w:link w:val="Heading1Char"/>
    <w:uiPriority w:val="1"/>
    <w:qFormat/>
    <w:rsid w:val="00DA7F9E"/>
    <w:pPr>
      <w:pageBreakBefore/>
      <w:numPr>
        <w:numId w:val="10"/>
      </w:numPr>
      <w:spacing w:after="360"/>
      <w:outlineLvl w:val="0"/>
    </w:pPr>
    <w:rPr>
      <w:b/>
      <w:color w:val="23305D"/>
      <w:spacing w:val="-10"/>
      <w:sz w:val="72"/>
    </w:rPr>
  </w:style>
  <w:style w:type="paragraph" w:styleId="Heading2">
    <w:name w:val="heading 2"/>
    <w:basedOn w:val="Normal"/>
    <w:next w:val="Normal"/>
    <w:link w:val="Heading2Char"/>
    <w:uiPriority w:val="1"/>
    <w:qFormat/>
    <w:rsid w:val="002575E8"/>
    <w:pPr>
      <w:keepNext/>
      <w:numPr>
        <w:ilvl w:val="1"/>
        <w:numId w:val="10"/>
      </w:numPr>
      <w:spacing w:before="480" w:after="180"/>
      <w:outlineLvl w:val="1"/>
    </w:pPr>
    <w:rPr>
      <w:b/>
      <w:color w:val="0A6AB4"/>
      <w:spacing w:val="-5"/>
      <w:sz w:val="48"/>
    </w:rPr>
  </w:style>
  <w:style w:type="paragraph" w:styleId="Heading3">
    <w:name w:val="heading 3"/>
    <w:basedOn w:val="Normal"/>
    <w:next w:val="Normal"/>
    <w:link w:val="Heading3Char"/>
    <w:uiPriority w:val="1"/>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uiPriority w:val="1"/>
    <w:qFormat/>
    <w:rsid w:val="00030E84"/>
    <w:pPr>
      <w:keepNext/>
      <w:spacing w:before="240" w:after="120"/>
      <w:outlineLvl w:val="3"/>
    </w:pPr>
    <w:rPr>
      <w:color w:val="0A6AB4"/>
      <w:sz w:val="28"/>
    </w:rPr>
  </w:style>
  <w:style w:type="paragraph" w:styleId="Heading5">
    <w:name w:val="heading 5"/>
    <w:basedOn w:val="Normal"/>
    <w:next w:val="Normal"/>
    <w:link w:val="Heading5Char"/>
    <w:uiPriority w:val="1"/>
    <w:qFormat/>
    <w:rsid w:val="00B00CF5"/>
    <w:pPr>
      <w:keepNext/>
      <w:spacing w:before="120" w:after="120"/>
      <w:outlineLvl w:val="4"/>
    </w:pPr>
    <w:rPr>
      <w:color w:val="0A6AB4"/>
      <w:sz w:val="24"/>
    </w:rPr>
  </w:style>
  <w:style w:type="paragraph" w:styleId="Heading6">
    <w:name w:val="heading 6"/>
    <w:basedOn w:val="Normal"/>
    <w:next w:val="Normal"/>
    <w:link w:val="Heading6Char"/>
    <w:uiPriority w:val="1"/>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1"/>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1"/>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1"/>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9427FA"/>
    <w:rPr>
      <w:rFonts w:ascii="Segoe UI" w:hAnsi="Segoe UI"/>
      <w:b/>
      <w:color w:val="23305D"/>
      <w:spacing w:val="-10"/>
      <w:sz w:val="72"/>
      <w:lang w:eastAsia="en-GB"/>
    </w:rPr>
  </w:style>
  <w:style w:type="character" w:customStyle="1" w:styleId="Heading2Char">
    <w:name w:val="Heading 2 Char"/>
    <w:link w:val="Heading2"/>
    <w:uiPriority w:val="1"/>
    <w:rsid w:val="00030E84"/>
    <w:rPr>
      <w:rFonts w:ascii="Segoe UI" w:hAnsi="Segoe UI"/>
      <w:b/>
      <w:color w:val="0A6AB4"/>
      <w:spacing w:val="-5"/>
      <w:sz w:val="48"/>
      <w:lang w:eastAsia="en-GB"/>
    </w:rPr>
  </w:style>
  <w:style w:type="character" w:customStyle="1" w:styleId="Heading3Char">
    <w:name w:val="Heading 3 Char"/>
    <w:link w:val="Heading3"/>
    <w:uiPriority w:val="1"/>
    <w:rsid w:val="00030E84"/>
    <w:rPr>
      <w:rFonts w:ascii="Segoe UI" w:hAnsi="Segoe UI"/>
      <w:color w:val="0A6AB4"/>
      <w:spacing w:val="-5"/>
      <w:sz w:val="36"/>
      <w:lang w:eastAsia="en-GB"/>
    </w:rPr>
  </w:style>
  <w:style w:type="character" w:customStyle="1" w:styleId="Heading4Char">
    <w:name w:val="Heading 4 Char"/>
    <w:link w:val="Heading4"/>
    <w:uiPriority w:val="1"/>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1"/>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BC5453"/>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BC5453"/>
    <w:pPr>
      <w:tabs>
        <w:tab w:val="right" w:pos="8080"/>
      </w:tabs>
      <w:spacing w:before="60"/>
      <w:ind w:left="567" w:right="567" w:hanging="567"/>
    </w:pPr>
  </w:style>
  <w:style w:type="paragraph" w:styleId="TOC3">
    <w:name w:val="toc 3"/>
    <w:basedOn w:val="Normal"/>
    <w:next w:val="Normal"/>
    <w:uiPriority w:val="39"/>
    <w:rsid w:val="00BC5453"/>
    <w:pPr>
      <w:tabs>
        <w:tab w:val="right" w:pos="8080"/>
      </w:tabs>
      <w:spacing w:before="120"/>
      <w:ind w:left="992" w:right="567" w:hanging="992"/>
    </w:pPr>
  </w:style>
  <w:style w:type="paragraph" w:customStyle="1" w:styleId="Bullet">
    <w:name w:val="Bullet"/>
    <w:basedOn w:val="Normal"/>
    <w:link w:val="BulletChar"/>
    <w:qFormat/>
    <w:rsid w:val="00FA0EA5"/>
    <w:pPr>
      <w:numPr>
        <w:numId w:val="1"/>
      </w:numPr>
      <w:tabs>
        <w:tab w:val="clear" w:pos="284"/>
      </w:tabs>
      <w:spacing w:before="90"/>
    </w:pPr>
  </w:style>
  <w:style w:type="character" w:customStyle="1" w:styleId="BulletChar">
    <w:name w:val="Bullet Char"/>
    <w:link w:val="Bullet"/>
    <w:locked/>
    <w:rsid w:val="002B7BEC"/>
    <w:rPr>
      <w:rFonts w:ascii="Segoe UI" w:hAnsi="Segoe UI"/>
      <w:sz w:val="21"/>
      <w:lang w:eastAsia="en-GB"/>
    </w:r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4A0C97"/>
    <w:pPr>
      <w:spacing w:line="216" w:lineRule="auto"/>
      <w:ind w:right="2835"/>
    </w:pPr>
    <w:rPr>
      <w:rFonts w:ascii="Segoe UI Black" w:hAnsi="Segoe UI Black" w:cs="Lucida Sans Unicode"/>
      <w:b/>
      <w:sz w:val="56"/>
      <w:szCs w:val="72"/>
    </w:rPr>
  </w:style>
  <w:style w:type="character" w:customStyle="1" w:styleId="TitleChar">
    <w:name w:val="Title Char"/>
    <w:link w:val="Title"/>
    <w:uiPriority w:val="99"/>
    <w:rsid w:val="004A0C97"/>
    <w:rPr>
      <w:rFonts w:ascii="Segoe UI Black" w:hAnsi="Segoe UI Black" w:cs="Lucida Sans Unicode"/>
      <w:b/>
      <w:sz w:val="56"/>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qFormat/>
    <w:rsid w:val="007A067F"/>
  </w:style>
  <w:style w:type="character" w:customStyle="1" w:styleId="FooterChar">
    <w:name w:val="Footer Char"/>
    <w:link w:val="Footer"/>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customStyle="1" w:styleId="FigureChar">
    <w:name w:val="Figure Char"/>
    <w:link w:val="Figure"/>
    <w:locked/>
    <w:rsid w:val="002B7BEC"/>
    <w:rPr>
      <w:rFonts w:ascii="Segoe UI" w:hAnsi="Segoe UI"/>
      <w:b/>
      <w:lang w:eastAsia="en-GB"/>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link w:val="Table"/>
    <w:locked/>
    <w:rsid w:val="002B7BEC"/>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25892"/>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0419A9"/>
    <w:pPr>
      <w:pBdr>
        <w:top w:val="single" w:sz="4" w:space="12" w:color="auto"/>
        <w:left w:val="single" w:sz="4" w:space="12" w:color="auto"/>
        <w:bottom w:val="single" w:sz="4" w:space="12" w:color="auto"/>
        <w:right w:val="single" w:sz="4" w:space="12" w:color="auto"/>
      </w:pBdr>
      <w:ind w:left="568" w:right="284"/>
    </w:pPr>
  </w:style>
  <w:style w:type="paragraph" w:customStyle="1" w:styleId="IntroHead">
    <w:name w:val="IntroHead"/>
    <w:basedOn w:val="Heading1"/>
    <w:next w:val="Normal"/>
    <w:qFormat/>
    <w:rsid w:val="00477406"/>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477406"/>
    <w:pPr>
      <w:numPr>
        <w:ilvl w:val="3"/>
        <w:numId w:val="5"/>
      </w:numPr>
      <w:spacing w:before="6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5"/>
        <w:numId w:val="5"/>
      </w:numPr>
      <w:spacing w:before="90"/>
    </w:pPr>
    <w:rPr>
      <w:rFonts w:eastAsia="Arial Unicode MS"/>
    </w:rPr>
  </w:style>
  <w:style w:type="paragraph" w:styleId="Caption">
    <w:name w:val="caption"/>
    <w:basedOn w:val="Normal"/>
    <w:next w:val="Normal"/>
    <w:unhideWhenUsed/>
    <w:qFormat/>
    <w:rsid w:val="00477406"/>
    <w:pPr>
      <w:spacing w:after="200"/>
    </w:pPr>
    <w:rPr>
      <w:b/>
      <w:bCs/>
      <w:color w:val="4F81BD" w:themeColor="accent1"/>
      <w:sz w:val="18"/>
      <w:szCs w:val="18"/>
    </w:rPr>
  </w:style>
  <w:style w:type="table" w:styleId="TableGrid">
    <w:name w:val="Table Grid"/>
    <w:basedOn w:val="TableNormal"/>
    <w:uiPriority w:val="39"/>
    <w:rsid w:val="004A0C97"/>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adedboxheading">
    <w:name w:val="Shaded box heading"/>
    <w:basedOn w:val="BoxHeading"/>
    <w:next w:val="Shadedboxtext"/>
    <w:qFormat/>
    <w:rsid w:val="004A0C97"/>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4A0C97"/>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s://consult.health.govt.nz/pharmacy/proposed-amendments-to-the-specified-rx-med-list/user_uploads/view-the-proposed-medicines-list.pdf" TargetMode="Externa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6.png"/><Relationship Id="rId29" Type="http://schemas.openxmlformats.org/officeDocument/2006/relationships/hyperlink" Target="https://pharmacycouncil.org.nz/pharmacist/pharmacist-prescrib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t.nz" TargetMode="External"/><Relationship Id="rId24" Type="http://schemas.openxmlformats.org/officeDocument/2006/relationships/hyperlink" Target="https://dpmc.govt.nz/our-business-units/transition-unit/response-health-and-disability-system-review/informatio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medsafe.govt.nz/profs/riss/restrict.asp" TargetMode="External"/><Relationship Id="rId28" Type="http://schemas.openxmlformats.org/officeDocument/2006/relationships/hyperlink" Target="https://gazette.govt.nz/notice/id/2014-gs6347" TargetMode="External"/><Relationship Id="rId10" Type="http://schemas.openxmlformats.org/officeDocument/2006/relationships/image" Target="media/image3.png"/><Relationship Id="rId19" Type="http://schemas.openxmlformats.org/officeDocument/2006/relationships/image" Target="media/image5.png"/><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hyperlink" Target="mailto:enquiries@pharmacycouncil.org.nz" TargetMode="External"/><Relationship Id="rId30"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medsafe.govt.nz/profs/RIss/unapp.asp" TargetMode="External"/><Relationship Id="rId2" Type="http://schemas.openxmlformats.org/officeDocument/2006/relationships/hyperlink" Target="http://www.pharmac.govt.nz/assets/achieving-medicine-access-equity-in-aotearoa-new-zealand-towards-a-theory-of-change.pdf" TargetMode="External"/><Relationship Id="rId1" Type="http://schemas.openxmlformats.org/officeDocument/2006/relationships/hyperlink" Target="https://www.health.govt.nz/our-work/populations/maori-health/he-korowai-oranga/pae-ora-healthy-futures" TargetMode="External"/><Relationship Id="rId5" Type="http://schemas.openxmlformats.org/officeDocument/2006/relationships/hyperlink" Target="https://pharmacycouncil.org.nz/pharmacist/competence-standards/" TargetMode="External"/><Relationship Id="rId4" Type="http://schemas.openxmlformats.org/officeDocument/2006/relationships/hyperlink" Target="https://link.springer.com/content/pdf/10.1186/s12913-021-06435-y.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377FA-8132-401F-9FB5-A4EA8305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6</TotalTime>
  <Pages>43</Pages>
  <Words>8617</Words>
  <Characters>49122</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on amendments to the schedules of specified prescription medicines for designated pharmacist prescribers: Analysis of submissions</dc:title>
  <dc:creator>Ministry of Health</dc:creator>
  <cp:lastModifiedBy>Ministry of Health</cp:lastModifiedBy>
  <cp:revision>8</cp:revision>
  <cp:lastPrinted>2021-11-02T01:41:00Z</cp:lastPrinted>
  <dcterms:created xsi:type="dcterms:W3CDTF">2021-10-31T22:08:00Z</dcterms:created>
  <dcterms:modified xsi:type="dcterms:W3CDTF">2021-11-02T01:42:00Z</dcterms:modified>
</cp:coreProperties>
</file>