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4166F" w14:textId="66F20E7E" w:rsidR="00E92509" w:rsidRPr="000C138D" w:rsidRDefault="00BA08C7" w:rsidP="00214E78">
      <w:pPr>
        <w:pStyle w:val="Heading1"/>
        <w:spacing w:before="0"/>
      </w:pPr>
      <w:bookmarkStart w:id="0" w:name="_GoBack"/>
      <w:bookmarkEnd w:id="0"/>
      <w:r w:rsidRPr="000C138D">
        <w:t>Impact Summary</w:t>
      </w:r>
      <w:r w:rsidR="00783846" w:rsidRPr="000C138D">
        <w:t>:</w:t>
      </w:r>
      <w:r w:rsidR="007C77B1" w:rsidRPr="000C138D">
        <w:t xml:space="preserve"> </w:t>
      </w:r>
      <w:r w:rsidR="005A2583" w:rsidRPr="000C138D">
        <w:t xml:space="preserve">Proposals for a </w:t>
      </w:r>
      <w:r w:rsidR="001C5532" w:rsidRPr="000C138D">
        <w:t>Smokefree</w:t>
      </w:r>
      <w:r w:rsidR="001A1D14">
        <w:t xml:space="preserve"> Aotearoa</w:t>
      </w:r>
      <w:r w:rsidR="001C5532" w:rsidRPr="000C138D">
        <w:t xml:space="preserve"> 2025 Action Plan</w:t>
      </w:r>
    </w:p>
    <w:p w14:paraId="2B7D2FA7" w14:textId="77777777" w:rsidR="00E92509" w:rsidRPr="000C138D" w:rsidRDefault="00E92509" w:rsidP="00214E78">
      <w:pPr>
        <w:pStyle w:val="Heading2"/>
      </w:pPr>
      <w:r w:rsidRPr="000C138D">
        <w:t>Section 1: General information</w:t>
      </w:r>
    </w:p>
    <w:tbl>
      <w:tblPr>
        <w:tblW w:w="4885" w:type="pct"/>
        <w:tblInd w:w="10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8852"/>
      </w:tblGrid>
      <w:tr w:rsidR="00DA39FD" w:rsidRPr="000C138D" w14:paraId="34542B1F" w14:textId="77777777" w:rsidTr="00BB4EA2">
        <w:tc>
          <w:tcPr>
            <w:tcW w:w="5000" w:type="pct"/>
            <w:shd w:val="clear" w:color="auto" w:fill="99CDDD"/>
            <w:hideMark/>
          </w:tcPr>
          <w:p w14:paraId="7C99D382" w14:textId="77777777" w:rsidR="00DA39FD" w:rsidRPr="000C138D" w:rsidRDefault="00217894" w:rsidP="00214E78">
            <w:pPr>
              <w:pStyle w:val="TableHeadings"/>
              <w:rPr>
                <w:color w:val="002060"/>
              </w:rPr>
            </w:pPr>
            <w:r w:rsidRPr="000C138D">
              <w:t>Purpose</w:t>
            </w:r>
          </w:p>
        </w:tc>
      </w:tr>
      <w:tr w:rsidR="00DA39FD" w:rsidRPr="000C138D" w14:paraId="574BA66D" w14:textId="77777777" w:rsidTr="00BB4EA2">
        <w:trPr>
          <w:trHeight w:val="680"/>
        </w:trPr>
        <w:tc>
          <w:tcPr>
            <w:tcW w:w="5000" w:type="pct"/>
            <w:shd w:val="clear" w:color="auto" w:fill="EBF5F8"/>
          </w:tcPr>
          <w:p w14:paraId="1C0718B5" w14:textId="71D1779C" w:rsidR="00DA39FD" w:rsidRPr="000C138D" w:rsidRDefault="0082483F" w:rsidP="008931C3">
            <w:r w:rsidRPr="000C138D">
              <w:t>The Ministry of Health</w:t>
            </w:r>
            <w:r w:rsidR="0021264F">
              <w:t xml:space="preserve"> (the Ministry)</w:t>
            </w:r>
            <w:r w:rsidRPr="000C138D">
              <w:t xml:space="preserve"> is solely responsible for the analysis and advice set out in this Regulatory Impact Statement, except as otherwise explicitly indicated.  This </w:t>
            </w:r>
            <w:r w:rsidR="000C138D" w:rsidRPr="000C138D">
              <w:t>statement</w:t>
            </w:r>
            <w:r w:rsidRPr="000C138D">
              <w:t xml:space="preserve"> has been produced to accompany a Cabinet paper that seeks agreement to publicly consult on options for legislative change to achieve a </w:t>
            </w:r>
            <w:r w:rsidR="008634A8">
              <w:t>S</w:t>
            </w:r>
            <w:r w:rsidRPr="000C138D">
              <w:t xml:space="preserve">mokefree Aotearoa </w:t>
            </w:r>
            <w:r w:rsidR="00734693" w:rsidRPr="000C138D">
              <w:t xml:space="preserve">by </w:t>
            </w:r>
            <w:r w:rsidRPr="000C138D">
              <w:t>2025, and to accompany the public consultation document.</w:t>
            </w:r>
          </w:p>
        </w:tc>
      </w:tr>
    </w:tbl>
    <w:p w14:paraId="0C3C992A" w14:textId="77777777" w:rsidR="00F81C1E" w:rsidRPr="000C138D" w:rsidRDefault="00F81C1E"/>
    <w:tbl>
      <w:tblPr>
        <w:tblW w:w="4885" w:type="pct"/>
        <w:tblInd w:w="10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8852"/>
      </w:tblGrid>
      <w:tr w:rsidR="00DA39FD" w:rsidRPr="000C138D" w14:paraId="4243C55B" w14:textId="77777777" w:rsidTr="00BB4EA2">
        <w:tc>
          <w:tcPr>
            <w:tcW w:w="5000" w:type="pct"/>
            <w:shd w:val="clear" w:color="auto" w:fill="99CDDD"/>
            <w:hideMark/>
          </w:tcPr>
          <w:p w14:paraId="0BCC9383" w14:textId="37DF74D4" w:rsidR="00DA39FD" w:rsidRPr="000C138D" w:rsidRDefault="00DA39FD" w:rsidP="00214E78">
            <w:pPr>
              <w:pStyle w:val="TableHeadings"/>
              <w:keepNext/>
            </w:pPr>
            <w:r w:rsidRPr="000C138D">
              <w:t xml:space="preserve">Key </w:t>
            </w:r>
            <w:r w:rsidR="000C138D" w:rsidRPr="000C138D">
              <w:t>l</w:t>
            </w:r>
            <w:r w:rsidRPr="000C138D">
              <w:t xml:space="preserve">imitations or </w:t>
            </w:r>
            <w:r w:rsidR="000C138D" w:rsidRPr="000C138D">
              <w:t>c</w:t>
            </w:r>
            <w:r w:rsidRPr="000C138D">
              <w:t xml:space="preserve">onstraints on </w:t>
            </w:r>
            <w:r w:rsidR="000C138D" w:rsidRPr="000C138D">
              <w:t>a</w:t>
            </w:r>
            <w:r w:rsidRPr="000C138D">
              <w:t>nalysis</w:t>
            </w:r>
          </w:p>
        </w:tc>
      </w:tr>
      <w:tr w:rsidR="0069218C" w:rsidRPr="000C138D" w14:paraId="3BE60628" w14:textId="77777777" w:rsidTr="00BB4EA2">
        <w:trPr>
          <w:trHeight w:val="1780"/>
        </w:trPr>
        <w:tc>
          <w:tcPr>
            <w:tcW w:w="5000" w:type="pct"/>
            <w:shd w:val="clear" w:color="auto" w:fill="auto"/>
          </w:tcPr>
          <w:p w14:paraId="3CF719D0" w14:textId="136F37D8" w:rsidR="0082483F" w:rsidRPr="000C138D" w:rsidRDefault="0074249B" w:rsidP="008931C3">
            <w:r w:rsidRPr="000C138D">
              <w:t>A Smokefree Aotearoa 2025 Action</w:t>
            </w:r>
            <w:r w:rsidR="0082483F" w:rsidRPr="000C138D">
              <w:t xml:space="preserve"> Plan is a government priority</w:t>
            </w:r>
            <w:r w:rsidR="000C138D">
              <w:t xml:space="preserve"> (Ministry of Health 2019)</w:t>
            </w:r>
            <w:r w:rsidR="0082483F" w:rsidRPr="000C138D">
              <w:t>.</w:t>
            </w:r>
            <w:r w:rsidR="0082483F" w:rsidRPr="000C138D">
              <w:rPr>
                <w:vertAlign w:val="superscript"/>
              </w:rPr>
              <w:t xml:space="preserve"> </w:t>
            </w:r>
            <w:r w:rsidR="0082483F" w:rsidRPr="000C138D">
              <w:t xml:space="preserve">It is well established that smoking is both harmful to health and addictive, limiting the ability of smokers to make rational choices to limit this harm. Partial or complete deregulation is therefore not considered. An outright ban on smoking or </w:t>
            </w:r>
            <w:r w:rsidR="00663F22">
              <w:t xml:space="preserve">on </w:t>
            </w:r>
            <w:r w:rsidR="0082483F" w:rsidRPr="000C138D">
              <w:t>import</w:t>
            </w:r>
            <w:r w:rsidR="00663F22">
              <w:t>ing</w:t>
            </w:r>
            <w:r w:rsidR="0082483F" w:rsidRPr="000C138D">
              <w:t xml:space="preserve"> tobacco has also been ruled out. Non</w:t>
            </w:r>
            <w:r w:rsidR="00663F22">
              <w:t>-</w:t>
            </w:r>
            <w:r w:rsidR="0082483F" w:rsidRPr="000C138D">
              <w:t xml:space="preserve">regulatory options </w:t>
            </w:r>
            <w:r w:rsidRPr="000C138D">
              <w:t xml:space="preserve">outlined in the </w:t>
            </w:r>
            <w:r w:rsidR="00C23005" w:rsidRPr="000C138D">
              <w:t>discussion document</w:t>
            </w:r>
            <w:r w:rsidR="0082483F" w:rsidRPr="000C138D">
              <w:t xml:space="preserve"> are not considered in detail. </w:t>
            </w:r>
          </w:p>
          <w:p w14:paraId="6EA60DA9" w14:textId="5EABF633" w:rsidR="0082483F" w:rsidRPr="000C138D" w:rsidRDefault="0082483F" w:rsidP="008931C3">
            <w:r w:rsidRPr="000C138D">
              <w:t xml:space="preserve">This Regulatory Impact Statement therefore considers a range of options that could be implemented under </w:t>
            </w:r>
            <w:r w:rsidR="001C5532" w:rsidRPr="000C138D">
              <w:t xml:space="preserve">the </w:t>
            </w:r>
            <w:r w:rsidRPr="000C138D">
              <w:t>Smokefree Environments and Regulated Products Act 1990</w:t>
            </w:r>
            <w:r w:rsidRPr="000C138D">
              <w:rPr>
                <w:vertAlign w:val="superscript"/>
              </w:rPr>
              <w:footnoteReference w:id="1"/>
            </w:r>
            <w:r w:rsidRPr="000C138D">
              <w:t xml:space="preserve"> and the Customs </w:t>
            </w:r>
            <w:r w:rsidR="00910628" w:rsidRPr="000C138D">
              <w:t xml:space="preserve">and Excise </w:t>
            </w:r>
            <w:r w:rsidRPr="000C138D">
              <w:t xml:space="preserve">Act 2018. It does not consider replacing or revoking existing measures. </w:t>
            </w:r>
          </w:p>
          <w:p w14:paraId="73670913" w14:textId="178AC607" w:rsidR="0082483F" w:rsidRPr="000C138D" w:rsidRDefault="0082483F" w:rsidP="008931C3">
            <w:r w:rsidRPr="000C138D">
              <w:t xml:space="preserve">Most of the measures </w:t>
            </w:r>
            <w:r w:rsidR="00C829D9">
              <w:t>that we are</w:t>
            </w:r>
            <w:r w:rsidR="00C829D9" w:rsidRPr="000C138D">
              <w:t xml:space="preserve"> </w:t>
            </w:r>
            <w:r w:rsidRPr="000C138D">
              <w:t>consider</w:t>
            </w:r>
            <w:r w:rsidR="00C829D9">
              <w:t>ing</w:t>
            </w:r>
            <w:r w:rsidRPr="000C138D">
              <w:t xml:space="preserve"> </w:t>
            </w:r>
            <w:r w:rsidR="00C829D9">
              <w:t xml:space="preserve">are not </w:t>
            </w:r>
            <w:r w:rsidRPr="000C138D">
              <w:t>yet widely implemented internationally and</w:t>
            </w:r>
            <w:r w:rsidR="00C829D9">
              <w:t>,</w:t>
            </w:r>
            <w:r w:rsidRPr="000C138D">
              <w:t xml:space="preserve"> in some cases, New Zealand would be world leading</w:t>
            </w:r>
            <w:r w:rsidR="00C829D9">
              <w:t xml:space="preserve"> in implementing them</w:t>
            </w:r>
            <w:r w:rsidRPr="000C138D">
              <w:t xml:space="preserve">. </w:t>
            </w:r>
            <w:r w:rsidR="00C829D9">
              <w:t xml:space="preserve">For this reason, </w:t>
            </w:r>
            <w:r w:rsidR="00640E4C">
              <w:t xml:space="preserve">there is significant uncertainty of the </w:t>
            </w:r>
            <w:r w:rsidR="002566BD">
              <w:t>outcomes</w:t>
            </w:r>
            <w:r w:rsidR="00640E4C">
              <w:t>.</w:t>
            </w:r>
            <w:r w:rsidRPr="000C138D">
              <w:t xml:space="preserve"> While a strong body of research exists around the </w:t>
            </w:r>
            <w:r w:rsidR="00492F10" w:rsidRPr="000C138D">
              <w:t xml:space="preserve">likely </w:t>
            </w:r>
            <w:r w:rsidRPr="000C138D">
              <w:t>impacts of the</w:t>
            </w:r>
            <w:r w:rsidR="00C829D9">
              <w:t>se</w:t>
            </w:r>
            <w:r w:rsidRPr="000C138D">
              <w:t xml:space="preserve"> measures, comparable markets </w:t>
            </w:r>
            <w:r w:rsidR="00C829D9">
              <w:t xml:space="preserve">have not evaluated them extensively </w:t>
            </w:r>
            <w:r w:rsidRPr="000C138D">
              <w:t>and modelling of the</w:t>
            </w:r>
            <w:r w:rsidR="00C829D9">
              <w:t>ir</w:t>
            </w:r>
            <w:r w:rsidRPr="000C138D">
              <w:t xml:space="preserve"> effect </w:t>
            </w:r>
            <w:r w:rsidR="00C829D9">
              <w:t xml:space="preserve">is </w:t>
            </w:r>
            <w:r w:rsidR="00C829D9" w:rsidRPr="000C138D">
              <w:t>limited</w:t>
            </w:r>
            <w:r w:rsidRPr="000C138D">
              <w:t>.</w:t>
            </w:r>
          </w:p>
          <w:p w14:paraId="52D40155" w14:textId="3336F36F" w:rsidR="0082483F" w:rsidRPr="000C138D" w:rsidRDefault="0082483F" w:rsidP="008931C3">
            <w:r w:rsidRPr="000C138D">
              <w:t xml:space="preserve">For example, strong evidence </w:t>
            </w:r>
            <w:r w:rsidR="005C5A84">
              <w:t xml:space="preserve">indicates </w:t>
            </w:r>
            <w:r w:rsidRPr="000C138D">
              <w:t>that removing the nicotine from tobacco makes it unattractive to many smokers. Very low nicotine cigarettes are available and have been for some years, making this policy technically feasible. However, no country has mandated this change to date, so</w:t>
            </w:r>
            <w:r w:rsidR="005C5A84">
              <w:t xml:space="preserve"> </w:t>
            </w:r>
            <w:r w:rsidRPr="000C138D">
              <w:t xml:space="preserve">there </w:t>
            </w:r>
            <w:r w:rsidR="005C5A84">
              <w:t xml:space="preserve">would be </w:t>
            </w:r>
            <w:r w:rsidRPr="000C138D">
              <w:t xml:space="preserve">implementation </w:t>
            </w:r>
            <w:r w:rsidR="00D23632" w:rsidRPr="000C138D">
              <w:t>difficulties to</w:t>
            </w:r>
            <w:r w:rsidRPr="000C138D">
              <w:t xml:space="preserve"> </w:t>
            </w:r>
            <w:r w:rsidR="00932CF2" w:rsidRPr="000C138D">
              <w:t>overcome,</w:t>
            </w:r>
            <w:r w:rsidRPr="000C138D">
              <w:t xml:space="preserve"> and evaluation from comparable markets</w:t>
            </w:r>
            <w:r w:rsidR="005C5A84">
              <w:t xml:space="preserve"> is lacking</w:t>
            </w:r>
            <w:r w:rsidRPr="000C138D">
              <w:t xml:space="preserve">.  </w:t>
            </w:r>
          </w:p>
          <w:p w14:paraId="2A43F538" w14:textId="57C7AB45" w:rsidR="0082483F" w:rsidRPr="000C138D" w:rsidRDefault="0082483F" w:rsidP="008931C3">
            <w:r w:rsidRPr="000C138D">
              <w:t>Potential impact is estimated based on available evidence, modelling by New Zealand researchers where available and expert opinion. This includes consider</w:t>
            </w:r>
            <w:r w:rsidR="005C5A84">
              <w:t xml:space="preserve">ing how likely it is that </w:t>
            </w:r>
            <w:r w:rsidRPr="000C138D">
              <w:t xml:space="preserve">the measures will reduce </w:t>
            </w:r>
            <w:r w:rsidR="00C542A0" w:rsidRPr="000C138D">
              <w:t xml:space="preserve">the prevalence </w:t>
            </w:r>
            <w:r w:rsidRPr="000C138D">
              <w:t>of smok</w:t>
            </w:r>
            <w:r w:rsidR="00C542A0" w:rsidRPr="000C138D">
              <w:t>ing</w:t>
            </w:r>
            <w:r w:rsidRPr="000C138D">
              <w:t xml:space="preserve"> and the impact on equity where this can be assessed, as well as potential issues in implementation. </w:t>
            </w:r>
            <w:r w:rsidR="005C5A84">
              <w:t>We have used p</w:t>
            </w:r>
            <w:r w:rsidR="00492F10" w:rsidRPr="000C138D">
              <w:t xml:space="preserve">revious consultation and consumer research </w:t>
            </w:r>
            <w:r w:rsidR="005C5A84">
              <w:t xml:space="preserve">in related areas </w:t>
            </w:r>
            <w:r w:rsidR="00492F10" w:rsidRPr="000C138D">
              <w:t>to inform likely public opinion on measures</w:t>
            </w:r>
            <w:r w:rsidR="000E6F3D" w:rsidRPr="000C138D">
              <w:t>.</w:t>
            </w:r>
          </w:p>
          <w:p w14:paraId="65EE7FC5" w14:textId="77777777" w:rsidR="00E6054D" w:rsidRDefault="005C5A84" w:rsidP="008931C3">
            <w:r>
              <w:t>We will undertake c</w:t>
            </w:r>
            <w:r w:rsidR="0082483F" w:rsidRPr="000C138D">
              <w:t>onsultation on the draft action plan discussion document and will use</w:t>
            </w:r>
            <w:r>
              <w:t xml:space="preserve"> that feedback</w:t>
            </w:r>
            <w:r w:rsidR="0082483F" w:rsidRPr="000C138D">
              <w:t xml:space="preserve"> to </w:t>
            </w:r>
            <w:r w:rsidR="00492F10" w:rsidRPr="000C138D">
              <w:t xml:space="preserve">inform </w:t>
            </w:r>
            <w:r w:rsidR="0082483F" w:rsidRPr="000C138D">
              <w:t xml:space="preserve">the final </w:t>
            </w:r>
            <w:r>
              <w:t>R</w:t>
            </w:r>
            <w:r w:rsidR="0082483F" w:rsidRPr="000C138D">
              <w:t xml:space="preserve">egulatory </w:t>
            </w:r>
            <w:r>
              <w:t>I</w:t>
            </w:r>
            <w:r w:rsidR="0082483F" w:rsidRPr="000C138D">
              <w:t xml:space="preserve">mpact </w:t>
            </w:r>
            <w:r>
              <w:t>S</w:t>
            </w:r>
            <w:r w:rsidR="0082483F" w:rsidRPr="000C138D">
              <w:t>tatement</w:t>
            </w:r>
            <w:r w:rsidR="00492F10" w:rsidRPr="000C138D">
              <w:t>.</w:t>
            </w:r>
            <w:r w:rsidR="0082483F" w:rsidRPr="000C138D">
              <w:t xml:space="preserve"> </w:t>
            </w:r>
          </w:p>
          <w:p w14:paraId="22F2A6AF" w14:textId="77777777" w:rsidR="00932CF2" w:rsidRDefault="00932CF2" w:rsidP="008931C3">
            <w:pPr>
              <w:rPr>
                <w:rFonts w:cs="Arial"/>
                <w:szCs w:val="22"/>
              </w:rPr>
            </w:pPr>
          </w:p>
          <w:p w14:paraId="32C5E19B" w14:textId="77777777" w:rsidR="00932CF2" w:rsidRDefault="00932CF2" w:rsidP="008931C3">
            <w:pPr>
              <w:rPr>
                <w:rFonts w:cs="Arial"/>
                <w:szCs w:val="22"/>
              </w:rPr>
            </w:pPr>
          </w:p>
          <w:p w14:paraId="0C2328EF" w14:textId="51F157E6" w:rsidR="00932CF2" w:rsidRPr="000C138D" w:rsidRDefault="00932CF2" w:rsidP="008931C3">
            <w:pPr>
              <w:rPr>
                <w:rFonts w:cs="Arial"/>
                <w:szCs w:val="22"/>
              </w:rPr>
            </w:pPr>
          </w:p>
        </w:tc>
      </w:tr>
      <w:tr w:rsidR="00DA39FD" w:rsidRPr="000C138D" w14:paraId="106E234D" w14:textId="77777777" w:rsidTr="00BB4EA2">
        <w:tc>
          <w:tcPr>
            <w:tcW w:w="5000" w:type="pct"/>
            <w:shd w:val="clear" w:color="auto" w:fill="99CDDD"/>
            <w:hideMark/>
          </w:tcPr>
          <w:p w14:paraId="02870241" w14:textId="22025215" w:rsidR="00DA39FD" w:rsidRPr="000C138D" w:rsidRDefault="00DA39FD" w:rsidP="00EC6FAD">
            <w:pPr>
              <w:pStyle w:val="TableHeadings"/>
              <w:rPr>
                <w:szCs w:val="22"/>
              </w:rPr>
            </w:pPr>
            <w:r w:rsidRPr="000C138D">
              <w:rPr>
                <w:szCs w:val="22"/>
              </w:rPr>
              <w:lastRenderedPageBreak/>
              <w:t>Responsible Manager (signature and date):</w:t>
            </w:r>
          </w:p>
        </w:tc>
      </w:tr>
      <w:tr w:rsidR="00E92509" w:rsidRPr="000C138D" w14:paraId="2699BD6E" w14:textId="77777777" w:rsidTr="00BB4EA2">
        <w:trPr>
          <w:trHeight w:val="3108"/>
        </w:trPr>
        <w:tc>
          <w:tcPr>
            <w:tcW w:w="5000" w:type="pct"/>
            <w:shd w:val="clear" w:color="auto" w:fill="FFFFFF"/>
          </w:tcPr>
          <w:p w14:paraId="6C4CF07A" w14:textId="77777777" w:rsidR="00380585" w:rsidRPr="000C138D" w:rsidRDefault="004657A8" w:rsidP="008931C3">
            <w:r w:rsidRPr="000C138D">
              <w:t xml:space="preserve">Sally Stewart </w:t>
            </w:r>
          </w:p>
          <w:p w14:paraId="5EB26F4E" w14:textId="77777777" w:rsidR="00380585" w:rsidRPr="000C138D" w:rsidRDefault="004657A8" w:rsidP="008931C3">
            <w:r w:rsidRPr="000C138D">
              <w:t>Manager, Tobacco Control Programme</w:t>
            </w:r>
          </w:p>
          <w:p w14:paraId="7E64EE41" w14:textId="77777777" w:rsidR="00380585" w:rsidRPr="000C138D" w:rsidRDefault="004657A8" w:rsidP="008931C3">
            <w:r w:rsidRPr="000C138D">
              <w:t>Population Health and Prevention</w:t>
            </w:r>
          </w:p>
          <w:p w14:paraId="01153B8A" w14:textId="77777777" w:rsidR="00E92509" w:rsidRPr="000C138D" w:rsidRDefault="004657A8" w:rsidP="008931C3">
            <w:pPr>
              <w:rPr>
                <w:rFonts w:cs="Arial"/>
              </w:rPr>
            </w:pPr>
            <w:r w:rsidRPr="000C138D">
              <w:t>Ministry of Health</w:t>
            </w:r>
          </w:p>
        </w:tc>
      </w:tr>
    </w:tbl>
    <w:p w14:paraId="7304E373" w14:textId="77777777" w:rsidR="00EE447B" w:rsidRPr="000C138D" w:rsidRDefault="00EE447B" w:rsidP="007A484F">
      <w:pPr>
        <w:spacing w:before="240" w:after="0" w:line="276" w:lineRule="auto"/>
        <w:rPr>
          <w:rFonts w:ascii="Arial Narrow" w:hAnsi="Arial Narrow"/>
          <w:i/>
          <w:szCs w:val="22"/>
        </w:rPr>
      </w:pPr>
      <w:bookmarkStart w:id="1" w:name="_Toc363047038"/>
      <w:bookmarkStart w:id="2" w:name="_Toc362940530"/>
      <w:bookmarkStart w:id="3" w:name="_Toc362618966"/>
      <w:bookmarkStart w:id="4" w:name="_Toc362434720"/>
      <w:bookmarkStart w:id="5" w:name="_Toc362368098"/>
      <w:r w:rsidRPr="000C138D">
        <w:rPr>
          <w:i/>
          <w:szCs w:val="22"/>
        </w:rPr>
        <w:t>To be completed by quality assurers:</w:t>
      </w:r>
    </w:p>
    <w:tbl>
      <w:tblPr>
        <w:tblW w:w="9072" w:type="dxa"/>
        <w:tblInd w:w="10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9072"/>
      </w:tblGrid>
      <w:tr w:rsidR="00EE447B" w:rsidRPr="000C138D" w14:paraId="38253700" w14:textId="77777777" w:rsidTr="00BB4EA2">
        <w:trPr>
          <w:trHeight w:val="77"/>
        </w:trPr>
        <w:tc>
          <w:tcPr>
            <w:tcW w:w="9072" w:type="dxa"/>
            <w:shd w:val="clear" w:color="auto" w:fill="99CDDD"/>
            <w:hideMark/>
          </w:tcPr>
          <w:p w14:paraId="1D96AADA" w14:textId="77777777" w:rsidR="00EE447B" w:rsidRPr="000C138D" w:rsidRDefault="00EE447B">
            <w:pPr>
              <w:spacing w:before="60" w:after="60" w:line="240" w:lineRule="auto"/>
              <w:rPr>
                <w:szCs w:val="22"/>
              </w:rPr>
            </w:pPr>
            <w:r w:rsidRPr="000C138D">
              <w:rPr>
                <w:szCs w:val="22"/>
              </w:rPr>
              <w:t>Quality Assurance Reviewing Agency:</w:t>
            </w:r>
          </w:p>
        </w:tc>
      </w:tr>
      <w:tr w:rsidR="00EE447B" w:rsidRPr="000C138D" w14:paraId="45069B62" w14:textId="77777777" w:rsidTr="00BB4EA2">
        <w:trPr>
          <w:trHeight w:val="850"/>
        </w:trPr>
        <w:tc>
          <w:tcPr>
            <w:tcW w:w="9072" w:type="dxa"/>
            <w:shd w:val="clear" w:color="auto" w:fill="FFFFFF"/>
          </w:tcPr>
          <w:p w14:paraId="06BBD19F" w14:textId="0BC889EF" w:rsidR="00EE447B" w:rsidRPr="001707D2" w:rsidRDefault="001707D2" w:rsidP="00E6054D">
            <w:r w:rsidRPr="001707D2">
              <w:t>Ministry of Health </w:t>
            </w:r>
          </w:p>
          <w:p w14:paraId="6E657356" w14:textId="77777777" w:rsidR="00EE447B" w:rsidRPr="000C138D" w:rsidRDefault="00EE447B">
            <w:pPr>
              <w:pStyle w:val="spacer"/>
              <w:spacing w:line="276" w:lineRule="auto"/>
              <w:rPr>
                <w:sz w:val="22"/>
              </w:rPr>
            </w:pPr>
          </w:p>
        </w:tc>
      </w:tr>
      <w:tr w:rsidR="00EE447B" w:rsidRPr="000C138D" w14:paraId="43B1261A" w14:textId="77777777" w:rsidTr="00BB4EA2">
        <w:trPr>
          <w:trHeight w:val="109"/>
        </w:trPr>
        <w:tc>
          <w:tcPr>
            <w:tcW w:w="9072" w:type="dxa"/>
            <w:shd w:val="clear" w:color="auto" w:fill="99CDDD"/>
            <w:hideMark/>
          </w:tcPr>
          <w:p w14:paraId="2983E33B" w14:textId="77777777" w:rsidR="00EE447B" w:rsidRPr="000C138D" w:rsidRDefault="00EE447B">
            <w:pPr>
              <w:spacing w:before="60" w:after="60" w:line="240" w:lineRule="auto"/>
              <w:rPr>
                <w:szCs w:val="22"/>
              </w:rPr>
            </w:pPr>
            <w:r w:rsidRPr="000C138D">
              <w:rPr>
                <w:szCs w:val="22"/>
              </w:rPr>
              <w:t>Quality Assurance Assessment:</w:t>
            </w:r>
          </w:p>
        </w:tc>
      </w:tr>
      <w:tr w:rsidR="00EE447B" w:rsidRPr="000C138D" w14:paraId="2A269F17" w14:textId="77777777" w:rsidTr="00BB4EA2">
        <w:trPr>
          <w:trHeight w:val="850"/>
        </w:trPr>
        <w:tc>
          <w:tcPr>
            <w:tcW w:w="9072" w:type="dxa"/>
            <w:shd w:val="clear" w:color="auto" w:fill="FFFFFF"/>
          </w:tcPr>
          <w:p w14:paraId="130F5A98" w14:textId="5B4FF283" w:rsidR="00B612F0" w:rsidRDefault="00B612F0" w:rsidP="006E0E58">
            <w:r>
              <w:t xml:space="preserve">The Ministry </w:t>
            </w:r>
            <w:r w:rsidR="00F3489D">
              <w:t xml:space="preserve">of Health </w:t>
            </w:r>
            <w:r>
              <w:t>QA panel has reviewed the Impact Statement</w:t>
            </w:r>
            <w:r w:rsidRPr="00121ED9">
              <w:t xml:space="preserve"> </w:t>
            </w:r>
            <w:r>
              <w:t xml:space="preserve">titled </w:t>
            </w:r>
            <w:r w:rsidRPr="00121ED9">
              <w:t>“</w:t>
            </w:r>
            <w:r w:rsidRPr="00433BBC">
              <w:t>Proposals for a Smokefree Aotearoa 2025 Action Plan</w:t>
            </w:r>
            <w:r>
              <w:t xml:space="preserve">”, produced by the Ministry of Health and dated March 2021. </w:t>
            </w:r>
          </w:p>
          <w:p w14:paraId="4F132C52" w14:textId="77777777" w:rsidR="00B612F0" w:rsidRDefault="00B612F0" w:rsidP="006E0E58">
            <w:r>
              <w:t xml:space="preserve">The panel considers that the Impact Statement </w:t>
            </w:r>
            <w:r w:rsidRPr="00BD6392">
              <w:rPr>
                <w:b/>
              </w:rPr>
              <w:t>meet</w:t>
            </w:r>
            <w:r>
              <w:rPr>
                <w:b/>
              </w:rPr>
              <w:t>s</w:t>
            </w:r>
            <w:r>
              <w:t xml:space="preserve"> the quality assurance criteria.</w:t>
            </w:r>
          </w:p>
          <w:p w14:paraId="32E8DB02" w14:textId="77777777" w:rsidR="00EE447B" w:rsidRPr="000C138D" w:rsidRDefault="00EE447B">
            <w:pPr>
              <w:pStyle w:val="spacer"/>
              <w:spacing w:line="276" w:lineRule="auto"/>
              <w:rPr>
                <w:sz w:val="22"/>
              </w:rPr>
            </w:pPr>
          </w:p>
        </w:tc>
      </w:tr>
      <w:tr w:rsidR="00EE447B" w:rsidRPr="000C138D" w14:paraId="13F01187" w14:textId="77777777" w:rsidTr="00BB4EA2">
        <w:trPr>
          <w:trHeight w:val="56"/>
        </w:trPr>
        <w:tc>
          <w:tcPr>
            <w:tcW w:w="9072" w:type="dxa"/>
            <w:shd w:val="clear" w:color="auto" w:fill="99CDDD"/>
            <w:hideMark/>
          </w:tcPr>
          <w:p w14:paraId="26B1F426" w14:textId="77777777" w:rsidR="00EE447B" w:rsidRPr="000C138D" w:rsidRDefault="00EE447B">
            <w:pPr>
              <w:spacing w:before="60" w:after="60" w:line="240" w:lineRule="auto"/>
              <w:rPr>
                <w:szCs w:val="22"/>
              </w:rPr>
            </w:pPr>
            <w:r w:rsidRPr="000C138D">
              <w:rPr>
                <w:szCs w:val="22"/>
              </w:rPr>
              <w:t>Reviewer Comments and Recommendations:</w:t>
            </w:r>
          </w:p>
        </w:tc>
      </w:tr>
      <w:tr w:rsidR="00EE447B" w:rsidRPr="000C138D" w14:paraId="32402063" w14:textId="77777777" w:rsidTr="00BB4EA2">
        <w:trPr>
          <w:trHeight w:val="850"/>
        </w:trPr>
        <w:tc>
          <w:tcPr>
            <w:tcW w:w="9072" w:type="dxa"/>
            <w:shd w:val="clear" w:color="auto" w:fill="FFFFFF"/>
          </w:tcPr>
          <w:p w14:paraId="6B1F7E60" w14:textId="09F0D45A" w:rsidR="00E6054D" w:rsidRPr="000C138D" w:rsidRDefault="006E0E58" w:rsidP="007F00D3">
            <w:r>
              <w:t>The Impact Statement is clear, complete, considered and concise, and suitable for a consultation paper. The analysis is balanced in its presentation of the information and the major impacts are identified and assessed.</w:t>
            </w:r>
          </w:p>
        </w:tc>
      </w:tr>
    </w:tbl>
    <w:p w14:paraId="61274503" w14:textId="77777777" w:rsidR="00E92509" w:rsidRPr="000C138D" w:rsidRDefault="00F132B2" w:rsidP="000E0C9E">
      <w:pPr>
        <w:pStyle w:val="Heading2"/>
      </w:pPr>
      <w:r w:rsidRPr="000C138D">
        <w:rPr>
          <w:rFonts w:cs="Arial"/>
        </w:rPr>
        <w:br w:type="page"/>
      </w:r>
      <w:r w:rsidR="00E92509" w:rsidRPr="000C138D">
        <w:lastRenderedPageBreak/>
        <w:t xml:space="preserve">Section 2: </w:t>
      </w:r>
      <w:bookmarkEnd w:id="1"/>
      <w:bookmarkEnd w:id="2"/>
      <w:bookmarkEnd w:id="3"/>
      <w:bookmarkEnd w:id="4"/>
      <w:bookmarkEnd w:id="5"/>
      <w:r w:rsidR="00304CE4" w:rsidRPr="000C138D">
        <w:t xml:space="preserve">Problem </w:t>
      </w:r>
      <w:r w:rsidR="0032262A" w:rsidRPr="000C138D">
        <w:t>d</w:t>
      </w:r>
      <w:r w:rsidR="00304CE4" w:rsidRPr="000C138D">
        <w:t>efinition</w:t>
      </w:r>
      <w:r w:rsidR="0032262A" w:rsidRPr="000C138D">
        <w:t xml:space="preserve"> and objectives</w:t>
      </w:r>
    </w:p>
    <w:tbl>
      <w:tblPr>
        <w:tblW w:w="4885" w:type="pct"/>
        <w:tblInd w:w="10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8852"/>
      </w:tblGrid>
      <w:tr w:rsidR="002D5734" w:rsidRPr="000C138D" w14:paraId="2CB3BB5D" w14:textId="77777777" w:rsidTr="00BB4EA2">
        <w:trPr>
          <w:trHeight w:val="77"/>
        </w:trPr>
        <w:tc>
          <w:tcPr>
            <w:tcW w:w="5000" w:type="pct"/>
            <w:shd w:val="clear" w:color="auto" w:fill="99CDDD"/>
            <w:hideMark/>
          </w:tcPr>
          <w:p w14:paraId="3A8F7622" w14:textId="387CA0ED" w:rsidR="00E92509" w:rsidRPr="000C138D" w:rsidRDefault="002A56F0" w:rsidP="00214E78">
            <w:pPr>
              <w:pStyle w:val="TableHeadings"/>
            </w:pPr>
            <w:r w:rsidRPr="000C138D">
              <w:t xml:space="preserve">2.1 </w:t>
            </w:r>
            <w:r w:rsidR="00051A88" w:rsidRPr="000C138D">
              <w:t>What is the policy problem or opportunity</w:t>
            </w:r>
            <w:r w:rsidR="002106CB" w:rsidRPr="000C138D">
              <w:t>?</w:t>
            </w:r>
          </w:p>
        </w:tc>
      </w:tr>
      <w:tr w:rsidR="00A552DC" w:rsidRPr="000C138D" w14:paraId="2F79620A" w14:textId="77777777" w:rsidTr="00BB4EA2">
        <w:trPr>
          <w:trHeight w:val="1913"/>
        </w:trPr>
        <w:tc>
          <w:tcPr>
            <w:tcW w:w="5000" w:type="pct"/>
            <w:shd w:val="clear" w:color="auto" w:fill="auto"/>
          </w:tcPr>
          <w:p w14:paraId="06279D6E" w14:textId="20367DA4" w:rsidR="0082483F" w:rsidRPr="000C138D" w:rsidRDefault="0082483F" w:rsidP="008931C3">
            <w:r w:rsidRPr="000C138D">
              <w:t xml:space="preserve">Tobacco use is the single biggest cause of premature death and ill health in New Zealand. </w:t>
            </w:r>
            <w:r w:rsidR="00A315DC">
              <w:t>An</w:t>
            </w:r>
            <w:r w:rsidRPr="000C138D">
              <w:t xml:space="preserve"> estimated 4,500 New Zealanders die from smoking</w:t>
            </w:r>
            <w:r w:rsidR="00A315DC">
              <w:t>-</w:t>
            </w:r>
            <w:r w:rsidRPr="000C138D">
              <w:t xml:space="preserve">related illnesses each year. The health impacts </w:t>
            </w:r>
            <w:r w:rsidR="00A315DC">
              <w:t>linked</w:t>
            </w:r>
            <w:r w:rsidR="00A315DC" w:rsidRPr="000C138D">
              <w:t xml:space="preserve"> </w:t>
            </w:r>
            <w:r w:rsidRPr="000C138D">
              <w:t>with tobacco use include lung cancer, respiratory disease and cardiovascular disease. Smoking</w:t>
            </w:r>
            <w:r w:rsidR="00A315DC">
              <w:t>-</w:t>
            </w:r>
            <w:r w:rsidRPr="000C138D">
              <w:t>related illnesses disproportionately affect Māori and Pacific people</w:t>
            </w:r>
            <w:r w:rsidR="00E54D61" w:rsidRPr="000C138D">
              <w:t>s</w:t>
            </w:r>
            <w:r w:rsidRPr="000C138D">
              <w:t xml:space="preserve"> and contribute to significant health inequities. For example, Māori women have some of the highest mortality rates for lung cancer in the world</w:t>
            </w:r>
            <w:r w:rsidR="00A315DC">
              <w:t xml:space="preserve"> (New Zealand Parliament 2010)</w:t>
            </w:r>
            <w:r w:rsidRPr="000C138D">
              <w:t xml:space="preserve">. </w:t>
            </w:r>
          </w:p>
          <w:p w14:paraId="38CF32BE" w14:textId="778FEA5B" w:rsidR="0082483F" w:rsidRPr="000C138D" w:rsidRDefault="0082483F" w:rsidP="008931C3">
            <w:r w:rsidRPr="000C138D">
              <w:t xml:space="preserve">It is well established that smoking is not just harmful, but also </w:t>
            </w:r>
            <w:r w:rsidR="00AC12FE">
              <w:t>highly</w:t>
            </w:r>
            <w:r w:rsidR="00AC12FE" w:rsidRPr="000C138D">
              <w:t xml:space="preserve"> </w:t>
            </w:r>
            <w:r w:rsidRPr="000C138D">
              <w:t xml:space="preserve">addictive because of the effects of nicotine. Smokers often state that they wish to quit, </w:t>
            </w:r>
            <w:r w:rsidR="00AC12FE">
              <w:t xml:space="preserve">but in </w:t>
            </w:r>
            <w:proofErr w:type="gramStart"/>
            <w:r w:rsidR="00AC12FE">
              <w:t>reality</w:t>
            </w:r>
            <w:proofErr w:type="gramEnd"/>
            <w:r w:rsidR="00AC12FE" w:rsidRPr="000C138D">
              <w:t xml:space="preserve"> </w:t>
            </w:r>
            <w:r w:rsidRPr="000C138D">
              <w:t>find the</w:t>
            </w:r>
            <w:r w:rsidR="00AC12FE">
              <w:t>y cannot</w:t>
            </w:r>
            <w:r w:rsidRPr="000C138D">
              <w:t>. Regulatory intervention is therefore an appropriate response</w:t>
            </w:r>
            <w:r w:rsidR="00AC12FE">
              <w:t xml:space="preserve"> as a way of</w:t>
            </w:r>
            <w:r w:rsidRPr="000C138D">
              <w:t xml:space="preserve"> reduc</w:t>
            </w:r>
            <w:r w:rsidR="00AC12FE">
              <w:t>ing</w:t>
            </w:r>
            <w:r w:rsidRPr="000C138D">
              <w:t xml:space="preserve"> the availability of tobacco products and the</w:t>
            </w:r>
            <w:r w:rsidR="00AC12FE">
              <w:t>ir</w:t>
            </w:r>
            <w:r w:rsidRPr="000C138D">
              <w:t xml:space="preserve"> appeal </w:t>
            </w:r>
            <w:r w:rsidR="00AC12FE">
              <w:t xml:space="preserve">to </w:t>
            </w:r>
            <w:r w:rsidRPr="000C138D">
              <w:t>smokers.</w:t>
            </w:r>
          </w:p>
          <w:p w14:paraId="7FDA7C2F" w14:textId="657EB260" w:rsidR="0082483F" w:rsidRPr="000C138D" w:rsidRDefault="00AC12FE" w:rsidP="008931C3">
            <w:r>
              <w:t>We have made p</w:t>
            </w:r>
            <w:r w:rsidR="0082483F" w:rsidRPr="000C138D">
              <w:t xml:space="preserve">rogress in reducing the harms from smoking but there is </w:t>
            </w:r>
            <w:r>
              <w:t xml:space="preserve">still </w:t>
            </w:r>
            <w:r w:rsidR="0082483F" w:rsidRPr="000C138D">
              <w:t xml:space="preserve">opportunity for improvement. In 2011 the </w:t>
            </w:r>
            <w:r>
              <w:t>G</w:t>
            </w:r>
            <w:r w:rsidR="0082483F" w:rsidRPr="000C138D">
              <w:t xml:space="preserve">overnment set a goal for a </w:t>
            </w:r>
            <w:r w:rsidR="0063085B">
              <w:t>S</w:t>
            </w:r>
            <w:r w:rsidR="0082483F" w:rsidRPr="000C138D">
              <w:t xml:space="preserve">mokefree Aotearoa by 2025. </w:t>
            </w:r>
            <w:r w:rsidR="006D24C8">
              <w:t>We have taken a</w:t>
            </w:r>
            <w:r w:rsidR="0082483F" w:rsidRPr="000C138D">
              <w:t xml:space="preserve">ctions to support this goal, but additional measures </w:t>
            </w:r>
            <w:r w:rsidR="006D24C8">
              <w:t>are</w:t>
            </w:r>
            <w:r w:rsidR="0082483F" w:rsidRPr="000C138D">
              <w:t xml:space="preserve"> needed. </w:t>
            </w:r>
          </w:p>
          <w:p w14:paraId="7BDB1D1E" w14:textId="0C15CAC3" w:rsidR="0082483F" w:rsidRPr="000C138D" w:rsidRDefault="006D24C8" w:rsidP="008931C3">
            <w:r>
              <w:t>S</w:t>
            </w:r>
            <w:r w:rsidR="0082483F" w:rsidRPr="000C138D">
              <w:t xml:space="preserve">everal policy opportunities exist within the legislative system. </w:t>
            </w:r>
            <w:r w:rsidR="00252874" w:rsidRPr="000C138D">
              <w:t>The tobacco control programme</w:t>
            </w:r>
            <w:r w:rsidR="0082483F" w:rsidRPr="000C138D">
              <w:t xml:space="preserve"> has focused </w:t>
            </w:r>
            <w:r w:rsidR="00173B71" w:rsidRPr="000C138D">
              <w:t xml:space="preserve">primarily on </w:t>
            </w:r>
            <w:r w:rsidR="00BD247A" w:rsidRPr="000C138D">
              <w:t xml:space="preserve">reducing </w:t>
            </w:r>
            <w:r w:rsidR="0082483F" w:rsidRPr="000C138D">
              <w:t xml:space="preserve">demand and </w:t>
            </w:r>
            <w:proofErr w:type="spellStart"/>
            <w:r w:rsidR="0000150A" w:rsidRPr="000C138D">
              <w:t>denormali</w:t>
            </w:r>
            <w:r w:rsidR="0000150A">
              <w:t>sing</w:t>
            </w:r>
            <w:proofErr w:type="spellEnd"/>
            <w:r w:rsidR="0000150A">
              <w:t xml:space="preserve"> smoking</w:t>
            </w:r>
            <w:r w:rsidR="0000150A" w:rsidRPr="000C138D">
              <w:t xml:space="preserve"> </w:t>
            </w:r>
            <w:r w:rsidR="0082483F" w:rsidRPr="000C138D">
              <w:t>th</w:t>
            </w:r>
            <w:r w:rsidR="0000150A">
              <w:t>r</w:t>
            </w:r>
            <w:r w:rsidR="0082483F" w:rsidRPr="000C138D">
              <w:t>ough influencing consumer choice and behaviours</w:t>
            </w:r>
            <w:r w:rsidR="00FE608A" w:rsidRPr="000C138D">
              <w:t>. While</w:t>
            </w:r>
            <w:r w:rsidR="0082483F" w:rsidRPr="000C138D">
              <w:t xml:space="preserve"> this </w:t>
            </w:r>
            <w:r w:rsidR="0000150A">
              <w:t xml:space="preserve">approach </w:t>
            </w:r>
            <w:r w:rsidR="0082483F" w:rsidRPr="000C138D">
              <w:t xml:space="preserve">has had </w:t>
            </w:r>
            <w:r w:rsidR="00313889" w:rsidRPr="000C138D">
              <w:t xml:space="preserve">some </w:t>
            </w:r>
            <w:r w:rsidR="0082483F" w:rsidRPr="000C138D">
              <w:t>success</w:t>
            </w:r>
            <w:r w:rsidR="00FE608A" w:rsidRPr="000C138D">
              <w:t>,</w:t>
            </w:r>
            <w:r w:rsidR="0082483F" w:rsidRPr="000C138D">
              <w:t xml:space="preserve"> more could to be done at a population level to change the broader smoking environment by considering the availability, appeal and addictiveness, and affordability of tobacco products.  </w:t>
            </w:r>
          </w:p>
          <w:p w14:paraId="1FF90674" w14:textId="598F3E45" w:rsidR="00F132B2" w:rsidRPr="000C138D" w:rsidRDefault="0082483F" w:rsidP="008931C3">
            <w:r w:rsidRPr="000C138D">
              <w:rPr>
                <w:lang w:eastAsia="en-AU"/>
              </w:rPr>
              <w:t xml:space="preserve">Additionally, the emergence of vaping products could </w:t>
            </w:r>
            <w:r w:rsidR="0000150A">
              <w:rPr>
                <w:lang w:eastAsia="en-AU"/>
              </w:rPr>
              <w:t>provide a way for</w:t>
            </w:r>
            <w:r w:rsidR="0000150A" w:rsidRPr="000C138D">
              <w:rPr>
                <w:lang w:eastAsia="en-AU"/>
              </w:rPr>
              <w:t xml:space="preserve"> </w:t>
            </w:r>
            <w:r w:rsidRPr="000C138D">
              <w:rPr>
                <w:lang w:eastAsia="en-AU"/>
              </w:rPr>
              <w:t xml:space="preserve">adult smokers </w:t>
            </w:r>
            <w:r w:rsidR="0000150A">
              <w:rPr>
                <w:lang w:eastAsia="en-AU"/>
              </w:rPr>
              <w:t xml:space="preserve">to </w:t>
            </w:r>
            <w:r w:rsidRPr="000C138D">
              <w:rPr>
                <w:lang w:eastAsia="en-AU"/>
              </w:rPr>
              <w:t>access nicotine without</w:t>
            </w:r>
            <w:r w:rsidR="0000150A">
              <w:rPr>
                <w:lang w:eastAsia="en-AU"/>
              </w:rPr>
              <w:t xml:space="preserve"> facing</w:t>
            </w:r>
            <w:r w:rsidRPr="000C138D">
              <w:rPr>
                <w:lang w:eastAsia="en-AU"/>
              </w:rPr>
              <w:t xml:space="preserve"> all the risks associated with using combustible tobacco products</w:t>
            </w:r>
            <w:r w:rsidR="0000150A">
              <w:rPr>
                <w:lang w:eastAsia="en-AU"/>
              </w:rPr>
              <w:t>.</w:t>
            </w:r>
            <w:r w:rsidRPr="000C138D">
              <w:rPr>
                <w:lang w:eastAsia="en-AU"/>
              </w:rPr>
              <w:t xml:space="preserve"> </w:t>
            </w:r>
            <w:r w:rsidR="0000150A">
              <w:rPr>
                <w:lang w:eastAsia="en-AU"/>
              </w:rPr>
              <w:t xml:space="preserve">It also </w:t>
            </w:r>
            <w:r w:rsidRPr="000C138D">
              <w:rPr>
                <w:lang w:eastAsia="en-AU"/>
              </w:rPr>
              <w:t xml:space="preserve">provides a new context </w:t>
            </w:r>
            <w:r w:rsidR="0010559E">
              <w:rPr>
                <w:lang w:eastAsia="en-AU"/>
              </w:rPr>
              <w:t xml:space="preserve">for </w:t>
            </w:r>
            <w:r w:rsidRPr="000C138D">
              <w:rPr>
                <w:lang w:eastAsia="en-AU"/>
              </w:rPr>
              <w:t>consider</w:t>
            </w:r>
            <w:r w:rsidR="0010559E">
              <w:rPr>
                <w:lang w:eastAsia="en-AU"/>
              </w:rPr>
              <w:t>ing</w:t>
            </w:r>
            <w:r w:rsidRPr="000C138D">
              <w:rPr>
                <w:lang w:eastAsia="en-AU"/>
              </w:rPr>
              <w:t xml:space="preserve"> </w:t>
            </w:r>
            <w:r w:rsidR="004F2E9C" w:rsidRPr="000C138D">
              <w:rPr>
                <w:lang w:eastAsia="en-AU"/>
              </w:rPr>
              <w:t xml:space="preserve">regulation of </w:t>
            </w:r>
            <w:r w:rsidRPr="000C138D">
              <w:rPr>
                <w:lang w:eastAsia="en-AU"/>
              </w:rPr>
              <w:t xml:space="preserve">combustible </w:t>
            </w:r>
            <w:r w:rsidR="00C07AC2" w:rsidRPr="000C138D">
              <w:rPr>
                <w:lang w:eastAsia="en-AU"/>
              </w:rPr>
              <w:t xml:space="preserve">or smoked </w:t>
            </w:r>
            <w:r w:rsidRPr="000C138D">
              <w:rPr>
                <w:lang w:eastAsia="en-AU"/>
              </w:rPr>
              <w:t>tobacco products</w:t>
            </w:r>
            <w:r w:rsidR="00534B16" w:rsidRPr="000C138D">
              <w:rPr>
                <w:lang w:eastAsia="en-AU"/>
              </w:rPr>
              <w:t xml:space="preserve">, and the harm </w:t>
            </w:r>
            <w:r w:rsidR="0010559E">
              <w:rPr>
                <w:lang w:eastAsia="en-AU"/>
              </w:rPr>
              <w:t xml:space="preserve">they </w:t>
            </w:r>
            <w:r w:rsidR="00534B16" w:rsidRPr="000C138D">
              <w:rPr>
                <w:lang w:eastAsia="en-AU"/>
              </w:rPr>
              <w:t xml:space="preserve">cause. </w:t>
            </w:r>
          </w:p>
        </w:tc>
      </w:tr>
    </w:tbl>
    <w:p w14:paraId="5EB2E190" w14:textId="77777777" w:rsidR="00F132B2" w:rsidRPr="000C138D" w:rsidRDefault="00F132B2" w:rsidP="00567434">
      <w:pPr>
        <w:pStyle w:val="spacer"/>
      </w:pPr>
    </w:p>
    <w:tbl>
      <w:tblPr>
        <w:tblW w:w="4885" w:type="pct"/>
        <w:tblInd w:w="10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8852"/>
      </w:tblGrid>
      <w:tr w:rsidR="00546F69" w:rsidRPr="000C138D" w14:paraId="5EA03002" w14:textId="77777777" w:rsidTr="00BB4EA2">
        <w:trPr>
          <w:trHeight w:val="77"/>
        </w:trPr>
        <w:tc>
          <w:tcPr>
            <w:tcW w:w="5000" w:type="pct"/>
            <w:shd w:val="clear" w:color="auto" w:fill="99CDDD"/>
          </w:tcPr>
          <w:p w14:paraId="0F84398B" w14:textId="05CD2BB8" w:rsidR="00546F69" w:rsidRPr="000C138D" w:rsidRDefault="00546F69" w:rsidP="00214E78">
            <w:pPr>
              <w:pStyle w:val="TableHeadings"/>
              <w:rPr>
                <w:color w:val="1F4E79"/>
              </w:rPr>
            </w:pPr>
            <w:r w:rsidRPr="000C138D">
              <w:t xml:space="preserve">2.2 </w:t>
            </w:r>
            <w:r w:rsidR="00C45246" w:rsidRPr="000C138D">
              <w:rPr>
                <w:rFonts w:eastAsia="Calibri"/>
                <w:lang w:eastAsia="en-US"/>
              </w:rPr>
              <w:t xml:space="preserve">Who is affected and how? </w:t>
            </w:r>
          </w:p>
        </w:tc>
      </w:tr>
      <w:tr w:rsidR="00F132B2" w:rsidRPr="000C138D" w14:paraId="070CEA00" w14:textId="77777777" w:rsidTr="00BB4EA2">
        <w:trPr>
          <w:trHeight w:val="1779"/>
        </w:trPr>
        <w:tc>
          <w:tcPr>
            <w:tcW w:w="5000" w:type="pct"/>
            <w:shd w:val="clear" w:color="auto" w:fill="auto"/>
          </w:tcPr>
          <w:p w14:paraId="425EA481" w14:textId="60ED340C" w:rsidR="003F1B42" w:rsidRPr="000C138D" w:rsidRDefault="003F1B42" w:rsidP="008931C3">
            <w:pPr>
              <w:rPr>
                <w:lang w:eastAsia="en-AU"/>
              </w:rPr>
            </w:pPr>
            <w:r w:rsidRPr="000C138D">
              <w:rPr>
                <w:lang w:eastAsia="en-AU"/>
              </w:rPr>
              <w:t xml:space="preserve">The purpose of the policy measures </w:t>
            </w:r>
            <w:r w:rsidR="00B511B3">
              <w:rPr>
                <w:lang w:eastAsia="en-AU"/>
              </w:rPr>
              <w:t xml:space="preserve">we discuss </w:t>
            </w:r>
            <w:r w:rsidR="00B00970">
              <w:rPr>
                <w:lang w:eastAsia="en-AU"/>
              </w:rPr>
              <w:t>in the following section</w:t>
            </w:r>
            <w:r w:rsidR="00B511B3" w:rsidRPr="000C138D">
              <w:rPr>
                <w:lang w:eastAsia="en-AU"/>
              </w:rPr>
              <w:t xml:space="preserve"> </w:t>
            </w:r>
            <w:r w:rsidRPr="000C138D">
              <w:rPr>
                <w:lang w:eastAsia="en-AU"/>
              </w:rPr>
              <w:t>is to decrease the number of smokers</w:t>
            </w:r>
            <w:r w:rsidR="00B511B3">
              <w:rPr>
                <w:lang w:eastAsia="en-AU"/>
              </w:rPr>
              <w:t xml:space="preserve"> in New Zealand</w:t>
            </w:r>
            <w:r w:rsidRPr="000C138D">
              <w:rPr>
                <w:lang w:eastAsia="en-AU"/>
              </w:rPr>
              <w:t>. In 2019/20, 11.6</w:t>
            </w:r>
            <w:r w:rsidRPr="000C138D">
              <w:t xml:space="preserve"> percent of adults</w:t>
            </w:r>
            <w:r w:rsidR="00B511B3">
              <w:t xml:space="preserve"> overall</w:t>
            </w:r>
            <w:r w:rsidRPr="000C138D">
              <w:t xml:space="preserve"> were daily smokers</w:t>
            </w:r>
            <w:r w:rsidRPr="000C138D">
              <w:rPr>
                <w:lang w:eastAsia="en-AU"/>
              </w:rPr>
              <w:t xml:space="preserve"> (</w:t>
            </w:r>
            <w:r w:rsidRPr="000C138D">
              <w:rPr>
                <w:bCs/>
              </w:rPr>
              <w:t>28.7% of Māori; 18.3% of Pacific</w:t>
            </w:r>
            <w:r w:rsidR="00B511B3">
              <w:rPr>
                <w:bCs/>
              </w:rPr>
              <w:t xml:space="preserve"> peoples</w:t>
            </w:r>
            <w:r w:rsidRPr="000C138D">
              <w:rPr>
                <w:bCs/>
              </w:rPr>
              <w:t xml:space="preserve">; 10.1% of European/Others; 7.4% of Asian). </w:t>
            </w:r>
            <w:r w:rsidR="00A625AD" w:rsidRPr="000C138D">
              <w:rPr>
                <w:lang w:eastAsia="en-AU"/>
              </w:rPr>
              <w:t xml:space="preserve">On average, each smoker </w:t>
            </w:r>
            <w:r w:rsidR="00643CAB" w:rsidRPr="000C138D">
              <w:rPr>
                <w:lang w:eastAsia="en-AU"/>
              </w:rPr>
              <w:t xml:space="preserve">smoked 9.4 cigarettes per day in </w:t>
            </w:r>
            <w:r w:rsidR="00905989" w:rsidRPr="000C138D">
              <w:rPr>
                <w:lang w:eastAsia="en-AU"/>
              </w:rPr>
              <w:t>20</w:t>
            </w:r>
            <w:r w:rsidR="00643CAB" w:rsidRPr="000C138D">
              <w:rPr>
                <w:lang w:eastAsia="en-AU"/>
              </w:rPr>
              <w:t>19/20</w:t>
            </w:r>
            <w:r w:rsidR="00B00970">
              <w:rPr>
                <w:lang w:eastAsia="en-AU"/>
              </w:rPr>
              <w:t>,</w:t>
            </w:r>
            <w:r w:rsidR="00643CAB" w:rsidRPr="000C138D">
              <w:rPr>
                <w:lang w:eastAsia="en-AU"/>
              </w:rPr>
              <w:t xml:space="preserve"> down from 11.2 in </w:t>
            </w:r>
            <w:r w:rsidR="00905989" w:rsidRPr="000C138D">
              <w:rPr>
                <w:lang w:eastAsia="en-AU"/>
              </w:rPr>
              <w:t>20</w:t>
            </w:r>
            <w:r w:rsidR="00643CAB" w:rsidRPr="000C138D">
              <w:rPr>
                <w:lang w:eastAsia="en-AU"/>
              </w:rPr>
              <w:t>11/12</w:t>
            </w:r>
            <w:r w:rsidR="00EA105D" w:rsidRPr="000C138D">
              <w:rPr>
                <w:lang w:eastAsia="en-AU"/>
              </w:rPr>
              <w:t xml:space="preserve"> (Ministry of Health 2020</w:t>
            </w:r>
            <w:r w:rsidR="002A3278" w:rsidRPr="000C138D">
              <w:rPr>
                <w:lang w:eastAsia="en-AU"/>
              </w:rPr>
              <w:t>a</w:t>
            </w:r>
            <w:r w:rsidR="00EA105D" w:rsidRPr="000C138D">
              <w:rPr>
                <w:lang w:eastAsia="en-AU"/>
              </w:rPr>
              <w:t>)</w:t>
            </w:r>
            <w:r w:rsidRPr="000C138D">
              <w:rPr>
                <w:lang w:eastAsia="en-AU"/>
              </w:rPr>
              <w:t xml:space="preserve">. </w:t>
            </w:r>
          </w:p>
          <w:p w14:paraId="43D9B24B" w14:textId="467E76EE" w:rsidR="003F1B42" w:rsidRPr="000C138D" w:rsidRDefault="003F1B42" w:rsidP="008931C3">
            <w:pPr>
              <w:rPr>
                <w:rFonts w:eastAsia="Calibri"/>
              </w:rPr>
            </w:pPr>
            <w:r w:rsidRPr="000C138D">
              <w:rPr>
                <w:lang w:eastAsia="en-AU"/>
              </w:rPr>
              <w:t xml:space="preserve">Broadly, rates of smoking have been declining. However, </w:t>
            </w:r>
            <w:r w:rsidRPr="000C138D">
              <w:t>Māori have the highest smoking rate of any population group in New Zealand and have the poorest overall health status. O</w:t>
            </w:r>
            <w:r w:rsidRPr="000C138D">
              <w:rPr>
                <w:lang w:eastAsia="en-AU"/>
              </w:rPr>
              <w:t xml:space="preserve">ver time the </w:t>
            </w:r>
            <w:r w:rsidR="001A12DC">
              <w:rPr>
                <w:lang w:eastAsia="en-AU"/>
              </w:rPr>
              <w:t xml:space="preserve">percentage </w:t>
            </w:r>
            <w:r w:rsidRPr="000C138D">
              <w:rPr>
                <w:lang w:eastAsia="en-AU"/>
              </w:rPr>
              <w:t xml:space="preserve">gaps between Māori and Pacific young people and other ethnicities seem to have widened (ASH </w:t>
            </w:r>
            <w:r w:rsidR="009300CF" w:rsidRPr="000C138D">
              <w:rPr>
                <w:lang w:eastAsia="en-AU"/>
              </w:rPr>
              <w:t>20</w:t>
            </w:r>
            <w:r w:rsidR="009300CF">
              <w:rPr>
                <w:lang w:eastAsia="en-AU"/>
              </w:rPr>
              <w:t>19</w:t>
            </w:r>
            <w:r w:rsidR="00D44373" w:rsidRPr="000C138D">
              <w:rPr>
                <w:lang w:eastAsia="en-AU"/>
              </w:rPr>
              <w:t>).</w:t>
            </w:r>
          </w:p>
          <w:p w14:paraId="1199C163" w14:textId="4AF05037" w:rsidR="003F1B42" w:rsidRPr="000C138D" w:rsidRDefault="003F1B42" w:rsidP="008931C3">
            <w:pPr>
              <w:rPr>
                <w:rFonts w:eastAsia="Calibri"/>
              </w:rPr>
            </w:pPr>
            <w:r w:rsidRPr="000C138D">
              <w:rPr>
                <w:rFonts w:eastAsia="Calibri"/>
              </w:rPr>
              <w:t xml:space="preserve">Māori women have New Zealand’s highest smoking rates. The largest </w:t>
            </w:r>
            <w:r w:rsidR="00D728B9" w:rsidRPr="000C138D">
              <w:rPr>
                <w:rFonts w:eastAsia="Calibri"/>
              </w:rPr>
              <w:t>inequ</w:t>
            </w:r>
            <w:r w:rsidR="00D728B9">
              <w:rPr>
                <w:rFonts w:eastAsia="Calibri"/>
              </w:rPr>
              <w:t xml:space="preserve">ities </w:t>
            </w:r>
            <w:r w:rsidRPr="000C138D">
              <w:rPr>
                <w:rFonts w:eastAsia="Calibri"/>
              </w:rPr>
              <w:t>are among Year 10 girls (</w:t>
            </w:r>
            <w:r w:rsidR="00B511B3">
              <w:rPr>
                <w:rFonts w:eastAsia="Calibri"/>
              </w:rPr>
              <w:t xml:space="preserve">aged </w:t>
            </w:r>
            <w:r w:rsidRPr="000C138D">
              <w:rPr>
                <w:rFonts w:eastAsia="Calibri"/>
              </w:rPr>
              <w:t>14 to 15</w:t>
            </w:r>
            <w:r w:rsidR="00B511B3">
              <w:rPr>
                <w:rFonts w:eastAsia="Calibri"/>
              </w:rPr>
              <w:t xml:space="preserve"> </w:t>
            </w:r>
            <w:r w:rsidRPr="000C138D">
              <w:rPr>
                <w:rFonts w:eastAsia="Calibri"/>
              </w:rPr>
              <w:t>years)</w:t>
            </w:r>
            <w:r w:rsidR="00B511B3">
              <w:rPr>
                <w:rFonts w:eastAsia="Calibri"/>
              </w:rPr>
              <w:t>:</w:t>
            </w:r>
            <w:r w:rsidRPr="000C138D">
              <w:rPr>
                <w:rFonts w:eastAsia="Calibri"/>
              </w:rPr>
              <w:t xml:space="preserve"> </w:t>
            </w:r>
            <w:r w:rsidR="00B511B3">
              <w:rPr>
                <w:rFonts w:eastAsia="Calibri"/>
              </w:rPr>
              <w:t>i</w:t>
            </w:r>
            <w:r w:rsidRPr="000C138D">
              <w:rPr>
                <w:rFonts w:eastAsia="Calibri"/>
              </w:rPr>
              <w:t>n 2019, 6.3 percent of Māori</w:t>
            </w:r>
            <w:r w:rsidRPr="000C138D">
              <w:rPr>
                <w:rFonts w:eastAsia="Calibri"/>
                <w:sz w:val="24"/>
                <w:szCs w:val="24"/>
              </w:rPr>
              <w:t xml:space="preserve"> girls </w:t>
            </w:r>
            <w:r w:rsidRPr="000C138D">
              <w:rPr>
                <w:rFonts w:eastAsia="Calibri"/>
              </w:rPr>
              <w:t>smoked daily compared with 0.9 percent of non-</w:t>
            </w:r>
            <w:r w:rsidR="006108AC" w:rsidRPr="000C138D">
              <w:rPr>
                <w:rFonts w:eastAsia="Calibri"/>
              </w:rPr>
              <w:t>Māori</w:t>
            </w:r>
            <w:r w:rsidRPr="000C138D">
              <w:rPr>
                <w:rFonts w:eastAsia="Calibri"/>
              </w:rPr>
              <w:t>, non-Pacific girls</w:t>
            </w:r>
            <w:r w:rsidR="00B511B3">
              <w:rPr>
                <w:rFonts w:eastAsia="Calibri"/>
              </w:rPr>
              <w:t xml:space="preserve"> in Year 10</w:t>
            </w:r>
            <w:r w:rsidRPr="000C138D">
              <w:rPr>
                <w:rFonts w:eastAsia="Calibri"/>
              </w:rPr>
              <w:t>. These inequ</w:t>
            </w:r>
            <w:r w:rsidR="00D728B9">
              <w:rPr>
                <w:rFonts w:eastAsia="Calibri"/>
              </w:rPr>
              <w:t>ities</w:t>
            </w:r>
            <w:r w:rsidRPr="000C138D">
              <w:rPr>
                <w:rFonts w:eastAsia="Calibri"/>
              </w:rPr>
              <w:t xml:space="preserve"> have increased in recent years as the smoking rate for non-Māori</w:t>
            </w:r>
            <w:r w:rsidR="00B511B3">
              <w:rPr>
                <w:rFonts w:eastAsia="Calibri"/>
              </w:rPr>
              <w:t>,</w:t>
            </w:r>
            <w:r w:rsidRPr="000C138D">
              <w:rPr>
                <w:rFonts w:eastAsia="Calibri"/>
              </w:rPr>
              <w:t xml:space="preserve"> non-Pacific girls of this age has decreased much faster than the rate for Māori girls.  </w:t>
            </w:r>
          </w:p>
          <w:p w14:paraId="529CBA25" w14:textId="00422A39" w:rsidR="003F1B42" w:rsidRPr="000C138D" w:rsidRDefault="003F1B42" w:rsidP="008931C3">
            <w:pPr>
              <w:rPr>
                <w:rFonts w:eastAsia="Calibri"/>
              </w:rPr>
            </w:pPr>
            <w:r w:rsidRPr="000C138D">
              <w:rPr>
                <w:rFonts w:eastAsia="Calibri"/>
              </w:rPr>
              <w:t xml:space="preserve">These </w:t>
            </w:r>
            <w:r w:rsidR="00D728B9" w:rsidRPr="000C138D">
              <w:rPr>
                <w:rFonts w:eastAsia="Calibri"/>
              </w:rPr>
              <w:t>inequ</w:t>
            </w:r>
            <w:r w:rsidR="00D728B9">
              <w:rPr>
                <w:rFonts w:eastAsia="Calibri"/>
              </w:rPr>
              <w:t>ities</w:t>
            </w:r>
            <w:r w:rsidR="00D728B9" w:rsidRPr="000C138D">
              <w:rPr>
                <w:rFonts w:eastAsia="Calibri"/>
              </w:rPr>
              <w:t xml:space="preserve"> </w:t>
            </w:r>
            <w:r w:rsidRPr="000C138D">
              <w:rPr>
                <w:rFonts w:eastAsia="Calibri"/>
              </w:rPr>
              <w:t xml:space="preserve">carry through into young adulthood, including </w:t>
            </w:r>
            <w:r w:rsidR="0017620D">
              <w:rPr>
                <w:rFonts w:eastAsia="Calibri"/>
              </w:rPr>
              <w:t xml:space="preserve">during </w:t>
            </w:r>
            <w:r w:rsidRPr="000C138D">
              <w:rPr>
                <w:rFonts w:eastAsia="Calibri"/>
              </w:rPr>
              <w:t xml:space="preserve">pregnancy. For example, </w:t>
            </w:r>
            <w:r w:rsidR="0017620D">
              <w:rPr>
                <w:rFonts w:eastAsia="Calibri"/>
              </w:rPr>
              <w:t>among</w:t>
            </w:r>
            <w:r w:rsidRPr="000C138D">
              <w:rPr>
                <w:rFonts w:eastAsia="Calibri"/>
              </w:rPr>
              <w:t xml:space="preserve"> pregnant Māori women who presented to a lead maternity carer for the first time in the first quarter of 2020/21</w:t>
            </w:r>
            <w:r w:rsidR="0017620D">
              <w:rPr>
                <w:rFonts w:eastAsia="Calibri"/>
              </w:rPr>
              <w:t xml:space="preserve">, </w:t>
            </w:r>
            <w:r w:rsidR="0017620D" w:rsidRPr="000C138D">
              <w:rPr>
                <w:rFonts w:eastAsia="Calibri"/>
              </w:rPr>
              <w:t>35 percent</w:t>
            </w:r>
            <w:r w:rsidRPr="000C138D">
              <w:rPr>
                <w:rFonts w:eastAsia="Calibri"/>
              </w:rPr>
              <w:t xml:space="preserve"> smoked.</w:t>
            </w:r>
          </w:p>
          <w:p w14:paraId="619E0CB5" w14:textId="3FE3C663" w:rsidR="008B0403" w:rsidRPr="000C138D" w:rsidRDefault="0017620D" w:rsidP="008931C3">
            <w:pPr>
              <w:rPr>
                <w:rFonts w:eastAsia="Calibri"/>
              </w:rPr>
            </w:pPr>
            <w:r>
              <w:rPr>
                <w:rFonts w:eastAsia="Calibri"/>
              </w:rPr>
              <w:t xml:space="preserve">Quitting provides </w:t>
            </w:r>
            <w:r w:rsidR="003F1B42" w:rsidRPr="000C138D">
              <w:rPr>
                <w:rFonts w:eastAsia="Calibri"/>
              </w:rPr>
              <w:t xml:space="preserve">clear health and financial benefits </w:t>
            </w:r>
            <w:r>
              <w:rPr>
                <w:rFonts w:eastAsia="Calibri"/>
              </w:rPr>
              <w:t xml:space="preserve">to </w:t>
            </w:r>
            <w:r w:rsidR="003F1B42" w:rsidRPr="000C138D">
              <w:rPr>
                <w:rFonts w:eastAsia="Calibri"/>
              </w:rPr>
              <w:t xml:space="preserve">smokers and their </w:t>
            </w:r>
            <w:proofErr w:type="spellStart"/>
            <w:r w:rsidR="009559BF" w:rsidRPr="000C138D">
              <w:rPr>
                <w:rFonts w:eastAsia="Calibri"/>
              </w:rPr>
              <w:t>w</w:t>
            </w:r>
            <w:r w:rsidR="003F1B42" w:rsidRPr="000C138D">
              <w:rPr>
                <w:rFonts w:eastAsia="Calibri"/>
              </w:rPr>
              <w:t>h</w:t>
            </w:r>
            <w:r w:rsidR="009559BF" w:rsidRPr="000C138D">
              <w:rPr>
                <w:rFonts w:eastAsia="Calibri"/>
              </w:rPr>
              <w:t>ā</w:t>
            </w:r>
            <w:r w:rsidR="003F1B42" w:rsidRPr="000C138D">
              <w:rPr>
                <w:rFonts w:eastAsia="Calibri"/>
              </w:rPr>
              <w:t>nau</w:t>
            </w:r>
            <w:proofErr w:type="spellEnd"/>
            <w:r w:rsidR="003F1B42" w:rsidRPr="000C138D">
              <w:rPr>
                <w:rFonts w:eastAsia="Calibri"/>
              </w:rPr>
              <w:t xml:space="preserve">. </w:t>
            </w:r>
            <w:r>
              <w:rPr>
                <w:rFonts w:eastAsia="Calibri"/>
              </w:rPr>
              <w:t xml:space="preserve">It </w:t>
            </w:r>
            <w:r w:rsidR="003F1B42" w:rsidRPr="000C138D">
              <w:rPr>
                <w:rFonts w:eastAsia="Calibri"/>
              </w:rPr>
              <w:t xml:space="preserve">also </w:t>
            </w:r>
            <w:r>
              <w:rPr>
                <w:rFonts w:eastAsia="Calibri"/>
              </w:rPr>
              <w:t xml:space="preserve">brings </w:t>
            </w:r>
            <w:r w:rsidR="003F1B42" w:rsidRPr="000C138D">
              <w:rPr>
                <w:rFonts w:eastAsia="Calibri"/>
              </w:rPr>
              <w:t xml:space="preserve">benefits </w:t>
            </w:r>
            <w:r>
              <w:rPr>
                <w:rFonts w:eastAsia="Calibri"/>
              </w:rPr>
              <w:t>to</w:t>
            </w:r>
            <w:r w:rsidR="003F1B42" w:rsidRPr="000C138D">
              <w:rPr>
                <w:rFonts w:eastAsia="Calibri"/>
              </w:rPr>
              <w:t xml:space="preserve"> New Zealand’s health system more broadly. </w:t>
            </w:r>
          </w:p>
          <w:p w14:paraId="075A71D8" w14:textId="577D7DD2" w:rsidR="008B0403" w:rsidRPr="000C138D" w:rsidRDefault="00D1548A" w:rsidP="008931C3">
            <w:r>
              <w:t>Given t</w:t>
            </w:r>
            <w:r w:rsidR="003F1B42" w:rsidRPr="000C138D">
              <w:t xml:space="preserve">obacco is sold </w:t>
            </w:r>
            <w:proofErr w:type="gramStart"/>
            <w:r w:rsidR="003F1B42" w:rsidRPr="000C138D">
              <w:t>commercially</w:t>
            </w:r>
            <w:r>
              <w:t>(</w:t>
            </w:r>
            <w:proofErr w:type="gramEnd"/>
            <w:r w:rsidR="003F1B42" w:rsidRPr="000C138D">
              <w:t xml:space="preserve">sales </w:t>
            </w:r>
            <w:r>
              <w:t xml:space="preserve">amounted to </w:t>
            </w:r>
            <w:r w:rsidR="003F1B42" w:rsidRPr="000C138D">
              <w:t>$3.2 billion in 2019</w:t>
            </w:r>
            <w:r>
              <w:t>)</w:t>
            </w:r>
            <w:r w:rsidR="003F1B42" w:rsidRPr="000C138D">
              <w:t xml:space="preserve">, decreases in sales will affect retailers and importers of cigarettes. </w:t>
            </w:r>
            <w:r w:rsidR="00566891" w:rsidRPr="000C138D">
              <w:t xml:space="preserve">The </w:t>
            </w:r>
            <w:r>
              <w:t>G</w:t>
            </w:r>
            <w:r w:rsidR="00566891" w:rsidRPr="000C138D">
              <w:t xml:space="preserve">overnment also collects </w:t>
            </w:r>
            <w:r w:rsidR="00566891" w:rsidRPr="000C138D">
              <w:lastRenderedPageBreak/>
              <w:t>around $</w:t>
            </w:r>
            <w:r w:rsidR="002E643B" w:rsidRPr="000C138D">
              <w:t>2.1</w:t>
            </w:r>
            <w:r w:rsidR="00566891" w:rsidRPr="000C138D">
              <w:t xml:space="preserve"> billion in excise taxes each year on tobacco. </w:t>
            </w:r>
            <w:r w:rsidR="00C61C5D" w:rsidRPr="000C138D">
              <w:t>R</w:t>
            </w:r>
            <w:r w:rsidR="003F1B42" w:rsidRPr="000C138D">
              <w:t xml:space="preserve">etailers </w:t>
            </w:r>
            <w:r w:rsidR="00767DC2" w:rsidRPr="000C138D">
              <w:t>who sell vap</w:t>
            </w:r>
            <w:r w:rsidR="00E511D0" w:rsidRPr="000C138D">
              <w:t xml:space="preserve">ing products </w:t>
            </w:r>
            <w:r w:rsidR="003F1B42" w:rsidRPr="000C138D">
              <w:t xml:space="preserve">may benefit if </w:t>
            </w:r>
            <w:r w:rsidR="00566891" w:rsidRPr="000C138D">
              <w:t>smokers choose to swap to less harmful vaping products rather than quitting altogether.</w:t>
            </w:r>
            <w:r>
              <w:t xml:space="preserve"> Conversely, the </w:t>
            </w:r>
            <w:r w:rsidR="009C4D4B">
              <w:t>number making this swap</w:t>
            </w:r>
            <w:r>
              <w:t xml:space="preserve"> will affect t</w:t>
            </w:r>
            <w:r w:rsidR="00053A90" w:rsidRPr="000C138D">
              <w:t xml:space="preserve">he </w:t>
            </w:r>
            <w:r w:rsidR="009C4D4B">
              <w:t>extent</w:t>
            </w:r>
            <w:r w:rsidR="009C4D4B" w:rsidRPr="000C138D">
              <w:t xml:space="preserve"> </w:t>
            </w:r>
            <w:r w:rsidR="00053A90" w:rsidRPr="000C138D">
              <w:t xml:space="preserve">of any negative financial impact on retailers </w:t>
            </w:r>
            <w:r>
              <w:t>who offer tobacco products only</w:t>
            </w:r>
            <w:r w:rsidR="00053A90" w:rsidRPr="000C138D">
              <w:t>.</w:t>
            </w:r>
          </w:p>
          <w:p w14:paraId="4220B56F" w14:textId="777D09D4" w:rsidR="003049D7" w:rsidRPr="000C138D" w:rsidRDefault="0055240C" w:rsidP="008931C3">
            <w:r w:rsidRPr="000C138D">
              <w:t>A</w:t>
            </w:r>
            <w:r w:rsidR="00E85315" w:rsidRPr="000C138D">
              <w:t xml:space="preserve">ny measures that affect the </w:t>
            </w:r>
            <w:r w:rsidRPr="000C138D">
              <w:t xml:space="preserve">availability, appeal or addictiveness, or affordability of tobacco products </w:t>
            </w:r>
            <w:r w:rsidR="003049D7" w:rsidRPr="000C138D">
              <w:t xml:space="preserve">are likely to </w:t>
            </w:r>
            <w:r w:rsidR="00B87BCF" w:rsidRPr="000C138D">
              <w:t xml:space="preserve">be linked to increases in </w:t>
            </w:r>
            <w:r w:rsidR="00BF2567" w:rsidRPr="000C138D">
              <w:t xml:space="preserve">attempts to import </w:t>
            </w:r>
            <w:r w:rsidR="00B87BCF" w:rsidRPr="000C138D">
              <w:t xml:space="preserve">illicit tobacco </w:t>
            </w:r>
            <w:r w:rsidR="00BF2567" w:rsidRPr="000C138D">
              <w:t xml:space="preserve">products. </w:t>
            </w:r>
            <w:r w:rsidR="0020242A" w:rsidRPr="000C138D">
              <w:t>This</w:t>
            </w:r>
            <w:r w:rsidR="009C4D4B">
              <w:t xml:space="preserve"> trend</w:t>
            </w:r>
            <w:r w:rsidR="0020242A" w:rsidRPr="000C138D">
              <w:t xml:space="preserve"> is particularly </w:t>
            </w:r>
            <w:r w:rsidR="009C4D4B">
              <w:t xml:space="preserve">likely </w:t>
            </w:r>
            <w:r w:rsidR="0020242A" w:rsidRPr="000C138D">
              <w:t>with measures related to affordability</w:t>
            </w:r>
            <w:r w:rsidR="00E92552" w:rsidRPr="000C138D">
              <w:t xml:space="preserve">, </w:t>
            </w:r>
            <w:r w:rsidR="009C4D4B">
              <w:t>but</w:t>
            </w:r>
            <w:r w:rsidR="00E92552" w:rsidRPr="000C138D">
              <w:t xml:space="preserve"> all measures </w:t>
            </w:r>
            <w:r w:rsidR="009C4D4B">
              <w:t xml:space="preserve">we </w:t>
            </w:r>
            <w:r w:rsidR="00E92552" w:rsidRPr="000C138D">
              <w:t>consider</w:t>
            </w:r>
            <w:r w:rsidR="009C4D4B">
              <w:t xml:space="preserve"> in </w:t>
            </w:r>
            <w:r w:rsidR="007335BF">
              <w:t>the next section</w:t>
            </w:r>
            <w:r w:rsidR="005D37F7" w:rsidRPr="000C138D">
              <w:t xml:space="preserve"> </w:t>
            </w:r>
            <w:r w:rsidR="00BF2567" w:rsidRPr="000C138D">
              <w:t xml:space="preserve">could </w:t>
            </w:r>
            <w:r w:rsidR="005D37F7" w:rsidRPr="000C138D">
              <w:t>potential</w:t>
            </w:r>
            <w:r w:rsidR="00BF2567" w:rsidRPr="000C138D">
              <w:t xml:space="preserve">ly </w:t>
            </w:r>
            <w:r w:rsidR="00150BA9" w:rsidRPr="000C138D">
              <w:t>lead to an increase in illicit trade in tobacco</w:t>
            </w:r>
            <w:r w:rsidR="005D37F7" w:rsidRPr="000C138D">
              <w:t xml:space="preserve">. </w:t>
            </w:r>
            <w:r w:rsidR="00CF5589">
              <w:t xml:space="preserve">The </w:t>
            </w:r>
            <w:r w:rsidR="00B87BCF" w:rsidRPr="000C138D">
              <w:t xml:space="preserve">New Zealand </w:t>
            </w:r>
            <w:r w:rsidR="00BC3D1A" w:rsidRPr="000C138D">
              <w:t xml:space="preserve">Customs </w:t>
            </w:r>
            <w:r w:rsidR="00CF5589">
              <w:t xml:space="preserve">Service </w:t>
            </w:r>
            <w:r w:rsidR="00B87BCF" w:rsidRPr="000C138D">
              <w:t xml:space="preserve">advises that </w:t>
            </w:r>
            <w:r w:rsidR="006B1BD5" w:rsidRPr="000C138D">
              <w:t xml:space="preserve">issues with imports of </w:t>
            </w:r>
            <w:r w:rsidR="009A0ED9" w:rsidRPr="000C138D">
              <w:t>illicit tobacco</w:t>
            </w:r>
            <w:r w:rsidR="009C4D4B" w:rsidRPr="000C138D">
              <w:t xml:space="preserve"> are </w:t>
            </w:r>
            <w:proofErr w:type="gramStart"/>
            <w:r w:rsidR="009C4D4B" w:rsidRPr="000C138D">
              <w:t>growing</w:t>
            </w:r>
            <w:r w:rsidR="00B13DA5" w:rsidRPr="000C138D">
              <w:t>, and</w:t>
            </w:r>
            <w:proofErr w:type="gramEnd"/>
            <w:r w:rsidR="00B13DA5" w:rsidRPr="000C138D">
              <w:t xml:space="preserve"> </w:t>
            </w:r>
            <w:r w:rsidR="009C4D4B">
              <w:t xml:space="preserve">considers </w:t>
            </w:r>
            <w:r w:rsidR="0020242A" w:rsidRPr="000C138D">
              <w:t xml:space="preserve">that </w:t>
            </w:r>
            <w:r w:rsidR="009C4D4B">
              <w:t>such import</w:t>
            </w:r>
            <w:r w:rsidR="007335BF">
              <w:t>s</w:t>
            </w:r>
            <w:r w:rsidR="009C4D4B">
              <w:t xml:space="preserve"> </w:t>
            </w:r>
            <w:r w:rsidR="0020242A" w:rsidRPr="000C138D">
              <w:t xml:space="preserve">could be around </w:t>
            </w:r>
            <w:r w:rsidR="009C4D4B">
              <w:t>6</w:t>
            </w:r>
            <w:r w:rsidR="009C4D4B" w:rsidRPr="000C138D">
              <w:t xml:space="preserve"> </w:t>
            </w:r>
            <w:r w:rsidR="0020242A" w:rsidRPr="000C138D">
              <w:t xml:space="preserve">to </w:t>
            </w:r>
            <w:r w:rsidR="009C4D4B">
              <w:t>7</w:t>
            </w:r>
            <w:r w:rsidR="009C4D4B" w:rsidRPr="000C138D">
              <w:t xml:space="preserve"> </w:t>
            </w:r>
            <w:r w:rsidR="0020242A" w:rsidRPr="000C138D">
              <w:t xml:space="preserve">percent of the overall market. </w:t>
            </w:r>
          </w:p>
          <w:p w14:paraId="33CE2923" w14:textId="7A1E326D" w:rsidR="001C5532" w:rsidRPr="000C138D" w:rsidRDefault="009C4D4B" w:rsidP="008931C3">
            <w:r>
              <w:t>For more information on</w:t>
            </w:r>
            <w:r w:rsidR="001C5532" w:rsidRPr="000C138D">
              <w:t xml:space="preserve"> the context of tobacco smoking in New Zealand</w:t>
            </w:r>
            <w:r w:rsidR="009F5E79">
              <w:t>, s</w:t>
            </w:r>
            <w:r>
              <w:t>ee the</w:t>
            </w:r>
            <w:r w:rsidR="001C5532" w:rsidRPr="000C138D">
              <w:t xml:space="preserve"> </w:t>
            </w:r>
            <w:r w:rsidR="009F5E79">
              <w:t>a</w:t>
            </w:r>
            <w:r w:rsidR="001C5532" w:rsidRPr="000C138D">
              <w:t>ppendix.</w:t>
            </w:r>
          </w:p>
        </w:tc>
      </w:tr>
    </w:tbl>
    <w:p w14:paraId="1579C404" w14:textId="77777777" w:rsidR="000C3197" w:rsidRPr="000C138D" w:rsidRDefault="000C3197" w:rsidP="00567434">
      <w:pPr>
        <w:pStyle w:val="spacer"/>
      </w:pPr>
    </w:p>
    <w:tbl>
      <w:tblPr>
        <w:tblW w:w="4885" w:type="pct"/>
        <w:tblInd w:w="10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8852"/>
      </w:tblGrid>
      <w:tr w:rsidR="00304CE4" w:rsidRPr="000C138D" w14:paraId="66C15A73" w14:textId="77777777" w:rsidTr="00BB4EA2">
        <w:trPr>
          <w:trHeight w:val="77"/>
        </w:trPr>
        <w:tc>
          <w:tcPr>
            <w:tcW w:w="5000" w:type="pct"/>
            <w:shd w:val="clear" w:color="auto" w:fill="99CDDD"/>
          </w:tcPr>
          <w:p w14:paraId="7B6181E6" w14:textId="055A70D4" w:rsidR="00304CE4" w:rsidRPr="000C138D" w:rsidRDefault="00651B5A" w:rsidP="00214E78">
            <w:pPr>
              <w:pStyle w:val="TableHeadings"/>
            </w:pPr>
            <w:r w:rsidRPr="000C138D">
              <w:t>2.3 What are the objectives sought in relation to the identified problem?</w:t>
            </w:r>
          </w:p>
        </w:tc>
      </w:tr>
      <w:tr w:rsidR="00F132B2" w:rsidRPr="000C138D" w14:paraId="02DBA2C2" w14:textId="77777777" w:rsidTr="00BB4EA2">
        <w:trPr>
          <w:trHeight w:val="1780"/>
        </w:trPr>
        <w:tc>
          <w:tcPr>
            <w:tcW w:w="5000" w:type="pct"/>
            <w:shd w:val="clear" w:color="auto" w:fill="auto"/>
          </w:tcPr>
          <w:p w14:paraId="22B7DE66" w14:textId="1EA0BE71" w:rsidR="0082483F" w:rsidRPr="000C138D" w:rsidRDefault="00DC3810" w:rsidP="008931C3">
            <w:r w:rsidRPr="000C138D">
              <w:t xml:space="preserve">A Smokefree Aotearoa 2025 </w:t>
            </w:r>
            <w:r w:rsidR="0082483F" w:rsidRPr="000C138D">
              <w:t xml:space="preserve">Action Plan is a </w:t>
            </w:r>
            <w:r w:rsidR="009F5E79">
              <w:t>G</w:t>
            </w:r>
            <w:r w:rsidR="0082483F" w:rsidRPr="000C138D">
              <w:t>overnment priority</w:t>
            </w:r>
            <w:r w:rsidR="00B64F99" w:rsidRPr="000C138D">
              <w:t xml:space="preserve"> and focuses on an objective of achieving a </w:t>
            </w:r>
            <w:r w:rsidR="0063085B">
              <w:t>S</w:t>
            </w:r>
            <w:r w:rsidR="004A1BFE" w:rsidRPr="000C138D">
              <w:t xml:space="preserve">mokefree </w:t>
            </w:r>
            <w:r w:rsidR="00B64F99" w:rsidRPr="000C138D">
              <w:t>Aotearoa</w:t>
            </w:r>
            <w:r w:rsidR="0082483F" w:rsidRPr="000C138D">
              <w:t xml:space="preserve">. </w:t>
            </w:r>
            <w:r w:rsidR="009F5E79">
              <w:t>It</w:t>
            </w:r>
            <w:r w:rsidR="00B64F99" w:rsidRPr="000C138D">
              <w:t xml:space="preserve"> </w:t>
            </w:r>
            <w:r w:rsidR="00213182" w:rsidRPr="000C138D">
              <w:t>interpret</w:t>
            </w:r>
            <w:r w:rsidR="009F5E79">
              <w:t>s this objective</w:t>
            </w:r>
            <w:r w:rsidR="00213182" w:rsidRPr="000C138D">
              <w:t xml:space="preserve"> </w:t>
            </w:r>
            <w:r w:rsidR="00B64F99" w:rsidRPr="000C138D">
              <w:t xml:space="preserve">as </w:t>
            </w:r>
            <w:r w:rsidR="009F5E79">
              <w:t xml:space="preserve">achieving a </w:t>
            </w:r>
            <w:r w:rsidR="00B64F99" w:rsidRPr="000C138D">
              <w:t xml:space="preserve">prevalence of daily </w:t>
            </w:r>
            <w:r w:rsidR="007169E5" w:rsidRPr="000C138D">
              <w:t>smoking</w:t>
            </w:r>
            <w:r w:rsidR="00B64F99" w:rsidRPr="000C138D">
              <w:t xml:space="preserve"> of less than 5</w:t>
            </w:r>
            <w:r w:rsidR="00015B4A" w:rsidRPr="000C138D">
              <w:t xml:space="preserve"> </w:t>
            </w:r>
            <w:r w:rsidR="004C1282" w:rsidRPr="000C138D">
              <w:t>percent</w:t>
            </w:r>
            <w:r w:rsidR="00B64F99" w:rsidRPr="000C138D">
              <w:t xml:space="preserve">. </w:t>
            </w:r>
            <w:r w:rsidR="00492F10" w:rsidRPr="000C138D">
              <w:t xml:space="preserve">The </w:t>
            </w:r>
            <w:r w:rsidR="00B26135" w:rsidRPr="000C138D">
              <w:t>discussion document</w:t>
            </w:r>
            <w:r w:rsidR="00492F10" w:rsidRPr="000C138D">
              <w:t xml:space="preserve"> also suggests three outcomes</w:t>
            </w:r>
            <w:r w:rsidR="009F5E79">
              <w:t>:</w:t>
            </w:r>
            <w:r w:rsidR="00492F10" w:rsidRPr="000C138D">
              <w:t xml:space="preserve"> eliminating inequities in smoking rates and smoking</w:t>
            </w:r>
            <w:r w:rsidR="009F5E79">
              <w:t>-</w:t>
            </w:r>
            <w:r w:rsidR="00492F10" w:rsidRPr="000C138D">
              <w:t>related illnesses</w:t>
            </w:r>
            <w:r w:rsidR="009F5E79">
              <w:t>;</w:t>
            </w:r>
            <w:r w:rsidR="00492F10" w:rsidRPr="000C138D">
              <w:t xml:space="preserve"> increasing the number of children and young people who remain </w:t>
            </w:r>
            <w:proofErr w:type="spellStart"/>
            <w:r w:rsidR="00492F10" w:rsidRPr="000C138D">
              <w:t>smokefree</w:t>
            </w:r>
            <w:proofErr w:type="spellEnd"/>
            <w:r w:rsidR="009F5E79">
              <w:t>;</w:t>
            </w:r>
            <w:r w:rsidR="00492F10" w:rsidRPr="000C138D">
              <w:t xml:space="preserve"> and increasing the number of people who successfully stop smoking. </w:t>
            </w:r>
          </w:p>
        </w:tc>
      </w:tr>
    </w:tbl>
    <w:p w14:paraId="3EFFACB1" w14:textId="591DD719" w:rsidR="00E92509" w:rsidRPr="000C138D" w:rsidRDefault="00A552DC" w:rsidP="00214E78">
      <w:pPr>
        <w:pStyle w:val="Heading2"/>
      </w:pPr>
      <w:r w:rsidRPr="000C138D">
        <w:br w:type="page"/>
      </w:r>
      <w:r w:rsidR="00BE62EB" w:rsidRPr="000C138D">
        <w:lastRenderedPageBreak/>
        <w:t xml:space="preserve">Section </w:t>
      </w:r>
      <w:r w:rsidR="00051A88" w:rsidRPr="000C138D">
        <w:t>3</w:t>
      </w:r>
      <w:r w:rsidR="00BE62EB" w:rsidRPr="000C138D">
        <w:t xml:space="preserve">: </w:t>
      </w:r>
      <w:r w:rsidR="00304CE4" w:rsidRPr="000C138D">
        <w:t xml:space="preserve">Options </w:t>
      </w:r>
      <w:r w:rsidR="00BE4A62" w:rsidRPr="000C138D">
        <w:t>identific</w:t>
      </w:r>
      <w:r w:rsidR="00304CE4" w:rsidRPr="000C138D">
        <w:t>ation</w:t>
      </w:r>
    </w:p>
    <w:tbl>
      <w:tblPr>
        <w:tblW w:w="4885" w:type="pct"/>
        <w:tblInd w:w="10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Look w:val="04A0" w:firstRow="1" w:lastRow="0" w:firstColumn="1" w:lastColumn="0" w:noHBand="0" w:noVBand="1"/>
      </w:tblPr>
      <w:tblGrid>
        <w:gridCol w:w="8852"/>
      </w:tblGrid>
      <w:tr w:rsidR="00051A88" w:rsidRPr="000C138D" w14:paraId="5B6EAFDE" w14:textId="77777777" w:rsidTr="004A1BFE">
        <w:trPr>
          <w:trHeight w:val="77"/>
        </w:trPr>
        <w:tc>
          <w:tcPr>
            <w:tcW w:w="5000" w:type="pct"/>
            <w:shd w:val="clear" w:color="auto" w:fill="99CDDD"/>
          </w:tcPr>
          <w:p w14:paraId="7190CF54" w14:textId="79A71742" w:rsidR="00051A88" w:rsidRPr="000C138D" w:rsidRDefault="00B23E8A" w:rsidP="00214E78">
            <w:pPr>
              <w:pStyle w:val="TableHeadings"/>
              <w:keepNext/>
            </w:pPr>
            <w:r w:rsidRPr="000C138D">
              <w:t>3</w:t>
            </w:r>
            <w:r w:rsidR="00051A88" w:rsidRPr="000C138D">
              <w:t xml:space="preserve">.1 What options have been considered? </w:t>
            </w:r>
          </w:p>
        </w:tc>
      </w:tr>
      <w:tr w:rsidR="00F132B2" w:rsidRPr="000C138D" w14:paraId="29CF1ACF" w14:textId="77777777" w:rsidTr="004A1BFE">
        <w:trPr>
          <w:trHeight w:val="3161"/>
        </w:trPr>
        <w:tc>
          <w:tcPr>
            <w:tcW w:w="5000" w:type="pct"/>
            <w:shd w:val="clear" w:color="auto" w:fill="auto"/>
          </w:tcPr>
          <w:p w14:paraId="405DB648" w14:textId="3F83C064" w:rsidR="0082483F" w:rsidRPr="000C138D" w:rsidRDefault="008931C3" w:rsidP="008931C3">
            <w:r>
              <w:t>We have a</w:t>
            </w:r>
            <w:r w:rsidRPr="000C138D">
              <w:t xml:space="preserve"> </w:t>
            </w:r>
            <w:r w:rsidR="0082483F" w:rsidRPr="000C138D">
              <w:t xml:space="preserve">variety of </w:t>
            </w:r>
            <w:r w:rsidR="00337589" w:rsidRPr="000C138D">
              <w:t xml:space="preserve">regulatory </w:t>
            </w:r>
            <w:r w:rsidR="0082483F" w:rsidRPr="000C138D">
              <w:t xml:space="preserve">options </w:t>
            </w:r>
            <w:r>
              <w:t>available</w:t>
            </w:r>
            <w:r w:rsidRPr="000C138D">
              <w:t xml:space="preserve"> </w:t>
            </w:r>
            <w:r w:rsidR="0082483F" w:rsidRPr="000C138D">
              <w:t>to address smoking rates. These can be broadly categorised into</w:t>
            </w:r>
            <w:r w:rsidR="00101FBD">
              <w:t xml:space="preserve"> three</w:t>
            </w:r>
            <w:r w:rsidR="0082483F" w:rsidRPr="000C138D">
              <w:t xml:space="preserve"> themes</w:t>
            </w:r>
            <w:r w:rsidR="00101FBD">
              <w:t>:</w:t>
            </w:r>
            <w:r w:rsidR="0082483F" w:rsidRPr="000C138D">
              <w:t xml:space="preserve"> access to tobacco</w:t>
            </w:r>
            <w:r w:rsidR="00101FBD">
              <w:t>;</w:t>
            </w:r>
            <w:r w:rsidR="0082483F" w:rsidRPr="000C138D">
              <w:t xml:space="preserve"> the availability and addictiveness of tobacco</w:t>
            </w:r>
            <w:r w:rsidR="00101FBD">
              <w:t>;</w:t>
            </w:r>
            <w:r w:rsidR="0082483F" w:rsidRPr="000C138D">
              <w:t xml:space="preserve"> and the affordability of tobacco. </w:t>
            </w:r>
          </w:p>
          <w:p w14:paraId="6626D1CE" w14:textId="17A3D8BF" w:rsidR="0082483F" w:rsidRPr="00093947" w:rsidRDefault="002D7D61" w:rsidP="00214E78">
            <w:pPr>
              <w:keepNext/>
              <w:spacing w:before="120" w:after="120" w:line="240" w:lineRule="auto"/>
              <w:rPr>
                <w:b/>
              </w:rPr>
            </w:pPr>
            <w:r>
              <w:rPr>
                <w:b/>
              </w:rPr>
              <w:t>Theme</w:t>
            </w:r>
            <w:r w:rsidRPr="00093947">
              <w:rPr>
                <w:b/>
              </w:rPr>
              <w:t xml:space="preserve"> </w:t>
            </w:r>
            <w:r w:rsidR="0082483F" w:rsidRPr="00093947">
              <w:rPr>
                <w:b/>
              </w:rPr>
              <w:t>One</w:t>
            </w:r>
            <w:r w:rsidR="008931C3" w:rsidRPr="00093947">
              <w:rPr>
                <w:b/>
              </w:rPr>
              <w:t>:</w:t>
            </w:r>
            <w:r w:rsidR="0082483F" w:rsidRPr="00093947">
              <w:rPr>
                <w:b/>
              </w:rPr>
              <w:t xml:space="preserve"> Access to tobacco</w:t>
            </w:r>
          </w:p>
          <w:p w14:paraId="7A4BAA04" w14:textId="1EEF0C83" w:rsidR="008B0403" w:rsidRPr="000C138D" w:rsidRDefault="0082483F" w:rsidP="008931C3">
            <w:r w:rsidRPr="000C138D">
              <w:t xml:space="preserve">Tobacco is widely available in New Zealand. There are no restrictions on who may retail tobacco, </w:t>
            </w:r>
            <w:r w:rsidR="002E643B" w:rsidRPr="000C138D">
              <w:t>and anyone over the age of 18</w:t>
            </w:r>
            <w:r w:rsidR="00101FBD">
              <w:t xml:space="preserve"> years</w:t>
            </w:r>
            <w:r w:rsidR="002E643B" w:rsidRPr="000C138D">
              <w:t xml:space="preserve"> may purchase </w:t>
            </w:r>
            <w:r w:rsidR="00101FBD">
              <w:t>it</w:t>
            </w:r>
            <w:r w:rsidR="002E643B" w:rsidRPr="000C138D">
              <w:t xml:space="preserve">, in any quantity. However, </w:t>
            </w:r>
            <w:r w:rsidR="00101FBD" w:rsidRPr="000C138D">
              <w:t>the Customs and Excise Act 2018</w:t>
            </w:r>
            <w:r w:rsidR="00101FBD">
              <w:t xml:space="preserve"> requires anyone </w:t>
            </w:r>
            <w:r w:rsidR="000F2D25" w:rsidRPr="000C138D">
              <w:t>import</w:t>
            </w:r>
            <w:r w:rsidR="00101FBD">
              <w:t>ing</w:t>
            </w:r>
            <w:r w:rsidR="000F2D25" w:rsidRPr="000C138D">
              <w:t xml:space="preserve"> </w:t>
            </w:r>
            <w:r w:rsidR="004768CD" w:rsidRPr="000C138D">
              <w:t xml:space="preserve">tobacco products </w:t>
            </w:r>
            <w:r w:rsidR="00101FBD">
              <w:t xml:space="preserve">to have </w:t>
            </w:r>
            <w:r w:rsidR="000F2D25" w:rsidRPr="000C138D">
              <w:t>a permit issued by the New Zealand Customs Service</w:t>
            </w:r>
            <w:r w:rsidRPr="000C138D">
              <w:t xml:space="preserve">. </w:t>
            </w:r>
          </w:p>
          <w:p w14:paraId="43C66805" w14:textId="7ABDEEED" w:rsidR="0082483F" w:rsidRPr="000C138D" w:rsidRDefault="0082483F" w:rsidP="008931C3">
            <w:r w:rsidRPr="000C138D">
              <w:t>Currently tobacco is available in at least 5</w:t>
            </w:r>
            <w:r w:rsidR="00101FBD">
              <w:t>,</w:t>
            </w:r>
            <w:r w:rsidRPr="000C138D">
              <w:t>000 retail outlets (</w:t>
            </w:r>
            <w:r w:rsidR="00101FBD">
              <w:t xml:space="preserve">which amounts to </w:t>
            </w:r>
            <w:r w:rsidRPr="000C138D">
              <w:t xml:space="preserve">around one </w:t>
            </w:r>
            <w:r w:rsidR="00101FBD">
              <w:t>for every</w:t>
            </w:r>
            <w:r w:rsidR="00101FBD" w:rsidRPr="000C138D">
              <w:t xml:space="preserve"> </w:t>
            </w:r>
            <w:r w:rsidRPr="000C138D">
              <w:t>100 smokers)</w:t>
            </w:r>
            <w:r w:rsidR="00337589" w:rsidRPr="000C138D">
              <w:t xml:space="preserve"> and </w:t>
            </w:r>
            <w:r w:rsidR="003B4BDA">
              <w:t xml:space="preserve">the </w:t>
            </w:r>
            <w:r w:rsidR="00056B56">
              <w:t>total</w:t>
            </w:r>
            <w:r w:rsidR="003B4BDA">
              <w:t xml:space="preserve"> </w:t>
            </w:r>
            <w:r w:rsidR="00101FBD">
              <w:t xml:space="preserve">could </w:t>
            </w:r>
            <w:r w:rsidR="003B4BDA">
              <w:t>extend to as many as</w:t>
            </w:r>
            <w:r w:rsidR="00337589" w:rsidRPr="000C138D">
              <w:t xml:space="preserve"> 8,000</w:t>
            </w:r>
            <w:r w:rsidR="003B4BDA">
              <w:t xml:space="preserve"> outlets</w:t>
            </w:r>
            <w:r w:rsidRPr="000C138D">
              <w:t xml:space="preserve">. </w:t>
            </w:r>
            <w:r w:rsidR="003B4BDA">
              <w:t>An</w:t>
            </w:r>
            <w:r w:rsidRPr="000C138D">
              <w:t xml:space="preserve"> estimated 80 percent </w:t>
            </w:r>
            <w:r w:rsidR="003B4BDA">
              <w:t xml:space="preserve">(or more) </w:t>
            </w:r>
            <w:r w:rsidRPr="000C138D">
              <w:t xml:space="preserve">of </w:t>
            </w:r>
            <w:r w:rsidR="003B4BDA">
              <w:t xml:space="preserve">these </w:t>
            </w:r>
            <w:r w:rsidRPr="000C138D">
              <w:t>outlets are convenience stores, service stations, on-licen</w:t>
            </w:r>
            <w:r w:rsidR="00101FBD">
              <w:t>s</w:t>
            </w:r>
            <w:r w:rsidRPr="000C138D">
              <w:t>ed premises and supermarkets. Fifty-four percent of secondary schools have at least one tobacco outlet within 500 metres</w:t>
            </w:r>
            <w:r w:rsidR="004A4ACB">
              <w:t xml:space="preserve"> of their location</w:t>
            </w:r>
            <w:r w:rsidRPr="000C138D">
              <w:t xml:space="preserve"> (</w:t>
            </w:r>
            <w:r w:rsidR="009F3A0A">
              <w:t xml:space="preserve">Marsh </w:t>
            </w:r>
            <w:r w:rsidRPr="000C138D">
              <w:t>et al 201</w:t>
            </w:r>
            <w:r w:rsidR="00503FC0">
              <w:t>3</w:t>
            </w:r>
            <w:r w:rsidRPr="000C138D">
              <w:t>)</w:t>
            </w:r>
            <w:r w:rsidR="00150BA9" w:rsidRPr="000C138D">
              <w:t>.</w:t>
            </w:r>
            <w:r w:rsidRPr="000C138D">
              <w:t xml:space="preserve"> Outlets are also highly concentrated in disadvantaged neighbourhoods. Evidence </w:t>
            </w:r>
            <w:r w:rsidR="007D19FE">
              <w:t>further indicates that</w:t>
            </w:r>
            <w:r w:rsidRPr="000C138D">
              <w:t xml:space="preserve"> smoking rates</w:t>
            </w:r>
            <w:r w:rsidR="007D19FE">
              <w:t xml:space="preserve"> are higher </w:t>
            </w:r>
            <w:r w:rsidR="00942315">
              <w:t xml:space="preserve">in areas </w:t>
            </w:r>
            <w:r w:rsidR="00AB0E1E">
              <w:t>where the density of</w:t>
            </w:r>
            <w:r w:rsidR="007D19FE">
              <w:t xml:space="preserve"> stores</w:t>
            </w:r>
            <w:r w:rsidR="009E3B70">
              <w:t xml:space="preserve"> selling tobacco</w:t>
            </w:r>
            <w:r w:rsidR="007D19FE">
              <w:t xml:space="preserve"> </w:t>
            </w:r>
            <w:r w:rsidR="00AB0E1E">
              <w:t xml:space="preserve">is </w:t>
            </w:r>
            <w:r w:rsidR="007D19FE">
              <w:t>higher</w:t>
            </w:r>
            <w:r w:rsidRPr="000C138D">
              <w:t>.</w:t>
            </w:r>
          </w:p>
          <w:p w14:paraId="2D91585E" w14:textId="7EEB3C1B" w:rsidR="0082483F" w:rsidRPr="00093947" w:rsidRDefault="0082483F" w:rsidP="00214E78">
            <w:pPr>
              <w:keepNext/>
              <w:spacing w:before="120" w:after="120" w:line="240" w:lineRule="auto"/>
              <w:rPr>
                <w:i/>
              </w:rPr>
            </w:pPr>
            <w:r w:rsidRPr="00093947">
              <w:rPr>
                <w:i/>
              </w:rPr>
              <w:t>Licen</w:t>
            </w:r>
            <w:r w:rsidR="008931C3" w:rsidRPr="00093947">
              <w:rPr>
                <w:i/>
              </w:rPr>
              <w:t>s</w:t>
            </w:r>
            <w:r w:rsidRPr="00093947">
              <w:rPr>
                <w:i/>
              </w:rPr>
              <w:t>ing tobacco retailers</w:t>
            </w:r>
          </w:p>
          <w:p w14:paraId="3BF7CBBD" w14:textId="153ADE39" w:rsidR="0082483F" w:rsidRPr="000C138D" w:rsidRDefault="0082483F" w:rsidP="008931C3">
            <w:r w:rsidRPr="000C138D">
              <w:t>Unlike other high</w:t>
            </w:r>
            <w:r w:rsidR="009E3B70">
              <w:t>-</w:t>
            </w:r>
            <w:r w:rsidRPr="000C138D">
              <w:t xml:space="preserve">risk or harmful products </w:t>
            </w:r>
            <w:r w:rsidR="00C0286D" w:rsidRPr="000C138D">
              <w:t xml:space="preserve">such as </w:t>
            </w:r>
            <w:r w:rsidRPr="000C138D">
              <w:t xml:space="preserve">alcohol, </w:t>
            </w:r>
            <w:r w:rsidR="00C0286D" w:rsidRPr="000C138D">
              <w:t xml:space="preserve">some </w:t>
            </w:r>
            <w:r w:rsidRPr="000C138D">
              <w:t>pharmaceutical</w:t>
            </w:r>
            <w:r w:rsidR="00032FE7" w:rsidRPr="000C138D">
              <w:t xml:space="preserve"> products</w:t>
            </w:r>
            <w:r w:rsidRPr="000C138D">
              <w:t xml:space="preserve">, </w:t>
            </w:r>
            <w:r w:rsidR="00676420" w:rsidRPr="000C138D">
              <w:t>and firearms</w:t>
            </w:r>
            <w:r w:rsidRPr="000C138D">
              <w:t>,</w:t>
            </w:r>
            <w:r w:rsidR="009E3B70" w:rsidRPr="000C138D">
              <w:t xml:space="preserve"> tobacco products</w:t>
            </w:r>
            <w:r w:rsidRPr="000C138D">
              <w:t xml:space="preserve"> </w:t>
            </w:r>
            <w:r w:rsidR="009E3B70">
              <w:t>have</w:t>
            </w:r>
            <w:r w:rsidRPr="000C138D">
              <w:t xml:space="preserve"> no regulatory measures relating to retailer licen</w:t>
            </w:r>
            <w:r w:rsidR="009E3B70">
              <w:t>s</w:t>
            </w:r>
            <w:r w:rsidRPr="000C138D">
              <w:t xml:space="preserve">ing. </w:t>
            </w:r>
          </w:p>
          <w:p w14:paraId="2C4FF757" w14:textId="2921DE6A" w:rsidR="0082483F" w:rsidRPr="000C138D" w:rsidRDefault="009E3B70" w:rsidP="008931C3">
            <w:r>
              <w:t>Based on the few</w:t>
            </w:r>
            <w:r w:rsidRPr="000C138D">
              <w:t xml:space="preserve"> </w:t>
            </w:r>
            <w:r w:rsidR="0082483F" w:rsidRPr="000C138D">
              <w:t xml:space="preserve">published evaluations </w:t>
            </w:r>
            <w:r>
              <w:t>that are available</w:t>
            </w:r>
            <w:r w:rsidR="0082483F" w:rsidRPr="000C138D">
              <w:t>, tobacco retail licensing schemes appear to increase compliance with youth access restrictions and may also reduce the availability of tobacco</w:t>
            </w:r>
            <w:r>
              <w:t xml:space="preserve"> in retail outlets</w:t>
            </w:r>
            <w:r w:rsidR="0082483F" w:rsidRPr="000C138D">
              <w:t>, even if that was not the primary intention</w:t>
            </w:r>
            <w:r>
              <w:t xml:space="preserve"> of the scheme</w:t>
            </w:r>
            <w:r w:rsidR="0082483F" w:rsidRPr="000C138D">
              <w:t>. Examples of jurisdictions with licen</w:t>
            </w:r>
            <w:r w:rsidR="00FF0450">
              <w:t>s</w:t>
            </w:r>
            <w:r w:rsidR="0082483F" w:rsidRPr="000C138D">
              <w:t>ing schemes include most states in Australia, parts of the U</w:t>
            </w:r>
            <w:r w:rsidR="00B26135" w:rsidRPr="000C138D">
              <w:t xml:space="preserve">nited </w:t>
            </w:r>
            <w:r w:rsidR="0082483F" w:rsidRPr="000C138D">
              <w:t>S</w:t>
            </w:r>
            <w:r w:rsidR="00B26135" w:rsidRPr="000C138D">
              <w:t>tates</w:t>
            </w:r>
            <w:r w:rsidR="0082483F" w:rsidRPr="000C138D">
              <w:t xml:space="preserve"> such as San Francisco and New York state, Finland, Singapore, Hungary and the Cook Islands</w:t>
            </w:r>
            <w:r w:rsidR="00337589" w:rsidRPr="000C138D">
              <w:t xml:space="preserve"> (</w:t>
            </w:r>
            <w:r w:rsidR="000149F4">
              <w:t>Thornley et al</w:t>
            </w:r>
            <w:r w:rsidR="00337589" w:rsidRPr="000C138D">
              <w:t xml:space="preserve"> 2017</w:t>
            </w:r>
            <w:r w:rsidR="000149F4">
              <w:t>a</w:t>
            </w:r>
            <w:r w:rsidR="00337589" w:rsidRPr="000C138D">
              <w:t>)</w:t>
            </w:r>
            <w:r w:rsidR="0082483F" w:rsidRPr="000C138D">
              <w:t xml:space="preserve">. </w:t>
            </w:r>
          </w:p>
          <w:p w14:paraId="3483B007" w14:textId="1822593F" w:rsidR="00DE391E" w:rsidRPr="000C138D" w:rsidRDefault="00DE391E" w:rsidP="008931C3">
            <w:pPr>
              <w:rPr>
                <w:rFonts w:cs="Arial"/>
                <w:szCs w:val="22"/>
              </w:rPr>
            </w:pPr>
            <w:r w:rsidRPr="000C138D">
              <w:t xml:space="preserve">Licensing could </w:t>
            </w:r>
            <w:r w:rsidR="006873C6">
              <w:t xml:space="preserve">also </w:t>
            </w:r>
            <w:r w:rsidR="00150BA9" w:rsidRPr="000C138D">
              <w:t xml:space="preserve">potentially </w:t>
            </w:r>
            <w:r w:rsidR="00FF0450">
              <w:t>help</w:t>
            </w:r>
            <w:r w:rsidR="00FF0450" w:rsidRPr="000C138D">
              <w:t xml:space="preserve"> </w:t>
            </w:r>
            <w:r w:rsidRPr="000C138D">
              <w:t xml:space="preserve">to </w:t>
            </w:r>
            <w:r w:rsidR="00FF0450">
              <w:t>reduce</w:t>
            </w:r>
            <w:r w:rsidR="00FF0450" w:rsidRPr="000C138D">
              <w:t xml:space="preserve"> </w:t>
            </w:r>
            <w:r w:rsidRPr="000C138D">
              <w:t>the sale and distribution of illicit tobacco products.</w:t>
            </w:r>
          </w:p>
          <w:p w14:paraId="12D08ABE" w14:textId="77777777" w:rsidR="0082483F" w:rsidRPr="00093947" w:rsidRDefault="0082483F" w:rsidP="00093947">
            <w:pPr>
              <w:keepNext/>
              <w:spacing w:before="120" w:after="120" w:line="240" w:lineRule="auto"/>
              <w:rPr>
                <w:i/>
              </w:rPr>
            </w:pPr>
            <w:r w:rsidRPr="00093947">
              <w:rPr>
                <w:i/>
              </w:rPr>
              <w:t>Measures to significantly reduce retail outlets</w:t>
            </w:r>
          </w:p>
          <w:p w14:paraId="65674F19" w14:textId="54425B55" w:rsidR="0082483F" w:rsidRPr="000C138D" w:rsidRDefault="0082483F" w:rsidP="008931C3">
            <w:r w:rsidRPr="000C138D">
              <w:t>Modelling suggests that reducing the number of</w:t>
            </w:r>
            <w:r w:rsidR="00FF0450">
              <w:t xml:space="preserve"> retail</w:t>
            </w:r>
            <w:r w:rsidRPr="000C138D">
              <w:t xml:space="preserve"> outlets to 300 (approximately one </w:t>
            </w:r>
            <w:r w:rsidR="000D01CE">
              <w:t>for every</w:t>
            </w:r>
            <w:r w:rsidR="000D01CE" w:rsidRPr="000C138D">
              <w:t xml:space="preserve"> </w:t>
            </w:r>
            <w:r w:rsidRPr="000C138D">
              <w:t xml:space="preserve">1,600 </w:t>
            </w:r>
            <w:r w:rsidR="006E3F1B" w:rsidRPr="000C138D">
              <w:t>smokers)</w:t>
            </w:r>
            <w:r w:rsidR="006E3F1B">
              <w:t xml:space="preserve"> could</w:t>
            </w:r>
            <w:r w:rsidRPr="000C138D">
              <w:t xml:space="preserve"> have a positive effect by increasing travel time to outlets and eliminating impulse purchase</w:t>
            </w:r>
            <w:r w:rsidR="00876D67" w:rsidRPr="000C138D">
              <w:t>s</w:t>
            </w:r>
            <w:r w:rsidR="00884E13">
              <w:t xml:space="preserve"> (Pearson 2015)</w:t>
            </w:r>
            <w:r w:rsidRPr="000C138D">
              <w:t xml:space="preserve">. </w:t>
            </w:r>
          </w:p>
          <w:p w14:paraId="47525523" w14:textId="5858C0F1" w:rsidR="0082483F" w:rsidRPr="000C138D" w:rsidRDefault="00FF0450" w:rsidP="008931C3">
            <w:r>
              <w:t>Measures to reduce the number of</w:t>
            </w:r>
            <w:r w:rsidR="0082483F" w:rsidRPr="000C138D">
              <w:t xml:space="preserve"> retail outlets can </w:t>
            </w:r>
            <w:r>
              <w:t xml:space="preserve">involve </w:t>
            </w:r>
            <w:r w:rsidR="0082483F" w:rsidRPr="000C138D">
              <w:t xml:space="preserve">either a managed reduction process or limiting </w:t>
            </w:r>
            <w:r w:rsidR="00C96661" w:rsidRPr="000C138D">
              <w:t xml:space="preserve">sales </w:t>
            </w:r>
            <w:r w:rsidR="0082483F" w:rsidRPr="000C138D">
              <w:t xml:space="preserve">to specific retailers. A phased reduction process </w:t>
            </w:r>
            <w:r w:rsidR="00B44C1B">
              <w:t>c</w:t>
            </w:r>
            <w:r w:rsidR="0082483F" w:rsidRPr="000C138D">
              <w:t xml:space="preserve">ould take place over </w:t>
            </w:r>
            <w:r w:rsidR="00876D67" w:rsidRPr="000C138D">
              <w:t>three to five</w:t>
            </w:r>
            <w:r w:rsidR="0082483F" w:rsidRPr="000C138D">
              <w:t xml:space="preserve"> year</w:t>
            </w:r>
            <w:r>
              <w:t>s</w:t>
            </w:r>
            <w:r w:rsidR="0082483F" w:rsidRPr="000C138D">
              <w:t xml:space="preserve"> – possibly by first allowing current retailers to opt in to registration, then imposing criteria over time </w:t>
            </w:r>
            <w:r w:rsidR="00597E31" w:rsidRPr="000C138D">
              <w:t>by</w:t>
            </w:r>
            <w:r w:rsidR="0082483F" w:rsidRPr="000C138D">
              <w:t xml:space="preserve"> not allowing new retailers to enter the market,</w:t>
            </w:r>
            <w:r>
              <w:t xml:space="preserve"> and</w:t>
            </w:r>
            <w:r w:rsidR="0082483F" w:rsidRPr="000C138D">
              <w:t xml:space="preserve"> then including additional population density measures to prevent clustering of outlets. A further option would be to </w:t>
            </w:r>
            <w:r>
              <w:t>add</w:t>
            </w:r>
            <w:r w:rsidRPr="000C138D">
              <w:t xml:space="preserve"> </w:t>
            </w:r>
            <w:r w:rsidR="0082483F" w:rsidRPr="000C138D">
              <w:t xml:space="preserve">specific requirements such as </w:t>
            </w:r>
            <w:r>
              <w:t xml:space="preserve">limiting the </w:t>
            </w:r>
            <w:r w:rsidR="0082483F" w:rsidRPr="000C138D">
              <w:t xml:space="preserve">proximity </w:t>
            </w:r>
            <w:r>
              <w:t xml:space="preserve">of outlets </w:t>
            </w:r>
            <w:r w:rsidR="0082483F" w:rsidRPr="000C138D">
              <w:t>to schools or playgrounds</w:t>
            </w:r>
            <w:r w:rsidR="00977EB1" w:rsidRPr="000C138D">
              <w:t>,</w:t>
            </w:r>
            <w:r w:rsidR="0082483F" w:rsidRPr="000C138D">
              <w:t xml:space="preserve"> or restricting sales of retail tobacco in on-licen</w:t>
            </w:r>
            <w:r w:rsidR="00A611CC">
              <w:t>sed</w:t>
            </w:r>
            <w:r w:rsidR="0082483F" w:rsidRPr="000C138D">
              <w:t xml:space="preserve"> premises. Grandfathering existing outlets</w:t>
            </w:r>
            <w:r w:rsidR="003F0439">
              <w:rPr>
                <w:rStyle w:val="FootnoteReference"/>
              </w:rPr>
              <w:footnoteReference w:id="2"/>
            </w:r>
            <w:r w:rsidR="0082483F" w:rsidRPr="000C138D">
              <w:t xml:space="preserve"> without imposing additional criteria such as population density would not be enough to </w:t>
            </w:r>
            <w:r w:rsidR="00A611CC">
              <w:t>reduce outlets by the target of about</w:t>
            </w:r>
            <w:r w:rsidR="0082483F" w:rsidRPr="000C138D">
              <w:t xml:space="preserve"> 95</w:t>
            </w:r>
            <w:r w:rsidR="00150BA9" w:rsidRPr="000C138D">
              <w:t xml:space="preserve"> </w:t>
            </w:r>
            <w:r w:rsidR="004C1282" w:rsidRPr="000C138D">
              <w:t>percent</w:t>
            </w:r>
            <w:r w:rsidR="0082483F" w:rsidRPr="000C138D">
              <w:t>.</w:t>
            </w:r>
          </w:p>
          <w:p w14:paraId="3C98FE80" w14:textId="7C662EAC" w:rsidR="00337589" w:rsidRPr="000C138D" w:rsidRDefault="0082483F" w:rsidP="008931C3">
            <w:r w:rsidRPr="000C138D">
              <w:t>A</w:t>
            </w:r>
            <w:r w:rsidR="00A611CC">
              <w:t>n a</w:t>
            </w:r>
            <w:r w:rsidRPr="000C138D">
              <w:t>lternative</w:t>
            </w:r>
            <w:r w:rsidR="00A611CC">
              <w:t xml:space="preserve"> approach would be to limit</w:t>
            </w:r>
            <w:r w:rsidRPr="000C138D">
              <w:t xml:space="preserve"> supply to specialist retailers. </w:t>
            </w:r>
            <w:r w:rsidR="00A611CC">
              <w:t>One s</w:t>
            </w:r>
            <w:r w:rsidRPr="000C138D">
              <w:t>uggestion</w:t>
            </w:r>
            <w:r w:rsidR="00A611CC">
              <w:t xml:space="preserve"> is</w:t>
            </w:r>
            <w:r w:rsidRPr="000C138D">
              <w:t xml:space="preserve"> that </w:t>
            </w:r>
            <w:r w:rsidR="00FE63B6" w:rsidRPr="000C138D">
              <w:t>pharmacies</w:t>
            </w:r>
            <w:r w:rsidR="00FA6B9E" w:rsidRPr="000C138D">
              <w:t xml:space="preserve"> </w:t>
            </w:r>
            <w:r w:rsidRPr="000C138D">
              <w:t>could fill this role</w:t>
            </w:r>
            <w:r w:rsidR="00A611CC">
              <w:t>.</w:t>
            </w:r>
            <w:r w:rsidRPr="000C138D">
              <w:t xml:space="preserve"> </w:t>
            </w:r>
            <w:r w:rsidR="00A611CC">
              <w:t>H</w:t>
            </w:r>
            <w:r w:rsidRPr="000C138D">
              <w:t>owever</w:t>
            </w:r>
            <w:r w:rsidR="00A611CC">
              <w:t>,</w:t>
            </w:r>
            <w:r w:rsidRPr="000C138D">
              <w:t xml:space="preserve"> a survey found that only 26</w:t>
            </w:r>
            <w:r w:rsidR="00DE391E" w:rsidRPr="000C138D">
              <w:t xml:space="preserve"> </w:t>
            </w:r>
            <w:r w:rsidR="004C1282" w:rsidRPr="000C138D">
              <w:t>percent</w:t>
            </w:r>
            <w:r w:rsidRPr="000C138D">
              <w:t xml:space="preserve"> </w:t>
            </w:r>
            <w:r w:rsidR="00FA6B9E" w:rsidRPr="000C138D">
              <w:t xml:space="preserve">of pharmacists </w:t>
            </w:r>
            <w:r w:rsidRPr="000C138D">
              <w:t>were likely or very likely to want to take on this role (</w:t>
            </w:r>
            <w:r w:rsidR="00602D53">
              <w:t xml:space="preserve">van der </w:t>
            </w:r>
            <w:proofErr w:type="spellStart"/>
            <w:r w:rsidR="00602D53">
              <w:t>Deen</w:t>
            </w:r>
            <w:proofErr w:type="spellEnd"/>
            <w:r w:rsidR="00AB1758">
              <w:t xml:space="preserve"> and </w:t>
            </w:r>
            <w:r w:rsidR="00AB1758">
              <w:lastRenderedPageBreak/>
              <w:t>Wilson 201</w:t>
            </w:r>
            <w:r w:rsidR="001F5C4F">
              <w:t>8</w:t>
            </w:r>
            <w:r w:rsidR="009C3385">
              <w:t>)</w:t>
            </w:r>
            <w:r w:rsidRPr="000C138D">
              <w:t xml:space="preserve">). Modelling has also </w:t>
            </w:r>
            <w:r w:rsidR="00A611CC">
              <w:t>examined the impact of</w:t>
            </w:r>
            <w:r w:rsidRPr="000C138D">
              <w:t xml:space="preserve"> restricting</w:t>
            </w:r>
            <w:r w:rsidR="00FE63B6" w:rsidRPr="000C138D">
              <w:t xml:space="preserve"> sales</w:t>
            </w:r>
            <w:r w:rsidRPr="000C138D">
              <w:t xml:space="preserve"> to liquor stores (R18)</w:t>
            </w:r>
            <w:r w:rsidR="00E7153D">
              <w:t xml:space="preserve"> (</w:t>
            </w:r>
            <w:r w:rsidR="00E7153D" w:rsidRPr="000C138D">
              <w:t>Marsh et al 2020</w:t>
            </w:r>
            <w:r w:rsidR="00E7153D">
              <w:t>a</w:t>
            </w:r>
            <w:r w:rsidR="009C3385">
              <w:t>)</w:t>
            </w:r>
            <w:r w:rsidR="009C3385">
              <w:rPr>
                <w:rStyle w:val="CommentReference"/>
              </w:rPr>
              <w:t>.</w:t>
            </w:r>
            <w:r w:rsidRPr="000C138D">
              <w:t xml:space="preserve"> </w:t>
            </w:r>
          </w:p>
          <w:p w14:paraId="546845B9" w14:textId="1AC88981" w:rsidR="00337589" w:rsidRPr="000C138D" w:rsidRDefault="0082483F" w:rsidP="008931C3">
            <w:r w:rsidRPr="000C138D">
              <w:t xml:space="preserve">The drawback of using specialist suppliers is that all current retailers will need to exit the market. This </w:t>
            </w:r>
            <w:r w:rsidR="00C155EF">
              <w:t xml:space="preserve">approach </w:t>
            </w:r>
            <w:r w:rsidRPr="000C138D">
              <w:t>may disadvantag</w:t>
            </w:r>
            <w:r w:rsidR="00C155EF">
              <w:t>e</w:t>
            </w:r>
            <w:r w:rsidRPr="000C138D">
              <w:t xml:space="preserve"> small </w:t>
            </w:r>
            <w:proofErr w:type="gramStart"/>
            <w:r w:rsidRPr="000C138D">
              <w:t>retailers</w:t>
            </w:r>
            <w:proofErr w:type="gramEnd"/>
            <w:r w:rsidRPr="000C138D">
              <w:t xml:space="preserve"> and</w:t>
            </w:r>
            <w:r w:rsidR="00C155EF">
              <w:t>, for this reason, stakeholders</w:t>
            </w:r>
            <w:r w:rsidRPr="000C138D">
              <w:t xml:space="preserve"> preferred a phased reduction or sinking lid </w:t>
            </w:r>
            <w:r w:rsidR="00C155EF">
              <w:t xml:space="preserve">over this approach </w:t>
            </w:r>
            <w:r w:rsidRPr="000C138D">
              <w:t>(</w:t>
            </w:r>
            <w:r w:rsidR="00F46A83">
              <w:t>Thornley et al</w:t>
            </w:r>
            <w:r w:rsidRPr="000C138D">
              <w:t xml:space="preserve"> 2017</w:t>
            </w:r>
            <w:r w:rsidR="00F46A83">
              <w:t>a</w:t>
            </w:r>
            <w:r w:rsidRPr="000C138D">
              <w:t xml:space="preserve">). </w:t>
            </w:r>
            <w:r w:rsidR="00770946">
              <w:t xml:space="preserve">However, it </w:t>
            </w:r>
            <w:r w:rsidR="001210C1">
              <w:t xml:space="preserve">could also minimise losses to existing retailers, as </w:t>
            </w:r>
            <w:r w:rsidR="000E5909">
              <w:t>newly lice</w:t>
            </w:r>
            <w:r w:rsidR="00E119BB">
              <w:t xml:space="preserve">nced </w:t>
            </w:r>
            <w:r w:rsidR="00747543">
              <w:t>retailers</w:t>
            </w:r>
            <w:r w:rsidR="00E119BB">
              <w:t xml:space="preserve"> would not be competing for sales of food, beverages and other items commonly bought alongside tobacco. </w:t>
            </w:r>
          </w:p>
          <w:p w14:paraId="3F47A026" w14:textId="4199D9DB" w:rsidR="0082483F" w:rsidRPr="000C138D" w:rsidRDefault="0082483F" w:rsidP="008931C3">
            <w:r w:rsidRPr="000C138D">
              <w:t>Impacts on small stores may be overstated</w:t>
            </w:r>
            <w:r w:rsidR="005C0F56">
              <w:t>,</w:t>
            </w:r>
            <w:r w:rsidR="005C0F56" w:rsidRPr="000C138D">
              <w:t xml:space="preserve"> however</w:t>
            </w:r>
            <w:r w:rsidRPr="000C138D">
              <w:t>. Recent research shows that only around 1</w:t>
            </w:r>
            <w:r w:rsidR="00A87859" w:rsidRPr="000C138D">
              <w:t>4</w:t>
            </w:r>
            <w:r w:rsidR="004C1282" w:rsidRPr="000C138D">
              <w:t xml:space="preserve"> percent</w:t>
            </w:r>
            <w:r w:rsidRPr="000C138D">
              <w:t xml:space="preserve"> of sales include tobacco, and of those only </w:t>
            </w:r>
            <w:r w:rsidR="009F0B87" w:rsidRPr="000C138D">
              <w:t>6</w:t>
            </w:r>
            <w:r w:rsidR="004C1282" w:rsidRPr="000C138D">
              <w:t xml:space="preserve"> percent</w:t>
            </w:r>
            <w:r w:rsidRPr="000C138D">
              <w:t xml:space="preserve"> include both tobacco and other products. Further</w:t>
            </w:r>
            <w:r w:rsidR="000D01CE" w:rsidRPr="000C138D">
              <w:t>,</w:t>
            </w:r>
            <w:r w:rsidR="00F31EBC">
              <w:t xml:space="preserve"> </w:t>
            </w:r>
            <w:r w:rsidR="000D01CE">
              <w:t xml:space="preserve">profit </w:t>
            </w:r>
            <w:r w:rsidRPr="000C138D">
              <w:t>margins on tobacco products may be small</w:t>
            </w:r>
            <w:r w:rsidR="000D01CE">
              <w:t>;</w:t>
            </w:r>
            <w:r w:rsidRPr="000C138D">
              <w:t xml:space="preserve"> for example, </w:t>
            </w:r>
            <w:r w:rsidR="000D01CE">
              <w:t>a</w:t>
            </w:r>
            <w:r w:rsidRPr="000C138D">
              <w:t xml:space="preserve"> </w:t>
            </w:r>
            <w:r w:rsidR="000D01CE">
              <w:t>study in the United Kingdom indicates a</w:t>
            </w:r>
            <w:r w:rsidRPr="000C138D">
              <w:t xml:space="preserve"> 5</w:t>
            </w:r>
            <w:r w:rsidR="004C1282" w:rsidRPr="000C138D">
              <w:t xml:space="preserve"> percent</w:t>
            </w:r>
            <w:r w:rsidR="0006538D" w:rsidRPr="000C138D">
              <w:t xml:space="preserve"> </w:t>
            </w:r>
            <w:r w:rsidR="000D01CE">
              <w:t xml:space="preserve">profit </w:t>
            </w:r>
            <w:r w:rsidR="0006538D" w:rsidRPr="000C138D">
              <w:t>(Marsh et al</w:t>
            </w:r>
            <w:r w:rsidR="008B0403" w:rsidRPr="000C138D">
              <w:t xml:space="preserve"> </w:t>
            </w:r>
            <w:r w:rsidR="0006538D" w:rsidRPr="000C138D">
              <w:t>2020</w:t>
            </w:r>
            <w:r w:rsidR="00911C5B">
              <w:t>b</w:t>
            </w:r>
            <w:r w:rsidR="0006538D" w:rsidRPr="000C138D">
              <w:t>)</w:t>
            </w:r>
            <w:r w:rsidRPr="000C138D">
              <w:t xml:space="preserve">. </w:t>
            </w:r>
          </w:p>
          <w:p w14:paraId="39D7B8C2" w14:textId="3A83FB01" w:rsidR="0082483F" w:rsidRPr="00093947" w:rsidRDefault="000D01CE" w:rsidP="00093947">
            <w:pPr>
              <w:keepNext/>
              <w:spacing w:before="120" w:after="120" w:line="240" w:lineRule="auto"/>
              <w:rPr>
                <w:i/>
              </w:rPr>
            </w:pPr>
            <w:r w:rsidRPr="00093947">
              <w:rPr>
                <w:i/>
              </w:rPr>
              <w:t>M</w:t>
            </w:r>
            <w:r w:rsidR="0082483F" w:rsidRPr="00093947">
              <w:rPr>
                <w:i/>
              </w:rPr>
              <w:t xml:space="preserve">easures </w:t>
            </w:r>
            <w:r w:rsidRPr="00093947">
              <w:rPr>
                <w:i/>
              </w:rPr>
              <w:t>to limit the availability of</w:t>
            </w:r>
            <w:r w:rsidR="0082483F" w:rsidRPr="00093947">
              <w:rPr>
                <w:i/>
              </w:rPr>
              <w:t xml:space="preserve"> tobacco to</w:t>
            </w:r>
            <w:r w:rsidRPr="00093947">
              <w:rPr>
                <w:i/>
              </w:rPr>
              <w:t xml:space="preserve"> </w:t>
            </w:r>
            <w:proofErr w:type="gramStart"/>
            <w:r w:rsidRPr="00093947">
              <w:rPr>
                <w:i/>
              </w:rPr>
              <w:t>particular age</w:t>
            </w:r>
            <w:proofErr w:type="gramEnd"/>
            <w:r w:rsidRPr="00093947">
              <w:rPr>
                <w:i/>
              </w:rPr>
              <w:t xml:space="preserve"> groups</w:t>
            </w:r>
          </w:p>
          <w:p w14:paraId="23D7B3FC" w14:textId="5323DF58" w:rsidR="008B0403" w:rsidRPr="000C138D" w:rsidRDefault="0082483F" w:rsidP="008931C3">
            <w:r w:rsidRPr="000C138D">
              <w:t xml:space="preserve">Currently </w:t>
            </w:r>
            <w:r w:rsidR="000D01CE">
              <w:t>3</w:t>
            </w:r>
            <w:r w:rsidR="000D01CE" w:rsidRPr="000C138D">
              <w:t xml:space="preserve"> </w:t>
            </w:r>
            <w:r w:rsidR="00820DEF" w:rsidRPr="000C138D">
              <w:t>percent</w:t>
            </w:r>
            <w:r w:rsidRPr="000C138D">
              <w:t xml:space="preserve"> of daily smokers are </w:t>
            </w:r>
            <w:r w:rsidR="000D01CE">
              <w:t>aged</w:t>
            </w:r>
            <w:r w:rsidRPr="000C138D">
              <w:t xml:space="preserve"> 15 </w:t>
            </w:r>
            <w:r w:rsidR="0020289C" w:rsidRPr="000C138D">
              <w:t>to</w:t>
            </w:r>
            <w:r w:rsidRPr="000C138D">
              <w:t xml:space="preserve"> 17 </w:t>
            </w:r>
            <w:r w:rsidR="000D01CE">
              <w:t>years</w:t>
            </w:r>
            <w:r w:rsidRPr="000C138D">
              <w:t xml:space="preserve"> (around 13,920 out of 494,000</w:t>
            </w:r>
            <w:r w:rsidR="000D01CE">
              <w:t xml:space="preserve"> total smokers</w:t>
            </w:r>
            <w:r w:rsidRPr="000C138D">
              <w:t>)</w:t>
            </w:r>
            <w:r w:rsidR="000D01CE">
              <w:t>.</w:t>
            </w:r>
            <w:r w:rsidRPr="000C138D">
              <w:t xml:space="preserve"> </w:t>
            </w:r>
            <w:r w:rsidR="000D01CE">
              <w:t xml:space="preserve">Another </w:t>
            </w:r>
            <w:r w:rsidRPr="000C138D">
              <w:t xml:space="preserve">12.9 </w:t>
            </w:r>
            <w:r w:rsidR="004C1282" w:rsidRPr="000C138D">
              <w:t>percent</w:t>
            </w:r>
            <w:r w:rsidRPr="000C138D">
              <w:t xml:space="preserve"> or 63,926 </w:t>
            </w:r>
            <w:r w:rsidR="000D01CE">
              <w:t xml:space="preserve">people </w:t>
            </w:r>
            <w:r w:rsidRPr="000C138D">
              <w:t xml:space="preserve">are </w:t>
            </w:r>
            <w:r w:rsidR="000D01CE">
              <w:t xml:space="preserve">aged </w:t>
            </w:r>
            <w:r w:rsidRPr="000C138D">
              <w:t>18</w:t>
            </w:r>
            <w:r w:rsidR="0020289C" w:rsidRPr="000C138D">
              <w:t xml:space="preserve"> to</w:t>
            </w:r>
            <w:r w:rsidR="00E401AD" w:rsidRPr="000C138D">
              <w:t xml:space="preserve"> </w:t>
            </w:r>
            <w:r w:rsidRPr="000C138D">
              <w:t xml:space="preserve">24 </w:t>
            </w:r>
            <w:r w:rsidR="000D01CE">
              <w:t>years</w:t>
            </w:r>
            <w:r w:rsidRPr="000C138D">
              <w:t xml:space="preserve"> (Ministry of Health 2020</w:t>
            </w:r>
            <w:r w:rsidR="00CF69AE" w:rsidRPr="000C138D">
              <w:t>a</w:t>
            </w:r>
            <w:r w:rsidRPr="000C138D">
              <w:t>).</w:t>
            </w:r>
            <w:r w:rsidR="008B0403" w:rsidRPr="000C138D">
              <w:t xml:space="preserve"> </w:t>
            </w:r>
          </w:p>
          <w:p w14:paraId="2520854B" w14:textId="3D892A6F" w:rsidR="0082483F" w:rsidRPr="000C138D" w:rsidRDefault="00F31EBC" w:rsidP="008931C3">
            <w:r>
              <w:t>Increasing the p</w:t>
            </w:r>
            <w:r w:rsidR="0082483F" w:rsidRPr="000C138D">
              <w:t xml:space="preserve">urchase age limit </w:t>
            </w:r>
            <w:r w:rsidR="00FA0F61">
              <w:t>may</w:t>
            </w:r>
            <w:r w:rsidR="0082483F" w:rsidRPr="000C138D">
              <w:t xml:space="preserve"> be effective </w:t>
            </w:r>
            <w:r w:rsidR="00E05E86">
              <w:t>in</w:t>
            </w:r>
            <w:r w:rsidR="00E05E86" w:rsidRPr="000C138D">
              <w:t xml:space="preserve"> </w:t>
            </w:r>
            <w:r w:rsidR="0082483F" w:rsidRPr="000C138D">
              <w:t xml:space="preserve">stopping young people </w:t>
            </w:r>
            <w:r w:rsidR="00E05E86">
              <w:t xml:space="preserve">from </w:t>
            </w:r>
            <w:r w:rsidR="0082483F" w:rsidRPr="000C138D">
              <w:t>starting smoking (most people who smoke begin by the age of 26</w:t>
            </w:r>
            <w:r w:rsidR="00E05E86">
              <w:t xml:space="preserve"> years</w:t>
            </w:r>
            <w:r w:rsidR="0082483F" w:rsidRPr="000C138D">
              <w:t xml:space="preserve">). </w:t>
            </w:r>
            <w:r w:rsidR="00E05E86">
              <w:t>V</w:t>
            </w:r>
            <w:r w:rsidR="0082483F" w:rsidRPr="000C138D">
              <w:t xml:space="preserve">an der </w:t>
            </w:r>
            <w:proofErr w:type="spellStart"/>
            <w:r w:rsidR="0082483F" w:rsidRPr="000C138D">
              <w:t>Deen</w:t>
            </w:r>
            <w:proofErr w:type="spellEnd"/>
            <w:r w:rsidR="0082483F" w:rsidRPr="000C138D">
              <w:t xml:space="preserve"> et al (2018)</w:t>
            </w:r>
            <w:r w:rsidR="00E05E86">
              <w:t xml:space="preserve"> undertook modelling studies of stand</w:t>
            </w:r>
            <w:r>
              <w:t>-</w:t>
            </w:r>
            <w:r w:rsidR="002874F6">
              <w:t>alone policies to achieve a S</w:t>
            </w:r>
            <w:r w:rsidR="00E05E86">
              <w:t>mokefree Aotearoa.</w:t>
            </w:r>
            <w:r w:rsidR="0082483F" w:rsidRPr="000C138D">
              <w:t xml:space="preserve"> </w:t>
            </w:r>
            <w:r w:rsidR="00E05E86">
              <w:t xml:space="preserve">They </w:t>
            </w:r>
            <w:r w:rsidR="0082483F" w:rsidRPr="000C138D">
              <w:t xml:space="preserve">found a </w:t>
            </w:r>
            <w:proofErr w:type="spellStart"/>
            <w:r w:rsidR="0082483F" w:rsidRPr="000C138D">
              <w:t>smokefree</w:t>
            </w:r>
            <w:proofErr w:type="spellEnd"/>
            <w:r w:rsidR="0082483F" w:rsidRPr="000C138D">
              <w:t xml:space="preserve"> generation policy </w:t>
            </w:r>
            <w:r w:rsidR="00E05E86">
              <w:t>that</w:t>
            </w:r>
            <w:r w:rsidR="0082483F" w:rsidRPr="000C138D">
              <w:t xml:space="preserve"> increases the age of purchase by one year every year</w:t>
            </w:r>
            <w:r w:rsidR="00E05E86">
              <w:t xml:space="preserve"> would achieve this goal most quickly:</w:t>
            </w:r>
            <w:r w:rsidR="0082483F" w:rsidRPr="000C138D">
              <w:t xml:space="preserve"> if </w:t>
            </w:r>
            <w:r w:rsidR="00E05E86">
              <w:t xml:space="preserve">the policy had been </w:t>
            </w:r>
            <w:r w:rsidR="0082483F" w:rsidRPr="000C138D">
              <w:t xml:space="preserve">implemented in 2011, </w:t>
            </w:r>
            <w:r w:rsidR="00E05E86">
              <w:t xml:space="preserve">it </w:t>
            </w:r>
            <w:r w:rsidR="0082483F" w:rsidRPr="000C138D">
              <w:t xml:space="preserve">would have achieved a </w:t>
            </w:r>
            <w:r w:rsidR="002874F6">
              <w:t>S</w:t>
            </w:r>
            <w:r w:rsidR="0082483F" w:rsidRPr="000C138D">
              <w:t xml:space="preserve">mokefree Aotearoa by 2027 for non-Māori and 2035 for Māori. Implementing this policy would mean young people </w:t>
            </w:r>
            <w:r w:rsidR="00E05E86">
              <w:t xml:space="preserve">aged </w:t>
            </w:r>
            <w:r w:rsidR="0082483F" w:rsidRPr="000C138D">
              <w:t xml:space="preserve">under 18 </w:t>
            </w:r>
            <w:r w:rsidR="00E05E86">
              <w:t xml:space="preserve">years </w:t>
            </w:r>
            <w:r w:rsidR="008E755F" w:rsidRPr="000C138D">
              <w:t xml:space="preserve">at the time of implementation could </w:t>
            </w:r>
            <w:r w:rsidR="0082483F" w:rsidRPr="000C138D">
              <w:t xml:space="preserve">never legally </w:t>
            </w:r>
            <w:r w:rsidR="008E755F" w:rsidRPr="000C138D">
              <w:t xml:space="preserve">be sold </w:t>
            </w:r>
            <w:r w:rsidR="002558D6" w:rsidRPr="000C138D">
              <w:t>smoked tobacco</w:t>
            </w:r>
            <w:r w:rsidR="0082483F" w:rsidRPr="000C138D">
              <w:t>.</w:t>
            </w:r>
          </w:p>
          <w:p w14:paraId="6BA6514E" w14:textId="1A5149C6" w:rsidR="0082483F" w:rsidRPr="000C138D" w:rsidRDefault="00337589" w:rsidP="008931C3">
            <w:r w:rsidRPr="000C138D">
              <w:t>P</w:t>
            </w:r>
            <w:r w:rsidR="0082483F" w:rsidRPr="000C138D">
              <w:t xml:space="preserve">olicies </w:t>
            </w:r>
            <w:r w:rsidRPr="000C138D">
              <w:t xml:space="preserve">based on increasing age limits </w:t>
            </w:r>
            <w:r w:rsidR="0082483F" w:rsidRPr="000C138D">
              <w:t>have been considered in other markets internationally</w:t>
            </w:r>
            <w:r w:rsidR="00110F66" w:rsidRPr="000C138D">
              <w:t>.</w:t>
            </w:r>
            <w:r w:rsidR="0082483F" w:rsidRPr="000C138D">
              <w:t xml:space="preserve"> </w:t>
            </w:r>
            <w:r w:rsidR="00110F66" w:rsidRPr="000C138D">
              <w:t>F</w:t>
            </w:r>
            <w:r w:rsidR="0082483F" w:rsidRPr="000C138D">
              <w:t>or example, in parts of the U</w:t>
            </w:r>
            <w:r w:rsidR="005919C3" w:rsidRPr="000C138D">
              <w:t>nited States,</w:t>
            </w:r>
            <w:r w:rsidR="0082483F" w:rsidRPr="000C138D">
              <w:t xml:space="preserve"> </w:t>
            </w:r>
            <w:r w:rsidRPr="000C138D">
              <w:t xml:space="preserve">increases in the age of purchase to 21 </w:t>
            </w:r>
            <w:r w:rsidR="00D74645">
              <w:t xml:space="preserve">years </w:t>
            </w:r>
            <w:r w:rsidR="00110F66" w:rsidRPr="000C138D">
              <w:t>are</w:t>
            </w:r>
            <w:r w:rsidRPr="000C138D">
              <w:t xml:space="preserve"> either under consideration or </w:t>
            </w:r>
            <w:r w:rsidR="00D74645">
              <w:t xml:space="preserve">have </w:t>
            </w:r>
            <w:r w:rsidRPr="000C138D">
              <w:t xml:space="preserve">recently </w:t>
            </w:r>
            <w:r w:rsidR="00D74645">
              <w:t xml:space="preserve">been </w:t>
            </w:r>
            <w:r w:rsidRPr="000C138D">
              <w:t>implemented.</w:t>
            </w:r>
            <w:r w:rsidR="002558D6" w:rsidRPr="000C138D">
              <w:t xml:space="preserve"> This measure was also considered in Tasmania but</w:t>
            </w:r>
            <w:r w:rsidR="00D74645">
              <w:t xml:space="preserve"> has</w:t>
            </w:r>
            <w:r w:rsidR="002558D6" w:rsidRPr="000C138D">
              <w:t xml:space="preserve"> not </w:t>
            </w:r>
            <w:r w:rsidR="00D74645">
              <w:t xml:space="preserve">been </w:t>
            </w:r>
            <w:r w:rsidR="002558D6" w:rsidRPr="000C138D">
              <w:t>implemented</w:t>
            </w:r>
            <w:r w:rsidR="0082483F" w:rsidRPr="000C138D">
              <w:t>.</w:t>
            </w:r>
            <w:r w:rsidR="00D74645" w:rsidRPr="000C138D">
              <w:rPr>
                <w:vertAlign w:val="superscript"/>
              </w:rPr>
              <w:footnoteReference w:id="3"/>
            </w:r>
            <w:r w:rsidR="00D74645" w:rsidRPr="000C138D">
              <w:t xml:space="preserve"> </w:t>
            </w:r>
            <w:r w:rsidR="0082483F" w:rsidRPr="000C138D">
              <w:t xml:space="preserve">An alternative option is therefore </w:t>
            </w:r>
            <w:r w:rsidR="00F571FC">
              <w:t xml:space="preserve">to make </w:t>
            </w:r>
            <w:r w:rsidR="0082483F" w:rsidRPr="000C138D">
              <w:t>a stand-alone increase to the age of purchase to 20 or 21</w:t>
            </w:r>
            <w:r w:rsidR="00F571FC">
              <w:t xml:space="preserve"> years</w:t>
            </w:r>
            <w:r w:rsidR="0082483F" w:rsidRPr="000C138D">
              <w:t>. This</w:t>
            </w:r>
            <w:r w:rsidR="00F571FC">
              <w:t xml:space="preserve"> measure</w:t>
            </w:r>
            <w:r w:rsidR="00150BA9" w:rsidRPr="000C138D">
              <w:t>,</w:t>
            </w:r>
            <w:r w:rsidR="0082483F" w:rsidRPr="000C138D">
              <w:t xml:space="preserve"> </w:t>
            </w:r>
            <w:r w:rsidRPr="000C138D">
              <w:t xml:space="preserve">however, </w:t>
            </w:r>
            <w:r w:rsidR="0082483F" w:rsidRPr="000C138D">
              <w:t>w</w:t>
            </w:r>
            <w:r w:rsidR="00F571FC">
              <w:t>ould</w:t>
            </w:r>
            <w:r w:rsidR="0082483F" w:rsidRPr="000C138D">
              <w:t xml:space="preserve"> have a</w:t>
            </w:r>
            <w:r w:rsidRPr="000C138D">
              <w:t xml:space="preserve"> limited </w:t>
            </w:r>
            <w:r w:rsidR="0082483F" w:rsidRPr="000C138D">
              <w:t xml:space="preserve">effect </w:t>
            </w:r>
            <w:r w:rsidRPr="000C138D">
              <w:t xml:space="preserve">compared with </w:t>
            </w:r>
            <w:r w:rsidR="0082483F" w:rsidRPr="000C138D">
              <w:t xml:space="preserve">a </w:t>
            </w:r>
            <w:proofErr w:type="spellStart"/>
            <w:r w:rsidR="0082483F" w:rsidRPr="000C138D">
              <w:t>smokefree</w:t>
            </w:r>
            <w:proofErr w:type="spellEnd"/>
            <w:r w:rsidR="0082483F" w:rsidRPr="000C138D">
              <w:t xml:space="preserve"> generation policy.   </w:t>
            </w:r>
          </w:p>
          <w:p w14:paraId="668A0CFA" w14:textId="41411FE7" w:rsidR="0082483F" w:rsidRDefault="0082483F" w:rsidP="008931C3">
            <w:r w:rsidRPr="000C138D">
              <w:t>Age limit measures will only gradually take effect, and not impact existing smokers. The</w:t>
            </w:r>
            <w:r w:rsidR="00F571FC">
              <w:t>y</w:t>
            </w:r>
            <w:r w:rsidRPr="000C138D">
              <w:t xml:space="preserve"> will </w:t>
            </w:r>
            <w:r w:rsidR="00337589" w:rsidRPr="000C138D">
              <w:t xml:space="preserve">limit </w:t>
            </w:r>
            <w:proofErr w:type="gramStart"/>
            <w:r w:rsidR="003E3200" w:rsidRPr="000C138D">
              <w:t>rights</w:t>
            </w:r>
            <w:proofErr w:type="gramEnd"/>
            <w:r w:rsidR="003E3200" w:rsidRPr="000C138D">
              <w:t xml:space="preserve"> but</w:t>
            </w:r>
            <w:r w:rsidR="00337589" w:rsidRPr="000C138D">
              <w:t xml:space="preserve"> </w:t>
            </w:r>
            <w:r w:rsidR="00464A00">
              <w:t xml:space="preserve">it </w:t>
            </w:r>
            <w:r w:rsidR="00150BA9" w:rsidRPr="000C138D">
              <w:t xml:space="preserve">may be </w:t>
            </w:r>
            <w:r w:rsidR="00464A00">
              <w:t xml:space="preserve">possible to </w:t>
            </w:r>
            <w:r w:rsidRPr="000C138D">
              <w:t>justif</w:t>
            </w:r>
            <w:r w:rsidR="00464A00">
              <w:t>y this limitation</w:t>
            </w:r>
            <w:r w:rsidRPr="000C138D">
              <w:t xml:space="preserve"> </w:t>
            </w:r>
            <w:r w:rsidR="00337589" w:rsidRPr="000C138D">
              <w:t>under the</w:t>
            </w:r>
            <w:r w:rsidR="00464A00">
              <w:t xml:space="preserve"> New Zealand</w:t>
            </w:r>
            <w:r w:rsidR="00337589" w:rsidRPr="000C138D">
              <w:t xml:space="preserve"> Bill of Rights Act </w:t>
            </w:r>
            <w:r w:rsidR="00464A00">
              <w:t xml:space="preserve">1990 </w:t>
            </w:r>
            <w:r w:rsidRPr="000C138D">
              <w:t>on public health grounds. The</w:t>
            </w:r>
            <w:r w:rsidR="00464A00">
              <w:t xml:space="preserve"> public</w:t>
            </w:r>
            <w:r w:rsidR="00337589" w:rsidRPr="000C138D">
              <w:t xml:space="preserve"> may </w:t>
            </w:r>
            <w:r w:rsidR="00464A00">
              <w:t xml:space="preserve">have </w:t>
            </w:r>
            <w:r w:rsidR="00337589" w:rsidRPr="000C138D">
              <w:t>mixed views o</w:t>
            </w:r>
            <w:r w:rsidR="00100F3E">
              <w:t>n</w:t>
            </w:r>
            <w:r w:rsidR="00337589" w:rsidRPr="000C138D">
              <w:t xml:space="preserve"> these options</w:t>
            </w:r>
            <w:r w:rsidR="00464A00">
              <w:t>;</w:t>
            </w:r>
            <w:r w:rsidR="00D22DE9" w:rsidRPr="000C138D">
              <w:t xml:space="preserve"> for example</w:t>
            </w:r>
            <w:r w:rsidR="00D22DE9" w:rsidRPr="00464A00">
              <w:t xml:space="preserve">, </w:t>
            </w:r>
            <w:r w:rsidR="00464A00">
              <w:t xml:space="preserve">they may see </w:t>
            </w:r>
            <w:r w:rsidR="00D22DE9" w:rsidRPr="009A3CB2">
              <w:t xml:space="preserve">the </w:t>
            </w:r>
            <w:proofErr w:type="spellStart"/>
            <w:r w:rsidR="00110F66" w:rsidRPr="009A3CB2">
              <w:t>smokefree</w:t>
            </w:r>
            <w:proofErr w:type="spellEnd"/>
            <w:r w:rsidR="00110F66" w:rsidRPr="009A3CB2">
              <w:t xml:space="preserve"> generation policy </w:t>
            </w:r>
            <w:r w:rsidR="008B0403" w:rsidRPr="000C138D">
              <w:t>as a type of prohibition</w:t>
            </w:r>
            <w:r w:rsidR="00341BCD" w:rsidRPr="000C138D">
              <w:t>. It</w:t>
            </w:r>
            <w:r w:rsidR="00110F66" w:rsidRPr="000C138D">
              <w:t xml:space="preserve"> would be important to be clear that </w:t>
            </w:r>
            <w:r w:rsidR="008336A0" w:rsidRPr="000C138D">
              <w:t xml:space="preserve">the </w:t>
            </w:r>
            <w:r w:rsidR="00110F66" w:rsidRPr="000C138D">
              <w:t>policy focuse</w:t>
            </w:r>
            <w:r w:rsidR="00464A00">
              <w:t>s</w:t>
            </w:r>
            <w:r w:rsidR="00110F66" w:rsidRPr="000C138D">
              <w:t xml:space="preserve"> </w:t>
            </w:r>
            <w:r w:rsidR="00464A00">
              <w:t>on</w:t>
            </w:r>
            <w:r w:rsidR="00464A00" w:rsidRPr="000C138D">
              <w:t xml:space="preserve"> </w:t>
            </w:r>
            <w:r w:rsidR="00110F66" w:rsidRPr="000C138D">
              <w:t>sale only</w:t>
            </w:r>
            <w:r w:rsidR="00A120F4" w:rsidRPr="000C138D">
              <w:t xml:space="preserve">, and </w:t>
            </w:r>
            <w:r w:rsidR="00416A5A" w:rsidRPr="000C138D">
              <w:t>use</w:t>
            </w:r>
            <w:r w:rsidR="00464A00">
              <w:t>s</w:t>
            </w:r>
            <w:r w:rsidR="00416A5A" w:rsidRPr="000C138D">
              <w:t xml:space="preserve"> </w:t>
            </w:r>
            <w:r w:rsidR="00A9103E" w:rsidRPr="000C138D">
              <w:t xml:space="preserve">a </w:t>
            </w:r>
            <w:r w:rsidR="00A120F4" w:rsidRPr="000C138D">
              <w:t xml:space="preserve">harm reduction </w:t>
            </w:r>
            <w:r w:rsidR="00A9103E" w:rsidRPr="000C138D">
              <w:t>approach</w:t>
            </w:r>
            <w:r w:rsidR="00A120F4" w:rsidRPr="000C138D">
              <w:t xml:space="preserve">, rather than </w:t>
            </w:r>
            <w:r w:rsidR="00464A00">
              <w:t xml:space="preserve">taking </w:t>
            </w:r>
            <w:r w:rsidR="00A120F4" w:rsidRPr="000C138D">
              <w:t>a punitive approach</w:t>
            </w:r>
            <w:r w:rsidR="00A9103E" w:rsidRPr="000C138D">
              <w:t xml:space="preserve"> to low</w:t>
            </w:r>
            <w:r w:rsidR="00464A00">
              <w:t>-</w:t>
            </w:r>
            <w:r w:rsidR="00A9103E" w:rsidRPr="000C138D">
              <w:t>level offending</w:t>
            </w:r>
            <w:r w:rsidR="00110F66" w:rsidRPr="000C138D">
              <w:t>.</w:t>
            </w:r>
            <w:r w:rsidRPr="000C138D">
              <w:t xml:space="preserve"> </w:t>
            </w:r>
            <w:r w:rsidR="00A9103E" w:rsidRPr="000C138D">
              <w:t xml:space="preserve">Some young people may </w:t>
            </w:r>
            <w:proofErr w:type="gramStart"/>
            <w:r w:rsidR="00A9103E" w:rsidRPr="000C138D">
              <w:t>still continue</w:t>
            </w:r>
            <w:proofErr w:type="gramEnd"/>
            <w:r w:rsidR="00A9103E" w:rsidRPr="000C138D">
              <w:t xml:space="preserve"> to take up smoking where they are able to obtain cigarettes </w:t>
            </w:r>
            <w:r w:rsidR="00717D19" w:rsidRPr="000C138D">
              <w:t xml:space="preserve">from friends or </w:t>
            </w:r>
            <w:proofErr w:type="spellStart"/>
            <w:r w:rsidR="00717D19" w:rsidRPr="000C138D">
              <w:t>wh</w:t>
            </w:r>
            <w:r w:rsidR="00464A00">
              <w:rPr>
                <w:rFonts w:cs="Arial"/>
              </w:rPr>
              <w:t>ā</w:t>
            </w:r>
            <w:r w:rsidR="00717D19" w:rsidRPr="000C138D">
              <w:t>nau</w:t>
            </w:r>
            <w:proofErr w:type="spellEnd"/>
            <w:r w:rsidR="00717D19" w:rsidRPr="000C138D">
              <w:t xml:space="preserve">. </w:t>
            </w:r>
          </w:p>
          <w:p w14:paraId="412A62BD" w14:textId="0364F848" w:rsidR="00464A00" w:rsidRPr="000C138D" w:rsidRDefault="00464A00" w:rsidP="008931C3">
            <w:r>
              <w:t>Table 1 summarises the pros and cons of the options discussed to address the issue of access to tobacco.</w:t>
            </w:r>
            <w:r w:rsidR="00384DCB">
              <w:t xml:space="preserve"> This finds that the most effective options are </w:t>
            </w:r>
            <w:r w:rsidR="009522D4">
              <w:t xml:space="preserve">combinations of licencing and restriction of retail </w:t>
            </w:r>
            <w:r w:rsidR="00DF07D2">
              <w:t>outlets</w:t>
            </w:r>
            <w:r w:rsidR="009522D4">
              <w:t xml:space="preserve"> or a </w:t>
            </w:r>
            <w:proofErr w:type="spellStart"/>
            <w:r w:rsidR="00DF07D2">
              <w:t>s</w:t>
            </w:r>
            <w:r w:rsidR="009522D4">
              <w:t>mokefree</w:t>
            </w:r>
            <w:proofErr w:type="spellEnd"/>
            <w:r w:rsidR="009522D4">
              <w:t xml:space="preserve"> generation policy.  </w:t>
            </w:r>
          </w:p>
          <w:p w14:paraId="5920C589" w14:textId="35432A1A" w:rsidR="0082483F" w:rsidRDefault="0082483F" w:rsidP="00A04078">
            <w:pPr>
              <w:pStyle w:val="Caption"/>
              <w:keepNext/>
              <w:spacing w:before="120" w:after="120" w:line="240" w:lineRule="auto"/>
            </w:pPr>
            <w:r w:rsidRPr="000C138D">
              <w:lastRenderedPageBreak/>
              <w:t xml:space="preserve">Table </w:t>
            </w:r>
            <w:r w:rsidR="002564DB">
              <w:fldChar w:fldCharType="begin"/>
            </w:r>
            <w:r w:rsidR="002564DB">
              <w:instrText xml:space="preserve"> SEQ Table \* ARABIC </w:instrText>
            </w:r>
            <w:r w:rsidR="002564DB">
              <w:fldChar w:fldCharType="separate"/>
            </w:r>
            <w:r w:rsidR="00A847AE">
              <w:rPr>
                <w:noProof/>
              </w:rPr>
              <w:t>1</w:t>
            </w:r>
            <w:r w:rsidR="002564DB">
              <w:rPr>
                <w:noProof/>
              </w:rPr>
              <w:fldChar w:fldCharType="end"/>
            </w:r>
            <w:r w:rsidRPr="000C138D">
              <w:t>: Comparison of options for reducing access to tobacco</w:t>
            </w:r>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1361"/>
              <w:gridCol w:w="3609"/>
              <w:gridCol w:w="3609"/>
            </w:tblGrid>
            <w:tr w:rsidR="00384D7D" w:rsidRPr="000C138D" w14:paraId="77909E71" w14:textId="77777777" w:rsidTr="007E6C92">
              <w:trPr>
                <w:cantSplit/>
                <w:trHeight w:val="394"/>
                <w:tblHeader/>
              </w:trPr>
              <w:tc>
                <w:tcPr>
                  <w:tcW w:w="1361" w:type="dxa"/>
                  <w:tcBorders>
                    <w:bottom w:val="single" w:sz="4" w:space="0" w:color="A6A6A6"/>
                  </w:tcBorders>
                  <w:shd w:val="clear" w:color="auto" w:fill="auto"/>
                </w:tcPr>
                <w:p w14:paraId="23AAF2D5" w14:textId="77777777" w:rsidR="00384D7D" w:rsidRPr="0084755C" w:rsidRDefault="00384D7D" w:rsidP="00384D7D">
                  <w:pPr>
                    <w:pStyle w:val="TableText0"/>
                    <w:keepNext/>
                    <w:spacing w:before="120" w:after="120"/>
                    <w:rPr>
                      <w:rFonts w:cs="Arial"/>
                      <w:b/>
                      <w:szCs w:val="18"/>
                    </w:rPr>
                  </w:pPr>
                  <w:r>
                    <w:rPr>
                      <w:rFonts w:cs="Arial"/>
                      <w:b/>
                      <w:szCs w:val="18"/>
                    </w:rPr>
                    <w:t xml:space="preserve">Options </w:t>
                  </w:r>
                </w:p>
              </w:tc>
              <w:tc>
                <w:tcPr>
                  <w:tcW w:w="3609" w:type="dxa"/>
                  <w:tcBorders>
                    <w:bottom w:val="single" w:sz="4" w:space="0" w:color="A6A6A6"/>
                  </w:tcBorders>
                  <w:shd w:val="clear" w:color="auto" w:fill="auto"/>
                </w:tcPr>
                <w:p w14:paraId="7032887A" w14:textId="77777777" w:rsidR="00384D7D" w:rsidRPr="0084755C" w:rsidRDefault="00384D7D" w:rsidP="00384D7D">
                  <w:pPr>
                    <w:spacing w:before="120" w:after="120" w:line="240" w:lineRule="auto"/>
                    <w:rPr>
                      <w:rFonts w:cs="Arial"/>
                      <w:b/>
                      <w:sz w:val="18"/>
                      <w:szCs w:val="18"/>
                    </w:rPr>
                  </w:pPr>
                  <w:r w:rsidRPr="0084755C">
                    <w:rPr>
                      <w:rFonts w:cs="Arial"/>
                      <w:b/>
                      <w:iCs/>
                      <w:sz w:val="18"/>
                      <w:szCs w:val="18"/>
                    </w:rPr>
                    <w:t>Pros</w:t>
                  </w:r>
                </w:p>
              </w:tc>
              <w:tc>
                <w:tcPr>
                  <w:tcW w:w="3609" w:type="dxa"/>
                  <w:tcBorders>
                    <w:bottom w:val="single" w:sz="4" w:space="0" w:color="A6A6A6"/>
                  </w:tcBorders>
                </w:tcPr>
                <w:p w14:paraId="5DAAABE0" w14:textId="77777777" w:rsidR="00384D7D" w:rsidRPr="0084755C" w:rsidRDefault="00384D7D" w:rsidP="00384D7D">
                  <w:pPr>
                    <w:spacing w:before="120" w:after="120" w:line="240" w:lineRule="auto"/>
                    <w:rPr>
                      <w:rFonts w:cs="Arial"/>
                      <w:b/>
                      <w:bCs/>
                      <w:sz w:val="18"/>
                      <w:szCs w:val="18"/>
                    </w:rPr>
                  </w:pPr>
                  <w:r w:rsidRPr="0084755C">
                    <w:rPr>
                      <w:rFonts w:cs="Arial"/>
                      <w:b/>
                      <w:sz w:val="18"/>
                      <w:szCs w:val="18"/>
                    </w:rPr>
                    <w:t>Cons</w:t>
                  </w:r>
                </w:p>
              </w:tc>
            </w:tr>
            <w:tr w:rsidR="00384D7D" w:rsidRPr="000C138D" w14:paraId="686A47A4" w14:textId="77777777" w:rsidTr="007E6C92">
              <w:trPr>
                <w:cantSplit/>
                <w:trHeight w:val="1953"/>
                <w:tblHeader/>
              </w:trPr>
              <w:tc>
                <w:tcPr>
                  <w:tcW w:w="1361" w:type="dxa"/>
                  <w:tcBorders>
                    <w:top w:val="single" w:sz="4" w:space="0" w:color="A6A6A6"/>
                    <w:bottom w:val="single" w:sz="4" w:space="0" w:color="A6A6A6"/>
                  </w:tcBorders>
                  <w:shd w:val="clear" w:color="auto" w:fill="auto"/>
                </w:tcPr>
                <w:p w14:paraId="021B4EBD" w14:textId="77777777" w:rsidR="00384D7D" w:rsidRPr="0084755C" w:rsidRDefault="00384D7D" w:rsidP="00384D7D">
                  <w:pPr>
                    <w:pStyle w:val="TableText0"/>
                    <w:keepNext/>
                    <w:spacing w:before="120" w:after="120"/>
                    <w:ind w:right="142"/>
                    <w:rPr>
                      <w:rFonts w:cs="Arial"/>
                      <w:b/>
                      <w:iCs/>
                      <w:szCs w:val="18"/>
                    </w:rPr>
                  </w:pPr>
                  <w:r w:rsidRPr="0084755C">
                    <w:rPr>
                      <w:rFonts w:cs="Arial"/>
                      <w:b/>
                      <w:iCs/>
                      <w:szCs w:val="18"/>
                    </w:rPr>
                    <w:t>Option 1: Status quo</w:t>
                  </w:r>
                </w:p>
                <w:p w14:paraId="6CA85B89" w14:textId="77777777" w:rsidR="00384D7D" w:rsidRPr="0084755C" w:rsidRDefault="00384D7D" w:rsidP="00384D7D">
                  <w:pPr>
                    <w:spacing w:before="120" w:after="120" w:line="240" w:lineRule="auto"/>
                    <w:rPr>
                      <w:rFonts w:cs="Arial"/>
                      <w:sz w:val="18"/>
                      <w:szCs w:val="18"/>
                    </w:rPr>
                  </w:pPr>
                  <w:r w:rsidRPr="0084755C">
                    <w:rPr>
                      <w:rFonts w:cs="Arial"/>
                      <w:sz w:val="18"/>
                      <w:szCs w:val="18"/>
                    </w:rPr>
                    <w:t xml:space="preserve">5,000 to 8,000 retailers </w:t>
                  </w:r>
                </w:p>
                <w:p w14:paraId="11CC7D6D" w14:textId="77777777" w:rsidR="00384D7D" w:rsidRPr="0084755C" w:rsidRDefault="00384D7D" w:rsidP="00384D7D">
                  <w:pPr>
                    <w:pStyle w:val="TableText0"/>
                    <w:keepNext/>
                    <w:spacing w:before="120" w:after="120"/>
                    <w:ind w:right="142"/>
                    <w:rPr>
                      <w:rFonts w:cs="Arial"/>
                      <w:b/>
                      <w:iCs/>
                      <w:szCs w:val="18"/>
                    </w:rPr>
                  </w:pPr>
                  <w:r w:rsidRPr="0084755C">
                    <w:rPr>
                      <w:rFonts w:cs="Arial"/>
                      <w:szCs w:val="18"/>
                    </w:rPr>
                    <w:t>Purchase age 18</w:t>
                  </w:r>
                </w:p>
              </w:tc>
              <w:tc>
                <w:tcPr>
                  <w:tcW w:w="3609" w:type="dxa"/>
                  <w:tcBorders>
                    <w:top w:val="single" w:sz="4" w:space="0" w:color="A6A6A6"/>
                    <w:bottom w:val="single" w:sz="4" w:space="0" w:color="A6A6A6"/>
                  </w:tcBorders>
                  <w:shd w:val="clear" w:color="auto" w:fill="auto"/>
                </w:tcPr>
                <w:p w14:paraId="6CF4834E" w14:textId="77777777" w:rsidR="00384D7D" w:rsidRPr="0084755C" w:rsidRDefault="00384D7D" w:rsidP="00384D7D">
                  <w:pPr>
                    <w:pStyle w:val="TableText0"/>
                    <w:spacing w:before="120" w:after="120"/>
                    <w:rPr>
                      <w:rFonts w:cs="Arial"/>
                      <w:szCs w:val="18"/>
                    </w:rPr>
                  </w:pPr>
                  <w:r w:rsidRPr="0084755C">
                    <w:rPr>
                      <w:rFonts w:cs="Arial"/>
                      <w:szCs w:val="18"/>
                    </w:rPr>
                    <w:t xml:space="preserve">Some measures in place to ensure that </w:t>
                  </w:r>
                  <w:proofErr w:type="spellStart"/>
                  <w:r w:rsidRPr="0084755C">
                    <w:rPr>
                      <w:rFonts w:cs="Arial"/>
                      <w:szCs w:val="18"/>
                    </w:rPr>
                    <w:t>rangitahi</w:t>
                  </w:r>
                  <w:proofErr w:type="spellEnd"/>
                  <w:r w:rsidRPr="0084755C">
                    <w:rPr>
                      <w:rFonts w:cs="Arial"/>
                      <w:szCs w:val="18"/>
                    </w:rPr>
                    <w:t xml:space="preserve"> under 18 are not able to purchase tobacco.</w:t>
                  </w:r>
                </w:p>
              </w:tc>
              <w:tc>
                <w:tcPr>
                  <w:tcW w:w="3609" w:type="dxa"/>
                  <w:tcBorders>
                    <w:top w:val="single" w:sz="4" w:space="0" w:color="A6A6A6"/>
                    <w:bottom w:val="single" w:sz="4" w:space="0" w:color="A6A6A6"/>
                  </w:tcBorders>
                </w:tcPr>
                <w:p w14:paraId="7B5E36D3" w14:textId="77777777" w:rsidR="00384D7D" w:rsidRPr="0084755C" w:rsidRDefault="00384D7D" w:rsidP="00384D7D">
                  <w:pPr>
                    <w:pStyle w:val="TableText0"/>
                    <w:spacing w:before="120" w:after="120"/>
                    <w:ind w:right="142"/>
                    <w:rPr>
                      <w:rFonts w:cs="Arial"/>
                      <w:szCs w:val="18"/>
                    </w:rPr>
                  </w:pPr>
                  <w:r w:rsidRPr="0084755C">
                    <w:rPr>
                      <w:rFonts w:cs="Arial"/>
                      <w:szCs w:val="18"/>
                    </w:rPr>
                    <w:t>Will not achieve Smokefree 2025.</w:t>
                  </w:r>
                </w:p>
              </w:tc>
            </w:tr>
            <w:tr w:rsidR="00384D7D" w:rsidRPr="000C138D" w14:paraId="43C4ACAC" w14:textId="77777777" w:rsidTr="007E6C92">
              <w:trPr>
                <w:cantSplit/>
                <w:trHeight w:val="1405"/>
                <w:tblHeader/>
              </w:trPr>
              <w:tc>
                <w:tcPr>
                  <w:tcW w:w="1361" w:type="dxa"/>
                  <w:tcBorders>
                    <w:top w:val="single" w:sz="4" w:space="0" w:color="A6A6A6"/>
                    <w:bottom w:val="single" w:sz="4" w:space="0" w:color="A6A6A6"/>
                  </w:tcBorders>
                  <w:shd w:val="clear" w:color="auto" w:fill="auto"/>
                </w:tcPr>
                <w:p w14:paraId="504B5CAF" w14:textId="77777777" w:rsidR="00384D7D" w:rsidRPr="0084755C" w:rsidRDefault="00384D7D" w:rsidP="00384D7D">
                  <w:pPr>
                    <w:pStyle w:val="TableText0"/>
                    <w:spacing w:before="120" w:after="120"/>
                    <w:rPr>
                      <w:rFonts w:cs="Arial"/>
                      <w:b/>
                      <w:szCs w:val="18"/>
                    </w:rPr>
                  </w:pPr>
                  <w:r w:rsidRPr="0084755C">
                    <w:rPr>
                      <w:rFonts w:cs="Arial"/>
                      <w:b/>
                      <w:szCs w:val="18"/>
                    </w:rPr>
                    <w:t>Option 2: Introduce retailer licensing</w:t>
                  </w:r>
                </w:p>
              </w:tc>
              <w:tc>
                <w:tcPr>
                  <w:tcW w:w="3609" w:type="dxa"/>
                  <w:tcBorders>
                    <w:top w:val="single" w:sz="4" w:space="0" w:color="A6A6A6"/>
                    <w:bottom w:val="single" w:sz="4" w:space="0" w:color="A6A6A6"/>
                  </w:tcBorders>
                  <w:shd w:val="clear" w:color="auto" w:fill="auto"/>
                </w:tcPr>
                <w:p w14:paraId="762F73F2" w14:textId="77777777" w:rsidR="00384D7D" w:rsidRPr="0084755C" w:rsidRDefault="00384D7D" w:rsidP="00384D7D">
                  <w:pPr>
                    <w:pStyle w:val="TableText0"/>
                    <w:spacing w:before="120" w:after="120"/>
                    <w:rPr>
                      <w:rFonts w:cs="Arial"/>
                    </w:rPr>
                  </w:pPr>
                  <w:r w:rsidRPr="0084755C">
                    <w:rPr>
                      <w:rFonts w:cs="Arial"/>
                    </w:rPr>
                    <w:t>International precedent for this approach.</w:t>
                  </w:r>
                </w:p>
                <w:p w14:paraId="15800AF8" w14:textId="77777777" w:rsidR="00384D7D" w:rsidRPr="0084755C" w:rsidRDefault="00384D7D" w:rsidP="00384D7D">
                  <w:pPr>
                    <w:pStyle w:val="TableText0"/>
                    <w:spacing w:before="120" w:after="120"/>
                    <w:rPr>
                      <w:rFonts w:cs="Arial"/>
                    </w:rPr>
                  </w:pPr>
                  <w:proofErr w:type="spellStart"/>
                  <w:r w:rsidRPr="0084755C">
                    <w:rPr>
                      <w:rFonts w:cs="Arial"/>
                    </w:rPr>
                    <w:t>Denormalises</w:t>
                  </w:r>
                  <w:proofErr w:type="spellEnd"/>
                  <w:r w:rsidRPr="0084755C">
                    <w:rPr>
                      <w:rFonts w:cs="Arial"/>
                    </w:rPr>
                    <w:t xml:space="preserve"> smoking.</w:t>
                  </w:r>
                </w:p>
                <w:p w14:paraId="6C318FE7" w14:textId="77777777" w:rsidR="00384D7D" w:rsidRPr="0084755C" w:rsidRDefault="00384D7D" w:rsidP="00384D7D">
                  <w:pPr>
                    <w:pStyle w:val="TableText0"/>
                    <w:spacing w:before="120" w:after="120"/>
                    <w:rPr>
                      <w:rFonts w:cs="Arial"/>
                    </w:rPr>
                  </w:pPr>
                  <w:r w:rsidRPr="0084755C">
                    <w:rPr>
                      <w:rFonts w:cs="Arial"/>
                    </w:rPr>
                    <w:t>Supports compliance activity and monitoring.</w:t>
                  </w:r>
                </w:p>
              </w:tc>
              <w:tc>
                <w:tcPr>
                  <w:tcW w:w="3609" w:type="dxa"/>
                  <w:tcBorders>
                    <w:top w:val="single" w:sz="4" w:space="0" w:color="A6A6A6"/>
                    <w:bottom w:val="single" w:sz="4" w:space="0" w:color="A6A6A6"/>
                  </w:tcBorders>
                </w:tcPr>
                <w:p w14:paraId="446A7985" w14:textId="77777777" w:rsidR="00384D7D" w:rsidRPr="0084755C" w:rsidRDefault="00384D7D" w:rsidP="00384D7D">
                  <w:pPr>
                    <w:pStyle w:val="TableText0"/>
                    <w:spacing w:before="120" w:after="120"/>
                    <w:ind w:right="142"/>
                    <w:rPr>
                      <w:rFonts w:cs="Arial"/>
                    </w:rPr>
                  </w:pPr>
                  <w:r w:rsidRPr="0084755C">
                    <w:rPr>
                      <w:rFonts w:cs="Arial"/>
                    </w:rPr>
                    <w:t>Will not achieve Smokefree 2025.</w:t>
                  </w:r>
                </w:p>
              </w:tc>
            </w:tr>
            <w:tr w:rsidR="00384D7D" w:rsidRPr="000C138D" w14:paraId="42329BC0" w14:textId="77777777" w:rsidTr="007E6C92">
              <w:trPr>
                <w:cantSplit/>
                <w:trHeight w:val="2669"/>
                <w:tblHeader/>
              </w:trPr>
              <w:tc>
                <w:tcPr>
                  <w:tcW w:w="1361" w:type="dxa"/>
                  <w:tcBorders>
                    <w:top w:val="single" w:sz="4" w:space="0" w:color="A6A6A6"/>
                    <w:bottom w:val="single" w:sz="4" w:space="0" w:color="A6A6A6"/>
                  </w:tcBorders>
                  <w:shd w:val="clear" w:color="auto" w:fill="auto"/>
                </w:tcPr>
                <w:p w14:paraId="6B2115A7" w14:textId="77777777" w:rsidR="00384D7D" w:rsidRPr="000C138D" w:rsidRDefault="00384D7D" w:rsidP="00384D7D">
                  <w:pPr>
                    <w:spacing w:before="120" w:after="120" w:line="240" w:lineRule="auto"/>
                    <w:rPr>
                      <w:b/>
                      <w:sz w:val="18"/>
                      <w:szCs w:val="18"/>
                    </w:rPr>
                  </w:pPr>
                  <w:r w:rsidRPr="000C138D">
                    <w:rPr>
                      <w:b/>
                      <w:sz w:val="18"/>
                      <w:szCs w:val="18"/>
                    </w:rPr>
                    <w:t>Option 3: Licen</w:t>
                  </w:r>
                  <w:r>
                    <w:rPr>
                      <w:b/>
                      <w:sz w:val="18"/>
                      <w:szCs w:val="18"/>
                    </w:rPr>
                    <w:t>s</w:t>
                  </w:r>
                  <w:r w:rsidRPr="000C138D">
                    <w:rPr>
                      <w:b/>
                      <w:sz w:val="18"/>
                      <w:szCs w:val="18"/>
                    </w:rPr>
                    <w:t xml:space="preserve">ing and phased reduction of retail outlets </w:t>
                  </w:r>
                </w:p>
                <w:p w14:paraId="6F489955" w14:textId="77777777" w:rsidR="00384D7D" w:rsidRPr="000C138D" w:rsidRDefault="00384D7D" w:rsidP="00384D7D">
                  <w:pPr>
                    <w:pStyle w:val="TableText0"/>
                    <w:spacing w:before="120" w:after="120"/>
                    <w:rPr>
                      <w:b/>
                      <w:szCs w:val="18"/>
                    </w:rPr>
                  </w:pPr>
                </w:p>
              </w:tc>
              <w:tc>
                <w:tcPr>
                  <w:tcW w:w="3609" w:type="dxa"/>
                  <w:tcBorders>
                    <w:top w:val="single" w:sz="4" w:space="0" w:color="A6A6A6"/>
                    <w:bottom w:val="single" w:sz="4" w:space="0" w:color="A6A6A6"/>
                  </w:tcBorders>
                  <w:shd w:val="clear" w:color="auto" w:fill="auto"/>
                </w:tcPr>
                <w:p w14:paraId="4F2F40D9" w14:textId="77777777" w:rsidR="00384D7D" w:rsidRPr="000C138D" w:rsidRDefault="00384D7D" w:rsidP="00384D7D">
                  <w:pPr>
                    <w:pStyle w:val="TableText0"/>
                    <w:spacing w:before="120" w:after="120"/>
                  </w:pPr>
                  <w:r w:rsidRPr="000C138D">
                    <w:t>Likely to have a strong impact</w:t>
                  </w:r>
                  <w:r>
                    <w:t>.</w:t>
                  </w:r>
                </w:p>
                <w:p w14:paraId="62D79F1E" w14:textId="77777777" w:rsidR="00384D7D" w:rsidRPr="000C138D" w:rsidRDefault="00384D7D" w:rsidP="00384D7D">
                  <w:pPr>
                    <w:pStyle w:val="TableText0"/>
                    <w:spacing w:before="120" w:after="120"/>
                  </w:pPr>
                  <w:r w:rsidRPr="000C138D">
                    <w:t xml:space="preserve">Reduces opportunities for smokers to purchase cigarettes, potentially eliminating impulse purchase. </w:t>
                  </w:r>
                </w:p>
                <w:p w14:paraId="05003D62" w14:textId="77777777" w:rsidR="00384D7D" w:rsidRPr="000C138D" w:rsidRDefault="00384D7D" w:rsidP="00384D7D">
                  <w:pPr>
                    <w:pStyle w:val="TableText0"/>
                    <w:spacing w:before="120" w:after="120"/>
                  </w:pPr>
                  <w:r w:rsidRPr="000C138D">
                    <w:t>Could stop cigarette retailers clustering in lower</w:t>
                  </w:r>
                  <w:r>
                    <w:t>-</w:t>
                  </w:r>
                  <w:r w:rsidRPr="000C138D">
                    <w:t xml:space="preserve">income areas, </w:t>
                  </w:r>
                  <w:r>
                    <w:t>and sales of cigarettes</w:t>
                  </w:r>
                  <w:r w:rsidRPr="000C138D">
                    <w:t xml:space="preserve"> alongside alcohol in on-licen</w:t>
                  </w:r>
                  <w:r>
                    <w:t>sed</w:t>
                  </w:r>
                  <w:r w:rsidRPr="000C138D">
                    <w:t xml:space="preserve"> premises, or close to schools. </w:t>
                  </w:r>
                </w:p>
                <w:p w14:paraId="753F9943" w14:textId="77777777" w:rsidR="00384D7D" w:rsidRPr="000C138D" w:rsidRDefault="00384D7D" w:rsidP="00384D7D">
                  <w:pPr>
                    <w:pStyle w:val="TableText0"/>
                    <w:spacing w:before="120" w:after="120"/>
                  </w:pPr>
                  <w:r w:rsidRPr="000C138D">
                    <w:t>Phased reduction may take time to implement and have an impact.</w:t>
                  </w:r>
                </w:p>
              </w:tc>
              <w:tc>
                <w:tcPr>
                  <w:tcW w:w="3609" w:type="dxa"/>
                  <w:tcBorders>
                    <w:top w:val="single" w:sz="4" w:space="0" w:color="A6A6A6"/>
                    <w:bottom w:val="single" w:sz="4" w:space="0" w:color="A6A6A6"/>
                  </w:tcBorders>
                </w:tcPr>
                <w:p w14:paraId="23E7962E" w14:textId="77777777" w:rsidR="00384D7D" w:rsidRPr="000C138D" w:rsidRDefault="00384D7D" w:rsidP="00384D7D">
                  <w:pPr>
                    <w:pStyle w:val="TableText0"/>
                    <w:spacing w:before="120" w:after="120"/>
                  </w:pPr>
                  <w:r w:rsidRPr="000C138D">
                    <w:t>Requires a licen</w:t>
                  </w:r>
                  <w:r>
                    <w:t>s</w:t>
                  </w:r>
                  <w:r w:rsidRPr="000C138D">
                    <w:t>ing system and criteria to identify and manage retailers</w:t>
                  </w:r>
                  <w:r>
                    <w:t>.</w:t>
                  </w:r>
                </w:p>
                <w:p w14:paraId="0679197D" w14:textId="77777777" w:rsidR="00384D7D" w:rsidRPr="000C138D" w:rsidRDefault="00384D7D" w:rsidP="00384D7D">
                  <w:pPr>
                    <w:pStyle w:val="TableText0"/>
                    <w:spacing w:before="120" w:after="120"/>
                    <w:ind w:right="142"/>
                  </w:pPr>
                  <w:r w:rsidRPr="000C138D">
                    <w:t xml:space="preserve">From a business perspective, restricts potential for market growth. </w:t>
                  </w:r>
                </w:p>
                <w:p w14:paraId="6ED37B6B" w14:textId="77777777" w:rsidR="00384D7D" w:rsidRPr="000C647B" w:rsidRDefault="00384D7D" w:rsidP="00384D7D">
                  <w:pPr>
                    <w:pStyle w:val="TableText0"/>
                    <w:spacing w:before="120" w:after="120"/>
                    <w:ind w:right="142"/>
                  </w:pPr>
                  <w:r w:rsidRPr="000C138D">
                    <w:t>Smokers who cannot quit or switch will have increased travel costs</w:t>
                  </w:r>
                  <w:r>
                    <w:t>.</w:t>
                  </w:r>
                </w:p>
              </w:tc>
            </w:tr>
            <w:tr w:rsidR="00384D7D" w:rsidRPr="000C138D" w14:paraId="5FDDFA90" w14:textId="77777777" w:rsidTr="007E6C92">
              <w:trPr>
                <w:cantSplit/>
                <w:trHeight w:val="2123"/>
                <w:tblHeader/>
              </w:trPr>
              <w:tc>
                <w:tcPr>
                  <w:tcW w:w="1361" w:type="dxa"/>
                  <w:tcBorders>
                    <w:top w:val="single" w:sz="4" w:space="0" w:color="A6A6A6"/>
                    <w:bottom w:val="single" w:sz="4" w:space="0" w:color="A6A6A6"/>
                  </w:tcBorders>
                  <w:shd w:val="clear" w:color="auto" w:fill="auto"/>
                </w:tcPr>
                <w:p w14:paraId="2A8DF389" w14:textId="77777777" w:rsidR="00384D7D" w:rsidRPr="0084755C" w:rsidRDefault="00384D7D" w:rsidP="00384D7D">
                  <w:pPr>
                    <w:spacing w:before="120" w:after="120" w:line="240" w:lineRule="auto"/>
                    <w:rPr>
                      <w:sz w:val="18"/>
                      <w:szCs w:val="18"/>
                    </w:rPr>
                  </w:pPr>
                  <w:r w:rsidRPr="000C138D">
                    <w:rPr>
                      <w:b/>
                      <w:sz w:val="18"/>
                      <w:szCs w:val="18"/>
                    </w:rPr>
                    <w:t>Option 4: Licen</w:t>
                  </w:r>
                  <w:r>
                    <w:rPr>
                      <w:b/>
                      <w:sz w:val="18"/>
                      <w:szCs w:val="18"/>
                    </w:rPr>
                    <w:t>s</w:t>
                  </w:r>
                  <w:r w:rsidRPr="000C138D">
                    <w:rPr>
                      <w:b/>
                      <w:sz w:val="18"/>
                      <w:szCs w:val="18"/>
                    </w:rPr>
                    <w:t>ing and specialist retailers</w:t>
                  </w:r>
                </w:p>
              </w:tc>
              <w:tc>
                <w:tcPr>
                  <w:tcW w:w="3609" w:type="dxa"/>
                  <w:tcBorders>
                    <w:top w:val="single" w:sz="4" w:space="0" w:color="A6A6A6"/>
                    <w:bottom w:val="single" w:sz="4" w:space="0" w:color="A6A6A6"/>
                  </w:tcBorders>
                  <w:shd w:val="clear" w:color="auto" w:fill="auto"/>
                </w:tcPr>
                <w:p w14:paraId="22C49FFE" w14:textId="77777777" w:rsidR="00384D7D" w:rsidRPr="000C138D" w:rsidRDefault="00384D7D" w:rsidP="00384D7D">
                  <w:pPr>
                    <w:pStyle w:val="TableText0"/>
                    <w:spacing w:before="120" w:after="120"/>
                  </w:pPr>
                  <w:r w:rsidRPr="000C138D">
                    <w:t>Likely to have a strong impact</w:t>
                  </w:r>
                  <w:r>
                    <w:t>.</w:t>
                  </w:r>
                </w:p>
                <w:p w14:paraId="6C3AA937" w14:textId="77777777" w:rsidR="00384D7D" w:rsidRPr="000C138D" w:rsidRDefault="00384D7D" w:rsidP="00384D7D">
                  <w:pPr>
                    <w:pStyle w:val="TableText0"/>
                    <w:spacing w:before="120" w:after="120"/>
                  </w:pPr>
                  <w:r w:rsidRPr="000C138D">
                    <w:t xml:space="preserve">Reduces opportunities for smokers to purchase cigarettes, potentially eliminating impulse purchase. </w:t>
                  </w:r>
                </w:p>
                <w:p w14:paraId="217A89EF" w14:textId="77777777" w:rsidR="00384D7D" w:rsidRPr="000C138D" w:rsidRDefault="00384D7D" w:rsidP="00384D7D">
                  <w:pPr>
                    <w:pStyle w:val="TableText0"/>
                    <w:spacing w:before="120" w:after="120"/>
                  </w:pPr>
                  <w:r w:rsidRPr="000C138D">
                    <w:t>International precedent for this approach</w:t>
                  </w:r>
                  <w:r>
                    <w:t>.</w:t>
                  </w:r>
                </w:p>
                <w:p w14:paraId="750A5F7A" w14:textId="77777777" w:rsidR="00384D7D" w:rsidRPr="000C138D" w:rsidRDefault="00384D7D" w:rsidP="00384D7D">
                  <w:pPr>
                    <w:pStyle w:val="TableText0"/>
                    <w:spacing w:before="120" w:after="120"/>
                  </w:pPr>
                  <w:r w:rsidRPr="000C138D">
                    <w:t>Could lead to a faster reduction to a low number of retail outlets.</w:t>
                  </w:r>
                </w:p>
              </w:tc>
              <w:tc>
                <w:tcPr>
                  <w:tcW w:w="3609" w:type="dxa"/>
                  <w:tcBorders>
                    <w:top w:val="single" w:sz="4" w:space="0" w:color="A6A6A6"/>
                    <w:bottom w:val="single" w:sz="4" w:space="0" w:color="A6A6A6"/>
                  </w:tcBorders>
                </w:tcPr>
                <w:p w14:paraId="29FDBA5E" w14:textId="77777777" w:rsidR="00384D7D" w:rsidRPr="000C138D" w:rsidRDefault="00384D7D" w:rsidP="00384D7D">
                  <w:pPr>
                    <w:pStyle w:val="TableText0"/>
                    <w:spacing w:before="120" w:after="120"/>
                  </w:pPr>
                  <w:r w:rsidRPr="000C138D">
                    <w:t>Does not treat all retailers the same (</w:t>
                  </w:r>
                  <w:proofErr w:type="spellStart"/>
                  <w:r w:rsidRPr="000C138D">
                    <w:t>ie</w:t>
                  </w:r>
                  <w:proofErr w:type="spellEnd"/>
                  <w:r>
                    <w:t>,</w:t>
                  </w:r>
                  <w:r w:rsidRPr="000C138D">
                    <w:t xml:space="preserve"> not a level playing field)</w:t>
                  </w:r>
                  <w:r>
                    <w:t>.</w:t>
                  </w:r>
                </w:p>
                <w:p w14:paraId="05E3631F" w14:textId="77777777" w:rsidR="00384D7D" w:rsidRPr="000C138D" w:rsidRDefault="00384D7D" w:rsidP="00384D7D">
                  <w:pPr>
                    <w:pStyle w:val="TableText0"/>
                    <w:spacing w:before="120" w:after="120"/>
                    <w:ind w:right="142"/>
                  </w:pPr>
                  <w:r w:rsidRPr="000C138D">
                    <w:t xml:space="preserve">Smaller retailers may be financially disadvantaged if no longer able to sell tobacco. </w:t>
                  </w:r>
                </w:p>
                <w:p w14:paraId="7F5E4DDC" w14:textId="77777777" w:rsidR="00384D7D" w:rsidRPr="000C138D" w:rsidRDefault="00384D7D" w:rsidP="00384D7D">
                  <w:pPr>
                    <w:pStyle w:val="TableText0"/>
                    <w:spacing w:before="120" w:after="120"/>
                  </w:pPr>
                  <w:r w:rsidRPr="000C138D">
                    <w:t>Pharmacies or other specialists may not want to sell tobacco.</w:t>
                  </w:r>
                </w:p>
              </w:tc>
            </w:tr>
            <w:tr w:rsidR="00384D7D" w:rsidRPr="000C138D" w14:paraId="5159B17F" w14:textId="77777777" w:rsidTr="007E6C92">
              <w:trPr>
                <w:cantSplit/>
                <w:trHeight w:val="1408"/>
                <w:tblHeader/>
              </w:trPr>
              <w:tc>
                <w:tcPr>
                  <w:tcW w:w="1361" w:type="dxa"/>
                  <w:tcBorders>
                    <w:top w:val="single" w:sz="4" w:space="0" w:color="A6A6A6"/>
                    <w:bottom w:val="single" w:sz="4" w:space="0" w:color="A6A6A6"/>
                  </w:tcBorders>
                  <w:shd w:val="clear" w:color="auto" w:fill="auto"/>
                </w:tcPr>
                <w:p w14:paraId="61E25A13" w14:textId="77777777" w:rsidR="00384D7D" w:rsidRPr="000C138D" w:rsidRDefault="00384D7D" w:rsidP="00384D7D">
                  <w:pPr>
                    <w:spacing w:before="120" w:after="120" w:line="240" w:lineRule="auto"/>
                    <w:rPr>
                      <w:b/>
                      <w:sz w:val="18"/>
                      <w:szCs w:val="18"/>
                    </w:rPr>
                  </w:pPr>
                  <w:r w:rsidRPr="000C138D">
                    <w:rPr>
                      <w:b/>
                      <w:bCs/>
                      <w:sz w:val="18"/>
                      <w:szCs w:val="18"/>
                    </w:rPr>
                    <w:t>Option 5: Increase purchase age to 20</w:t>
                  </w:r>
                  <w:r>
                    <w:rPr>
                      <w:b/>
                      <w:bCs/>
                      <w:sz w:val="18"/>
                      <w:szCs w:val="18"/>
                    </w:rPr>
                    <w:t xml:space="preserve"> years</w:t>
                  </w:r>
                </w:p>
              </w:tc>
              <w:tc>
                <w:tcPr>
                  <w:tcW w:w="3609" w:type="dxa"/>
                  <w:tcBorders>
                    <w:top w:val="single" w:sz="4" w:space="0" w:color="A6A6A6"/>
                    <w:bottom w:val="single" w:sz="4" w:space="0" w:color="A6A6A6"/>
                  </w:tcBorders>
                  <w:shd w:val="clear" w:color="auto" w:fill="auto"/>
                </w:tcPr>
                <w:p w14:paraId="43A67D18" w14:textId="77777777" w:rsidR="00384D7D" w:rsidRPr="000C138D" w:rsidRDefault="00384D7D" w:rsidP="00384D7D">
                  <w:pPr>
                    <w:pStyle w:val="TableText0"/>
                    <w:spacing w:before="120" w:after="120"/>
                    <w:ind w:right="142"/>
                  </w:pPr>
                  <w:r w:rsidRPr="000C138D">
                    <w:t xml:space="preserve">May reduce number of young people smoking. </w:t>
                  </w:r>
                </w:p>
                <w:p w14:paraId="6519D4AA" w14:textId="77777777" w:rsidR="00384D7D" w:rsidRPr="000C138D" w:rsidRDefault="00384D7D" w:rsidP="00384D7D">
                  <w:pPr>
                    <w:pStyle w:val="TableText0"/>
                    <w:spacing w:before="120" w:after="120"/>
                  </w:pPr>
                  <w:r w:rsidRPr="000C138D">
                    <w:t>International precedent for this approach</w:t>
                  </w:r>
                </w:p>
              </w:tc>
              <w:tc>
                <w:tcPr>
                  <w:tcW w:w="3609" w:type="dxa"/>
                  <w:tcBorders>
                    <w:top w:val="single" w:sz="4" w:space="0" w:color="A6A6A6"/>
                    <w:bottom w:val="single" w:sz="4" w:space="0" w:color="A6A6A6"/>
                  </w:tcBorders>
                </w:tcPr>
                <w:p w14:paraId="2B005A85" w14:textId="77777777" w:rsidR="00384D7D" w:rsidRPr="000C138D" w:rsidRDefault="00384D7D" w:rsidP="00384D7D">
                  <w:pPr>
                    <w:pStyle w:val="TableText0"/>
                    <w:spacing w:before="120" w:after="120"/>
                    <w:ind w:right="142"/>
                    <w:rPr>
                      <w:rFonts w:cs="Arial"/>
                      <w:szCs w:val="22"/>
                    </w:rPr>
                  </w:pPr>
                  <w:r w:rsidRPr="000C138D">
                    <w:rPr>
                      <w:rFonts w:cs="Arial"/>
                      <w:szCs w:val="22"/>
                    </w:rPr>
                    <w:t xml:space="preserve">Will not achieve </w:t>
                  </w:r>
                  <w:r>
                    <w:rPr>
                      <w:rFonts w:cs="Arial"/>
                      <w:szCs w:val="22"/>
                    </w:rPr>
                    <w:t>S</w:t>
                  </w:r>
                  <w:r w:rsidRPr="000C138D">
                    <w:rPr>
                      <w:rFonts w:cs="Arial"/>
                      <w:szCs w:val="22"/>
                    </w:rPr>
                    <w:t>mokefree 2025</w:t>
                  </w:r>
                  <w:r>
                    <w:rPr>
                      <w:rFonts w:cs="Arial"/>
                      <w:szCs w:val="22"/>
                    </w:rPr>
                    <w:t>.</w:t>
                  </w:r>
                </w:p>
                <w:p w14:paraId="479D7536" w14:textId="77777777" w:rsidR="00384D7D" w:rsidRPr="000C138D" w:rsidRDefault="00384D7D" w:rsidP="00384D7D">
                  <w:pPr>
                    <w:pStyle w:val="TableText0"/>
                    <w:spacing w:before="120" w:after="120"/>
                    <w:ind w:right="142"/>
                  </w:pPr>
                  <w:r w:rsidRPr="000C138D">
                    <w:t>Does not affect existing smokers</w:t>
                  </w:r>
                  <w:r>
                    <w:t>.</w:t>
                  </w:r>
                  <w:r w:rsidRPr="000C138D">
                    <w:t xml:space="preserve"> </w:t>
                  </w:r>
                </w:p>
                <w:p w14:paraId="7EA66ABC" w14:textId="77777777" w:rsidR="00384D7D" w:rsidRPr="000C138D" w:rsidRDefault="00384D7D" w:rsidP="00384D7D">
                  <w:pPr>
                    <w:pStyle w:val="TableText0"/>
                    <w:spacing w:before="120" w:after="120"/>
                  </w:pPr>
                </w:p>
              </w:tc>
            </w:tr>
            <w:tr w:rsidR="00384D7D" w:rsidRPr="000C138D" w14:paraId="2E19FC3D" w14:textId="77777777" w:rsidTr="007E6C92">
              <w:trPr>
                <w:cantSplit/>
                <w:trHeight w:val="1665"/>
                <w:tblHeader/>
              </w:trPr>
              <w:tc>
                <w:tcPr>
                  <w:tcW w:w="1361" w:type="dxa"/>
                  <w:tcBorders>
                    <w:top w:val="single" w:sz="4" w:space="0" w:color="A6A6A6"/>
                    <w:bottom w:val="single" w:sz="4" w:space="0" w:color="A6A6A6"/>
                  </w:tcBorders>
                  <w:shd w:val="clear" w:color="auto" w:fill="auto"/>
                </w:tcPr>
                <w:p w14:paraId="78FB3112" w14:textId="77777777" w:rsidR="00384D7D" w:rsidRPr="0084755C" w:rsidRDefault="00384D7D" w:rsidP="00384D7D">
                  <w:pPr>
                    <w:spacing w:before="120" w:after="120" w:line="240" w:lineRule="auto"/>
                    <w:rPr>
                      <w:sz w:val="18"/>
                      <w:szCs w:val="18"/>
                    </w:rPr>
                  </w:pPr>
                  <w:r w:rsidRPr="000C138D">
                    <w:rPr>
                      <w:b/>
                      <w:bCs/>
                      <w:sz w:val="18"/>
                      <w:szCs w:val="18"/>
                    </w:rPr>
                    <w:t>Option 6: Purchase age increases:</w:t>
                  </w:r>
                  <w:r w:rsidRPr="000C138D">
                    <w:rPr>
                      <w:sz w:val="18"/>
                      <w:szCs w:val="18"/>
                    </w:rPr>
                    <w:t xml:space="preserve"> </w:t>
                  </w:r>
                  <w:proofErr w:type="spellStart"/>
                  <w:r w:rsidRPr="000C138D">
                    <w:rPr>
                      <w:b/>
                      <w:bCs/>
                      <w:sz w:val="18"/>
                      <w:szCs w:val="18"/>
                    </w:rPr>
                    <w:t>smokefree</w:t>
                  </w:r>
                  <w:proofErr w:type="spellEnd"/>
                  <w:r w:rsidRPr="000C138D">
                    <w:rPr>
                      <w:b/>
                      <w:bCs/>
                      <w:sz w:val="18"/>
                      <w:szCs w:val="18"/>
                    </w:rPr>
                    <w:t xml:space="preserve"> generation</w:t>
                  </w:r>
                  <w:r w:rsidRPr="000C138D">
                    <w:rPr>
                      <w:sz w:val="18"/>
                      <w:szCs w:val="18"/>
                    </w:rPr>
                    <w:t xml:space="preserve"> </w:t>
                  </w:r>
                </w:p>
              </w:tc>
              <w:tc>
                <w:tcPr>
                  <w:tcW w:w="3609" w:type="dxa"/>
                  <w:tcBorders>
                    <w:top w:val="single" w:sz="4" w:space="0" w:color="A6A6A6"/>
                    <w:bottom w:val="single" w:sz="4" w:space="0" w:color="A6A6A6"/>
                  </w:tcBorders>
                  <w:shd w:val="clear" w:color="auto" w:fill="auto"/>
                </w:tcPr>
                <w:p w14:paraId="57967ADF" w14:textId="77777777" w:rsidR="00384D7D" w:rsidRPr="000C138D" w:rsidRDefault="00384D7D" w:rsidP="00384D7D">
                  <w:pPr>
                    <w:pStyle w:val="TableText0"/>
                    <w:spacing w:before="120" w:after="120"/>
                    <w:ind w:right="142"/>
                  </w:pPr>
                  <w:r w:rsidRPr="000C138D">
                    <w:t xml:space="preserve">Modelled potential to reach </w:t>
                  </w:r>
                  <w:r>
                    <w:t>S</w:t>
                  </w:r>
                  <w:r w:rsidRPr="000C138D">
                    <w:t>mokefree Aotearoa as a stand</w:t>
                  </w:r>
                  <w:r>
                    <w:t>-</w:t>
                  </w:r>
                  <w:r w:rsidRPr="000C138D">
                    <w:t>alone measure</w:t>
                  </w:r>
                  <w:r>
                    <w:t>.</w:t>
                  </w:r>
                  <w:r w:rsidRPr="000C138D">
                    <w:t xml:space="preserve"> </w:t>
                  </w:r>
                </w:p>
                <w:p w14:paraId="42F49640" w14:textId="77777777" w:rsidR="00384D7D" w:rsidRPr="000C138D" w:rsidRDefault="00384D7D" w:rsidP="00384D7D">
                  <w:pPr>
                    <w:pStyle w:val="TableText0"/>
                    <w:spacing w:before="120" w:after="120"/>
                  </w:pPr>
                  <w:r w:rsidRPr="000C138D">
                    <w:t>Effective to reduce numbers of young people starting smoking.</w:t>
                  </w:r>
                </w:p>
              </w:tc>
              <w:tc>
                <w:tcPr>
                  <w:tcW w:w="3609" w:type="dxa"/>
                  <w:tcBorders>
                    <w:top w:val="single" w:sz="4" w:space="0" w:color="A6A6A6"/>
                    <w:bottom w:val="single" w:sz="4" w:space="0" w:color="A6A6A6"/>
                  </w:tcBorders>
                </w:tcPr>
                <w:p w14:paraId="3C34FBE7" w14:textId="77777777" w:rsidR="00384D7D" w:rsidRPr="000C138D" w:rsidRDefault="00384D7D" w:rsidP="00384D7D">
                  <w:pPr>
                    <w:pStyle w:val="TableText0"/>
                    <w:spacing w:before="120" w:after="120"/>
                    <w:ind w:right="142"/>
                  </w:pPr>
                  <w:r w:rsidRPr="000C138D">
                    <w:t xml:space="preserve">May </w:t>
                  </w:r>
                  <w:r>
                    <w:t>have a</w:t>
                  </w:r>
                  <w:r w:rsidRPr="000C138D">
                    <w:t xml:space="preserve"> negative</w:t>
                  </w:r>
                  <w:r>
                    <w:t xml:space="preserve"> response from</w:t>
                  </w:r>
                  <w:r w:rsidRPr="000C138D">
                    <w:t xml:space="preserve"> stakeholders as 18 is generally considered the appropriate age of majority in New Zealand. </w:t>
                  </w:r>
                </w:p>
                <w:p w14:paraId="57B0A0E9" w14:textId="77777777" w:rsidR="00384D7D" w:rsidRPr="000C138D" w:rsidRDefault="00384D7D" w:rsidP="00384D7D">
                  <w:pPr>
                    <w:pStyle w:val="TableText0"/>
                    <w:spacing w:before="120" w:after="120"/>
                    <w:ind w:right="142"/>
                  </w:pPr>
                  <w:r w:rsidRPr="000C138D">
                    <w:t>Does not affect existing smokers</w:t>
                  </w:r>
                  <w:r>
                    <w:t>.</w:t>
                  </w:r>
                  <w:r w:rsidRPr="000C138D">
                    <w:t xml:space="preserve"> </w:t>
                  </w:r>
                </w:p>
              </w:tc>
            </w:tr>
          </w:tbl>
          <w:p w14:paraId="55FB45A0" w14:textId="77777777" w:rsidR="00384D7D" w:rsidRPr="00384D7D" w:rsidRDefault="00384D7D" w:rsidP="008755FC"/>
          <w:p w14:paraId="78AA007F" w14:textId="2A0729FA" w:rsidR="0082483F" w:rsidRPr="00093947" w:rsidRDefault="002D7D61" w:rsidP="00093947">
            <w:pPr>
              <w:spacing w:before="120" w:after="120" w:line="240" w:lineRule="auto"/>
              <w:jc w:val="both"/>
              <w:rPr>
                <w:b/>
                <w:lang w:eastAsia="en-AU"/>
              </w:rPr>
            </w:pPr>
            <w:r>
              <w:rPr>
                <w:b/>
                <w:lang w:eastAsia="en-AU"/>
              </w:rPr>
              <w:t>Theme</w:t>
            </w:r>
            <w:r w:rsidRPr="00093947">
              <w:rPr>
                <w:b/>
                <w:lang w:eastAsia="en-AU"/>
              </w:rPr>
              <w:t xml:space="preserve"> </w:t>
            </w:r>
            <w:r w:rsidR="0082483F" w:rsidRPr="00093947">
              <w:rPr>
                <w:b/>
                <w:lang w:eastAsia="en-AU"/>
              </w:rPr>
              <w:t xml:space="preserve">Two: Appeal and </w:t>
            </w:r>
            <w:r w:rsidR="00F43A8B" w:rsidRPr="00093947">
              <w:rPr>
                <w:b/>
                <w:lang w:eastAsia="en-AU"/>
              </w:rPr>
              <w:t>a</w:t>
            </w:r>
            <w:r w:rsidR="0082483F" w:rsidRPr="00093947">
              <w:rPr>
                <w:b/>
                <w:lang w:eastAsia="en-AU"/>
              </w:rPr>
              <w:t>ddictiveness</w:t>
            </w:r>
          </w:p>
          <w:p w14:paraId="2CE2009F" w14:textId="2DD1ACF7" w:rsidR="0082483F" w:rsidRPr="000C138D" w:rsidRDefault="0082483F" w:rsidP="008931C3">
            <w:r w:rsidRPr="000C138D">
              <w:t xml:space="preserve">An underdeveloped area of tobacco control policy in New Zealand is regulation of the product itself. Recent amendments through the Smokefree Environments and Regulated Products (Vaping) Amendment Act 2020 enable product safety standards </w:t>
            </w:r>
            <w:r w:rsidR="00F43A8B">
              <w:t xml:space="preserve">to be set </w:t>
            </w:r>
            <w:r w:rsidRPr="000C138D">
              <w:t>for vaping and smokeless tobacco products and require pre-market notification of these products.</w:t>
            </w:r>
            <w:r w:rsidRPr="000C138D">
              <w:rPr>
                <w:rStyle w:val="FootnoteReference"/>
              </w:rPr>
              <w:footnoteReference w:id="4"/>
            </w:r>
            <w:r w:rsidRPr="000C138D">
              <w:t xml:space="preserve"> </w:t>
            </w:r>
          </w:p>
          <w:p w14:paraId="753EB098" w14:textId="57664A53" w:rsidR="0082483F" w:rsidRPr="000C138D" w:rsidRDefault="00F43A8B" w:rsidP="008931C3">
            <w:pPr>
              <w:rPr>
                <w:lang w:eastAsia="en-AU"/>
              </w:rPr>
            </w:pPr>
            <w:r>
              <w:lastRenderedPageBreak/>
              <w:t>In contrast</w:t>
            </w:r>
            <w:r w:rsidR="0082483F" w:rsidRPr="000C138D">
              <w:t xml:space="preserve">, New Zealand has no effective controls on how smoked tobacco products (the most harmful form of nicotine delivery) are designed and manufactured, or on their constituents or emissions. </w:t>
            </w:r>
            <w:r w:rsidR="0082483F" w:rsidRPr="000C138D">
              <w:rPr>
                <w:lang w:eastAsia="en-AU"/>
              </w:rPr>
              <w:t>Regulating tobacco products has the potential to contribute to reducing tobacco-</w:t>
            </w:r>
            <w:r w:rsidR="00293C06">
              <w:rPr>
                <w:lang w:eastAsia="en-AU"/>
              </w:rPr>
              <w:t>related</w:t>
            </w:r>
            <w:r w:rsidR="00293C06" w:rsidRPr="000C138D">
              <w:rPr>
                <w:lang w:eastAsia="en-AU"/>
              </w:rPr>
              <w:t xml:space="preserve"> </w:t>
            </w:r>
            <w:r w:rsidR="0082483F" w:rsidRPr="000C138D">
              <w:rPr>
                <w:lang w:eastAsia="en-AU"/>
              </w:rPr>
              <w:t>disease and premature death by reducing the attractiveness, addictiveness and overall toxicity of tobacco products</w:t>
            </w:r>
            <w:r>
              <w:rPr>
                <w:lang w:eastAsia="en-AU"/>
              </w:rPr>
              <w:t>.</w:t>
            </w:r>
            <w:r w:rsidR="0082483F" w:rsidRPr="000C138D">
              <w:rPr>
                <w:vertAlign w:val="superscript"/>
                <w:lang w:eastAsia="en-AU"/>
              </w:rPr>
              <w:footnoteReference w:id="5"/>
            </w:r>
          </w:p>
          <w:p w14:paraId="0109B973" w14:textId="059C5FC9" w:rsidR="0082483F" w:rsidRPr="000C138D" w:rsidRDefault="0082483F" w:rsidP="008931C3">
            <w:pPr>
              <w:rPr>
                <w:lang w:eastAsia="en-NZ"/>
              </w:rPr>
            </w:pPr>
            <w:r w:rsidRPr="000C138D">
              <w:rPr>
                <w:lang w:eastAsia="en-NZ"/>
              </w:rPr>
              <w:t xml:space="preserve">Nicotine levels can vary between brands. </w:t>
            </w:r>
            <w:r w:rsidR="00D6318D">
              <w:rPr>
                <w:lang w:eastAsia="en-NZ"/>
              </w:rPr>
              <w:t>In addition, the tobacco industry uses</w:t>
            </w:r>
            <w:r w:rsidRPr="000C138D">
              <w:rPr>
                <w:lang w:eastAsia="en-NZ"/>
              </w:rPr>
              <w:t xml:space="preserve"> a range of features and ingredients to enhance the appeal of tobacco</w:t>
            </w:r>
            <w:r w:rsidR="00D6318D">
              <w:rPr>
                <w:lang w:eastAsia="en-NZ"/>
              </w:rPr>
              <w:t>,</w:t>
            </w:r>
            <w:r w:rsidRPr="000C138D">
              <w:rPr>
                <w:lang w:eastAsia="en-NZ"/>
              </w:rPr>
              <w:t xml:space="preserve"> such as menthol and other flavour additives, as well as filters with or without flavoured crush balls. </w:t>
            </w:r>
            <w:r w:rsidR="00D6318D">
              <w:rPr>
                <w:lang w:eastAsia="en-NZ"/>
              </w:rPr>
              <w:t>Through such measures, it</w:t>
            </w:r>
            <w:r w:rsidRPr="000C138D">
              <w:rPr>
                <w:lang w:eastAsia="en-NZ"/>
              </w:rPr>
              <w:t xml:space="preserve"> can maximise the appeal and addictiveness of tobacco products to encourage uptake by young people and minimise </w:t>
            </w:r>
            <w:r w:rsidR="00D6318D">
              <w:rPr>
                <w:lang w:eastAsia="en-NZ"/>
              </w:rPr>
              <w:t xml:space="preserve">the number of smokers who </w:t>
            </w:r>
            <w:r w:rsidRPr="000C138D">
              <w:rPr>
                <w:lang w:eastAsia="en-NZ"/>
              </w:rPr>
              <w:t>quit.</w:t>
            </w:r>
          </w:p>
          <w:p w14:paraId="6D1C1890" w14:textId="77777777" w:rsidR="0082483F" w:rsidRPr="00093947" w:rsidRDefault="0082483F" w:rsidP="00093947">
            <w:pPr>
              <w:spacing w:before="120" w:after="120" w:line="240" w:lineRule="auto"/>
              <w:jc w:val="both"/>
              <w:rPr>
                <w:i/>
                <w:lang w:eastAsia="en-AU"/>
              </w:rPr>
            </w:pPr>
            <w:r w:rsidRPr="00093947">
              <w:rPr>
                <w:i/>
                <w:lang w:eastAsia="en-AU"/>
              </w:rPr>
              <w:t>Reducing addictiveness by mandating very low nicotine cigarettes</w:t>
            </w:r>
          </w:p>
          <w:p w14:paraId="69E73775" w14:textId="12AB621A" w:rsidR="0082483F" w:rsidRPr="000C138D" w:rsidRDefault="0082483F" w:rsidP="008931C3">
            <w:r w:rsidRPr="000C138D">
              <w:t xml:space="preserve">Nicotine is the primary addictive component of tobacco products. Once people become addicted, they require nicotine to avoid withdrawal symptoms. In the process of obtaining nicotine, users of combustible tobacco products </w:t>
            </w:r>
            <w:r w:rsidR="00A816CD" w:rsidRPr="000C138D">
              <w:t xml:space="preserve">(and bystanders) </w:t>
            </w:r>
            <w:r w:rsidRPr="000C138D">
              <w:t>are exposed to an array of toxicants in tobacco and tobacco smoke that substantially increase</w:t>
            </w:r>
            <w:r w:rsidR="00D6318D">
              <w:t xml:space="preserve"> their</w:t>
            </w:r>
            <w:r w:rsidRPr="000C138D">
              <w:t xml:space="preserve"> risk of morbidity and mortality. Because of nicotine addiction, many smokers are unable to choose to stop smoking despite their stated desire to quit</w:t>
            </w:r>
            <w:r w:rsidR="00110F66" w:rsidRPr="000C138D">
              <w:t xml:space="preserve">. </w:t>
            </w:r>
          </w:p>
          <w:p w14:paraId="66478581" w14:textId="53DF4BF2" w:rsidR="0082483F" w:rsidRPr="000C138D" w:rsidRDefault="0082483F" w:rsidP="008931C3">
            <w:r w:rsidRPr="000C138D">
              <w:t xml:space="preserve">Significantly reducing the level of nicotine in smoked tobacco products would likely contribute towards achieving </w:t>
            </w:r>
            <w:r w:rsidR="006C4264">
              <w:t>S</w:t>
            </w:r>
            <w:r w:rsidRPr="000C138D">
              <w:t>mokefree 2025 by helping smokers to quit and preventing experimenters (mainly young people) from becoming regular smokers</w:t>
            </w:r>
            <w:r w:rsidR="00110F66" w:rsidRPr="000C138D">
              <w:t>.</w:t>
            </w:r>
            <w:r w:rsidRPr="000C138D">
              <w:t xml:space="preserve"> </w:t>
            </w:r>
          </w:p>
          <w:p w14:paraId="60D98552" w14:textId="7349A911" w:rsidR="0082483F" w:rsidRPr="000C138D" w:rsidRDefault="00EB50CB" w:rsidP="008931C3">
            <w:r>
              <w:t>Studies have c</w:t>
            </w:r>
            <w:r w:rsidR="0082483F" w:rsidRPr="000C138D">
              <w:t xml:space="preserve">ompared </w:t>
            </w:r>
            <w:r>
              <w:t xml:space="preserve">use of </w:t>
            </w:r>
            <w:r w:rsidR="0082483F" w:rsidRPr="000C138D">
              <w:t xml:space="preserve">control cigarettes </w:t>
            </w:r>
            <w:r>
              <w:t xml:space="preserve">that have </w:t>
            </w:r>
            <w:r w:rsidR="0082483F" w:rsidRPr="000C138D">
              <w:t>15.8 mg nicotine per gram of tobacco</w:t>
            </w:r>
            <w:r>
              <w:t xml:space="preserve"> with</w:t>
            </w:r>
            <w:r w:rsidRPr="000C138D">
              <w:t xml:space="preserve"> </w:t>
            </w:r>
            <w:r w:rsidR="0082483F" w:rsidRPr="000C138D">
              <w:t xml:space="preserve">use of cigarettes </w:t>
            </w:r>
            <w:r>
              <w:t xml:space="preserve">that have </w:t>
            </w:r>
            <w:r w:rsidR="0082483F" w:rsidRPr="000C138D">
              <w:t xml:space="preserve">only 0.4 mg/g nicotine </w:t>
            </w:r>
            <w:r>
              <w:t>among</w:t>
            </w:r>
            <w:r w:rsidRPr="000C138D">
              <w:t xml:space="preserve"> </w:t>
            </w:r>
            <w:r w:rsidR="0082483F" w:rsidRPr="000C138D">
              <w:t>smokers who are not currently interested in quitting</w:t>
            </w:r>
            <w:r>
              <w:t xml:space="preserve">. The results indicate the use of the cigarettes with a lower level of nicotine </w:t>
            </w:r>
            <w:r w:rsidR="0082483F" w:rsidRPr="000C138D">
              <w:t>leads to decreased nicotine exposure, decreased cigarette dependence, fewer cigarettes smoked per day and increased likelihood of contemplating or making a quit attempt (Donny et al 2017</w:t>
            </w:r>
            <w:r w:rsidR="00D6318D">
              <w:t>;</w:t>
            </w:r>
            <w:r w:rsidR="0082483F" w:rsidRPr="000C138D">
              <w:t xml:space="preserve"> Robert Wood Johnson Foundation 2018).</w:t>
            </w:r>
          </w:p>
          <w:p w14:paraId="13DC845E" w14:textId="26CB4FD7" w:rsidR="0082483F" w:rsidRPr="000C138D" w:rsidRDefault="0082483F" w:rsidP="008931C3">
            <w:r w:rsidRPr="000C138D">
              <w:t xml:space="preserve">Some studies have also showed that switching to </w:t>
            </w:r>
            <w:r w:rsidR="0029443C" w:rsidRPr="000C138D">
              <w:t>very low nicotine</w:t>
            </w:r>
            <w:r w:rsidRPr="000C138D">
              <w:t xml:space="preserve"> cigarettes results in a reduced number of cigarettes smoked per day, reduced nicotine dependence and minimal evidence of withdrawal distress </w:t>
            </w:r>
            <w:r w:rsidR="00263764">
              <w:t>or</w:t>
            </w:r>
            <w:r w:rsidR="00263764" w:rsidRPr="000C138D">
              <w:t xml:space="preserve"> </w:t>
            </w:r>
            <w:r w:rsidRPr="000C138D">
              <w:t xml:space="preserve">increased depression. On the other hand, other researchers have reported the use of </w:t>
            </w:r>
            <w:r w:rsidR="0029443C" w:rsidRPr="000C138D">
              <w:t>very low nicotine</w:t>
            </w:r>
            <w:r w:rsidRPr="000C138D">
              <w:t xml:space="preserve"> cigarettes did not change the number of cigarettes smoked per day, but </w:t>
            </w:r>
            <w:r w:rsidR="00263764">
              <w:t xml:space="preserve">they </w:t>
            </w:r>
            <w:r w:rsidRPr="000C138D">
              <w:t>observed reductions in cotinine and carbon monoxide levels</w:t>
            </w:r>
            <w:r w:rsidR="005C482E">
              <w:t xml:space="preserve"> (Food and Drug Administration 2018)</w:t>
            </w:r>
            <w:r w:rsidR="00263764">
              <w:t>.</w:t>
            </w:r>
          </w:p>
          <w:p w14:paraId="0DCEBB01" w14:textId="60C2A94B" w:rsidR="0082483F" w:rsidRPr="000C138D" w:rsidRDefault="0082483F" w:rsidP="008931C3">
            <w:r w:rsidRPr="000C138D">
              <w:t xml:space="preserve">In a 2018 study, participants </w:t>
            </w:r>
            <w:r w:rsidR="00473F81" w:rsidRPr="000C138D">
              <w:t xml:space="preserve">were </w:t>
            </w:r>
            <w:r w:rsidR="00B77663" w:rsidRPr="000C138D">
              <w:t>assigned very</w:t>
            </w:r>
            <w:r w:rsidR="0029443C" w:rsidRPr="000C138D">
              <w:t xml:space="preserve"> low nicotine </w:t>
            </w:r>
            <w:r w:rsidR="00473F81" w:rsidRPr="000C138D">
              <w:t xml:space="preserve">or standard </w:t>
            </w:r>
            <w:r w:rsidRPr="000C138D">
              <w:t>cigarettes</w:t>
            </w:r>
            <w:r w:rsidR="00473F81" w:rsidRPr="000C138D">
              <w:t xml:space="preserve">. </w:t>
            </w:r>
            <w:r w:rsidRPr="000C138D">
              <w:t xml:space="preserve">After six weeks the participants were asked to stop smoking their assigned cigarettes overnight. The participants who were </w:t>
            </w:r>
            <w:r w:rsidR="00B77663" w:rsidRPr="000C138D">
              <w:t>using very</w:t>
            </w:r>
            <w:r w:rsidR="0029443C" w:rsidRPr="000C138D">
              <w:t xml:space="preserve"> low nicotine </w:t>
            </w:r>
            <w:r w:rsidRPr="000C138D">
              <w:t>cigarettes reported less intense withdrawal symptoms the following morning than those smoking cigarettes with normal nicotine content (</w:t>
            </w:r>
            <w:proofErr w:type="spellStart"/>
            <w:r w:rsidR="002D61C0">
              <w:t>Sardin</w:t>
            </w:r>
            <w:proofErr w:type="spellEnd"/>
            <w:r w:rsidRPr="00263764">
              <w:t xml:space="preserve"> </w:t>
            </w:r>
            <w:r w:rsidRPr="000C138D">
              <w:t xml:space="preserve">2018). </w:t>
            </w:r>
          </w:p>
          <w:p w14:paraId="4EE8D953" w14:textId="4F84484F" w:rsidR="0082483F" w:rsidRPr="000C138D" w:rsidRDefault="0082483F" w:rsidP="008931C3">
            <w:r w:rsidRPr="000C138D">
              <w:t>Low nicotine cigarettes</w:t>
            </w:r>
            <w:r w:rsidR="00BB4B00" w:rsidRPr="000C138D">
              <w:t xml:space="preserve"> have been available since the 1970s</w:t>
            </w:r>
            <w:r w:rsidRPr="000C138D">
              <w:t xml:space="preserve"> </w:t>
            </w:r>
            <w:r w:rsidR="00BB4B00" w:rsidRPr="000C138D">
              <w:t xml:space="preserve">and </w:t>
            </w:r>
            <w:r w:rsidRPr="000C138D">
              <w:t xml:space="preserve">can be manufactured using three main methods </w:t>
            </w:r>
            <w:r w:rsidR="001E602A">
              <w:t>–</w:t>
            </w:r>
            <w:r w:rsidRPr="000C138D">
              <w:t xml:space="preserve"> degradation, extraction and genetic engineering</w:t>
            </w:r>
            <w:r w:rsidR="00BB4B00" w:rsidRPr="000C138D">
              <w:t>. Examples of these products are</w:t>
            </w:r>
            <w:r w:rsidR="00293C06">
              <w:t xml:space="preserve"> the</w:t>
            </w:r>
            <w:r w:rsidR="00BB4B00" w:rsidRPr="000C138D">
              <w:t xml:space="preserve"> </w:t>
            </w:r>
            <w:r w:rsidRPr="000C138D">
              <w:t>Moonlight brand</w:t>
            </w:r>
            <w:r w:rsidR="00BB4B00" w:rsidRPr="000C138D">
              <w:t xml:space="preserve"> and Phillip Morris ‘Next</w:t>
            </w:r>
            <w:r w:rsidR="001E602A">
              <w:t>’</w:t>
            </w:r>
            <w:r w:rsidR="00A90CA2" w:rsidRPr="000C138D">
              <w:rPr>
                <w:rStyle w:val="FootnoteReference"/>
              </w:rPr>
              <w:footnoteReference w:id="6"/>
            </w:r>
            <w:r w:rsidR="00BB4B00" w:rsidRPr="000C138D">
              <w:t xml:space="preserve"> cigarettes</w:t>
            </w:r>
            <w:r w:rsidRPr="000C138D">
              <w:t>.</w:t>
            </w:r>
          </w:p>
          <w:p w14:paraId="55E61553" w14:textId="65D0A7A6" w:rsidR="0082483F" w:rsidRPr="000C138D" w:rsidRDefault="0082483F" w:rsidP="008931C3">
            <w:pPr>
              <w:rPr>
                <w:rFonts w:cs="Arial"/>
                <w:szCs w:val="22"/>
              </w:rPr>
            </w:pPr>
            <w:r w:rsidRPr="000C138D">
              <w:rPr>
                <w:rFonts w:cs="Arial"/>
                <w:szCs w:val="22"/>
              </w:rPr>
              <w:t>However, while feasible, this</w:t>
            </w:r>
            <w:r w:rsidR="001E602A" w:rsidRPr="000C138D">
              <w:rPr>
                <w:rFonts w:cs="Arial"/>
                <w:szCs w:val="22"/>
              </w:rPr>
              <w:t xml:space="preserve"> policy measure</w:t>
            </w:r>
            <w:r w:rsidRPr="000C138D">
              <w:rPr>
                <w:rFonts w:cs="Arial"/>
                <w:szCs w:val="22"/>
              </w:rPr>
              <w:t xml:space="preserve"> is innovative and technically challenging. Challenges include</w:t>
            </w:r>
            <w:r w:rsidR="001E602A">
              <w:rPr>
                <w:rFonts w:cs="Arial"/>
                <w:szCs w:val="22"/>
              </w:rPr>
              <w:t xml:space="preserve"> the need to</w:t>
            </w:r>
            <w:r w:rsidRPr="000C138D">
              <w:rPr>
                <w:rFonts w:cs="Arial"/>
                <w:szCs w:val="22"/>
              </w:rPr>
              <w:t>:</w:t>
            </w:r>
          </w:p>
          <w:p w14:paraId="76CCF8A0" w14:textId="6FE22313" w:rsidR="0082483F" w:rsidRPr="000C138D" w:rsidRDefault="0082483F" w:rsidP="008931C3">
            <w:pPr>
              <w:pStyle w:val="ListBullet"/>
            </w:pPr>
            <w:r w:rsidRPr="000C138D">
              <w:t>clarif</w:t>
            </w:r>
            <w:r w:rsidR="001E602A">
              <w:t>y</w:t>
            </w:r>
            <w:r w:rsidRPr="000C138D">
              <w:t xml:space="preserve"> the potential </w:t>
            </w:r>
            <w:r w:rsidR="001E602A">
              <w:t>to include</w:t>
            </w:r>
            <w:r w:rsidR="001E602A" w:rsidRPr="000C138D">
              <w:t xml:space="preserve"> </w:t>
            </w:r>
            <w:r w:rsidRPr="000C138D">
              <w:t xml:space="preserve">cigarillos and cigars </w:t>
            </w:r>
            <w:r w:rsidR="001E602A">
              <w:t>in the measure</w:t>
            </w:r>
            <w:r w:rsidRPr="000C138D">
              <w:t xml:space="preserve">, and if </w:t>
            </w:r>
            <w:r w:rsidR="001E602A">
              <w:t>they can</w:t>
            </w:r>
            <w:r w:rsidRPr="000C138D">
              <w:t>not</w:t>
            </w:r>
            <w:r w:rsidR="001E602A">
              <w:t xml:space="preserve"> be included</w:t>
            </w:r>
            <w:r w:rsidRPr="000C138D">
              <w:t xml:space="preserve">, </w:t>
            </w:r>
            <w:r w:rsidR="001E602A">
              <w:t xml:space="preserve">take steps to </w:t>
            </w:r>
            <w:r w:rsidRPr="000C138D">
              <w:t>mitigat</w:t>
            </w:r>
            <w:r w:rsidR="001E602A">
              <w:t>e</w:t>
            </w:r>
            <w:r w:rsidRPr="000C138D">
              <w:t xml:space="preserve"> any unintended consequences</w:t>
            </w:r>
            <w:r w:rsidR="001E602A">
              <w:t xml:space="preserve"> </w:t>
            </w:r>
          </w:p>
          <w:p w14:paraId="306B0C69" w14:textId="26A32424" w:rsidR="0082483F" w:rsidRPr="000C138D" w:rsidRDefault="0034233C" w:rsidP="008931C3">
            <w:pPr>
              <w:pStyle w:val="ListBullet"/>
            </w:pPr>
            <w:r>
              <w:lastRenderedPageBreak/>
              <w:t>set</w:t>
            </w:r>
            <w:r w:rsidR="0082483F" w:rsidRPr="000C138D">
              <w:t xml:space="preserve"> the mandated level</w:t>
            </w:r>
            <w:r w:rsidR="00BC5EAD">
              <w:t>, making sure it is</w:t>
            </w:r>
            <w:r w:rsidR="0082483F" w:rsidRPr="000C138D">
              <w:t xml:space="preserve"> below the level at which the nicotine present sustain</w:t>
            </w:r>
            <w:r w:rsidR="00FF4B1F">
              <w:t>s</w:t>
            </w:r>
            <w:r w:rsidR="0082483F" w:rsidRPr="000C138D">
              <w:t xml:space="preserve"> addiction in </w:t>
            </w:r>
            <w:proofErr w:type="gramStart"/>
            <w:r w:rsidR="0082483F" w:rsidRPr="000C138D">
              <w:t>a majority of</w:t>
            </w:r>
            <w:proofErr w:type="gramEnd"/>
            <w:r w:rsidR="0082483F" w:rsidRPr="000C138D">
              <w:t xml:space="preserve"> the population</w:t>
            </w:r>
            <w:r w:rsidR="00C16911">
              <w:t xml:space="preserve"> (Food and Drug Administration 2018)</w:t>
            </w:r>
          </w:p>
          <w:p w14:paraId="15C7DC68" w14:textId="3339D81F" w:rsidR="0082483F" w:rsidRPr="000C138D" w:rsidRDefault="0034233C" w:rsidP="008931C3">
            <w:pPr>
              <w:pStyle w:val="ListBullet"/>
            </w:pPr>
            <w:r>
              <w:t xml:space="preserve">have </w:t>
            </w:r>
            <w:r w:rsidR="0082483F" w:rsidRPr="000C138D">
              <w:t xml:space="preserve">testing capability, preferably New Zealand based, to </w:t>
            </w:r>
            <w:r w:rsidR="00D451E2" w:rsidRPr="000C138D">
              <w:t>facilitate</w:t>
            </w:r>
            <w:r w:rsidR="0082483F" w:rsidRPr="000C138D">
              <w:t xml:space="preserve"> compliance. </w:t>
            </w:r>
          </w:p>
          <w:p w14:paraId="2F5F4777" w14:textId="056314E5" w:rsidR="0082483F" w:rsidRPr="000C138D" w:rsidRDefault="0082483F" w:rsidP="008931C3">
            <w:r w:rsidRPr="000C138D">
              <w:t xml:space="preserve">Internationally, the United States regulator, the Food and Drug Administration, has announced plans to reduce nicotine levels in combustible cigarettes to </w:t>
            </w:r>
            <w:r w:rsidR="00293C06">
              <w:t>make</w:t>
            </w:r>
            <w:r w:rsidR="00293C06" w:rsidRPr="000C138D">
              <w:t xml:space="preserve"> </w:t>
            </w:r>
            <w:r w:rsidRPr="000C138D">
              <w:t>them minimally or non-addictive</w:t>
            </w:r>
            <w:r w:rsidR="0034233C">
              <w:t>.</w:t>
            </w:r>
            <w:r w:rsidRPr="000C138D">
              <w:t xml:space="preserve"> </w:t>
            </w:r>
            <w:r w:rsidR="0034233C">
              <w:t>I</w:t>
            </w:r>
            <w:r w:rsidRPr="000C138D">
              <w:t xml:space="preserve">n March 2018, it issued advance notice of proposed rulemaking, </w:t>
            </w:r>
            <w:r w:rsidR="00C16911">
              <w:t>‘</w:t>
            </w:r>
            <w:r w:rsidRPr="0006158B">
              <w:t xml:space="preserve">Tobacco </w:t>
            </w:r>
            <w:r w:rsidR="00C16911">
              <w:t>p</w:t>
            </w:r>
            <w:r w:rsidRPr="0006158B">
              <w:t xml:space="preserve">roduct </w:t>
            </w:r>
            <w:r w:rsidR="00C16911">
              <w:t>s</w:t>
            </w:r>
            <w:r w:rsidRPr="0006158B">
              <w:t xml:space="preserve">tandard for </w:t>
            </w:r>
            <w:r w:rsidR="00C16911">
              <w:t>n</w:t>
            </w:r>
            <w:r w:rsidRPr="0006158B">
              <w:t xml:space="preserve">icotine </w:t>
            </w:r>
            <w:r w:rsidR="00C16911">
              <w:t>l</w:t>
            </w:r>
            <w:r w:rsidRPr="0006158B">
              <w:t xml:space="preserve">evel of </w:t>
            </w:r>
            <w:r w:rsidR="00C16911">
              <w:t>c</w:t>
            </w:r>
            <w:r w:rsidRPr="0006158B">
              <w:t xml:space="preserve">ombusted </w:t>
            </w:r>
            <w:r w:rsidR="00C16911">
              <w:t>c</w:t>
            </w:r>
            <w:r w:rsidRPr="0006158B">
              <w:t>igarettes</w:t>
            </w:r>
            <w:r w:rsidR="00C16911">
              <w:t>’ (Food and Drug Administration 2018)</w:t>
            </w:r>
            <w:r w:rsidRPr="000C138D">
              <w:t>, to obtain information for consideration in developing a tobacco product standard to set the maximum nicotine level for cigarettes</w:t>
            </w:r>
            <w:r w:rsidR="00AB03C4">
              <w:t>.</w:t>
            </w:r>
            <w:r w:rsidRPr="000C138D">
              <w:t xml:space="preserve"> </w:t>
            </w:r>
          </w:p>
          <w:p w14:paraId="75457738" w14:textId="729DEBA6" w:rsidR="0082483F" w:rsidRPr="00B959B0" w:rsidRDefault="0082483F" w:rsidP="00093947">
            <w:pPr>
              <w:widowControl w:val="0"/>
              <w:spacing w:before="120" w:after="120" w:line="240" w:lineRule="auto"/>
              <w:rPr>
                <w:i/>
              </w:rPr>
            </w:pPr>
            <w:r w:rsidRPr="00DF1B9C">
              <w:rPr>
                <w:i/>
              </w:rPr>
              <w:t xml:space="preserve">Restrict </w:t>
            </w:r>
            <w:r w:rsidRPr="004B5B0D">
              <w:rPr>
                <w:i/>
              </w:rPr>
              <w:t xml:space="preserve">use of </w:t>
            </w:r>
            <w:r w:rsidR="0034233C" w:rsidRPr="004B5B0D">
              <w:rPr>
                <w:i/>
              </w:rPr>
              <w:t>m</w:t>
            </w:r>
            <w:r w:rsidRPr="004B5B0D">
              <w:rPr>
                <w:i/>
              </w:rPr>
              <w:t xml:space="preserve">enthol </w:t>
            </w:r>
            <w:r w:rsidRPr="00B959B0">
              <w:rPr>
                <w:i/>
              </w:rPr>
              <w:t>or other additives</w:t>
            </w:r>
          </w:p>
          <w:p w14:paraId="04FB9B21" w14:textId="6AFCD3D7" w:rsidR="0082483F" w:rsidRPr="000C138D" w:rsidRDefault="0082483F" w:rsidP="008931C3">
            <w:pPr>
              <w:rPr>
                <w:lang w:eastAsia="en-AU"/>
              </w:rPr>
            </w:pPr>
            <w:r w:rsidRPr="000C138D">
              <w:rPr>
                <w:lang w:eastAsia="en-AU"/>
              </w:rPr>
              <w:t>Menthol has a minty flavour and a numbing effect when inhaled,</w:t>
            </w:r>
            <w:r w:rsidR="009E2EB0">
              <w:rPr>
                <w:lang w:eastAsia="en-AU"/>
              </w:rPr>
              <w:t xml:space="preserve"> making the experience </w:t>
            </w:r>
            <w:r w:rsidRPr="000C138D">
              <w:rPr>
                <w:lang w:eastAsia="en-AU"/>
              </w:rPr>
              <w:t xml:space="preserve">of </w:t>
            </w:r>
            <w:r w:rsidR="00971B60">
              <w:rPr>
                <w:lang w:eastAsia="en-AU"/>
              </w:rPr>
              <w:t xml:space="preserve">smoking </w:t>
            </w:r>
            <w:r w:rsidRPr="000C138D">
              <w:rPr>
                <w:lang w:eastAsia="en-AU"/>
              </w:rPr>
              <w:t>tobacco</w:t>
            </w:r>
            <w:r w:rsidR="009E2EB0">
              <w:rPr>
                <w:lang w:eastAsia="en-AU"/>
              </w:rPr>
              <w:t xml:space="preserve"> less harsh and irritating</w:t>
            </w:r>
            <w:r w:rsidRPr="000C138D">
              <w:rPr>
                <w:lang w:eastAsia="en-AU"/>
              </w:rPr>
              <w:t>,</w:t>
            </w:r>
            <w:r w:rsidR="00971B60">
              <w:rPr>
                <w:lang w:eastAsia="en-AU"/>
              </w:rPr>
              <w:t xml:space="preserve"> which in turn</w:t>
            </w:r>
            <w:r w:rsidRPr="000C138D">
              <w:rPr>
                <w:lang w:eastAsia="en-AU"/>
              </w:rPr>
              <w:t xml:space="preserve"> lead</w:t>
            </w:r>
            <w:r w:rsidR="00971B60">
              <w:rPr>
                <w:lang w:eastAsia="en-AU"/>
              </w:rPr>
              <w:t>s</w:t>
            </w:r>
            <w:r w:rsidRPr="000C138D">
              <w:rPr>
                <w:lang w:eastAsia="en-AU"/>
              </w:rPr>
              <w:t xml:space="preserve"> to greater absorption of nicotine through deeper inhalation</w:t>
            </w:r>
            <w:r w:rsidR="00971B60">
              <w:rPr>
                <w:lang w:eastAsia="en-AU"/>
              </w:rPr>
              <w:t xml:space="preserve"> (WHO 2016, p 37)</w:t>
            </w:r>
            <w:r w:rsidRPr="000C138D">
              <w:rPr>
                <w:lang w:eastAsia="en-AU"/>
              </w:rPr>
              <w:t>.</w:t>
            </w:r>
          </w:p>
          <w:p w14:paraId="437AF729" w14:textId="3909DD35" w:rsidR="0082483F" w:rsidRPr="000C138D" w:rsidRDefault="0082483F" w:rsidP="008931C3">
            <w:pPr>
              <w:rPr>
                <w:lang w:eastAsia="en-AU"/>
              </w:rPr>
            </w:pPr>
            <w:r w:rsidRPr="000C138D">
              <w:rPr>
                <w:lang w:eastAsia="en-AU"/>
              </w:rPr>
              <w:t xml:space="preserve">Menthol cigarettes represent </w:t>
            </w:r>
            <w:r w:rsidR="00971B60">
              <w:rPr>
                <w:lang w:eastAsia="en-AU"/>
              </w:rPr>
              <w:t>10</w:t>
            </w:r>
            <w:r w:rsidR="00971B60" w:rsidRPr="000C138D">
              <w:rPr>
                <w:lang w:eastAsia="en-AU"/>
              </w:rPr>
              <w:t xml:space="preserve"> </w:t>
            </w:r>
            <w:r w:rsidRPr="000C138D">
              <w:rPr>
                <w:lang w:eastAsia="en-AU"/>
              </w:rPr>
              <w:t>percent of the cigarette market across 40 countries and are more likely to be used by children and young adults, women and ethnic minority groups</w:t>
            </w:r>
            <w:r w:rsidR="00971B60">
              <w:rPr>
                <w:lang w:eastAsia="en-AU"/>
              </w:rPr>
              <w:t xml:space="preserve"> (WHO 2016, p 18)</w:t>
            </w:r>
            <w:r w:rsidRPr="000C138D">
              <w:rPr>
                <w:lang w:eastAsia="en-AU"/>
              </w:rPr>
              <w:t xml:space="preserve">. In New Zealand, menthol cigarette sales accounted for 9.8 percent of the total cigarette market in 2018. Thirteen percent of smokers in the 2016/17 </w:t>
            </w:r>
            <w:r w:rsidR="00723920">
              <w:rPr>
                <w:lang w:eastAsia="en-AU"/>
              </w:rPr>
              <w:t>International Tobacco Control (</w:t>
            </w:r>
            <w:r w:rsidRPr="000C138D">
              <w:rPr>
                <w:lang w:eastAsia="en-AU"/>
              </w:rPr>
              <w:t>ITC</w:t>
            </w:r>
            <w:r w:rsidR="00723920">
              <w:rPr>
                <w:lang w:eastAsia="en-AU"/>
              </w:rPr>
              <w:t>)</w:t>
            </w:r>
            <w:r w:rsidRPr="000C138D">
              <w:rPr>
                <w:lang w:eastAsia="en-AU"/>
              </w:rPr>
              <w:t xml:space="preserve"> study reported using menthol cigarettes, </w:t>
            </w:r>
            <w:proofErr w:type="gramStart"/>
            <w:r w:rsidRPr="000C138D">
              <w:rPr>
                <w:lang w:eastAsia="en-AU"/>
              </w:rPr>
              <w:t>similar to</w:t>
            </w:r>
            <w:proofErr w:type="gramEnd"/>
            <w:r w:rsidRPr="000C138D">
              <w:rPr>
                <w:lang w:eastAsia="en-AU"/>
              </w:rPr>
              <w:t xml:space="preserve"> the level in the 2007 ITC study</w:t>
            </w:r>
            <w:r w:rsidR="00723920">
              <w:rPr>
                <w:lang w:eastAsia="en-AU"/>
              </w:rPr>
              <w:t xml:space="preserve"> (</w:t>
            </w:r>
            <w:r w:rsidR="00723920" w:rsidRPr="000C138D">
              <w:rPr>
                <w:rFonts w:cs="Arial"/>
                <w:szCs w:val="22"/>
              </w:rPr>
              <w:t xml:space="preserve">McKiernan </w:t>
            </w:r>
            <w:r w:rsidR="00723920">
              <w:rPr>
                <w:rFonts w:cs="Arial"/>
                <w:szCs w:val="22"/>
              </w:rPr>
              <w:t>et al 2019)</w:t>
            </w:r>
            <w:r w:rsidRPr="000C138D">
              <w:rPr>
                <w:lang w:eastAsia="en-AU"/>
              </w:rPr>
              <w:t>.</w:t>
            </w:r>
          </w:p>
          <w:p w14:paraId="5F68C63F" w14:textId="5BAE4A39" w:rsidR="0082483F" w:rsidRPr="000C138D" w:rsidRDefault="00474760" w:rsidP="008931C3">
            <w:pPr>
              <w:rPr>
                <w:lang w:eastAsia="en-AU"/>
              </w:rPr>
            </w:pPr>
            <w:r>
              <w:rPr>
                <w:lang w:eastAsia="en-AU"/>
              </w:rPr>
              <w:t>U</w:t>
            </w:r>
            <w:r w:rsidR="0082483F" w:rsidRPr="000C138D">
              <w:rPr>
                <w:lang w:eastAsia="en-AU"/>
              </w:rPr>
              <w:t xml:space="preserve">se of menthol cigarettes </w:t>
            </w:r>
            <w:r>
              <w:rPr>
                <w:lang w:eastAsia="en-AU"/>
              </w:rPr>
              <w:t>is linked with</w:t>
            </w:r>
            <w:r w:rsidRPr="000C138D">
              <w:rPr>
                <w:lang w:eastAsia="en-AU"/>
              </w:rPr>
              <w:t xml:space="preserve"> </w:t>
            </w:r>
            <w:r w:rsidR="0082483F" w:rsidRPr="000C138D">
              <w:rPr>
                <w:lang w:eastAsia="en-AU"/>
              </w:rPr>
              <w:t>addiction, particularly among children and young people, as menthol smokers show greater signs of nicotine dependence and less success in quitting smoking. This</w:t>
            </w:r>
            <w:r>
              <w:rPr>
                <w:lang w:eastAsia="en-AU"/>
              </w:rPr>
              <w:t xml:space="preserve"> association</w:t>
            </w:r>
            <w:r w:rsidR="0082483F" w:rsidRPr="000C138D">
              <w:rPr>
                <w:lang w:eastAsia="en-AU"/>
              </w:rPr>
              <w:t xml:space="preserve">, combined with menthol’s anaesthetic properties (which reduces the harshness of cigarette smoke), </w:t>
            </w:r>
            <w:r w:rsidR="00D240F8">
              <w:rPr>
                <w:lang w:eastAsia="en-AU"/>
              </w:rPr>
              <w:t xml:space="preserve">may </w:t>
            </w:r>
            <w:r w:rsidR="0082483F" w:rsidRPr="000C138D">
              <w:rPr>
                <w:lang w:eastAsia="en-AU"/>
              </w:rPr>
              <w:t xml:space="preserve">make it a more significant public health risk than non-menthol cigarettes (WHO 2016). </w:t>
            </w:r>
          </w:p>
          <w:p w14:paraId="518A3D5F" w14:textId="040432EE" w:rsidR="0082483F" w:rsidRPr="000C138D" w:rsidRDefault="00474760" w:rsidP="008931C3">
            <w:r>
              <w:rPr>
                <w:szCs w:val="22"/>
              </w:rPr>
              <w:t>We</w:t>
            </w:r>
            <w:r w:rsidR="0082483F" w:rsidRPr="000C138D">
              <w:rPr>
                <w:szCs w:val="22"/>
              </w:rPr>
              <w:t xml:space="preserve"> note that </w:t>
            </w:r>
            <w:r w:rsidR="0082483F" w:rsidRPr="000C138D">
              <w:rPr>
                <w:lang w:eastAsia="en-AU"/>
              </w:rPr>
              <w:t>many other countries have moved to regulate flavoured tobacco products, primarily because characterising flavours have been linked to the appeal and uptake of tobacco, particularly among young people. F</w:t>
            </w:r>
            <w:r w:rsidR="0082483F" w:rsidRPr="000C138D">
              <w:t>or example:</w:t>
            </w:r>
          </w:p>
          <w:p w14:paraId="3F614139" w14:textId="379466CE" w:rsidR="0082483F" w:rsidRPr="000C138D" w:rsidRDefault="0082483F" w:rsidP="008931C3">
            <w:pPr>
              <w:pStyle w:val="ListBullet"/>
            </w:pPr>
            <w:r w:rsidRPr="000C138D">
              <w:rPr>
                <w:lang w:eastAsia="en-AU"/>
              </w:rPr>
              <w:t xml:space="preserve">Canada prohibits the sale of all flavoured cigarettes, blunt wraps </w:t>
            </w:r>
            <w:r w:rsidR="0098401F" w:rsidRPr="000C138D">
              <w:rPr>
                <w:lang w:eastAsia="en-AU"/>
              </w:rPr>
              <w:t xml:space="preserve">(wraps </w:t>
            </w:r>
            <w:r w:rsidR="00C232F0" w:rsidRPr="000C138D">
              <w:rPr>
                <w:lang w:eastAsia="en-AU"/>
              </w:rPr>
              <w:t xml:space="preserve">made from tobacco) </w:t>
            </w:r>
            <w:r w:rsidRPr="000C138D">
              <w:rPr>
                <w:lang w:eastAsia="en-AU"/>
              </w:rPr>
              <w:t>and little cigars</w:t>
            </w:r>
            <w:r w:rsidR="00355A3A">
              <w:rPr>
                <w:lang w:eastAsia="en-AU"/>
              </w:rPr>
              <w:t>,</w:t>
            </w:r>
            <w:r w:rsidRPr="000C138D">
              <w:rPr>
                <w:lang w:eastAsia="en-AU"/>
              </w:rPr>
              <w:t xml:space="preserve"> including menthol cigarettes</w:t>
            </w:r>
          </w:p>
          <w:p w14:paraId="11100E23" w14:textId="77777777" w:rsidR="0082483F" w:rsidRPr="000C138D" w:rsidRDefault="0082483F" w:rsidP="008931C3">
            <w:pPr>
              <w:pStyle w:val="ListBullet"/>
            </w:pPr>
            <w:r w:rsidRPr="000C138D">
              <w:rPr>
                <w:lang w:eastAsia="en-AU"/>
              </w:rPr>
              <w:t>Brazil has banned all tobacco product flavours and additives, including menthol</w:t>
            </w:r>
          </w:p>
          <w:p w14:paraId="2FFB13CE" w14:textId="41BA1CC3" w:rsidR="0082483F" w:rsidRPr="000C138D" w:rsidRDefault="0082483F" w:rsidP="008931C3">
            <w:pPr>
              <w:pStyle w:val="ListBullet"/>
              <w:rPr>
                <w:lang w:eastAsia="en-AU"/>
              </w:rPr>
            </w:pPr>
            <w:r w:rsidRPr="000C138D">
              <w:rPr>
                <w:lang w:eastAsia="en-AU"/>
              </w:rPr>
              <w:t xml:space="preserve">the </w:t>
            </w:r>
            <w:r w:rsidR="00474760">
              <w:rPr>
                <w:lang w:eastAsia="en-AU"/>
              </w:rPr>
              <w:t>European Union</w:t>
            </w:r>
            <w:r w:rsidR="00474760" w:rsidRPr="000C138D">
              <w:rPr>
                <w:lang w:eastAsia="en-AU"/>
              </w:rPr>
              <w:t xml:space="preserve"> </w:t>
            </w:r>
            <w:r w:rsidRPr="000C138D">
              <w:rPr>
                <w:lang w:eastAsia="en-AU"/>
              </w:rPr>
              <w:t>bans flavourings including menthol in cigarettes and roll-your-own tobacco, and flavoured capsules in tobacco products</w:t>
            </w:r>
            <w:r w:rsidR="009C5D87">
              <w:rPr>
                <w:lang w:eastAsia="en-AU"/>
              </w:rPr>
              <w:t xml:space="preserve"> (European </w:t>
            </w:r>
            <w:r w:rsidR="00301CC7">
              <w:rPr>
                <w:lang w:eastAsia="en-AU"/>
              </w:rPr>
              <w:t xml:space="preserve">Parliament </w:t>
            </w:r>
            <w:r w:rsidR="009C5D87">
              <w:rPr>
                <w:lang w:eastAsia="en-AU"/>
              </w:rPr>
              <w:t>2014; FCTC WHO Framework on Tobacco Control Secretariat 2016)</w:t>
            </w:r>
          </w:p>
          <w:p w14:paraId="4E339D6D" w14:textId="4A8D2D97" w:rsidR="0082483F" w:rsidRPr="000C138D" w:rsidRDefault="00C232F0" w:rsidP="008931C3">
            <w:pPr>
              <w:pStyle w:val="ListBullet"/>
              <w:rPr>
                <w:lang w:eastAsia="en-AU"/>
              </w:rPr>
            </w:pPr>
            <w:r w:rsidRPr="000C138D">
              <w:rPr>
                <w:lang w:eastAsia="en-AU"/>
              </w:rPr>
              <w:t>several</w:t>
            </w:r>
            <w:r w:rsidR="0082483F" w:rsidRPr="000C138D">
              <w:rPr>
                <w:lang w:eastAsia="en-AU"/>
              </w:rPr>
              <w:t xml:space="preserve"> Australian states (</w:t>
            </w:r>
            <w:r w:rsidR="00474760">
              <w:rPr>
                <w:lang w:eastAsia="en-AU"/>
              </w:rPr>
              <w:t>New South Wales</w:t>
            </w:r>
            <w:r w:rsidR="0082483F" w:rsidRPr="000C138D">
              <w:rPr>
                <w:lang w:eastAsia="en-AU"/>
              </w:rPr>
              <w:t>, Victoria</w:t>
            </w:r>
            <w:r w:rsidR="00474760">
              <w:rPr>
                <w:lang w:eastAsia="en-AU"/>
              </w:rPr>
              <w:t xml:space="preserve"> and</w:t>
            </w:r>
            <w:r w:rsidR="0082483F" w:rsidRPr="000C138D">
              <w:rPr>
                <w:lang w:eastAsia="en-AU"/>
              </w:rPr>
              <w:t xml:space="preserve"> South Australia)</w:t>
            </w:r>
            <w:r w:rsidR="00474760">
              <w:rPr>
                <w:lang w:eastAsia="en-AU"/>
              </w:rPr>
              <w:t xml:space="preserve"> and the Australian Capital Territory (ACT)</w:t>
            </w:r>
            <w:r w:rsidR="0082483F" w:rsidRPr="000C138D">
              <w:rPr>
                <w:lang w:eastAsia="en-AU"/>
              </w:rPr>
              <w:t xml:space="preserve"> have legislation that enables the prohibition of tobacco products or classes of products that have a distinctive fruity, sweet or confectionery-like character and/or might encourage a minor to smoke.</w:t>
            </w:r>
          </w:p>
          <w:p w14:paraId="2D2B4567" w14:textId="368783C8" w:rsidR="0082483F" w:rsidRPr="000C138D" w:rsidRDefault="00474760" w:rsidP="008931C3">
            <w:r>
              <w:t>E</w:t>
            </w:r>
            <w:r w:rsidR="00742652" w:rsidRPr="000C138D">
              <w:t>valuation</w:t>
            </w:r>
            <w:r>
              <w:t>s</w:t>
            </w:r>
            <w:r w:rsidR="0082483F" w:rsidRPr="000C138D">
              <w:t xml:space="preserve"> on the impact of removing additives </w:t>
            </w:r>
            <w:r>
              <w:t>are limited because</w:t>
            </w:r>
            <w:r w:rsidR="0082483F" w:rsidRPr="000C138D">
              <w:t xml:space="preserve"> this is a newly</w:t>
            </w:r>
            <w:r>
              <w:t xml:space="preserve"> </w:t>
            </w:r>
            <w:r w:rsidR="0082483F" w:rsidRPr="000C138D">
              <w:t>emerging area of tobacco control (</w:t>
            </w:r>
            <w:r w:rsidR="00F46A83">
              <w:t>Thornley et al</w:t>
            </w:r>
            <w:r w:rsidR="00F46A83" w:rsidRPr="000C138D">
              <w:t xml:space="preserve"> </w:t>
            </w:r>
            <w:r w:rsidR="0082483F" w:rsidRPr="000C138D">
              <w:t>2017</w:t>
            </w:r>
            <w:r w:rsidR="00F46A83">
              <w:t>a</w:t>
            </w:r>
            <w:r w:rsidR="0082483F" w:rsidRPr="000C138D">
              <w:t>)</w:t>
            </w:r>
            <w:r w:rsidR="0082483F" w:rsidRPr="000C138D">
              <w:rPr>
                <w:lang w:eastAsia="en-AU"/>
              </w:rPr>
              <w:t xml:space="preserve">. </w:t>
            </w:r>
            <w:r w:rsidR="00742652" w:rsidRPr="000C138D">
              <w:t>However</w:t>
            </w:r>
            <w:r w:rsidR="0082483F" w:rsidRPr="000C138D">
              <w:t>,</w:t>
            </w:r>
            <w:r w:rsidRPr="000C138D">
              <w:t xml:space="preserve"> this option</w:t>
            </w:r>
            <w:r w:rsidR="0082483F" w:rsidRPr="000C138D">
              <w:t xml:space="preserve"> </w:t>
            </w:r>
            <w:r>
              <w:t>has</w:t>
            </w:r>
            <w:r w:rsidR="0082483F" w:rsidRPr="000C138D">
              <w:t xml:space="preserve"> a strong rationale. It is highly plausible that additives enhance the appeal and palatability of cigarettes, particularly for young people and those trying to quit. They may also </w:t>
            </w:r>
            <w:r w:rsidR="00355A3A">
              <w:t>make smoking more</w:t>
            </w:r>
            <w:r w:rsidR="00355A3A" w:rsidRPr="000C138D">
              <w:t xml:space="preserve"> </w:t>
            </w:r>
            <w:r w:rsidR="0082483F" w:rsidRPr="000C138D">
              <w:t xml:space="preserve">addictive. </w:t>
            </w:r>
          </w:p>
          <w:p w14:paraId="70123BFC" w14:textId="77777777" w:rsidR="0082483F" w:rsidRPr="00754D8C" w:rsidRDefault="0082483F" w:rsidP="00093947">
            <w:pPr>
              <w:widowControl w:val="0"/>
              <w:spacing w:before="120" w:after="120" w:line="240" w:lineRule="auto"/>
              <w:rPr>
                <w:i/>
              </w:rPr>
            </w:pPr>
            <w:r w:rsidRPr="00754D8C">
              <w:rPr>
                <w:i/>
              </w:rPr>
              <w:t>Reducing appeal by removing filters</w:t>
            </w:r>
          </w:p>
          <w:p w14:paraId="06941BE6" w14:textId="5BC6E16A" w:rsidR="0082483F" w:rsidRPr="000C138D" w:rsidRDefault="00474760" w:rsidP="008931C3">
            <w:r>
              <w:t>F</w:t>
            </w:r>
            <w:r w:rsidRPr="000C138D">
              <w:t>ilters contribute to the appeal of cigarettes, with some smokers under the misconception that these mitigate the harm of smoking.</w:t>
            </w:r>
            <w:r>
              <w:t xml:space="preserve"> </w:t>
            </w:r>
            <w:r w:rsidR="007774CD">
              <w:t>For this reason, a</w:t>
            </w:r>
            <w:r w:rsidR="007774CD" w:rsidRPr="000C138D">
              <w:t xml:space="preserve"> </w:t>
            </w:r>
            <w:r w:rsidR="0082483F" w:rsidRPr="000C138D">
              <w:t>ban on filters is also proposed as a part of a broader package of measures reducing appeal</w:t>
            </w:r>
            <w:r>
              <w:t>.</w:t>
            </w:r>
            <w:r w:rsidR="0082483F" w:rsidRPr="000C138D">
              <w:t xml:space="preserve"> It can be implemented quickly, will make cigarettes less palatable, and removes a source of toxic litter and microplastics from the environment (</w:t>
            </w:r>
            <w:proofErr w:type="spellStart"/>
            <w:r w:rsidR="0082483F" w:rsidRPr="000C138D">
              <w:t>Gersberg</w:t>
            </w:r>
            <w:proofErr w:type="spellEnd"/>
            <w:r w:rsidR="0082483F" w:rsidRPr="000C138D">
              <w:t xml:space="preserve"> et al 2011</w:t>
            </w:r>
            <w:r w:rsidR="007774CD">
              <w:t>;</w:t>
            </w:r>
            <w:r w:rsidR="0082483F" w:rsidRPr="000C138D">
              <w:t xml:space="preserve"> Keep New Zealand Beautiful 2019). </w:t>
            </w:r>
            <w:r w:rsidR="007774CD">
              <w:t>The ban</w:t>
            </w:r>
            <w:r w:rsidR="0082483F" w:rsidRPr="000C138D">
              <w:t xml:space="preserve"> will also remove a key source of innovation in cigarette product design </w:t>
            </w:r>
            <w:r w:rsidR="007774CD">
              <w:t>in that</w:t>
            </w:r>
            <w:r w:rsidR="007774CD" w:rsidRPr="000C138D">
              <w:t xml:space="preserve"> </w:t>
            </w:r>
            <w:r w:rsidR="0082483F" w:rsidRPr="000C138D">
              <w:t>many filters also contain flavour</w:t>
            </w:r>
            <w:r w:rsidR="002B2211" w:rsidRPr="000C138D">
              <w:t>ings</w:t>
            </w:r>
            <w:r w:rsidR="0082483F" w:rsidRPr="000C138D">
              <w:t xml:space="preserve"> through the use of ‘crush </w:t>
            </w:r>
            <w:proofErr w:type="gramStart"/>
            <w:r w:rsidR="0082483F" w:rsidRPr="000C138D">
              <w:t>balls’</w:t>
            </w:r>
            <w:proofErr w:type="gramEnd"/>
            <w:r w:rsidR="00355A3A">
              <w:t>.</w:t>
            </w:r>
            <w:r w:rsidR="0082483F" w:rsidRPr="000C138D">
              <w:t xml:space="preserve"> </w:t>
            </w:r>
          </w:p>
          <w:p w14:paraId="7AFF0903" w14:textId="764E6653" w:rsidR="0082483F" w:rsidRPr="000C138D" w:rsidRDefault="0082483F" w:rsidP="008931C3">
            <w:r w:rsidRPr="000C138D">
              <w:lastRenderedPageBreak/>
              <w:t>Cigarette filters were created in the mid-twentieth century to keep loose tobacco out of smokers’ mouths. Subsequent epidemiological research linking smoking to lung cancer led the tobacco industry to make filters a standard feature of cigarettes and promote this as a harm reduction feature. This led</w:t>
            </w:r>
            <w:r w:rsidR="00044636">
              <w:t>, in turn,</w:t>
            </w:r>
            <w:r w:rsidRPr="000C138D">
              <w:t xml:space="preserve"> to a shift in products marketed and </w:t>
            </w:r>
            <w:r w:rsidR="00465380" w:rsidRPr="000C138D">
              <w:t>used. In</w:t>
            </w:r>
            <w:r w:rsidRPr="000C138D">
              <w:t xml:space="preserve"> 1960, 51</w:t>
            </w:r>
            <w:r w:rsidR="004C1282" w:rsidRPr="000C138D">
              <w:t xml:space="preserve"> percent</w:t>
            </w:r>
            <w:r w:rsidRPr="000C138D">
              <w:t xml:space="preserve"> of all cigarettes sold in the US were filtered</w:t>
            </w:r>
            <w:r w:rsidR="00BE60AF">
              <w:t>;</w:t>
            </w:r>
            <w:r w:rsidR="00BE60AF" w:rsidRPr="000C138D">
              <w:t xml:space="preserve"> </w:t>
            </w:r>
            <w:r w:rsidRPr="000C138D">
              <w:t>by 2005 this figure had increased to 99</w:t>
            </w:r>
            <w:r w:rsidR="004C1282" w:rsidRPr="000C138D">
              <w:t xml:space="preserve"> percent</w:t>
            </w:r>
            <w:r w:rsidRPr="000C138D">
              <w:t xml:space="preserve"> (</w:t>
            </w:r>
            <w:proofErr w:type="spellStart"/>
            <w:r w:rsidRPr="000C138D">
              <w:t>Wallbank</w:t>
            </w:r>
            <w:proofErr w:type="spellEnd"/>
            <w:r w:rsidRPr="000C138D">
              <w:t xml:space="preserve"> et al 2016).   </w:t>
            </w:r>
          </w:p>
          <w:p w14:paraId="2509BCB7" w14:textId="665617E1" w:rsidR="0082483F" w:rsidRPr="000C138D" w:rsidRDefault="0082483F" w:rsidP="008931C3">
            <w:pPr>
              <w:rPr>
                <w:color w:val="000000"/>
              </w:rPr>
            </w:pPr>
            <w:r w:rsidRPr="000C138D">
              <w:t>Filters, however, have no health benefits</w:t>
            </w:r>
            <w:r w:rsidR="00BE60AF">
              <w:t>; more than that, they</w:t>
            </w:r>
            <w:r w:rsidRPr="000C138D">
              <w:t xml:space="preserve"> can </w:t>
            </w:r>
            <w:r w:rsidR="00044636">
              <w:t>result in</w:t>
            </w:r>
            <w:r w:rsidRPr="000C138D">
              <w:t xml:space="preserve"> greater harm</w:t>
            </w:r>
            <w:r w:rsidRPr="000C138D">
              <w:rPr>
                <w:color w:val="000000"/>
              </w:rPr>
              <w:t xml:space="preserve"> (Harris 2011). </w:t>
            </w:r>
            <w:r w:rsidRPr="000C138D">
              <w:t>Filters increase risk, first</w:t>
            </w:r>
            <w:r w:rsidR="001002DD">
              <w:t>,</w:t>
            </w:r>
            <w:r w:rsidRPr="000C138D">
              <w:t xml:space="preserve"> by reducing health concerns, </w:t>
            </w:r>
            <w:r w:rsidR="001002DD">
              <w:t>so that more</w:t>
            </w:r>
            <w:r w:rsidRPr="000C138D">
              <w:t xml:space="preserve"> </w:t>
            </w:r>
            <w:r w:rsidR="001002DD">
              <w:t xml:space="preserve">people take up </w:t>
            </w:r>
            <w:r w:rsidRPr="000C138D">
              <w:t>smok</w:t>
            </w:r>
            <w:r w:rsidR="001002DD">
              <w:t>ing</w:t>
            </w:r>
            <w:r w:rsidRPr="000C138D">
              <w:t xml:space="preserve"> and </w:t>
            </w:r>
            <w:r w:rsidR="001002DD">
              <w:t xml:space="preserve">more </w:t>
            </w:r>
            <w:r w:rsidRPr="000C138D">
              <w:t>postpone</w:t>
            </w:r>
            <w:r w:rsidR="001002DD">
              <w:t xml:space="preserve"> their</w:t>
            </w:r>
            <w:r w:rsidRPr="000C138D">
              <w:t xml:space="preserve"> quit attempts. Second, deeper inhalation of filtered cigarettes produces elevated levels of nicotine, which has resulted in a shift in cancer diagnoses from squamous cell carcinomas to more aggressive adenocarcinoma as the most common form of lung cancer in much</w:t>
            </w:r>
            <w:r w:rsidRPr="000C138D">
              <w:rPr>
                <w:color w:val="000000"/>
              </w:rPr>
              <w:t xml:space="preserve"> of the world (Brooks et al 2005</w:t>
            </w:r>
            <w:r w:rsidR="001002DD">
              <w:rPr>
                <w:color w:val="000000"/>
              </w:rPr>
              <w:t>;</w:t>
            </w:r>
            <w:r w:rsidRPr="000C138D">
              <w:rPr>
                <w:color w:val="000000"/>
              </w:rPr>
              <w:t xml:space="preserve"> Ito et al 2011)</w:t>
            </w:r>
            <w:r w:rsidR="000E6F3D" w:rsidRPr="000C138D">
              <w:rPr>
                <w:color w:val="000000"/>
              </w:rPr>
              <w:t>.</w:t>
            </w:r>
          </w:p>
          <w:p w14:paraId="01997F71" w14:textId="20D6CDC1" w:rsidR="0082483F" w:rsidRPr="000C138D" w:rsidRDefault="0082483F" w:rsidP="008931C3">
            <w:r w:rsidRPr="000C138D">
              <w:rPr>
                <w:color w:val="000000"/>
              </w:rPr>
              <w:t xml:space="preserve">Discarded </w:t>
            </w:r>
            <w:r w:rsidR="00455309" w:rsidRPr="000C138D">
              <w:rPr>
                <w:color w:val="000000"/>
              </w:rPr>
              <w:t>filters or ‘butts</w:t>
            </w:r>
            <w:r w:rsidR="00FE5A6C" w:rsidRPr="000C138D">
              <w:rPr>
                <w:color w:val="000000"/>
              </w:rPr>
              <w:t>’ are</w:t>
            </w:r>
            <w:r w:rsidRPr="000C138D">
              <w:rPr>
                <w:color w:val="000000"/>
              </w:rPr>
              <w:t xml:space="preserve"> made of non-biodegradable cellulose acetate. </w:t>
            </w:r>
            <w:r w:rsidR="00455309" w:rsidRPr="000C138D">
              <w:rPr>
                <w:color w:val="000000"/>
              </w:rPr>
              <w:t>This</w:t>
            </w:r>
            <w:r w:rsidRPr="000C138D">
              <w:rPr>
                <w:color w:val="000000"/>
              </w:rPr>
              <w:t xml:space="preserve"> litter is a source </w:t>
            </w:r>
            <w:r w:rsidR="00044636">
              <w:rPr>
                <w:color w:val="000000"/>
              </w:rPr>
              <w:t>of</w:t>
            </w:r>
            <w:r w:rsidR="00044636" w:rsidRPr="000C138D">
              <w:rPr>
                <w:color w:val="000000"/>
              </w:rPr>
              <w:t xml:space="preserve"> </w:t>
            </w:r>
            <w:r w:rsidRPr="000C138D">
              <w:rPr>
                <w:color w:val="000000"/>
              </w:rPr>
              <w:t xml:space="preserve">contamination in </w:t>
            </w:r>
            <w:r w:rsidR="00FE5A6C" w:rsidRPr="000C138D">
              <w:rPr>
                <w:color w:val="000000"/>
              </w:rPr>
              <w:t>waterways and</w:t>
            </w:r>
            <w:r w:rsidR="002B2211" w:rsidRPr="000C138D">
              <w:rPr>
                <w:color w:val="000000"/>
              </w:rPr>
              <w:t xml:space="preserve"> contain</w:t>
            </w:r>
            <w:r w:rsidR="00150BA9" w:rsidRPr="000C138D">
              <w:rPr>
                <w:color w:val="000000"/>
              </w:rPr>
              <w:t>s</w:t>
            </w:r>
            <w:r w:rsidR="002B2211" w:rsidRPr="000C138D">
              <w:rPr>
                <w:color w:val="000000"/>
              </w:rPr>
              <w:t xml:space="preserve"> a variety of toxic chemicals such as</w:t>
            </w:r>
            <w:r w:rsidRPr="000C138D">
              <w:rPr>
                <w:color w:val="000000"/>
              </w:rPr>
              <w:t xml:space="preserve"> arsenic, lead, copper, chromium, cadmium and </w:t>
            </w:r>
            <w:r w:rsidRPr="000C138D">
              <w:t>polycyclic aromatic hydrocarbons. </w:t>
            </w:r>
          </w:p>
          <w:p w14:paraId="78BAC60C" w14:textId="554A60B9" w:rsidR="0082483F" w:rsidRPr="000C138D" w:rsidRDefault="0082483F" w:rsidP="008931C3">
            <w:r w:rsidRPr="000C138D">
              <w:t>Removal of filters also effectively remove</w:t>
            </w:r>
            <w:r w:rsidR="001A36AD" w:rsidRPr="000C138D">
              <w:t>s</w:t>
            </w:r>
            <w:r w:rsidRPr="000C138D">
              <w:t xml:space="preserve"> a key source of product design innovation. Many filters now contain flavoured crush balls, which can </w:t>
            </w:r>
            <w:r w:rsidR="00044636">
              <w:t>provide</w:t>
            </w:r>
            <w:r w:rsidR="00044636" w:rsidRPr="000C138D">
              <w:t xml:space="preserve"> </w:t>
            </w:r>
            <w:r w:rsidRPr="000C138D">
              <w:t xml:space="preserve">menthol and other flavours. </w:t>
            </w:r>
            <w:r w:rsidRPr="000C138D">
              <w:rPr>
                <w:lang w:eastAsia="en-AU"/>
              </w:rPr>
              <w:t xml:space="preserve">Other flavourings are also available internationally </w:t>
            </w:r>
            <w:r w:rsidRPr="000C138D">
              <w:t xml:space="preserve">such as sweet or fruity, coffee and alcohol based. </w:t>
            </w:r>
            <w:r w:rsidRPr="000C138D">
              <w:rPr>
                <w:lang w:eastAsia="en-AU"/>
              </w:rPr>
              <w:t xml:space="preserve">These flavourings can undermine efforts to reduce the use of these products, with evidence showing that experimentation </w:t>
            </w:r>
            <w:r w:rsidR="001002DD">
              <w:rPr>
                <w:lang w:eastAsia="en-AU"/>
              </w:rPr>
              <w:t>has</w:t>
            </w:r>
            <w:r w:rsidRPr="000C138D">
              <w:rPr>
                <w:lang w:eastAsia="en-AU"/>
              </w:rPr>
              <w:t xml:space="preserve"> a gateway effect</w:t>
            </w:r>
            <w:r w:rsidR="001002DD">
              <w:rPr>
                <w:lang w:eastAsia="en-AU"/>
              </w:rPr>
              <w:t>, leading to</w:t>
            </w:r>
            <w:r w:rsidRPr="000C138D">
              <w:rPr>
                <w:lang w:eastAsia="en-AU"/>
              </w:rPr>
              <w:t xml:space="preserve"> more regular smoking (Huang et al </w:t>
            </w:r>
            <w:r w:rsidR="001002DD" w:rsidRPr="000C138D">
              <w:rPr>
                <w:lang w:eastAsia="en-AU"/>
              </w:rPr>
              <w:t>201</w:t>
            </w:r>
            <w:r w:rsidR="001002DD">
              <w:rPr>
                <w:lang w:eastAsia="en-AU"/>
              </w:rPr>
              <w:t>7</w:t>
            </w:r>
            <w:r w:rsidRPr="000C138D">
              <w:rPr>
                <w:lang w:eastAsia="en-AU"/>
              </w:rPr>
              <w:t xml:space="preserve">).  </w:t>
            </w:r>
          </w:p>
          <w:p w14:paraId="304CBCD0" w14:textId="77777777" w:rsidR="0082483F" w:rsidRPr="00754D8C" w:rsidRDefault="0082483F" w:rsidP="00093947">
            <w:pPr>
              <w:keepNext/>
              <w:spacing w:before="120" w:after="120" w:line="240" w:lineRule="auto"/>
              <w:rPr>
                <w:i/>
              </w:rPr>
            </w:pPr>
            <w:r w:rsidRPr="00754D8C">
              <w:rPr>
                <w:i/>
              </w:rPr>
              <w:t>Prohibit product innovations</w:t>
            </w:r>
          </w:p>
          <w:p w14:paraId="0AF43FB9" w14:textId="7EB0CF09" w:rsidR="0082483F" w:rsidRPr="000C138D" w:rsidRDefault="0082483F" w:rsidP="008931C3">
            <w:r w:rsidRPr="000C138D">
              <w:t xml:space="preserve">Including a broad regulatory power to prohibit product innovations would substantively remove the ability of manufacturers to innovate or develop ways to </w:t>
            </w:r>
            <w:r w:rsidR="004C1C76">
              <w:t>sidestep</w:t>
            </w:r>
            <w:r w:rsidR="004C1C76" w:rsidRPr="000C138D" w:rsidDel="004C1C76">
              <w:t xml:space="preserve"> </w:t>
            </w:r>
            <w:r w:rsidRPr="000C138D">
              <w:t xml:space="preserve">regulatory measures. This power could cover additives, ingredients, manufacturing methods, types of wrappers and inclusions on or with cigarettes or designed to be used with cigarettes. </w:t>
            </w:r>
            <w:r w:rsidR="004C1C76">
              <w:t>How much</w:t>
            </w:r>
            <w:r w:rsidRPr="000C138D">
              <w:t xml:space="preserve"> this</w:t>
            </w:r>
            <w:r w:rsidR="004C1C76">
              <w:t xml:space="preserve"> power</w:t>
            </w:r>
            <w:r w:rsidRPr="000C138D">
              <w:t xml:space="preserve"> </w:t>
            </w:r>
            <w:r w:rsidR="004C1C76">
              <w:t xml:space="preserve">would impact </w:t>
            </w:r>
            <w:r w:rsidRPr="000C138D">
              <w:t xml:space="preserve">on smoking rates would depend on how </w:t>
            </w:r>
            <w:r w:rsidR="004C1C76">
              <w:t>it was</w:t>
            </w:r>
            <w:r w:rsidRPr="000C138D">
              <w:t xml:space="preserve"> used. </w:t>
            </w:r>
          </w:p>
          <w:p w14:paraId="59F9C186" w14:textId="06BCBB32" w:rsidR="000876CB" w:rsidRPr="000C138D" w:rsidRDefault="000876CB" w:rsidP="000876CB">
            <w:r>
              <w:t>Table 2 summarises the pros and cons of the options discussed above to address the issue of the appeal and addictiveness of tobacco.</w:t>
            </w:r>
          </w:p>
          <w:p w14:paraId="573D4C9C" w14:textId="6C199B9C" w:rsidR="0082483F" w:rsidRDefault="0082483F" w:rsidP="00A04078">
            <w:pPr>
              <w:pStyle w:val="Caption"/>
              <w:keepNext/>
              <w:spacing w:before="120" w:after="120" w:line="240" w:lineRule="auto"/>
            </w:pPr>
            <w:r w:rsidRPr="000C138D">
              <w:lastRenderedPageBreak/>
              <w:t xml:space="preserve">Table </w:t>
            </w:r>
            <w:r w:rsidR="002564DB">
              <w:fldChar w:fldCharType="begin"/>
            </w:r>
            <w:r w:rsidR="002564DB">
              <w:instrText xml:space="preserve"> SEQ Table \* ARABIC </w:instrText>
            </w:r>
            <w:r w:rsidR="002564DB">
              <w:fldChar w:fldCharType="separate"/>
            </w:r>
            <w:r w:rsidR="00A847AE">
              <w:rPr>
                <w:noProof/>
              </w:rPr>
              <w:t>2</w:t>
            </w:r>
            <w:r w:rsidR="002564DB">
              <w:rPr>
                <w:noProof/>
              </w:rPr>
              <w:fldChar w:fldCharType="end"/>
            </w:r>
            <w:r w:rsidRPr="000C138D">
              <w:t xml:space="preserve"> Comparison of options to reduce</w:t>
            </w:r>
            <w:r w:rsidR="00044636">
              <w:t xml:space="preserve"> the</w:t>
            </w:r>
            <w:r w:rsidRPr="000C138D">
              <w:t xml:space="preserve"> appeal and addictiveness of tobacco</w:t>
            </w:r>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1361"/>
              <w:gridCol w:w="3609"/>
              <w:gridCol w:w="3609"/>
            </w:tblGrid>
            <w:tr w:rsidR="00063506" w:rsidRPr="0084755C" w14:paraId="6C826A29" w14:textId="77777777" w:rsidTr="007E6C92">
              <w:trPr>
                <w:cantSplit/>
                <w:trHeight w:val="394"/>
                <w:tblHeader/>
              </w:trPr>
              <w:tc>
                <w:tcPr>
                  <w:tcW w:w="1361" w:type="dxa"/>
                  <w:tcBorders>
                    <w:bottom w:val="single" w:sz="4" w:space="0" w:color="A6A6A6"/>
                  </w:tcBorders>
                  <w:shd w:val="clear" w:color="auto" w:fill="auto"/>
                </w:tcPr>
                <w:p w14:paraId="00078113" w14:textId="77777777" w:rsidR="00063506" w:rsidRPr="0084755C" w:rsidRDefault="00063506" w:rsidP="00063506">
                  <w:pPr>
                    <w:pStyle w:val="TableText0"/>
                    <w:keepNext/>
                    <w:spacing w:before="120" w:after="120"/>
                    <w:rPr>
                      <w:rFonts w:cs="Arial"/>
                      <w:b/>
                      <w:szCs w:val="18"/>
                    </w:rPr>
                  </w:pPr>
                  <w:r w:rsidRPr="0084755C">
                    <w:rPr>
                      <w:rFonts w:cs="Arial"/>
                      <w:b/>
                      <w:szCs w:val="18"/>
                    </w:rPr>
                    <w:t xml:space="preserve">Options </w:t>
                  </w:r>
                </w:p>
              </w:tc>
              <w:tc>
                <w:tcPr>
                  <w:tcW w:w="3609" w:type="dxa"/>
                  <w:tcBorders>
                    <w:bottom w:val="single" w:sz="4" w:space="0" w:color="A6A6A6"/>
                  </w:tcBorders>
                  <w:shd w:val="clear" w:color="auto" w:fill="auto"/>
                </w:tcPr>
                <w:p w14:paraId="3AEF74B1" w14:textId="77777777" w:rsidR="00063506" w:rsidRPr="0084755C" w:rsidRDefault="00063506" w:rsidP="00063506">
                  <w:pPr>
                    <w:spacing w:before="120" w:after="120" w:line="240" w:lineRule="auto"/>
                    <w:rPr>
                      <w:rFonts w:cs="Arial"/>
                      <w:b/>
                      <w:sz w:val="18"/>
                      <w:szCs w:val="18"/>
                    </w:rPr>
                  </w:pPr>
                  <w:r w:rsidRPr="0084755C">
                    <w:rPr>
                      <w:rFonts w:cs="Arial"/>
                      <w:b/>
                      <w:iCs/>
                      <w:sz w:val="18"/>
                      <w:szCs w:val="18"/>
                    </w:rPr>
                    <w:t>Pros</w:t>
                  </w:r>
                </w:p>
              </w:tc>
              <w:tc>
                <w:tcPr>
                  <w:tcW w:w="3609" w:type="dxa"/>
                  <w:tcBorders>
                    <w:bottom w:val="single" w:sz="4" w:space="0" w:color="A6A6A6"/>
                  </w:tcBorders>
                </w:tcPr>
                <w:p w14:paraId="0F5C8C63" w14:textId="77777777" w:rsidR="00063506" w:rsidRPr="0084755C" w:rsidRDefault="00063506" w:rsidP="00063506">
                  <w:pPr>
                    <w:spacing w:before="120" w:after="120" w:line="240" w:lineRule="auto"/>
                    <w:rPr>
                      <w:rFonts w:cs="Arial"/>
                      <w:b/>
                      <w:bCs/>
                      <w:sz w:val="18"/>
                      <w:szCs w:val="18"/>
                    </w:rPr>
                  </w:pPr>
                  <w:r w:rsidRPr="0084755C">
                    <w:rPr>
                      <w:rFonts w:cs="Arial"/>
                      <w:b/>
                      <w:sz w:val="18"/>
                      <w:szCs w:val="18"/>
                    </w:rPr>
                    <w:t>Cons</w:t>
                  </w:r>
                </w:p>
              </w:tc>
            </w:tr>
            <w:tr w:rsidR="00063506" w:rsidRPr="0084755C" w14:paraId="0CD7A1EE" w14:textId="77777777" w:rsidTr="007E6C92">
              <w:trPr>
                <w:cantSplit/>
                <w:trHeight w:val="1103"/>
                <w:tblHeader/>
              </w:trPr>
              <w:tc>
                <w:tcPr>
                  <w:tcW w:w="1361" w:type="dxa"/>
                  <w:tcBorders>
                    <w:top w:val="single" w:sz="4" w:space="0" w:color="A6A6A6"/>
                    <w:bottom w:val="single" w:sz="4" w:space="0" w:color="A6A6A6"/>
                  </w:tcBorders>
                  <w:shd w:val="clear" w:color="auto" w:fill="auto"/>
                </w:tcPr>
                <w:p w14:paraId="622F8993" w14:textId="77777777" w:rsidR="00063506" w:rsidRPr="0084755C" w:rsidRDefault="00063506" w:rsidP="00063506">
                  <w:pPr>
                    <w:pStyle w:val="TableText0"/>
                    <w:keepNext/>
                    <w:spacing w:before="120" w:after="120"/>
                    <w:ind w:right="142"/>
                    <w:rPr>
                      <w:rFonts w:cs="Arial"/>
                      <w:b/>
                      <w:iCs/>
                      <w:szCs w:val="18"/>
                    </w:rPr>
                  </w:pPr>
                  <w:r w:rsidRPr="0084755C">
                    <w:rPr>
                      <w:rFonts w:cs="Arial"/>
                      <w:b/>
                      <w:iCs/>
                      <w:szCs w:val="18"/>
                    </w:rPr>
                    <w:t>Option 1: Status quo</w:t>
                  </w:r>
                </w:p>
                <w:p w14:paraId="54BDAEC8" w14:textId="77777777" w:rsidR="00063506" w:rsidRPr="0084755C" w:rsidRDefault="00063506" w:rsidP="00063506">
                  <w:pPr>
                    <w:pStyle w:val="TableText0"/>
                    <w:keepNext/>
                    <w:spacing w:before="120" w:after="120"/>
                    <w:ind w:right="142"/>
                    <w:rPr>
                      <w:rFonts w:cs="Arial"/>
                      <w:b/>
                      <w:iCs/>
                      <w:szCs w:val="18"/>
                    </w:rPr>
                  </w:pPr>
                  <w:r w:rsidRPr="0084755C">
                    <w:rPr>
                      <w:rFonts w:cs="Arial"/>
                      <w:szCs w:val="18"/>
                    </w:rPr>
                    <w:t>No measures</w:t>
                  </w:r>
                </w:p>
              </w:tc>
              <w:tc>
                <w:tcPr>
                  <w:tcW w:w="3609" w:type="dxa"/>
                  <w:tcBorders>
                    <w:top w:val="single" w:sz="4" w:space="0" w:color="A6A6A6"/>
                    <w:bottom w:val="single" w:sz="4" w:space="0" w:color="A6A6A6"/>
                  </w:tcBorders>
                  <w:shd w:val="clear" w:color="auto" w:fill="auto"/>
                </w:tcPr>
                <w:p w14:paraId="0BE71B75" w14:textId="77777777" w:rsidR="00063506" w:rsidRPr="0084755C" w:rsidRDefault="00063506" w:rsidP="00063506">
                  <w:pPr>
                    <w:pStyle w:val="TableText0"/>
                    <w:spacing w:before="120" w:after="120"/>
                    <w:rPr>
                      <w:rFonts w:cs="Arial"/>
                      <w:szCs w:val="18"/>
                    </w:rPr>
                  </w:pPr>
                  <w:r w:rsidRPr="000C138D">
                    <w:t>From, a business perspective, manufacturers are free to design innovative products.</w:t>
                  </w:r>
                </w:p>
              </w:tc>
              <w:tc>
                <w:tcPr>
                  <w:tcW w:w="3609" w:type="dxa"/>
                  <w:tcBorders>
                    <w:top w:val="single" w:sz="4" w:space="0" w:color="A6A6A6"/>
                    <w:bottom w:val="single" w:sz="4" w:space="0" w:color="A6A6A6"/>
                  </w:tcBorders>
                </w:tcPr>
                <w:p w14:paraId="3C150117" w14:textId="77777777" w:rsidR="00063506" w:rsidRPr="0084755C" w:rsidRDefault="00063506" w:rsidP="00063506">
                  <w:pPr>
                    <w:pStyle w:val="TableText0"/>
                    <w:spacing w:before="120" w:after="120"/>
                    <w:ind w:right="142"/>
                    <w:rPr>
                      <w:rFonts w:cs="Arial"/>
                      <w:szCs w:val="18"/>
                    </w:rPr>
                  </w:pPr>
                  <w:r w:rsidRPr="0084755C">
                    <w:rPr>
                      <w:rFonts w:cs="Arial"/>
                      <w:szCs w:val="18"/>
                    </w:rPr>
                    <w:t>Will not achieve Smokefree 2025.</w:t>
                  </w:r>
                </w:p>
              </w:tc>
            </w:tr>
            <w:tr w:rsidR="00063506" w:rsidRPr="0084755C" w14:paraId="1D9D4A7C" w14:textId="77777777" w:rsidTr="007E6C92">
              <w:trPr>
                <w:cantSplit/>
                <w:trHeight w:val="1405"/>
                <w:tblHeader/>
              </w:trPr>
              <w:tc>
                <w:tcPr>
                  <w:tcW w:w="1361" w:type="dxa"/>
                  <w:tcBorders>
                    <w:top w:val="single" w:sz="4" w:space="0" w:color="A6A6A6"/>
                    <w:bottom w:val="single" w:sz="4" w:space="0" w:color="A6A6A6"/>
                  </w:tcBorders>
                  <w:shd w:val="clear" w:color="auto" w:fill="auto"/>
                </w:tcPr>
                <w:p w14:paraId="476BE161" w14:textId="77777777" w:rsidR="00063506" w:rsidRPr="0084755C" w:rsidRDefault="00063506" w:rsidP="00063506">
                  <w:pPr>
                    <w:pStyle w:val="TableText0"/>
                    <w:keepNext/>
                    <w:spacing w:before="120" w:after="120"/>
                    <w:rPr>
                      <w:rFonts w:cs="Arial"/>
                      <w:b/>
                      <w:szCs w:val="18"/>
                    </w:rPr>
                  </w:pPr>
                  <w:r w:rsidRPr="0084755C">
                    <w:rPr>
                      <w:rFonts w:cs="Arial"/>
                      <w:b/>
                      <w:szCs w:val="18"/>
                    </w:rPr>
                    <w:t xml:space="preserve">Option 2: Mandate low nicotine cigarettes </w:t>
                  </w:r>
                </w:p>
                <w:p w14:paraId="10B22FBE" w14:textId="77777777" w:rsidR="00063506" w:rsidRPr="0084755C" w:rsidRDefault="00063506" w:rsidP="00063506">
                  <w:pPr>
                    <w:pStyle w:val="TableText0"/>
                    <w:spacing w:before="120" w:after="120"/>
                    <w:rPr>
                      <w:rFonts w:cs="Arial"/>
                      <w:b/>
                      <w:szCs w:val="18"/>
                    </w:rPr>
                  </w:pPr>
                </w:p>
              </w:tc>
              <w:tc>
                <w:tcPr>
                  <w:tcW w:w="3609" w:type="dxa"/>
                  <w:tcBorders>
                    <w:top w:val="single" w:sz="4" w:space="0" w:color="A6A6A6"/>
                    <w:bottom w:val="single" w:sz="4" w:space="0" w:color="A6A6A6"/>
                  </w:tcBorders>
                  <w:shd w:val="clear" w:color="auto" w:fill="auto"/>
                </w:tcPr>
                <w:p w14:paraId="1EDE35E9" w14:textId="77777777" w:rsidR="00063506" w:rsidRPr="000C138D" w:rsidRDefault="00063506" w:rsidP="00063506">
                  <w:pPr>
                    <w:pStyle w:val="TableText0"/>
                    <w:spacing w:before="120" w:after="120"/>
                  </w:pPr>
                  <w:r w:rsidRPr="000C138D">
                    <w:t>Will make cigarettes much less appealing, likely driving attempts to quit and reducing initiation/uptake of smoking.</w:t>
                  </w:r>
                </w:p>
                <w:p w14:paraId="4DC6F3BA" w14:textId="77777777" w:rsidR="00063506" w:rsidRPr="0084755C" w:rsidRDefault="00063506" w:rsidP="00063506">
                  <w:pPr>
                    <w:pStyle w:val="TableText0"/>
                    <w:spacing w:before="120" w:after="120"/>
                    <w:rPr>
                      <w:rFonts w:cs="Arial"/>
                      <w:szCs w:val="18"/>
                    </w:rPr>
                  </w:pPr>
                </w:p>
              </w:tc>
              <w:tc>
                <w:tcPr>
                  <w:tcW w:w="3609" w:type="dxa"/>
                  <w:tcBorders>
                    <w:top w:val="single" w:sz="4" w:space="0" w:color="A6A6A6"/>
                    <w:bottom w:val="single" w:sz="4" w:space="0" w:color="A6A6A6"/>
                  </w:tcBorders>
                </w:tcPr>
                <w:p w14:paraId="6480F65E" w14:textId="77777777" w:rsidR="00063506" w:rsidRPr="000C138D" w:rsidRDefault="00063506" w:rsidP="00063506">
                  <w:pPr>
                    <w:pStyle w:val="TableText0"/>
                    <w:spacing w:before="120" w:after="120"/>
                  </w:pPr>
                  <w:r w:rsidRPr="000C138D">
                    <w:t>Technically challenging measure with difficulties that may not be understood.</w:t>
                  </w:r>
                </w:p>
                <w:p w14:paraId="42785F25" w14:textId="77777777" w:rsidR="00063506" w:rsidRPr="000C138D" w:rsidRDefault="00063506" w:rsidP="00063506">
                  <w:pPr>
                    <w:pStyle w:val="TableText0"/>
                    <w:spacing w:before="120" w:after="120"/>
                  </w:pPr>
                  <w:r w:rsidRPr="000C138D">
                    <w:t>May require a product notification system</w:t>
                  </w:r>
                  <w:r>
                    <w:t>.</w:t>
                  </w:r>
                </w:p>
                <w:p w14:paraId="1EE6F6F8" w14:textId="77777777" w:rsidR="00063506" w:rsidRPr="0084755C" w:rsidRDefault="00063506" w:rsidP="00063506">
                  <w:pPr>
                    <w:pStyle w:val="TableText0"/>
                    <w:spacing w:before="120" w:after="120"/>
                    <w:ind w:right="142"/>
                    <w:rPr>
                      <w:rFonts w:cs="Arial"/>
                      <w:szCs w:val="18"/>
                    </w:rPr>
                  </w:pPr>
                  <w:r w:rsidRPr="000C138D">
                    <w:t>From a business perspective, restricts potential for market growth.</w:t>
                  </w:r>
                </w:p>
              </w:tc>
            </w:tr>
            <w:tr w:rsidR="00063506" w:rsidRPr="0084755C" w14:paraId="77467FF0" w14:textId="77777777" w:rsidTr="007E6C92">
              <w:trPr>
                <w:cantSplit/>
                <w:trHeight w:val="2669"/>
                <w:tblHeader/>
              </w:trPr>
              <w:tc>
                <w:tcPr>
                  <w:tcW w:w="1361" w:type="dxa"/>
                  <w:tcBorders>
                    <w:top w:val="single" w:sz="4" w:space="0" w:color="A6A6A6"/>
                    <w:bottom w:val="single" w:sz="4" w:space="0" w:color="A6A6A6"/>
                  </w:tcBorders>
                  <w:shd w:val="clear" w:color="auto" w:fill="auto"/>
                </w:tcPr>
                <w:p w14:paraId="363F27FA" w14:textId="77777777" w:rsidR="00063506" w:rsidRPr="0084755C" w:rsidRDefault="00063506" w:rsidP="00063506">
                  <w:pPr>
                    <w:pStyle w:val="TableText0"/>
                    <w:keepNext/>
                    <w:spacing w:before="120" w:after="120"/>
                    <w:rPr>
                      <w:rFonts w:cs="Arial"/>
                      <w:szCs w:val="18"/>
                    </w:rPr>
                  </w:pPr>
                  <w:r w:rsidRPr="0084755C">
                    <w:rPr>
                      <w:rFonts w:cs="Arial"/>
                      <w:b/>
                      <w:szCs w:val="18"/>
                    </w:rPr>
                    <w:t>Option 3:</w:t>
                  </w:r>
                  <w:r w:rsidRPr="0084755C">
                    <w:rPr>
                      <w:rFonts w:cs="Arial"/>
                      <w:szCs w:val="18"/>
                    </w:rPr>
                    <w:t xml:space="preserve"> </w:t>
                  </w:r>
                  <w:r w:rsidRPr="0084755C">
                    <w:rPr>
                      <w:rFonts w:cs="Arial"/>
                      <w:b/>
                      <w:bCs/>
                      <w:szCs w:val="18"/>
                    </w:rPr>
                    <w:t>Restrict use of filters</w:t>
                  </w:r>
                </w:p>
                <w:p w14:paraId="2FED6CC0" w14:textId="77777777" w:rsidR="00063506" w:rsidRPr="0084755C" w:rsidRDefault="00063506" w:rsidP="00063506">
                  <w:pPr>
                    <w:pStyle w:val="TableText0"/>
                    <w:spacing w:before="120" w:after="120"/>
                    <w:rPr>
                      <w:rFonts w:cs="Arial"/>
                      <w:b/>
                      <w:szCs w:val="18"/>
                    </w:rPr>
                  </w:pPr>
                </w:p>
              </w:tc>
              <w:tc>
                <w:tcPr>
                  <w:tcW w:w="3609" w:type="dxa"/>
                  <w:tcBorders>
                    <w:top w:val="single" w:sz="4" w:space="0" w:color="A6A6A6"/>
                    <w:bottom w:val="single" w:sz="4" w:space="0" w:color="A6A6A6"/>
                  </w:tcBorders>
                  <w:shd w:val="clear" w:color="auto" w:fill="auto"/>
                </w:tcPr>
                <w:p w14:paraId="4271CDCD" w14:textId="77777777" w:rsidR="00063506" w:rsidRPr="000C138D" w:rsidRDefault="00063506" w:rsidP="00063506">
                  <w:pPr>
                    <w:pStyle w:val="TableText0"/>
                    <w:spacing w:before="120" w:after="120"/>
                    <w:ind w:right="142"/>
                  </w:pPr>
                  <w:r w:rsidRPr="000C138D">
                    <w:t>May increase switching from smoking to less harmful alternative.</w:t>
                  </w:r>
                </w:p>
                <w:p w14:paraId="22F11953" w14:textId="77777777" w:rsidR="00063506" w:rsidRPr="000C138D" w:rsidRDefault="00063506" w:rsidP="00063506">
                  <w:pPr>
                    <w:pStyle w:val="TableText0"/>
                    <w:spacing w:before="120" w:after="120"/>
                    <w:ind w:right="142"/>
                  </w:pPr>
                  <w:r w:rsidRPr="000C138D">
                    <w:t>Removes potential for misleading smokers about the harmfulness of cigarettes through use of filters.</w:t>
                  </w:r>
                </w:p>
                <w:p w14:paraId="1665558E" w14:textId="77777777" w:rsidR="00063506" w:rsidRPr="000C138D" w:rsidRDefault="00063506" w:rsidP="00063506">
                  <w:pPr>
                    <w:pStyle w:val="TableText0"/>
                    <w:spacing w:before="120" w:after="120"/>
                    <w:ind w:right="142"/>
                  </w:pPr>
                  <w:r w:rsidRPr="000C138D">
                    <w:t xml:space="preserve">Removes potential for some product innovations such as flavoured crush balls. </w:t>
                  </w:r>
                </w:p>
                <w:p w14:paraId="488FD83D" w14:textId="77777777" w:rsidR="00063506" w:rsidRPr="0084755C" w:rsidRDefault="00063506" w:rsidP="00063506">
                  <w:pPr>
                    <w:pStyle w:val="TableText0"/>
                    <w:spacing w:before="120" w:after="120"/>
                    <w:rPr>
                      <w:rFonts w:cs="Arial"/>
                      <w:szCs w:val="18"/>
                    </w:rPr>
                  </w:pPr>
                  <w:r w:rsidRPr="000C138D">
                    <w:t>Removes a significant source of non-biodegradable rubbish and microplastics from the environment.</w:t>
                  </w:r>
                </w:p>
              </w:tc>
              <w:tc>
                <w:tcPr>
                  <w:tcW w:w="3609" w:type="dxa"/>
                  <w:tcBorders>
                    <w:top w:val="single" w:sz="4" w:space="0" w:color="A6A6A6"/>
                    <w:bottom w:val="single" w:sz="4" w:space="0" w:color="A6A6A6"/>
                  </w:tcBorders>
                </w:tcPr>
                <w:p w14:paraId="51678A14" w14:textId="77777777" w:rsidR="00063506" w:rsidRPr="000C138D" w:rsidRDefault="00063506" w:rsidP="00063506">
                  <w:pPr>
                    <w:pStyle w:val="TableText0"/>
                    <w:spacing w:before="120" w:after="120"/>
                  </w:pPr>
                  <w:r w:rsidRPr="000C138D">
                    <w:t>Is complementary to other measures – will not achieve significant reduction in smoking as a stand</w:t>
                  </w:r>
                  <w:r>
                    <w:t>-</w:t>
                  </w:r>
                  <w:r w:rsidRPr="000C138D">
                    <w:t>alone measure.</w:t>
                  </w:r>
                </w:p>
                <w:p w14:paraId="0C290D04" w14:textId="77777777" w:rsidR="00063506" w:rsidRPr="000C138D" w:rsidRDefault="00063506" w:rsidP="00063506">
                  <w:pPr>
                    <w:pStyle w:val="TableText0"/>
                    <w:spacing w:before="120" w:after="120"/>
                    <w:ind w:right="142"/>
                  </w:pPr>
                  <w:r w:rsidRPr="000C138D">
                    <w:t>From a business perspective, restricts potential for market growth.</w:t>
                  </w:r>
                </w:p>
                <w:p w14:paraId="1DE50D93" w14:textId="77777777" w:rsidR="00063506" w:rsidRPr="0084755C" w:rsidRDefault="00063506" w:rsidP="00063506">
                  <w:pPr>
                    <w:pStyle w:val="TableText0"/>
                    <w:spacing w:before="120" w:after="120"/>
                    <w:ind w:right="142"/>
                    <w:rPr>
                      <w:rFonts w:cs="Arial"/>
                      <w:szCs w:val="18"/>
                    </w:rPr>
                  </w:pPr>
                </w:p>
              </w:tc>
            </w:tr>
            <w:tr w:rsidR="00063506" w:rsidRPr="0084755C" w14:paraId="573C2176" w14:textId="77777777" w:rsidTr="007E6C92">
              <w:trPr>
                <w:cantSplit/>
                <w:trHeight w:val="1149"/>
                <w:tblHeader/>
              </w:trPr>
              <w:tc>
                <w:tcPr>
                  <w:tcW w:w="1361" w:type="dxa"/>
                  <w:tcBorders>
                    <w:top w:val="single" w:sz="4" w:space="0" w:color="A6A6A6"/>
                    <w:bottom w:val="single" w:sz="4" w:space="0" w:color="A6A6A6"/>
                  </w:tcBorders>
                  <w:shd w:val="clear" w:color="auto" w:fill="auto"/>
                </w:tcPr>
                <w:p w14:paraId="66A71B96" w14:textId="77777777" w:rsidR="00063506" w:rsidRPr="0084755C" w:rsidRDefault="00063506" w:rsidP="00063506">
                  <w:pPr>
                    <w:spacing w:before="120" w:after="120" w:line="240" w:lineRule="auto"/>
                    <w:rPr>
                      <w:rFonts w:cs="Arial"/>
                      <w:sz w:val="18"/>
                      <w:szCs w:val="18"/>
                    </w:rPr>
                  </w:pPr>
                  <w:r w:rsidRPr="0084755C">
                    <w:rPr>
                      <w:rFonts w:cs="Arial"/>
                      <w:b/>
                      <w:sz w:val="18"/>
                      <w:szCs w:val="18"/>
                    </w:rPr>
                    <w:t>Option 4: Restrict use of menthol</w:t>
                  </w:r>
                </w:p>
              </w:tc>
              <w:tc>
                <w:tcPr>
                  <w:tcW w:w="3609" w:type="dxa"/>
                  <w:tcBorders>
                    <w:top w:val="single" w:sz="4" w:space="0" w:color="A6A6A6"/>
                    <w:bottom w:val="single" w:sz="4" w:space="0" w:color="A6A6A6"/>
                  </w:tcBorders>
                  <w:shd w:val="clear" w:color="auto" w:fill="auto"/>
                </w:tcPr>
                <w:p w14:paraId="33DA3E02" w14:textId="77777777" w:rsidR="00063506" w:rsidRPr="000C138D" w:rsidRDefault="00063506" w:rsidP="00063506">
                  <w:pPr>
                    <w:pStyle w:val="TableText0"/>
                    <w:spacing w:before="120" w:after="120"/>
                    <w:ind w:right="142"/>
                  </w:pPr>
                  <w:r w:rsidRPr="000C138D">
                    <w:t xml:space="preserve">May increase switching from smoking to less harmful alternatives. </w:t>
                  </w:r>
                </w:p>
                <w:p w14:paraId="56899782" w14:textId="77777777" w:rsidR="00063506" w:rsidRPr="000C138D" w:rsidRDefault="00063506" w:rsidP="00063506">
                  <w:pPr>
                    <w:pStyle w:val="TableText0"/>
                    <w:spacing w:before="120" w:after="120"/>
                    <w:ind w:right="142"/>
                  </w:pPr>
                  <w:r w:rsidRPr="000C138D">
                    <w:t>May reduce initiation/uptake of smoking.</w:t>
                  </w:r>
                </w:p>
                <w:p w14:paraId="77864CAF" w14:textId="77777777" w:rsidR="00063506" w:rsidRPr="0084755C" w:rsidRDefault="00063506" w:rsidP="00063506">
                  <w:pPr>
                    <w:pStyle w:val="TableText0"/>
                    <w:spacing w:before="120" w:after="120"/>
                    <w:rPr>
                      <w:rFonts w:cs="Arial"/>
                      <w:szCs w:val="18"/>
                    </w:rPr>
                  </w:pPr>
                </w:p>
              </w:tc>
              <w:tc>
                <w:tcPr>
                  <w:tcW w:w="3609" w:type="dxa"/>
                  <w:tcBorders>
                    <w:top w:val="single" w:sz="4" w:space="0" w:color="A6A6A6"/>
                    <w:bottom w:val="single" w:sz="4" w:space="0" w:color="A6A6A6"/>
                  </w:tcBorders>
                </w:tcPr>
                <w:p w14:paraId="7638DC71" w14:textId="77777777" w:rsidR="00063506" w:rsidRPr="000C138D" w:rsidRDefault="00063506" w:rsidP="00063506">
                  <w:pPr>
                    <w:pStyle w:val="TableText0"/>
                    <w:spacing w:before="120" w:after="120"/>
                  </w:pPr>
                  <w:r w:rsidRPr="000C138D">
                    <w:t>Is complementary to other measures – will not achieve significant reduction in smoking as a stand</w:t>
                  </w:r>
                  <w:r>
                    <w:t>-</w:t>
                  </w:r>
                  <w:r w:rsidRPr="000C138D">
                    <w:t>alone measure.</w:t>
                  </w:r>
                </w:p>
                <w:p w14:paraId="7E6DD974" w14:textId="77777777" w:rsidR="00063506" w:rsidRPr="0084755C" w:rsidRDefault="00063506" w:rsidP="00063506">
                  <w:pPr>
                    <w:pStyle w:val="TableText0"/>
                    <w:spacing w:before="120" w:after="120"/>
                    <w:rPr>
                      <w:rFonts w:cs="Arial"/>
                      <w:szCs w:val="18"/>
                    </w:rPr>
                  </w:pPr>
                </w:p>
              </w:tc>
            </w:tr>
            <w:tr w:rsidR="00063506" w:rsidRPr="0084755C" w14:paraId="408C6F3D" w14:textId="77777777" w:rsidTr="007E6C92">
              <w:trPr>
                <w:cantSplit/>
                <w:trHeight w:val="1408"/>
                <w:tblHeader/>
              </w:trPr>
              <w:tc>
                <w:tcPr>
                  <w:tcW w:w="1361" w:type="dxa"/>
                  <w:tcBorders>
                    <w:top w:val="single" w:sz="4" w:space="0" w:color="A6A6A6"/>
                    <w:bottom w:val="single" w:sz="4" w:space="0" w:color="A6A6A6"/>
                  </w:tcBorders>
                  <w:shd w:val="clear" w:color="auto" w:fill="auto"/>
                </w:tcPr>
                <w:p w14:paraId="38DCA27B" w14:textId="77777777" w:rsidR="00063506" w:rsidRPr="0084755C" w:rsidRDefault="00063506" w:rsidP="00063506">
                  <w:pPr>
                    <w:spacing w:before="120" w:after="120" w:line="240" w:lineRule="auto"/>
                    <w:rPr>
                      <w:rFonts w:cs="Arial"/>
                      <w:b/>
                      <w:sz w:val="18"/>
                      <w:szCs w:val="18"/>
                    </w:rPr>
                  </w:pPr>
                  <w:r w:rsidRPr="0084755C">
                    <w:rPr>
                      <w:rFonts w:cs="Arial"/>
                      <w:b/>
                      <w:sz w:val="18"/>
                      <w:szCs w:val="18"/>
                    </w:rPr>
                    <w:t>Option 5: Provide regulatory power to prohibit product innovations</w:t>
                  </w:r>
                </w:p>
              </w:tc>
              <w:tc>
                <w:tcPr>
                  <w:tcW w:w="3609" w:type="dxa"/>
                  <w:tcBorders>
                    <w:top w:val="single" w:sz="4" w:space="0" w:color="A6A6A6"/>
                    <w:bottom w:val="single" w:sz="4" w:space="0" w:color="A6A6A6"/>
                  </w:tcBorders>
                  <w:shd w:val="clear" w:color="auto" w:fill="auto"/>
                </w:tcPr>
                <w:p w14:paraId="035210C5" w14:textId="77777777" w:rsidR="00063506" w:rsidRPr="0084755C" w:rsidRDefault="00063506" w:rsidP="00063506">
                  <w:pPr>
                    <w:pStyle w:val="TableText0"/>
                    <w:spacing w:before="120" w:after="120"/>
                    <w:rPr>
                      <w:rFonts w:cs="Arial"/>
                      <w:szCs w:val="18"/>
                    </w:rPr>
                  </w:pPr>
                  <w:r w:rsidRPr="000C138D">
                    <w:t>Will allow regulators to make additional changes to limit new product innovations if necessary.</w:t>
                  </w:r>
                </w:p>
              </w:tc>
              <w:tc>
                <w:tcPr>
                  <w:tcW w:w="3609" w:type="dxa"/>
                  <w:tcBorders>
                    <w:top w:val="single" w:sz="4" w:space="0" w:color="A6A6A6"/>
                    <w:bottom w:val="single" w:sz="4" w:space="0" w:color="A6A6A6"/>
                  </w:tcBorders>
                </w:tcPr>
                <w:p w14:paraId="7E59FF00" w14:textId="77777777" w:rsidR="00063506" w:rsidRPr="000C138D" w:rsidRDefault="00063506" w:rsidP="00063506">
                  <w:pPr>
                    <w:pStyle w:val="TableText0"/>
                    <w:spacing w:before="120" w:after="120"/>
                  </w:pPr>
                  <w:r w:rsidRPr="000C138D">
                    <w:t xml:space="preserve">Decreases in tobacco appeal or usage depend on how it is used. </w:t>
                  </w:r>
                </w:p>
                <w:p w14:paraId="5D988E00" w14:textId="77777777" w:rsidR="00063506" w:rsidRPr="0084755C" w:rsidRDefault="00063506" w:rsidP="00063506">
                  <w:pPr>
                    <w:pStyle w:val="TableText0"/>
                    <w:spacing w:before="120" w:after="120"/>
                    <w:rPr>
                      <w:rFonts w:cs="Arial"/>
                      <w:szCs w:val="18"/>
                    </w:rPr>
                  </w:pPr>
                  <w:r>
                    <w:t>Is r</w:t>
                  </w:r>
                  <w:r w:rsidRPr="000C138D">
                    <w:t>eactive so does not enable us to get in front of innovations to increase uptake and keep smokers smoking.</w:t>
                  </w:r>
                </w:p>
              </w:tc>
            </w:tr>
          </w:tbl>
          <w:p w14:paraId="58B3AD2D" w14:textId="77777777" w:rsidR="00063506" w:rsidRPr="00063506" w:rsidRDefault="00063506" w:rsidP="00866268"/>
          <w:p w14:paraId="2014D8C4" w14:textId="584AA576" w:rsidR="0082483F" w:rsidRPr="00093947" w:rsidRDefault="002D7D61" w:rsidP="00093947">
            <w:pPr>
              <w:spacing w:before="120" w:after="120" w:line="240" w:lineRule="auto"/>
              <w:jc w:val="both"/>
              <w:rPr>
                <w:b/>
                <w:lang w:eastAsia="en-AU"/>
              </w:rPr>
            </w:pPr>
            <w:r>
              <w:rPr>
                <w:b/>
                <w:lang w:eastAsia="en-AU"/>
              </w:rPr>
              <w:t>Them</w:t>
            </w:r>
            <w:r w:rsidRPr="00093947">
              <w:rPr>
                <w:b/>
                <w:lang w:eastAsia="en-AU"/>
              </w:rPr>
              <w:t xml:space="preserve">e </w:t>
            </w:r>
            <w:r w:rsidR="0082483F" w:rsidRPr="00093947">
              <w:rPr>
                <w:b/>
                <w:lang w:eastAsia="en-AU"/>
              </w:rPr>
              <w:t>Three: Affordability</w:t>
            </w:r>
          </w:p>
          <w:p w14:paraId="5ACC8C1A" w14:textId="77777777" w:rsidR="0082483F" w:rsidRPr="00093947" w:rsidRDefault="0082483F" w:rsidP="00093947">
            <w:pPr>
              <w:keepNext/>
              <w:spacing w:before="120" w:after="120" w:line="240" w:lineRule="auto"/>
              <w:rPr>
                <w:i/>
              </w:rPr>
            </w:pPr>
            <w:r w:rsidRPr="00093947">
              <w:rPr>
                <w:i/>
              </w:rPr>
              <w:t>Excise tax increases</w:t>
            </w:r>
          </w:p>
          <w:p w14:paraId="7427A46C" w14:textId="07FB5E2D" w:rsidR="0082483F" w:rsidRPr="000C138D" w:rsidRDefault="0082483F" w:rsidP="00813A3F">
            <w:r w:rsidRPr="000C138D">
              <w:t xml:space="preserve">Excise tax increases and other financial measures can still have an impact. The 2017 evaluation by Ernst </w:t>
            </w:r>
            <w:r w:rsidR="004C12AA">
              <w:t>&amp;</w:t>
            </w:r>
            <w:r w:rsidR="004C12AA" w:rsidRPr="000C138D">
              <w:t xml:space="preserve"> </w:t>
            </w:r>
            <w:r w:rsidRPr="000C138D">
              <w:t xml:space="preserve">Young concludes that excise increases are the single most effective tool currently used. A broad range of evidence </w:t>
            </w:r>
            <w:r w:rsidR="00734939">
              <w:t>supports</w:t>
            </w:r>
            <w:r w:rsidRPr="000C138D">
              <w:t xml:space="preserve"> the efficacy of tobacco price increases in preventing smoking. For example, the World Bank estimated that </w:t>
            </w:r>
            <w:r w:rsidR="00C475FC" w:rsidRPr="000C138D">
              <w:t xml:space="preserve">a </w:t>
            </w:r>
            <w:r w:rsidR="00734939">
              <w:t>10</w:t>
            </w:r>
            <w:r w:rsidR="00734939" w:rsidRPr="000C138D">
              <w:t xml:space="preserve"> </w:t>
            </w:r>
            <w:r w:rsidR="00C475FC" w:rsidRPr="000C138D">
              <w:t>percent</w:t>
            </w:r>
            <w:r w:rsidRPr="000C138D">
              <w:t xml:space="preserve"> </w:t>
            </w:r>
            <w:r w:rsidR="00961610" w:rsidRPr="000C138D">
              <w:t xml:space="preserve">rise </w:t>
            </w:r>
            <w:r w:rsidR="00961610">
              <w:t xml:space="preserve">in the </w:t>
            </w:r>
            <w:r w:rsidRPr="000C138D">
              <w:t xml:space="preserve">cigarette price results in a </w:t>
            </w:r>
            <w:r w:rsidR="00734939" w:rsidRPr="000C138D">
              <w:t>decrease in smoking</w:t>
            </w:r>
            <w:r w:rsidR="00734939" w:rsidRPr="000C138D" w:rsidDel="00734939">
              <w:t xml:space="preserve"> </w:t>
            </w:r>
            <w:r w:rsidR="00734939">
              <w:t>of 7</w:t>
            </w:r>
            <w:r w:rsidR="00734939" w:rsidRPr="000C138D">
              <w:t xml:space="preserve"> </w:t>
            </w:r>
            <w:r w:rsidR="00C475FC" w:rsidRPr="000C138D">
              <w:t>percent</w:t>
            </w:r>
            <w:r w:rsidRPr="000C138D">
              <w:t xml:space="preserve"> </w:t>
            </w:r>
            <w:r w:rsidR="00734939">
              <w:t>among</w:t>
            </w:r>
            <w:r w:rsidRPr="000C138D">
              <w:t xml:space="preserve"> young people and </w:t>
            </w:r>
            <w:r w:rsidR="00734939">
              <w:t>4</w:t>
            </w:r>
            <w:r w:rsidR="00734939" w:rsidRPr="000C138D">
              <w:t xml:space="preserve"> </w:t>
            </w:r>
            <w:r w:rsidR="000C4A4D" w:rsidRPr="000C138D">
              <w:t xml:space="preserve">percent </w:t>
            </w:r>
            <w:r w:rsidR="00734939">
              <w:t>among</w:t>
            </w:r>
            <w:r w:rsidRPr="000C138D">
              <w:t xml:space="preserve"> adults (</w:t>
            </w:r>
            <w:r w:rsidR="00F46A83">
              <w:t>Thornley et al</w:t>
            </w:r>
            <w:r w:rsidR="00F46A83" w:rsidRPr="000C138D">
              <w:t xml:space="preserve"> </w:t>
            </w:r>
            <w:r w:rsidRPr="000C138D">
              <w:t>2017</w:t>
            </w:r>
            <w:r w:rsidR="00F46A83">
              <w:t>a</w:t>
            </w:r>
            <w:r w:rsidRPr="000C138D">
              <w:t xml:space="preserve">). Ernst </w:t>
            </w:r>
            <w:r w:rsidR="004C12AA">
              <w:t>&amp;</w:t>
            </w:r>
            <w:r w:rsidR="004C12AA" w:rsidRPr="000C138D">
              <w:t xml:space="preserve"> </w:t>
            </w:r>
            <w:r w:rsidRPr="000C138D">
              <w:t>Young</w:t>
            </w:r>
            <w:r w:rsidR="00961610">
              <w:t xml:space="preserve"> (201</w:t>
            </w:r>
            <w:r w:rsidR="00F65560">
              <w:t>8</w:t>
            </w:r>
            <w:r w:rsidR="00961610">
              <w:t>)</w:t>
            </w:r>
            <w:r w:rsidRPr="000C138D">
              <w:t xml:space="preserve"> found a price elasticity relationship of </w:t>
            </w:r>
            <w:r w:rsidR="00961610">
              <w:t>–</w:t>
            </w:r>
            <w:r w:rsidRPr="000C138D">
              <w:t xml:space="preserve">0.5, meaning that </w:t>
            </w:r>
            <w:r w:rsidR="00FE7E4B" w:rsidRPr="000C138D">
              <w:t xml:space="preserve">for </w:t>
            </w:r>
            <w:r w:rsidR="00927B10" w:rsidRPr="000C138D">
              <w:t>every extra</w:t>
            </w:r>
            <w:r w:rsidRPr="000C138D">
              <w:t xml:space="preserve"> dollar collected in excise tax,</w:t>
            </w:r>
            <w:r w:rsidR="000A082B">
              <w:t xml:space="preserve"> people spent</w:t>
            </w:r>
            <w:r w:rsidRPr="000C138D">
              <w:t xml:space="preserve"> 50 cents less on cigarettes. </w:t>
            </w:r>
            <w:r w:rsidR="000A082B">
              <w:t>Yet</w:t>
            </w:r>
            <w:r w:rsidRPr="000C138D">
              <w:t xml:space="preserve"> </w:t>
            </w:r>
            <w:r w:rsidR="000A082B">
              <w:t>m</w:t>
            </w:r>
            <w:r w:rsidRPr="000C138D">
              <w:t>odelling by the University of Otago shows that</w:t>
            </w:r>
            <w:r w:rsidR="000A082B">
              <w:t>, while</w:t>
            </w:r>
            <w:r w:rsidRPr="000C138D">
              <w:t xml:space="preserve"> additional </w:t>
            </w:r>
            <w:r w:rsidR="000876CB">
              <w:t>10</w:t>
            </w:r>
            <w:r w:rsidR="000876CB" w:rsidRPr="000C138D">
              <w:t xml:space="preserve"> </w:t>
            </w:r>
            <w:r w:rsidRPr="000C138D">
              <w:t>or 20 percent increases will have a substantial effect on smoking rates</w:t>
            </w:r>
            <w:r w:rsidR="000A082B">
              <w:t>, it</w:t>
            </w:r>
            <w:r w:rsidRPr="000C138D">
              <w:t xml:space="preserve"> will not achieve </w:t>
            </w:r>
            <w:r w:rsidR="006C4264">
              <w:t>S</w:t>
            </w:r>
            <w:r w:rsidRPr="000C138D">
              <w:t>mokefree 2025 without other policy intervention (</w:t>
            </w:r>
            <w:r w:rsidR="00F46A83">
              <w:t>Thornley et al</w:t>
            </w:r>
            <w:r w:rsidR="00F46A83" w:rsidRPr="000C138D">
              <w:t xml:space="preserve"> </w:t>
            </w:r>
            <w:r w:rsidRPr="000C138D">
              <w:t>2017</w:t>
            </w:r>
            <w:r w:rsidR="00F46A83">
              <w:t>a</w:t>
            </w:r>
            <w:r w:rsidRPr="000C138D">
              <w:t>).</w:t>
            </w:r>
            <w:r w:rsidR="00E2783B" w:rsidRPr="000C138D">
              <w:t xml:space="preserve"> </w:t>
            </w:r>
          </w:p>
          <w:p w14:paraId="2FDBC16A" w14:textId="36B2D076" w:rsidR="0082483F" w:rsidRPr="000C138D" w:rsidRDefault="0082483F" w:rsidP="00813A3F">
            <w:r w:rsidRPr="000C138D">
              <w:t>Low</w:t>
            </w:r>
            <w:r w:rsidR="000A082B">
              <w:t>-</w:t>
            </w:r>
            <w:r w:rsidRPr="000C138D">
              <w:t xml:space="preserve">income smokers who quit as a result of </w:t>
            </w:r>
            <w:r w:rsidR="000A082B">
              <w:t xml:space="preserve">tax </w:t>
            </w:r>
            <w:r w:rsidRPr="000C138D">
              <w:t xml:space="preserve">increases will be financially better off. </w:t>
            </w:r>
            <w:r w:rsidR="00813A3F">
              <w:t>Conversely</w:t>
            </w:r>
            <w:r w:rsidRPr="000C138D">
              <w:t xml:space="preserve">, </w:t>
            </w:r>
            <w:r w:rsidR="000A082B">
              <w:t>the</w:t>
            </w:r>
            <w:r w:rsidRPr="000C138D">
              <w:t xml:space="preserve"> financial burden on those who struggle to quit smoking</w:t>
            </w:r>
            <w:r w:rsidR="000A082B">
              <w:t xml:space="preserve"> will increase</w:t>
            </w:r>
            <w:r w:rsidRPr="000C138D">
              <w:t>. Some research suggests that hardship may have increased in low</w:t>
            </w:r>
            <w:r w:rsidR="00813A3F">
              <w:t>-</w:t>
            </w:r>
            <w:r w:rsidRPr="000C138D">
              <w:t xml:space="preserve">income smokers following recent tax increases. Affordability measures are therefore only recommended if stop smoking services and social marketing programmes are also scaled up. </w:t>
            </w:r>
            <w:r w:rsidR="00001137" w:rsidRPr="000C138D">
              <w:t xml:space="preserve">The Ernst </w:t>
            </w:r>
            <w:r w:rsidR="004C12AA">
              <w:lastRenderedPageBreak/>
              <w:t>&amp;</w:t>
            </w:r>
            <w:r w:rsidR="004C12AA" w:rsidRPr="000C138D">
              <w:t xml:space="preserve"> </w:t>
            </w:r>
            <w:r w:rsidR="00001137" w:rsidRPr="000C138D">
              <w:t>Young report found divi</w:t>
            </w:r>
            <w:r w:rsidR="00813A3F">
              <w:t>ded views among</w:t>
            </w:r>
            <w:r w:rsidR="00001137" w:rsidRPr="000C138D">
              <w:t xml:space="preserve"> stakeholders</w:t>
            </w:r>
            <w:r w:rsidR="00813A3F">
              <w:t>:</w:t>
            </w:r>
            <w:r w:rsidR="00001137" w:rsidRPr="000C138D">
              <w:t xml:space="preserve"> </w:t>
            </w:r>
            <w:r w:rsidR="00813A3F">
              <w:t xml:space="preserve">while </w:t>
            </w:r>
            <w:r w:rsidR="00001137" w:rsidRPr="000C138D">
              <w:t>some</w:t>
            </w:r>
            <w:r w:rsidR="00813A3F">
              <w:t xml:space="preserve"> supported continued tax increases</w:t>
            </w:r>
            <w:r w:rsidR="00226BB1">
              <w:t xml:space="preserve"> due to their </w:t>
            </w:r>
            <w:r w:rsidR="00BF1626">
              <w:t xml:space="preserve">demonstrated </w:t>
            </w:r>
            <w:r w:rsidR="00226BB1">
              <w:t>effectiveness</w:t>
            </w:r>
            <w:r w:rsidR="00813A3F">
              <w:t>, others</w:t>
            </w:r>
            <w:r w:rsidR="00001137" w:rsidRPr="000C138D">
              <w:t xml:space="preserve"> fe</w:t>
            </w:r>
            <w:r w:rsidR="00813A3F">
              <w:t>lt</w:t>
            </w:r>
            <w:r w:rsidR="00001137" w:rsidRPr="000C138D">
              <w:t xml:space="preserve"> that perhaps a tipping point had been reached </w:t>
            </w:r>
            <w:r w:rsidR="009F5D60">
              <w:t>at which</w:t>
            </w:r>
            <w:r w:rsidR="00813A3F">
              <w:t xml:space="preserve"> the</w:t>
            </w:r>
            <w:r w:rsidR="00D11CBB" w:rsidRPr="000C138D">
              <w:t xml:space="preserve"> negative impacts, such as financial burden </w:t>
            </w:r>
            <w:r w:rsidR="00001137" w:rsidRPr="000C138D">
              <w:t xml:space="preserve">on </w:t>
            </w:r>
            <w:r w:rsidR="004C774A" w:rsidRPr="000C138D">
              <w:t>vulnerable community members and their families</w:t>
            </w:r>
            <w:r w:rsidR="00813A3F">
              <w:t>, now outweigh the positive impacts of this policy</w:t>
            </w:r>
            <w:r w:rsidR="004C774A" w:rsidRPr="000C138D">
              <w:t xml:space="preserve">. </w:t>
            </w:r>
            <w:r w:rsidR="00F44C79">
              <w:t>Additionally,</w:t>
            </w:r>
            <w:r w:rsidR="00F44C79" w:rsidRPr="000C138D">
              <w:t xml:space="preserve"> cigarette prices </w:t>
            </w:r>
            <w:r w:rsidR="00F44C79">
              <w:t>in</w:t>
            </w:r>
            <w:r w:rsidR="00F44C79" w:rsidRPr="000C138D">
              <w:t xml:space="preserve"> New Zealand are now relatively high in comparison </w:t>
            </w:r>
            <w:r w:rsidR="00F44C79">
              <w:t>with</w:t>
            </w:r>
            <w:r w:rsidR="00F44C79" w:rsidRPr="000C138D">
              <w:t xml:space="preserve"> those in some other countries.</w:t>
            </w:r>
          </w:p>
          <w:p w14:paraId="7A7E7150" w14:textId="4F1F2D88" w:rsidR="00AB208A" w:rsidRPr="000C138D" w:rsidRDefault="00CF5589" w:rsidP="00813A3F">
            <w:r>
              <w:t xml:space="preserve">The </w:t>
            </w:r>
            <w:r w:rsidR="00AB208A" w:rsidRPr="000C138D">
              <w:t xml:space="preserve">New Zealand Customs </w:t>
            </w:r>
            <w:r>
              <w:t xml:space="preserve">Service </w:t>
            </w:r>
            <w:r w:rsidR="00AB208A" w:rsidRPr="000C138D">
              <w:t>also reports that t</w:t>
            </w:r>
            <w:r w:rsidR="00DD706D" w:rsidRPr="000C138D">
              <w:t xml:space="preserve">ax increases over time seem </w:t>
            </w:r>
            <w:r w:rsidR="00B232C8">
              <w:t xml:space="preserve">to </w:t>
            </w:r>
            <w:r w:rsidR="00DD706D" w:rsidRPr="000C138D">
              <w:t xml:space="preserve">correlate with increasing </w:t>
            </w:r>
            <w:r w:rsidR="00F3112F" w:rsidRPr="000C138D">
              <w:t>illicit tobacco activity,</w:t>
            </w:r>
            <w:r w:rsidR="00A729B4">
              <w:t xml:space="preserve"> in turn</w:t>
            </w:r>
            <w:r w:rsidR="00F3112F" w:rsidRPr="000C138D">
              <w:t xml:space="preserve"> increasing the level of resourcing required to manage </w:t>
            </w:r>
            <w:r w:rsidR="00CC1ADD" w:rsidRPr="000C138D">
              <w:t xml:space="preserve">illegal tobacco imports. </w:t>
            </w:r>
            <w:r w:rsidR="00F3112F" w:rsidRPr="000C138D">
              <w:t xml:space="preserve"> </w:t>
            </w:r>
          </w:p>
          <w:p w14:paraId="1C97D4DB" w14:textId="77777777" w:rsidR="003F1B42" w:rsidRPr="00093947" w:rsidRDefault="003F1B42" w:rsidP="00093947">
            <w:pPr>
              <w:keepNext/>
              <w:spacing w:before="120" w:after="120" w:line="240" w:lineRule="auto"/>
              <w:rPr>
                <w:i/>
              </w:rPr>
            </w:pPr>
            <w:r w:rsidRPr="00093947">
              <w:rPr>
                <w:i/>
              </w:rPr>
              <w:t>Minimum pricing</w:t>
            </w:r>
          </w:p>
          <w:p w14:paraId="55E9ADA5" w14:textId="27ED2B17" w:rsidR="00995279" w:rsidRPr="000C138D" w:rsidRDefault="0082483F" w:rsidP="008931C3">
            <w:r w:rsidRPr="000C138D">
              <w:t>Requiring a minimum price</w:t>
            </w:r>
            <w:r w:rsidR="00A729B4">
              <w:t xml:space="preserve"> for cigarettes</w:t>
            </w:r>
            <w:r w:rsidRPr="000C138D">
              <w:t xml:space="preserve"> </w:t>
            </w:r>
            <w:r w:rsidR="00254AAA">
              <w:t xml:space="preserve">could </w:t>
            </w:r>
            <w:r w:rsidRPr="000C138D">
              <w:t>prevent manipulation of retail margins to reduce the impact of tax increases on low</w:t>
            </w:r>
            <w:r w:rsidR="00A729B4">
              <w:t>-</w:t>
            </w:r>
            <w:r w:rsidRPr="000C138D">
              <w:t xml:space="preserve">end products. </w:t>
            </w:r>
            <w:r w:rsidR="00995279" w:rsidRPr="000C138D">
              <w:t xml:space="preserve">It </w:t>
            </w:r>
            <w:r w:rsidR="00254AAA">
              <w:t xml:space="preserve">could </w:t>
            </w:r>
            <w:r w:rsidR="00995279" w:rsidRPr="000C138D">
              <w:t>also act as a stand</w:t>
            </w:r>
            <w:r w:rsidR="00A729B4">
              <w:t>-</w:t>
            </w:r>
            <w:r w:rsidR="00995279" w:rsidRPr="000C138D">
              <w:t xml:space="preserve">alone measure </w:t>
            </w:r>
            <w:r w:rsidR="000A5B5B" w:rsidRPr="000C138D">
              <w:t>to reduce potential development of new low</w:t>
            </w:r>
            <w:r w:rsidR="00A729B4">
              <w:t>-</w:t>
            </w:r>
            <w:r w:rsidR="000A5B5B" w:rsidRPr="000C138D">
              <w:t xml:space="preserve">price </w:t>
            </w:r>
            <w:r w:rsidR="00150BA9" w:rsidRPr="000C138D">
              <w:t>cigarettes.</w:t>
            </w:r>
          </w:p>
          <w:p w14:paraId="07CD84C4" w14:textId="3957A011" w:rsidR="0082483F" w:rsidRPr="000C138D" w:rsidRDefault="0082483F" w:rsidP="008931C3">
            <w:r w:rsidRPr="000C138D">
              <w:t>Surveys and annual returns by tobacco importers and manufacturers suggest that tax increases have been linked to switching between premium and budget brands or to roll-your-own, and the growth of sales of budget brands, but there is also evidence that people may be smoking less (</w:t>
            </w:r>
            <w:r w:rsidR="00E2783B" w:rsidRPr="000C138D">
              <w:t xml:space="preserve">Ministry </w:t>
            </w:r>
            <w:r w:rsidR="00732F67" w:rsidRPr="000C138D">
              <w:t>of Health 2020a</w:t>
            </w:r>
            <w:r w:rsidRPr="000C138D">
              <w:t xml:space="preserve">). </w:t>
            </w:r>
            <w:r w:rsidR="00A729B4">
              <w:t xml:space="preserve">We will </w:t>
            </w:r>
            <w:r w:rsidR="00D82608">
              <w:t>seek f</w:t>
            </w:r>
            <w:r w:rsidRPr="000C138D">
              <w:t>urther information</w:t>
            </w:r>
            <w:r w:rsidR="00D82608" w:rsidRPr="000C138D">
              <w:t xml:space="preserve"> through consultation</w:t>
            </w:r>
            <w:r w:rsidRPr="000C138D">
              <w:t xml:space="preserve"> to determine an optimum level for a minimum price.  </w:t>
            </w:r>
          </w:p>
          <w:p w14:paraId="726B174F" w14:textId="77777777" w:rsidR="0082483F" w:rsidRPr="00093947" w:rsidRDefault="0082483F" w:rsidP="00093947">
            <w:pPr>
              <w:keepNext/>
              <w:spacing w:before="120" w:after="120" w:line="240" w:lineRule="auto"/>
              <w:rPr>
                <w:i/>
              </w:rPr>
            </w:pPr>
            <w:r w:rsidRPr="00093947">
              <w:rPr>
                <w:i/>
              </w:rPr>
              <w:t>Other financial measures not recommended</w:t>
            </w:r>
            <w:r w:rsidRPr="00093947">
              <w:rPr>
                <w:i/>
              </w:rPr>
              <w:tab/>
            </w:r>
          </w:p>
          <w:p w14:paraId="116A362D" w14:textId="6AC1E8AF" w:rsidR="0082483F" w:rsidRPr="000C138D" w:rsidRDefault="0082483F" w:rsidP="008931C3">
            <w:r w:rsidRPr="000C138D">
              <w:t xml:space="preserve">Alternative financial measures that could be considered are </w:t>
            </w:r>
            <w:r w:rsidR="00D82608">
              <w:t xml:space="preserve">requiring </w:t>
            </w:r>
            <w:r w:rsidRPr="000C138D">
              <w:t xml:space="preserve">a </w:t>
            </w:r>
            <w:r w:rsidR="00D82608">
              <w:t>minimum</w:t>
            </w:r>
            <w:r w:rsidR="00D82608" w:rsidRPr="000C138D">
              <w:t xml:space="preserve"> </w:t>
            </w:r>
            <w:r w:rsidRPr="000C138D">
              <w:t>mark</w:t>
            </w:r>
            <w:r w:rsidR="00D82608">
              <w:t>-</w:t>
            </w:r>
            <w:r w:rsidRPr="000C138D">
              <w:t>up and</w:t>
            </w:r>
            <w:r w:rsidR="00D82608">
              <w:t xml:space="preserve"> setting</w:t>
            </w:r>
            <w:r w:rsidRPr="000C138D">
              <w:t xml:space="preserve"> a price cap. </w:t>
            </w:r>
            <w:r w:rsidR="00D82608">
              <w:t>We do not recommend either of these measures. The retail price alone would not clearly show whether a retailer was complying</w:t>
            </w:r>
            <w:r w:rsidRPr="000C138D">
              <w:t xml:space="preserve"> with a minimum mark-up</w:t>
            </w:r>
            <w:r w:rsidR="00D82608">
              <w:t xml:space="preserve">; instead it </w:t>
            </w:r>
            <w:r w:rsidRPr="000C138D">
              <w:t xml:space="preserve">would </w:t>
            </w:r>
            <w:r w:rsidR="00D82608">
              <w:t xml:space="preserve">be necessary to </w:t>
            </w:r>
            <w:r w:rsidRPr="000C138D">
              <w:t xml:space="preserve">disclose commercially sensitive information around wholesale and retail pricing. </w:t>
            </w:r>
            <w:r w:rsidR="00CC7B99">
              <w:t xml:space="preserve">Equally a </w:t>
            </w:r>
            <w:r w:rsidRPr="000C138D">
              <w:t xml:space="preserve">price cap may depress the effect of ongoing excise tax increases.   </w:t>
            </w:r>
          </w:p>
          <w:p w14:paraId="72670845" w14:textId="526E5570" w:rsidR="00D82608" w:rsidRPr="000C138D" w:rsidRDefault="00D82608" w:rsidP="00D82608">
            <w:r>
              <w:t>Table 3 summarises the pros and cons of the options discussed above to address the issue of the affordability of tobacco.</w:t>
            </w:r>
          </w:p>
          <w:p w14:paraId="2F939145" w14:textId="23FB3055" w:rsidR="00AC1336" w:rsidRDefault="00AC1336" w:rsidP="00EF74EB">
            <w:pPr>
              <w:pStyle w:val="Caption"/>
              <w:keepNext/>
            </w:pPr>
            <w:r>
              <w:lastRenderedPageBreak/>
              <w:t xml:space="preserve">Table </w:t>
            </w:r>
            <w:fldSimple w:instr=" SEQ Table \* ARABIC ">
              <w:r w:rsidR="00A847AE">
                <w:rPr>
                  <w:noProof/>
                </w:rPr>
                <w:t>3</w:t>
              </w:r>
            </w:fldSimple>
            <w:r>
              <w:t xml:space="preserve"> </w:t>
            </w:r>
            <w:r w:rsidRPr="000C138D">
              <w:t>Comparison of options to reduce affordability of tobacco</w:t>
            </w:r>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1701"/>
              <w:gridCol w:w="3544"/>
              <w:gridCol w:w="3334"/>
            </w:tblGrid>
            <w:tr w:rsidR="00D209FA" w:rsidRPr="0084755C" w14:paraId="47CAA54F" w14:textId="77777777" w:rsidTr="005A261B">
              <w:trPr>
                <w:cantSplit/>
                <w:trHeight w:val="394"/>
                <w:tblHeader/>
              </w:trPr>
              <w:tc>
                <w:tcPr>
                  <w:tcW w:w="1701" w:type="dxa"/>
                  <w:tcBorders>
                    <w:bottom w:val="single" w:sz="4" w:space="0" w:color="A6A6A6"/>
                  </w:tcBorders>
                  <w:shd w:val="clear" w:color="auto" w:fill="auto"/>
                </w:tcPr>
                <w:p w14:paraId="24F2BC94" w14:textId="77777777" w:rsidR="00D209FA" w:rsidRPr="0084755C" w:rsidRDefault="00D209FA" w:rsidP="00D209FA">
                  <w:pPr>
                    <w:pStyle w:val="TableText0"/>
                    <w:keepNext/>
                    <w:spacing w:before="120" w:after="120"/>
                    <w:rPr>
                      <w:rFonts w:cs="Arial"/>
                      <w:b/>
                      <w:szCs w:val="18"/>
                    </w:rPr>
                  </w:pPr>
                  <w:r w:rsidRPr="0084755C">
                    <w:rPr>
                      <w:rFonts w:cs="Arial"/>
                      <w:b/>
                      <w:szCs w:val="18"/>
                    </w:rPr>
                    <w:t xml:space="preserve">Options </w:t>
                  </w:r>
                </w:p>
              </w:tc>
              <w:tc>
                <w:tcPr>
                  <w:tcW w:w="3544" w:type="dxa"/>
                  <w:tcBorders>
                    <w:bottom w:val="single" w:sz="4" w:space="0" w:color="A6A6A6"/>
                  </w:tcBorders>
                  <w:shd w:val="clear" w:color="auto" w:fill="auto"/>
                </w:tcPr>
                <w:p w14:paraId="0F393A6F" w14:textId="77777777" w:rsidR="00D209FA" w:rsidRPr="0084755C" w:rsidRDefault="00D209FA" w:rsidP="00D209FA">
                  <w:pPr>
                    <w:spacing w:before="120" w:after="120" w:line="240" w:lineRule="auto"/>
                    <w:rPr>
                      <w:rFonts w:cs="Arial"/>
                      <w:b/>
                      <w:sz w:val="18"/>
                      <w:szCs w:val="18"/>
                    </w:rPr>
                  </w:pPr>
                  <w:r w:rsidRPr="0084755C">
                    <w:rPr>
                      <w:rFonts w:cs="Arial"/>
                      <w:b/>
                      <w:iCs/>
                      <w:sz w:val="18"/>
                      <w:szCs w:val="18"/>
                    </w:rPr>
                    <w:t>Pros</w:t>
                  </w:r>
                </w:p>
              </w:tc>
              <w:tc>
                <w:tcPr>
                  <w:tcW w:w="3334" w:type="dxa"/>
                  <w:tcBorders>
                    <w:bottom w:val="single" w:sz="4" w:space="0" w:color="A6A6A6"/>
                  </w:tcBorders>
                </w:tcPr>
                <w:p w14:paraId="21835E70" w14:textId="77777777" w:rsidR="00D209FA" w:rsidRPr="0084755C" w:rsidRDefault="00D209FA" w:rsidP="00D209FA">
                  <w:pPr>
                    <w:spacing w:before="120" w:after="120" w:line="240" w:lineRule="auto"/>
                    <w:rPr>
                      <w:rFonts w:cs="Arial"/>
                      <w:b/>
                      <w:bCs/>
                      <w:sz w:val="18"/>
                      <w:szCs w:val="18"/>
                    </w:rPr>
                  </w:pPr>
                  <w:r w:rsidRPr="0084755C">
                    <w:rPr>
                      <w:rFonts w:cs="Arial"/>
                      <w:b/>
                      <w:sz w:val="18"/>
                      <w:szCs w:val="18"/>
                    </w:rPr>
                    <w:t>Cons</w:t>
                  </w:r>
                </w:p>
              </w:tc>
            </w:tr>
            <w:tr w:rsidR="00D209FA" w:rsidRPr="0084755C" w14:paraId="3B9884D6" w14:textId="77777777" w:rsidTr="005A261B">
              <w:trPr>
                <w:cantSplit/>
                <w:trHeight w:val="1103"/>
                <w:tblHeader/>
              </w:trPr>
              <w:tc>
                <w:tcPr>
                  <w:tcW w:w="1701" w:type="dxa"/>
                  <w:tcBorders>
                    <w:top w:val="single" w:sz="4" w:space="0" w:color="A6A6A6"/>
                    <w:bottom w:val="single" w:sz="4" w:space="0" w:color="A6A6A6"/>
                  </w:tcBorders>
                  <w:shd w:val="clear" w:color="auto" w:fill="auto"/>
                </w:tcPr>
                <w:p w14:paraId="4434B17F" w14:textId="77777777" w:rsidR="00D209FA" w:rsidRPr="000C138D" w:rsidRDefault="00D209FA" w:rsidP="00D209FA">
                  <w:pPr>
                    <w:pStyle w:val="TableText0"/>
                    <w:widowControl w:val="0"/>
                    <w:spacing w:before="120" w:after="120"/>
                    <w:ind w:right="142"/>
                    <w:rPr>
                      <w:b/>
                      <w:iCs/>
                      <w:szCs w:val="18"/>
                    </w:rPr>
                  </w:pPr>
                  <w:r w:rsidRPr="000C138D">
                    <w:rPr>
                      <w:b/>
                      <w:iCs/>
                      <w:szCs w:val="18"/>
                    </w:rPr>
                    <w:t xml:space="preserve">Option 1: </w:t>
                  </w:r>
                  <w:r>
                    <w:rPr>
                      <w:b/>
                      <w:iCs/>
                      <w:szCs w:val="18"/>
                    </w:rPr>
                    <w:t>S</w:t>
                  </w:r>
                  <w:r w:rsidRPr="000C138D">
                    <w:rPr>
                      <w:b/>
                      <w:iCs/>
                      <w:szCs w:val="18"/>
                    </w:rPr>
                    <w:t>tatus quo</w:t>
                  </w:r>
                </w:p>
                <w:p w14:paraId="348A4142" w14:textId="77777777" w:rsidR="00D209FA" w:rsidRPr="000C138D" w:rsidRDefault="00D209FA" w:rsidP="00D209FA">
                  <w:pPr>
                    <w:widowControl w:val="0"/>
                    <w:spacing w:before="120" w:after="120" w:line="240" w:lineRule="auto"/>
                    <w:rPr>
                      <w:sz w:val="18"/>
                      <w:szCs w:val="18"/>
                    </w:rPr>
                  </w:pPr>
                  <w:r w:rsidRPr="000C138D">
                    <w:rPr>
                      <w:sz w:val="18"/>
                      <w:szCs w:val="18"/>
                    </w:rPr>
                    <w:t>Excise tax is payable under the Customs and Excise Act 2018.</w:t>
                  </w:r>
                </w:p>
                <w:p w14:paraId="36F65EF0" w14:textId="77777777" w:rsidR="00D209FA" w:rsidRPr="0084755C" w:rsidRDefault="00D209FA" w:rsidP="00D209FA">
                  <w:pPr>
                    <w:pStyle w:val="TableText0"/>
                    <w:keepNext/>
                    <w:spacing w:before="120" w:after="120"/>
                    <w:ind w:right="142"/>
                    <w:rPr>
                      <w:rFonts w:cs="Arial"/>
                      <w:b/>
                      <w:iCs/>
                      <w:szCs w:val="18"/>
                    </w:rPr>
                  </w:pPr>
                  <w:r w:rsidRPr="000C138D">
                    <w:rPr>
                      <w:szCs w:val="18"/>
                    </w:rPr>
                    <w:t xml:space="preserve">No increases are scheduled.  </w:t>
                  </w:r>
                </w:p>
              </w:tc>
              <w:tc>
                <w:tcPr>
                  <w:tcW w:w="3544" w:type="dxa"/>
                  <w:tcBorders>
                    <w:top w:val="single" w:sz="4" w:space="0" w:color="A6A6A6"/>
                    <w:bottom w:val="single" w:sz="4" w:space="0" w:color="A6A6A6"/>
                  </w:tcBorders>
                  <w:shd w:val="clear" w:color="auto" w:fill="auto"/>
                </w:tcPr>
                <w:p w14:paraId="24A4EE7D" w14:textId="77777777" w:rsidR="00D209FA" w:rsidRPr="0084755C" w:rsidRDefault="00D209FA" w:rsidP="00D209FA">
                  <w:pPr>
                    <w:pStyle w:val="TableText0"/>
                    <w:spacing w:before="120" w:after="120"/>
                    <w:rPr>
                      <w:rFonts w:cs="Arial"/>
                      <w:szCs w:val="18"/>
                    </w:rPr>
                  </w:pPr>
                  <w:r w:rsidRPr="000C138D">
                    <w:t xml:space="preserve">Current levels of excise tax have been shown to increase prices, which have in turn decreased smoking prevalence. No additional financial pressure (other than the </w:t>
                  </w:r>
                  <w:r>
                    <w:t>Consumer Price Index</w:t>
                  </w:r>
                  <w:r w:rsidRPr="000C138D">
                    <w:t xml:space="preserve"> adjustment) on those who continue to smoke.</w:t>
                  </w:r>
                </w:p>
              </w:tc>
              <w:tc>
                <w:tcPr>
                  <w:tcW w:w="3334" w:type="dxa"/>
                  <w:tcBorders>
                    <w:top w:val="single" w:sz="4" w:space="0" w:color="A6A6A6"/>
                    <w:bottom w:val="single" w:sz="4" w:space="0" w:color="A6A6A6"/>
                  </w:tcBorders>
                </w:tcPr>
                <w:p w14:paraId="665DE7F5" w14:textId="77777777" w:rsidR="00D209FA" w:rsidRPr="0084755C" w:rsidRDefault="00D209FA" w:rsidP="00D209FA">
                  <w:pPr>
                    <w:pStyle w:val="TableText0"/>
                    <w:spacing w:before="120" w:after="120"/>
                    <w:ind w:right="142"/>
                    <w:rPr>
                      <w:rFonts w:cs="Arial"/>
                      <w:szCs w:val="18"/>
                    </w:rPr>
                  </w:pPr>
                  <w:r w:rsidRPr="0084755C">
                    <w:rPr>
                      <w:rFonts w:cs="Arial"/>
                      <w:szCs w:val="18"/>
                    </w:rPr>
                    <w:t>Will not achieve Smokefree 2025.</w:t>
                  </w:r>
                </w:p>
              </w:tc>
            </w:tr>
            <w:tr w:rsidR="00D209FA" w:rsidRPr="0084755C" w14:paraId="3D740955" w14:textId="77777777" w:rsidTr="005A261B">
              <w:trPr>
                <w:cantSplit/>
                <w:trHeight w:val="1405"/>
                <w:tblHeader/>
              </w:trPr>
              <w:tc>
                <w:tcPr>
                  <w:tcW w:w="1701" w:type="dxa"/>
                  <w:tcBorders>
                    <w:top w:val="single" w:sz="4" w:space="0" w:color="A6A6A6"/>
                    <w:bottom w:val="single" w:sz="4" w:space="0" w:color="A6A6A6"/>
                  </w:tcBorders>
                  <w:shd w:val="clear" w:color="auto" w:fill="auto"/>
                </w:tcPr>
                <w:p w14:paraId="652CCF9F" w14:textId="77777777" w:rsidR="00D209FA" w:rsidRPr="0084755C" w:rsidRDefault="00D209FA" w:rsidP="00D209FA">
                  <w:pPr>
                    <w:pStyle w:val="TableText0"/>
                    <w:spacing w:before="120" w:after="120"/>
                    <w:rPr>
                      <w:rFonts w:cs="Arial"/>
                      <w:b/>
                      <w:szCs w:val="18"/>
                    </w:rPr>
                  </w:pPr>
                  <w:r w:rsidRPr="000C138D">
                    <w:rPr>
                      <w:b/>
                      <w:iCs/>
                      <w:szCs w:val="18"/>
                    </w:rPr>
                    <w:t>Option 2: Continue excise increases</w:t>
                  </w:r>
                  <w:r w:rsidRPr="0084755C">
                    <w:rPr>
                      <w:rFonts w:cs="Arial"/>
                      <w:b/>
                      <w:szCs w:val="18"/>
                    </w:rPr>
                    <w:t xml:space="preserve"> </w:t>
                  </w:r>
                </w:p>
              </w:tc>
              <w:tc>
                <w:tcPr>
                  <w:tcW w:w="3544" w:type="dxa"/>
                  <w:tcBorders>
                    <w:top w:val="single" w:sz="4" w:space="0" w:color="A6A6A6"/>
                    <w:bottom w:val="single" w:sz="4" w:space="0" w:color="A6A6A6"/>
                  </w:tcBorders>
                  <w:shd w:val="clear" w:color="auto" w:fill="auto"/>
                </w:tcPr>
                <w:p w14:paraId="0325E45A" w14:textId="77777777" w:rsidR="00D209FA" w:rsidRPr="000C138D" w:rsidRDefault="00D209FA" w:rsidP="00D209FA">
                  <w:pPr>
                    <w:pStyle w:val="TableText0"/>
                    <w:widowControl w:val="0"/>
                    <w:spacing w:before="120" w:after="120"/>
                  </w:pPr>
                  <w:r w:rsidRPr="000C138D">
                    <w:t>Affordability is still a key driver to quitting and preventing new smokers starting, so likely to be successful.</w:t>
                  </w:r>
                </w:p>
                <w:p w14:paraId="5FB5FF26" w14:textId="77777777" w:rsidR="00D209FA" w:rsidRPr="000C138D" w:rsidRDefault="00D209FA" w:rsidP="00D209FA">
                  <w:pPr>
                    <w:pStyle w:val="TableText0"/>
                    <w:widowControl w:val="0"/>
                    <w:spacing w:before="120" w:after="120"/>
                  </w:pPr>
                  <w:r w:rsidRPr="000C138D">
                    <w:t xml:space="preserve">Previous measures have shown that a price/purchase elasticity of around </w:t>
                  </w:r>
                  <w:r>
                    <w:noBreakHyphen/>
                  </w:r>
                  <w:r w:rsidRPr="000C138D">
                    <w:t xml:space="preserve">0.5. </w:t>
                  </w:r>
                </w:p>
                <w:p w14:paraId="640A4652" w14:textId="77777777" w:rsidR="00D209FA" w:rsidRPr="0084755C" w:rsidRDefault="00D209FA" w:rsidP="00D209FA">
                  <w:pPr>
                    <w:pStyle w:val="TableText0"/>
                    <w:spacing w:before="120" w:after="120"/>
                    <w:rPr>
                      <w:rFonts w:cs="Arial"/>
                      <w:szCs w:val="18"/>
                    </w:rPr>
                  </w:pPr>
                  <w:r w:rsidRPr="000C138D">
                    <w:t xml:space="preserve">Likely to strongly </w:t>
                  </w:r>
                  <w:r>
                    <w:t>support</w:t>
                  </w:r>
                  <w:r w:rsidRPr="000C138D">
                    <w:t xml:space="preserve"> equity. </w:t>
                  </w:r>
                </w:p>
              </w:tc>
              <w:tc>
                <w:tcPr>
                  <w:tcW w:w="3334" w:type="dxa"/>
                  <w:tcBorders>
                    <w:top w:val="single" w:sz="4" w:space="0" w:color="A6A6A6"/>
                    <w:bottom w:val="single" w:sz="4" w:space="0" w:color="A6A6A6"/>
                  </w:tcBorders>
                </w:tcPr>
                <w:p w14:paraId="7938AFBF" w14:textId="77777777" w:rsidR="00D209FA" w:rsidRPr="0006158B" w:rsidRDefault="00D209FA" w:rsidP="00D209FA">
                  <w:pPr>
                    <w:pStyle w:val="TableText0"/>
                    <w:widowControl w:val="0"/>
                    <w:spacing w:before="120" w:after="120"/>
                  </w:pPr>
                  <w:r w:rsidRPr="00546700">
                    <w:t>For low-</w:t>
                  </w:r>
                  <w:r w:rsidRPr="004107DA">
                    <w:t>income smokers who are unable to quit, increasing prices contribute to hardship.</w:t>
                  </w:r>
                </w:p>
                <w:p w14:paraId="0EBB2B2D" w14:textId="77777777" w:rsidR="00D209FA" w:rsidRPr="0084755C" w:rsidRDefault="00D209FA" w:rsidP="00D209FA">
                  <w:pPr>
                    <w:pStyle w:val="TableText0"/>
                    <w:spacing w:before="120" w:after="120"/>
                    <w:ind w:right="142"/>
                    <w:rPr>
                      <w:rFonts w:cs="Arial"/>
                      <w:szCs w:val="18"/>
                    </w:rPr>
                  </w:pPr>
                  <w:r w:rsidRPr="00DF1B9C">
                    <w:rPr>
                      <w:szCs w:val="18"/>
                    </w:rPr>
                    <w:t xml:space="preserve">May lead to increases in the illicit market, requiring additional compliance resources. </w:t>
                  </w:r>
                </w:p>
              </w:tc>
            </w:tr>
            <w:tr w:rsidR="00D209FA" w:rsidRPr="0084755C" w14:paraId="47580D68" w14:textId="77777777" w:rsidTr="005A261B">
              <w:trPr>
                <w:cantSplit/>
                <w:trHeight w:val="1398"/>
                <w:tblHeader/>
              </w:trPr>
              <w:tc>
                <w:tcPr>
                  <w:tcW w:w="1701" w:type="dxa"/>
                  <w:tcBorders>
                    <w:top w:val="single" w:sz="4" w:space="0" w:color="A6A6A6"/>
                    <w:bottom w:val="single" w:sz="4" w:space="0" w:color="A6A6A6"/>
                  </w:tcBorders>
                  <w:shd w:val="clear" w:color="auto" w:fill="auto"/>
                </w:tcPr>
                <w:p w14:paraId="2796CD42" w14:textId="77777777" w:rsidR="00D209FA" w:rsidRPr="0084755C" w:rsidRDefault="00D209FA" w:rsidP="00D209FA">
                  <w:pPr>
                    <w:pStyle w:val="TableText0"/>
                    <w:spacing w:before="120" w:after="120"/>
                    <w:rPr>
                      <w:rFonts w:cs="Arial"/>
                      <w:b/>
                      <w:szCs w:val="18"/>
                    </w:rPr>
                  </w:pPr>
                  <w:r w:rsidRPr="000C138D">
                    <w:rPr>
                      <w:b/>
                      <w:iCs/>
                      <w:szCs w:val="18"/>
                    </w:rPr>
                    <w:t xml:space="preserve">Option 3: Minimum </w:t>
                  </w:r>
                  <w:r>
                    <w:rPr>
                      <w:b/>
                      <w:iCs/>
                      <w:szCs w:val="18"/>
                    </w:rPr>
                    <w:t>p</w:t>
                  </w:r>
                  <w:r w:rsidRPr="000C138D">
                    <w:rPr>
                      <w:b/>
                      <w:iCs/>
                      <w:szCs w:val="18"/>
                    </w:rPr>
                    <w:t>rice</w:t>
                  </w:r>
                  <w:r w:rsidRPr="0084755C">
                    <w:rPr>
                      <w:rFonts w:cs="Arial"/>
                      <w:b/>
                      <w:szCs w:val="18"/>
                    </w:rPr>
                    <w:t xml:space="preserve"> </w:t>
                  </w:r>
                </w:p>
              </w:tc>
              <w:tc>
                <w:tcPr>
                  <w:tcW w:w="3544" w:type="dxa"/>
                  <w:tcBorders>
                    <w:top w:val="single" w:sz="4" w:space="0" w:color="A6A6A6"/>
                    <w:bottom w:val="single" w:sz="4" w:space="0" w:color="A6A6A6"/>
                  </w:tcBorders>
                  <w:shd w:val="clear" w:color="auto" w:fill="auto"/>
                </w:tcPr>
                <w:p w14:paraId="5F4D2C79" w14:textId="77777777" w:rsidR="00D209FA" w:rsidRPr="000C138D" w:rsidRDefault="00D209FA" w:rsidP="00D209FA">
                  <w:pPr>
                    <w:pStyle w:val="TableText0"/>
                    <w:widowControl w:val="0"/>
                    <w:spacing w:before="120" w:after="120"/>
                  </w:pPr>
                  <w:r w:rsidRPr="000C138D">
                    <w:t xml:space="preserve">Likely to be effective and </w:t>
                  </w:r>
                  <w:r>
                    <w:t>strongly support</w:t>
                  </w:r>
                  <w:r w:rsidRPr="000C138D">
                    <w:t xml:space="preserve"> equity. </w:t>
                  </w:r>
                </w:p>
                <w:p w14:paraId="2EB01372" w14:textId="77777777" w:rsidR="00D209FA" w:rsidRPr="0084755C" w:rsidRDefault="00D209FA" w:rsidP="00D209FA">
                  <w:pPr>
                    <w:pStyle w:val="TableText0"/>
                    <w:spacing w:before="120" w:after="120"/>
                    <w:rPr>
                      <w:rFonts w:cs="Arial"/>
                      <w:szCs w:val="18"/>
                    </w:rPr>
                  </w:pPr>
                  <w:r w:rsidRPr="000C138D">
                    <w:t>Limits development of low</w:t>
                  </w:r>
                  <w:r>
                    <w:t>-</w:t>
                  </w:r>
                  <w:r w:rsidRPr="000C138D">
                    <w:t>cost brands targeting youth and low</w:t>
                  </w:r>
                  <w:r>
                    <w:t>-</w:t>
                  </w:r>
                  <w:r w:rsidRPr="000C138D">
                    <w:t>income smokers.</w:t>
                  </w:r>
                </w:p>
              </w:tc>
              <w:tc>
                <w:tcPr>
                  <w:tcW w:w="3334" w:type="dxa"/>
                  <w:tcBorders>
                    <w:top w:val="single" w:sz="4" w:space="0" w:color="A6A6A6"/>
                    <w:bottom w:val="single" w:sz="4" w:space="0" w:color="A6A6A6"/>
                  </w:tcBorders>
                </w:tcPr>
                <w:p w14:paraId="33E6CF10" w14:textId="77777777" w:rsidR="00D209FA" w:rsidRPr="00442FC7" w:rsidRDefault="00D209FA" w:rsidP="00D209FA">
                  <w:pPr>
                    <w:pStyle w:val="TableText0"/>
                    <w:widowControl w:val="0"/>
                    <w:spacing w:before="120" w:after="120"/>
                  </w:pPr>
                  <w:r w:rsidRPr="0006158B">
                    <w:t xml:space="preserve">Effectiveness depends on the price level set. </w:t>
                  </w:r>
                </w:p>
                <w:p w14:paraId="38A259B4" w14:textId="77777777" w:rsidR="00D209FA" w:rsidRPr="0084755C" w:rsidRDefault="00D209FA" w:rsidP="00D209FA">
                  <w:pPr>
                    <w:pStyle w:val="TableText0"/>
                    <w:spacing w:before="120" w:after="120"/>
                    <w:ind w:right="142"/>
                    <w:rPr>
                      <w:rFonts w:cs="Arial"/>
                      <w:szCs w:val="18"/>
                    </w:rPr>
                  </w:pPr>
                  <w:r w:rsidRPr="00DF1B9C">
                    <w:rPr>
                      <w:szCs w:val="18"/>
                    </w:rPr>
                    <w:t>May lead to increases in the illicit market, requiring additional compliance resources.</w:t>
                  </w:r>
                </w:p>
              </w:tc>
            </w:tr>
            <w:tr w:rsidR="00D209FA" w:rsidRPr="0084755C" w14:paraId="3E077DE8" w14:textId="77777777" w:rsidTr="005A261B">
              <w:trPr>
                <w:cantSplit/>
                <w:trHeight w:val="1986"/>
                <w:tblHeader/>
              </w:trPr>
              <w:tc>
                <w:tcPr>
                  <w:tcW w:w="1701" w:type="dxa"/>
                  <w:tcBorders>
                    <w:top w:val="single" w:sz="4" w:space="0" w:color="A6A6A6"/>
                    <w:bottom w:val="single" w:sz="4" w:space="0" w:color="A6A6A6"/>
                  </w:tcBorders>
                  <w:shd w:val="clear" w:color="auto" w:fill="auto"/>
                </w:tcPr>
                <w:p w14:paraId="18071F68" w14:textId="77777777" w:rsidR="00D209FA" w:rsidRPr="000C138D" w:rsidRDefault="00D209FA" w:rsidP="00D209FA">
                  <w:pPr>
                    <w:pStyle w:val="TableText0"/>
                    <w:widowControl w:val="0"/>
                    <w:spacing w:before="120" w:after="120"/>
                    <w:ind w:right="142"/>
                    <w:rPr>
                      <w:b/>
                      <w:iCs/>
                      <w:szCs w:val="18"/>
                    </w:rPr>
                  </w:pPr>
                  <w:r w:rsidRPr="000C138D">
                    <w:rPr>
                      <w:b/>
                      <w:iCs/>
                      <w:szCs w:val="18"/>
                    </w:rPr>
                    <w:t xml:space="preserve">Option 4: Continue excise tax increases, along with a minimum price </w:t>
                  </w:r>
                </w:p>
                <w:p w14:paraId="644C9D57" w14:textId="77777777" w:rsidR="00D209FA" w:rsidRPr="0084755C" w:rsidRDefault="00D209FA" w:rsidP="00D209FA">
                  <w:pPr>
                    <w:spacing w:before="120" w:after="120" w:line="240" w:lineRule="auto"/>
                    <w:rPr>
                      <w:rFonts w:cs="Arial"/>
                      <w:sz w:val="18"/>
                      <w:szCs w:val="18"/>
                    </w:rPr>
                  </w:pPr>
                </w:p>
              </w:tc>
              <w:tc>
                <w:tcPr>
                  <w:tcW w:w="3544" w:type="dxa"/>
                  <w:tcBorders>
                    <w:top w:val="single" w:sz="4" w:space="0" w:color="A6A6A6"/>
                    <w:bottom w:val="single" w:sz="4" w:space="0" w:color="A6A6A6"/>
                  </w:tcBorders>
                  <w:shd w:val="clear" w:color="auto" w:fill="auto"/>
                </w:tcPr>
                <w:p w14:paraId="6A3CF429" w14:textId="77777777" w:rsidR="00D209FA" w:rsidRPr="000C138D" w:rsidRDefault="00D209FA" w:rsidP="00D209FA">
                  <w:pPr>
                    <w:pStyle w:val="TableText"/>
                    <w:widowControl w:val="0"/>
                    <w:spacing w:before="120" w:after="120" w:line="240" w:lineRule="auto"/>
                    <w:rPr>
                      <w:rFonts w:cs="Arial"/>
                      <w:bCs/>
                      <w:sz w:val="18"/>
                      <w:szCs w:val="18"/>
                    </w:rPr>
                  </w:pPr>
                  <w:r w:rsidRPr="000C138D">
                    <w:rPr>
                      <w:rFonts w:cs="Arial"/>
                      <w:bCs/>
                      <w:sz w:val="18"/>
                      <w:szCs w:val="18"/>
                    </w:rPr>
                    <w:t>Combining an excise increase with a minimum price will</w:t>
                  </w:r>
                  <w:r>
                    <w:rPr>
                      <w:rFonts w:cs="Arial"/>
                      <w:bCs/>
                      <w:sz w:val="18"/>
                      <w:szCs w:val="18"/>
                    </w:rPr>
                    <w:t xml:space="preserve"> gain the greatest impact from</w:t>
                  </w:r>
                  <w:r w:rsidRPr="000C138D">
                    <w:rPr>
                      <w:rFonts w:cs="Arial"/>
                      <w:bCs/>
                      <w:sz w:val="18"/>
                      <w:szCs w:val="18"/>
                    </w:rPr>
                    <w:t xml:space="preserve"> increases by preventing the development of new low</w:t>
                  </w:r>
                  <w:r>
                    <w:rPr>
                      <w:rFonts w:cs="Arial"/>
                      <w:bCs/>
                      <w:sz w:val="18"/>
                      <w:szCs w:val="18"/>
                    </w:rPr>
                    <w:t>-</w:t>
                  </w:r>
                  <w:r w:rsidRPr="000C138D">
                    <w:rPr>
                      <w:rFonts w:cs="Arial"/>
                      <w:bCs/>
                      <w:sz w:val="18"/>
                      <w:szCs w:val="18"/>
                    </w:rPr>
                    <w:t xml:space="preserve">price variants in response to tax increases. </w:t>
                  </w:r>
                </w:p>
                <w:p w14:paraId="3F6FB5C4" w14:textId="77777777" w:rsidR="00D209FA" w:rsidRPr="000C138D" w:rsidRDefault="00D209FA" w:rsidP="00D209FA">
                  <w:pPr>
                    <w:pStyle w:val="TableText0"/>
                    <w:widowControl w:val="0"/>
                    <w:spacing w:before="120" w:after="120"/>
                  </w:pPr>
                  <w:r w:rsidRPr="000C138D">
                    <w:rPr>
                      <w:szCs w:val="18"/>
                    </w:rPr>
                    <w:t>Overall impact will</w:t>
                  </w:r>
                  <w:r w:rsidRPr="000C138D">
                    <w:t xml:space="preserve"> be determined by the size of the increase and the level of the minimum price.  </w:t>
                  </w:r>
                </w:p>
                <w:p w14:paraId="3B9CF71F" w14:textId="77777777" w:rsidR="00D209FA" w:rsidRPr="0084755C" w:rsidRDefault="00D209FA" w:rsidP="00D209FA">
                  <w:pPr>
                    <w:pStyle w:val="TableText0"/>
                    <w:spacing w:before="120" w:after="120"/>
                    <w:rPr>
                      <w:rFonts w:cs="Arial"/>
                      <w:szCs w:val="18"/>
                    </w:rPr>
                  </w:pPr>
                </w:p>
              </w:tc>
              <w:tc>
                <w:tcPr>
                  <w:tcW w:w="3334" w:type="dxa"/>
                  <w:tcBorders>
                    <w:top w:val="single" w:sz="4" w:space="0" w:color="A6A6A6"/>
                    <w:bottom w:val="single" w:sz="4" w:space="0" w:color="A6A6A6"/>
                  </w:tcBorders>
                </w:tcPr>
                <w:p w14:paraId="0FC12EB7" w14:textId="77777777" w:rsidR="00D209FA" w:rsidRPr="00DF1B9C" w:rsidRDefault="00D209FA" w:rsidP="00D209FA">
                  <w:pPr>
                    <w:pStyle w:val="TableText0"/>
                    <w:widowControl w:val="0"/>
                    <w:spacing w:before="120" w:after="120"/>
                  </w:pPr>
                  <w:r w:rsidRPr="0006158B">
                    <w:t>S</w:t>
                  </w:r>
                  <w:r w:rsidRPr="006327E4">
                    <w:t>mokers who are unable to quit</w:t>
                  </w:r>
                  <w:r w:rsidRPr="00442FC7">
                    <w:t xml:space="preserve"> will face </w:t>
                  </w:r>
                  <w:r w:rsidRPr="00DF1B9C">
                    <w:t>additional costs.</w:t>
                  </w:r>
                </w:p>
                <w:p w14:paraId="0129DCC7" w14:textId="77777777" w:rsidR="00D209FA" w:rsidRPr="0084755C" w:rsidRDefault="00D209FA" w:rsidP="00D209FA">
                  <w:pPr>
                    <w:pStyle w:val="TableText0"/>
                    <w:spacing w:before="120" w:after="120"/>
                    <w:rPr>
                      <w:rFonts w:cs="Arial"/>
                      <w:szCs w:val="18"/>
                    </w:rPr>
                  </w:pPr>
                  <w:r w:rsidRPr="00DF1B9C">
                    <w:rPr>
                      <w:szCs w:val="18"/>
                    </w:rPr>
                    <w:t>May lead to increases in the illicit market, requiring additional compliance resources</w:t>
                  </w:r>
                  <w:r w:rsidRPr="0084755C">
                    <w:rPr>
                      <w:rFonts w:cs="Arial"/>
                      <w:szCs w:val="18"/>
                    </w:rPr>
                    <w:t xml:space="preserve"> </w:t>
                  </w:r>
                </w:p>
              </w:tc>
            </w:tr>
          </w:tbl>
          <w:p w14:paraId="0AEC6443" w14:textId="77777777" w:rsidR="00C7655A" w:rsidRPr="000C138D" w:rsidRDefault="00C7655A" w:rsidP="00A04078">
            <w:pPr>
              <w:spacing w:before="120" w:after="120" w:line="240" w:lineRule="auto"/>
            </w:pPr>
          </w:p>
        </w:tc>
      </w:tr>
    </w:tbl>
    <w:p w14:paraId="09444115" w14:textId="77777777" w:rsidR="00F132B2" w:rsidRPr="000C138D" w:rsidRDefault="00F132B2" w:rsidP="00567434">
      <w:pPr>
        <w:pStyle w:val="spacer"/>
      </w:pPr>
    </w:p>
    <w:tbl>
      <w:tblPr>
        <w:tblW w:w="4885" w:type="pct"/>
        <w:tblInd w:w="10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8852"/>
      </w:tblGrid>
      <w:tr w:rsidR="002D5734" w:rsidRPr="000C138D" w14:paraId="742C7503" w14:textId="77777777" w:rsidTr="00B232C8">
        <w:trPr>
          <w:trHeight w:val="84"/>
          <w:tblHeader/>
        </w:trPr>
        <w:tc>
          <w:tcPr>
            <w:tcW w:w="5000" w:type="pct"/>
            <w:shd w:val="clear" w:color="auto" w:fill="99CDDD"/>
          </w:tcPr>
          <w:p w14:paraId="1A8179DB" w14:textId="1CCF33C2" w:rsidR="00E92509" w:rsidRPr="000C138D" w:rsidRDefault="00B23E8A" w:rsidP="00093947">
            <w:pPr>
              <w:pStyle w:val="TableHeadings"/>
              <w:widowControl w:val="0"/>
            </w:pPr>
            <w:r w:rsidRPr="000C138D">
              <w:lastRenderedPageBreak/>
              <w:t>3</w:t>
            </w:r>
            <w:r w:rsidR="002A56F0" w:rsidRPr="000C138D">
              <w:t>.</w:t>
            </w:r>
            <w:r w:rsidR="00051A88" w:rsidRPr="000C138D">
              <w:t>2</w:t>
            </w:r>
            <w:r w:rsidR="002A56F0" w:rsidRPr="000C138D">
              <w:t xml:space="preserve"> </w:t>
            </w:r>
            <w:r w:rsidR="00D019CB" w:rsidRPr="000C138D">
              <w:t>Which of these options is</w:t>
            </w:r>
            <w:r w:rsidR="00962209" w:rsidRPr="000C138D">
              <w:t xml:space="preserve"> the </w:t>
            </w:r>
            <w:r w:rsidR="00051A88" w:rsidRPr="000C138D">
              <w:t>proposed approach</w:t>
            </w:r>
            <w:r w:rsidR="00962209" w:rsidRPr="000C138D">
              <w:t>?</w:t>
            </w:r>
          </w:p>
        </w:tc>
      </w:tr>
      <w:tr w:rsidR="00F132B2" w:rsidRPr="000C138D" w14:paraId="40E0E119" w14:textId="77777777" w:rsidTr="00B232C8">
        <w:trPr>
          <w:tblHeader/>
        </w:trPr>
        <w:tc>
          <w:tcPr>
            <w:tcW w:w="5000" w:type="pct"/>
            <w:shd w:val="clear" w:color="auto" w:fill="auto"/>
          </w:tcPr>
          <w:p w14:paraId="6891E59B" w14:textId="718A3291" w:rsidR="0006538D" w:rsidRPr="000C138D" w:rsidRDefault="0006538D" w:rsidP="008931C3">
            <w:pPr>
              <w:rPr>
                <w:lang w:eastAsia="en-AU"/>
              </w:rPr>
            </w:pPr>
            <w:r w:rsidRPr="000C138D">
              <w:rPr>
                <w:lang w:eastAsia="en-AU"/>
              </w:rPr>
              <w:t xml:space="preserve">The discussion document identifies options considered most likely to achieve the goals of a Smokefree Aotearoa 2025 Action Plan. </w:t>
            </w:r>
            <w:r w:rsidR="00595878">
              <w:rPr>
                <w:lang w:eastAsia="en-AU"/>
              </w:rPr>
              <w:t>We</w:t>
            </w:r>
            <w:r w:rsidR="00595878" w:rsidRPr="000C138D">
              <w:rPr>
                <w:lang w:eastAsia="en-AU"/>
              </w:rPr>
              <w:t xml:space="preserve"> </w:t>
            </w:r>
            <w:r w:rsidRPr="000C138D">
              <w:rPr>
                <w:lang w:eastAsia="en-AU"/>
              </w:rPr>
              <w:t xml:space="preserve">have </w:t>
            </w:r>
            <w:r w:rsidR="00595878">
              <w:rPr>
                <w:lang w:eastAsia="en-AU"/>
              </w:rPr>
              <w:t xml:space="preserve">decided on the options </w:t>
            </w:r>
            <w:r w:rsidRPr="000C138D">
              <w:rPr>
                <w:lang w:eastAsia="en-AU"/>
              </w:rPr>
              <w:t xml:space="preserve">using the available evidence base, such as New Zealand modelling and international best practice. It is likely that manufacturers and retailers of tobacco products will oppose the proposed </w:t>
            </w:r>
            <w:r w:rsidR="00624BD6" w:rsidRPr="000C138D">
              <w:rPr>
                <w:lang w:eastAsia="en-AU"/>
              </w:rPr>
              <w:t xml:space="preserve">measures. Smokers and their </w:t>
            </w:r>
            <w:proofErr w:type="spellStart"/>
            <w:r w:rsidR="00624BD6" w:rsidRPr="000C138D">
              <w:rPr>
                <w:lang w:eastAsia="en-AU"/>
              </w:rPr>
              <w:t>wh</w:t>
            </w:r>
            <w:r w:rsidR="00150BA9" w:rsidRPr="000C138D">
              <w:rPr>
                <w:lang w:eastAsia="en-AU"/>
              </w:rPr>
              <w:t>ā</w:t>
            </w:r>
            <w:r w:rsidR="00624BD6" w:rsidRPr="000C138D">
              <w:rPr>
                <w:lang w:eastAsia="en-AU"/>
              </w:rPr>
              <w:t>nau</w:t>
            </w:r>
            <w:proofErr w:type="spellEnd"/>
            <w:r w:rsidR="00624BD6" w:rsidRPr="000C138D">
              <w:rPr>
                <w:lang w:eastAsia="en-AU"/>
              </w:rPr>
              <w:t xml:space="preserve"> are likely to have mixed views</w:t>
            </w:r>
            <w:r w:rsidR="00595878">
              <w:rPr>
                <w:lang w:eastAsia="en-AU"/>
              </w:rPr>
              <w:t xml:space="preserve"> about them</w:t>
            </w:r>
            <w:r w:rsidR="00624BD6" w:rsidRPr="000C138D">
              <w:rPr>
                <w:lang w:eastAsia="en-AU"/>
              </w:rPr>
              <w:t>.</w:t>
            </w:r>
            <w:r w:rsidRPr="000C138D">
              <w:rPr>
                <w:lang w:eastAsia="en-AU"/>
              </w:rPr>
              <w:t xml:space="preserve"> Health promotion and community interests will likely be in favour.</w:t>
            </w:r>
          </w:p>
          <w:p w14:paraId="40224C57" w14:textId="5952148D" w:rsidR="0006538D" w:rsidRPr="000C138D" w:rsidRDefault="0006538D" w:rsidP="008931C3">
            <w:pPr>
              <w:rPr>
                <w:lang w:eastAsia="en-AU"/>
              </w:rPr>
            </w:pPr>
            <w:r w:rsidRPr="000C138D">
              <w:rPr>
                <w:lang w:eastAsia="en-AU"/>
              </w:rPr>
              <w:t xml:space="preserve">Many of the options considered will strongly contribute to the goal of a </w:t>
            </w:r>
            <w:r w:rsidR="002874F6">
              <w:rPr>
                <w:lang w:eastAsia="en-AU"/>
              </w:rPr>
              <w:t>S</w:t>
            </w:r>
            <w:r w:rsidRPr="000C138D">
              <w:rPr>
                <w:lang w:eastAsia="en-AU"/>
              </w:rPr>
              <w:t xml:space="preserve">mokefree Aotearoa. However, none will achieve </w:t>
            </w:r>
            <w:r w:rsidR="002874F6">
              <w:rPr>
                <w:lang w:eastAsia="en-AU"/>
              </w:rPr>
              <w:t>S</w:t>
            </w:r>
            <w:r w:rsidR="00967089" w:rsidRPr="000C138D">
              <w:rPr>
                <w:lang w:eastAsia="en-AU"/>
              </w:rPr>
              <w:t xml:space="preserve">mokefree </w:t>
            </w:r>
            <w:r w:rsidRPr="000C138D">
              <w:rPr>
                <w:lang w:eastAsia="en-AU"/>
              </w:rPr>
              <w:t>Aotearoa by 2025 as a stand-alone policy. A package of options addressing each of the issues</w:t>
            </w:r>
            <w:r w:rsidR="00595878">
              <w:rPr>
                <w:lang w:eastAsia="en-AU"/>
              </w:rPr>
              <w:t xml:space="preserve"> discussed in this section</w:t>
            </w:r>
            <w:r w:rsidRPr="000C138D">
              <w:rPr>
                <w:lang w:eastAsia="en-AU"/>
              </w:rPr>
              <w:t xml:space="preserve"> (availability, appeal and addictiveness</w:t>
            </w:r>
            <w:r w:rsidR="00595878">
              <w:rPr>
                <w:lang w:eastAsia="en-AU"/>
              </w:rPr>
              <w:t>,</w:t>
            </w:r>
            <w:r w:rsidRPr="000C138D">
              <w:rPr>
                <w:lang w:eastAsia="en-AU"/>
              </w:rPr>
              <w:t xml:space="preserve"> and affordability) may together allow New Zealand to meet the goal of a </w:t>
            </w:r>
            <w:r w:rsidR="002874F6">
              <w:rPr>
                <w:lang w:eastAsia="en-AU"/>
              </w:rPr>
              <w:t>S</w:t>
            </w:r>
            <w:r w:rsidRPr="000C138D">
              <w:rPr>
                <w:lang w:eastAsia="en-AU"/>
              </w:rPr>
              <w:t xml:space="preserve">mokefree Aotearoa. </w:t>
            </w:r>
          </w:p>
          <w:p w14:paraId="7929F408" w14:textId="57FC750F" w:rsidR="00595878" w:rsidRDefault="00595878" w:rsidP="008931C3">
            <w:r>
              <w:t>T</w:t>
            </w:r>
            <w:r w:rsidR="0006538D" w:rsidRPr="000C138D">
              <w:t xml:space="preserve">able </w:t>
            </w:r>
            <w:r>
              <w:t xml:space="preserve">4 </w:t>
            </w:r>
            <w:r w:rsidR="0006538D" w:rsidRPr="000C138D">
              <w:t xml:space="preserve">lists options presented in the </w:t>
            </w:r>
            <w:r w:rsidR="00732F67" w:rsidRPr="000C138D">
              <w:t>discussion document</w:t>
            </w:r>
            <w:r w:rsidR="00685741">
              <w:t>.</w:t>
            </w:r>
          </w:p>
          <w:p w14:paraId="7ED7880F" w14:textId="7B683ADE" w:rsidR="0006538D" w:rsidRPr="000C138D" w:rsidRDefault="00595878" w:rsidP="00546700">
            <w:pPr>
              <w:pStyle w:val="Caption"/>
            </w:pPr>
            <w:r>
              <w:t xml:space="preserve">Table </w:t>
            </w:r>
            <w:fldSimple w:instr=" SEQ Table \* ARABIC ">
              <w:r w:rsidR="00A847AE">
                <w:rPr>
                  <w:noProof/>
                </w:rPr>
                <w:t>4</w:t>
              </w:r>
            </w:fldSimple>
            <w:r>
              <w:t xml:space="preserve"> Options to achieve the goals of a Smokefree Aotearoa 2025 Action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3014"/>
              <w:gridCol w:w="3686"/>
            </w:tblGrid>
            <w:tr w:rsidR="0006538D" w:rsidRPr="000C138D" w14:paraId="22516218" w14:textId="77777777" w:rsidTr="00492F10">
              <w:tc>
                <w:tcPr>
                  <w:tcW w:w="1539" w:type="dxa"/>
                  <w:shd w:val="clear" w:color="auto" w:fill="E7E6E6"/>
                </w:tcPr>
                <w:p w14:paraId="2D8B9B37" w14:textId="77777777" w:rsidR="0006538D" w:rsidRPr="000C138D" w:rsidRDefault="0006538D" w:rsidP="00E56A24">
                  <w:pPr>
                    <w:widowControl w:val="0"/>
                    <w:jc w:val="both"/>
                    <w:rPr>
                      <w:b/>
                      <w:bCs/>
                      <w:sz w:val="20"/>
                    </w:rPr>
                  </w:pPr>
                  <w:r w:rsidRPr="000C138D">
                    <w:rPr>
                      <w:b/>
                      <w:bCs/>
                      <w:sz w:val="20"/>
                    </w:rPr>
                    <w:t>Issue</w:t>
                  </w:r>
                </w:p>
              </w:tc>
              <w:tc>
                <w:tcPr>
                  <w:tcW w:w="3014" w:type="dxa"/>
                  <w:shd w:val="clear" w:color="auto" w:fill="E7E6E6"/>
                </w:tcPr>
                <w:p w14:paraId="5FCE58E2" w14:textId="71CB8491" w:rsidR="0006538D" w:rsidRPr="000C138D" w:rsidRDefault="0006538D" w:rsidP="00E56A24">
                  <w:pPr>
                    <w:widowControl w:val="0"/>
                    <w:jc w:val="both"/>
                    <w:rPr>
                      <w:b/>
                      <w:bCs/>
                      <w:sz w:val="20"/>
                    </w:rPr>
                  </w:pPr>
                  <w:r w:rsidRPr="000C138D">
                    <w:rPr>
                      <w:b/>
                      <w:bCs/>
                      <w:sz w:val="20"/>
                    </w:rPr>
                    <w:t xml:space="preserve">Status </w:t>
                  </w:r>
                  <w:r w:rsidR="00685741">
                    <w:rPr>
                      <w:b/>
                      <w:bCs/>
                      <w:sz w:val="20"/>
                    </w:rPr>
                    <w:t>q</w:t>
                  </w:r>
                  <w:r w:rsidRPr="000C138D">
                    <w:rPr>
                      <w:b/>
                      <w:bCs/>
                      <w:sz w:val="20"/>
                    </w:rPr>
                    <w:t>uo</w:t>
                  </w:r>
                </w:p>
              </w:tc>
              <w:tc>
                <w:tcPr>
                  <w:tcW w:w="3686" w:type="dxa"/>
                  <w:shd w:val="clear" w:color="auto" w:fill="E7E6E6"/>
                </w:tcPr>
                <w:p w14:paraId="0A34B005" w14:textId="77777777" w:rsidR="0006538D" w:rsidRPr="000C138D" w:rsidRDefault="0006538D" w:rsidP="00E56A24">
                  <w:pPr>
                    <w:widowControl w:val="0"/>
                    <w:jc w:val="both"/>
                    <w:rPr>
                      <w:b/>
                      <w:bCs/>
                      <w:sz w:val="20"/>
                    </w:rPr>
                  </w:pPr>
                  <w:r w:rsidRPr="000C138D">
                    <w:rPr>
                      <w:b/>
                      <w:bCs/>
                      <w:sz w:val="20"/>
                    </w:rPr>
                    <w:t>Options included in consultation</w:t>
                  </w:r>
                </w:p>
              </w:tc>
            </w:tr>
            <w:tr w:rsidR="0006538D" w:rsidRPr="000C138D" w14:paraId="4F1DA819" w14:textId="77777777" w:rsidTr="00492F10">
              <w:trPr>
                <w:trHeight w:val="705"/>
              </w:trPr>
              <w:tc>
                <w:tcPr>
                  <w:tcW w:w="1539" w:type="dxa"/>
                  <w:vMerge w:val="restart"/>
                  <w:shd w:val="clear" w:color="auto" w:fill="auto"/>
                </w:tcPr>
                <w:p w14:paraId="272D07FD" w14:textId="77777777" w:rsidR="0006538D" w:rsidRPr="000C138D" w:rsidRDefault="0006538D" w:rsidP="00150BA9">
                  <w:pPr>
                    <w:widowControl w:val="0"/>
                    <w:rPr>
                      <w:b/>
                      <w:bCs/>
                      <w:sz w:val="20"/>
                    </w:rPr>
                  </w:pPr>
                  <w:r w:rsidRPr="000C138D">
                    <w:rPr>
                      <w:b/>
                      <w:bCs/>
                      <w:sz w:val="20"/>
                    </w:rPr>
                    <w:t>Access to tobacco</w:t>
                  </w:r>
                </w:p>
              </w:tc>
              <w:tc>
                <w:tcPr>
                  <w:tcW w:w="3014" w:type="dxa"/>
                  <w:vMerge w:val="restart"/>
                </w:tcPr>
                <w:p w14:paraId="05984384" w14:textId="77777777" w:rsidR="0006538D" w:rsidRPr="000C138D" w:rsidRDefault="0006538D" w:rsidP="00150BA9">
                  <w:pPr>
                    <w:pStyle w:val="ListParagraph"/>
                    <w:widowControl w:val="0"/>
                    <w:numPr>
                      <w:ilvl w:val="0"/>
                      <w:numId w:val="42"/>
                    </w:numPr>
                    <w:spacing w:line="240" w:lineRule="auto"/>
                    <w:contextualSpacing w:val="0"/>
                    <w:rPr>
                      <w:sz w:val="20"/>
                    </w:rPr>
                  </w:pPr>
                  <w:r w:rsidRPr="000C138D">
                    <w:rPr>
                      <w:sz w:val="20"/>
                    </w:rPr>
                    <w:t xml:space="preserve">5,000 to 8,000 retailers </w:t>
                  </w:r>
                </w:p>
                <w:p w14:paraId="3D62C0D2" w14:textId="3A756BFB" w:rsidR="0006538D" w:rsidRPr="000C138D" w:rsidRDefault="0006538D" w:rsidP="00150BA9">
                  <w:pPr>
                    <w:pStyle w:val="ListParagraph"/>
                    <w:widowControl w:val="0"/>
                    <w:numPr>
                      <w:ilvl w:val="0"/>
                      <w:numId w:val="42"/>
                    </w:numPr>
                    <w:spacing w:line="240" w:lineRule="auto"/>
                    <w:contextualSpacing w:val="0"/>
                    <w:rPr>
                      <w:sz w:val="20"/>
                    </w:rPr>
                  </w:pPr>
                  <w:r w:rsidRPr="000C138D">
                    <w:rPr>
                      <w:sz w:val="20"/>
                    </w:rPr>
                    <w:t xml:space="preserve">Purchase age 18 </w:t>
                  </w:r>
                  <w:r w:rsidR="00595878">
                    <w:rPr>
                      <w:sz w:val="20"/>
                    </w:rPr>
                    <w:t>years</w:t>
                  </w:r>
                </w:p>
              </w:tc>
              <w:tc>
                <w:tcPr>
                  <w:tcW w:w="3686" w:type="dxa"/>
                  <w:shd w:val="clear" w:color="auto" w:fill="auto"/>
                </w:tcPr>
                <w:p w14:paraId="6935C6EF" w14:textId="27A9A464" w:rsidR="0006538D" w:rsidRPr="000C138D" w:rsidRDefault="0006538D" w:rsidP="00595878">
                  <w:pPr>
                    <w:pStyle w:val="ListParagraph"/>
                    <w:widowControl w:val="0"/>
                    <w:numPr>
                      <w:ilvl w:val="0"/>
                      <w:numId w:val="42"/>
                    </w:numPr>
                    <w:spacing w:after="40" w:line="240" w:lineRule="auto"/>
                    <w:ind w:left="357" w:hanging="357"/>
                    <w:contextualSpacing w:val="0"/>
                    <w:rPr>
                      <w:sz w:val="20"/>
                    </w:rPr>
                  </w:pPr>
                  <w:r w:rsidRPr="000C138D">
                    <w:rPr>
                      <w:sz w:val="20"/>
                    </w:rPr>
                    <w:t>Significantly reduce retail outlets through a phased reduction process or by limiting to specific retailer types (includes licen</w:t>
                  </w:r>
                  <w:r w:rsidR="00595878">
                    <w:rPr>
                      <w:sz w:val="20"/>
                    </w:rPr>
                    <w:t>s</w:t>
                  </w:r>
                  <w:r w:rsidRPr="000C138D">
                    <w:rPr>
                      <w:sz w:val="20"/>
                    </w:rPr>
                    <w:t>ing of retailers)</w:t>
                  </w:r>
                  <w:r w:rsidR="00595878">
                    <w:rPr>
                      <w:sz w:val="20"/>
                    </w:rPr>
                    <w:t>.</w:t>
                  </w:r>
                  <w:r w:rsidRPr="000C138D">
                    <w:rPr>
                      <w:sz w:val="20"/>
                    </w:rPr>
                    <w:t xml:space="preserve"> </w:t>
                  </w:r>
                </w:p>
              </w:tc>
            </w:tr>
            <w:tr w:rsidR="0006538D" w:rsidRPr="000C138D" w14:paraId="07B4F931" w14:textId="77777777" w:rsidTr="00492F10">
              <w:trPr>
                <w:trHeight w:val="457"/>
              </w:trPr>
              <w:tc>
                <w:tcPr>
                  <w:tcW w:w="1539" w:type="dxa"/>
                  <w:vMerge/>
                  <w:shd w:val="clear" w:color="auto" w:fill="auto"/>
                </w:tcPr>
                <w:p w14:paraId="3FC6A8CA" w14:textId="77777777" w:rsidR="0006538D" w:rsidRPr="000C138D" w:rsidRDefault="0006538D" w:rsidP="00150BA9">
                  <w:pPr>
                    <w:widowControl w:val="0"/>
                    <w:rPr>
                      <w:b/>
                      <w:bCs/>
                      <w:sz w:val="20"/>
                    </w:rPr>
                  </w:pPr>
                </w:p>
              </w:tc>
              <w:tc>
                <w:tcPr>
                  <w:tcW w:w="3014" w:type="dxa"/>
                  <w:vMerge/>
                </w:tcPr>
                <w:p w14:paraId="434621D4" w14:textId="77777777" w:rsidR="0006538D" w:rsidRPr="000C138D" w:rsidRDefault="0006538D" w:rsidP="00150BA9">
                  <w:pPr>
                    <w:pStyle w:val="ListParagraph"/>
                    <w:widowControl w:val="0"/>
                    <w:numPr>
                      <w:ilvl w:val="0"/>
                      <w:numId w:val="42"/>
                    </w:numPr>
                    <w:spacing w:line="240" w:lineRule="auto"/>
                    <w:contextualSpacing w:val="0"/>
                    <w:rPr>
                      <w:sz w:val="20"/>
                    </w:rPr>
                  </w:pPr>
                </w:p>
              </w:tc>
              <w:tc>
                <w:tcPr>
                  <w:tcW w:w="3686" w:type="dxa"/>
                  <w:shd w:val="clear" w:color="auto" w:fill="auto"/>
                </w:tcPr>
                <w:p w14:paraId="4F97A580" w14:textId="32145198" w:rsidR="0006538D" w:rsidRPr="000C138D" w:rsidRDefault="00595878" w:rsidP="00546700">
                  <w:pPr>
                    <w:pStyle w:val="ListParagraph"/>
                    <w:widowControl w:val="0"/>
                    <w:numPr>
                      <w:ilvl w:val="0"/>
                      <w:numId w:val="42"/>
                    </w:numPr>
                    <w:spacing w:after="40" w:line="240" w:lineRule="auto"/>
                    <w:ind w:left="357" w:hanging="357"/>
                    <w:contextualSpacing w:val="0"/>
                    <w:rPr>
                      <w:sz w:val="20"/>
                    </w:rPr>
                  </w:pPr>
                  <w:r>
                    <w:rPr>
                      <w:sz w:val="20"/>
                    </w:rPr>
                    <w:t>Implement p</w:t>
                  </w:r>
                  <w:r w:rsidR="0006538D" w:rsidRPr="000C138D">
                    <w:rPr>
                      <w:sz w:val="20"/>
                    </w:rPr>
                    <w:t xml:space="preserve">urchase age measures to enable a </w:t>
                  </w:r>
                  <w:proofErr w:type="spellStart"/>
                  <w:r w:rsidR="0006538D" w:rsidRPr="000C138D">
                    <w:rPr>
                      <w:sz w:val="20"/>
                    </w:rPr>
                    <w:t>smokefree</w:t>
                  </w:r>
                  <w:proofErr w:type="spellEnd"/>
                  <w:r w:rsidR="0006538D" w:rsidRPr="000C138D">
                    <w:rPr>
                      <w:sz w:val="20"/>
                    </w:rPr>
                    <w:t xml:space="preserve"> generation</w:t>
                  </w:r>
                  <w:r>
                    <w:rPr>
                      <w:sz w:val="20"/>
                    </w:rPr>
                    <w:t>.</w:t>
                  </w:r>
                </w:p>
              </w:tc>
            </w:tr>
            <w:tr w:rsidR="0006538D" w:rsidRPr="000C138D" w14:paraId="5F22714D" w14:textId="77777777" w:rsidTr="00492F10">
              <w:trPr>
                <w:trHeight w:val="435"/>
              </w:trPr>
              <w:tc>
                <w:tcPr>
                  <w:tcW w:w="1539" w:type="dxa"/>
                  <w:vMerge w:val="restart"/>
                  <w:shd w:val="clear" w:color="auto" w:fill="auto"/>
                </w:tcPr>
                <w:p w14:paraId="44C89089" w14:textId="77777777" w:rsidR="0006538D" w:rsidRPr="000C138D" w:rsidRDefault="0006538D" w:rsidP="00150BA9">
                  <w:pPr>
                    <w:widowControl w:val="0"/>
                    <w:rPr>
                      <w:b/>
                      <w:bCs/>
                      <w:sz w:val="20"/>
                    </w:rPr>
                  </w:pPr>
                  <w:r w:rsidRPr="000C138D">
                    <w:rPr>
                      <w:b/>
                      <w:bCs/>
                      <w:sz w:val="20"/>
                    </w:rPr>
                    <w:t>Appeal and addictiveness</w:t>
                  </w:r>
                </w:p>
              </w:tc>
              <w:tc>
                <w:tcPr>
                  <w:tcW w:w="3014" w:type="dxa"/>
                  <w:vMerge w:val="restart"/>
                </w:tcPr>
                <w:p w14:paraId="5D5DB966" w14:textId="77777777" w:rsidR="0006538D" w:rsidRPr="000C138D" w:rsidRDefault="0006538D" w:rsidP="00150BA9">
                  <w:pPr>
                    <w:pStyle w:val="ListParagraph"/>
                    <w:widowControl w:val="0"/>
                    <w:numPr>
                      <w:ilvl w:val="0"/>
                      <w:numId w:val="42"/>
                    </w:numPr>
                    <w:spacing w:line="240" w:lineRule="auto"/>
                    <w:contextualSpacing w:val="0"/>
                    <w:rPr>
                      <w:sz w:val="20"/>
                    </w:rPr>
                  </w:pPr>
                  <w:r w:rsidRPr="000C138D">
                    <w:rPr>
                      <w:sz w:val="20"/>
                    </w:rPr>
                    <w:t>No measures</w:t>
                  </w:r>
                </w:p>
                <w:p w14:paraId="6F9E71E4" w14:textId="77777777" w:rsidR="0006538D" w:rsidRPr="000C138D" w:rsidRDefault="0006538D" w:rsidP="00150BA9">
                  <w:pPr>
                    <w:widowControl w:val="0"/>
                    <w:spacing w:after="0" w:line="240" w:lineRule="auto"/>
                    <w:rPr>
                      <w:sz w:val="20"/>
                    </w:rPr>
                  </w:pPr>
                </w:p>
              </w:tc>
              <w:tc>
                <w:tcPr>
                  <w:tcW w:w="3686" w:type="dxa"/>
                  <w:shd w:val="clear" w:color="auto" w:fill="auto"/>
                </w:tcPr>
                <w:p w14:paraId="665828CF" w14:textId="2A0BDEF2" w:rsidR="0006538D" w:rsidRPr="000C138D" w:rsidRDefault="0006538D" w:rsidP="00595878">
                  <w:pPr>
                    <w:pStyle w:val="ListParagraph"/>
                    <w:widowControl w:val="0"/>
                    <w:numPr>
                      <w:ilvl w:val="0"/>
                      <w:numId w:val="42"/>
                    </w:numPr>
                    <w:spacing w:after="40" w:line="240" w:lineRule="auto"/>
                    <w:ind w:left="357" w:hanging="357"/>
                    <w:contextualSpacing w:val="0"/>
                    <w:rPr>
                      <w:sz w:val="20"/>
                    </w:rPr>
                  </w:pPr>
                  <w:r w:rsidRPr="000C138D">
                    <w:rPr>
                      <w:sz w:val="20"/>
                    </w:rPr>
                    <w:t>Mandate very low nicotine cigarettes/smoked tobacco</w:t>
                  </w:r>
                  <w:r w:rsidR="00595878">
                    <w:rPr>
                      <w:sz w:val="20"/>
                    </w:rPr>
                    <w:t>.</w:t>
                  </w:r>
                </w:p>
              </w:tc>
            </w:tr>
            <w:tr w:rsidR="0006538D" w:rsidRPr="000C138D" w14:paraId="0532B56B" w14:textId="77777777" w:rsidTr="00492F10">
              <w:trPr>
                <w:trHeight w:val="360"/>
              </w:trPr>
              <w:tc>
                <w:tcPr>
                  <w:tcW w:w="1539" w:type="dxa"/>
                  <w:vMerge/>
                  <w:shd w:val="clear" w:color="auto" w:fill="auto"/>
                </w:tcPr>
                <w:p w14:paraId="47618A96" w14:textId="77777777" w:rsidR="0006538D" w:rsidRPr="000C138D" w:rsidRDefault="0006538D" w:rsidP="00E56A24">
                  <w:pPr>
                    <w:widowControl w:val="0"/>
                    <w:jc w:val="both"/>
                    <w:rPr>
                      <w:b/>
                      <w:bCs/>
                      <w:sz w:val="20"/>
                    </w:rPr>
                  </w:pPr>
                </w:p>
              </w:tc>
              <w:tc>
                <w:tcPr>
                  <w:tcW w:w="3014" w:type="dxa"/>
                  <w:vMerge/>
                </w:tcPr>
                <w:p w14:paraId="040E80C0" w14:textId="77777777" w:rsidR="0006538D" w:rsidRPr="000C138D" w:rsidRDefault="0006538D" w:rsidP="00150BA9">
                  <w:pPr>
                    <w:pStyle w:val="ListParagraph"/>
                    <w:widowControl w:val="0"/>
                    <w:numPr>
                      <w:ilvl w:val="0"/>
                      <w:numId w:val="42"/>
                    </w:numPr>
                    <w:spacing w:line="240" w:lineRule="auto"/>
                    <w:contextualSpacing w:val="0"/>
                    <w:rPr>
                      <w:sz w:val="20"/>
                    </w:rPr>
                  </w:pPr>
                </w:p>
              </w:tc>
              <w:tc>
                <w:tcPr>
                  <w:tcW w:w="3686" w:type="dxa"/>
                  <w:shd w:val="clear" w:color="auto" w:fill="auto"/>
                </w:tcPr>
                <w:p w14:paraId="3B6DFA93" w14:textId="269603CA" w:rsidR="0006538D" w:rsidRPr="000C138D" w:rsidRDefault="0006538D" w:rsidP="00595878">
                  <w:pPr>
                    <w:pStyle w:val="ListParagraph"/>
                    <w:widowControl w:val="0"/>
                    <w:numPr>
                      <w:ilvl w:val="0"/>
                      <w:numId w:val="42"/>
                    </w:numPr>
                    <w:spacing w:after="40" w:line="240" w:lineRule="auto"/>
                    <w:ind w:left="357" w:hanging="357"/>
                    <w:contextualSpacing w:val="0"/>
                    <w:rPr>
                      <w:sz w:val="20"/>
                    </w:rPr>
                  </w:pPr>
                  <w:r w:rsidRPr="000C138D">
                    <w:rPr>
                      <w:sz w:val="20"/>
                    </w:rPr>
                    <w:t>Ban the use of filters</w:t>
                  </w:r>
                  <w:r w:rsidR="00E81DF0">
                    <w:rPr>
                      <w:sz w:val="20"/>
                    </w:rPr>
                    <w:t>.</w:t>
                  </w:r>
                </w:p>
              </w:tc>
            </w:tr>
            <w:tr w:rsidR="0006538D" w:rsidRPr="000C138D" w14:paraId="5BCEFC04" w14:textId="77777777" w:rsidTr="00492F10">
              <w:trPr>
                <w:trHeight w:val="540"/>
              </w:trPr>
              <w:tc>
                <w:tcPr>
                  <w:tcW w:w="1539" w:type="dxa"/>
                  <w:vMerge/>
                  <w:shd w:val="clear" w:color="auto" w:fill="auto"/>
                </w:tcPr>
                <w:p w14:paraId="05667F73" w14:textId="77777777" w:rsidR="0006538D" w:rsidRPr="000C138D" w:rsidRDefault="0006538D" w:rsidP="00E56A24">
                  <w:pPr>
                    <w:widowControl w:val="0"/>
                    <w:jc w:val="both"/>
                    <w:rPr>
                      <w:sz w:val="20"/>
                    </w:rPr>
                  </w:pPr>
                </w:p>
              </w:tc>
              <w:tc>
                <w:tcPr>
                  <w:tcW w:w="3014" w:type="dxa"/>
                  <w:vMerge/>
                </w:tcPr>
                <w:p w14:paraId="48340D62" w14:textId="77777777" w:rsidR="0006538D" w:rsidRPr="000C138D" w:rsidRDefault="0006538D" w:rsidP="00150BA9">
                  <w:pPr>
                    <w:pStyle w:val="ListParagraph"/>
                    <w:widowControl w:val="0"/>
                    <w:numPr>
                      <w:ilvl w:val="0"/>
                      <w:numId w:val="42"/>
                    </w:numPr>
                    <w:spacing w:line="240" w:lineRule="auto"/>
                    <w:contextualSpacing w:val="0"/>
                    <w:rPr>
                      <w:sz w:val="20"/>
                    </w:rPr>
                  </w:pPr>
                </w:p>
              </w:tc>
              <w:tc>
                <w:tcPr>
                  <w:tcW w:w="3686" w:type="dxa"/>
                  <w:shd w:val="clear" w:color="auto" w:fill="auto"/>
                </w:tcPr>
                <w:p w14:paraId="0FF241B2" w14:textId="508AEFB6" w:rsidR="0006538D" w:rsidRPr="000C138D" w:rsidRDefault="006E3C64" w:rsidP="00F32A3D">
                  <w:pPr>
                    <w:pStyle w:val="ListParagraph"/>
                    <w:widowControl w:val="0"/>
                    <w:numPr>
                      <w:ilvl w:val="0"/>
                      <w:numId w:val="42"/>
                    </w:numPr>
                    <w:spacing w:after="40" w:line="240" w:lineRule="auto"/>
                    <w:ind w:left="357" w:hanging="357"/>
                    <w:contextualSpacing w:val="0"/>
                    <w:rPr>
                      <w:sz w:val="20"/>
                    </w:rPr>
                  </w:pPr>
                  <w:r>
                    <w:rPr>
                      <w:sz w:val="20"/>
                    </w:rPr>
                    <w:t>Provide r</w:t>
                  </w:r>
                  <w:r w:rsidR="0006538D" w:rsidRPr="000C138D">
                    <w:rPr>
                      <w:sz w:val="20"/>
                    </w:rPr>
                    <w:t>egulatory power to address product innovations</w:t>
                  </w:r>
                  <w:r w:rsidR="00E81DF0">
                    <w:rPr>
                      <w:sz w:val="20"/>
                    </w:rPr>
                    <w:t>.</w:t>
                  </w:r>
                </w:p>
              </w:tc>
            </w:tr>
            <w:tr w:rsidR="0006538D" w:rsidRPr="000C138D" w14:paraId="0F3DD68F" w14:textId="77777777" w:rsidTr="00492F10">
              <w:trPr>
                <w:trHeight w:val="823"/>
              </w:trPr>
              <w:tc>
                <w:tcPr>
                  <w:tcW w:w="1539" w:type="dxa"/>
                  <w:shd w:val="clear" w:color="auto" w:fill="auto"/>
                </w:tcPr>
                <w:p w14:paraId="2EA701B1" w14:textId="77777777" w:rsidR="0006538D" w:rsidRPr="000C138D" w:rsidRDefault="0006538D" w:rsidP="00E56A24">
                  <w:pPr>
                    <w:widowControl w:val="0"/>
                    <w:jc w:val="both"/>
                    <w:rPr>
                      <w:b/>
                      <w:bCs/>
                      <w:sz w:val="20"/>
                    </w:rPr>
                  </w:pPr>
                  <w:r w:rsidRPr="000C138D">
                    <w:rPr>
                      <w:b/>
                      <w:bCs/>
                      <w:sz w:val="20"/>
                    </w:rPr>
                    <w:t>Affordability</w:t>
                  </w:r>
                </w:p>
              </w:tc>
              <w:tc>
                <w:tcPr>
                  <w:tcW w:w="3014" w:type="dxa"/>
                </w:tcPr>
                <w:p w14:paraId="57F8ADC7" w14:textId="6BB2CE6C" w:rsidR="0006538D" w:rsidRPr="000C138D" w:rsidRDefault="0006538D" w:rsidP="00150BA9">
                  <w:pPr>
                    <w:pStyle w:val="ListParagraph"/>
                    <w:widowControl w:val="0"/>
                    <w:numPr>
                      <w:ilvl w:val="0"/>
                      <w:numId w:val="42"/>
                    </w:numPr>
                    <w:spacing w:line="240" w:lineRule="auto"/>
                    <w:contextualSpacing w:val="0"/>
                    <w:rPr>
                      <w:sz w:val="20"/>
                    </w:rPr>
                  </w:pPr>
                  <w:r w:rsidRPr="000C138D">
                    <w:rPr>
                      <w:sz w:val="20"/>
                    </w:rPr>
                    <w:t xml:space="preserve">Excise taxes, last </w:t>
                  </w:r>
                  <w:r w:rsidR="00E5642C" w:rsidRPr="000C138D">
                    <w:rPr>
                      <w:sz w:val="20"/>
                    </w:rPr>
                    <w:t xml:space="preserve">10 percent </w:t>
                  </w:r>
                  <w:r w:rsidRPr="000C138D">
                    <w:rPr>
                      <w:sz w:val="20"/>
                    </w:rPr>
                    <w:t xml:space="preserve">increase </w:t>
                  </w:r>
                  <w:r w:rsidR="00E5642C" w:rsidRPr="000C138D">
                    <w:rPr>
                      <w:sz w:val="20"/>
                    </w:rPr>
                    <w:t xml:space="preserve">1 January </w:t>
                  </w:r>
                  <w:r w:rsidRPr="000C138D">
                    <w:rPr>
                      <w:sz w:val="20"/>
                    </w:rPr>
                    <w:t xml:space="preserve">2020 </w:t>
                  </w:r>
                </w:p>
              </w:tc>
              <w:tc>
                <w:tcPr>
                  <w:tcW w:w="3686" w:type="dxa"/>
                  <w:shd w:val="clear" w:color="auto" w:fill="auto"/>
                </w:tcPr>
                <w:p w14:paraId="7A2F9A42" w14:textId="4741949F" w:rsidR="0006538D" w:rsidRPr="000C138D" w:rsidRDefault="008D066E" w:rsidP="00595878">
                  <w:pPr>
                    <w:pStyle w:val="ListParagraph"/>
                    <w:widowControl w:val="0"/>
                    <w:numPr>
                      <w:ilvl w:val="0"/>
                      <w:numId w:val="42"/>
                    </w:numPr>
                    <w:spacing w:after="40" w:line="240" w:lineRule="auto"/>
                    <w:ind w:left="357" w:hanging="357"/>
                    <w:contextualSpacing w:val="0"/>
                    <w:rPr>
                      <w:sz w:val="20"/>
                    </w:rPr>
                  </w:pPr>
                  <w:r w:rsidRPr="000C138D">
                    <w:rPr>
                      <w:sz w:val="20"/>
                    </w:rPr>
                    <w:t>R</w:t>
                  </w:r>
                  <w:r w:rsidR="0006538D" w:rsidRPr="000C138D">
                    <w:rPr>
                      <w:sz w:val="20"/>
                    </w:rPr>
                    <w:t>equire a minimum price</w:t>
                  </w:r>
                  <w:r w:rsidR="006E3C64">
                    <w:rPr>
                      <w:sz w:val="20"/>
                    </w:rPr>
                    <w:t>.</w:t>
                  </w:r>
                </w:p>
              </w:tc>
            </w:tr>
          </w:tbl>
          <w:p w14:paraId="525CD3BC" w14:textId="096E1981" w:rsidR="0006538D" w:rsidRPr="000C138D" w:rsidRDefault="00A07450" w:rsidP="008931C3">
            <w:r w:rsidRPr="000C138D">
              <w:rPr>
                <w:rFonts w:cs="Arial"/>
                <w:szCs w:val="22"/>
                <w:lang w:eastAsia="en-AU"/>
              </w:rPr>
              <w:t xml:space="preserve">A coordinated approach with </w:t>
            </w:r>
            <w:proofErr w:type="gramStart"/>
            <w:r w:rsidRPr="000C138D">
              <w:rPr>
                <w:rFonts w:cs="Arial"/>
                <w:szCs w:val="22"/>
                <w:lang w:eastAsia="en-AU"/>
              </w:rPr>
              <w:t>a number of</w:t>
            </w:r>
            <w:proofErr w:type="gramEnd"/>
            <w:r w:rsidRPr="000C138D">
              <w:rPr>
                <w:rFonts w:cs="Arial"/>
                <w:szCs w:val="22"/>
                <w:lang w:eastAsia="en-AU"/>
              </w:rPr>
              <w:t xml:space="preserve"> policy measures implemented as part of a larger programme is most likely to </w:t>
            </w:r>
            <w:r w:rsidR="0006538D" w:rsidRPr="000C138D">
              <w:rPr>
                <w:rFonts w:cs="Arial"/>
                <w:szCs w:val="22"/>
                <w:lang w:eastAsia="en-AU"/>
              </w:rPr>
              <w:t xml:space="preserve">achieve a </w:t>
            </w:r>
            <w:r w:rsidR="00B5083F">
              <w:rPr>
                <w:rFonts w:cs="Arial"/>
                <w:szCs w:val="22"/>
                <w:lang w:eastAsia="en-AU"/>
              </w:rPr>
              <w:t>S</w:t>
            </w:r>
            <w:r w:rsidR="0006538D" w:rsidRPr="000C138D">
              <w:rPr>
                <w:rFonts w:cs="Arial"/>
                <w:szCs w:val="22"/>
                <w:lang w:eastAsia="en-AU"/>
              </w:rPr>
              <w:t xml:space="preserve">mokefree Aotearoa. </w:t>
            </w:r>
            <w:r w:rsidRPr="000C138D">
              <w:t>I</w:t>
            </w:r>
            <w:r w:rsidR="0006538D" w:rsidRPr="000C138D">
              <w:t xml:space="preserve">ndicative modelling by van der </w:t>
            </w:r>
            <w:proofErr w:type="spellStart"/>
            <w:r w:rsidR="0006538D" w:rsidRPr="000C138D">
              <w:t>Deen</w:t>
            </w:r>
            <w:proofErr w:type="spellEnd"/>
            <w:r w:rsidR="0006538D" w:rsidRPr="000C138D">
              <w:t xml:space="preserve"> et al (2018) shows that age limit increases, tax increases and a substantial</w:t>
            </w:r>
            <w:r w:rsidR="00372B9A" w:rsidRPr="000C138D">
              <w:t xml:space="preserve"> reduction</w:t>
            </w:r>
            <w:r w:rsidR="00372B9A">
              <w:t xml:space="preserve"> in</w:t>
            </w:r>
            <w:r w:rsidR="0006538D" w:rsidRPr="000C138D">
              <w:t xml:space="preserve"> outlet</w:t>
            </w:r>
            <w:r w:rsidR="00372B9A">
              <w:t>s</w:t>
            </w:r>
            <w:r w:rsidR="0006538D" w:rsidRPr="000C138D">
              <w:t xml:space="preserve"> will </w:t>
            </w:r>
            <w:r w:rsidR="00372B9A">
              <w:t xml:space="preserve">each </w:t>
            </w:r>
            <w:r w:rsidR="0006538D" w:rsidRPr="000C138D">
              <w:t xml:space="preserve">have an effect, but that the greatest effects </w:t>
            </w:r>
            <w:r w:rsidR="004B7507">
              <w:t>occur</w:t>
            </w:r>
            <w:r w:rsidR="0006538D" w:rsidRPr="000C138D">
              <w:t xml:space="preserve"> with a combined approach.   </w:t>
            </w:r>
          </w:p>
          <w:p w14:paraId="4E33BE72" w14:textId="1AA52307" w:rsidR="0006538D" w:rsidRPr="000C138D" w:rsidRDefault="0006538D" w:rsidP="008931C3">
            <w:pPr>
              <w:rPr>
                <w:rFonts w:cs="Arial"/>
                <w:szCs w:val="22"/>
                <w:lang w:eastAsia="en-AU"/>
              </w:rPr>
            </w:pPr>
            <w:r w:rsidRPr="000C138D">
              <w:rPr>
                <w:rFonts w:cs="Arial"/>
                <w:szCs w:val="22"/>
                <w:lang w:eastAsia="en-AU"/>
              </w:rPr>
              <w:t>Some of the options suggested, such as reducing retail outlets, can be implemented in a variety of ways, and the final impact will depend on the method chosen.</w:t>
            </w:r>
            <w:r w:rsidR="00F32A3D">
              <w:rPr>
                <w:rFonts w:cs="Arial"/>
                <w:szCs w:val="22"/>
                <w:lang w:eastAsia="en-AU"/>
              </w:rPr>
              <w:t xml:space="preserve"> We will refine the final options using</w:t>
            </w:r>
            <w:r w:rsidRPr="000C138D">
              <w:rPr>
                <w:rFonts w:cs="Arial"/>
                <w:szCs w:val="22"/>
                <w:lang w:eastAsia="en-AU"/>
              </w:rPr>
              <w:t xml:space="preserve"> </w:t>
            </w:r>
            <w:r w:rsidR="00F32A3D">
              <w:rPr>
                <w:rFonts w:cs="Arial"/>
                <w:szCs w:val="22"/>
                <w:lang w:eastAsia="en-AU"/>
              </w:rPr>
              <w:t>s</w:t>
            </w:r>
            <w:r w:rsidRPr="000C138D">
              <w:rPr>
                <w:rFonts w:cs="Arial"/>
                <w:szCs w:val="22"/>
                <w:lang w:eastAsia="en-AU"/>
              </w:rPr>
              <w:t xml:space="preserve">takeholder input through consultation </w:t>
            </w:r>
            <w:r w:rsidR="00C67A41" w:rsidRPr="000C138D">
              <w:rPr>
                <w:rFonts w:cs="Arial"/>
                <w:szCs w:val="22"/>
                <w:lang w:eastAsia="en-AU"/>
              </w:rPr>
              <w:t>as well as additional modelling (where required)</w:t>
            </w:r>
            <w:r w:rsidRPr="000C138D">
              <w:rPr>
                <w:rFonts w:cs="Arial"/>
                <w:szCs w:val="22"/>
                <w:lang w:eastAsia="en-AU"/>
              </w:rPr>
              <w:t xml:space="preserve">.  </w:t>
            </w:r>
          </w:p>
          <w:p w14:paraId="321DEB83" w14:textId="54015EB6" w:rsidR="00624BD6" w:rsidRPr="000C138D" w:rsidRDefault="008618B1" w:rsidP="008618B1">
            <w:pPr>
              <w:rPr>
                <w:rFonts w:cs="Arial"/>
                <w:szCs w:val="22"/>
                <w:lang w:eastAsia="en-AU"/>
              </w:rPr>
            </w:pPr>
            <w:r>
              <w:rPr>
                <w:rFonts w:cs="Arial"/>
                <w:szCs w:val="22"/>
                <w:lang w:eastAsia="en-AU"/>
              </w:rPr>
              <w:t>We will amend t</w:t>
            </w:r>
            <w:r w:rsidR="0006538D" w:rsidRPr="000C138D">
              <w:rPr>
                <w:rFonts w:cs="Arial"/>
                <w:szCs w:val="22"/>
                <w:lang w:eastAsia="en-AU"/>
              </w:rPr>
              <w:t xml:space="preserve">he analysis in this </w:t>
            </w:r>
            <w:r w:rsidR="00A02A3E">
              <w:rPr>
                <w:rFonts w:cs="Arial"/>
                <w:szCs w:val="22"/>
                <w:lang w:eastAsia="en-AU"/>
              </w:rPr>
              <w:t>Regulatory Impact Statement</w:t>
            </w:r>
            <w:r w:rsidR="0006538D" w:rsidRPr="000C138D">
              <w:rPr>
                <w:rFonts w:cs="Arial"/>
                <w:szCs w:val="22"/>
                <w:lang w:eastAsia="en-AU"/>
              </w:rPr>
              <w:t xml:space="preserve"> following consultation, </w:t>
            </w:r>
            <w:r>
              <w:rPr>
                <w:rFonts w:cs="Arial"/>
                <w:szCs w:val="22"/>
                <w:lang w:eastAsia="en-AU"/>
              </w:rPr>
              <w:t xml:space="preserve">using </w:t>
            </w:r>
            <w:r w:rsidR="0006538D" w:rsidRPr="000C138D">
              <w:rPr>
                <w:rFonts w:cs="Arial"/>
                <w:szCs w:val="22"/>
                <w:lang w:eastAsia="en-AU"/>
              </w:rPr>
              <w:t xml:space="preserve">feedback on the </w:t>
            </w:r>
            <w:r w:rsidR="00182BB5" w:rsidRPr="000C138D">
              <w:rPr>
                <w:rFonts w:cs="Arial"/>
                <w:szCs w:val="22"/>
                <w:lang w:eastAsia="en-AU"/>
              </w:rPr>
              <w:t>discussion document</w:t>
            </w:r>
            <w:r w:rsidR="0006538D" w:rsidRPr="000C138D">
              <w:rPr>
                <w:rFonts w:cs="Arial"/>
                <w:szCs w:val="22"/>
                <w:lang w:eastAsia="en-AU"/>
              </w:rPr>
              <w:t xml:space="preserve"> to finalise proposals for Cabinet to consider.</w:t>
            </w:r>
            <w:r w:rsidR="00624BD6" w:rsidRPr="000C138D">
              <w:rPr>
                <w:rFonts w:cs="Arial"/>
                <w:szCs w:val="22"/>
                <w:lang w:eastAsia="en-AU"/>
              </w:rPr>
              <w:t xml:space="preserve"> This will include further consideration of impacts on retailers, </w:t>
            </w:r>
            <w:r w:rsidR="001B701C" w:rsidRPr="000C138D">
              <w:rPr>
                <w:rFonts w:cs="Arial"/>
                <w:szCs w:val="22"/>
                <w:lang w:eastAsia="en-AU"/>
              </w:rPr>
              <w:t xml:space="preserve">smokers unable to quit or swap to a less harmful option, and </w:t>
            </w:r>
            <w:r>
              <w:rPr>
                <w:rFonts w:cs="Arial"/>
                <w:szCs w:val="22"/>
                <w:lang w:eastAsia="en-AU"/>
              </w:rPr>
              <w:t xml:space="preserve">how </w:t>
            </w:r>
            <w:r w:rsidR="00B03776" w:rsidRPr="000C138D">
              <w:rPr>
                <w:rFonts w:cs="Arial"/>
                <w:szCs w:val="22"/>
                <w:lang w:eastAsia="en-AU"/>
              </w:rPr>
              <w:t xml:space="preserve">the illicit market </w:t>
            </w:r>
            <w:r>
              <w:rPr>
                <w:rFonts w:cs="Arial"/>
                <w:szCs w:val="22"/>
                <w:lang w:eastAsia="en-AU"/>
              </w:rPr>
              <w:t>might respond to</w:t>
            </w:r>
            <w:r w:rsidRPr="000C138D">
              <w:rPr>
                <w:rFonts w:cs="Arial"/>
                <w:szCs w:val="22"/>
                <w:lang w:eastAsia="en-AU"/>
              </w:rPr>
              <w:t xml:space="preserve"> </w:t>
            </w:r>
            <w:r w:rsidR="00B03776" w:rsidRPr="000C138D">
              <w:rPr>
                <w:rFonts w:cs="Arial"/>
                <w:szCs w:val="22"/>
                <w:lang w:eastAsia="en-AU"/>
              </w:rPr>
              <w:t xml:space="preserve">these preferred options. </w:t>
            </w:r>
            <w:r w:rsidR="001B701C" w:rsidRPr="000C138D">
              <w:rPr>
                <w:rFonts w:cs="Arial"/>
                <w:szCs w:val="22"/>
                <w:lang w:eastAsia="en-AU"/>
              </w:rPr>
              <w:t xml:space="preserve"> </w:t>
            </w:r>
          </w:p>
        </w:tc>
      </w:tr>
    </w:tbl>
    <w:p w14:paraId="0E285420" w14:textId="411A1F54" w:rsidR="00BE4A62" w:rsidRPr="000C138D" w:rsidRDefault="00D9793F" w:rsidP="000E0C9E">
      <w:pPr>
        <w:pStyle w:val="Heading2"/>
      </w:pPr>
      <w:r w:rsidRPr="000C138D">
        <w:rPr>
          <w:rFonts w:cs="Arial"/>
          <w:sz w:val="22"/>
        </w:rPr>
        <w:br w:type="page"/>
      </w:r>
      <w:r w:rsidR="00E92509" w:rsidRPr="000C138D">
        <w:lastRenderedPageBreak/>
        <w:t xml:space="preserve">Section </w:t>
      </w:r>
      <w:r w:rsidR="00C77099" w:rsidRPr="000C138D">
        <w:t>4</w:t>
      </w:r>
      <w:r w:rsidR="00E92509" w:rsidRPr="000C138D">
        <w:t xml:space="preserve">: </w:t>
      </w:r>
      <w:r w:rsidR="00A33BA0" w:rsidRPr="000C138D">
        <w:t xml:space="preserve">Impact </w:t>
      </w:r>
      <w:r w:rsidR="009F5E79">
        <w:t>a</w:t>
      </w:r>
      <w:r w:rsidR="00A33BA0" w:rsidRPr="000C138D">
        <w:t>nalysis</w:t>
      </w:r>
      <w:r w:rsidR="005D5BF0" w:rsidRPr="000C138D">
        <w:t xml:space="preserve"> (</w:t>
      </w:r>
      <w:r w:rsidR="009F5E79">
        <w:t>p</w:t>
      </w:r>
      <w:r w:rsidR="00C77099" w:rsidRPr="000C138D">
        <w:t>roposed approach</w:t>
      </w:r>
      <w:r w:rsidR="005D5BF0" w:rsidRPr="000C138D">
        <w:t>)</w:t>
      </w:r>
    </w:p>
    <w:tbl>
      <w:tblPr>
        <w:tblW w:w="5000" w:type="pct"/>
        <w:tblInd w:w="-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9060"/>
      </w:tblGrid>
      <w:tr w:rsidR="005D5BF0" w:rsidRPr="000C138D" w14:paraId="1B6951CC" w14:textId="77777777" w:rsidTr="002A1D46">
        <w:trPr>
          <w:trHeight w:val="77"/>
        </w:trPr>
        <w:tc>
          <w:tcPr>
            <w:tcW w:w="5000" w:type="pct"/>
            <w:shd w:val="clear" w:color="auto" w:fill="99CDDD"/>
            <w:hideMark/>
          </w:tcPr>
          <w:p w14:paraId="3C301383" w14:textId="22309E74" w:rsidR="005D5BF0" w:rsidRPr="000C138D" w:rsidRDefault="00D9793F" w:rsidP="000E0C9E">
            <w:pPr>
              <w:pStyle w:val="TableHeadings"/>
              <w:rPr>
                <w:color w:val="002469"/>
              </w:rPr>
            </w:pPr>
            <w:r w:rsidRPr="000C138D">
              <w:t>4</w:t>
            </w:r>
            <w:r w:rsidR="005D5BF0" w:rsidRPr="000C138D">
              <w:t>.</w:t>
            </w:r>
            <w:r w:rsidR="00C77099" w:rsidRPr="000C138D">
              <w:t>1</w:t>
            </w:r>
            <w:r w:rsidR="005D5BF0" w:rsidRPr="000C138D">
              <w:t xml:space="preserve"> Summary table of costs and benefits</w:t>
            </w:r>
          </w:p>
        </w:tc>
      </w:tr>
    </w:tbl>
    <w:p w14:paraId="3273C458" w14:textId="77777777" w:rsidR="00D9793F" w:rsidRPr="000C138D" w:rsidRDefault="00D9793F" w:rsidP="00567434">
      <w:pPr>
        <w:pStyle w:val="spacer"/>
      </w:pPr>
    </w:p>
    <w:tbl>
      <w:tblPr>
        <w:tblW w:w="9069"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4A0" w:firstRow="1" w:lastRow="0" w:firstColumn="1" w:lastColumn="0" w:noHBand="0" w:noVBand="1"/>
      </w:tblPr>
      <w:tblGrid>
        <w:gridCol w:w="1982"/>
        <w:gridCol w:w="3544"/>
        <w:gridCol w:w="2268"/>
        <w:gridCol w:w="1275"/>
      </w:tblGrid>
      <w:tr w:rsidR="0082483F" w:rsidRPr="000C138D" w14:paraId="5C5D3D80" w14:textId="77777777" w:rsidTr="00DC36AE">
        <w:trPr>
          <w:trHeight w:val="732"/>
        </w:trPr>
        <w:tc>
          <w:tcPr>
            <w:tcW w:w="1982" w:type="dxa"/>
            <w:tcBorders>
              <w:top w:val="single" w:sz="2" w:space="0" w:color="auto"/>
              <w:left w:val="single" w:sz="2" w:space="0" w:color="auto"/>
              <w:bottom w:val="single" w:sz="2" w:space="0" w:color="auto"/>
              <w:right w:val="single" w:sz="2" w:space="0" w:color="auto"/>
            </w:tcBorders>
            <w:shd w:val="clear" w:color="auto" w:fill="99CDDD"/>
          </w:tcPr>
          <w:p w14:paraId="1E403784" w14:textId="3CEB559E" w:rsidR="0082483F" w:rsidRPr="000C138D" w:rsidRDefault="0082483F" w:rsidP="000E0C9E">
            <w:pPr>
              <w:spacing w:before="60" w:after="60" w:line="240" w:lineRule="auto"/>
              <w:rPr>
                <w:rFonts w:eastAsia="Calibri" w:cs="Arial"/>
                <w:szCs w:val="22"/>
                <w:lang w:eastAsia="en-AU"/>
              </w:rPr>
            </w:pPr>
            <w:r w:rsidRPr="000C138D">
              <w:rPr>
                <w:rFonts w:eastAsia="Calibri" w:cs="Arial"/>
                <w:b/>
                <w:szCs w:val="22"/>
                <w:lang w:eastAsia="en-AU"/>
              </w:rPr>
              <w:t>Affected parties</w:t>
            </w:r>
            <w:r w:rsidRPr="000C138D">
              <w:rPr>
                <w:rFonts w:eastAsia="Calibri" w:cs="Arial"/>
                <w:szCs w:val="22"/>
                <w:lang w:eastAsia="en-AU"/>
              </w:rPr>
              <w:t xml:space="preserve"> </w:t>
            </w:r>
          </w:p>
        </w:tc>
        <w:tc>
          <w:tcPr>
            <w:tcW w:w="3544" w:type="dxa"/>
            <w:tcBorders>
              <w:top w:val="single" w:sz="2" w:space="0" w:color="auto"/>
              <w:left w:val="single" w:sz="2" w:space="0" w:color="auto"/>
              <w:bottom w:val="single" w:sz="2" w:space="0" w:color="auto"/>
              <w:right w:val="single" w:sz="2" w:space="0" w:color="auto"/>
            </w:tcBorders>
            <w:shd w:val="clear" w:color="auto" w:fill="99CDDD"/>
          </w:tcPr>
          <w:p w14:paraId="209E8ABD" w14:textId="3A472DDE" w:rsidR="0082483F" w:rsidRPr="000C138D" w:rsidRDefault="0082483F" w:rsidP="000E0C9E">
            <w:pPr>
              <w:spacing w:before="60" w:after="60" w:line="240" w:lineRule="auto"/>
              <w:rPr>
                <w:rFonts w:eastAsia="Calibri" w:cs="Arial"/>
                <w:szCs w:val="22"/>
                <w:lang w:eastAsia="en-AU"/>
              </w:rPr>
            </w:pPr>
            <w:r w:rsidRPr="000C138D">
              <w:rPr>
                <w:rFonts w:eastAsia="Calibri" w:cs="Arial"/>
                <w:b/>
                <w:szCs w:val="22"/>
                <w:lang w:eastAsia="en-AU"/>
              </w:rPr>
              <w:t>Comment</w:t>
            </w:r>
          </w:p>
        </w:tc>
        <w:tc>
          <w:tcPr>
            <w:tcW w:w="2268" w:type="dxa"/>
            <w:tcBorders>
              <w:top w:val="single" w:sz="2" w:space="0" w:color="auto"/>
              <w:left w:val="single" w:sz="2" w:space="0" w:color="auto"/>
              <w:bottom w:val="single" w:sz="2" w:space="0" w:color="auto"/>
              <w:right w:val="single" w:sz="2" w:space="0" w:color="auto"/>
            </w:tcBorders>
            <w:shd w:val="clear" w:color="auto" w:fill="99CDDD"/>
          </w:tcPr>
          <w:p w14:paraId="2E4AD79D" w14:textId="4BE139DF" w:rsidR="0082483F" w:rsidRPr="000C138D" w:rsidRDefault="0082483F" w:rsidP="000E0C9E">
            <w:pPr>
              <w:spacing w:before="60" w:after="60" w:line="240" w:lineRule="auto"/>
              <w:rPr>
                <w:rFonts w:eastAsia="Calibri" w:cs="Arial"/>
                <w:i/>
                <w:szCs w:val="22"/>
                <w:lang w:eastAsia="en-AU"/>
              </w:rPr>
            </w:pPr>
            <w:r w:rsidRPr="000C138D">
              <w:rPr>
                <w:rFonts w:eastAsia="Calibri" w:cs="Arial"/>
                <w:b/>
                <w:szCs w:val="22"/>
                <w:lang w:eastAsia="en-AU"/>
              </w:rPr>
              <w:t>Impact</w:t>
            </w:r>
            <w:r w:rsidRPr="000C138D">
              <w:rPr>
                <w:rFonts w:eastAsia="Calibri" w:cs="Arial"/>
                <w:i/>
                <w:szCs w:val="22"/>
                <w:lang w:eastAsia="en-AU"/>
              </w:rPr>
              <w:t xml:space="preserve"> </w:t>
            </w:r>
          </w:p>
        </w:tc>
        <w:tc>
          <w:tcPr>
            <w:tcW w:w="1275" w:type="dxa"/>
            <w:tcBorders>
              <w:top w:val="single" w:sz="2" w:space="0" w:color="auto"/>
              <w:left w:val="single" w:sz="2" w:space="0" w:color="auto"/>
              <w:bottom w:val="single" w:sz="2" w:space="0" w:color="auto"/>
              <w:right w:val="single" w:sz="2" w:space="0" w:color="auto"/>
            </w:tcBorders>
            <w:shd w:val="clear" w:color="auto" w:fill="99CDDD"/>
          </w:tcPr>
          <w:p w14:paraId="083E62B4" w14:textId="3B131F59" w:rsidR="0082483F" w:rsidRPr="000C138D" w:rsidRDefault="0082483F" w:rsidP="000E0C9E">
            <w:pPr>
              <w:spacing w:before="60" w:after="60" w:line="240" w:lineRule="auto"/>
              <w:rPr>
                <w:rFonts w:eastAsia="Calibri" w:cs="Arial"/>
                <w:szCs w:val="22"/>
                <w:lang w:eastAsia="en-AU"/>
              </w:rPr>
            </w:pPr>
            <w:r w:rsidRPr="000C138D">
              <w:rPr>
                <w:rFonts w:eastAsia="Calibri" w:cs="Arial"/>
                <w:b/>
                <w:szCs w:val="22"/>
                <w:lang w:eastAsia="en-AU"/>
              </w:rPr>
              <w:t>Evidence</w:t>
            </w:r>
            <w:r w:rsidRPr="000C138D">
              <w:rPr>
                <w:rFonts w:eastAsia="Calibri" w:cs="Arial"/>
                <w:szCs w:val="22"/>
                <w:lang w:eastAsia="en-AU"/>
              </w:rPr>
              <w:t xml:space="preserve"> </w:t>
            </w:r>
            <w:r w:rsidRPr="000C138D">
              <w:rPr>
                <w:rFonts w:eastAsia="Calibri" w:cs="Arial"/>
                <w:b/>
                <w:szCs w:val="22"/>
                <w:lang w:eastAsia="en-AU"/>
              </w:rPr>
              <w:t>certainty</w:t>
            </w:r>
            <w:r w:rsidRPr="000C138D">
              <w:rPr>
                <w:rFonts w:eastAsia="Calibri" w:cs="Arial"/>
                <w:szCs w:val="22"/>
                <w:lang w:eastAsia="en-AU"/>
              </w:rPr>
              <w:t xml:space="preserve"> </w:t>
            </w:r>
          </w:p>
        </w:tc>
      </w:tr>
      <w:tr w:rsidR="0082483F" w:rsidRPr="000C138D" w14:paraId="15A362D9" w14:textId="77777777" w:rsidTr="00DC36AE">
        <w:trPr>
          <w:trHeight w:val="253"/>
        </w:trPr>
        <w:tc>
          <w:tcPr>
            <w:tcW w:w="9069" w:type="dxa"/>
            <w:gridSpan w:val="4"/>
            <w:tcBorders>
              <w:top w:val="nil"/>
              <w:left w:val="nil"/>
              <w:bottom w:val="nil"/>
              <w:right w:val="nil"/>
            </w:tcBorders>
          </w:tcPr>
          <w:p w14:paraId="000D347E" w14:textId="77777777" w:rsidR="0082483F" w:rsidRPr="000C138D" w:rsidRDefault="0082483F" w:rsidP="000E0C9E">
            <w:pPr>
              <w:keepNext/>
              <w:spacing w:after="0" w:line="240" w:lineRule="auto"/>
              <w:rPr>
                <w:rFonts w:eastAsia="Calibri" w:cs="Arial"/>
                <w:sz w:val="16"/>
                <w:szCs w:val="22"/>
                <w:lang w:eastAsia="en-AU"/>
              </w:rPr>
            </w:pPr>
          </w:p>
        </w:tc>
      </w:tr>
      <w:tr w:rsidR="0082483F" w:rsidRPr="000C138D" w14:paraId="6E356078" w14:textId="77777777" w:rsidTr="00DC36AE">
        <w:trPr>
          <w:trHeight w:val="253"/>
        </w:trPr>
        <w:tc>
          <w:tcPr>
            <w:tcW w:w="9069" w:type="dxa"/>
            <w:gridSpan w:val="4"/>
            <w:tcBorders>
              <w:top w:val="single" w:sz="2" w:space="0" w:color="auto"/>
              <w:left w:val="single" w:sz="2" w:space="0" w:color="auto"/>
              <w:bottom w:val="single" w:sz="2" w:space="0" w:color="auto"/>
              <w:right w:val="single" w:sz="2" w:space="0" w:color="auto"/>
            </w:tcBorders>
            <w:shd w:val="clear" w:color="auto" w:fill="99CDDD"/>
          </w:tcPr>
          <w:p w14:paraId="3813E498" w14:textId="2B40538F" w:rsidR="0082483F" w:rsidRPr="000C138D" w:rsidRDefault="0082483F" w:rsidP="000E0C9E">
            <w:pPr>
              <w:keepNext/>
              <w:spacing w:before="40" w:after="20" w:line="276" w:lineRule="auto"/>
              <w:rPr>
                <w:rFonts w:eastAsia="Calibri" w:cs="Arial"/>
                <w:b/>
                <w:szCs w:val="22"/>
              </w:rPr>
            </w:pPr>
            <w:r w:rsidRPr="000C138D">
              <w:rPr>
                <w:rFonts w:eastAsia="Calibri" w:cs="Arial"/>
                <w:b/>
                <w:szCs w:val="22"/>
              </w:rPr>
              <w:t xml:space="preserve">Additional costs of proposed approach, compared </w:t>
            </w:r>
            <w:r w:rsidR="000E0C9E">
              <w:rPr>
                <w:rFonts w:eastAsia="Calibri" w:cs="Arial"/>
                <w:b/>
                <w:szCs w:val="22"/>
              </w:rPr>
              <w:t>with</w:t>
            </w:r>
            <w:r w:rsidR="000E0C9E" w:rsidRPr="000C138D">
              <w:rPr>
                <w:rFonts w:eastAsia="Calibri" w:cs="Arial"/>
                <w:b/>
                <w:szCs w:val="22"/>
              </w:rPr>
              <w:t xml:space="preserve"> </w:t>
            </w:r>
            <w:r w:rsidRPr="000C138D">
              <w:rPr>
                <w:rFonts w:eastAsia="Calibri" w:cs="Arial"/>
                <w:b/>
                <w:szCs w:val="22"/>
              </w:rPr>
              <w:t>taking no action</w:t>
            </w:r>
          </w:p>
        </w:tc>
      </w:tr>
      <w:tr w:rsidR="0082483F" w:rsidRPr="000C138D" w14:paraId="573273E9" w14:textId="77777777" w:rsidTr="00546700">
        <w:trPr>
          <w:trHeight w:val="253"/>
        </w:trPr>
        <w:tc>
          <w:tcPr>
            <w:tcW w:w="1982" w:type="dxa"/>
            <w:tcBorders>
              <w:top w:val="single" w:sz="2" w:space="0" w:color="auto"/>
              <w:left w:val="single" w:sz="2" w:space="0" w:color="auto"/>
              <w:bottom w:val="single" w:sz="2" w:space="0" w:color="auto"/>
              <w:right w:val="single" w:sz="2" w:space="0" w:color="auto"/>
            </w:tcBorders>
            <w:shd w:val="clear" w:color="auto" w:fill="auto"/>
          </w:tcPr>
          <w:p w14:paraId="10C2CDA3" w14:textId="77777777" w:rsidR="0082483F" w:rsidRPr="000C138D" w:rsidRDefault="0082483F" w:rsidP="000E0C9E">
            <w:pPr>
              <w:keepNext/>
              <w:autoSpaceDE w:val="0"/>
              <w:autoSpaceDN w:val="0"/>
              <w:adjustRightInd w:val="0"/>
              <w:spacing w:before="60" w:after="60" w:line="276" w:lineRule="auto"/>
              <w:rPr>
                <w:rFonts w:eastAsia="Calibri" w:cs="Arial"/>
                <w:szCs w:val="22"/>
                <w:lang w:eastAsia="en-AU"/>
              </w:rPr>
            </w:pPr>
            <w:r w:rsidRPr="000C138D">
              <w:rPr>
                <w:rFonts w:eastAsia="Calibri" w:cs="Arial"/>
                <w:szCs w:val="22"/>
                <w:lang w:eastAsia="en-AU"/>
              </w:rPr>
              <w:t>Regulated parties</w:t>
            </w:r>
          </w:p>
        </w:tc>
        <w:tc>
          <w:tcPr>
            <w:tcW w:w="3544" w:type="dxa"/>
            <w:tcBorders>
              <w:top w:val="single" w:sz="2" w:space="0" w:color="auto"/>
              <w:left w:val="single" w:sz="2" w:space="0" w:color="auto"/>
              <w:bottom w:val="single" w:sz="2" w:space="0" w:color="auto"/>
              <w:right w:val="single" w:sz="2" w:space="0" w:color="auto"/>
            </w:tcBorders>
            <w:shd w:val="clear" w:color="auto" w:fill="auto"/>
          </w:tcPr>
          <w:p w14:paraId="1C57AB60" w14:textId="3E3B7FD0" w:rsidR="0082483F" w:rsidRPr="000C138D" w:rsidRDefault="0082483F" w:rsidP="000E0C9E">
            <w:pPr>
              <w:keepNext/>
              <w:autoSpaceDE w:val="0"/>
              <w:autoSpaceDN w:val="0"/>
              <w:adjustRightInd w:val="0"/>
              <w:spacing w:before="60" w:after="60" w:line="276" w:lineRule="auto"/>
              <w:rPr>
                <w:rFonts w:eastAsia="Calibri" w:cs="Arial"/>
                <w:szCs w:val="22"/>
                <w:lang w:eastAsia="en-AU"/>
              </w:rPr>
            </w:pPr>
            <w:r w:rsidRPr="000C138D">
              <w:rPr>
                <w:rFonts w:eastAsia="Calibri" w:cs="Arial"/>
                <w:szCs w:val="22"/>
                <w:lang w:eastAsia="en-AU"/>
              </w:rPr>
              <w:t>Regulated parties (retailers, importe</w:t>
            </w:r>
            <w:r w:rsidR="000E0C9E">
              <w:rPr>
                <w:rFonts w:eastAsia="Calibri" w:cs="Arial"/>
                <w:szCs w:val="22"/>
                <w:lang w:eastAsia="en-AU"/>
              </w:rPr>
              <w:t>rs</w:t>
            </w:r>
            <w:r w:rsidRPr="000C138D">
              <w:rPr>
                <w:rFonts w:eastAsia="Calibri" w:cs="Arial"/>
                <w:szCs w:val="22"/>
                <w:lang w:eastAsia="en-AU"/>
              </w:rPr>
              <w:t xml:space="preserve"> of tobacco products) would see a significant decrease in business</w:t>
            </w:r>
            <w:r w:rsidR="0014215A">
              <w:rPr>
                <w:rFonts w:eastAsia="Calibri" w:cs="Arial"/>
                <w:szCs w:val="22"/>
                <w:lang w:eastAsia="en-AU"/>
              </w:rPr>
              <w:t>.</w:t>
            </w:r>
          </w:p>
        </w:tc>
        <w:tc>
          <w:tcPr>
            <w:tcW w:w="2268" w:type="dxa"/>
            <w:tcBorders>
              <w:top w:val="single" w:sz="2" w:space="0" w:color="auto"/>
              <w:left w:val="single" w:sz="2" w:space="0" w:color="auto"/>
              <w:bottom w:val="single" w:sz="2" w:space="0" w:color="auto"/>
              <w:right w:val="single" w:sz="2" w:space="0" w:color="auto"/>
            </w:tcBorders>
            <w:shd w:val="clear" w:color="auto" w:fill="auto"/>
          </w:tcPr>
          <w:p w14:paraId="6A564E73" w14:textId="0BA326D5" w:rsidR="0082483F" w:rsidRPr="000C138D" w:rsidRDefault="0082483F" w:rsidP="000E0C9E">
            <w:pPr>
              <w:keepNext/>
              <w:autoSpaceDE w:val="0"/>
              <w:autoSpaceDN w:val="0"/>
              <w:adjustRightInd w:val="0"/>
              <w:spacing w:before="60" w:after="60" w:line="276" w:lineRule="auto"/>
              <w:rPr>
                <w:rFonts w:eastAsia="Calibri" w:cs="Arial"/>
                <w:szCs w:val="22"/>
                <w:lang w:eastAsia="en-AU"/>
              </w:rPr>
            </w:pPr>
            <w:r w:rsidRPr="000C138D">
              <w:rPr>
                <w:rFonts w:eastAsia="Calibri" w:cs="Arial"/>
                <w:szCs w:val="22"/>
                <w:lang w:eastAsia="en-AU"/>
              </w:rPr>
              <w:t>Medium</w:t>
            </w:r>
            <w:r w:rsidR="000E0C9E">
              <w:rPr>
                <w:rFonts w:eastAsia="Calibri" w:cs="Arial"/>
                <w:szCs w:val="22"/>
                <w:lang w:eastAsia="en-AU"/>
              </w:rPr>
              <w:t>–</w:t>
            </w:r>
            <w:r w:rsidRPr="000C138D">
              <w:rPr>
                <w:rFonts w:eastAsia="Calibri" w:cs="Arial"/>
                <w:szCs w:val="22"/>
                <w:lang w:eastAsia="en-AU"/>
              </w:rPr>
              <w:t>High</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C0C840C" w14:textId="77777777" w:rsidR="0082483F" w:rsidRPr="000C138D" w:rsidRDefault="0082483F" w:rsidP="000E0C9E">
            <w:pPr>
              <w:keepNext/>
              <w:autoSpaceDE w:val="0"/>
              <w:autoSpaceDN w:val="0"/>
              <w:adjustRightInd w:val="0"/>
              <w:spacing w:before="60" w:after="60" w:line="276" w:lineRule="auto"/>
              <w:rPr>
                <w:rFonts w:eastAsia="Calibri" w:cs="Arial"/>
                <w:szCs w:val="22"/>
                <w:lang w:eastAsia="en-AU"/>
              </w:rPr>
            </w:pPr>
            <w:r w:rsidRPr="000C138D">
              <w:rPr>
                <w:rFonts w:eastAsia="Calibri" w:cs="Arial"/>
                <w:szCs w:val="22"/>
                <w:lang w:eastAsia="en-AU"/>
              </w:rPr>
              <w:t>Medium</w:t>
            </w:r>
          </w:p>
        </w:tc>
      </w:tr>
      <w:tr w:rsidR="0082483F" w:rsidRPr="000C138D" w14:paraId="0EE26509" w14:textId="77777777" w:rsidTr="00546700">
        <w:trPr>
          <w:trHeight w:val="253"/>
        </w:trPr>
        <w:tc>
          <w:tcPr>
            <w:tcW w:w="1982" w:type="dxa"/>
            <w:tcBorders>
              <w:top w:val="single" w:sz="2" w:space="0" w:color="auto"/>
              <w:left w:val="single" w:sz="2" w:space="0" w:color="auto"/>
              <w:bottom w:val="single" w:sz="2" w:space="0" w:color="auto"/>
              <w:right w:val="single" w:sz="2" w:space="0" w:color="auto"/>
            </w:tcBorders>
            <w:shd w:val="clear" w:color="auto" w:fill="auto"/>
          </w:tcPr>
          <w:p w14:paraId="45958A49" w14:textId="77777777" w:rsidR="0082483F" w:rsidRPr="000C138D" w:rsidRDefault="0082483F" w:rsidP="000E0C9E">
            <w:pPr>
              <w:keepNext/>
              <w:autoSpaceDE w:val="0"/>
              <w:autoSpaceDN w:val="0"/>
              <w:adjustRightInd w:val="0"/>
              <w:spacing w:before="60" w:after="60" w:line="276" w:lineRule="auto"/>
              <w:rPr>
                <w:rFonts w:eastAsia="Calibri" w:cs="Arial"/>
                <w:szCs w:val="22"/>
                <w:lang w:eastAsia="en-AU"/>
              </w:rPr>
            </w:pPr>
            <w:r w:rsidRPr="000C138D">
              <w:rPr>
                <w:rFonts w:eastAsia="Calibri" w:cs="Arial"/>
                <w:szCs w:val="22"/>
                <w:lang w:eastAsia="en-AU"/>
              </w:rPr>
              <w:t>Regulators</w:t>
            </w:r>
          </w:p>
        </w:tc>
        <w:tc>
          <w:tcPr>
            <w:tcW w:w="3544" w:type="dxa"/>
            <w:tcBorders>
              <w:top w:val="single" w:sz="2" w:space="0" w:color="auto"/>
              <w:left w:val="single" w:sz="2" w:space="0" w:color="auto"/>
              <w:bottom w:val="single" w:sz="2" w:space="0" w:color="auto"/>
              <w:right w:val="single" w:sz="2" w:space="0" w:color="auto"/>
            </w:tcBorders>
            <w:shd w:val="clear" w:color="auto" w:fill="auto"/>
          </w:tcPr>
          <w:p w14:paraId="14E6E7CA" w14:textId="7BC7D30A" w:rsidR="0082483F" w:rsidRPr="000C138D" w:rsidRDefault="0082483F" w:rsidP="000E0C9E">
            <w:pPr>
              <w:keepNext/>
              <w:autoSpaceDE w:val="0"/>
              <w:autoSpaceDN w:val="0"/>
              <w:adjustRightInd w:val="0"/>
              <w:spacing w:before="60" w:after="60" w:line="276" w:lineRule="auto"/>
              <w:rPr>
                <w:rFonts w:eastAsia="Calibri" w:cs="Arial"/>
                <w:szCs w:val="22"/>
                <w:lang w:eastAsia="en-AU"/>
              </w:rPr>
            </w:pPr>
            <w:r w:rsidRPr="000C138D">
              <w:rPr>
                <w:rFonts w:eastAsia="Calibri" w:cs="Arial"/>
                <w:szCs w:val="22"/>
                <w:lang w:eastAsia="en-AU"/>
              </w:rPr>
              <w:t xml:space="preserve">Implementation costs – estimated </w:t>
            </w:r>
            <w:r w:rsidR="0014215A">
              <w:rPr>
                <w:rFonts w:eastAsia="Calibri" w:cs="Arial"/>
                <w:szCs w:val="22"/>
                <w:lang w:eastAsia="en-AU"/>
              </w:rPr>
              <w:t>as a</w:t>
            </w:r>
            <w:r w:rsidR="0014215A" w:rsidRPr="000C138D">
              <w:rPr>
                <w:rFonts w:eastAsia="Calibri" w:cs="Arial"/>
                <w:szCs w:val="22"/>
                <w:lang w:eastAsia="en-AU"/>
              </w:rPr>
              <w:t xml:space="preserve"> </w:t>
            </w:r>
            <w:r w:rsidRPr="000C138D">
              <w:rPr>
                <w:rFonts w:eastAsia="Calibri" w:cs="Arial"/>
                <w:szCs w:val="22"/>
                <w:lang w:eastAsia="en-AU"/>
              </w:rPr>
              <w:t xml:space="preserve">total </w:t>
            </w:r>
            <w:r w:rsidR="0014215A">
              <w:rPr>
                <w:rFonts w:eastAsia="Calibri" w:cs="Arial"/>
                <w:szCs w:val="22"/>
                <w:lang w:eastAsia="en-AU"/>
              </w:rPr>
              <w:t>of</w:t>
            </w:r>
            <w:r w:rsidRPr="000C138D">
              <w:rPr>
                <w:rFonts w:eastAsia="Calibri" w:cs="Arial"/>
                <w:szCs w:val="22"/>
                <w:lang w:eastAsia="en-AU"/>
              </w:rPr>
              <w:t xml:space="preserve"> $1-2 million over 5 years. This includes: </w:t>
            </w:r>
          </w:p>
          <w:p w14:paraId="7956FEFB" w14:textId="77777777" w:rsidR="0082483F" w:rsidRPr="000C138D" w:rsidRDefault="00182BB5" w:rsidP="00546700">
            <w:pPr>
              <w:pStyle w:val="ListBullet"/>
              <w:rPr>
                <w:rFonts w:eastAsia="Calibri"/>
                <w:lang w:eastAsia="en-AU"/>
              </w:rPr>
            </w:pPr>
            <w:r w:rsidRPr="000C138D">
              <w:rPr>
                <w:rFonts w:eastAsia="Calibri"/>
                <w:lang w:eastAsia="en-AU"/>
              </w:rPr>
              <w:t>c</w:t>
            </w:r>
            <w:r w:rsidR="0082483F" w:rsidRPr="000C138D">
              <w:rPr>
                <w:rFonts w:eastAsia="Calibri"/>
                <w:lang w:eastAsia="en-AU"/>
              </w:rPr>
              <w:t>osts to establish and maintain a regulator</w:t>
            </w:r>
          </w:p>
          <w:p w14:paraId="1980D1C8" w14:textId="13ABE513" w:rsidR="00882D08" w:rsidRPr="000C138D" w:rsidRDefault="00182BB5" w:rsidP="00546700">
            <w:pPr>
              <w:pStyle w:val="ListBullet"/>
              <w:rPr>
                <w:rFonts w:eastAsia="Calibri"/>
                <w:lang w:eastAsia="en-AU"/>
              </w:rPr>
            </w:pPr>
            <w:r w:rsidRPr="000C138D">
              <w:rPr>
                <w:rFonts w:eastAsia="Calibri"/>
                <w:lang w:eastAsia="en-AU"/>
              </w:rPr>
              <w:t>c</w:t>
            </w:r>
            <w:r w:rsidR="0082483F" w:rsidRPr="000C138D">
              <w:rPr>
                <w:rFonts w:eastAsia="Calibri"/>
                <w:lang w:eastAsia="en-AU"/>
              </w:rPr>
              <w:t>ompliance and testing costs</w:t>
            </w:r>
            <w:r w:rsidR="00333037">
              <w:rPr>
                <w:rFonts w:eastAsia="Calibri"/>
                <w:lang w:eastAsia="en-AU"/>
              </w:rPr>
              <w:t xml:space="preserve"> (other than </w:t>
            </w:r>
            <w:r w:rsidR="00864AD0">
              <w:rPr>
                <w:rFonts w:eastAsia="Calibri"/>
                <w:lang w:eastAsia="en-AU"/>
              </w:rPr>
              <w:t>border related compliance costs)</w:t>
            </w:r>
            <w:r w:rsidR="0082483F" w:rsidRPr="000C138D">
              <w:rPr>
                <w:rFonts w:eastAsia="Calibri"/>
                <w:lang w:eastAsia="en-AU"/>
              </w:rPr>
              <w:t xml:space="preserve">. </w:t>
            </w:r>
            <w:r w:rsidR="00B03776" w:rsidRPr="000C138D">
              <w:rPr>
                <w:rFonts w:eastAsia="Calibri"/>
                <w:lang w:eastAsia="en-AU"/>
              </w:rPr>
              <w:t xml:space="preserve"> </w:t>
            </w:r>
          </w:p>
        </w:tc>
        <w:tc>
          <w:tcPr>
            <w:tcW w:w="2268" w:type="dxa"/>
            <w:tcBorders>
              <w:top w:val="single" w:sz="2" w:space="0" w:color="auto"/>
              <w:left w:val="single" w:sz="2" w:space="0" w:color="auto"/>
              <w:bottom w:val="single" w:sz="2" w:space="0" w:color="auto"/>
              <w:right w:val="single" w:sz="2" w:space="0" w:color="auto"/>
            </w:tcBorders>
            <w:shd w:val="clear" w:color="auto" w:fill="auto"/>
          </w:tcPr>
          <w:p w14:paraId="7DFC9D06" w14:textId="77777777" w:rsidR="0082483F" w:rsidRPr="000C138D" w:rsidRDefault="0082483F" w:rsidP="000E0C9E">
            <w:pPr>
              <w:keepNext/>
              <w:autoSpaceDE w:val="0"/>
              <w:autoSpaceDN w:val="0"/>
              <w:adjustRightInd w:val="0"/>
              <w:spacing w:before="60" w:after="60" w:line="276" w:lineRule="auto"/>
              <w:rPr>
                <w:rFonts w:eastAsia="Calibri" w:cs="Arial"/>
                <w:szCs w:val="22"/>
                <w:lang w:eastAsia="en-AU"/>
              </w:rPr>
            </w:pPr>
            <w:r w:rsidRPr="000C138D">
              <w:rPr>
                <w:rFonts w:eastAsia="Calibri" w:cs="Arial"/>
                <w:szCs w:val="22"/>
                <w:lang w:eastAsia="en-AU"/>
              </w:rPr>
              <w:t>Low</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5F20F84C" w14:textId="77777777" w:rsidR="0082483F" w:rsidRPr="000C138D" w:rsidRDefault="0082483F" w:rsidP="000E0C9E">
            <w:pPr>
              <w:keepNext/>
              <w:autoSpaceDE w:val="0"/>
              <w:autoSpaceDN w:val="0"/>
              <w:adjustRightInd w:val="0"/>
              <w:spacing w:before="60" w:after="60" w:line="276" w:lineRule="auto"/>
              <w:rPr>
                <w:rFonts w:eastAsia="Calibri" w:cs="Arial"/>
                <w:szCs w:val="22"/>
                <w:lang w:eastAsia="en-AU"/>
              </w:rPr>
            </w:pPr>
            <w:r w:rsidRPr="000C138D">
              <w:rPr>
                <w:rFonts w:eastAsia="Calibri" w:cs="Arial"/>
                <w:szCs w:val="22"/>
                <w:lang w:eastAsia="en-AU"/>
              </w:rPr>
              <w:t xml:space="preserve">Medium </w:t>
            </w:r>
          </w:p>
        </w:tc>
      </w:tr>
      <w:tr w:rsidR="0082483F" w:rsidRPr="000C138D" w14:paraId="75E5E115" w14:textId="77777777" w:rsidTr="00546700">
        <w:trPr>
          <w:trHeight w:val="253"/>
        </w:trPr>
        <w:tc>
          <w:tcPr>
            <w:tcW w:w="1982" w:type="dxa"/>
            <w:tcBorders>
              <w:top w:val="single" w:sz="2" w:space="0" w:color="auto"/>
              <w:left w:val="single" w:sz="2" w:space="0" w:color="auto"/>
              <w:bottom w:val="single" w:sz="2" w:space="0" w:color="auto"/>
              <w:right w:val="single" w:sz="2" w:space="0" w:color="auto"/>
            </w:tcBorders>
            <w:shd w:val="clear" w:color="auto" w:fill="auto"/>
          </w:tcPr>
          <w:p w14:paraId="1E4AD38D" w14:textId="77777777" w:rsidR="0082483F" w:rsidRPr="000C138D" w:rsidRDefault="0082483F" w:rsidP="000E0C9E">
            <w:pPr>
              <w:keepNext/>
              <w:autoSpaceDE w:val="0"/>
              <w:autoSpaceDN w:val="0"/>
              <w:adjustRightInd w:val="0"/>
              <w:spacing w:before="60" w:after="60" w:line="276" w:lineRule="auto"/>
              <w:rPr>
                <w:rFonts w:eastAsia="Calibri" w:cs="Arial"/>
                <w:szCs w:val="22"/>
                <w:lang w:eastAsia="en-AU"/>
              </w:rPr>
            </w:pPr>
            <w:r w:rsidRPr="000C138D">
              <w:rPr>
                <w:rFonts w:eastAsia="Calibri" w:cs="Arial"/>
                <w:szCs w:val="22"/>
                <w:lang w:eastAsia="en-AU"/>
              </w:rPr>
              <w:t>Wider government</w:t>
            </w:r>
          </w:p>
        </w:tc>
        <w:tc>
          <w:tcPr>
            <w:tcW w:w="3544" w:type="dxa"/>
            <w:tcBorders>
              <w:top w:val="single" w:sz="2" w:space="0" w:color="auto"/>
              <w:left w:val="single" w:sz="2" w:space="0" w:color="auto"/>
              <w:bottom w:val="single" w:sz="2" w:space="0" w:color="auto"/>
              <w:right w:val="single" w:sz="2" w:space="0" w:color="auto"/>
            </w:tcBorders>
            <w:shd w:val="clear" w:color="auto" w:fill="auto"/>
          </w:tcPr>
          <w:p w14:paraId="37A2946D" w14:textId="67A67771" w:rsidR="0082483F" w:rsidRPr="000C138D" w:rsidRDefault="0082483F" w:rsidP="0014215A">
            <w:pPr>
              <w:keepNext/>
              <w:autoSpaceDE w:val="0"/>
              <w:autoSpaceDN w:val="0"/>
              <w:adjustRightInd w:val="0"/>
              <w:spacing w:before="60" w:after="60" w:line="276" w:lineRule="auto"/>
              <w:rPr>
                <w:rFonts w:eastAsia="Calibri" w:cs="Arial"/>
                <w:szCs w:val="22"/>
                <w:lang w:eastAsia="en-AU"/>
              </w:rPr>
            </w:pPr>
            <w:r w:rsidRPr="000C138D">
              <w:rPr>
                <w:rFonts w:eastAsia="Calibri" w:cs="Arial"/>
                <w:szCs w:val="22"/>
                <w:lang w:eastAsia="en-AU"/>
              </w:rPr>
              <w:t>Excise taxes are currently $</w:t>
            </w:r>
            <w:r w:rsidR="00882D08" w:rsidRPr="000C138D">
              <w:rPr>
                <w:rFonts w:eastAsia="Calibri" w:cs="Arial"/>
                <w:szCs w:val="22"/>
                <w:lang w:eastAsia="en-AU"/>
              </w:rPr>
              <w:t>2.1</w:t>
            </w:r>
            <w:r w:rsidRPr="000C138D">
              <w:rPr>
                <w:rFonts w:eastAsia="Calibri" w:cs="Arial"/>
                <w:szCs w:val="22"/>
                <w:lang w:eastAsia="en-AU"/>
              </w:rPr>
              <w:t xml:space="preserve"> billion per </w:t>
            </w:r>
            <w:r w:rsidR="0014215A">
              <w:rPr>
                <w:rFonts w:eastAsia="Calibri" w:cs="Arial"/>
                <w:szCs w:val="22"/>
                <w:lang w:eastAsia="en-AU"/>
              </w:rPr>
              <w:t>year</w:t>
            </w:r>
            <w:r w:rsidRPr="000C138D">
              <w:rPr>
                <w:rFonts w:eastAsia="Calibri" w:cs="Arial"/>
                <w:szCs w:val="22"/>
                <w:lang w:eastAsia="en-AU"/>
              </w:rPr>
              <w:t xml:space="preserve">. </w:t>
            </w:r>
            <w:r w:rsidR="00FA68D9" w:rsidRPr="000C138D">
              <w:rPr>
                <w:rFonts w:eastAsia="Calibri" w:cs="Arial"/>
                <w:szCs w:val="22"/>
                <w:lang w:eastAsia="en-AU"/>
              </w:rPr>
              <w:t>O</w:t>
            </w:r>
            <w:r w:rsidR="00111C4C" w:rsidRPr="000C138D">
              <w:rPr>
                <w:rFonts w:eastAsia="Calibri" w:cs="Arial"/>
                <w:szCs w:val="22"/>
                <w:lang w:eastAsia="en-AU"/>
              </w:rPr>
              <w:t>verall excise tax</w:t>
            </w:r>
            <w:r w:rsidR="00882D08" w:rsidRPr="000C138D">
              <w:rPr>
                <w:rFonts w:eastAsia="Calibri" w:cs="Arial"/>
                <w:szCs w:val="22"/>
                <w:lang w:eastAsia="en-AU"/>
              </w:rPr>
              <w:t xml:space="preserve"> take</w:t>
            </w:r>
            <w:r w:rsidR="00111C4C" w:rsidRPr="000C138D">
              <w:rPr>
                <w:rFonts w:eastAsia="Calibri" w:cs="Arial"/>
                <w:szCs w:val="22"/>
                <w:lang w:eastAsia="en-AU"/>
              </w:rPr>
              <w:t xml:space="preserve"> may vary over time depending on the impacts of policies</w:t>
            </w:r>
            <w:r w:rsidR="0014215A">
              <w:rPr>
                <w:rFonts w:eastAsia="Calibri" w:cs="Arial"/>
                <w:szCs w:val="22"/>
                <w:lang w:eastAsia="en-AU"/>
              </w:rPr>
              <w:t>.</w:t>
            </w:r>
          </w:p>
        </w:tc>
        <w:tc>
          <w:tcPr>
            <w:tcW w:w="2268" w:type="dxa"/>
            <w:tcBorders>
              <w:top w:val="single" w:sz="2" w:space="0" w:color="auto"/>
              <w:left w:val="single" w:sz="2" w:space="0" w:color="auto"/>
              <w:bottom w:val="single" w:sz="2" w:space="0" w:color="auto"/>
              <w:right w:val="single" w:sz="2" w:space="0" w:color="auto"/>
            </w:tcBorders>
            <w:shd w:val="clear" w:color="auto" w:fill="auto"/>
          </w:tcPr>
          <w:p w14:paraId="7324E905" w14:textId="78410948" w:rsidR="0082483F" w:rsidRPr="000C138D" w:rsidRDefault="0082483F" w:rsidP="000E0C9E">
            <w:pPr>
              <w:keepNext/>
              <w:autoSpaceDE w:val="0"/>
              <w:autoSpaceDN w:val="0"/>
              <w:adjustRightInd w:val="0"/>
              <w:spacing w:before="60" w:after="60" w:line="276" w:lineRule="auto"/>
              <w:rPr>
                <w:rFonts w:eastAsia="Calibri" w:cs="Arial"/>
                <w:szCs w:val="22"/>
                <w:lang w:eastAsia="en-AU"/>
              </w:rPr>
            </w:pPr>
            <w:r w:rsidRPr="000C138D">
              <w:rPr>
                <w:rFonts w:eastAsia="Calibri" w:cs="Arial"/>
                <w:szCs w:val="22"/>
                <w:lang w:eastAsia="en-AU"/>
              </w:rPr>
              <w:t>Medium</w:t>
            </w:r>
            <w:r w:rsidR="000E0C9E">
              <w:rPr>
                <w:rFonts w:eastAsia="Calibri" w:cs="Arial"/>
                <w:szCs w:val="22"/>
                <w:lang w:eastAsia="en-AU"/>
              </w:rPr>
              <w:t>–</w:t>
            </w:r>
            <w:r w:rsidRPr="000C138D">
              <w:rPr>
                <w:rFonts w:eastAsia="Calibri" w:cs="Arial"/>
                <w:szCs w:val="22"/>
                <w:lang w:eastAsia="en-AU"/>
              </w:rPr>
              <w:t xml:space="preserve">High depending on level of substitution for </w:t>
            </w:r>
            <w:r w:rsidR="00732F67" w:rsidRPr="000C138D">
              <w:rPr>
                <w:rFonts w:eastAsia="Calibri" w:cs="Arial"/>
                <w:szCs w:val="22"/>
                <w:lang w:eastAsia="en-AU"/>
              </w:rPr>
              <w:t xml:space="preserve">vaping and </w:t>
            </w:r>
            <w:r w:rsidRPr="000C138D">
              <w:rPr>
                <w:rFonts w:eastAsia="Calibri" w:cs="Arial"/>
                <w:szCs w:val="22"/>
                <w:lang w:eastAsia="en-AU"/>
              </w:rPr>
              <w:t>smokeless tobacco products</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6A0C5355" w14:textId="77777777" w:rsidR="0082483F" w:rsidRPr="000C138D" w:rsidRDefault="0082483F" w:rsidP="000E0C9E">
            <w:pPr>
              <w:keepNext/>
              <w:autoSpaceDE w:val="0"/>
              <w:autoSpaceDN w:val="0"/>
              <w:adjustRightInd w:val="0"/>
              <w:spacing w:before="60" w:after="60" w:line="276" w:lineRule="auto"/>
              <w:rPr>
                <w:rFonts w:eastAsia="Calibri" w:cs="Arial"/>
                <w:szCs w:val="22"/>
                <w:lang w:eastAsia="en-AU"/>
              </w:rPr>
            </w:pPr>
            <w:r w:rsidRPr="000C138D">
              <w:rPr>
                <w:rFonts w:eastAsia="Calibri" w:cs="Arial"/>
                <w:szCs w:val="22"/>
                <w:lang w:eastAsia="en-AU"/>
              </w:rPr>
              <w:t>Medium</w:t>
            </w:r>
          </w:p>
        </w:tc>
      </w:tr>
      <w:tr w:rsidR="0082483F" w:rsidRPr="000C138D" w14:paraId="68997455" w14:textId="77777777" w:rsidTr="00546700">
        <w:trPr>
          <w:trHeight w:val="253"/>
        </w:trPr>
        <w:tc>
          <w:tcPr>
            <w:tcW w:w="1982" w:type="dxa"/>
            <w:tcBorders>
              <w:top w:val="single" w:sz="2" w:space="0" w:color="auto"/>
              <w:left w:val="single" w:sz="2" w:space="0" w:color="auto"/>
              <w:bottom w:val="single" w:sz="2" w:space="0" w:color="auto"/>
              <w:right w:val="single" w:sz="2" w:space="0" w:color="auto"/>
            </w:tcBorders>
            <w:shd w:val="clear" w:color="auto" w:fill="auto"/>
          </w:tcPr>
          <w:p w14:paraId="0EF8D07A" w14:textId="77777777" w:rsidR="0082483F" w:rsidRPr="000C138D" w:rsidRDefault="0082483F" w:rsidP="000E0C9E">
            <w:pPr>
              <w:keepNext/>
              <w:autoSpaceDE w:val="0"/>
              <w:autoSpaceDN w:val="0"/>
              <w:adjustRightInd w:val="0"/>
              <w:spacing w:before="60" w:after="60" w:line="276" w:lineRule="auto"/>
              <w:rPr>
                <w:rFonts w:eastAsia="Calibri" w:cs="Arial"/>
                <w:szCs w:val="22"/>
                <w:lang w:eastAsia="en-AU"/>
              </w:rPr>
            </w:pPr>
            <w:r w:rsidRPr="000C138D">
              <w:rPr>
                <w:rFonts w:eastAsia="Calibri" w:cs="Arial"/>
                <w:szCs w:val="22"/>
                <w:lang w:eastAsia="en-AU"/>
              </w:rPr>
              <w:t xml:space="preserve">Other parties </w:t>
            </w:r>
          </w:p>
        </w:tc>
        <w:tc>
          <w:tcPr>
            <w:tcW w:w="3544" w:type="dxa"/>
            <w:tcBorders>
              <w:top w:val="single" w:sz="2" w:space="0" w:color="auto"/>
              <w:left w:val="single" w:sz="2" w:space="0" w:color="auto"/>
              <w:bottom w:val="single" w:sz="2" w:space="0" w:color="auto"/>
              <w:right w:val="single" w:sz="2" w:space="0" w:color="auto"/>
            </w:tcBorders>
            <w:shd w:val="clear" w:color="auto" w:fill="auto"/>
          </w:tcPr>
          <w:p w14:paraId="7A6296E2" w14:textId="4B01DAA4" w:rsidR="0082483F" w:rsidRPr="000C138D" w:rsidRDefault="00860AB8" w:rsidP="00860AB8">
            <w:pPr>
              <w:keepNext/>
              <w:autoSpaceDE w:val="0"/>
              <w:autoSpaceDN w:val="0"/>
              <w:adjustRightInd w:val="0"/>
              <w:spacing w:before="60" w:after="60" w:line="276" w:lineRule="auto"/>
              <w:rPr>
                <w:rFonts w:eastAsia="Calibri" w:cs="Arial"/>
                <w:szCs w:val="22"/>
                <w:lang w:eastAsia="en-AU"/>
              </w:rPr>
            </w:pPr>
            <w:r>
              <w:rPr>
                <w:rFonts w:eastAsia="Calibri" w:cs="Arial"/>
                <w:szCs w:val="22"/>
                <w:lang w:eastAsia="en-AU"/>
              </w:rPr>
              <w:t>S</w:t>
            </w:r>
            <w:r w:rsidR="0082483F" w:rsidRPr="000C138D">
              <w:rPr>
                <w:rFonts w:eastAsia="Calibri" w:cs="Arial"/>
                <w:szCs w:val="22"/>
                <w:lang w:eastAsia="en-AU"/>
              </w:rPr>
              <w:t xml:space="preserve">mokers unable to quit may </w:t>
            </w:r>
            <w:r>
              <w:rPr>
                <w:rFonts w:eastAsia="Calibri" w:cs="Arial"/>
                <w:szCs w:val="22"/>
                <w:lang w:eastAsia="en-AU"/>
              </w:rPr>
              <w:t xml:space="preserve">experience </w:t>
            </w:r>
            <w:r w:rsidR="0082483F" w:rsidRPr="000C138D">
              <w:rPr>
                <w:rFonts w:eastAsia="Calibri" w:cs="Arial"/>
                <w:szCs w:val="22"/>
                <w:lang w:eastAsia="en-AU"/>
              </w:rPr>
              <w:t>an increase in time and travel</w:t>
            </w:r>
            <w:r w:rsidRPr="000C138D">
              <w:rPr>
                <w:rFonts w:eastAsia="Calibri" w:cs="Arial"/>
                <w:szCs w:val="22"/>
                <w:lang w:eastAsia="en-AU"/>
              </w:rPr>
              <w:t xml:space="preserve"> costs</w:t>
            </w:r>
            <w:r w:rsidR="0082483F" w:rsidRPr="000C138D">
              <w:rPr>
                <w:rFonts w:eastAsia="Calibri" w:cs="Arial"/>
                <w:szCs w:val="22"/>
                <w:lang w:eastAsia="en-AU"/>
              </w:rPr>
              <w:t>, as well as</w:t>
            </w:r>
            <w:r>
              <w:rPr>
                <w:rFonts w:eastAsia="Calibri" w:cs="Arial"/>
                <w:szCs w:val="22"/>
                <w:lang w:eastAsia="en-AU"/>
              </w:rPr>
              <w:t xml:space="preserve"> in</w:t>
            </w:r>
            <w:r w:rsidR="0082483F" w:rsidRPr="000C138D">
              <w:rPr>
                <w:rFonts w:eastAsia="Calibri" w:cs="Arial"/>
                <w:szCs w:val="22"/>
                <w:lang w:eastAsia="en-AU"/>
              </w:rPr>
              <w:t xml:space="preserve"> direct cost</w:t>
            </w:r>
            <w:r>
              <w:rPr>
                <w:rFonts w:eastAsia="Calibri" w:cs="Arial"/>
                <w:szCs w:val="22"/>
                <w:lang w:eastAsia="en-AU"/>
              </w:rPr>
              <w:t>s,</w:t>
            </w:r>
            <w:r w:rsidR="00111C4C" w:rsidRPr="000C138D">
              <w:rPr>
                <w:rFonts w:eastAsia="Calibri" w:cs="Arial"/>
                <w:szCs w:val="22"/>
                <w:lang w:eastAsia="en-AU"/>
              </w:rPr>
              <w:t xml:space="preserve"> which will impact on them and their </w:t>
            </w:r>
            <w:proofErr w:type="spellStart"/>
            <w:r w:rsidR="00111C4C" w:rsidRPr="000C138D">
              <w:rPr>
                <w:rFonts w:eastAsia="Calibri" w:cs="Arial"/>
                <w:szCs w:val="22"/>
                <w:lang w:eastAsia="en-AU"/>
              </w:rPr>
              <w:t>whānau</w:t>
            </w:r>
            <w:proofErr w:type="spellEnd"/>
            <w:r w:rsidR="0082483F" w:rsidRPr="000C138D">
              <w:rPr>
                <w:rFonts w:eastAsia="Calibri" w:cs="Arial"/>
                <w:szCs w:val="22"/>
                <w:lang w:eastAsia="en-AU"/>
              </w:rPr>
              <w:t>.</w:t>
            </w:r>
          </w:p>
        </w:tc>
        <w:tc>
          <w:tcPr>
            <w:tcW w:w="2268" w:type="dxa"/>
            <w:tcBorders>
              <w:top w:val="single" w:sz="2" w:space="0" w:color="auto"/>
              <w:left w:val="single" w:sz="2" w:space="0" w:color="auto"/>
              <w:bottom w:val="single" w:sz="2" w:space="0" w:color="auto"/>
              <w:right w:val="single" w:sz="2" w:space="0" w:color="auto"/>
            </w:tcBorders>
            <w:shd w:val="clear" w:color="auto" w:fill="auto"/>
          </w:tcPr>
          <w:p w14:paraId="33434FA4" w14:textId="77777777" w:rsidR="0082483F" w:rsidRPr="000C138D" w:rsidRDefault="0082483F" w:rsidP="000E0C9E">
            <w:pPr>
              <w:keepNext/>
              <w:autoSpaceDE w:val="0"/>
              <w:autoSpaceDN w:val="0"/>
              <w:adjustRightInd w:val="0"/>
              <w:spacing w:before="60" w:after="60" w:line="276" w:lineRule="auto"/>
              <w:rPr>
                <w:rFonts w:eastAsia="Calibri" w:cs="Arial"/>
                <w:szCs w:val="22"/>
                <w:lang w:eastAsia="en-AU"/>
              </w:rPr>
            </w:pPr>
            <w:r w:rsidRPr="000C138D">
              <w:rPr>
                <w:rFonts w:eastAsia="Calibri" w:cs="Arial"/>
                <w:szCs w:val="22"/>
                <w:lang w:eastAsia="en-AU"/>
              </w:rPr>
              <w:t>Medium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38532404" w14:textId="77777777" w:rsidR="0082483F" w:rsidRPr="000C138D" w:rsidRDefault="0082483F" w:rsidP="000E0C9E">
            <w:pPr>
              <w:keepNext/>
              <w:autoSpaceDE w:val="0"/>
              <w:autoSpaceDN w:val="0"/>
              <w:adjustRightInd w:val="0"/>
              <w:spacing w:before="60" w:after="60" w:line="276" w:lineRule="auto"/>
              <w:rPr>
                <w:rFonts w:eastAsia="Calibri" w:cs="Arial"/>
                <w:szCs w:val="22"/>
                <w:lang w:eastAsia="en-AU"/>
              </w:rPr>
            </w:pPr>
            <w:r w:rsidRPr="000C138D">
              <w:rPr>
                <w:rFonts w:eastAsia="Calibri" w:cs="Arial"/>
                <w:szCs w:val="22"/>
                <w:lang w:eastAsia="en-AU"/>
              </w:rPr>
              <w:t xml:space="preserve">Medium </w:t>
            </w:r>
          </w:p>
        </w:tc>
      </w:tr>
      <w:tr w:rsidR="0082483F" w:rsidRPr="000C138D" w14:paraId="65C32A1B" w14:textId="77777777" w:rsidTr="00546700">
        <w:trPr>
          <w:trHeight w:val="253"/>
        </w:trPr>
        <w:tc>
          <w:tcPr>
            <w:tcW w:w="1982" w:type="dxa"/>
            <w:tcBorders>
              <w:top w:val="single" w:sz="2" w:space="0" w:color="auto"/>
              <w:left w:val="single" w:sz="2" w:space="0" w:color="auto"/>
              <w:bottom w:val="single" w:sz="2" w:space="0" w:color="auto"/>
              <w:right w:val="single" w:sz="2" w:space="0" w:color="auto"/>
            </w:tcBorders>
            <w:shd w:val="clear" w:color="auto" w:fill="auto"/>
          </w:tcPr>
          <w:p w14:paraId="6210DAA3" w14:textId="748B18A8" w:rsidR="0082483F" w:rsidRPr="000C138D" w:rsidRDefault="0082483F" w:rsidP="000E0C9E">
            <w:pPr>
              <w:keepNext/>
              <w:autoSpaceDE w:val="0"/>
              <w:autoSpaceDN w:val="0"/>
              <w:adjustRightInd w:val="0"/>
              <w:spacing w:before="60" w:after="60" w:line="276" w:lineRule="auto"/>
              <w:rPr>
                <w:rFonts w:eastAsia="Calibri" w:cs="Arial"/>
                <w:b/>
                <w:szCs w:val="22"/>
                <w:lang w:eastAsia="en-AU"/>
              </w:rPr>
            </w:pPr>
            <w:r w:rsidRPr="000C138D">
              <w:rPr>
                <w:rFonts w:eastAsia="Calibri" w:cs="Arial"/>
                <w:b/>
                <w:szCs w:val="22"/>
                <w:lang w:eastAsia="en-AU"/>
              </w:rPr>
              <w:t xml:space="preserve">Total </w:t>
            </w:r>
            <w:r w:rsidR="000041E0">
              <w:rPr>
                <w:rFonts w:eastAsia="Calibri" w:cs="Arial"/>
                <w:b/>
                <w:szCs w:val="22"/>
                <w:lang w:eastAsia="en-AU"/>
              </w:rPr>
              <w:t>m</w:t>
            </w:r>
            <w:r w:rsidRPr="000C138D">
              <w:rPr>
                <w:rFonts w:eastAsia="Calibri" w:cs="Arial"/>
                <w:b/>
                <w:szCs w:val="22"/>
                <w:lang w:eastAsia="en-AU"/>
              </w:rPr>
              <w:t xml:space="preserve">onetised </w:t>
            </w:r>
            <w:r w:rsidR="00860AB8">
              <w:rPr>
                <w:rFonts w:eastAsia="Calibri" w:cs="Arial"/>
                <w:b/>
                <w:szCs w:val="22"/>
                <w:lang w:eastAsia="en-AU"/>
              </w:rPr>
              <w:t>c</w:t>
            </w:r>
            <w:r w:rsidRPr="000C138D">
              <w:rPr>
                <w:rFonts w:eastAsia="Calibri" w:cs="Arial"/>
                <w:b/>
                <w:szCs w:val="22"/>
                <w:lang w:eastAsia="en-AU"/>
              </w:rPr>
              <w:t>ost</w:t>
            </w:r>
          </w:p>
        </w:tc>
        <w:tc>
          <w:tcPr>
            <w:tcW w:w="3544" w:type="dxa"/>
            <w:tcBorders>
              <w:top w:val="single" w:sz="2" w:space="0" w:color="auto"/>
              <w:left w:val="single" w:sz="2" w:space="0" w:color="auto"/>
              <w:bottom w:val="single" w:sz="2" w:space="0" w:color="auto"/>
              <w:right w:val="single" w:sz="2" w:space="0" w:color="auto"/>
            </w:tcBorders>
            <w:shd w:val="clear" w:color="auto" w:fill="auto"/>
          </w:tcPr>
          <w:p w14:paraId="3BA07F6C" w14:textId="77777777" w:rsidR="0082483F" w:rsidRPr="000C138D" w:rsidRDefault="0082483F" w:rsidP="000E0C9E">
            <w:pPr>
              <w:keepNext/>
              <w:autoSpaceDE w:val="0"/>
              <w:autoSpaceDN w:val="0"/>
              <w:adjustRightInd w:val="0"/>
              <w:spacing w:before="60" w:after="60" w:line="276" w:lineRule="auto"/>
              <w:rPr>
                <w:rFonts w:eastAsia="Calibri" w:cs="Arial"/>
                <w:iCs/>
                <w:szCs w:val="22"/>
                <w:lang w:eastAsia="en-AU"/>
              </w:rPr>
            </w:pPr>
          </w:p>
        </w:tc>
        <w:tc>
          <w:tcPr>
            <w:tcW w:w="2268" w:type="dxa"/>
            <w:tcBorders>
              <w:top w:val="single" w:sz="2" w:space="0" w:color="auto"/>
              <w:left w:val="single" w:sz="2" w:space="0" w:color="auto"/>
              <w:bottom w:val="single" w:sz="2" w:space="0" w:color="auto"/>
              <w:right w:val="single" w:sz="2" w:space="0" w:color="auto"/>
            </w:tcBorders>
            <w:shd w:val="clear" w:color="auto" w:fill="auto"/>
          </w:tcPr>
          <w:p w14:paraId="174534C5" w14:textId="77777777" w:rsidR="0082483F" w:rsidRPr="000C138D" w:rsidRDefault="0082483F" w:rsidP="000E0C9E">
            <w:pPr>
              <w:keepNext/>
              <w:autoSpaceDE w:val="0"/>
              <w:autoSpaceDN w:val="0"/>
              <w:adjustRightInd w:val="0"/>
              <w:spacing w:before="60" w:after="60" w:line="276" w:lineRule="auto"/>
              <w:rPr>
                <w:rFonts w:eastAsia="Calibri" w:cs="Arial"/>
                <w:szCs w:val="22"/>
                <w:lang w:eastAsia="en-AU"/>
              </w:rPr>
            </w:pPr>
            <w:r w:rsidRPr="000C138D">
              <w:rPr>
                <w:rFonts w:eastAsia="Calibri" w:cs="Arial"/>
                <w:szCs w:val="22"/>
                <w:lang w:eastAsia="en-AU"/>
              </w:rPr>
              <w:t>Not calculated</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55061792" w14:textId="77777777" w:rsidR="0082483F" w:rsidRPr="000C138D" w:rsidRDefault="0082483F" w:rsidP="000E0C9E">
            <w:pPr>
              <w:keepNext/>
              <w:autoSpaceDE w:val="0"/>
              <w:autoSpaceDN w:val="0"/>
              <w:adjustRightInd w:val="0"/>
              <w:spacing w:before="60" w:after="60" w:line="276" w:lineRule="auto"/>
              <w:rPr>
                <w:rFonts w:eastAsia="Calibri" w:cs="Arial"/>
                <w:szCs w:val="22"/>
                <w:lang w:eastAsia="en-AU"/>
              </w:rPr>
            </w:pPr>
            <w:r w:rsidRPr="000C138D">
              <w:rPr>
                <w:rFonts w:eastAsia="Calibri" w:cs="Arial"/>
                <w:szCs w:val="22"/>
                <w:lang w:eastAsia="en-AU"/>
              </w:rPr>
              <w:t>Low</w:t>
            </w:r>
          </w:p>
        </w:tc>
      </w:tr>
      <w:tr w:rsidR="0082483F" w:rsidRPr="000C138D" w14:paraId="32D1030C" w14:textId="77777777" w:rsidTr="00546700">
        <w:trPr>
          <w:trHeight w:val="253"/>
        </w:trPr>
        <w:tc>
          <w:tcPr>
            <w:tcW w:w="1982" w:type="dxa"/>
            <w:tcBorders>
              <w:top w:val="single" w:sz="2" w:space="0" w:color="auto"/>
              <w:left w:val="single" w:sz="2" w:space="0" w:color="auto"/>
              <w:bottom w:val="single" w:sz="2" w:space="0" w:color="auto"/>
              <w:right w:val="single" w:sz="2" w:space="0" w:color="auto"/>
            </w:tcBorders>
            <w:shd w:val="clear" w:color="auto" w:fill="auto"/>
          </w:tcPr>
          <w:p w14:paraId="0B33477F" w14:textId="77777777" w:rsidR="0082483F" w:rsidRPr="000C138D" w:rsidRDefault="0082483F" w:rsidP="000E0C9E">
            <w:pPr>
              <w:keepNext/>
              <w:autoSpaceDE w:val="0"/>
              <w:autoSpaceDN w:val="0"/>
              <w:adjustRightInd w:val="0"/>
              <w:spacing w:before="60" w:after="60" w:line="276" w:lineRule="auto"/>
              <w:rPr>
                <w:rFonts w:eastAsia="Calibri" w:cs="Arial"/>
                <w:b/>
                <w:szCs w:val="22"/>
                <w:lang w:eastAsia="en-AU"/>
              </w:rPr>
            </w:pPr>
            <w:r w:rsidRPr="000C138D">
              <w:rPr>
                <w:rFonts w:eastAsia="Calibri" w:cs="Arial"/>
                <w:b/>
                <w:szCs w:val="22"/>
                <w:lang w:eastAsia="en-AU"/>
              </w:rPr>
              <w:t xml:space="preserve">Non-monetised costs </w:t>
            </w:r>
          </w:p>
        </w:tc>
        <w:tc>
          <w:tcPr>
            <w:tcW w:w="3544" w:type="dxa"/>
            <w:tcBorders>
              <w:top w:val="single" w:sz="2" w:space="0" w:color="auto"/>
              <w:left w:val="single" w:sz="2" w:space="0" w:color="auto"/>
              <w:bottom w:val="single" w:sz="2" w:space="0" w:color="auto"/>
              <w:right w:val="single" w:sz="2" w:space="0" w:color="auto"/>
            </w:tcBorders>
            <w:shd w:val="clear" w:color="auto" w:fill="auto"/>
          </w:tcPr>
          <w:p w14:paraId="494A8603" w14:textId="77777777" w:rsidR="0082483F" w:rsidRPr="000C138D" w:rsidRDefault="0082483F" w:rsidP="000E0C9E">
            <w:pPr>
              <w:keepNext/>
              <w:autoSpaceDE w:val="0"/>
              <w:autoSpaceDN w:val="0"/>
              <w:adjustRightInd w:val="0"/>
              <w:spacing w:before="60" w:after="60" w:line="276" w:lineRule="auto"/>
              <w:rPr>
                <w:rFonts w:eastAsia="Calibri" w:cs="Arial"/>
                <w:i/>
                <w:szCs w:val="22"/>
                <w:lang w:eastAsia="en-AU"/>
              </w:rPr>
            </w:pPr>
          </w:p>
        </w:tc>
        <w:tc>
          <w:tcPr>
            <w:tcW w:w="2268" w:type="dxa"/>
            <w:tcBorders>
              <w:top w:val="single" w:sz="2" w:space="0" w:color="auto"/>
              <w:left w:val="single" w:sz="2" w:space="0" w:color="auto"/>
              <w:bottom w:val="single" w:sz="2" w:space="0" w:color="auto"/>
              <w:right w:val="single" w:sz="2" w:space="0" w:color="auto"/>
            </w:tcBorders>
            <w:shd w:val="clear" w:color="auto" w:fill="auto"/>
          </w:tcPr>
          <w:p w14:paraId="4B0407BE" w14:textId="77777777" w:rsidR="0082483F" w:rsidRPr="000C138D" w:rsidRDefault="0082483F" w:rsidP="000E0C9E">
            <w:pPr>
              <w:keepNext/>
              <w:autoSpaceDE w:val="0"/>
              <w:autoSpaceDN w:val="0"/>
              <w:adjustRightInd w:val="0"/>
              <w:spacing w:before="60" w:after="60" w:line="276" w:lineRule="auto"/>
              <w:rPr>
                <w:rFonts w:eastAsia="Calibri" w:cs="Arial"/>
                <w:iCs/>
                <w:szCs w:val="22"/>
                <w:lang w:eastAsia="en-AU"/>
              </w:rPr>
            </w:pPr>
            <w:r w:rsidRPr="000C138D">
              <w:rPr>
                <w:rFonts w:eastAsia="Calibri" w:cs="Arial"/>
                <w:iCs/>
                <w:szCs w:val="22"/>
                <w:lang w:eastAsia="en-AU"/>
              </w:rPr>
              <w:t>Medium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74A9D804" w14:textId="77777777" w:rsidR="0082483F" w:rsidRPr="000C138D" w:rsidRDefault="0082483F" w:rsidP="000E0C9E">
            <w:pPr>
              <w:keepNext/>
              <w:autoSpaceDE w:val="0"/>
              <w:autoSpaceDN w:val="0"/>
              <w:adjustRightInd w:val="0"/>
              <w:spacing w:before="60" w:after="60" w:line="276" w:lineRule="auto"/>
              <w:rPr>
                <w:rFonts w:eastAsia="Calibri" w:cs="Arial"/>
                <w:szCs w:val="22"/>
                <w:lang w:eastAsia="en-AU"/>
              </w:rPr>
            </w:pPr>
            <w:r w:rsidRPr="000C138D">
              <w:rPr>
                <w:rFonts w:eastAsia="Calibri" w:cs="Arial"/>
                <w:szCs w:val="22"/>
                <w:lang w:eastAsia="en-AU"/>
              </w:rPr>
              <w:t>Low</w:t>
            </w:r>
          </w:p>
        </w:tc>
      </w:tr>
    </w:tbl>
    <w:p w14:paraId="176EA4ED" w14:textId="77777777" w:rsidR="0082483F" w:rsidRPr="000C138D" w:rsidRDefault="0082483F" w:rsidP="005744B1"/>
    <w:tbl>
      <w:tblPr>
        <w:tblW w:w="90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82"/>
        <w:gridCol w:w="3685"/>
        <w:gridCol w:w="2127"/>
        <w:gridCol w:w="1277"/>
      </w:tblGrid>
      <w:tr w:rsidR="0082483F" w:rsidRPr="000C138D" w14:paraId="1464BC58" w14:textId="77777777" w:rsidTr="00864AD0">
        <w:trPr>
          <w:trHeight w:val="253"/>
        </w:trPr>
        <w:tc>
          <w:tcPr>
            <w:tcW w:w="9071" w:type="dxa"/>
            <w:gridSpan w:val="4"/>
            <w:shd w:val="clear" w:color="auto" w:fill="99CDDD"/>
          </w:tcPr>
          <w:p w14:paraId="0AB9C91B" w14:textId="173DD786" w:rsidR="0082483F" w:rsidRPr="000C138D" w:rsidRDefault="0082483F" w:rsidP="00860AB8">
            <w:pPr>
              <w:spacing w:before="40" w:after="20" w:line="276" w:lineRule="auto"/>
              <w:rPr>
                <w:rFonts w:eastAsia="Calibri" w:cs="Arial"/>
                <w:b/>
                <w:szCs w:val="22"/>
              </w:rPr>
            </w:pPr>
            <w:r w:rsidRPr="000C138D">
              <w:rPr>
                <w:rFonts w:eastAsia="Calibri" w:cs="Arial"/>
                <w:b/>
                <w:szCs w:val="22"/>
              </w:rPr>
              <w:t xml:space="preserve">Expected benefits of proposed approach, compared </w:t>
            </w:r>
            <w:r w:rsidR="00860AB8">
              <w:rPr>
                <w:rFonts w:eastAsia="Calibri" w:cs="Arial"/>
                <w:b/>
                <w:szCs w:val="22"/>
              </w:rPr>
              <w:t>with</w:t>
            </w:r>
            <w:r w:rsidR="00860AB8" w:rsidRPr="000C138D">
              <w:rPr>
                <w:rFonts w:eastAsia="Calibri" w:cs="Arial"/>
                <w:b/>
                <w:szCs w:val="22"/>
              </w:rPr>
              <w:t xml:space="preserve"> </w:t>
            </w:r>
            <w:r w:rsidRPr="000C138D">
              <w:rPr>
                <w:rFonts w:eastAsia="Calibri" w:cs="Arial"/>
                <w:b/>
                <w:szCs w:val="22"/>
              </w:rPr>
              <w:t>taking no action</w:t>
            </w:r>
          </w:p>
        </w:tc>
      </w:tr>
      <w:tr w:rsidR="0082483F" w:rsidRPr="000C138D" w14:paraId="255ADE44" w14:textId="77777777" w:rsidTr="00864AD0">
        <w:trPr>
          <w:trHeight w:val="253"/>
        </w:trPr>
        <w:tc>
          <w:tcPr>
            <w:tcW w:w="1982" w:type="dxa"/>
            <w:shd w:val="clear" w:color="auto" w:fill="auto"/>
          </w:tcPr>
          <w:p w14:paraId="779A43E6" w14:textId="77777777" w:rsidR="0082483F" w:rsidRPr="000C138D" w:rsidRDefault="0082483F" w:rsidP="00860AB8">
            <w:pPr>
              <w:pStyle w:val="TableText"/>
              <w:spacing w:line="276" w:lineRule="auto"/>
              <w:rPr>
                <w:rFonts w:eastAsia="Calibri" w:cs="Arial"/>
                <w:sz w:val="22"/>
              </w:rPr>
            </w:pPr>
            <w:r w:rsidRPr="000C138D">
              <w:rPr>
                <w:rFonts w:eastAsia="Calibri" w:cs="Arial"/>
                <w:sz w:val="22"/>
              </w:rPr>
              <w:t>Regulated parties</w:t>
            </w:r>
          </w:p>
        </w:tc>
        <w:tc>
          <w:tcPr>
            <w:tcW w:w="3685" w:type="dxa"/>
            <w:shd w:val="clear" w:color="auto" w:fill="auto"/>
          </w:tcPr>
          <w:p w14:paraId="742BB6C7" w14:textId="3A81F823" w:rsidR="0082483F" w:rsidRPr="000C138D" w:rsidRDefault="0082483F" w:rsidP="00860AB8">
            <w:pPr>
              <w:pStyle w:val="TableText"/>
              <w:spacing w:line="276" w:lineRule="auto"/>
              <w:rPr>
                <w:rFonts w:eastAsia="Calibri" w:cs="Arial"/>
                <w:sz w:val="22"/>
              </w:rPr>
            </w:pPr>
            <w:r w:rsidRPr="000C138D">
              <w:rPr>
                <w:rFonts w:eastAsia="Calibri" w:cs="Arial"/>
                <w:sz w:val="22"/>
              </w:rPr>
              <w:t xml:space="preserve">Dairies and other small businesses may </w:t>
            </w:r>
            <w:r w:rsidR="00860AB8">
              <w:rPr>
                <w:rFonts w:eastAsia="Calibri" w:cs="Arial"/>
                <w:sz w:val="22"/>
              </w:rPr>
              <w:t>have fewer</w:t>
            </w:r>
            <w:r w:rsidRPr="000C138D">
              <w:rPr>
                <w:rFonts w:eastAsia="Calibri" w:cs="Arial"/>
                <w:sz w:val="22"/>
              </w:rPr>
              <w:t xml:space="preserve"> robberies. </w:t>
            </w:r>
          </w:p>
        </w:tc>
        <w:tc>
          <w:tcPr>
            <w:tcW w:w="2127" w:type="dxa"/>
            <w:shd w:val="clear" w:color="auto" w:fill="auto"/>
          </w:tcPr>
          <w:p w14:paraId="4C0FE39B" w14:textId="271922FE" w:rsidR="0082483F" w:rsidRPr="000C138D" w:rsidRDefault="0082483F" w:rsidP="00860AB8">
            <w:pPr>
              <w:pStyle w:val="TableText"/>
              <w:spacing w:line="276" w:lineRule="auto"/>
              <w:rPr>
                <w:rFonts w:eastAsia="Calibri" w:cs="Arial"/>
                <w:sz w:val="22"/>
              </w:rPr>
            </w:pPr>
            <w:r w:rsidRPr="000C138D">
              <w:rPr>
                <w:rFonts w:eastAsia="Calibri" w:cs="Arial"/>
                <w:sz w:val="22"/>
              </w:rPr>
              <w:t>NA</w:t>
            </w:r>
          </w:p>
        </w:tc>
        <w:tc>
          <w:tcPr>
            <w:tcW w:w="1277" w:type="dxa"/>
            <w:shd w:val="clear" w:color="auto" w:fill="auto"/>
          </w:tcPr>
          <w:p w14:paraId="189BA021" w14:textId="77777777" w:rsidR="0082483F" w:rsidRPr="000C138D" w:rsidRDefault="0082483F" w:rsidP="00860AB8">
            <w:pPr>
              <w:pStyle w:val="TableText"/>
              <w:spacing w:line="276" w:lineRule="auto"/>
              <w:rPr>
                <w:rFonts w:eastAsia="Calibri" w:cs="Arial"/>
                <w:sz w:val="22"/>
              </w:rPr>
            </w:pPr>
          </w:p>
        </w:tc>
      </w:tr>
      <w:tr w:rsidR="0082483F" w:rsidRPr="000C138D" w14:paraId="2582AA35" w14:textId="77777777" w:rsidTr="00864AD0">
        <w:trPr>
          <w:trHeight w:val="253"/>
        </w:trPr>
        <w:tc>
          <w:tcPr>
            <w:tcW w:w="1982" w:type="dxa"/>
            <w:shd w:val="clear" w:color="auto" w:fill="auto"/>
          </w:tcPr>
          <w:p w14:paraId="2A0DAD19" w14:textId="77777777" w:rsidR="0082483F" w:rsidRPr="000C138D" w:rsidRDefault="0082483F" w:rsidP="00860AB8">
            <w:pPr>
              <w:pStyle w:val="TableText"/>
              <w:spacing w:line="276" w:lineRule="auto"/>
              <w:rPr>
                <w:rFonts w:eastAsia="Calibri" w:cs="Arial"/>
                <w:sz w:val="22"/>
              </w:rPr>
            </w:pPr>
            <w:r w:rsidRPr="000C138D">
              <w:rPr>
                <w:rFonts w:eastAsia="Calibri" w:cs="Arial"/>
                <w:sz w:val="22"/>
              </w:rPr>
              <w:t>Regulators</w:t>
            </w:r>
          </w:p>
        </w:tc>
        <w:tc>
          <w:tcPr>
            <w:tcW w:w="3685" w:type="dxa"/>
            <w:shd w:val="clear" w:color="auto" w:fill="auto"/>
          </w:tcPr>
          <w:p w14:paraId="69B65C1D" w14:textId="2775CED7" w:rsidR="0082483F" w:rsidRPr="000C138D" w:rsidRDefault="0082483F" w:rsidP="00860AB8">
            <w:pPr>
              <w:pStyle w:val="TableText"/>
              <w:spacing w:line="276" w:lineRule="auto"/>
              <w:rPr>
                <w:rFonts w:eastAsia="Calibri" w:cs="Arial"/>
                <w:sz w:val="22"/>
              </w:rPr>
            </w:pPr>
            <w:r w:rsidRPr="000C138D">
              <w:rPr>
                <w:rFonts w:eastAsia="Calibri" w:cs="Arial"/>
                <w:sz w:val="22"/>
              </w:rPr>
              <w:t>Licen</w:t>
            </w:r>
            <w:r w:rsidR="00860AB8">
              <w:rPr>
                <w:rFonts w:eastAsia="Calibri" w:cs="Arial"/>
                <w:sz w:val="22"/>
              </w:rPr>
              <w:t>s</w:t>
            </w:r>
            <w:r w:rsidRPr="000C138D">
              <w:rPr>
                <w:rFonts w:eastAsia="Calibri" w:cs="Arial"/>
                <w:sz w:val="22"/>
              </w:rPr>
              <w:t xml:space="preserve">ing facilitates compliance and </w:t>
            </w:r>
            <w:r w:rsidR="00440888" w:rsidRPr="000C138D">
              <w:rPr>
                <w:rFonts w:eastAsia="Calibri" w:cs="Arial"/>
                <w:sz w:val="22"/>
              </w:rPr>
              <w:t xml:space="preserve">may help with </w:t>
            </w:r>
            <w:r w:rsidR="00207F9B" w:rsidRPr="000C138D">
              <w:rPr>
                <w:rFonts w:eastAsia="Calibri" w:cs="Arial"/>
                <w:sz w:val="22"/>
              </w:rPr>
              <w:t>identif</w:t>
            </w:r>
            <w:r w:rsidR="00860AB8">
              <w:rPr>
                <w:rFonts w:eastAsia="Calibri" w:cs="Arial"/>
                <w:sz w:val="22"/>
              </w:rPr>
              <w:t>ying</w:t>
            </w:r>
            <w:r w:rsidRPr="000C138D">
              <w:rPr>
                <w:rFonts w:eastAsia="Calibri" w:cs="Arial"/>
                <w:sz w:val="22"/>
              </w:rPr>
              <w:t xml:space="preserve"> illicit trade</w:t>
            </w:r>
            <w:r w:rsidR="00C83722" w:rsidRPr="000C138D">
              <w:rPr>
                <w:rFonts w:eastAsia="Calibri" w:cs="Arial"/>
                <w:sz w:val="22"/>
              </w:rPr>
              <w:t>.</w:t>
            </w:r>
          </w:p>
        </w:tc>
        <w:tc>
          <w:tcPr>
            <w:tcW w:w="2127" w:type="dxa"/>
            <w:shd w:val="clear" w:color="auto" w:fill="auto"/>
          </w:tcPr>
          <w:p w14:paraId="13F8C20B" w14:textId="77777777" w:rsidR="0082483F" w:rsidRPr="000C138D" w:rsidRDefault="0082483F" w:rsidP="00860AB8">
            <w:pPr>
              <w:pStyle w:val="TableText"/>
              <w:spacing w:line="276" w:lineRule="auto"/>
              <w:rPr>
                <w:rFonts w:eastAsia="Calibri" w:cs="Arial"/>
                <w:sz w:val="22"/>
              </w:rPr>
            </w:pPr>
          </w:p>
        </w:tc>
        <w:tc>
          <w:tcPr>
            <w:tcW w:w="1277" w:type="dxa"/>
            <w:shd w:val="clear" w:color="auto" w:fill="auto"/>
          </w:tcPr>
          <w:p w14:paraId="4938DCFD" w14:textId="77777777" w:rsidR="0082483F" w:rsidRPr="000C138D" w:rsidRDefault="0082483F" w:rsidP="00860AB8">
            <w:pPr>
              <w:pStyle w:val="TableText"/>
              <w:spacing w:line="276" w:lineRule="auto"/>
              <w:rPr>
                <w:rFonts w:eastAsia="Calibri" w:cs="Arial"/>
                <w:sz w:val="22"/>
              </w:rPr>
            </w:pPr>
          </w:p>
        </w:tc>
      </w:tr>
      <w:tr w:rsidR="0082483F" w:rsidRPr="000C138D" w14:paraId="575A52AD" w14:textId="77777777" w:rsidTr="00864AD0">
        <w:trPr>
          <w:trHeight w:val="253"/>
        </w:trPr>
        <w:tc>
          <w:tcPr>
            <w:tcW w:w="1982" w:type="dxa"/>
            <w:shd w:val="clear" w:color="auto" w:fill="auto"/>
          </w:tcPr>
          <w:p w14:paraId="20C873FF" w14:textId="77777777" w:rsidR="0082483F" w:rsidRPr="000C138D" w:rsidRDefault="0082483F" w:rsidP="00860AB8">
            <w:pPr>
              <w:pStyle w:val="TableText"/>
              <w:spacing w:line="276" w:lineRule="auto"/>
              <w:rPr>
                <w:rFonts w:eastAsia="Calibri" w:cs="Arial"/>
                <w:sz w:val="22"/>
              </w:rPr>
            </w:pPr>
            <w:r w:rsidRPr="000C138D">
              <w:rPr>
                <w:rFonts w:eastAsia="Calibri" w:cs="Arial"/>
                <w:sz w:val="22"/>
              </w:rPr>
              <w:t>Wider government</w:t>
            </w:r>
          </w:p>
        </w:tc>
        <w:tc>
          <w:tcPr>
            <w:tcW w:w="3685" w:type="dxa"/>
            <w:shd w:val="clear" w:color="auto" w:fill="auto"/>
          </w:tcPr>
          <w:p w14:paraId="4516AEB7" w14:textId="6D8CE266" w:rsidR="0082483F" w:rsidRPr="000C138D" w:rsidRDefault="0082483F" w:rsidP="00860AB8">
            <w:pPr>
              <w:pStyle w:val="TableText"/>
              <w:spacing w:line="276" w:lineRule="auto"/>
              <w:rPr>
                <w:rFonts w:eastAsia="Calibri" w:cs="Arial"/>
                <w:sz w:val="22"/>
              </w:rPr>
            </w:pPr>
            <w:r w:rsidRPr="000C138D">
              <w:rPr>
                <w:rFonts w:eastAsia="Calibri" w:cs="Arial"/>
                <w:sz w:val="22"/>
              </w:rPr>
              <w:t>NA</w:t>
            </w:r>
          </w:p>
        </w:tc>
        <w:tc>
          <w:tcPr>
            <w:tcW w:w="2127" w:type="dxa"/>
            <w:shd w:val="clear" w:color="auto" w:fill="auto"/>
          </w:tcPr>
          <w:p w14:paraId="12397B59" w14:textId="77777777" w:rsidR="0082483F" w:rsidRPr="000C138D" w:rsidRDefault="0082483F" w:rsidP="00860AB8">
            <w:pPr>
              <w:pStyle w:val="TableText"/>
              <w:spacing w:line="276" w:lineRule="auto"/>
              <w:rPr>
                <w:rFonts w:eastAsia="Calibri" w:cs="Arial"/>
                <w:sz w:val="22"/>
              </w:rPr>
            </w:pPr>
          </w:p>
        </w:tc>
        <w:tc>
          <w:tcPr>
            <w:tcW w:w="1277" w:type="dxa"/>
            <w:shd w:val="clear" w:color="auto" w:fill="auto"/>
          </w:tcPr>
          <w:p w14:paraId="423DC924" w14:textId="77777777" w:rsidR="0082483F" w:rsidRPr="000C138D" w:rsidRDefault="0082483F" w:rsidP="00860AB8">
            <w:pPr>
              <w:pStyle w:val="TableText"/>
              <w:spacing w:line="276" w:lineRule="auto"/>
              <w:rPr>
                <w:rFonts w:eastAsia="Calibri" w:cs="Arial"/>
                <w:sz w:val="22"/>
              </w:rPr>
            </w:pPr>
          </w:p>
        </w:tc>
      </w:tr>
      <w:tr w:rsidR="0082483F" w:rsidRPr="000C138D" w14:paraId="3ADD5689" w14:textId="77777777" w:rsidTr="00864AD0">
        <w:trPr>
          <w:trHeight w:val="253"/>
        </w:trPr>
        <w:tc>
          <w:tcPr>
            <w:tcW w:w="1982" w:type="dxa"/>
            <w:shd w:val="clear" w:color="auto" w:fill="auto"/>
          </w:tcPr>
          <w:p w14:paraId="3F22A691" w14:textId="77777777" w:rsidR="0082483F" w:rsidRPr="000C138D" w:rsidRDefault="0082483F" w:rsidP="00860AB8">
            <w:pPr>
              <w:pStyle w:val="TableText"/>
              <w:spacing w:line="276" w:lineRule="auto"/>
              <w:rPr>
                <w:rFonts w:eastAsia="Calibri" w:cs="Arial"/>
                <w:sz w:val="22"/>
              </w:rPr>
            </w:pPr>
            <w:r w:rsidRPr="000C138D">
              <w:rPr>
                <w:rFonts w:eastAsia="Calibri" w:cs="Arial"/>
                <w:sz w:val="22"/>
              </w:rPr>
              <w:lastRenderedPageBreak/>
              <w:t xml:space="preserve">Other parties </w:t>
            </w:r>
          </w:p>
        </w:tc>
        <w:tc>
          <w:tcPr>
            <w:tcW w:w="3685" w:type="dxa"/>
            <w:shd w:val="clear" w:color="auto" w:fill="auto"/>
          </w:tcPr>
          <w:p w14:paraId="186ADF23" w14:textId="6ADC0CC0" w:rsidR="0082483F" w:rsidRPr="000C138D" w:rsidRDefault="00860AB8" w:rsidP="00860AB8">
            <w:pPr>
              <w:pStyle w:val="TableText"/>
              <w:spacing w:line="276" w:lineRule="auto"/>
              <w:rPr>
                <w:rFonts w:eastAsia="Calibri" w:cs="Arial"/>
                <w:sz w:val="22"/>
              </w:rPr>
            </w:pPr>
            <w:r>
              <w:rPr>
                <w:rFonts w:eastAsia="Calibri" w:cs="Arial"/>
                <w:sz w:val="22"/>
              </w:rPr>
              <w:t>S</w:t>
            </w:r>
            <w:r w:rsidR="0082483F" w:rsidRPr="000C138D">
              <w:rPr>
                <w:rFonts w:eastAsia="Calibri" w:cs="Arial"/>
                <w:sz w:val="22"/>
              </w:rPr>
              <w:t xml:space="preserve">mokers encouraged to quit or </w:t>
            </w:r>
            <w:r>
              <w:rPr>
                <w:rFonts w:eastAsia="Calibri" w:cs="Arial"/>
                <w:sz w:val="22"/>
              </w:rPr>
              <w:t xml:space="preserve">to </w:t>
            </w:r>
            <w:r w:rsidR="0082483F" w:rsidRPr="000C138D">
              <w:rPr>
                <w:rFonts w:eastAsia="Calibri" w:cs="Arial"/>
                <w:sz w:val="22"/>
              </w:rPr>
              <w:t xml:space="preserve">switch to vaping will </w:t>
            </w:r>
            <w:r>
              <w:rPr>
                <w:rFonts w:eastAsia="Calibri" w:cs="Arial"/>
                <w:sz w:val="22"/>
              </w:rPr>
              <w:t>gain</w:t>
            </w:r>
            <w:r w:rsidRPr="000C138D">
              <w:rPr>
                <w:rFonts w:eastAsia="Calibri" w:cs="Arial"/>
                <w:sz w:val="22"/>
              </w:rPr>
              <w:t xml:space="preserve"> </w:t>
            </w:r>
            <w:r w:rsidR="0082483F" w:rsidRPr="000C138D">
              <w:rPr>
                <w:rFonts w:eastAsia="Calibri" w:cs="Arial"/>
                <w:sz w:val="22"/>
              </w:rPr>
              <w:t xml:space="preserve">significant health benefits, as well as financial savings. If </w:t>
            </w:r>
            <w:r w:rsidR="00B5083F">
              <w:rPr>
                <w:rFonts w:eastAsia="Calibri" w:cs="Arial"/>
                <w:sz w:val="22"/>
              </w:rPr>
              <w:t>S</w:t>
            </w:r>
            <w:r w:rsidR="0082483F" w:rsidRPr="000C138D">
              <w:rPr>
                <w:rFonts w:eastAsia="Calibri" w:cs="Arial"/>
                <w:sz w:val="22"/>
              </w:rPr>
              <w:t xml:space="preserve">mokefree Aotearoa is achieved, there will be significant tangible and intangible benefits for the smoker, their families and </w:t>
            </w:r>
            <w:proofErr w:type="spellStart"/>
            <w:r w:rsidR="0082483F" w:rsidRPr="000C138D">
              <w:rPr>
                <w:rFonts w:eastAsia="Calibri" w:cs="Arial"/>
                <w:sz w:val="22"/>
              </w:rPr>
              <w:t>wh</w:t>
            </w:r>
            <w:r w:rsidR="00732F67" w:rsidRPr="000C138D">
              <w:rPr>
                <w:rFonts w:eastAsia="Calibri" w:cs="Arial"/>
                <w:sz w:val="22"/>
              </w:rPr>
              <w:t>ā</w:t>
            </w:r>
            <w:r w:rsidR="0082483F" w:rsidRPr="000C138D">
              <w:rPr>
                <w:rFonts w:eastAsia="Calibri" w:cs="Arial"/>
                <w:sz w:val="22"/>
              </w:rPr>
              <w:t>nau</w:t>
            </w:r>
            <w:proofErr w:type="spellEnd"/>
            <w:r w:rsidR="0082483F" w:rsidRPr="000C138D">
              <w:rPr>
                <w:rFonts w:eastAsia="Calibri" w:cs="Arial"/>
                <w:sz w:val="22"/>
              </w:rPr>
              <w:t xml:space="preserve"> and the wider community</w:t>
            </w:r>
            <w:r>
              <w:rPr>
                <w:rFonts w:eastAsia="Calibri" w:cs="Arial"/>
                <w:sz w:val="22"/>
              </w:rPr>
              <w:t xml:space="preserve"> and </w:t>
            </w:r>
            <w:r w:rsidR="0082483F" w:rsidRPr="000C138D">
              <w:rPr>
                <w:rFonts w:eastAsia="Calibri" w:cs="Arial"/>
                <w:sz w:val="22"/>
              </w:rPr>
              <w:t xml:space="preserve">economy.  </w:t>
            </w:r>
          </w:p>
        </w:tc>
        <w:tc>
          <w:tcPr>
            <w:tcW w:w="2127" w:type="dxa"/>
            <w:shd w:val="clear" w:color="auto" w:fill="auto"/>
          </w:tcPr>
          <w:p w14:paraId="56FF0A3F" w14:textId="7AF1443D" w:rsidR="0082483F" w:rsidRPr="000C138D" w:rsidRDefault="0082483F" w:rsidP="00860AB8">
            <w:pPr>
              <w:pStyle w:val="TableText"/>
              <w:spacing w:line="276" w:lineRule="auto"/>
              <w:rPr>
                <w:rFonts w:eastAsia="Calibri" w:cs="Arial"/>
                <w:sz w:val="22"/>
              </w:rPr>
            </w:pPr>
            <w:r w:rsidRPr="000C138D">
              <w:rPr>
                <w:rFonts w:eastAsia="Calibri" w:cs="Arial"/>
                <w:sz w:val="22"/>
              </w:rPr>
              <w:t>Intangible benefits – at least $3.11</w:t>
            </w:r>
            <w:r w:rsidR="00860AB8">
              <w:rPr>
                <w:rFonts w:eastAsia="Calibri" w:cs="Arial"/>
                <w:sz w:val="22"/>
              </w:rPr>
              <w:t xml:space="preserve"> </w:t>
            </w:r>
            <w:r w:rsidRPr="000C138D">
              <w:rPr>
                <w:rFonts w:eastAsia="Calibri" w:cs="Arial"/>
                <w:sz w:val="22"/>
              </w:rPr>
              <w:t>billion</w:t>
            </w:r>
            <w:r w:rsidR="001B5E3C">
              <w:rPr>
                <w:rFonts w:eastAsia="Calibri" w:cs="Arial"/>
                <w:sz w:val="22"/>
              </w:rPr>
              <w:t>*</w:t>
            </w:r>
            <w:r w:rsidRPr="000C138D">
              <w:rPr>
                <w:rFonts w:eastAsia="Calibri" w:cs="Arial"/>
                <w:sz w:val="22"/>
              </w:rPr>
              <w:t xml:space="preserve"> </w:t>
            </w:r>
          </w:p>
          <w:p w14:paraId="1138E623" w14:textId="381E6D5B" w:rsidR="0082483F" w:rsidRPr="000C138D" w:rsidRDefault="0082483F" w:rsidP="001B5E3C">
            <w:pPr>
              <w:pStyle w:val="TableText"/>
              <w:spacing w:line="276" w:lineRule="auto"/>
              <w:rPr>
                <w:rFonts w:eastAsia="Calibri" w:cs="Arial"/>
                <w:sz w:val="22"/>
              </w:rPr>
            </w:pPr>
            <w:r w:rsidRPr="000C138D">
              <w:rPr>
                <w:rFonts w:eastAsia="Calibri" w:cs="Arial"/>
                <w:sz w:val="22"/>
              </w:rPr>
              <w:t>Tangible benefits $2.5 billion in 2014 dollars</w:t>
            </w:r>
            <w:r w:rsidR="001B5E3C">
              <w:rPr>
                <w:rFonts w:eastAsia="Calibri" w:cs="Arial"/>
                <w:sz w:val="22"/>
              </w:rPr>
              <w:t>**</w:t>
            </w:r>
            <w:r w:rsidRPr="000C138D">
              <w:rPr>
                <w:rFonts w:eastAsia="Calibri" w:cs="Arial"/>
                <w:sz w:val="22"/>
              </w:rPr>
              <w:t xml:space="preserve"> </w:t>
            </w:r>
          </w:p>
        </w:tc>
        <w:tc>
          <w:tcPr>
            <w:tcW w:w="1277" w:type="dxa"/>
            <w:shd w:val="clear" w:color="auto" w:fill="auto"/>
          </w:tcPr>
          <w:p w14:paraId="4EE1789F" w14:textId="77777777" w:rsidR="0082483F" w:rsidRPr="000C138D" w:rsidRDefault="0082483F" w:rsidP="00860AB8">
            <w:pPr>
              <w:pStyle w:val="TableText"/>
              <w:spacing w:line="276" w:lineRule="auto"/>
              <w:rPr>
                <w:rFonts w:eastAsia="Calibri" w:cs="Arial"/>
                <w:sz w:val="22"/>
              </w:rPr>
            </w:pPr>
            <w:r w:rsidRPr="000C138D">
              <w:rPr>
                <w:rFonts w:eastAsia="Calibri" w:cs="Arial"/>
                <w:sz w:val="22"/>
              </w:rPr>
              <w:t>Medium</w:t>
            </w:r>
          </w:p>
        </w:tc>
      </w:tr>
      <w:tr w:rsidR="0082483F" w:rsidRPr="000C138D" w14:paraId="2E458D6F" w14:textId="77777777" w:rsidTr="00864AD0">
        <w:trPr>
          <w:trHeight w:val="253"/>
        </w:trPr>
        <w:tc>
          <w:tcPr>
            <w:tcW w:w="1982" w:type="dxa"/>
            <w:shd w:val="clear" w:color="auto" w:fill="auto"/>
          </w:tcPr>
          <w:p w14:paraId="584D9963" w14:textId="3814F273" w:rsidR="0082483F" w:rsidRPr="000C138D" w:rsidRDefault="0082483F" w:rsidP="00860AB8">
            <w:pPr>
              <w:pStyle w:val="TableText"/>
              <w:spacing w:line="276" w:lineRule="auto"/>
              <w:rPr>
                <w:rFonts w:eastAsia="Calibri" w:cs="Arial"/>
                <w:b/>
                <w:sz w:val="22"/>
              </w:rPr>
            </w:pPr>
            <w:r w:rsidRPr="000C138D">
              <w:rPr>
                <w:rFonts w:eastAsia="Calibri" w:cs="Arial"/>
                <w:b/>
                <w:sz w:val="22"/>
              </w:rPr>
              <w:t xml:space="preserve">Total </w:t>
            </w:r>
            <w:proofErr w:type="gramStart"/>
            <w:r w:rsidR="00860AB8">
              <w:rPr>
                <w:rFonts w:eastAsia="Calibri" w:cs="Arial"/>
                <w:b/>
                <w:sz w:val="22"/>
              </w:rPr>
              <w:t>m</w:t>
            </w:r>
            <w:r w:rsidRPr="000C138D">
              <w:rPr>
                <w:rFonts w:eastAsia="Calibri" w:cs="Arial"/>
                <w:b/>
                <w:sz w:val="22"/>
              </w:rPr>
              <w:t xml:space="preserve">onetised  </w:t>
            </w:r>
            <w:r w:rsidR="00860AB8">
              <w:rPr>
                <w:rFonts w:eastAsia="Calibri" w:cs="Arial"/>
                <w:b/>
                <w:sz w:val="22"/>
              </w:rPr>
              <w:t>b</w:t>
            </w:r>
            <w:r w:rsidRPr="000C138D">
              <w:rPr>
                <w:rFonts w:eastAsia="Calibri" w:cs="Arial"/>
                <w:b/>
                <w:sz w:val="22"/>
              </w:rPr>
              <w:t>enefit</w:t>
            </w:r>
            <w:proofErr w:type="gramEnd"/>
          </w:p>
        </w:tc>
        <w:tc>
          <w:tcPr>
            <w:tcW w:w="3685" w:type="dxa"/>
            <w:shd w:val="clear" w:color="auto" w:fill="auto"/>
          </w:tcPr>
          <w:p w14:paraId="34026014" w14:textId="77777777" w:rsidR="0082483F" w:rsidRPr="000C138D" w:rsidRDefault="0082483F" w:rsidP="00860AB8">
            <w:pPr>
              <w:pStyle w:val="TableText"/>
              <w:spacing w:line="276" w:lineRule="auto"/>
              <w:rPr>
                <w:rFonts w:eastAsia="Calibri" w:cs="Arial"/>
                <w:sz w:val="22"/>
              </w:rPr>
            </w:pPr>
          </w:p>
        </w:tc>
        <w:tc>
          <w:tcPr>
            <w:tcW w:w="2127" w:type="dxa"/>
            <w:shd w:val="clear" w:color="auto" w:fill="auto"/>
          </w:tcPr>
          <w:p w14:paraId="5A2CB56F" w14:textId="16A5E878" w:rsidR="0082483F" w:rsidRPr="000C138D" w:rsidRDefault="0082483F" w:rsidP="00860AB8">
            <w:pPr>
              <w:pStyle w:val="TableText"/>
              <w:spacing w:line="276" w:lineRule="auto"/>
              <w:rPr>
                <w:rFonts w:eastAsia="Calibri" w:cs="Arial"/>
                <w:sz w:val="22"/>
              </w:rPr>
            </w:pPr>
            <w:r w:rsidRPr="000C138D">
              <w:rPr>
                <w:rFonts w:eastAsia="Calibri" w:cs="Arial"/>
                <w:sz w:val="22"/>
              </w:rPr>
              <w:t>At least $5.5 billion</w:t>
            </w:r>
          </w:p>
        </w:tc>
        <w:tc>
          <w:tcPr>
            <w:tcW w:w="1277" w:type="dxa"/>
            <w:shd w:val="clear" w:color="auto" w:fill="auto"/>
          </w:tcPr>
          <w:p w14:paraId="003938D2" w14:textId="77777777" w:rsidR="0082483F" w:rsidRPr="000C138D" w:rsidRDefault="0082483F" w:rsidP="00860AB8">
            <w:pPr>
              <w:pStyle w:val="TableText"/>
              <w:spacing w:line="276" w:lineRule="auto"/>
              <w:rPr>
                <w:rFonts w:eastAsia="Calibri" w:cs="Arial"/>
                <w:sz w:val="22"/>
              </w:rPr>
            </w:pPr>
            <w:r w:rsidRPr="000C138D">
              <w:rPr>
                <w:rFonts w:eastAsia="Calibri" w:cs="Arial"/>
                <w:sz w:val="22"/>
              </w:rPr>
              <w:t>Medium</w:t>
            </w:r>
          </w:p>
        </w:tc>
      </w:tr>
      <w:tr w:rsidR="0082483F" w:rsidRPr="000C138D" w14:paraId="0876BF53" w14:textId="77777777" w:rsidTr="00864AD0">
        <w:trPr>
          <w:trHeight w:val="253"/>
        </w:trPr>
        <w:tc>
          <w:tcPr>
            <w:tcW w:w="1982" w:type="dxa"/>
            <w:shd w:val="clear" w:color="auto" w:fill="auto"/>
          </w:tcPr>
          <w:p w14:paraId="3D4F9732" w14:textId="77777777" w:rsidR="0082483F" w:rsidRPr="000C138D" w:rsidRDefault="0082483F" w:rsidP="00860AB8">
            <w:pPr>
              <w:pStyle w:val="TableText"/>
              <w:spacing w:line="276" w:lineRule="auto"/>
              <w:rPr>
                <w:rFonts w:eastAsia="Calibri" w:cs="Arial"/>
                <w:b/>
                <w:sz w:val="22"/>
              </w:rPr>
            </w:pPr>
            <w:r w:rsidRPr="000C138D">
              <w:rPr>
                <w:rFonts w:eastAsia="Calibri" w:cs="Arial"/>
                <w:b/>
                <w:sz w:val="22"/>
              </w:rPr>
              <w:t>Non-monetised benefits</w:t>
            </w:r>
          </w:p>
        </w:tc>
        <w:tc>
          <w:tcPr>
            <w:tcW w:w="3685" w:type="dxa"/>
            <w:shd w:val="clear" w:color="auto" w:fill="auto"/>
          </w:tcPr>
          <w:p w14:paraId="3168200C" w14:textId="77777777" w:rsidR="0082483F" w:rsidRPr="000C138D" w:rsidRDefault="0082483F" w:rsidP="00860AB8">
            <w:pPr>
              <w:pStyle w:val="TableText"/>
              <w:spacing w:line="276" w:lineRule="auto"/>
              <w:rPr>
                <w:rFonts w:eastAsia="Calibri" w:cs="Arial"/>
                <w:sz w:val="22"/>
              </w:rPr>
            </w:pPr>
          </w:p>
        </w:tc>
        <w:tc>
          <w:tcPr>
            <w:tcW w:w="2127" w:type="dxa"/>
            <w:shd w:val="clear" w:color="auto" w:fill="auto"/>
          </w:tcPr>
          <w:p w14:paraId="02A23FC2" w14:textId="77777777" w:rsidR="0082483F" w:rsidRPr="000C138D" w:rsidRDefault="0082483F" w:rsidP="00860AB8">
            <w:pPr>
              <w:pStyle w:val="TableText"/>
              <w:spacing w:line="276" w:lineRule="auto"/>
              <w:rPr>
                <w:rFonts w:eastAsia="Calibri" w:cs="Arial"/>
                <w:iCs/>
                <w:sz w:val="22"/>
              </w:rPr>
            </w:pPr>
            <w:r w:rsidRPr="000C138D">
              <w:rPr>
                <w:rFonts w:eastAsia="Calibri" w:cs="Arial"/>
                <w:iCs/>
                <w:sz w:val="22"/>
              </w:rPr>
              <w:t>High</w:t>
            </w:r>
          </w:p>
        </w:tc>
        <w:tc>
          <w:tcPr>
            <w:tcW w:w="1277" w:type="dxa"/>
            <w:shd w:val="clear" w:color="auto" w:fill="auto"/>
          </w:tcPr>
          <w:p w14:paraId="2574AF53" w14:textId="77777777" w:rsidR="0082483F" w:rsidRPr="000C138D" w:rsidRDefault="0082483F" w:rsidP="00860AB8">
            <w:pPr>
              <w:pStyle w:val="TableText"/>
              <w:spacing w:line="276" w:lineRule="auto"/>
              <w:rPr>
                <w:rFonts w:eastAsia="Calibri" w:cs="Arial"/>
                <w:sz w:val="22"/>
              </w:rPr>
            </w:pPr>
          </w:p>
        </w:tc>
      </w:tr>
    </w:tbl>
    <w:p w14:paraId="6471D55E" w14:textId="2EA6DC81" w:rsidR="001B5E3C" w:rsidRPr="001B5E3C" w:rsidRDefault="001B5E3C" w:rsidP="005744B1">
      <w:pPr>
        <w:rPr>
          <w:sz w:val="20"/>
        </w:rPr>
      </w:pPr>
      <w:r w:rsidRPr="001B5E3C">
        <w:rPr>
          <w:sz w:val="20"/>
        </w:rPr>
        <w:t>Note:</w:t>
      </w:r>
    </w:p>
    <w:p w14:paraId="24EC7E7E" w14:textId="7C92833E" w:rsidR="001B5E3C" w:rsidRPr="002F4151" w:rsidRDefault="001B5E3C" w:rsidP="005744B1">
      <w:pPr>
        <w:rPr>
          <w:rStyle w:val="Hyperlink"/>
          <w:sz w:val="20"/>
        </w:rPr>
      </w:pPr>
      <w:r w:rsidRPr="001B5E3C">
        <w:rPr>
          <w:sz w:val="20"/>
        </w:rPr>
        <w:t xml:space="preserve">* The intangible costs have been estimated </w:t>
      </w:r>
      <w:proofErr w:type="spellStart"/>
      <w:r w:rsidR="004B7507">
        <w:rPr>
          <w:sz w:val="20"/>
        </w:rPr>
        <w:t>as</w:t>
      </w:r>
      <w:proofErr w:type="spellEnd"/>
      <w:r w:rsidRPr="001B5E3C">
        <w:rPr>
          <w:sz w:val="20"/>
        </w:rPr>
        <w:t xml:space="preserve"> between $3.11 billion (using Treasury’s recommended $38,110 per quality-adjusted life year (QALY)) and $11.2 billion (using $137,500 per QALY) with 81,650 QALYs lost. Intangible costs include lost life-years due to tobacco-induced premature mortality, and lost health-related quality of life due to tobacco-induced morbidity. For more information, </w:t>
      </w:r>
      <w:r w:rsidR="00C5148E">
        <w:rPr>
          <w:sz w:val="20"/>
        </w:rPr>
        <w:t>see Cabinet Office Circular (2016) at</w:t>
      </w:r>
      <w:r w:rsidRPr="001B5E3C">
        <w:rPr>
          <w:sz w:val="20"/>
        </w:rPr>
        <w:t xml:space="preserve">: </w:t>
      </w:r>
      <w:r w:rsidR="002F4151">
        <w:rPr>
          <w:sz w:val="20"/>
        </w:rPr>
        <w:fldChar w:fldCharType="begin"/>
      </w:r>
      <w:r w:rsidR="002F4151">
        <w:rPr>
          <w:sz w:val="20"/>
        </w:rPr>
        <w:instrText xml:space="preserve"> HYPERLINK "https://www.health.govt.nz/system/files/documents/pages/cabinet-paper-8-april-2016.pdf" </w:instrText>
      </w:r>
      <w:r w:rsidR="002F4151">
        <w:rPr>
          <w:sz w:val="20"/>
        </w:rPr>
        <w:fldChar w:fldCharType="separate"/>
      </w:r>
      <w:r w:rsidRPr="002F4151">
        <w:rPr>
          <w:rStyle w:val="Hyperlink"/>
          <w:sz w:val="20"/>
        </w:rPr>
        <w:t>https://www.health.govt.nz/system/files/documents/pages/cabinet-paper-8-april-2016.pdf</w:t>
      </w:r>
    </w:p>
    <w:p w14:paraId="567DD1B5" w14:textId="30642030" w:rsidR="001B5E3C" w:rsidRPr="001B5E3C" w:rsidRDefault="002F4151" w:rsidP="005744B1">
      <w:pPr>
        <w:rPr>
          <w:sz w:val="20"/>
        </w:rPr>
      </w:pPr>
      <w:r>
        <w:rPr>
          <w:sz w:val="20"/>
        </w:rPr>
        <w:fldChar w:fldCharType="end"/>
      </w:r>
      <w:r w:rsidR="001B5E3C" w:rsidRPr="001B5E3C">
        <w:rPr>
          <w:sz w:val="20"/>
        </w:rPr>
        <w:t>*</w:t>
      </w:r>
      <w:r w:rsidR="001B5E3C">
        <w:rPr>
          <w:sz w:val="20"/>
        </w:rPr>
        <w:t>*</w:t>
      </w:r>
      <w:r w:rsidR="001B5E3C" w:rsidRPr="001B5E3C">
        <w:rPr>
          <w:sz w:val="20"/>
        </w:rPr>
        <w:t xml:space="preserve"> Tangible or economic benefits include: improved workforce production </w:t>
      </w:r>
      <w:r w:rsidR="0037535F">
        <w:rPr>
          <w:sz w:val="20"/>
        </w:rPr>
        <w:t>(</w:t>
      </w:r>
      <w:r w:rsidR="001B5E3C" w:rsidRPr="001B5E3C">
        <w:rPr>
          <w:sz w:val="20"/>
        </w:rPr>
        <w:t xml:space="preserve">due to reduction in smoking-induced premature mortality and illness, </w:t>
      </w:r>
      <w:r w:rsidR="00A42A63">
        <w:rPr>
          <w:sz w:val="20"/>
        </w:rPr>
        <w:t xml:space="preserve">lower </w:t>
      </w:r>
      <w:r w:rsidR="001B5E3C" w:rsidRPr="001B5E3C">
        <w:rPr>
          <w:sz w:val="20"/>
        </w:rPr>
        <w:t>absenteeism</w:t>
      </w:r>
      <w:r w:rsidR="00D2629D">
        <w:rPr>
          <w:sz w:val="20"/>
        </w:rPr>
        <w:t xml:space="preserve"> and </w:t>
      </w:r>
      <w:r w:rsidR="00A42A63">
        <w:rPr>
          <w:sz w:val="20"/>
        </w:rPr>
        <w:t>higher employee</w:t>
      </w:r>
      <w:r w:rsidR="00D2629D">
        <w:rPr>
          <w:sz w:val="20"/>
        </w:rPr>
        <w:t xml:space="preserve"> productivity</w:t>
      </w:r>
      <w:r w:rsidR="0037535F">
        <w:rPr>
          <w:sz w:val="20"/>
        </w:rPr>
        <w:t>)</w:t>
      </w:r>
      <w:r w:rsidR="001B5E3C" w:rsidRPr="001B5E3C">
        <w:rPr>
          <w:sz w:val="20"/>
        </w:rPr>
        <w:t xml:space="preserve">; </w:t>
      </w:r>
      <w:r w:rsidR="00FD683D">
        <w:rPr>
          <w:sz w:val="20"/>
        </w:rPr>
        <w:t>stopping the loss of</w:t>
      </w:r>
      <w:r w:rsidR="001B5E3C" w:rsidRPr="001B5E3C">
        <w:rPr>
          <w:sz w:val="20"/>
        </w:rPr>
        <w:t xml:space="preserve"> resources to addictive consumption, </w:t>
      </w:r>
      <w:proofErr w:type="spellStart"/>
      <w:r w:rsidR="001B5E3C" w:rsidRPr="001B5E3C">
        <w:rPr>
          <w:sz w:val="20"/>
        </w:rPr>
        <w:t>ie</w:t>
      </w:r>
      <w:proofErr w:type="spellEnd"/>
      <w:r w:rsidR="00671708">
        <w:rPr>
          <w:sz w:val="20"/>
        </w:rPr>
        <w:t>,</w:t>
      </w:r>
      <w:r w:rsidR="001B5E3C" w:rsidRPr="001B5E3C">
        <w:rPr>
          <w:sz w:val="20"/>
        </w:rPr>
        <w:t xml:space="preserve"> those resources consumed in smoking solely because of the addictive properties of nicotine</w:t>
      </w:r>
      <w:r w:rsidR="00671708">
        <w:rPr>
          <w:sz w:val="20"/>
        </w:rPr>
        <w:t>; and a</w:t>
      </w:r>
      <w:r w:rsidR="001B5E3C" w:rsidRPr="001B5E3C">
        <w:rPr>
          <w:sz w:val="20"/>
        </w:rPr>
        <w:t xml:space="preserve"> gain of resources used to treat smoking</w:t>
      </w:r>
      <w:r w:rsidR="003E4A18">
        <w:rPr>
          <w:sz w:val="20"/>
        </w:rPr>
        <w:t>-</w:t>
      </w:r>
      <w:r w:rsidR="001B5E3C" w:rsidRPr="001B5E3C">
        <w:rPr>
          <w:sz w:val="20"/>
        </w:rPr>
        <w:t>induced diseases and their consequences</w:t>
      </w:r>
      <w:r w:rsidR="001B5E3C">
        <w:rPr>
          <w:sz w:val="20"/>
        </w:rPr>
        <w:t>.</w:t>
      </w:r>
    </w:p>
    <w:p w14:paraId="4E969829" w14:textId="2A0EF001" w:rsidR="00C77099" w:rsidRPr="000C138D" w:rsidRDefault="00C77099" w:rsidP="005744B1">
      <w:pPr>
        <w:rPr>
          <w:rFonts w:cs="Arial"/>
          <w:i/>
          <w:color w:val="000000"/>
          <w:szCs w:val="22"/>
          <w:lang w:eastAsia="en-AU"/>
        </w:rPr>
      </w:pPr>
    </w:p>
    <w:tbl>
      <w:tblPr>
        <w:tblW w:w="4885" w:type="pct"/>
        <w:tblInd w:w="10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8852"/>
      </w:tblGrid>
      <w:tr w:rsidR="00C77099" w:rsidRPr="000C138D" w14:paraId="0EE4E8B4" w14:textId="77777777" w:rsidTr="00BB4EA2">
        <w:trPr>
          <w:trHeight w:val="77"/>
        </w:trPr>
        <w:tc>
          <w:tcPr>
            <w:tcW w:w="5000" w:type="pct"/>
            <w:shd w:val="clear" w:color="auto" w:fill="99CDDD"/>
            <w:hideMark/>
          </w:tcPr>
          <w:p w14:paraId="025841E7" w14:textId="4D49F15C" w:rsidR="00C77099" w:rsidRPr="000C138D" w:rsidRDefault="00D9793F" w:rsidP="000E0C9E">
            <w:pPr>
              <w:pStyle w:val="TableHeadings"/>
            </w:pPr>
            <w:r w:rsidRPr="000C138D">
              <w:t>4</w:t>
            </w:r>
            <w:r w:rsidR="00C77099" w:rsidRPr="000C138D">
              <w:t xml:space="preserve">.2 What other impacts is this </w:t>
            </w:r>
            <w:r w:rsidR="002D63C9" w:rsidRPr="000C138D">
              <w:t>approach</w:t>
            </w:r>
            <w:r w:rsidR="00C77099" w:rsidRPr="000C138D">
              <w:t xml:space="preserve"> likely to have?</w:t>
            </w:r>
          </w:p>
        </w:tc>
      </w:tr>
      <w:tr w:rsidR="00A552DC" w:rsidRPr="000C138D" w14:paraId="6A2D25DE" w14:textId="77777777" w:rsidTr="00BB4EA2">
        <w:trPr>
          <w:trHeight w:val="2811"/>
        </w:trPr>
        <w:tc>
          <w:tcPr>
            <w:tcW w:w="5000" w:type="pct"/>
            <w:shd w:val="clear" w:color="auto" w:fill="auto"/>
          </w:tcPr>
          <w:p w14:paraId="7EBFF431" w14:textId="0C3394E0" w:rsidR="000535CE" w:rsidRPr="000C138D" w:rsidRDefault="00CA5CDA" w:rsidP="008931C3">
            <w:r w:rsidRPr="000C138D">
              <w:t>The various measures impact differently on smoking prevalence. For example, de-</w:t>
            </w:r>
            <w:proofErr w:type="spellStart"/>
            <w:r w:rsidRPr="000C138D">
              <w:t>nicotinising</w:t>
            </w:r>
            <w:proofErr w:type="spellEnd"/>
            <w:r w:rsidRPr="000C138D">
              <w:t xml:space="preserve"> cigarettes </w:t>
            </w:r>
            <w:r w:rsidR="00A2218E">
              <w:t>could</w:t>
            </w:r>
            <w:r w:rsidR="00A2218E" w:rsidRPr="000C138D">
              <w:t xml:space="preserve"> </w:t>
            </w:r>
            <w:r w:rsidRPr="000C138D">
              <w:t>significantly reduce the appeal of cigarettes for existing smokers, while raising age limits will have no effect on existing smokers but may delay or prevent young people</w:t>
            </w:r>
            <w:r w:rsidR="005B7B4A">
              <w:t xml:space="preserve"> from</w:t>
            </w:r>
            <w:r w:rsidRPr="000C138D">
              <w:t xml:space="preserve"> starting to smoke. </w:t>
            </w:r>
            <w:r w:rsidR="00D657D3" w:rsidRPr="000C138D">
              <w:t xml:space="preserve">Overall, as a package, the measures are proposed to strongly contribute to a </w:t>
            </w:r>
            <w:r w:rsidR="00BD7569">
              <w:t>S</w:t>
            </w:r>
            <w:r w:rsidR="00D657D3" w:rsidRPr="000C138D">
              <w:t>mokefree Aotearoa, and particularly contribute to hea</w:t>
            </w:r>
            <w:r w:rsidR="00732F67" w:rsidRPr="000C138D">
              <w:t>l</w:t>
            </w:r>
            <w:r w:rsidR="00D657D3" w:rsidRPr="000C138D">
              <w:t xml:space="preserve">th equity for </w:t>
            </w:r>
            <w:r w:rsidR="00D657D3" w:rsidRPr="000C138D">
              <w:rPr>
                <w:rFonts w:cs="Arial"/>
              </w:rPr>
              <w:t>Māori</w:t>
            </w:r>
            <w:r w:rsidR="00D657D3" w:rsidRPr="000C138D">
              <w:t xml:space="preserve"> and Pacific people</w:t>
            </w:r>
            <w:r w:rsidR="00732F67" w:rsidRPr="000C138D">
              <w:t>s</w:t>
            </w:r>
            <w:r w:rsidR="00D657D3" w:rsidRPr="000C138D">
              <w:t xml:space="preserve">. </w:t>
            </w:r>
          </w:p>
          <w:p w14:paraId="2507F27D" w14:textId="7EF48796" w:rsidR="00CA5CDA" w:rsidRPr="000C138D" w:rsidRDefault="00CA5CDA" w:rsidP="008931C3">
            <w:pPr>
              <w:rPr>
                <w:rFonts w:cs="Arial"/>
                <w:szCs w:val="22"/>
              </w:rPr>
            </w:pPr>
            <w:r w:rsidRPr="000C138D">
              <w:rPr>
                <w:rFonts w:cs="Arial"/>
                <w:szCs w:val="22"/>
              </w:rPr>
              <w:t>There is an illegal market for tobacco in New Zealand</w:t>
            </w:r>
            <w:r w:rsidR="00D93C40" w:rsidRPr="000C138D">
              <w:rPr>
                <w:rFonts w:cs="Arial"/>
                <w:szCs w:val="22"/>
              </w:rPr>
              <w:t>.</w:t>
            </w:r>
            <w:r w:rsidR="000A6CA3" w:rsidRPr="000C138D">
              <w:rPr>
                <w:rFonts w:cs="Arial"/>
                <w:szCs w:val="22"/>
              </w:rPr>
              <w:t xml:space="preserve"> </w:t>
            </w:r>
            <w:r w:rsidR="00420769" w:rsidRPr="000C138D">
              <w:rPr>
                <w:rFonts w:cs="Arial"/>
                <w:szCs w:val="22"/>
              </w:rPr>
              <w:t>Previous t</w:t>
            </w:r>
            <w:r w:rsidRPr="000C138D">
              <w:rPr>
                <w:rFonts w:cs="Arial"/>
                <w:szCs w:val="22"/>
              </w:rPr>
              <w:t xml:space="preserve">ax increases </w:t>
            </w:r>
            <w:r w:rsidR="00420769" w:rsidRPr="000C138D">
              <w:rPr>
                <w:rFonts w:cs="Arial"/>
                <w:szCs w:val="22"/>
              </w:rPr>
              <w:t xml:space="preserve">may have </w:t>
            </w:r>
            <w:r w:rsidRPr="000C138D">
              <w:rPr>
                <w:rFonts w:cs="Arial"/>
                <w:szCs w:val="22"/>
              </w:rPr>
              <w:t>contribut</w:t>
            </w:r>
            <w:r w:rsidR="00420769" w:rsidRPr="000C138D">
              <w:rPr>
                <w:rFonts w:cs="Arial"/>
                <w:szCs w:val="22"/>
              </w:rPr>
              <w:t xml:space="preserve">ed </w:t>
            </w:r>
            <w:r w:rsidRPr="000C138D">
              <w:rPr>
                <w:rFonts w:cs="Arial"/>
                <w:szCs w:val="22"/>
              </w:rPr>
              <w:t>to increase</w:t>
            </w:r>
            <w:r w:rsidR="00D93C40" w:rsidRPr="000C138D">
              <w:rPr>
                <w:rFonts w:cs="Arial"/>
                <w:szCs w:val="22"/>
              </w:rPr>
              <w:t xml:space="preserve">s in smuggling of </w:t>
            </w:r>
            <w:r w:rsidRPr="000C138D">
              <w:rPr>
                <w:rFonts w:cs="Arial"/>
                <w:szCs w:val="22"/>
              </w:rPr>
              <w:t>tobacco</w:t>
            </w:r>
            <w:r w:rsidR="00420769" w:rsidRPr="000C138D">
              <w:rPr>
                <w:rFonts w:cs="Arial"/>
                <w:szCs w:val="22"/>
              </w:rPr>
              <w:t xml:space="preserve">. It is </w:t>
            </w:r>
            <w:r w:rsidR="00E47711" w:rsidRPr="000C138D">
              <w:rPr>
                <w:rFonts w:cs="Arial"/>
                <w:szCs w:val="22"/>
              </w:rPr>
              <w:t>likely</w:t>
            </w:r>
            <w:r w:rsidR="00420769" w:rsidRPr="000C138D">
              <w:rPr>
                <w:rFonts w:cs="Arial"/>
                <w:szCs w:val="22"/>
              </w:rPr>
              <w:t xml:space="preserve"> that </w:t>
            </w:r>
            <w:r w:rsidR="00E47711" w:rsidRPr="000C138D">
              <w:rPr>
                <w:rFonts w:cs="Arial"/>
                <w:szCs w:val="22"/>
              </w:rPr>
              <w:t xml:space="preserve">the measures proposed will increase requirements for compliance and enforcement relating to illegally imported smoked tobacco products. </w:t>
            </w:r>
            <w:r w:rsidRPr="000C138D">
              <w:rPr>
                <w:rFonts w:cs="Arial"/>
                <w:szCs w:val="22"/>
              </w:rPr>
              <w:t xml:space="preserve">However, no evidence </w:t>
            </w:r>
            <w:r w:rsidR="00C77B6A">
              <w:rPr>
                <w:rFonts w:cs="Arial"/>
                <w:szCs w:val="22"/>
              </w:rPr>
              <w:t xml:space="preserve">clearly </w:t>
            </w:r>
            <w:r w:rsidRPr="000C138D">
              <w:rPr>
                <w:rFonts w:cs="Arial"/>
                <w:szCs w:val="22"/>
              </w:rPr>
              <w:t>link</w:t>
            </w:r>
            <w:r w:rsidR="00C77B6A">
              <w:rPr>
                <w:rFonts w:cs="Arial"/>
                <w:szCs w:val="22"/>
              </w:rPr>
              <w:t>s</w:t>
            </w:r>
            <w:r w:rsidRPr="000C138D">
              <w:rPr>
                <w:rFonts w:cs="Arial"/>
                <w:szCs w:val="22"/>
              </w:rPr>
              <w:t xml:space="preserve"> the tax rises to dairy robberies (Ajmal and U 2015). Additional measures to limit the number or type of retailers of tobacco products available may reduce the risk of robberies. </w:t>
            </w:r>
          </w:p>
          <w:p w14:paraId="3CEE7476" w14:textId="48961B15" w:rsidR="00CA5CDA" w:rsidRPr="000C138D" w:rsidRDefault="00CA5CDA" w:rsidP="008931C3">
            <w:pPr>
              <w:rPr>
                <w:rFonts w:cs="Arial"/>
                <w:szCs w:val="22"/>
              </w:rPr>
            </w:pPr>
            <w:r w:rsidRPr="000C138D">
              <w:rPr>
                <w:rFonts w:cs="Arial"/>
                <w:szCs w:val="22"/>
              </w:rPr>
              <w:t>Measures to reduce the retail supply of tobacco may affect small businesses, such as dairies, by reducing the number of customers visiting their premises. However</w:t>
            </w:r>
            <w:r w:rsidR="003F4A17">
              <w:rPr>
                <w:rFonts w:cs="Arial"/>
                <w:szCs w:val="22"/>
              </w:rPr>
              <w:t>,</w:t>
            </w:r>
            <w:r w:rsidRPr="000C138D">
              <w:rPr>
                <w:rFonts w:cs="Arial"/>
                <w:szCs w:val="22"/>
              </w:rPr>
              <w:t xml:space="preserve"> the most recent evidence available suggests that this effect may be overstated, as only around </w:t>
            </w:r>
            <w:r w:rsidR="003F4A17">
              <w:rPr>
                <w:rFonts w:cs="Arial"/>
                <w:szCs w:val="22"/>
              </w:rPr>
              <w:t>5</w:t>
            </w:r>
            <w:r w:rsidR="003F4A17" w:rsidRPr="000C138D">
              <w:rPr>
                <w:rFonts w:cs="Arial"/>
                <w:szCs w:val="22"/>
              </w:rPr>
              <w:t xml:space="preserve"> </w:t>
            </w:r>
            <w:r w:rsidR="00C83722" w:rsidRPr="000C138D">
              <w:rPr>
                <w:rFonts w:cs="Arial"/>
                <w:szCs w:val="22"/>
              </w:rPr>
              <w:t>percent</w:t>
            </w:r>
            <w:r w:rsidRPr="000C138D">
              <w:rPr>
                <w:rFonts w:cs="Arial"/>
                <w:szCs w:val="22"/>
              </w:rPr>
              <w:t xml:space="preserve"> of sales are for both tobacco and non-tobacco products together, and margins from tobacco sales are low (Marsh et al 2020</w:t>
            </w:r>
            <w:r w:rsidR="00911C5B">
              <w:rPr>
                <w:rFonts w:cs="Arial"/>
                <w:szCs w:val="22"/>
              </w:rPr>
              <w:t>b</w:t>
            </w:r>
            <w:r w:rsidRPr="000C138D">
              <w:rPr>
                <w:rFonts w:cs="Arial"/>
                <w:szCs w:val="22"/>
              </w:rPr>
              <w:t xml:space="preserve">).   </w:t>
            </w:r>
          </w:p>
          <w:p w14:paraId="22F69E8C" w14:textId="36E52C04" w:rsidR="000535CE" w:rsidRPr="000C138D" w:rsidRDefault="00CA5CDA" w:rsidP="003F4A17">
            <w:r w:rsidRPr="000C138D">
              <w:t xml:space="preserve">Options to reduce smoking and remove or restrict the use of filters in cigarettes support healthy environments (WHO 2017) and the National Policy Statement for Freshwater Management. </w:t>
            </w:r>
          </w:p>
        </w:tc>
      </w:tr>
    </w:tbl>
    <w:p w14:paraId="61129AA6" w14:textId="77777777" w:rsidR="00230C0A" w:rsidRPr="000C138D" w:rsidRDefault="00230C0A" w:rsidP="00B15F56">
      <w:pPr>
        <w:spacing w:after="0"/>
        <w:rPr>
          <w:rFonts w:cs="Arial"/>
          <w:i/>
          <w:color w:val="000000"/>
          <w:szCs w:val="22"/>
          <w:lang w:eastAsia="en-AU"/>
        </w:rPr>
      </w:pPr>
    </w:p>
    <w:p w14:paraId="21C3CCD1" w14:textId="77777777" w:rsidR="00230C0A" w:rsidRPr="000C138D" w:rsidRDefault="00230C0A">
      <w:pPr>
        <w:spacing w:after="0" w:line="240" w:lineRule="auto"/>
        <w:rPr>
          <w:rFonts w:cs="Arial"/>
          <w:i/>
          <w:color w:val="000000"/>
          <w:szCs w:val="22"/>
          <w:lang w:eastAsia="en-AU"/>
        </w:rPr>
      </w:pPr>
      <w:r w:rsidRPr="000C138D">
        <w:rPr>
          <w:rFonts w:cs="Arial"/>
          <w:i/>
          <w:color w:val="000000"/>
          <w:szCs w:val="22"/>
          <w:lang w:eastAsia="en-AU"/>
        </w:rPr>
        <w:br w:type="page"/>
      </w:r>
    </w:p>
    <w:p w14:paraId="6F9520B9" w14:textId="77777777" w:rsidR="00051A88" w:rsidRPr="000C138D" w:rsidRDefault="00051A88" w:rsidP="000E0C9E">
      <w:pPr>
        <w:pStyle w:val="Heading2"/>
      </w:pPr>
      <w:r w:rsidRPr="000C138D">
        <w:lastRenderedPageBreak/>
        <w:t xml:space="preserve">Section </w:t>
      </w:r>
      <w:r w:rsidR="00C77099" w:rsidRPr="000C138D">
        <w:t>5</w:t>
      </w:r>
      <w:r w:rsidRPr="000C138D">
        <w:t xml:space="preserve">: Stakeholder views </w:t>
      </w:r>
    </w:p>
    <w:tbl>
      <w:tblPr>
        <w:tblW w:w="4885" w:type="pct"/>
        <w:tblInd w:w="10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8852"/>
      </w:tblGrid>
      <w:tr w:rsidR="00051A88" w:rsidRPr="000C138D" w14:paraId="19F418CE" w14:textId="77777777" w:rsidTr="00BB4EA2">
        <w:trPr>
          <w:trHeight w:val="77"/>
        </w:trPr>
        <w:tc>
          <w:tcPr>
            <w:tcW w:w="5000" w:type="pct"/>
            <w:shd w:val="clear" w:color="auto" w:fill="99CDDD"/>
          </w:tcPr>
          <w:p w14:paraId="47155F41" w14:textId="0A225A43" w:rsidR="00051A88" w:rsidRPr="000C138D" w:rsidRDefault="00D9793F" w:rsidP="00BF0705">
            <w:pPr>
              <w:pStyle w:val="TableHeadings"/>
              <w:rPr>
                <w:szCs w:val="22"/>
              </w:rPr>
            </w:pPr>
            <w:r w:rsidRPr="000C138D">
              <w:rPr>
                <w:szCs w:val="22"/>
              </w:rPr>
              <w:t>5</w:t>
            </w:r>
            <w:r w:rsidR="00051A88" w:rsidRPr="000C138D">
              <w:rPr>
                <w:szCs w:val="22"/>
              </w:rPr>
              <w:t xml:space="preserve">.1 What do stakeholders think about the problem and the proposed solution? </w:t>
            </w:r>
          </w:p>
        </w:tc>
      </w:tr>
      <w:tr w:rsidR="00F132B2" w:rsidRPr="000C138D" w14:paraId="3DB21789" w14:textId="77777777" w:rsidTr="00BB4EA2">
        <w:trPr>
          <w:trHeight w:val="5298"/>
        </w:trPr>
        <w:tc>
          <w:tcPr>
            <w:tcW w:w="5000" w:type="pct"/>
            <w:shd w:val="clear" w:color="auto" w:fill="auto"/>
          </w:tcPr>
          <w:p w14:paraId="446868A8" w14:textId="77777777" w:rsidR="0006538D" w:rsidRPr="000C138D" w:rsidRDefault="0006538D" w:rsidP="008931C3">
            <w:r w:rsidRPr="000C138D">
              <w:t>Stakeholders include:</w:t>
            </w:r>
          </w:p>
          <w:p w14:paraId="7483DC5B" w14:textId="10D65DC3" w:rsidR="0006538D" w:rsidRPr="000C138D" w:rsidRDefault="0006538D" w:rsidP="008931C3">
            <w:pPr>
              <w:pStyle w:val="ListBullet"/>
            </w:pPr>
            <w:r w:rsidRPr="000C138D">
              <w:t xml:space="preserve">health sector agencies and district health boards, health practitioners and their representative bodies, </w:t>
            </w:r>
            <w:r w:rsidRPr="000C138D">
              <w:rPr>
                <w:rFonts w:eastAsia="Calibri"/>
              </w:rPr>
              <w:t>non-government</w:t>
            </w:r>
            <w:r w:rsidR="005D7E05">
              <w:rPr>
                <w:rFonts w:eastAsia="Calibri"/>
              </w:rPr>
              <w:t>al</w:t>
            </w:r>
            <w:r w:rsidRPr="000C138D">
              <w:rPr>
                <w:rFonts w:eastAsia="Calibri"/>
              </w:rPr>
              <w:t xml:space="preserve"> organisations, academics, stop smoking service providers, </w:t>
            </w:r>
            <w:r w:rsidR="005D7E05">
              <w:rPr>
                <w:rFonts w:eastAsia="Calibri"/>
              </w:rPr>
              <w:t xml:space="preserve">and </w:t>
            </w:r>
            <w:r w:rsidRPr="000C138D">
              <w:rPr>
                <w:rFonts w:eastAsia="Calibri"/>
              </w:rPr>
              <w:t>Māori and Pacific providers</w:t>
            </w:r>
          </w:p>
          <w:p w14:paraId="01A97B69" w14:textId="0AD7C02F" w:rsidR="0006538D" w:rsidRPr="000C138D" w:rsidRDefault="0006538D" w:rsidP="008931C3">
            <w:pPr>
              <w:pStyle w:val="ListBullet"/>
            </w:pPr>
            <w:r w:rsidRPr="000C138D">
              <w:t>smokers</w:t>
            </w:r>
          </w:p>
          <w:p w14:paraId="5DF0116E" w14:textId="257E9EE4" w:rsidR="0006538D" w:rsidRPr="000C138D" w:rsidRDefault="0006538D" w:rsidP="008931C3">
            <w:pPr>
              <w:pStyle w:val="ListBullet"/>
            </w:pPr>
            <w:r w:rsidRPr="000C138D">
              <w:t>tobacco and vaping product industry representative bodies, manufacturers, importers and retailers</w:t>
            </w:r>
            <w:r w:rsidR="005D7E05">
              <w:t>,</w:t>
            </w:r>
            <w:r w:rsidRPr="000C138D">
              <w:t xml:space="preserve"> including small retailers and specialist vaping retailers. </w:t>
            </w:r>
          </w:p>
          <w:p w14:paraId="5DD9A232" w14:textId="11F48359" w:rsidR="0006538D" w:rsidRPr="000C138D" w:rsidRDefault="0006538D" w:rsidP="008931C3">
            <w:r w:rsidRPr="000C138D">
              <w:t xml:space="preserve">Consultation on the proposed measures is planned </w:t>
            </w:r>
            <w:r w:rsidR="008473AA">
              <w:t>for</w:t>
            </w:r>
            <w:r w:rsidRPr="000C138D">
              <w:t xml:space="preserve"> 2021. </w:t>
            </w:r>
            <w:proofErr w:type="spellStart"/>
            <w:r w:rsidRPr="000C138D">
              <w:rPr>
                <w:rFonts w:eastAsia="Calibri"/>
              </w:rPr>
              <w:t>Hāpai</w:t>
            </w:r>
            <w:proofErr w:type="spellEnd"/>
            <w:r w:rsidRPr="000C138D">
              <w:rPr>
                <w:rFonts w:eastAsia="Calibri"/>
              </w:rPr>
              <w:t xml:space="preserve"> </w:t>
            </w:r>
            <w:proofErr w:type="spellStart"/>
            <w:r w:rsidRPr="000C138D">
              <w:rPr>
                <w:rFonts w:eastAsia="Calibri"/>
              </w:rPr>
              <w:t>te</w:t>
            </w:r>
            <w:proofErr w:type="spellEnd"/>
            <w:r w:rsidRPr="000C138D">
              <w:rPr>
                <w:rFonts w:eastAsia="Calibri"/>
              </w:rPr>
              <w:t xml:space="preserve"> Hauora and Tala Pasifika are working with the Ministry to engage Māori and Pacific communities respectively in the consultation process. </w:t>
            </w:r>
          </w:p>
          <w:p w14:paraId="0130396D" w14:textId="77777777" w:rsidR="0006538D" w:rsidRPr="000C138D" w:rsidRDefault="0006538D" w:rsidP="00972683">
            <w:pPr>
              <w:pStyle w:val="ReportBody-MOH"/>
              <w:numPr>
                <w:ilvl w:val="0"/>
                <w:numId w:val="0"/>
              </w:numPr>
              <w:rPr>
                <w:rFonts w:ascii="Arial" w:hAnsi="Arial"/>
                <w:b/>
                <w:bCs/>
              </w:rPr>
            </w:pPr>
            <w:r w:rsidRPr="000C138D">
              <w:rPr>
                <w:rFonts w:ascii="Arial" w:hAnsi="Arial"/>
                <w:b/>
                <w:bCs/>
              </w:rPr>
              <w:t>Previous community engagement</w:t>
            </w:r>
          </w:p>
          <w:p w14:paraId="3217B53C" w14:textId="4379301F" w:rsidR="0006538D" w:rsidRPr="000C138D" w:rsidRDefault="0006538D" w:rsidP="008931C3">
            <w:r w:rsidRPr="000C138D">
              <w:t xml:space="preserve">Previous engagement with stakeholders has informed the development of this </w:t>
            </w:r>
            <w:r w:rsidR="003C2133">
              <w:t>Regulat</w:t>
            </w:r>
            <w:r w:rsidR="009047FB">
              <w:t xml:space="preserve">ory </w:t>
            </w:r>
            <w:r w:rsidR="00761BA3">
              <w:t>I</w:t>
            </w:r>
            <w:r w:rsidRPr="000C138D">
              <w:t xml:space="preserve">mpact </w:t>
            </w:r>
            <w:r w:rsidR="00761BA3">
              <w:t>S</w:t>
            </w:r>
            <w:r w:rsidRPr="000C138D">
              <w:t xml:space="preserve">tatement and the related proposals. </w:t>
            </w:r>
          </w:p>
          <w:p w14:paraId="52907FD6" w14:textId="77434E1A" w:rsidR="0006538D" w:rsidRPr="000C138D" w:rsidRDefault="0006538D" w:rsidP="008931C3">
            <w:r w:rsidRPr="000C138D">
              <w:t xml:space="preserve">In developing its report </w:t>
            </w:r>
            <w:r w:rsidRPr="000C138D">
              <w:rPr>
                <w:i/>
              </w:rPr>
              <w:t>Achieving Smokefree Aotearoa by 2025</w:t>
            </w:r>
            <w:r w:rsidR="00D753EF">
              <w:t xml:space="preserve"> (</w:t>
            </w:r>
            <w:r w:rsidR="00F46A83">
              <w:t>Thornley et al</w:t>
            </w:r>
            <w:r w:rsidR="00D753EF">
              <w:t xml:space="preserve"> </w:t>
            </w:r>
            <w:r w:rsidR="00F46A83">
              <w:t>2017b</w:t>
            </w:r>
            <w:r w:rsidR="00D753EF">
              <w:t>)</w:t>
            </w:r>
            <w:r w:rsidRPr="000C138D">
              <w:t>, ASPIRE</w:t>
            </w:r>
            <w:r w:rsidRPr="000C138D">
              <w:rPr>
                <w:rStyle w:val="FootnoteReference"/>
              </w:rPr>
              <w:footnoteReference w:id="7"/>
            </w:r>
            <w:r w:rsidRPr="000C138D">
              <w:t xml:space="preserve"> consulted with </w:t>
            </w:r>
            <w:r w:rsidR="0021264F">
              <w:t>30</w:t>
            </w:r>
            <w:r w:rsidR="0021264F" w:rsidRPr="000C138D">
              <w:t xml:space="preserve"> </w:t>
            </w:r>
            <w:r w:rsidRPr="000C138D">
              <w:t xml:space="preserve">experts in tobacco control and 100 health and community stakeholders on potential interventions that would contribute towards </w:t>
            </w:r>
            <w:r w:rsidR="006C4264">
              <w:t>S</w:t>
            </w:r>
            <w:r w:rsidR="00465FCF" w:rsidRPr="000C138D">
              <w:t xml:space="preserve">mokefree </w:t>
            </w:r>
            <w:r w:rsidRPr="000C138D">
              <w:t>2025. Th</w:t>
            </w:r>
            <w:r w:rsidR="0021264F">
              <w:t>e extent of this consultation</w:t>
            </w:r>
            <w:r w:rsidRPr="000C138D">
              <w:t xml:space="preserve"> indicates broad support for the measures under consideration. </w:t>
            </w:r>
          </w:p>
          <w:p w14:paraId="0C850D33" w14:textId="69A56DB7" w:rsidR="0006538D" w:rsidRPr="000C138D" w:rsidRDefault="0006538D" w:rsidP="008931C3">
            <w:r w:rsidRPr="000C138D">
              <w:t xml:space="preserve">Māori and Pacific peoples were strongly represented in the engagement hui carried out for the ASPIRE report. In phase </w:t>
            </w:r>
            <w:r w:rsidR="00465FCF" w:rsidRPr="000C138D">
              <w:t>two</w:t>
            </w:r>
            <w:r w:rsidRPr="000C138D">
              <w:t>, for example, two of the three Auckland groups</w:t>
            </w:r>
            <w:r w:rsidR="001322E5">
              <w:t xml:space="preserve"> at the hui</w:t>
            </w:r>
            <w:r w:rsidRPr="000C138D">
              <w:t xml:space="preserve"> were specific Māori or Pacific groups. </w:t>
            </w:r>
          </w:p>
          <w:p w14:paraId="67580E3B" w14:textId="08059297" w:rsidR="0006538D" w:rsidRPr="000C138D" w:rsidRDefault="0006538D" w:rsidP="008931C3">
            <w:r w:rsidRPr="000C138D">
              <w:t xml:space="preserve">Some health and community stakeholders have recently communicated dissatisfaction with the length of time it has taken to develop an </w:t>
            </w:r>
            <w:r w:rsidR="00150BA9" w:rsidRPr="000C138D">
              <w:t>a</w:t>
            </w:r>
            <w:r w:rsidRPr="000C138D">
              <w:t xml:space="preserve">ction </w:t>
            </w:r>
            <w:r w:rsidR="00150BA9" w:rsidRPr="000C138D">
              <w:t>p</w:t>
            </w:r>
            <w:r w:rsidRPr="000C138D">
              <w:t xml:space="preserve">lan, and a desire for the </w:t>
            </w:r>
            <w:r w:rsidR="00732F67" w:rsidRPr="000C138D">
              <w:t>G</w:t>
            </w:r>
            <w:r w:rsidRPr="000C138D">
              <w:t xml:space="preserve">overnment to </w:t>
            </w:r>
            <w:proofErr w:type="gramStart"/>
            <w:r w:rsidRPr="000C138D">
              <w:t>take action</w:t>
            </w:r>
            <w:proofErr w:type="gramEnd"/>
            <w:r w:rsidR="001322E5">
              <w:t>.</w:t>
            </w:r>
            <w:r w:rsidRPr="000C138D">
              <w:rPr>
                <w:rStyle w:val="FootnoteReference"/>
              </w:rPr>
              <w:footnoteReference w:id="8"/>
            </w:r>
            <w:r w:rsidRPr="000C138D">
              <w:t xml:space="preserve"> </w:t>
            </w:r>
          </w:p>
          <w:p w14:paraId="3826C9D2" w14:textId="58D55351" w:rsidR="0006538D" w:rsidRPr="000C138D" w:rsidRDefault="0006538D" w:rsidP="008931C3">
            <w:r w:rsidRPr="000C138D">
              <w:t xml:space="preserve">Tobacco manufacturers and importers are likely to be </w:t>
            </w:r>
            <w:r w:rsidR="00632850">
              <w:t>opposed to</w:t>
            </w:r>
            <w:r w:rsidRPr="000C138D">
              <w:t xml:space="preserve"> some of the measures proposed. Retailers and other commercial interests, such as vaping suppliers</w:t>
            </w:r>
            <w:r w:rsidR="00632850">
              <w:t>,</w:t>
            </w:r>
            <w:r w:rsidRPr="000C138D">
              <w:t xml:space="preserve"> may have mixed views. </w:t>
            </w:r>
          </w:p>
          <w:p w14:paraId="431955B4" w14:textId="22CD1189" w:rsidR="0006538D" w:rsidRPr="000C138D" w:rsidRDefault="0006538D" w:rsidP="008931C3">
            <w:r w:rsidRPr="000C138D">
              <w:t xml:space="preserve">Opposition to the Smoke-free Environments (Tobacco </w:t>
            </w:r>
            <w:r w:rsidR="00FE1060">
              <w:t>Standardised</w:t>
            </w:r>
            <w:r w:rsidR="00FE1060" w:rsidRPr="000C138D">
              <w:t xml:space="preserve"> </w:t>
            </w:r>
            <w:r w:rsidRPr="000C138D">
              <w:t xml:space="preserve">Packaging) Amendment Act 2016 </w:t>
            </w:r>
            <w:r w:rsidR="00A36887">
              <w:t>came</w:t>
            </w:r>
            <w:r w:rsidR="00A36887" w:rsidRPr="000C138D">
              <w:t xml:space="preserve"> </w:t>
            </w:r>
            <w:r w:rsidRPr="000C138D">
              <w:t xml:space="preserve">primarily from tobacco companies and retail groups with substantial vested interests in tobacco sales. </w:t>
            </w:r>
            <w:r w:rsidRPr="000C138D">
              <w:rPr>
                <w:rFonts w:eastAsia="Calibri"/>
              </w:rPr>
              <w:t xml:space="preserve">Most opponents of the Bill, including tobacco industry submitters, acknowledged health risks </w:t>
            </w:r>
            <w:r w:rsidR="00520820" w:rsidRPr="000C138D">
              <w:rPr>
                <w:rFonts w:eastAsia="Calibri"/>
              </w:rPr>
              <w:t xml:space="preserve">were </w:t>
            </w:r>
            <w:r w:rsidRPr="000C138D">
              <w:rPr>
                <w:rFonts w:eastAsia="Calibri"/>
              </w:rPr>
              <w:t>associated with smoking to at least some degree. But</w:t>
            </w:r>
            <w:r w:rsidR="00520820">
              <w:rPr>
                <w:rFonts w:eastAsia="Calibri"/>
              </w:rPr>
              <w:t xml:space="preserve"> they saw</w:t>
            </w:r>
            <w:r w:rsidRPr="000C138D">
              <w:rPr>
                <w:rFonts w:eastAsia="Calibri"/>
              </w:rPr>
              <w:t xml:space="preserve"> these </w:t>
            </w:r>
            <w:r w:rsidR="00520820">
              <w:rPr>
                <w:rFonts w:eastAsia="Calibri"/>
              </w:rPr>
              <w:t xml:space="preserve">risks </w:t>
            </w:r>
            <w:r w:rsidRPr="000C138D">
              <w:rPr>
                <w:rFonts w:eastAsia="Calibri"/>
              </w:rPr>
              <w:t xml:space="preserve">as no different from other risks that adult consumers might choose to take. Others who were </w:t>
            </w:r>
            <w:r w:rsidR="00520820">
              <w:rPr>
                <w:rFonts w:eastAsia="Calibri"/>
              </w:rPr>
              <w:t>against</w:t>
            </w:r>
            <w:r w:rsidRPr="000C138D">
              <w:rPr>
                <w:rFonts w:eastAsia="Calibri"/>
              </w:rPr>
              <w:t xml:space="preserve"> the Bill asserted that tobacco is a legal product and that Government should rely on existing tobacco control measures, and only take further steps such as education campaigns that do not interfere with a business’s right to sell it. They believed awareness of the dangers of smoking</w:t>
            </w:r>
            <w:r w:rsidR="00520820" w:rsidRPr="000C138D">
              <w:rPr>
                <w:rFonts w:eastAsia="Calibri"/>
              </w:rPr>
              <w:t xml:space="preserve"> is already sufficiently high</w:t>
            </w:r>
            <w:r w:rsidR="00520820">
              <w:t xml:space="preserve"> (Ministry of Health 2014)</w:t>
            </w:r>
            <w:r w:rsidRPr="000C138D">
              <w:rPr>
                <w:rFonts w:eastAsia="Calibri"/>
              </w:rPr>
              <w:t xml:space="preserve">. </w:t>
            </w:r>
          </w:p>
          <w:p w14:paraId="3DF9C11E" w14:textId="289A7117" w:rsidR="0006538D" w:rsidRPr="000C138D" w:rsidRDefault="0006538D" w:rsidP="008931C3">
            <w:r w:rsidRPr="000C138D">
              <w:t xml:space="preserve">Submissions on amendments to the </w:t>
            </w:r>
            <w:r w:rsidR="00732F67" w:rsidRPr="000C138D">
              <w:t xml:space="preserve">Smokefree Environments and Regulated </w:t>
            </w:r>
            <w:r w:rsidR="00BE79F3" w:rsidRPr="000C138D">
              <w:t>Products</w:t>
            </w:r>
            <w:r w:rsidR="00150BA9" w:rsidRPr="000C138D">
              <w:t xml:space="preserve"> </w:t>
            </w:r>
            <w:r w:rsidR="00732F67" w:rsidRPr="000C138D">
              <w:t xml:space="preserve">(Vaping) Amendment Bill </w:t>
            </w:r>
            <w:r w:rsidRPr="000C138D">
              <w:t xml:space="preserve">in 2020 shared concerns about </w:t>
            </w:r>
            <w:proofErr w:type="spellStart"/>
            <w:r w:rsidRPr="000C138D">
              <w:t>tamariki</w:t>
            </w:r>
            <w:proofErr w:type="spellEnd"/>
            <w:r w:rsidRPr="000C138D">
              <w:t xml:space="preserve"> and </w:t>
            </w:r>
            <w:proofErr w:type="spellStart"/>
            <w:r w:rsidRPr="000C138D">
              <w:t>rangatahi</w:t>
            </w:r>
            <w:proofErr w:type="spellEnd"/>
            <w:r w:rsidRPr="000C138D">
              <w:t xml:space="preserve">, the </w:t>
            </w:r>
            <w:r w:rsidRPr="000C138D">
              <w:lastRenderedPageBreak/>
              <w:t>colonial context of smoking, and the need for proportionate regulation of cigarettes (</w:t>
            </w:r>
            <w:proofErr w:type="spellStart"/>
            <w:r w:rsidR="00D657D3" w:rsidRPr="000C138D">
              <w:t>i</w:t>
            </w:r>
            <w:r w:rsidRPr="000C138D">
              <w:t>e</w:t>
            </w:r>
            <w:proofErr w:type="spellEnd"/>
            <w:r w:rsidR="00520820">
              <w:t xml:space="preserve">, </w:t>
            </w:r>
            <w:r w:rsidRPr="000C138D">
              <w:t>it should be more stringent than</w:t>
            </w:r>
            <w:r w:rsidR="00520820">
              <w:t xml:space="preserve"> the regulations for</w:t>
            </w:r>
            <w:r w:rsidRPr="000C138D">
              <w:t xml:space="preserve"> vaping)</w:t>
            </w:r>
            <w:r w:rsidR="00520820">
              <w:t xml:space="preserve"> (Ministry of Health 2020d)</w:t>
            </w:r>
            <w:r w:rsidR="001322E5">
              <w:t>.</w:t>
            </w:r>
            <w:r w:rsidRPr="000C138D">
              <w:t xml:space="preserve"> </w:t>
            </w:r>
          </w:p>
          <w:p w14:paraId="317276DD" w14:textId="103FAD1E" w:rsidR="0006538D" w:rsidRPr="000C138D" w:rsidRDefault="0006538D" w:rsidP="00D657D3">
            <w:pPr>
              <w:rPr>
                <w:b/>
                <w:bCs/>
                <w:color w:val="000000"/>
              </w:rPr>
            </w:pPr>
            <w:r w:rsidRPr="000C138D">
              <w:rPr>
                <w:b/>
                <w:bCs/>
                <w:color w:val="000000"/>
              </w:rPr>
              <w:t xml:space="preserve">Stakeholder feedback on </w:t>
            </w:r>
            <w:proofErr w:type="gramStart"/>
            <w:r w:rsidR="00B84F05" w:rsidRPr="000C138D">
              <w:rPr>
                <w:b/>
                <w:bCs/>
                <w:color w:val="000000"/>
              </w:rPr>
              <w:t>particular measures</w:t>
            </w:r>
            <w:proofErr w:type="gramEnd"/>
          </w:p>
          <w:p w14:paraId="0F46C365" w14:textId="69DFB5C3" w:rsidR="0006538D" w:rsidRPr="000C138D" w:rsidRDefault="00D31569" w:rsidP="008931C3">
            <w:r w:rsidRPr="000C138D">
              <w:t>A review of r</w:t>
            </w:r>
            <w:r w:rsidR="002F60FE" w:rsidRPr="000C138D">
              <w:t>esearch</w:t>
            </w:r>
            <w:r w:rsidR="000F7065" w:rsidRPr="000C138D">
              <w:t xml:space="preserve"> </w:t>
            </w:r>
            <w:r w:rsidR="00E07078" w:rsidRPr="000C138D">
              <w:t xml:space="preserve">on retail measures indicates support </w:t>
            </w:r>
            <w:r w:rsidR="002F3C19">
              <w:t xml:space="preserve">for </w:t>
            </w:r>
            <w:r w:rsidR="002F3C19" w:rsidRPr="000C138D">
              <w:t>reducing the number of tobacco retailers</w:t>
            </w:r>
            <w:r w:rsidR="002F3C19">
              <w:t xml:space="preserve"> </w:t>
            </w:r>
            <w:r w:rsidR="00E07078" w:rsidRPr="000C138D">
              <w:t xml:space="preserve">among </w:t>
            </w:r>
            <w:proofErr w:type="gramStart"/>
            <w:r w:rsidR="002F3C19">
              <w:t>the majority of</w:t>
            </w:r>
            <w:proofErr w:type="gramEnd"/>
            <w:r w:rsidR="002F3C19">
              <w:t xml:space="preserve"> </w:t>
            </w:r>
            <w:r w:rsidR="00E07078" w:rsidRPr="000C138D">
              <w:t xml:space="preserve">smokers, the general adult population and </w:t>
            </w:r>
            <w:r w:rsidR="002F3C19">
              <w:t xml:space="preserve">those aged </w:t>
            </w:r>
            <w:r w:rsidR="00E07078" w:rsidRPr="000C138D">
              <w:t>14 to 15</w:t>
            </w:r>
            <w:r w:rsidR="002F3C19">
              <w:t xml:space="preserve"> </w:t>
            </w:r>
            <w:r w:rsidR="00E07078" w:rsidRPr="000C138D">
              <w:t xml:space="preserve">years. </w:t>
            </w:r>
            <w:proofErr w:type="gramStart"/>
            <w:r w:rsidR="00E07078" w:rsidRPr="000C138D">
              <w:t xml:space="preserve">The majority </w:t>
            </w:r>
            <w:r w:rsidR="002F3C19">
              <w:t>of</w:t>
            </w:r>
            <w:proofErr w:type="gramEnd"/>
            <w:r w:rsidR="00E07078" w:rsidRPr="000C138D">
              <w:t xml:space="preserve"> smokers </w:t>
            </w:r>
            <w:r w:rsidR="002F3C19">
              <w:t>also supported</w:t>
            </w:r>
            <w:r w:rsidR="00E07078" w:rsidRPr="000C138D">
              <w:t xml:space="preserve"> restricting places that sell tobacco to premises that exclude children and that make cessation products available</w:t>
            </w:r>
            <w:r w:rsidR="0006538D" w:rsidRPr="000C138D">
              <w:t xml:space="preserve"> (Edwards et al 2012)</w:t>
            </w:r>
            <w:r w:rsidR="002F1503" w:rsidRPr="000C138D">
              <w:t>.</w:t>
            </w:r>
            <w:r w:rsidR="0006538D" w:rsidRPr="000C138D">
              <w:t xml:space="preserve"> </w:t>
            </w:r>
            <w:r w:rsidR="00574D04">
              <w:t>Li (</w:t>
            </w:r>
            <w:r w:rsidR="00E37BB8">
              <w:t>2016)</w:t>
            </w:r>
            <w:r w:rsidR="00C10DB5">
              <w:t>,</w:t>
            </w:r>
            <w:r w:rsidR="00E37BB8">
              <w:t xml:space="preserve"> </w:t>
            </w:r>
            <w:r w:rsidR="00C10DB5">
              <w:t xml:space="preserve">reviewing data from the 2014 Healthy Lifestyles survey </w:t>
            </w:r>
            <w:r w:rsidR="00E37BB8">
              <w:t xml:space="preserve">also </w:t>
            </w:r>
            <w:r w:rsidR="00C10DB5">
              <w:t>found</w:t>
            </w:r>
            <w:r w:rsidR="00E37BB8">
              <w:t xml:space="preserve"> that 67.8</w:t>
            </w:r>
            <w:r w:rsidR="00C10DB5">
              <w:t xml:space="preserve"> percent of </w:t>
            </w:r>
            <w:r w:rsidR="0018793F">
              <w:t>the overall population supported restricting retailers, but only 35 percent of current smokers.</w:t>
            </w:r>
            <w:r w:rsidR="00C10DB5">
              <w:t xml:space="preserve"> </w:t>
            </w:r>
            <w:r w:rsidR="002F3C19">
              <w:t>We will seek f</w:t>
            </w:r>
            <w:r w:rsidR="0006538D" w:rsidRPr="000C138D">
              <w:t>urther feedback on the proposals as part of the upcoming consultation process and amend</w:t>
            </w:r>
            <w:r w:rsidR="002F3C19">
              <w:t xml:space="preserve"> them</w:t>
            </w:r>
            <w:r w:rsidR="0006538D" w:rsidRPr="000C138D">
              <w:t xml:space="preserve"> for the final </w:t>
            </w:r>
            <w:r w:rsidR="00761BA3">
              <w:t>Regulatory I</w:t>
            </w:r>
            <w:r w:rsidR="0006538D" w:rsidRPr="000C138D">
              <w:t xml:space="preserve">mpact </w:t>
            </w:r>
            <w:r w:rsidR="00761BA3">
              <w:t>S</w:t>
            </w:r>
            <w:r w:rsidR="0006538D" w:rsidRPr="000C138D">
              <w:t xml:space="preserve">tatement.  </w:t>
            </w:r>
          </w:p>
          <w:p w14:paraId="28C2BBA1" w14:textId="7AF2DAC6" w:rsidR="00D657D3" w:rsidRPr="000C138D" w:rsidRDefault="002F3C19" w:rsidP="008931C3">
            <w:r>
              <w:t>S</w:t>
            </w:r>
            <w:r w:rsidR="00B84F05" w:rsidRPr="000C138D">
              <w:t xml:space="preserve">takeholder </w:t>
            </w:r>
            <w:r>
              <w:t>views of</w:t>
            </w:r>
            <w:r w:rsidR="00B84F05" w:rsidRPr="000C138D">
              <w:t xml:space="preserve"> nicotine reduction policies</w:t>
            </w:r>
            <w:r>
              <w:t xml:space="preserve"> may be mixed</w:t>
            </w:r>
            <w:r w:rsidR="00B84F05" w:rsidRPr="000C138D">
              <w:t xml:space="preserve">. In a 2014 study, Walker </w:t>
            </w:r>
            <w:r w:rsidR="00712AF7">
              <w:t>et al (2014)</w:t>
            </w:r>
            <w:r w:rsidR="00B84F05" w:rsidRPr="000C138D">
              <w:t xml:space="preserve"> argued that resistance to a nicotine reduction policy would not be strong, given that 85 percent of New Zealand smokers wanted the addictiveness of cigarettes reduced. </w:t>
            </w:r>
            <w:r w:rsidR="001D1ADC">
              <w:t>Li (</w:t>
            </w:r>
            <w:r w:rsidR="005B6345">
              <w:t xml:space="preserve">2016), also found that </w:t>
            </w:r>
            <w:r w:rsidR="00C871CC">
              <w:t xml:space="preserve">81 percent of the overall population and 69 percent of smokers </w:t>
            </w:r>
            <w:r w:rsidR="00BA32BA">
              <w:t xml:space="preserve">supported reducing nicotine. </w:t>
            </w:r>
            <w:r w:rsidR="00B84F05" w:rsidRPr="000C138D">
              <w:t xml:space="preserve">Most </w:t>
            </w:r>
            <w:r w:rsidR="00712AF7">
              <w:t>smokers</w:t>
            </w:r>
            <w:r w:rsidR="00712AF7" w:rsidRPr="000C138D">
              <w:t xml:space="preserve"> </w:t>
            </w:r>
            <w:r w:rsidR="00B84F05" w:rsidRPr="000C138D">
              <w:t>(74%) in the 201</w:t>
            </w:r>
            <w:r w:rsidR="00723920">
              <w:t>6/17</w:t>
            </w:r>
            <w:r w:rsidR="00B84F05" w:rsidRPr="000C138D">
              <w:t xml:space="preserve"> ITC survey were interested in trying low</w:t>
            </w:r>
            <w:r w:rsidR="001E602A">
              <w:t xml:space="preserve"> </w:t>
            </w:r>
            <w:r w:rsidR="00B84F05" w:rsidRPr="000C138D">
              <w:t>nicotine or nicotine-free cigarettes and 80</w:t>
            </w:r>
            <w:r w:rsidR="00A972C1" w:rsidRPr="000C138D">
              <w:t xml:space="preserve"> percent </w:t>
            </w:r>
            <w:r w:rsidR="00B84F05" w:rsidRPr="000C138D">
              <w:t>supported introducing a law to reduce nicotine in cigarettes and tobacco if nicotine was available through alternative products (McKiernan et al 2019).</w:t>
            </w:r>
          </w:p>
          <w:p w14:paraId="51A4E355" w14:textId="7A7B7CCC" w:rsidR="00F132B2" w:rsidRPr="000C138D" w:rsidRDefault="00B84F05" w:rsidP="00712AF7">
            <w:pPr>
              <w:rPr>
                <w:rFonts w:cs="Arial"/>
                <w:szCs w:val="22"/>
              </w:rPr>
            </w:pPr>
            <w:r w:rsidRPr="000C138D">
              <w:t xml:space="preserve">However, in a 2017 study </w:t>
            </w:r>
            <w:r w:rsidR="00712AF7">
              <w:t>that</w:t>
            </w:r>
            <w:r w:rsidR="00712AF7" w:rsidRPr="000C138D">
              <w:t xml:space="preserve"> </w:t>
            </w:r>
            <w:r w:rsidRPr="000C138D">
              <w:t xml:space="preserve">sought input from smokers, tobacco control sector experts and government officials, the authors found that </w:t>
            </w:r>
            <w:proofErr w:type="gramStart"/>
            <w:r w:rsidRPr="000C138D">
              <w:t>the majority of</w:t>
            </w:r>
            <w:proofErr w:type="gramEnd"/>
            <w:r w:rsidRPr="000C138D">
              <w:t xml:space="preserve"> respondents did not support a very low nicotine cigarette policy or were concerned about implementation (Fraser and Kira 2017). </w:t>
            </w:r>
          </w:p>
        </w:tc>
      </w:tr>
    </w:tbl>
    <w:p w14:paraId="743DAC92" w14:textId="77777777" w:rsidR="00EE4E3B" w:rsidRPr="000C138D" w:rsidRDefault="00D9793F" w:rsidP="000E0C9E">
      <w:pPr>
        <w:pStyle w:val="Heading2"/>
      </w:pPr>
      <w:r w:rsidRPr="000C138D">
        <w:lastRenderedPageBreak/>
        <w:br w:type="page"/>
      </w:r>
      <w:r w:rsidR="00EE4E3B" w:rsidRPr="000C138D">
        <w:lastRenderedPageBreak/>
        <w:t xml:space="preserve">Section </w:t>
      </w:r>
      <w:r w:rsidR="0033708B" w:rsidRPr="000C138D">
        <w:t>6</w:t>
      </w:r>
      <w:r w:rsidR="00EE4E3B" w:rsidRPr="000C138D">
        <w:t xml:space="preserve">: </w:t>
      </w:r>
      <w:r w:rsidR="0033708B" w:rsidRPr="000C138D">
        <w:t>Implementation and o</w:t>
      </w:r>
      <w:r w:rsidR="005D5BF0" w:rsidRPr="000C138D">
        <w:t xml:space="preserve">peration </w:t>
      </w:r>
    </w:p>
    <w:tbl>
      <w:tblPr>
        <w:tblW w:w="9072" w:type="dxa"/>
        <w:tblInd w:w="10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80" w:firstRow="0" w:lastRow="0" w:firstColumn="1" w:lastColumn="0" w:noHBand="0" w:noVBand="1"/>
      </w:tblPr>
      <w:tblGrid>
        <w:gridCol w:w="9072"/>
      </w:tblGrid>
      <w:tr w:rsidR="002D5734" w:rsidRPr="000C138D" w14:paraId="44144AC2" w14:textId="77777777" w:rsidTr="00BB4EA2">
        <w:trPr>
          <w:trHeight w:val="197"/>
        </w:trPr>
        <w:tc>
          <w:tcPr>
            <w:tcW w:w="9072" w:type="dxa"/>
            <w:shd w:val="clear" w:color="auto" w:fill="99CDDD"/>
            <w:hideMark/>
          </w:tcPr>
          <w:p w14:paraId="7D125A04" w14:textId="21A1628A" w:rsidR="00EE4E3B" w:rsidRPr="000C138D" w:rsidRDefault="00EE4E3B" w:rsidP="00B952B7">
            <w:pPr>
              <w:pStyle w:val="TableHeadings"/>
              <w:rPr>
                <w:szCs w:val="22"/>
                <w:lang w:eastAsia="en-AU"/>
              </w:rPr>
            </w:pPr>
            <w:r w:rsidRPr="000C138D">
              <w:rPr>
                <w:szCs w:val="22"/>
                <w:lang w:eastAsia="en-AU"/>
              </w:rPr>
              <w:br w:type="page"/>
            </w:r>
            <w:r w:rsidR="0033708B" w:rsidRPr="000C138D">
              <w:rPr>
                <w:szCs w:val="22"/>
                <w:lang w:eastAsia="en-AU"/>
              </w:rPr>
              <w:t>6</w:t>
            </w:r>
            <w:r w:rsidR="002A56F0" w:rsidRPr="000C138D">
              <w:rPr>
                <w:szCs w:val="22"/>
                <w:lang w:eastAsia="en-AU"/>
              </w:rPr>
              <w:t xml:space="preserve">.1 </w:t>
            </w:r>
            <w:r w:rsidRPr="000C138D">
              <w:rPr>
                <w:szCs w:val="22"/>
                <w:lang w:eastAsia="en-AU"/>
              </w:rPr>
              <w:t xml:space="preserve">How will the new arrangements </w:t>
            </w:r>
            <w:r w:rsidR="00217894" w:rsidRPr="000C138D">
              <w:rPr>
                <w:szCs w:val="22"/>
                <w:lang w:eastAsia="en-AU"/>
              </w:rPr>
              <w:t>be given effect</w:t>
            </w:r>
            <w:r w:rsidRPr="000C138D">
              <w:rPr>
                <w:szCs w:val="22"/>
                <w:lang w:eastAsia="en-AU"/>
              </w:rPr>
              <w:t>?</w:t>
            </w:r>
          </w:p>
        </w:tc>
      </w:tr>
      <w:tr w:rsidR="00F132B2" w:rsidRPr="000C138D" w14:paraId="0D35E9F9" w14:textId="77777777" w:rsidTr="00BB4EA2">
        <w:trPr>
          <w:trHeight w:val="9337"/>
        </w:trPr>
        <w:tc>
          <w:tcPr>
            <w:tcW w:w="9072" w:type="dxa"/>
            <w:shd w:val="clear" w:color="auto" w:fill="auto"/>
          </w:tcPr>
          <w:p w14:paraId="5984BF54" w14:textId="7BD978E7" w:rsidR="0006538D" w:rsidRPr="000C138D" w:rsidRDefault="0006538D" w:rsidP="0006538D">
            <w:pPr>
              <w:spacing w:before="120" w:after="120" w:line="276" w:lineRule="auto"/>
              <w:jc w:val="both"/>
              <w:rPr>
                <w:rFonts w:cs="Arial"/>
                <w:b/>
                <w:szCs w:val="22"/>
              </w:rPr>
            </w:pPr>
            <w:r w:rsidRPr="000C138D">
              <w:rPr>
                <w:rFonts w:cs="Arial"/>
                <w:b/>
                <w:szCs w:val="22"/>
              </w:rPr>
              <w:t>Legislative change</w:t>
            </w:r>
          </w:p>
          <w:p w14:paraId="54ACE4F6" w14:textId="240D13DD" w:rsidR="0006538D" w:rsidRPr="000C138D" w:rsidRDefault="0006538D" w:rsidP="008931C3">
            <w:r w:rsidRPr="000C138D">
              <w:t>Implementation of the proposals requires amendments to the Smokefree Environments and Regulated Products Act 1990 and its regulations (including the development of new regulations)</w:t>
            </w:r>
            <w:r w:rsidR="00826EB9" w:rsidRPr="000C138D">
              <w:t xml:space="preserve">. </w:t>
            </w:r>
            <w:r w:rsidR="00FE4CA1" w:rsidRPr="000C138D">
              <w:t>Amendment</w:t>
            </w:r>
            <w:r w:rsidR="00D47975" w:rsidRPr="000C138D">
              <w:t xml:space="preserve"> to other Acts, such as the </w:t>
            </w:r>
            <w:r w:rsidRPr="000C138D">
              <w:t xml:space="preserve">Customs </w:t>
            </w:r>
            <w:r w:rsidR="00D93C40" w:rsidRPr="000C138D">
              <w:t xml:space="preserve">and Excise </w:t>
            </w:r>
            <w:r w:rsidRPr="000C138D">
              <w:t xml:space="preserve">Act 2018 </w:t>
            </w:r>
            <w:r w:rsidR="00D47975" w:rsidRPr="000C138D">
              <w:t xml:space="preserve">may be required. </w:t>
            </w:r>
          </w:p>
          <w:p w14:paraId="07D89D58" w14:textId="58D5980E" w:rsidR="0006538D" w:rsidRPr="000C138D" w:rsidRDefault="0006538D" w:rsidP="008931C3">
            <w:r w:rsidRPr="000C138D">
              <w:t>An amendment bill will be required, and a place on the Legislative Programme is being sought</w:t>
            </w:r>
            <w:r w:rsidR="008C0668">
              <w:t xml:space="preserve"> for this purpose</w:t>
            </w:r>
            <w:r w:rsidRPr="000C138D">
              <w:t>.</w:t>
            </w:r>
          </w:p>
          <w:p w14:paraId="1C18E2A2" w14:textId="034D499C" w:rsidR="0006538D" w:rsidRPr="000C138D" w:rsidRDefault="0006538D" w:rsidP="008931C3">
            <w:r w:rsidRPr="000C138D">
              <w:t xml:space="preserve">The Ministry will build transitional arrangements into the amendment bill where necessary. </w:t>
            </w:r>
            <w:r w:rsidR="008C0668">
              <w:t>We</w:t>
            </w:r>
            <w:r w:rsidR="008C0668" w:rsidRPr="000C138D">
              <w:t xml:space="preserve"> </w:t>
            </w:r>
            <w:r w:rsidRPr="000C138D">
              <w:t>will refine</w:t>
            </w:r>
            <w:r w:rsidR="008C0668">
              <w:t xml:space="preserve"> </w:t>
            </w:r>
            <w:proofErr w:type="gramStart"/>
            <w:r w:rsidR="008C0668">
              <w:t>these</w:t>
            </w:r>
            <w:r w:rsidRPr="000C138D">
              <w:t xml:space="preserve"> following consultation</w:t>
            </w:r>
            <w:proofErr w:type="gramEnd"/>
            <w:r w:rsidRPr="000C138D">
              <w:t xml:space="preserve"> with stakeholders on the discussion document for a Smokefree Aotearoa 2025 Action Plan.  </w:t>
            </w:r>
          </w:p>
          <w:p w14:paraId="01BB1408" w14:textId="77777777" w:rsidR="0006538D" w:rsidRPr="000C138D" w:rsidRDefault="0006538D" w:rsidP="00BE79F3">
            <w:pPr>
              <w:spacing w:before="120" w:after="120" w:line="240" w:lineRule="auto"/>
              <w:rPr>
                <w:b/>
                <w:bCs/>
                <w:iCs/>
              </w:rPr>
            </w:pPr>
            <w:r w:rsidRPr="000C138D">
              <w:rPr>
                <w:b/>
                <w:bCs/>
                <w:iCs/>
              </w:rPr>
              <w:t>Regulatory powers, functions and duties</w:t>
            </w:r>
          </w:p>
          <w:p w14:paraId="00FC2CB5" w14:textId="2332435A" w:rsidR="0006538D" w:rsidRPr="000C138D" w:rsidRDefault="0006538D" w:rsidP="008931C3">
            <w:pPr>
              <w:rPr>
                <w:rFonts w:cs="Arial"/>
              </w:rPr>
            </w:pPr>
            <w:r w:rsidRPr="000C138D">
              <w:t xml:space="preserve">New powers and duties under the </w:t>
            </w:r>
            <w:r w:rsidR="004303A2" w:rsidRPr="000C138D">
              <w:t>Smokefree Environments and Regulated Products Act 1990</w:t>
            </w:r>
            <w:r w:rsidRPr="000C138D">
              <w:t xml:space="preserve">, </w:t>
            </w:r>
            <w:r w:rsidR="008C0668">
              <w:t>along with</w:t>
            </w:r>
            <w:r w:rsidRPr="000C138D">
              <w:t xml:space="preserve"> regulation</w:t>
            </w:r>
            <w:r w:rsidR="008C0668">
              <w:t>-</w:t>
            </w:r>
            <w:r w:rsidRPr="000C138D">
              <w:t>making powers</w:t>
            </w:r>
            <w:r w:rsidR="00F456C5">
              <w:t>,</w:t>
            </w:r>
            <w:r w:rsidRPr="000C138D">
              <w:t xml:space="preserve"> will be needed to implement these proposals.</w:t>
            </w:r>
            <w:r w:rsidRPr="000C138D">
              <w:rPr>
                <w:rFonts w:cs="Arial"/>
              </w:rPr>
              <w:t xml:space="preserve"> Relevant compliance and cost</w:t>
            </w:r>
            <w:r w:rsidR="008C0668">
              <w:rPr>
                <w:rFonts w:cs="Arial"/>
              </w:rPr>
              <w:t>-</w:t>
            </w:r>
            <w:r w:rsidRPr="000C138D">
              <w:rPr>
                <w:rFonts w:cs="Arial"/>
              </w:rPr>
              <w:t xml:space="preserve">recovery powers will also be needed. </w:t>
            </w:r>
          </w:p>
          <w:p w14:paraId="654BDF44" w14:textId="77777777" w:rsidR="0006538D" w:rsidRPr="000C138D" w:rsidRDefault="0006538D" w:rsidP="00BE79F3">
            <w:pPr>
              <w:pStyle w:val="Number"/>
              <w:numPr>
                <w:ilvl w:val="0"/>
                <w:numId w:val="0"/>
              </w:numPr>
              <w:spacing w:before="120" w:after="120" w:line="240" w:lineRule="auto"/>
              <w:rPr>
                <w:rFonts w:ascii="Arial" w:hAnsi="Arial" w:cs="Arial"/>
                <w:b/>
                <w:bCs/>
                <w:iCs/>
              </w:rPr>
            </w:pPr>
            <w:r w:rsidRPr="000C138D">
              <w:rPr>
                <w:rFonts w:ascii="Arial" w:hAnsi="Arial" w:cs="Arial"/>
                <w:b/>
                <w:bCs/>
                <w:iCs/>
              </w:rPr>
              <w:t>Offences and penalties</w:t>
            </w:r>
          </w:p>
          <w:p w14:paraId="2AC1176E" w14:textId="0AF2A0AD" w:rsidR="0006538D" w:rsidRPr="000C138D" w:rsidRDefault="0006538D" w:rsidP="008931C3">
            <w:r w:rsidRPr="000C138D">
              <w:t xml:space="preserve">New offences and penalties will be required, including offences relating to retailing tobacco without a licence, and for importing or selling tobacco that has an excess of nicotine or </w:t>
            </w:r>
            <w:r w:rsidR="008C0668">
              <w:t xml:space="preserve">that has </w:t>
            </w:r>
            <w:r w:rsidRPr="000C138D">
              <w:t>banned features (for example</w:t>
            </w:r>
            <w:r w:rsidR="008C0668">
              <w:t>,</w:t>
            </w:r>
            <w:r w:rsidRPr="000C138D">
              <w:t xml:space="preserve"> a filter). </w:t>
            </w:r>
          </w:p>
          <w:p w14:paraId="4CAC94A0" w14:textId="77777777" w:rsidR="0006538D" w:rsidRPr="000C138D" w:rsidRDefault="0006538D" w:rsidP="00BE79F3">
            <w:pPr>
              <w:spacing w:before="120" w:after="120" w:line="240" w:lineRule="auto"/>
              <w:rPr>
                <w:b/>
                <w:bCs/>
                <w:iCs/>
              </w:rPr>
            </w:pPr>
            <w:r w:rsidRPr="000C138D">
              <w:rPr>
                <w:b/>
                <w:bCs/>
                <w:iCs/>
              </w:rPr>
              <w:t>Enforcement</w:t>
            </w:r>
          </w:p>
          <w:p w14:paraId="13CEAAC6" w14:textId="7936C384" w:rsidR="0006538D" w:rsidRPr="000C138D" w:rsidRDefault="0006538D" w:rsidP="008931C3">
            <w:r w:rsidRPr="000C138D">
              <w:t xml:space="preserve">Enforcement of regulatory controls related to the sale and promotion of products, as well as their use in legislated </w:t>
            </w:r>
            <w:proofErr w:type="spellStart"/>
            <w:r w:rsidRPr="000C138D">
              <w:t>smokefree</w:t>
            </w:r>
            <w:proofErr w:type="spellEnd"/>
            <w:r w:rsidRPr="000C138D">
              <w:t xml:space="preserve"> areas, is the responsibility of </w:t>
            </w:r>
            <w:proofErr w:type="spellStart"/>
            <w:r w:rsidRPr="000C138D">
              <w:t>smokefree</w:t>
            </w:r>
            <w:proofErr w:type="spellEnd"/>
            <w:r w:rsidRPr="000C138D">
              <w:t xml:space="preserve"> officers appointed by the Director-General of Health under the </w:t>
            </w:r>
            <w:r w:rsidR="00732F67" w:rsidRPr="000C138D">
              <w:t>Smokefree Environments and Regulated Products Act 1990</w:t>
            </w:r>
            <w:r w:rsidRPr="000C138D">
              <w:t xml:space="preserve">. The Ministry organises regular training for </w:t>
            </w:r>
            <w:proofErr w:type="spellStart"/>
            <w:r w:rsidRPr="000C138D">
              <w:t>smokefree</w:t>
            </w:r>
            <w:proofErr w:type="spellEnd"/>
            <w:r w:rsidRPr="000C138D">
              <w:t xml:space="preserve"> officers</w:t>
            </w:r>
            <w:r w:rsidR="00CF5589">
              <w:t>,</w:t>
            </w:r>
            <w:r w:rsidRPr="000C138D">
              <w:t xml:space="preserve"> which </w:t>
            </w:r>
            <w:r w:rsidR="00CF5589">
              <w:t xml:space="preserve">in the future </w:t>
            </w:r>
            <w:r w:rsidRPr="000C138D">
              <w:t xml:space="preserve">will incorporate any changes to the </w:t>
            </w:r>
            <w:r w:rsidR="00752F22" w:rsidRPr="000C138D">
              <w:t>Smokefree Environments and Regulat</w:t>
            </w:r>
            <w:r w:rsidR="0074524C" w:rsidRPr="000C138D">
              <w:t>ed Products Act 1990</w:t>
            </w:r>
            <w:r w:rsidRPr="000C138D">
              <w:t xml:space="preserve"> and its regulations.</w:t>
            </w:r>
          </w:p>
          <w:p w14:paraId="3899D51A" w14:textId="464CF8FE" w:rsidR="00007FC7" w:rsidRPr="000C138D" w:rsidRDefault="00CF5589" w:rsidP="008931C3">
            <w:r>
              <w:t xml:space="preserve">The </w:t>
            </w:r>
            <w:r w:rsidRPr="000C138D">
              <w:t xml:space="preserve">New Zealand Customs </w:t>
            </w:r>
            <w:r>
              <w:t>Service carries out c</w:t>
            </w:r>
            <w:r w:rsidR="00007FC7" w:rsidRPr="000C138D">
              <w:t>ompliance and enforcement</w:t>
            </w:r>
            <w:r>
              <w:t xml:space="preserve"> </w:t>
            </w:r>
            <w:r w:rsidR="00A4259B">
              <w:t>activity</w:t>
            </w:r>
            <w:r w:rsidR="00007FC7" w:rsidRPr="000C138D">
              <w:t xml:space="preserve"> at the border, as well as collecti</w:t>
            </w:r>
            <w:r>
              <w:t>ng</w:t>
            </w:r>
            <w:r w:rsidR="00007FC7" w:rsidRPr="000C138D">
              <w:t xml:space="preserve"> excise tax. </w:t>
            </w:r>
            <w:r w:rsidR="00F557C4">
              <w:t>It is likely to require a</w:t>
            </w:r>
            <w:r w:rsidR="00DF5F4B" w:rsidRPr="000C138D">
              <w:t xml:space="preserve">dditional resourcing to </w:t>
            </w:r>
            <w:r w:rsidR="00C25868">
              <w:t xml:space="preserve">support its work in addressing </w:t>
            </w:r>
            <w:r w:rsidR="001B7B43" w:rsidRPr="000C138D">
              <w:t>any increases</w:t>
            </w:r>
            <w:r w:rsidR="00D75517" w:rsidRPr="000C138D">
              <w:t xml:space="preserve"> in illicit activity that may result from the proposals in the</w:t>
            </w:r>
            <w:r w:rsidR="00EB6129" w:rsidRPr="000C138D">
              <w:rPr>
                <w:lang w:eastAsia="en-AU"/>
              </w:rPr>
              <w:t xml:space="preserve"> Smokefree Aotearoa 2025</w:t>
            </w:r>
            <w:r w:rsidR="00D75517" w:rsidRPr="000C138D">
              <w:t xml:space="preserve"> </w:t>
            </w:r>
            <w:r w:rsidR="00EB6129">
              <w:t>A</w:t>
            </w:r>
            <w:r w:rsidR="00826EB9" w:rsidRPr="000C138D">
              <w:t xml:space="preserve">ction </w:t>
            </w:r>
            <w:r w:rsidR="00EB6129">
              <w:t>P</w:t>
            </w:r>
            <w:r w:rsidR="00D47975" w:rsidRPr="000C138D">
              <w:t>lan</w:t>
            </w:r>
            <w:r w:rsidR="00826EB9" w:rsidRPr="000C138D">
              <w:t xml:space="preserve">. </w:t>
            </w:r>
          </w:p>
          <w:p w14:paraId="7A7A2FF0" w14:textId="3982CCE7" w:rsidR="0006538D" w:rsidRPr="000C138D" w:rsidRDefault="0006538D" w:rsidP="008931C3">
            <w:r w:rsidRPr="000C138D">
              <w:t>The Ministry of Health would be responsible for enforcing some aspects</w:t>
            </w:r>
            <w:r w:rsidR="00EB6129">
              <w:t xml:space="preserve"> of the regulatory controls</w:t>
            </w:r>
            <w:r w:rsidR="00F456C5">
              <w:t xml:space="preserve"> –</w:t>
            </w:r>
            <w:r w:rsidRPr="000C138D">
              <w:t xml:space="preserve"> for example</w:t>
            </w:r>
            <w:r w:rsidR="00F456C5">
              <w:t>,</w:t>
            </w:r>
            <w:r w:rsidRPr="000C138D">
              <w:t xml:space="preserve"> licensing systems for retailers. Further work is needed to determine the scope and cost associated with this work.</w:t>
            </w:r>
          </w:p>
          <w:p w14:paraId="3C8E0B5D" w14:textId="77777777" w:rsidR="0006538D" w:rsidRPr="000C138D" w:rsidRDefault="0006538D" w:rsidP="00BE79F3">
            <w:pPr>
              <w:spacing w:before="120" w:after="120" w:line="240" w:lineRule="auto"/>
              <w:jc w:val="both"/>
              <w:rPr>
                <w:rFonts w:cs="Arial"/>
                <w:b/>
                <w:szCs w:val="22"/>
              </w:rPr>
            </w:pPr>
            <w:r w:rsidRPr="000C138D">
              <w:rPr>
                <w:rFonts w:cs="Arial"/>
                <w:b/>
                <w:szCs w:val="22"/>
              </w:rPr>
              <w:t>Communications</w:t>
            </w:r>
          </w:p>
          <w:p w14:paraId="3056CE52" w14:textId="77777777" w:rsidR="00F132B2" w:rsidRPr="000C138D" w:rsidRDefault="0006538D" w:rsidP="008931C3">
            <w:r w:rsidRPr="000C138D">
              <w:t>The Ministry of Health would be responsible for communicating changes to stakeholders, including industry and the public</w:t>
            </w:r>
            <w:r w:rsidR="00E401AD" w:rsidRPr="000C138D">
              <w:t xml:space="preserve">. </w:t>
            </w:r>
          </w:p>
        </w:tc>
      </w:tr>
    </w:tbl>
    <w:p w14:paraId="685DA230" w14:textId="77777777" w:rsidR="00F132B2" w:rsidRPr="000C138D" w:rsidRDefault="000535CE" w:rsidP="000E0C9E">
      <w:pPr>
        <w:pStyle w:val="Heading2"/>
      </w:pPr>
      <w:r w:rsidRPr="000C138D">
        <w:br w:type="page"/>
      </w:r>
      <w:r w:rsidR="00F132B2" w:rsidRPr="000C138D">
        <w:lastRenderedPageBreak/>
        <w:t>Section 7: Monitoring, evaluation and review</w:t>
      </w:r>
    </w:p>
    <w:tbl>
      <w:tblPr>
        <w:tblW w:w="9072" w:type="dxa"/>
        <w:tblInd w:w="10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80" w:firstRow="0" w:lastRow="0" w:firstColumn="1" w:lastColumn="0" w:noHBand="0" w:noVBand="1"/>
      </w:tblPr>
      <w:tblGrid>
        <w:gridCol w:w="9072"/>
      </w:tblGrid>
      <w:tr w:rsidR="00F132B2" w:rsidRPr="000C138D" w14:paraId="5DA6695D" w14:textId="77777777" w:rsidTr="00BB4EA2">
        <w:trPr>
          <w:trHeight w:val="77"/>
        </w:trPr>
        <w:tc>
          <w:tcPr>
            <w:tcW w:w="9072" w:type="dxa"/>
            <w:shd w:val="clear" w:color="auto" w:fill="99CDDD"/>
          </w:tcPr>
          <w:p w14:paraId="6B23F622" w14:textId="38452404" w:rsidR="00F132B2" w:rsidRPr="000C138D" w:rsidRDefault="00F132B2" w:rsidP="00EB6129">
            <w:pPr>
              <w:pStyle w:val="TableHeadings"/>
              <w:rPr>
                <w:szCs w:val="22"/>
                <w:lang w:eastAsia="en-AU"/>
              </w:rPr>
            </w:pPr>
            <w:r w:rsidRPr="000C138D">
              <w:rPr>
                <w:szCs w:val="22"/>
                <w:lang w:eastAsia="en-AU"/>
              </w:rPr>
              <w:br w:type="page"/>
              <w:t>7.1 How will the impact of the new arrangements be monitored?</w:t>
            </w:r>
          </w:p>
        </w:tc>
      </w:tr>
      <w:tr w:rsidR="00F132B2" w:rsidRPr="000C138D" w14:paraId="53F6EA15" w14:textId="77777777" w:rsidTr="000415F4">
        <w:tc>
          <w:tcPr>
            <w:tcW w:w="9072" w:type="dxa"/>
            <w:shd w:val="clear" w:color="auto" w:fill="auto"/>
          </w:tcPr>
          <w:p w14:paraId="54250E18" w14:textId="11F90B7B" w:rsidR="0082483F" w:rsidRPr="000C138D" w:rsidRDefault="0082483F" w:rsidP="008931C3">
            <w:r w:rsidRPr="000C138D">
              <w:t xml:space="preserve">The Ministry </w:t>
            </w:r>
            <w:r w:rsidR="00813441" w:rsidRPr="000C138D">
              <w:t xml:space="preserve">of Health </w:t>
            </w:r>
            <w:r w:rsidRPr="000C138D">
              <w:t xml:space="preserve">will continue to monitor emerging evidence on the prevalence of smoking, the impact of the proposed measures and progress towards the </w:t>
            </w:r>
            <w:r w:rsidR="006C4264">
              <w:t>S</w:t>
            </w:r>
            <w:r w:rsidR="00BE54BA" w:rsidRPr="000C138D">
              <w:t xml:space="preserve">mokefree </w:t>
            </w:r>
            <w:r w:rsidRPr="000C138D">
              <w:t xml:space="preserve">2025 goal. However, it may be difficult to </w:t>
            </w:r>
            <w:r w:rsidR="00A4259B">
              <w:t xml:space="preserve">separate out </w:t>
            </w:r>
            <w:r w:rsidRPr="000C138D">
              <w:t>the effects</w:t>
            </w:r>
            <w:r w:rsidR="00A4259B">
              <w:t xml:space="preserve"> of these measures from those</w:t>
            </w:r>
            <w:r w:rsidRPr="000C138D">
              <w:t xml:space="preserve"> of </w:t>
            </w:r>
            <w:r w:rsidR="00A4259B">
              <w:t>other</w:t>
            </w:r>
            <w:r w:rsidR="00A4259B" w:rsidRPr="000C138D">
              <w:t xml:space="preserve"> </w:t>
            </w:r>
            <w:r w:rsidRPr="000C138D">
              <w:t>interventions</w:t>
            </w:r>
            <w:r w:rsidR="00A4259B">
              <w:t xml:space="preserve"> that are </w:t>
            </w:r>
            <w:r w:rsidR="00332E45">
              <w:t xml:space="preserve">already </w:t>
            </w:r>
            <w:r w:rsidR="00A4259B">
              <w:t>under way</w:t>
            </w:r>
            <w:r w:rsidRPr="000C138D">
              <w:t xml:space="preserve">.  </w:t>
            </w:r>
          </w:p>
          <w:p w14:paraId="2C9A8B7B" w14:textId="464DE3EA" w:rsidR="0082483F" w:rsidRPr="000C138D" w:rsidRDefault="0082483F" w:rsidP="008931C3">
            <w:r w:rsidRPr="000C138D">
              <w:t xml:space="preserve">Currently, </w:t>
            </w:r>
            <w:r w:rsidR="00A4259B">
              <w:t xml:space="preserve">we track </w:t>
            </w:r>
            <w:r w:rsidRPr="000C138D">
              <w:t xml:space="preserve">the overall trends in tobacco sales </w:t>
            </w:r>
            <w:r w:rsidR="00A4259B">
              <w:t>using</w:t>
            </w:r>
            <w:r w:rsidRPr="000C138D">
              <w:t xml:space="preserve"> annual tobacco returns </w:t>
            </w:r>
            <w:r w:rsidR="00A4259B">
              <w:t xml:space="preserve">that </w:t>
            </w:r>
            <w:r w:rsidR="00A4259B" w:rsidRPr="000C138D">
              <w:t xml:space="preserve">importers and manufacturers </w:t>
            </w:r>
            <w:r w:rsidRPr="000C138D">
              <w:t>suppl</w:t>
            </w:r>
            <w:r w:rsidR="00A4259B">
              <w:t>y</w:t>
            </w:r>
            <w:r w:rsidRPr="000C138D">
              <w:t xml:space="preserve"> to the Ministry of Health. </w:t>
            </w:r>
            <w:r w:rsidR="00A4259B">
              <w:t>In addition, the New Zealand Customs Service collects d</w:t>
            </w:r>
            <w:r w:rsidRPr="000C138D">
              <w:t xml:space="preserve">ata on </w:t>
            </w:r>
            <w:r w:rsidR="00A4259B">
              <w:t xml:space="preserve">its </w:t>
            </w:r>
            <w:r w:rsidRPr="000C138D">
              <w:t>interceptions of illicit tobacco products</w:t>
            </w:r>
            <w:r w:rsidR="00A4259B">
              <w:t>;</w:t>
            </w:r>
            <w:r w:rsidRPr="000C138D">
              <w:t xml:space="preserve"> </w:t>
            </w:r>
            <w:r w:rsidR="0069422A" w:rsidRPr="000C138D">
              <w:t>however</w:t>
            </w:r>
            <w:r w:rsidR="00A4259B">
              <w:t>,</w:t>
            </w:r>
            <w:r w:rsidR="0069422A" w:rsidRPr="000C138D">
              <w:t xml:space="preserve"> this</w:t>
            </w:r>
            <w:r w:rsidR="000214FA" w:rsidRPr="000C138D">
              <w:t xml:space="preserve"> is an imperfect measure as the </w:t>
            </w:r>
            <w:r w:rsidR="0069422A" w:rsidRPr="000C138D">
              <w:t xml:space="preserve">data </w:t>
            </w:r>
            <w:r w:rsidR="00AC3726" w:rsidRPr="000C138D">
              <w:t xml:space="preserve">covers </w:t>
            </w:r>
            <w:r w:rsidR="00A4259B" w:rsidRPr="000C138D">
              <w:t xml:space="preserve">only </w:t>
            </w:r>
            <w:r w:rsidR="00AC3726" w:rsidRPr="000C138D">
              <w:t>goods that are seized</w:t>
            </w:r>
            <w:r w:rsidR="00A4259B">
              <w:t xml:space="preserve">, </w:t>
            </w:r>
            <w:r w:rsidR="001D4BA5" w:rsidRPr="000C138D">
              <w:t>not goods</w:t>
            </w:r>
            <w:r w:rsidR="000214FA" w:rsidRPr="000C138D">
              <w:t xml:space="preserve"> that avoid detection. </w:t>
            </w:r>
          </w:p>
          <w:p w14:paraId="3FE5C294" w14:textId="5DC365CC" w:rsidR="0082483F" w:rsidRPr="000C138D" w:rsidRDefault="0082483F" w:rsidP="008931C3">
            <w:r w:rsidRPr="000C138D">
              <w:t>Through the proposed regulation of retail outlets, data will be collected on tobacco retail sales, which will allow more detailed evaluation and further targeting of tobacco control measures.  Proposals relating to product appeal and addictiveness may require product notification and ongoing product testing (of nicotine levels)</w:t>
            </w:r>
            <w:r w:rsidR="00A4259B">
              <w:t>.</w:t>
            </w:r>
            <w:r w:rsidRPr="000C138D">
              <w:t xml:space="preserve"> Ongoing compliance activity will also be required to </w:t>
            </w:r>
            <w:r w:rsidR="00C43B76">
              <w:t>make sure that</w:t>
            </w:r>
            <w:r w:rsidR="00C43B76" w:rsidRPr="000C138D">
              <w:t xml:space="preserve"> </w:t>
            </w:r>
            <w:r w:rsidRPr="000C138D">
              <w:t xml:space="preserve">regulated parties </w:t>
            </w:r>
            <w:r w:rsidR="00A4259B">
              <w:t>follow the</w:t>
            </w:r>
            <w:r w:rsidRPr="000C138D">
              <w:t xml:space="preserve"> new requirements</w:t>
            </w:r>
            <w:r w:rsidR="00F9141F">
              <w:t xml:space="preserve"> including surveys of retailers.</w:t>
            </w:r>
            <w:r w:rsidR="00A4259B">
              <w:t xml:space="preserve"> </w:t>
            </w:r>
            <w:r w:rsidR="002E2708">
              <w:t>We also recommend updated r</w:t>
            </w:r>
            <w:r w:rsidR="00311487">
              <w:t xml:space="preserve">esearch to </w:t>
            </w:r>
            <w:r w:rsidR="002368B6" w:rsidRPr="000C138D">
              <w:t>quantify</w:t>
            </w:r>
            <w:r w:rsidR="002368B6">
              <w:rPr>
                <w:rStyle w:val="CommentReference"/>
              </w:rPr>
              <w:t xml:space="preserve"> </w:t>
            </w:r>
            <w:r w:rsidR="002368B6" w:rsidRPr="001422B3">
              <w:rPr>
                <w:rStyle w:val="CommentReference"/>
                <w:sz w:val="22"/>
                <w:szCs w:val="22"/>
              </w:rPr>
              <w:t>the</w:t>
            </w:r>
            <w:r w:rsidR="009A0ED9" w:rsidRPr="002368B6">
              <w:rPr>
                <w:szCs w:val="22"/>
              </w:rPr>
              <w:t xml:space="preserve"> </w:t>
            </w:r>
            <w:r w:rsidR="009A0ED9" w:rsidRPr="000C138D">
              <w:t xml:space="preserve">size of the illicit market. </w:t>
            </w:r>
          </w:p>
          <w:p w14:paraId="6C6679E2" w14:textId="77777777" w:rsidR="0082483F" w:rsidRPr="000C138D" w:rsidRDefault="0082483F" w:rsidP="008931C3">
            <w:r w:rsidRPr="000C138D">
              <w:t>The following surveys also contain information that will be useful for monitoring the prevalence of smoking:</w:t>
            </w:r>
          </w:p>
          <w:p w14:paraId="7B5023E8" w14:textId="77777777" w:rsidR="0082483F" w:rsidRPr="000C138D" w:rsidRDefault="0082483F" w:rsidP="008931C3">
            <w:pPr>
              <w:pStyle w:val="ListBullet"/>
              <w:rPr>
                <w:i/>
              </w:rPr>
            </w:pPr>
            <w:r w:rsidRPr="000C138D">
              <w:t>the Ministry of Health’s annual New Zealand Health Survey (a nationwide survey of people aged 15 years and over)</w:t>
            </w:r>
          </w:p>
          <w:p w14:paraId="4C7E769D" w14:textId="5FD1FEBD" w:rsidR="0082483F" w:rsidRPr="000C138D" w:rsidRDefault="0082483F" w:rsidP="008931C3">
            <w:pPr>
              <w:pStyle w:val="ListBullet"/>
              <w:rPr>
                <w:i/>
              </w:rPr>
            </w:pPr>
            <w:r w:rsidRPr="000C138D">
              <w:t xml:space="preserve">the annual Action on Smoking and Health </w:t>
            </w:r>
            <w:r w:rsidR="00F1023E">
              <w:t>Y</w:t>
            </w:r>
            <w:r w:rsidRPr="000C138D">
              <w:t xml:space="preserve">ear 10 snapshot survey (a survey of 20,000 to 30,000 </w:t>
            </w:r>
            <w:r w:rsidR="00F1023E">
              <w:t>Y</w:t>
            </w:r>
            <w:r w:rsidRPr="000C138D">
              <w:t>ear 10 students)</w:t>
            </w:r>
          </w:p>
          <w:p w14:paraId="2A993E47" w14:textId="16267919" w:rsidR="00914440" w:rsidRPr="000C138D" w:rsidRDefault="0082483F" w:rsidP="000415F4">
            <w:pPr>
              <w:pStyle w:val="ListBullet"/>
              <w:rPr>
                <w:i/>
                <w:iCs/>
              </w:rPr>
            </w:pPr>
            <w:r w:rsidRPr="000C138D">
              <w:t>Youth2000 (a nationwide survey of 7,700</w:t>
            </w:r>
            <w:r w:rsidR="00787BC7">
              <w:t>–</w:t>
            </w:r>
            <w:r w:rsidRPr="000C138D">
              <w:t>8,500 students from secondary schools).</w:t>
            </w:r>
          </w:p>
        </w:tc>
      </w:tr>
    </w:tbl>
    <w:p w14:paraId="427EFBA0" w14:textId="77777777" w:rsidR="00F132B2" w:rsidRPr="000C138D" w:rsidRDefault="00F132B2" w:rsidP="00567434">
      <w:pPr>
        <w:pStyle w:val="spacer"/>
      </w:pPr>
    </w:p>
    <w:tbl>
      <w:tblPr>
        <w:tblW w:w="9072" w:type="dxa"/>
        <w:tblInd w:w="10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80" w:firstRow="0" w:lastRow="0" w:firstColumn="1" w:lastColumn="0" w:noHBand="0" w:noVBand="1"/>
      </w:tblPr>
      <w:tblGrid>
        <w:gridCol w:w="9072"/>
      </w:tblGrid>
      <w:tr w:rsidR="00F132B2" w:rsidRPr="000C138D" w14:paraId="26B6089F" w14:textId="77777777" w:rsidTr="00BB4EA2">
        <w:trPr>
          <w:trHeight w:val="77"/>
        </w:trPr>
        <w:tc>
          <w:tcPr>
            <w:tcW w:w="9072" w:type="dxa"/>
            <w:shd w:val="clear" w:color="auto" w:fill="99CDDD"/>
          </w:tcPr>
          <w:p w14:paraId="1C87F45B" w14:textId="027A6922" w:rsidR="00F132B2" w:rsidRPr="000C138D" w:rsidRDefault="00F132B2" w:rsidP="0042393D">
            <w:pPr>
              <w:pStyle w:val="TableHeadings"/>
              <w:keepNext/>
              <w:rPr>
                <w:szCs w:val="22"/>
                <w:lang w:eastAsia="en-AU"/>
              </w:rPr>
            </w:pPr>
            <w:r w:rsidRPr="000C138D">
              <w:rPr>
                <w:szCs w:val="22"/>
                <w:lang w:eastAsia="en-AU"/>
              </w:rPr>
              <w:br w:type="page"/>
              <w:t xml:space="preserve">7.2 When and how will the new arrangements be reviewed? </w:t>
            </w:r>
          </w:p>
        </w:tc>
      </w:tr>
      <w:tr w:rsidR="00F132B2" w:rsidRPr="000C138D" w14:paraId="1A6C0E66" w14:textId="77777777" w:rsidTr="000415F4">
        <w:tc>
          <w:tcPr>
            <w:tcW w:w="9072" w:type="dxa"/>
            <w:shd w:val="clear" w:color="auto" w:fill="auto"/>
          </w:tcPr>
          <w:p w14:paraId="299A2AE3" w14:textId="5C27A2E3" w:rsidR="00F132B2" w:rsidRPr="000C138D" w:rsidRDefault="0082483F" w:rsidP="000415F4">
            <w:pPr>
              <w:rPr>
                <w:rFonts w:cs="Arial"/>
                <w:szCs w:val="22"/>
              </w:rPr>
            </w:pPr>
            <w:r w:rsidRPr="000C138D">
              <w:t xml:space="preserve">The Ministry will continue to monitor progress towards the </w:t>
            </w:r>
            <w:r w:rsidR="006C4264">
              <w:t>S</w:t>
            </w:r>
            <w:r w:rsidRPr="000C138D">
              <w:t>mokefree 2025 goal</w:t>
            </w:r>
            <w:r w:rsidR="0042393D">
              <w:t>. We will also carry out an</w:t>
            </w:r>
            <w:r w:rsidRPr="000C138D">
              <w:t xml:space="preserve"> overall evaluation of the Smokefree </w:t>
            </w:r>
            <w:r w:rsidR="0022786F" w:rsidRPr="000C138D">
              <w:t xml:space="preserve">Aotearoa 2025 </w:t>
            </w:r>
            <w:r w:rsidRPr="000C138D">
              <w:t xml:space="preserve">Action Plan </w:t>
            </w:r>
            <w:r w:rsidR="0042393D">
              <w:t>after it is</w:t>
            </w:r>
            <w:r w:rsidRPr="000C138D">
              <w:t xml:space="preserve"> implement</w:t>
            </w:r>
            <w:r w:rsidR="0042393D">
              <w:t>ed</w:t>
            </w:r>
            <w:r w:rsidRPr="000C138D">
              <w:t>. We consider it useful to include a review clause in the amended Act</w:t>
            </w:r>
            <w:r w:rsidR="0042393D">
              <w:t xml:space="preserve"> to require a review</w:t>
            </w:r>
            <w:r w:rsidRPr="000C138D">
              <w:t xml:space="preserve">, for example, five years after </w:t>
            </w:r>
            <w:r w:rsidR="0042393D">
              <w:t xml:space="preserve">the implementation of the </w:t>
            </w:r>
            <w:r w:rsidR="00687A5C">
              <w:t>action plan</w:t>
            </w:r>
            <w:r w:rsidR="0042393D">
              <w:t xml:space="preserve"> begins</w:t>
            </w:r>
            <w:r w:rsidRPr="000C138D">
              <w:t xml:space="preserve">. </w:t>
            </w:r>
          </w:p>
        </w:tc>
      </w:tr>
    </w:tbl>
    <w:p w14:paraId="3E7120EB" w14:textId="77777777" w:rsidR="00C2708A" w:rsidRPr="000C138D" w:rsidRDefault="00C2708A" w:rsidP="00B47208">
      <w:pPr>
        <w:pStyle w:val="spacer"/>
      </w:pPr>
    </w:p>
    <w:p w14:paraId="1508A440" w14:textId="77777777" w:rsidR="00BB4B00" w:rsidRPr="000C138D" w:rsidRDefault="00BB4B00">
      <w:pPr>
        <w:spacing w:after="0" w:line="240" w:lineRule="auto"/>
        <w:rPr>
          <w:sz w:val="16"/>
          <w:szCs w:val="22"/>
          <w:lang w:eastAsia="en-AU"/>
        </w:rPr>
      </w:pPr>
      <w:r w:rsidRPr="000C138D">
        <w:br w:type="page"/>
      </w:r>
    </w:p>
    <w:p w14:paraId="45D9F43F" w14:textId="77777777" w:rsidR="00C5148E" w:rsidRPr="000C138D" w:rsidRDefault="00C5148E" w:rsidP="00C5148E">
      <w:pPr>
        <w:pStyle w:val="Heading2"/>
      </w:pPr>
      <w:r w:rsidRPr="000C138D">
        <w:lastRenderedPageBreak/>
        <w:t>References</w:t>
      </w:r>
    </w:p>
    <w:p w14:paraId="557BFEE9" w14:textId="28EEDEA9" w:rsidR="00C5148E" w:rsidRDefault="00C5148E" w:rsidP="00C5148E">
      <w:pPr>
        <w:pStyle w:val="FootnoteText"/>
        <w:spacing w:before="120" w:after="120"/>
        <w:ind w:left="0" w:firstLine="0"/>
        <w:rPr>
          <w:sz w:val="22"/>
          <w:szCs w:val="22"/>
        </w:rPr>
      </w:pPr>
      <w:r w:rsidRPr="004C12AA">
        <w:rPr>
          <w:sz w:val="22"/>
          <w:szCs w:val="22"/>
        </w:rPr>
        <w:t>Ajmal A</w:t>
      </w:r>
      <w:r>
        <w:rPr>
          <w:sz w:val="22"/>
          <w:szCs w:val="22"/>
        </w:rPr>
        <w:t>,</w:t>
      </w:r>
      <w:r w:rsidRPr="004C12AA">
        <w:rPr>
          <w:sz w:val="22"/>
          <w:szCs w:val="22"/>
        </w:rPr>
        <w:t xml:space="preserve"> U VI 2015. Tobacco tax and the illicit trade in tobacco products in New Zealand. </w:t>
      </w:r>
      <w:r w:rsidRPr="004C12AA">
        <w:rPr>
          <w:i/>
          <w:iCs/>
          <w:sz w:val="22"/>
          <w:szCs w:val="22"/>
        </w:rPr>
        <w:t>Australian and New Zealand Journal of Public Health</w:t>
      </w:r>
      <w:r w:rsidRPr="004C12AA">
        <w:rPr>
          <w:sz w:val="22"/>
          <w:szCs w:val="22"/>
        </w:rPr>
        <w:t xml:space="preserve"> 39(2):</w:t>
      </w:r>
      <w:r w:rsidR="00D655AB">
        <w:rPr>
          <w:sz w:val="22"/>
          <w:szCs w:val="22"/>
        </w:rPr>
        <w:t xml:space="preserve"> </w:t>
      </w:r>
      <w:r w:rsidR="00D655AB" w:rsidRPr="004C12AA">
        <w:rPr>
          <w:sz w:val="22"/>
          <w:szCs w:val="22"/>
        </w:rPr>
        <w:t>16</w:t>
      </w:r>
      <w:r>
        <w:rPr>
          <w:sz w:val="22"/>
          <w:szCs w:val="22"/>
        </w:rPr>
        <w:t>–</w:t>
      </w:r>
      <w:r w:rsidRPr="004C12AA">
        <w:rPr>
          <w:sz w:val="22"/>
          <w:szCs w:val="22"/>
        </w:rPr>
        <w:t>20</w:t>
      </w:r>
      <w:r>
        <w:rPr>
          <w:sz w:val="22"/>
          <w:szCs w:val="22"/>
        </w:rPr>
        <w:t>.</w:t>
      </w:r>
    </w:p>
    <w:p w14:paraId="6EE0B782" w14:textId="43301A7E" w:rsidR="009300CF" w:rsidRPr="007511EC" w:rsidRDefault="00D12C9D" w:rsidP="00C5148E">
      <w:pPr>
        <w:pStyle w:val="FootnoteText"/>
        <w:spacing w:before="120" w:after="120"/>
        <w:ind w:left="0" w:firstLine="0"/>
        <w:rPr>
          <w:sz w:val="22"/>
          <w:szCs w:val="22"/>
        </w:rPr>
      </w:pPr>
      <w:r w:rsidRPr="007511EC">
        <w:rPr>
          <w:sz w:val="22"/>
          <w:szCs w:val="22"/>
        </w:rPr>
        <w:t>ASH 20</w:t>
      </w:r>
      <w:r w:rsidRPr="00190F07">
        <w:rPr>
          <w:sz w:val="22"/>
          <w:szCs w:val="22"/>
        </w:rPr>
        <w:t xml:space="preserve">19. 2019 ASH Year 10 Snapshot </w:t>
      </w:r>
      <w:proofErr w:type="spellStart"/>
      <w:r w:rsidRPr="00190F07">
        <w:rPr>
          <w:sz w:val="22"/>
          <w:szCs w:val="22"/>
        </w:rPr>
        <w:t>Topline</w:t>
      </w:r>
      <w:proofErr w:type="spellEnd"/>
      <w:r w:rsidRPr="00190F07">
        <w:rPr>
          <w:sz w:val="22"/>
          <w:szCs w:val="22"/>
        </w:rPr>
        <w:t xml:space="preserve"> Results – Smoking</w:t>
      </w:r>
      <w:r w:rsidR="005D6A56" w:rsidRPr="00190F07">
        <w:rPr>
          <w:sz w:val="22"/>
          <w:szCs w:val="22"/>
        </w:rPr>
        <w:t xml:space="preserve">. URL </w:t>
      </w:r>
      <w:hyperlink r:id="rId11" w:history="1">
        <w:r w:rsidR="007511EC" w:rsidRPr="00190F07">
          <w:rPr>
            <w:rStyle w:val="Hyperlink"/>
            <w:sz w:val="22"/>
            <w:szCs w:val="22"/>
          </w:rPr>
          <w:t>https://d3n8a8pro7vhmx.cloudfront.net/ashnz/pages/70/attachments/original/1583197940/2019_ASH_Y10_Snapshot_Topline_smoking_FINAL.pdf?1583197940</w:t>
        </w:r>
      </w:hyperlink>
      <w:r w:rsidR="007511EC" w:rsidRPr="00190F07">
        <w:rPr>
          <w:sz w:val="22"/>
          <w:szCs w:val="22"/>
        </w:rPr>
        <w:t xml:space="preserve"> (accessed 20 March 2021) </w:t>
      </w:r>
    </w:p>
    <w:p w14:paraId="3D91A74C" w14:textId="1CD43C0C" w:rsidR="00C5148E" w:rsidRPr="000C138D" w:rsidRDefault="00C5148E" w:rsidP="00ED165F">
      <w:pPr>
        <w:rPr>
          <w:lang w:eastAsia="en-NZ"/>
        </w:rPr>
      </w:pPr>
      <w:r w:rsidRPr="000C138D">
        <w:t xml:space="preserve">Brooks DR, Austin JHM, </w:t>
      </w:r>
      <w:proofErr w:type="spellStart"/>
      <w:r w:rsidRPr="000C138D">
        <w:t>Heelan</w:t>
      </w:r>
      <w:proofErr w:type="spellEnd"/>
      <w:r w:rsidRPr="000C138D">
        <w:t xml:space="preserve"> RT, et al. 2005. Influence of type of cigarette on peripheral versus central lung cancer</w:t>
      </w:r>
      <w:r>
        <w:t>.</w:t>
      </w:r>
      <w:r w:rsidRPr="000C138D">
        <w:t xml:space="preserve"> </w:t>
      </w:r>
      <w:r w:rsidRPr="000C138D">
        <w:rPr>
          <w:i/>
          <w:iCs/>
        </w:rPr>
        <w:t>Cancer Epidemiology, Biomarkers &amp; Prevention</w:t>
      </w:r>
      <w:r w:rsidRPr="000C138D">
        <w:t xml:space="preserve"> 14(3):</w:t>
      </w:r>
      <w:r w:rsidR="00D655AB">
        <w:t xml:space="preserve"> </w:t>
      </w:r>
      <w:r w:rsidRPr="000C138D">
        <w:t xml:space="preserve">576–81. </w:t>
      </w:r>
      <w:r>
        <w:t>URL</w:t>
      </w:r>
      <w:r w:rsidRPr="000C138D">
        <w:t>: </w:t>
      </w:r>
      <w:hyperlink r:id="rId12" w:tgtFrame="_blank" w:history="1">
        <w:r w:rsidRPr="000C138D">
          <w:rPr>
            <w:rStyle w:val="Hyperlink"/>
            <w:rFonts w:cs="Arial"/>
            <w:color w:val="1A7C6F"/>
            <w:szCs w:val="22"/>
          </w:rPr>
          <w:t>https://www.ncbi.nlm.nih.gov/pubmed/15767332</w:t>
        </w:r>
      </w:hyperlink>
      <w:r>
        <w:t xml:space="preserve"> </w:t>
      </w:r>
      <w:r>
        <w:rPr>
          <w:rFonts w:cs="Arial"/>
          <w:sz w:val="23"/>
          <w:szCs w:val="23"/>
        </w:rPr>
        <w:t>(accessed 11 March 2021).</w:t>
      </w:r>
    </w:p>
    <w:p w14:paraId="17CBE109" w14:textId="32E0585A" w:rsidR="00C5148E" w:rsidRPr="000C138D" w:rsidRDefault="00C5148E" w:rsidP="00C5148E">
      <w:pPr>
        <w:pStyle w:val="Default"/>
        <w:spacing w:before="120" w:after="120"/>
        <w:rPr>
          <w:sz w:val="22"/>
          <w:szCs w:val="22"/>
        </w:rPr>
      </w:pPr>
      <w:r w:rsidRPr="000C138D">
        <w:rPr>
          <w:sz w:val="22"/>
          <w:szCs w:val="22"/>
        </w:rPr>
        <w:t>Cabinet Office Circular. 2016</w:t>
      </w:r>
      <w:r>
        <w:rPr>
          <w:sz w:val="22"/>
          <w:szCs w:val="22"/>
        </w:rPr>
        <w:t>.</w:t>
      </w:r>
      <w:r w:rsidRPr="000C138D">
        <w:rPr>
          <w:sz w:val="22"/>
          <w:szCs w:val="22"/>
        </w:rPr>
        <w:t xml:space="preserve"> </w:t>
      </w:r>
      <w:r w:rsidRPr="000C138D">
        <w:rPr>
          <w:i/>
          <w:iCs/>
          <w:sz w:val="22"/>
          <w:szCs w:val="22"/>
        </w:rPr>
        <w:t>Report back on New Zealand’s Tobacco Control Programme.</w:t>
      </w:r>
      <w:r w:rsidRPr="000C138D">
        <w:rPr>
          <w:sz w:val="22"/>
          <w:szCs w:val="22"/>
        </w:rPr>
        <w:t xml:space="preserve"> 8 April</w:t>
      </w:r>
      <w:r>
        <w:rPr>
          <w:sz w:val="22"/>
          <w:szCs w:val="22"/>
        </w:rPr>
        <w:t>. URL:</w:t>
      </w:r>
      <w:r w:rsidRPr="000C138D">
        <w:rPr>
          <w:sz w:val="22"/>
          <w:szCs w:val="22"/>
        </w:rPr>
        <w:t xml:space="preserve"> </w:t>
      </w:r>
      <w:hyperlink r:id="rId13" w:history="1">
        <w:r w:rsidRPr="000C138D">
          <w:rPr>
            <w:rStyle w:val="Hyperlink"/>
            <w:sz w:val="22"/>
            <w:szCs w:val="22"/>
          </w:rPr>
          <w:t>https://www.health.govt.nz/system/files/documents/pages/cabinet-paper-8-april-2016.pdf</w:t>
        </w:r>
      </w:hyperlink>
      <w:r w:rsidRPr="000C138D">
        <w:rPr>
          <w:sz w:val="22"/>
          <w:szCs w:val="22"/>
        </w:rPr>
        <w:t xml:space="preserve"> </w:t>
      </w:r>
      <w:r>
        <w:rPr>
          <w:sz w:val="23"/>
          <w:szCs w:val="23"/>
        </w:rPr>
        <w:t>(accessed 8 March 2021).</w:t>
      </w:r>
    </w:p>
    <w:p w14:paraId="0384C242" w14:textId="77777777" w:rsidR="00C5148E" w:rsidRPr="008E562D" w:rsidRDefault="00C5148E" w:rsidP="00C5148E">
      <w:pPr>
        <w:pStyle w:val="Default"/>
        <w:spacing w:before="120" w:after="120"/>
      </w:pPr>
      <w:r>
        <w:t>Department of Prime Minister and Cabinet. 2019.</w:t>
      </w:r>
      <w:r w:rsidRPr="008E562D">
        <w:rPr>
          <w:i/>
        </w:rPr>
        <w:t xml:space="preserve"> </w:t>
      </w:r>
      <w:r w:rsidRPr="000C138D">
        <w:rPr>
          <w:i/>
        </w:rPr>
        <w:t>Child and Youth Wellbeing Strategy</w:t>
      </w:r>
      <w:r>
        <w:t>. Wellington:</w:t>
      </w:r>
      <w:r w:rsidRPr="008E562D">
        <w:t xml:space="preserve"> </w:t>
      </w:r>
      <w:r>
        <w:t>Department of Prime Minister and Cabinet.</w:t>
      </w:r>
    </w:p>
    <w:p w14:paraId="171D02FE" w14:textId="0CD8BF93" w:rsidR="00C5148E" w:rsidRPr="000C138D" w:rsidRDefault="00C5148E" w:rsidP="00C5148E">
      <w:pPr>
        <w:pStyle w:val="Default"/>
        <w:spacing w:before="120" w:after="120"/>
        <w:rPr>
          <w:sz w:val="22"/>
          <w:szCs w:val="22"/>
        </w:rPr>
      </w:pPr>
      <w:r w:rsidRPr="000C138D">
        <w:rPr>
          <w:sz w:val="22"/>
          <w:szCs w:val="22"/>
        </w:rPr>
        <w:t xml:space="preserve">Donny EC, Walker N, </w:t>
      </w:r>
      <w:proofErr w:type="spellStart"/>
      <w:r w:rsidRPr="000C138D">
        <w:rPr>
          <w:sz w:val="22"/>
          <w:szCs w:val="22"/>
        </w:rPr>
        <w:t>Hatsukami</w:t>
      </w:r>
      <w:proofErr w:type="spellEnd"/>
      <w:r w:rsidRPr="000C138D">
        <w:rPr>
          <w:sz w:val="22"/>
          <w:szCs w:val="22"/>
        </w:rPr>
        <w:t xml:space="preserve"> D, </w:t>
      </w:r>
      <w:r>
        <w:rPr>
          <w:sz w:val="22"/>
          <w:szCs w:val="22"/>
        </w:rPr>
        <w:t>et al</w:t>
      </w:r>
      <w:r w:rsidRPr="000C138D">
        <w:rPr>
          <w:sz w:val="22"/>
          <w:szCs w:val="22"/>
        </w:rPr>
        <w:t xml:space="preserve">. 2017. Reducing the nicotine content of combusted tobacco products sold in New Zealand. </w:t>
      </w:r>
      <w:r w:rsidRPr="000C138D">
        <w:rPr>
          <w:i/>
          <w:iCs/>
          <w:sz w:val="22"/>
          <w:szCs w:val="22"/>
        </w:rPr>
        <w:t>Tobacco Control</w:t>
      </w:r>
      <w:r w:rsidRPr="000C138D">
        <w:rPr>
          <w:sz w:val="22"/>
          <w:szCs w:val="22"/>
        </w:rPr>
        <w:t xml:space="preserve"> 26(e1):</w:t>
      </w:r>
      <w:r w:rsidR="00D655AB">
        <w:rPr>
          <w:sz w:val="22"/>
          <w:szCs w:val="22"/>
        </w:rPr>
        <w:t xml:space="preserve"> </w:t>
      </w:r>
      <w:r w:rsidRPr="000C138D">
        <w:rPr>
          <w:sz w:val="22"/>
          <w:szCs w:val="22"/>
        </w:rPr>
        <w:t>e37</w:t>
      </w:r>
      <w:r>
        <w:rPr>
          <w:sz w:val="22"/>
          <w:szCs w:val="22"/>
        </w:rPr>
        <w:t>–</w:t>
      </w:r>
      <w:r w:rsidRPr="000C138D">
        <w:rPr>
          <w:sz w:val="22"/>
          <w:szCs w:val="22"/>
        </w:rPr>
        <w:t>e42.</w:t>
      </w:r>
    </w:p>
    <w:p w14:paraId="4F0899C6" w14:textId="6188C520" w:rsidR="00C5148E" w:rsidRPr="000C138D" w:rsidRDefault="00C5148E" w:rsidP="00C5148E">
      <w:pPr>
        <w:spacing w:before="120" w:after="120" w:line="240" w:lineRule="auto"/>
        <w:jc w:val="both"/>
        <w:rPr>
          <w:rFonts w:cs="Arial"/>
          <w:szCs w:val="22"/>
        </w:rPr>
      </w:pPr>
      <w:r w:rsidRPr="000C138D">
        <w:rPr>
          <w:rFonts w:cs="Arial"/>
          <w:szCs w:val="22"/>
        </w:rPr>
        <w:t xml:space="preserve">Edwards R, Peace J, Hoek J, et al. 2012. Majority support among the public, youth and smokers for retail-level controls to help end tobacco use in New Zealand. </w:t>
      </w:r>
      <w:r w:rsidRPr="000C138D">
        <w:rPr>
          <w:rFonts w:cs="Arial"/>
          <w:i/>
          <w:iCs/>
          <w:szCs w:val="22"/>
        </w:rPr>
        <w:t>New Zealand Medical Journal</w:t>
      </w:r>
      <w:r w:rsidRPr="000C138D">
        <w:rPr>
          <w:rFonts w:cs="Arial"/>
          <w:szCs w:val="22"/>
        </w:rPr>
        <w:t xml:space="preserve"> 125</w:t>
      </w:r>
      <w:r>
        <w:rPr>
          <w:rFonts w:cs="Arial"/>
          <w:szCs w:val="22"/>
        </w:rPr>
        <w:t>(</w:t>
      </w:r>
      <w:r w:rsidRPr="000C138D">
        <w:rPr>
          <w:rFonts w:cs="Arial"/>
          <w:szCs w:val="22"/>
        </w:rPr>
        <w:t>1357</w:t>
      </w:r>
      <w:r>
        <w:rPr>
          <w:rFonts w:cs="Arial"/>
          <w:szCs w:val="22"/>
        </w:rPr>
        <w:t>). URL:</w:t>
      </w:r>
      <w:r w:rsidRPr="000C138D">
        <w:rPr>
          <w:rFonts w:cs="Arial"/>
          <w:szCs w:val="22"/>
        </w:rPr>
        <w:t xml:space="preserve"> </w:t>
      </w:r>
      <w:r w:rsidR="000C2B8E" w:rsidRPr="000C2B8E">
        <w:t xml:space="preserve"> </w:t>
      </w:r>
      <w:hyperlink r:id="rId14" w:history="1">
        <w:r w:rsidR="000C2B8E" w:rsidRPr="004266BB">
          <w:rPr>
            <w:rStyle w:val="Hyperlink"/>
            <w:rFonts w:cs="Arial"/>
            <w:szCs w:val="22"/>
          </w:rPr>
          <w:t>https://www.nzma.org.nz/journal-articles/majority-support-among-the-public-youth-and-smokers-for-retail-level-controls-to-help-end-tobacco-use-in-new-zealand</w:t>
        </w:r>
      </w:hyperlink>
      <w:r w:rsidR="000C2B8E">
        <w:t xml:space="preserve"> </w:t>
      </w:r>
      <w:r>
        <w:rPr>
          <w:rFonts w:cs="Arial"/>
          <w:sz w:val="23"/>
          <w:szCs w:val="23"/>
        </w:rPr>
        <w:t xml:space="preserve">(accessed </w:t>
      </w:r>
      <w:r w:rsidR="000C2B8E">
        <w:rPr>
          <w:rFonts w:cs="Arial"/>
          <w:sz w:val="23"/>
          <w:szCs w:val="23"/>
        </w:rPr>
        <w:t>11</w:t>
      </w:r>
      <w:r>
        <w:rPr>
          <w:rFonts w:cs="Arial"/>
          <w:sz w:val="23"/>
          <w:szCs w:val="23"/>
        </w:rPr>
        <w:t xml:space="preserve"> March 2021).</w:t>
      </w:r>
    </w:p>
    <w:p w14:paraId="1800100F" w14:textId="1A06525C" w:rsidR="00C5148E" w:rsidRPr="000C138D" w:rsidRDefault="00C5148E" w:rsidP="00C5148E">
      <w:r w:rsidRPr="000C138D">
        <w:t xml:space="preserve">Ernst </w:t>
      </w:r>
      <w:r w:rsidR="004C12AA">
        <w:t>&amp;</w:t>
      </w:r>
      <w:r w:rsidR="004C12AA" w:rsidRPr="000C138D">
        <w:t xml:space="preserve"> </w:t>
      </w:r>
      <w:r w:rsidRPr="000C138D">
        <w:t>Young</w:t>
      </w:r>
      <w:r w:rsidR="000C2B8E">
        <w:t>.</w:t>
      </w:r>
      <w:r w:rsidRPr="000C138D">
        <w:t xml:space="preserve"> 201</w:t>
      </w:r>
      <w:r w:rsidR="00F65560">
        <w:t>8</w:t>
      </w:r>
      <w:r w:rsidRPr="000C138D">
        <w:t xml:space="preserve">. </w:t>
      </w:r>
      <w:r w:rsidRPr="009435D3">
        <w:rPr>
          <w:i/>
        </w:rPr>
        <w:t>Evaluation of Tobacco Taxes Increases as a Contributor to Smokefree 2025</w:t>
      </w:r>
      <w:r w:rsidRPr="000C138D">
        <w:t xml:space="preserve">. </w:t>
      </w:r>
      <w:r w:rsidR="004C12AA">
        <w:t>Wellington: Ernst &amp; Young.</w:t>
      </w:r>
    </w:p>
    <w:p w14:paraId="5574BBBB" w14:textId="43EBB859" w:rsidR="00C5148E" w:rsidRPr="000E46DB" w:rsidRDefault="00C5148E" w:rsidP="00C5148E">
      <w:r w:rsidRPr="006C30E3">
        <w:t xml:space="preserve">European Parliament. 2014. Directive 2014/40/EU of the European Parliament and of the Council of 3 April 2014 on the approximation of the laws, regulations and administrative provisions of the Member States concerning the manufacture, presentation and sale of tobacco. URL: </w:t>
      </w:r>
      <w:hyperlink r:id="rId15" w:history="1">
        <w:r w:rsidRPr="006C30E3">
          <w:rPr>
            <w:rStyle w:val="Hyperlink"/>
            <w:szCs w:val="22"/>
          </w:rPr>
          <w:t>https://ec.europa.eu/health/sites/health/files/tobacco/docs/dir_201440_en.pdf</w:t>
        </w:r>
      </w:hyperlink>
      <w:r w:rsidRPr="006C30E3">
        <w:t xml:space="preserve"> </w:t>
      </w:r>
      <w:r w:rsidRPr="006C30E3">
        <w:rPr>
          <w:rFonts w:cs="Arial"/>
          <w:sz w:val="23"/>
          <w:szCs w:val="23"/>
        </w:rPr>
        <w:t xml:space="preserve">(accessed </w:t>
      </w:r>
      <w:r w:rsidR="00F65560" w:rsidRPr="006C30E3">
        <w:rPr>
          <w:rFonts w:cs="Arial"/>
          <w:sz w:val="23"/>
          <w:szCs w:val="23"/>
        </w:rPr>
        <w:t>11</w:t>
      </w:r>
      <w:r w:rsidRPr="006C30E3">
        <w:rPr>
          <w:rFonts w:cs="Arial"/>
          <w:sz w:val="23"/>
          <w:szCs w:val="23"/>
        </w:rPr>
        <w:t xml:space="preserve"> March 2021).</w:t>
      </w:r>
    </w:p>
    <w:p w14:paraId="18C418D7" w14:textId="5FD00F8D" w:rsidR="006D7248" w:rsidRPr="000C138D" w:rsidRDefault="006D7248" w:rsidP="006D7248">
      <w:pPr>
        <w:spacing w:before="120" w:after="120" w:line="240" w:lineRule="auto"/>
      </w:pPr>
      <w:r w:rsidRPr="006C30E3">
        <w:t>FCTC WHO Framework on Tobacco Control Secretariat</w:t>
      </w:r>
      <w:r w:rsidRPr="006C30E3">
        <w:rPr>
          <w:i/>
          <w:iCs/>
        </w:rPr>
        <w:t xml:space="preserve">. </w:t>
      </w:r>
      <w:r w:rsidRPr="006C30E3">
        <w:t>2016.</w:t>
      </w:r>
      <w:r w:rsidRPr="006C30E3">
        <w:rPr>
          <w:i/>
          <w:iCs/>
        </w:rPr>
        <w:t xml:space="preserve"> European Union: Ban on flavoured tobacco products. </w:t>
      </w:r>
      <w:r w:rsidRPr="006C30E3">
        <w:rPr>
          <w:iCs/>
        </w:rPr>
        <w:t>URL:</w:t>
      </w:r>
      <w:r w:rsidRPr="006C30E3">
        <w:rPr>
          <w:i/>
          <w:iCs/>
        </w:rPr>
        <w:t xml:space="preserve"> </w:t>
      </w:r>
      <w:hyperlink r:id="rId16" w:history="1">
        <w:r w:rsidRPr="006C30E3">
          <w:rPr>
            <w:rStyle w:val="Hyperlink"/>
          </w:rPr>
          <w:t>https://untobaccocontrol.org/impldb/european-union-ban-on-flavoured-tobacco-products/</w:t>
        </w:r>
      </w:hyperlink>
      <w:r w:rsidRPr="006C30E3">
        <w:t xml:space="preserve"> </w:t>
      </w:r>
      <w:r w:rsidRPr="006C30E3">
        <w:rPr>
          <w:rFonts w:cs="Arial"/>
          <w:sz w:val="23"/>
          <w:szCs w:val="23"/>
        </w:rPr>
        <w:t>(accessed 12 March 2021).</w:t>
      </w:r>
    </w:p>
    <w:p w14:paraId="7A52DC2E" w14:textId="77777777" w:rsidR="00C5148E" w:rsidRDefault="00C5148E" w:rsidP="00C5148E">
      <w:pPr>
        <w:autoSpaceDE w:val="0"/>
        <w:autoSpaceDN w:val="0"/>
        <w:adjustRightInd w:val="0"/>
        <w:spacing w:before="120" w:after="120" w:line="240" w:lineRule="auto"/>
        <w:rPr>
          <w:szCs w:val="22"/>
        </w:rPr>
      </w:pPr>
      <w:r>
        <w:rPr>
          <w:rFonts w:cs="Arial"/>
          <w:sz w:val="23"/>
          <w:szCs w:val="23"/>
        </w:rPr>
        <w:t>Food and Drug Administration</w:t>
      </w:r>
      <w:r>
        <w:rPr>
          <w:szCs w:val="22"/>
        </w:rPr>
        <w:t xml:space="preserve">. 2018. </w:t>
      </w:r>
      <w:r>
        <w:rPr>
          <w:rFonts w:cs="Arial"/>
          <w:sz w:val="23"/>
          <w:szCs w:val="23"/>
        </w:rPr>
        <w:t xml:space="preserve">Tobacco product standard for nicotine level of combusted cigarettes. </w:t>
      </w:r>
      <w:r w:rsidRPr="00E321BE">
        <w:rPr>
          <w:rFonts w:cs="Arial"/>
          <w:i/>
          <w:sz w:val="23"/>
          <w:szCs w:val="23"/>
        </w:rPr>
        <w:t>Federal Register</w:t>
      </w:r>
      <w:r>
        <w:rPr>
          <w:rFonts w:cs="Arial"/>
          <w:sz w:val="23"/>
          <w:szCs w:val="23"/>
        </w:rPr>
        <w:t xml:space="preserve"> 83(52): 11818–43. URL: </w:t>
      </w:r>
      <w:hyperlink r:id="rId17" w:history="1">
        <w:r w:rsidRPr="00E321BE">
          <w:rPr>
            <w:rStyle w:val="Hyperlink"/>
          </w:rPr>
          <w:t>https://www.federalregister.gov/documents/2018/03/16/2018-05345/tobacco-product-standard-for-nicotine-level-of-combusted-cigarettes</w:t>
        </w:r>
      </w:hyperlink>
      <w:r>
        <w:t xml:space="preserve"> </w:t>
      </w:r>
      <w:r>
        <w:rPr>
          <w:rFonts w:cs="Arial"/>
          <w:sz w:val="23"/>
          <w:szCs w:val="23"/>
        </w:rPr>
        <w:t>(accessed 8 March 2021).</w:t>
      </w:r>
    </w:p>
    <w:p w14:paraId="57D5DC73" w14:textId="7D03704F" w:rsidR="00C5148E" w:rsidRPr="009435D3" w:rsidRDefault="00C5148E" w:rsidP="00C5148E">
      <w:r w:rsidRPr="009435D3">
        <w:t>Fraser T, Kira A. 2017. Perspectives of key stakeholders and smokers on a very low nicotine content cigarette-only policy: qualitative study.</w:t>
      </w:r>
      <w:r w:rsidRPr="009435D3">
        <w:rPr>
          <w:i/>
        </w:rPr>
        <w:t xml:space="preserve"> New Zealand Medical Journal </w:t>
      </w:r>
      <w:r w:rsidRPr="009435D3">
        <w:t>130(1456).</w:t>
      </w:r>
    </w:p>
    <w:p w14:paraId="6EE6E9A1" w14:textId="77777777" w:rsidR="00C5148E" w:rsidRPr="000C138D" w:rsidRDefault="00C5148E" w:rsidP="00C5148E">
      <w:pPr>
        <w:spacing w:before="120" w:after="120" w:line="240" w:lineRule="auto"/>
        <w:rPr>
          <w:rFonts w:cs="Arial"/>
          <w:szCs w:val="22"/>
        </w:rPr>
      </w:pPr>
      <w:proofErr w:type="spellStart"/>
      <w:r w:rsidRPr="006C4264">
        <w:rPr>
          <w:rFonts w:cs="Arial"/>
          <w:szCs w:val="22"/>
        </w:rPr>
        <w:t>Gersberg</w:t>
      </w:r>
      <w:proofErr w:type="spellEnd"/>
      <w:r w:rsidRPr="006C4264">
        <w:rPr>
          <w:rFonts w:cs="Arial"/>
          <w:szCs w:val="22"/>
        </w:rPr>
        <w:t xml:space="preserve"> RM, Novotny TE, Rudolph J, et al. 2011. </w:t>
      </w:r>
      <w:r w:rsidRPr="000C138D">
        <w:rPr>
          <w:rFonts w:cs="Arial"/>
          <w:szCs w:val="22"/>
        </w:rPr>
        <w:t xml:space="preserve">Toxicity of cigarette butts, and their chemical components, to marine and freshwater fish. </w:t>
      </w:r>
      <w:r w:rsidRPr="000C138D">
        <w:rPr>
          <w:rFonts w:cs="Arial"/>
          <w:i/>
          <w:szCs w:val="22"/>
        </w:rPr>
        <w:t>Tobacco Control</w:t>
      </w:r>
      <w:r w:rsidRPr="000C138D">
        <w:rPr>
          <w:rFonts w:cs="Arial"/>
          <w:szCs w:val="22"/>
        </w:rPr>
        <w:t xml:space="preserve"> 20(</w:t>
      </w:r>
      <w:proofErr w:type="spellStart"/>
      <w:r w:rsidRPr="000C138D">
        <w:rPr>
          <w:rFonts w:cs="Arial"/>
          <w:szCs w:val="22"/>
        </w:rPr>
        <w:t>Suppl</w:t>
      </w:r>
      <w:proofErr w:type="spellEnd"/>
      <w:r w:rsidRPr="000C138D">
        <w:rPr>
          <w:rFonts w:cs="Arial"/>
          <w:szCs w:val="22"/>
        </w:rPr>
        <w:t xml:space="preserve"> 1): i25–i29. URL: </w:t>
      </w:r>
      <w:hyperlink r:id="rId18" w:history="1">
        <w:r w:rsidRPr="000C138D">
          <w:rPr>
            <w:rFonts w:cs="Arial"/>
            <w:szCs w:val="22"/>
          </w:rPr>
          <w:t>https://www.ncbi.nlm.nih.gov/pmc/articles/PMC3088407/</w:t>
        </w:r>
      </w:hyperlink>
      <w:r w:rsidRPr="000C138D">
        <w:rPr>
          <w:rFonts w:cs="Arial"/>
          <w:szCs w:val="22"/>
        </w:rPr>
        <w:t xml:space="preserve"> (accessed 20 August 2019).</w:t>
      </w:r>
    </w:p>
    <w:p w14:paraId="2B9DC94A" w14:textId="366B9EDF" w:rsidR="00C5148E" w:rsidRDefault="00C5148E" w:rsidP="00C5148E">
      <w:pPr>
        <w:spacing w:before="120" w:after="120" w:line="240" w:lineRule="auto"/>
        <w:jc w:val="both"/>
        <w:rPr>
          <w:rFonts w:cs="Arial"/>
          <w:sz w:val="23"/>
          <w:szCs w:val="23"/>
        </w:rPr>
      </w:pPr>
      <w:r w:rsidRPr="000C138D">
        <w:rPr>
          <w:rFonts w:cs="Arial"/>
          <w:szCs w:val="22"/>
        </w:rPr>
        <w:t>Keep New Zealand Beautiful</w:t>
      </w:r>
      <w:r w:rsidR="00570D83">
        <w:rPr>
          <w:rFonts w:cs="Arial"/>
          <w:szCs w:val="22"/>
        </w:rPr>
        <w:t>.</w:t>
      </w:r>
      <w:r w:rsidRPr="000C138D">
        <w:rPr>
          <w:rFonts w:cs="Arial"/>
          <w:szCs w:val="22"/>
        </w:rPr>
        <w:t xml:space="preserve"> 2019. </w:t>
      </w:r>
      <w:r w:rsidRPr="00095C53">
        <w:rPr>
          <w:rFonts w:cs="Arial"/>
          <w:i/>
          <w:szCs w:val="22"/>
        </w:rPr>
        <w:t xml:space="preserve">National Litter </w:t>
      </w:r>
      <w:r w:rsidR="00570D83" w:rsidRPr="00095C53">
        <w:rPr>
          <w:rFonts w:cs="Arial"/>
          <w:i/>
          <w:szCs w:val="22"/>
        </w:rPr>
        <w:t>Audit</w:t>
      </w:r>
      <w:r w:rsidR="00570D83">
        <w:rPr>
          <w:rFonts w:cs="Arial"/>
          <w:i/>
          <w:szCs w:val="22"/>
        </w:rPr>
        <w:t xml:space="preserve"> </w:t>
      </w:r>
      <w:r w:rsidRPr="00095C53">
        <w:rPr>
          <w:rFonts w:cs="Arial"/>
          <w:i/>
          <w:szCs w:val="22"/>
        </w:rPr>
        <w:t>2019</w:t>
      </w:r>
      <w:r w:rsidRPr="000C138D">
        <w:rPr>
          <w:rFonts w:cs="Arial"/>
          <w:szCs w:val="22"/>
        </w:rPr>
        <w:t>.</w:t>
      </w:r>
      <w:r w:rsidR="00570D83" w:rsidRPr="00570D83">
        <w:rPr>
          <w:rFonts w:cs="Arial"/>
          <w:szCs w:val="22"/>
        </w:rPr>
        <w:t xml:space="preserve"> </w:t>
      </w:r>
      <w:r w:rsidR="00570D83">
        <w:rPr>
          <w:rFonts w:cs="Arial"/>
          <w:szCs w:val="22"/>
        </w:rPr>
        <w:t xml:space="preserve">Auckland: </w:t>
      </w:r>
      <w:r w:rsidR="00570D83" w:rsidRPr="000C138D">
        <w:rPr>
          <w:rFonts w:cs="Arial"/>
          <w:szCs w:val="22"/>
        </w:rPr>
        <w:t>Keep New Zealand Beautiful</w:t>
      </w:r>
      <w:r w:rsidR="00570D83">
        <w:rPr>
          <w:rFonts w:cs="Arial"/>
          <w:szCs w:val="22"/>
        </w:rPr>
        <w:t>.</w:t>
      </w:r>
      <w:r w:rsidRPr="000C138D">
        <w:rPr>
          <w:rFonts w:cs="Arial"/>
          <w:szCs w:val="22"/>
        </w:rPr>
        <w:t xml:space="preserve"> </w:t>
      </w:r>
      <w:r w:rsidR="00570D83">
        <w:rPr>
          <w:rFonts w:cs="Arial"/>
          <w:szCs w:val="22"/>
        </w:rPr>
        <w:t xml:space="preserve">URL: </w:t>
      </w:r>
      <w:hyperlink r:id="rId19" w:history="1">
        <w:r w:rsidRPr="000C138D">
          <w:rPr>
            <w:rStyle w:val="Hyperlink"/>
          </w:rPr>
          <w:t>https://www.knzb.org.nz/wp-content/uploads/2020/04/KNZB-NLA-report-Online_020420.pdf</w:t>
        </w:r>
      </w:hyperlink>
      <w:r w:rsidR="00570D83">
        <w:t xml:space="preserve"> </w:t>
      </w:r>
      <w:r w:rsidR="00570D83">
        <w:rPr>
          <w:rFonts w:cs="Arial"/>
          <w:sz w:val="23"/>
          <w:szCs w:val="23"/>
        </w:rPr>
        <w:t>(accessed 12 March 2021).</w:t>
      </w:r>
    </w:p>
    <w:p w14:paraId="59BA9618" w14:textId="1D095253" w:rsidR="0072324B" w:rsidRPr="00E12787" w:rsidRDefault="0072324B" w:rsidP="00E12787">
      <w:pPr>
        <w:spacing w:before="120" w:after="120" w:line="240" w:lineRule="auto"/>
        <w:rPr>
          <w:rStyle w:val="Hyperlink"/>
          <w:color w:val="auto"/>
          <w:u w:val="none"/>
        </w:rPr>
      </w:pPr>
      <w:r>
        <w:rPr>
          <w:rFonts w:cs="Arial"/>
          <w:sz w:val="23"/>
          <w:szCs w:val="23"/>
        </w:rPr>
        <w:t>Har</w:t>
      </w:r>
      <w:r w:rsidR="0085332B">
        <w:rPr>
          <w:rFonts w:cs="Arial"/>
          <w:sz w:val="23"/>
          <w:szCs w:val="23"/>
        </w:rPr>
        <w:t>ris, B. 2011. The intractable cigarette ‘filter problem’</w:t>
      </w:r>
      <w:r w:rsidR="00095669">
        <w:rPr>
          <w:rFonts w:cs="Arial"/>
          <w:sz w:val="23"/>
          <w:szCs w:val="23"/>
        </w:rPr>
        <w:t xml:space="preserve">.  </w:t>
      </w:r>
      <w:r w:rsidR="00095669" w:rsidRPr="004B3EE3">
        <w:rPr>
          <w:rFonts w:cs="Arial"/>
          <w:i/>
          <w:iCs/>
          <w:sz w:val="23"/>
          <w:szCs w:val="23"/>
        </w:rPr>
        <w:t>Tobacco Control</w:t>
      </w:r>
      <w:r w:rsidR="00095669">
        <w:rPr>
          <w:rFonts w:cs="Arial"/>
          <w:sz w:val="23"/>
          <w:szCs w:val="23"/>
        </w:rPr>
        <w:t xml:space="preserve"> </w:t>
      </w:r>
      <w:r w:rsidR="005F5612">
        <w:t>20</w:t>
      </w:r>
      <w:r w:rsidR="00E00376">
        <w:t xml:space="preserve"> </w:t>
      </w:r>
      <w:r w:rsidR="005F5612">
        <w:t>(</w:t>
      </w:r>
      <w:proofErr w:type="spellStart"/>
      <w:r w:rsidR="005F5612">
        <w:t>Suppl</w:t>
      </w:r>
      <w:proofErr w:type="spellEnd"/>
      <w:r w:rsidR="005F5612">
        <w:t xml:space="preserve"> 1)</w:t>
      </w:r>
      <w:r w:rsidR="00E12787">
        <w:t xml:space="preserve"> </w:t>
      </w:r>
      <w:r w:rsidR="005F5612">
        <w:t xml:space="preserve">:10iei16. doi:10.1136/tc.2010.040113 </w:t>
      </w:r>
      <w:r w:rsidR="00E00376">
        <w:t>U</w:t>
      </w:r>
      <w:r w:rsidR="00515761">
        <w:t xml:space="preserve">RL: </w:t>
      </w:r>
      <w:r w:rsidR="00E00376" w:rsidRPr="00E00376">
        <w:t>https://tobaccocontrol.bmj.com/content/tobaccocontrol/20/Suppl_1/i10.full.pdf</w:t>
      </w:r>
      <w:proofErr w:type="gramStart"/>
      <w:r w:rsidR="00E00376" w:rsidRPr="00E00376">
        <w:t xml:space="preserve"> </w:t>
      </w:r>
      <w:r w:rsidR="00E00376">
        <w:t xml:space="preserve">  </w:t>
      </w:r>
      <w:r w:rsidR="009B20C4">
        <w:t>(</w:t>
      </w:r>
      <w:proofErr w:type="gramEnd"/>
      <w:r w:rsidR="009B20C4">
        <w:t>accessed 20 March 2021)</w:t>
      </w:r>
    </w:p>
    <w:p w14:paraId="5F3FE2D7" w14:textId="773C7064" w:rsidR="00C5148E" w:rsidRPr="000C138D" w:rsidRDefault="00C5148E" w:rsidP="00C5148E">
      <w:pPr>
        <w:spacing w:before="120" w:after="120" w:line="240" w:lineRule="auto"/>
        <w:rPr>
          <w:rFonts w:cs="Arial"/>
          <w:szCs w:val="22"/>
        </w:rPr>
      </w:pPr>
      <w:r w:rsidRPr="00095C53">
        <w:rPr>
          <w:rFonts w:cs="Arial"/>
          <w:szCs w:val="22"/>
          <w:lang w:val="nl-NL"/>
        </w:rPr>
        <w:lastRenderedPageBreak/>
        <w:t xml:space="preserve">Huang L-L, Baker HM, Meernik C, et al. 2017. </w:t>
      </w:r>
      <w:r w:rsidRPr="000C138D">
        <w:rPr>
          <w:rFonts w:cs="Arial"/>
          <w:szCs w:val="22"/>
        </w:rPr>
        <w:t xml:space="preserve">Impact of non-menthol flavours in tobacco products on perceptions and use among youth, young adults and adults: a systematic review. </w:t>
      </w:r>
      <w:r w:rsidRPr="00095C53">
        <w:rPr>
          <w:rFonts w:cs="Arial"/>
          <w:i/>
          <w:szCs w:val="22"/>
        </w:rPr>
        <w:t>Tobacco Control</w:t>
      </w:r>
      <w:r w:rsidRPr="000C138D">
        <w:rPr>
          <w:rFonts w:cs="Arial"/>
          <w:szCs w:val="22"/>
        </w:rPr>
        <w:t xml:space="preserve"> 26:</w:t>
      </w:r>
      <w:r w:rsidR="002C63C8">
        <w:rPr>
          <w:rFonts w:cs="Arial"/>
          <w:szCs w:val="22"/>
        </w:rPr>
        <w:t xml:space="preserve"> </w:t>
      </w:r>
      <w:r w:rsidRPr="000C138D">
        <w:rPr>
          <w:rFonts w:cs="Arial"/>
          <w:szCs w:val="22"/>
        </w:rPr>
        <w:t>709–19</w:t>
      </w:r>
      <w:r w:rsidR="009C5D87">
        <w:rPr>
          <w:rFonts w:cs="Arial"/>
          <w:szCs w:val="22"/>
        </w:rPr>
        <w:t>.</w:t>
      </w:r>
      <w:r w:rsidRPr="000C138D">
        <w:rPr>
          <w:rFonts w:cs="Arial"/>
          <w:szCs w:val="22"/>
        </w:rPr>
        <w:t xml:space="preserve"> </w:t>
      </w:r>
      <w:r w:rsidR="009C5D87">
        <w:rPr>
          <w:rFonts w:cs="Arial"/>
          <w:szCs w:val="22"/>
        </w:rPr>
        <w:t>URL:</w:t>
      </w:r>
      <w:r w:rsidRPr="000C138D">
        <w:rPr>
          <w:rFonts w:cs="Arial"/>
          <w:szCs w:val="22"/>
        </w:rPr>
        <w:t xml:space="preserve"> </w:t>
      </w:r>
      <w:hyperlink r:id="rId20" w:history="1">
        <w:r w:rsidRPr="000C138D">
          <w:rPr>
            <w:rStyle w:val="Hyperlink"/>
            <w:rFonts w:cs="Arial"/>
            <w:szCs w:val="22"/>
          </w:rPr>
          <w:t>http://tobaccocontrol.bmj.com/content/tobaccocontrol/26/6/709.full.pdf</w:t>
        </w:r>
      </w:hyperlink>
      <w:r w:rsidR="00C23E53" w:rsidRPr="000C138D">
        <w:t xml:space="preserve"> </w:t>
      </w:r>
      <w:r w:rsidR="00C23E53">
        <w:rPr>
          <w:rFonts w:cs="Arial"/>
          <w:sz w:val="23"/>
          <w:szCs w:val="23"/>
        </w:rPr>
        <w:t>(accessed 12 March 2021).</w:t>
      </w:r>
    </w:p>
    <w:p w14:paraId="30EE2C78" w14:textId="42C1889F" w:rsidR="00C5148E" w:rsidRPr="000C138D" w:rsidRDefault="00C5148E" w:rsidP="00C5148E">
      <w:pPr>
        <w:spacing w:before="120" w:after="120" w:line="240" w:lineRule="auto"/>
      </w:pPr>
      <w:r w:rsidRPr="00095C53">
        <w:rPr>
          <w:lang w:val="nl-NL"/>
        </w:rPr>
        <w:t xml:space="preserve">Ito H, Matsuo </w:t>
      </w:r>
      <w:r w:rsidR="002E62FE" w:rsidRPr="00095C53">
        <w:rPr>
          <w:lang w:val="nl-NL"/>
        </w:rPr>
        <w:t>K</w:t>
      </w:r>
      <w:r w:rsidRPr="00095C53">
        <w:rPr>
          <w:lang w:val="nl-NL"/>
        </w:rPr>
        <w:t>, Tanaka</w:t>
      </w:r>
      <w:r w:rsidR="002E62FE">
        <w:rPr>
          <w:lang w:val="nl-NL"/>
        </w:rPr>
        <w:t xml:space="preserve"> H</w:t>
      </w:r>
      <w:r w:rsidRPr="00095C53">
        <w:rPr>
          <w:lang w:val="nl-NL"/>
        </w:rPr>
        <w:t xml:space="preserve">, et al. 2011. </w:t>
      </w:r>
      <w:r w:rsidRPr="000C138D">
        <w:t xml:space="preserve">Nonfilter and filter cigarette consumption and the incidence of lung cancer by histological type in Japan and the United States: </w:t>
      </w:r>
      <w:r w:rsidR="002C63C8">
        <w:t>a</w:t>
      </w:r>
      <w:r w:rsidRPr="000C138D">
        <w:t xml:space="preserve">nalysis of 30-year data from population-based cancer registries. </w:t>
      </w:r>
      <w:r w:rsidRPr="00095C53">
        <w:rPr>
          <w:i/>
        </w:rPr>
        <w:t>International Journal of Cancer</w:t>
      </w:r>
      <w:r w:rsidRPr="000C138D">
        <w:t xml:space="preserve"> 128(8): 1918–28. </w:t>
      </w:r>
      <w:r w:rsidR="00C23E53">
        <w:t xml:space="preserve">URL: </w:t>
      </w:r>
      <w:hyperlink r:id="rId21" w:tgtFrame="_blank" w:history="1">
        <w:r w:rsidRPr="006D13ED">
          <w:rPr>
            <w:rStyle w:val="Hyperlink"/>
            <w:rFonts w:cs="Arial"/>
            <w:szCs w:val="22"/>
          </w:rPr>
          <w:t>https://www.ncbi.nlm.nih.gov/pubmed/20589676</w:t>
        </w:r>
      </w:hyperlink>
      <w:r w:rsidR="002C63C8" w:rsidRPr="000C138D">
        <w:t xml:space="preserve"> </w:t>
      </w:r>
      <w:r w:rsidR="002C63C8">
        <w:rPr>
          <w:rFonts w:cs="Arial"/>
          <w:sz w:val="23"/>
          <w:szCs w:val="23"/>
        </w:rPr>
        <w:t>(accessed 12 March 2021).</w:t>
      </w:r>
    </w:p>
    <w:p w14:paraId="3C2CD3AE" w14:textId="6A4ABBDB" w:rsidR="00C5148E" w:rsidRPr="000C138D" w:rsidRDefault="00C5148E" w:rsidP="00C5148E">
      <w:pPr>
        <w:spacing w:before="120" w:after="120" w:line="240" w:lineRule="auto"/>
        <w:jc w:val="both"/>
        <w:rPr>
          <w:rFonts w:cs="Arial"/>
          <w:szCs w:val="22"/>
        </w:rPr>
      </w:pPr>
      <w:r w:rsidRPr="006158C4">
        <w:rPr>
          <w:rFonts w:cs="Arial"/>
          <w:szCs w:val="22"/>
        </w:rPr>
        <w:t xml:space="preserve">Li J, Newcombe R, Walton D. 2016. Responses towards additional tobacco control measures: data from a population-based survey of New Zealand adults. </w:t>
      </w:r>
      <w:r w:rsidRPr="006158C4">
        <w:rPr>
          <w:rFonts w:cs="Arial"/>
          <w:i/>
          <w:iCs/>
          <w:szCs w:val="22"/>
        </w:rPr>
        <w:t>New Zealand Medical Journal</w:t>
      </w:r>
      <w:r w:rsidRPr="006158C4">
        <w:rPr>
          <w:rFonts w:cs="Arial"/>
          <w:szCs w:val="22"/>
        </w:rPr>
        <w:t>129(1428):</w:t>
      </w:r>
      <w:r w:rsidR="006D5DE0" w:rsidRPr="006158C4">
        <w:rPr>
          <w:rFonts w:cs="Arial"/>
          <w:szCs w:val="22"/>
        </w:rPr>
        <w:t xml:space="preserve"> </w:t>
      </w:r>
      <w:r w:rsidRPr="006158C4">
        <w:rPr>
          <w:rFonts w:cs="Arial"/>
          <w:szCs w:val="22"/>
        </w:rPr>
        <w:t>87</w:t>
      </w:r>
      <w:r w:rsidR="006D5DE0" w:rsidRPr="006158C4">
        <w:rPr>
          <w:rFonts w:cs="Arial"/>
          <w:szCs w:val="22"/>
        </w:rPr>
        <w:t>–</w:t>
      </w:r>
      <w:r w:rsidRPr="006158C4">
        <w:rPr>
          <w:rFonts w:cs="Arial"/>
          <w:szCs w:val="22"/>
        </w:rPr>
        <w:t>92</w:t>
      </w:r>
      <w:r w:rsidR="006D5DE0">
        <w:rPr>
          <w:rFonts w:cs="Arial"/>
          <w:szCs w:val="22"/>
        </w:rPr>
        <w:t>.</w:t>
      </w:r>
    </w:p>
    <w:p w14:paraId="1EC19D1E" w14:textId="03219BAB" w:rsidR="00C5148E" w:rsidRPr="000C138D" w:rsidRDefault="00C5148E" w:rsidP="00C5148E">
      <w:pPr>
        <w:spacing w:before="120" w:after="120" w:line="240" w:lineRule="auto"/>
        <w:rPr>
          <w:rFonts w:cs="Arial"/>
          <w:color w:val="333333"/>
          <w:szCs w:val="22"/>
          <w:lang w:eastAsia="en-NZ"/>
        </w:rPr>
      </w:pPr>
      <w:r w:rsidRPr="000C138D">
        <w:rPr>
          <w:rFonts w:cs="Arial"/>
          <w:color w:val="333333"/>
          <w:szCs w:val="22"/>
          <w:lang w:eastAsia="en-NZ"/>
        </w:rPr>
        <w:t xml:space="preserve">Marsh L, Cameron C, </w:t>
      </w:r>
      <w:proofErr w:type="spellStart"/>
      <w:r w:rsidRPr="000C138D">
        <w:rPr>
          <w:rFonts w:cs="Arial"/>
          <w:color w:val="333333"/>
          <w:szCs w:val="22"/>
          <w:lang w:eastAsia="en-NZ"/>
        </w:rPr>
        <w:t>Quigg</w:t>
      </w:r>
      <w:proofErr w:type="spellEnd"/>
      <w:r w:rsidRPr="000C138D">
        <w:rPr>
          <w:rFonts w:cs="Arial"/>
          <w:color w:val="333333"/>
          <w:szCs w:val="22"/>
          <w:lang w:eastAsia="en-NZ"/>
        </w:rPr>
        <w:t xml:space="preserve"> R</w:t>
      </w:r>
      <w:r w:rsidRPr="000C138D">
        <w:rPr>
          <w:rFonts w:cs="Arial"/>
          <w:i/>
          <w:iCs/>
          <w:color w:val="333333"/>
          <w:szCs w:val="22"/>
          <w:lang w:eastAsia="en-NZ"/>
        </w:rPr>
        <w:t xml:space="preserve">, </w:t>
      </w:r>
      <w:r w:rsidRPr="001422B3">
        <w:t>et al</w:t>
      </w:r>
      <w:r w:rsidR="006D5DE0">
        <w:t>.</w:t>
      </w:r>
      <w:r w:rsidRPr="001422B3">
        <w:t xml:space="preserve"> </w:t>
      </w:r>
      <w:r w:rsidRPr="000C138D">
        <w:rPr>
          <w:rFonts w:cs="Arial"/>
          <w:color w:val="333333"/>
          <w:szCs w:val="22"/>
          <w:lang w:eastAsia="en-NZ"/>
        </w:rPr>
        <w:t>2020</w:t>
      </w:r>
      <w:r w:rsidR="00911C5B">
        <w:rPr>
          <w:rFonts w:cs="Arial"/>
          <w:color w:val="333333"/>
          <w:szCs w:val="22"/>
          <w:lang w:eastAsia="en-NZ"/>
        </w:rPr>
        <w:t>b</w:t>
      </w:r>
      <w:r w:rsidRPr="000C138D">
        <w:rPr>
          <w:rFonts w:cs="Arial"/>
          <w:color w:val="333333"/>
          <w:szCs w:val="22"/>
          <w:lang w:eastAsia="en-NZ"/>
        </w:rPr>
        <w:t>.</w:t>
      </w:r>
      <w:r w:rsidR="006D5DE0">
        <w:rPr>
          <w:rFonts w:cs="Arial"/>
          <w:color w:val="333333"/>
          <w:szCs w:val="22"/>
          <w:lang w:eastAsia="en-NZ"/>
        </w:rPr>
        <w:t xml:space="preserve"> </w:t>
      </w:r>
      <w:r w:rsidRPr="000C138D">
        <w:rPr>
          <w:rFonts w:cs="Arial"/>
          <w:color w:val="333333"/>
          <w:szCs w:val="22"/>
          <w:lang w:eastAsia="en-NZ"/>
        </w:rPr>
        <w:t xml:space="preserve">Is the tobacco ‘footfall’ argument justified for tobacco purchases in New Zealand convenience stores? </w:t>
      </w:r>
      <w:r w:rsidRPr="000C138D">
        <w:rPr>
          <w:rFonts w:cs="Arial"/>
          <w:i/>
          <w:iCs/>
          <w:color w:val="333333"/>
          <w:szCs w:val="22"/>
          <w:lang w:eastAsia="en-NZ"/>
        </w:rPr>
        <w:t>Tobacco Control</w:t>
      </w:r>
      <w:r w:rsidR="00DD3C7C">
        <w:rPr>
          <w:rFonts w:cs="Arial"/>
          <w:color w:val="333333"/>
          <w:szCs w:val="22"/>
          <w:lang w:eastAsia="en-NZ"/>
        </w:rPr>
        <w:t xml:space="preserve"> </w:t>
      </w:r>
      <w:proofErr w:type="spellStart"/>
      <w:r w:rsidR="00DD3C7C">
        <w:rPr>
          <w:rFonts w:cs="Arial"/>
          <w:color w:val="333333"/>
          <w:szCs w:val="22"/>
          <w:lang w:eastAsia="en-NZ"/>
        </w:rPr>
        <w:t>Epub</w:t>
      </w:r>
      <w:proofErr w:type="spellEnd"/>
      <w:r w:rsidR="00DD3C7C">
        <w:rPr>
          <w:rFonts w:cs="Arial"/>
          <w:color w:val="333333"/>
          <w:szCs w:val="22"/>
          <w:lang w:eastAsia="en-NZ"/>
        </w:rPr>
        <w:t xml:space="preserve"> ahead of print</w:t>
      </w:r>
      <w:r w:rsidRPr="000C138D">
        <w:rPr>
          <w:rFonts w:cs="Arial"/>
          <w:color w:val="333333"/>
          <w:szCs w:val="22"/>
          <w:lang w:eastAsia="en-NZ"/>
        </w:rPr>
        <w:t xml:space="preserve">. </w:t>
      </w:r>
      <w:r w:rsidR="006D5DE0">
        <w:rPr>
          <w:rFonts w:cs="Arial"/>
          <w:color w:val="333333"/>
          <w:szCs w:val="22"/>
          <w:lang w:eastAsia="en-NZ"/>
        </w:rPr>
        <w:t>DOI</w:t>
      </w:r>
      <w:r w:rsidRPr="000C138D">
        <w:rPr>
          <w:rFonts w:cs="Arial"/>
          <w:color w:val="333333"/>
          <w:szCs w:val="22"/>
          <w:lang w:eastAsia="en-NZ"/>
        </w:rPr>
        <w:t xml:space="preserve">: 10.1136/tobaccocontrol-2020-056032 </w:t>
      </w:r>
      <w:r w:rsidR="006D5DE0">
        <w:rPr>
          <w:rFonts w:cs="Arial"/>
          <w:sz w:val="23"/>
          <w:szCs w:val="23"/>
        </w:rPr>
        <w:t>(accessed 12 March 2021).</w:t>
      </w:r>
    </w:p>
    <w:p w14:paraId="04B558C0" w14:textId="371713EA" w:rsidR="00C5148E" w:rsidRPr="00C43B76" w:rsidRDefault="00C5148E" w:rsidP="00C5148E">
      <w:pPr>
        <w:spacing w:before="120" w:after="120" w:line="240" w:lineRule="auto"/>
        <w:jc w:val="both"/>
        <w:rPr>
          <w:rFonts w:cs="Arial"/>
          <w:szCs w:val="22"/>
        </w:rPr>
      </w:pPr>
      <w:r w:rsidRPr="00361510">
        <w:rPr>
          <w:rFonts w:cs="Arial"/>
          <w:szCs w:val="22"/>
        </w:rPr>
        <w:t xml:space="preserve">Marsh L, </w:t>
      </w:r>
      <w:proofErr w:type="spellStart"/>
      <w:r w:rsidRPr="00361510">
        <w:rPr>
          <w:rFonts w:cs="Arial"/>
          <w:szCs w:val="22"/>
        </w:rPr>
        <w:t>Doscher</w:t>
      </w:r>
      <w:proofErr w:type="spellEnd"/>
      <w:r w:rsidRPr="00361510">
        <w:rPr>
          <w:rFonts w:cs="Arial"/>
          <w:szCs w:val="22"/>
        </w:rPr>
        <w:t xml:space="preserve"> C, Robertson LA</w:t>
      </w:r>
      <w:r w:rsidR="006D5DE0" w:rsidRPr="00361510">
        <w:rPr>
          <w:rFonts w:cs="Arial"/>
          <w:szCs w:val="22"/>
        </w:rPr>
        <w:t>.</w:t>
      </w:r>
      <w:r w:rsidRPr="00361510">
        <w:rPr>
          <w:rFonts w:cs="Arial"/>
          <w:szCs w:val="22"/>
        </w:rPr>
        <w:t xml:space="preserve"> 2013. Characteristics of tobacco retailers in New Zealand</w:t>
      </w:r>
      <w:r w:rsidR="006D5DE0" w:rsidRPr="00361510">
        <w:rPr>
          <w:rFonts w:cs="Arial"/>
          <w:szCs w:val="22"/>
        </w:rPr>
        <w:t>.</w:t>
      </w:r>
      <w:r w:rsidRPr="00361510">
        <w:rPr>
          <w:rFonts w:cs="Arial"/>
          <w:szCs w:val="22"/>
        </w:rPr>
        <w:t xml:space="preserve"> </w:t>
      </w:r>
      <w:r w:rsidRPr="00361510">
        <w:rPr>
          <w:rFonts w:cs="Arial"/>
          <w:i/>
          <w:iCs/>
          <w:szCs w:val="22"/>
        </w:rPr>
        <w:t>Health &amp; Place</w:t>
      </w:r>
      <w:r w:rsidRPr="00361510">
        <w:rPr>
          <w:rFonts w:cs="Arial"/>
          <w:szCs w:val="22"/>
        </w:rPr>
        <w:t xml:space="preserve"> 23</w:t>
      </w:r>
      <w:r w:rsidR="006D5DE0" w:rsidRPr="00361510">
        <w:rPr>
          <w:rFonts w:cs="Arial"/>
          <w:szCs w:val="22"/>
        </w:rPr>
        <w:t>:</w:t>
      </w:r>
      <w:r w:rsidRPr="00361510">
        <w:rPr>
          <w:rFonts w:cs="Arial"/>
          <w:szCs w:val="22"/>
        </w:rPr>
        <w:t xml:space="preserve"> 165</w:t>
      </w:r>
      <w:r w:rsidR="006D5DE0" w:rsidRPr="00361510">
        <w:rPr>
          <w:rFonts w:cs="Arial"/>
          <w:szCs w:val="22"/>
        </w:rPr>
        <w:t>–</w:t>
      </w:r>
      <w:r w:rsidRPr="00361510">
        <w:rPr>
          <w:rFonts w:cs="Arial"/>
          <w:szCs w:val="22"/>
        </w:rPr>
        <w:t>70</w:t>
      </w:r>
      <w:r w:rsidR="006D5DE0" w:rsidRPr="00361510">
        <w:rPr>
          <w:rFonts w:cs="Arial"/>
          <w:szCs w:val="22"/>
        </w:rPr>
        <w:t>. URL:</w:t>
      </w:r>
      <w:r w:rsidRPr="00361510">
        <w:rPr>
          <w:rFonts w:cs="Arial"/>
          <w:szCs w:val="22"/>
        </w:rPr>
        <w:t xml:space="preserve"> </w:t>
      </w:r>
      <w:hyperlink r:id="rId22" w:history="1">
        <w:r w:rsidRPr="00361510">
          <w:rPr>
            <w:rStyle w:val="Hyperlink"/>
          </w:rPr>
          <w:t>https://doi.org/10.1016/j.healthplace.2013.07.003</w:t>
        </w:r>
      </w:hyperlink>
      <w:r w:rsidR="006D5DE0" w:rsidRPr="00361510">
        <w:t xml:space="preserve"> </w:t>
      </w:r>
      <w:r w:rsidR="006D5DE0" w:rsidRPr="00361510">
        <w:rPr>
          <w:rFonts w:cs="Arial"/>
          <w:sz w:val="23"/>
          <w:szCs w:val="23"/>
        </w:rPr>
        <w:t>(accessed 12 March 2021)</w:t>
      </w:r>
      <w:r w:rsidRPr="00361510">
        <w:rPr>
          <w:rFonts w:cs="Arial"/>
          <w:szCs w:val="22"/>
        </w:rPr>
        <w:t>.</w:t>
      </w:r>
    </w:p>
    <w:p w14:paraId="3C1A70DA" w14:textId="3B5D903D" w:rsidR="00C5148E" w:rsidRPr="000C138D" w:rsidRDefault="00C5148E" w:rsidP="00C5148E">
      <w:pPr>
        <w:spacing w:before="120" w:after="120" w:line="240" w:lineRule="auto"/>
        <w:jc w:val="both"/>
        <w:rPr>
          <w:rStyle w:val="ls0"/>
          <w:rFonts w:cs="Arial"/>
          <w:color w:val="231F20"/>
          <w:szCs w:val="22"/>
          <w:shd w:val="clear" w:color="auto" w:fill="FFFFFF"/>
        </w:rPr>
      </w:pPr>
      <w:r w:rsidRPr="009D0538">
        <w:rPr>
          <w:rFonts w:cs="Arial"/>
          <w:szCs w:val="22"/>
        </w:rPr>
        <w:t xml:space="preserve">Marsh L, </w:t>
      </w:r>
      <w:proofErr w:type="spellStart"/>
      <w:r w:rsidRPr="009D0538">
        <w:rPr>
          <w:rFonts w:cs="Arial"/>
          <w:szCs w:val="22"/>
        </w:rPr>
        <w:t>Doscher</w:t>
      </w:r>
      <w:proofErr w:type="spellEnd"/>
      <w:r w:rsidRPr="009D0538">
        <w:rPr>
          <w:rFonts w:cs="Arial"/>
          <w:szCs w:val="22"/>
        </w:rPr>
        <w:t xml:space="preserve"> C, Cameron</w:t>
      </w:r>
      <w:r w:rsidRPr="000C138D">
        <w:rPr>
          <w:rFonts w:cs="Arial"/>
          <w:szCs w:val="22"/>
        </w:rPr>
        <w:t>, C</w:t>
      </w:r>
      <w:r w:rsidR="00FE42E3">
        <w:rPr>
          <w:rFonts w:cs="Arial"/>
          <w:szCs w:val="22"/>
        </w:rPr>
        <w:t>,</w:t>
      </w:r>
      <w:r w:rsidRPr="000C138D">
        <w:rPr>
          <w:rFonts w:cs="Arial"/>
          <w:szCs w:val="22"/>
        </w:rPr>
        <w:t xml:space="preserve"> et al</w:t>
      </w:r>
      <w:r w:rsidR="00FE42E3">
        <w:rPr>
          <w:rFonts w:cs="Arial"/>
          <w:szCs w:val="22"/>
        </w:rPr>
        <w:t>.</w:t>
      </w:r>
      <w:r w:rsidRPr="000C138D">
        <w:rPr>
          <w:rFonts w:cs="Arial"/>
          <w:szCs w:val="22"/>
        </w:rPr>
        <w:t xml:space="preserve"> 2020</w:t>
      </w:r>
      <w:r w:rsidR="00911C5B">
        <w:rPr>
          <w:rFonts w:cs="Arial"/>
          <w:szCs w:val="22"/>
        </w:rPr>
        <w:t>a</w:t>
      </w:r>
      <w:r w:rsidRPr="000C138D">
        <w:rPr>
          <w:rFonts w:cs="Arial"/>
          <w:szCs w:val="22"/>
        </w:rPr>
        <w:t xml:space="preserve">. How would the tobacco retail landscape change if tobacco was only sold through liquor stores, petrol stations or pharmacies? </w:t>
      </w:r>
      <w:r w:rsidRPr="000C138D">
        <w:rPr>
          <w:rFonts w:cs="Arial"/>
          <w:i/>
          <w:iCs/>
          <w:color w:val="231F20"/>
          <w:spacing w:val="-4"/>
          <w:szCs w:val="22"/>
          <w:shd w:val="clear" w:color="auto" w:fill="FFFFFF"/>
        </w:rPr>
        <w:t>Aust</w:t>
      </w:r>
      <w:r w:rsidR="00FE42E3">
        <w:rPr>
          <w:rFonts w:cs="Arial"/>
          <w:i/>
          <w:iCs/>
          <w:color w:val="231F20"/>
          <w:spacing w:val="-4"/>
          <w:szCs w:val="22"/>
          <w:shd w:val="clear" w:color="auto" w:fill="FFFFFF"/>
        </w:rPr>
        <w:t>ralian and</w:t>
      </w:r>
      <w:r w:rsidRPr="000C138D">
        <w:rPr>
          <w:rFonts w:cs="Arial"/>
          <w:i/>
          <w:iCs/>
          <w:color w:val="231F20"/>
          <w:spacing w:val="-4"/>
          <w:szCs w:val="22"/>
          <w:shd w:val="clear" w:color="auto" w:fill="FFFFFF"/>
        </w:rPr>
        <w:t xml:space="preserve"> N</w:t>
      </w:r>
      <w:r w:rsidR="00FE42E3">
        <w:rPr>
          <w:rFonts w:cs="Arial"/>
          <w:i/>
          <w:iCs/>
          <w:color w:val="231F20"/>
          <w:spacing w:val="-4"/>
          <w:szCs w:val="22"/>
          <w:shd w:val="clear" w:color="auto" w:fill="FFFFFF"/>
        </w:rPr>
        <w:t xml:space="preserve">ew </w:t>
      </w:r>
      <w:r w:rsidRPr="000C138D">
        <w:rPr>
          <w:rFonts w:cs="Arial"/>
          <w:i/>
          <w:iCs/>
          <w:color w:val="231F20"/>
          <w:spacing w:val="-4"/>
          <w:szCs w:val="22"/>
          <w:shd w:val="clear" w:color="auto" w:fill="FFFFFF"/>
        </w:rPr>
        <w:t>Z</w:t>
      </w:r>
      <w:r w:rsidR="00FE42E3">
        <w:rPr>
          <w:rFonts w:cs="Arial"/>
          <w:i/>
          <w:iCs/>
          <w:color w:val="231F20"/>
          <w:spacing w:val="-4"/>
          <w:szCs w:val="22"/>
          <w:shd w:val="clear" w:color="auto" w:fill="FFFFFF"/>
        </w:rPr>
        <w:t>ealand</w:t>
      </w:r>
      <w:r w:rsidRPr="000C138D">
        <w:rPr>
          <w:rFonts w:cs="Arial"/>
          <w:i/>
          <w:iCs/>
          <w:color w:val="231F20"/>
          <w:spacing w:val="-4"/>
          <w:szCs w:val="22"/>
          <w:shd w:val="clear" w:color="auto" w:fill="FFFFFF"/>
        </w:rPr>
        <w:t xml:space="preserve"> J</w:t>
      </w:r>
      <w:r w:rsidR="00FE42E3">
        <w:rPr>
          <w:rFonts w:cs="Arial"/>
          <w:i/>
          <w:iCs/>
          <w:color w:val="231F20"/>
          <w:spacing w:val="-4"/>
          <w:szCs w:val="22"/>
          <w:shd w:val="clear" w:color="auto" w:fill="FFFFFF"/>
        </w:rPr>
        <w:t>ournal of</w:t>
      </w:r>
      <w:r w:rsidRPr="000C138D">
        <w:rPr>
          <w:rFonts w:cs="Arial"/>
          <w:i/>
          <w:iCs/>
          <w:color w:val="231F20"/>
          <w:spacing w:val="-4"/>
          <w:szCs w:val="22"/>
          <w:shd w:val="clear" w:color="auto" w:fill="FFFFFF"/>
        </w:rPr>
        <w:t xml:space="preserve"> Public Health</w:t>
      </w:r>
      <w:r w:rsidRPr="000C138D">
        <w:rPr>
          <w:rStyle w:val="ff2"/>
          <w:rFonts w:cs="Arial"/>
          <w:color w:val="231F20"/>
          <w:spacing w:val="-4"/>
          <w:szCs w:val="22"/>
          <w:shd w:val="clear" w:color="auto" w:fill="FFFFFF"/>
        </w:rPr>
        <w:t xml:space="preserve"> 44:</w:t>
      </w:r>
      <w:r w:rsidR="00FE42E3">
        <w:rPr>
          <w:rStyle w:val="ff2"/>
          <w:rFonts w:cs="Arial"/>
          <w:color w:val="231F20"/>
          <w:spacing w:val="-4"/>
          <w:szCs w:val="22"/>
          <w:shd w:val="clear" w:color="auto" w:fill="FFFFFF"/>
        </w:rPr>
        <w:t xml:space="preserve"> </w:t>
      </w:r>
      <w:r w:rsidRPr="000C138D">
        <w:rPr>
          <w:rStyle w:val="ff2"/>
          <w:rFonts w:cs="Arial"/>
          <w:color w:val="231F20"/>
          <w:spacing w:val="-4"/>
          <w:szCs w:val="22"/>
          <w:shd w:val="clear" w:color="auto" w:fill="FFFFFF"/>
        </w:rPr>
        <w:t>34</w:t>
      </w:r>
      <w:r w:rsidR="00FE42E3">
        <w:rPr>
          <w:rStyle w:val="ff2"/>
          <w:rFonts w:cs="Arial"/>
          <w:color w:val="231F20"/>
          <w:spacing w:val="-4"/>
          <w:szCs w:val="22"/>
          <w:shd w:val="clear" w:color="auto" w:fill="FFFFFF"/>
        </w:rPr>
        <w:t>–</w:t>
      </w:r>
      <w:r w:rsidRPr="000C138D">
        <w:rPr>
          <w:rStyle w:val="ff2"/>
          <w:rFonts w:cs="Arial"/>
          <w:color w:val="231F20"/>
          <w:spacing w:val="-4"/>
          <w:szCs w:val="22"/>
          <w:shd w:val="clear" w:color="auto" w:fill="FFFFFF"/>
        </w:rPr>
        <w:t>9</w:t>
      </w:r>
      <w:r w:rsidR="00FE42E3">
        <w:rPr>
          <w:rStyle w:val="ls0"/>
          <w:rFonts w:cs="Arial"/>
          <w:color w:val="231F20"/>
          <w:szCs w:val="22"/>
          <w:shd w:val="clear" w:color="auto" w:fill="FFFFFF"/>
        </w:rPr>
        <w:t>.</w:t>
      </w:r>
      <w:r w:rsidRPr="000C138D">
        <w:rPr>
          <w:rStyle w:val="ls0"/>
          <w:rFonts w:cs="Arial"/>
          <w:color w:val="231F20"/>
          <w:szCs w:val="22"/>
          <w:shd w:val="clear" w:color="auto" w:fill="FFFFFF"/>
        </w:rPr>
        <w:t xml:space="preserve"> </w:t>
      </w:r>
      <w:r w:rsidR="00FE42E3">
        <w:rPr>
          <w:rStyle w:val="ls0"/>
          <w:rFonts w:cs="Arial"/>
          <w:color w:val="231F20"/>
          <w:szCs w:val="22"/>
          <w:shd w:val="clear" w:color="auto" w:fill="FFFFFF"/>
        </w:rPr>
        <w:t>DOI</w:t>
      </w:r>
      <w:r w:rsidRPr="000C138D">
        <w:rPr>
          <w:rStyle w:val="ls0"/>
          <w:rFonts w:cs="Arial"/>
          <w:color w:val="231F20"/>
          <w:szCs w:val="22"/>
          <w:shd w:val="clear" w:color="auto" w:fill="FFFFFF"/>
        </w:rPr>
        <w:t>: 10.1111/1753-6405.12957</w:t>
      </w:r>
      <w:r w:rsidR="00FE42E3" w:rsidRPr="000C138D">
        <w:rPr>
          <w:rFonts w:cs="Arial"/>
          <w:color w:val="333333"/>
          <w:szCs w:val="22"/>
          <w:lang w:eastAsia="en-NZ"/>
        </w:rPr>
        <w:t xml:space="preserve"> </w:t>
      </w:r>
      <w:r w:rsidR="00FE42E3">
        <w:rPr>
          <w:rFonts w:cs="Arial"/>
          <w:sz w:val="23"/>
          <w:szCs w:val="23"/>
        </w:rPr>
        <w:t>(accessed 12 March 2021).</w:t>
      </w:r>
    </w:p>
    <w:p w14:paraId="5D683063" w14:textId="0CD0ABE6" w:rsidR="00C5148E" w:rsidRPr="00095C53" w:rsidRDefault="00C5148E" w:rsidP="00C5148E">
      <w:pPr>
        <w:spacing w:before="120" w:after="120" w:line="240" w:lineRule="auto"/>
      </w:pPr>
      <w:r w:rsidRPr="000C138D">
        <w:rPr>
          <w:rFonts w:cs="Arial"/>
          <w:szCs w:val="22"/>
        </w:rPr>
        <w:t>McKiernan A, Stanley J, Waa AM</w:t>
      </w:r>
      <w:r>
        <w:rPr>
          <w:rFonts w:cs="Arial"/>
          <w:szCs w:val="22"/>
        </w:rPr>
        <w:t>,</w:t>
      </w:r>
      <w:r w:rsidRPr="000C138D">
        <w:rPr>
          <w:rFonts w:cs="Arial"/>
          <w:szCs w:val="22"/>
        </w:rPr>
        <w:t xml:space="preserve"> et al. 2019. Beliefs among </w:t>
      </w:r>
      <w:r>
        <w:rPr>
          <w:rFonts w:cs="Arial"/>
          <w:szCs w:val="22"/>
        </w:rPr>
        <w:t>a</w:t>
      </w:r>
      <w:r w:rsidRPr="000C138D">
        <w:rPr>
          <w:rFonts w:cs="Arial"/>
          <w:szCs w:val="22"/>
        </w:rPr>
        <w:t xml:space="preserve">dult </w:t>
      </w:r>
      <w:r>
        <w:rPr>
          <w:rFonts w:cs="Arial"/>
          <w:szCs w:val="22"/>
        </w:rPr>
        <w:t>s</w:t>
      </w:r>
      <w:r w:rsidRPr="000C138D">
        <w:rPr>
          <w:rFonts w:cs="Arial"/>
          <w:szCs w:val="22"/>
        </w:rPr>
        <w:t xml:space="preserve">mokers and </w:t>
      </w:r>
      <w:r>
        <w:rPr>
          <w:rFonts w:cs="Arial"/>
          <w:szCs w:val="22"/>
        </w:rPr>
        <w:t>q</w:t>
      </w:r>
      <w:r w:rsidRPr="000C138D">
        <w:rPr>
          <w:rFonts w:cs="Arial"/>
          <w:szCs w:val="22"/>
        </w:rPr>
        <w:t xml:space="preserve">uitters about </w:t>
      </w:r>
      <w:r>
        <w:rPr>
          <w:rFonts w:cs="Arial"/>
          <w:szCs w:val="22"/>
        </w:rPr>
        <w:t>n</w:t>
      </w:r>
      <w:r w:rsidRPr="000C138D">
        <w:rPr>
          <w:rFonts w:cs="Arial"/>
          <w:szCs w:val="22"/>
        </w:rPr>
        <w:t xml:space="preserve">icotine and </w:t>
      </w:r>
      <w:r>
        <w:rPr>
          <w:rFonts w:cs="Arial"/>
          <w:szCs w:val="22"/>
        </w:rPr>
        <w:t>d</w:t>
      </w:r>
      <w:r w:rsidRPr="000C138D">
        <w:rPr>
          <w:rFonts w:cs="Arial"/>
          <w:szCs w:val="22"/>
        </w:rPr>
        <w:t>e-</w:t>
      </w:r>
      <w:proofErr w:type="spellStart"/>
      <w:r w:rsidRPr="000C138D">
        <w:rPr>
          <w:rFonts w:cs="Arial"/>
          <w:szCs w:val="22"/>
        </w:rPr>
        <w:t>nicotinized</w:t>
      </w:r>
      <w:proofErr w:type="spellEnd"/>
      <w:r w:rsidRPr="000C138D">
        <w:rPr>
          <w:rFonts w:cs="Arial"/>
          <w:szCs w:val="22"/>
        </w:rPr>
        <w:t xml:space="preserve"> </w:t>
      </w:r>
      <w:r>
        <w:rPr>
          <w:rFonts w:cs="Arial"/>
          <w:szCs w:val="22"/>
        </w:rPr>
        <w:t>c</w:t>
      </w:r>
      <w:r w:rsidRPr="000C138D">
        <w:rPr>
          <w:rFonts w:cs="Arial"/>
          <w:szCs w:val="22"/>
        </w:rPr>
        <w:t>igarettes in the 2016</w:t>
      </w:r>
      <w:r w:rsidR="00685916">
        <w:rPr>
          <w:rFonts w:cs="Arial"/>
          <w:szCs w:val="22"/>
        </w:rPr>
        <w:t>–</w:t>
      </w:r>
      <w:r w:rsidRPr="000C138D">
        <w:rPr>
          <w:rFonts w:cs="Arial"/>
          <w:szCs w:val="22"/>
        </w:rPr>
        <w:t>17 ITC New Zealand Survey</w:t>
      </w:r>
      <w:r w:rsidR="00685916">
        <w:rPr>
          <w:rFonts w:cs="Arial"/>
          <w:szCs w:val="22"/>
        </w:rPr>
        <w:t>.</w:t>
      </w:r>
      <w:r w:rsidRPr="000C138D">
        <w:rPr>
          <w:rFonts w:cs="Arial"/>
          <w:szCs w:val="22"/>
          <w:lang w:eastAsia="en-NZ"/>
        </w:rPr>
        <w:t xml:space="preserve"> </w:t>
      </w:r>
      <w:r w:rsidRPr="000C138D">
        <w:rPr>
          <w:rFonts w:cs="Arial"/>
          <w:i/>
          <w:iCs/>
          <w:szCs w:val="22"/>
        </w:rPr>
        <w:t>Tobacco Regulatory Science</w:t>
      </w:r>
      <w:r w:rsidRPr="000C138D">
        <w:rPr>
          <w:rFonts w:cs="Arial"/>
          <w:szCs w:val="22"/>
        </w:rPr>
        <w:t xml:space="preserve"> 5</w:t>
      </w:r>
      <w:r>
        <w:rPr>
          <w:rFonts w:cs="Arial"/>
          <w:szCs w:val="22"/>
        </w:rPr>
        <w:t>(</w:t>
      </w:r>
      <w:r w:rsidRPr="000C138D">
        <w:rPr>
          <w:rFonts w:cs="Arial"/>
          <w:szCs w:val="22"/>
        </w:rPr>
        <w:t>5</w:t>
      </w:r>
      <w:r>
        <w:rPr>
          <w:rFonts w:cs="Arial"/>
          <w:szCs w:val="22"/>
        </w:rPr>
        <w:t xml:space="preserve">): </w:t>
      </w:r>
      <w:r w:rsidRPr="000C138D">
        <w:rPr>
          <w:rStyle w:val="pagesnum"/>
          <w:rFonts w:cs="Arial"/>
          <w:color w:val="000000"/>
          <w:szCs w:val="22"/>
        </w:rPr>
        <w:t>400</w:t>
      </w:r>
      <w:r>
        <w:rPr>
          <w:rStyle w:val="pagesnum"/>
          <w:rFonts w:cs="Arial"/>
          <w:color w:val="000000"/>
          <w:szCs w:val="22"/>
        </w:rPr>
        <w:t>–</w:t>
      </w:r>
      <w:r w:rsidRPr="000C138D">
        <w:rPr>
          <w:rStyle w:val="pagesnum"/>
          <w:rFonts w:cs="Arial"/>
          <w:color w:val="000000"/>
          <w:szCs w:val="22"/>
        </w:rPr>
        <w:t>9(10)</w:t>
      </w:r>
      <w:r w:rsidR="00685916">
        <w:rPr>
          <w:rStyle w:val="pagesnum"/>
          <w:rFonts w:cs="Arial"/>
          <w:color w:val="000000"/>
          <w:szCs w:val="22"/>
        </w:rPr>
        <w:t>.</w:t>
      </w:r>
      <w:r w:rsidRPr="000C138D">
        <w:rPr>
          <w:rFonts w:cs="Arial"/>
          <w:szCs w:val="22"/>
          <w:lang w:eastAsia="en-NZ"/>
        </w:rPr>
        <w:t xml:space="preserve"> </w:t>
      </w:r>
      <w:r w:rsidRPr="002D61C0">
        <w:rPr>
          <w:rStyle w:val="Strong"/>
          <w:rFonts w:cs="Arial"/>
          <w:b w:val="0"/>
          <w:color w:val="000000"/>
          <w:szCs w:val="22"/>
        </w:rPr>
        <w:t>DOI:</w:t>
      </w:r>
      <w:r w:rsidRPr="000C138D">
        <w:rPr>
          <w:rFonts w:cs="Arial"/>
          <w:szCs w:val="22"/>
        </w:rPr>
        <w:t> </w:t>
      </w:r>
      <w:hyperlink r:id="rId23" w:history="1">
        <w:r w:rsidRPr="000C138D">
          <w:rPr>
            <w:rStyle w:val="Hyperlink"/>
            <w:rFonts w:cs="Arial"/>
            <w:color w:val="1B5FAA"/>
            <w:szCs w:val="22"/>
          </w:rPr>
          <w:t>https://doi.org/10.18001/TRS.5.5.1</w:t>
        </w:r>
      </w:hyperlink>
      <w:r>
        <w:t xml:space="preserve"> (accessed 8 March 2021).</w:t>
      </w:r>
    </w:p>
    <w:p w14:paraId="011533F7" w14:textId="3111EAC6" w:rsidR="00C5148E" w:rsidRPr="000C138D" w:rsidRDefault="00C5148E" w:rsidP="00C5148E">
      <w:pPr>
        <w:spacing w:before="120" w:after="120" w:line="240" w:lineRule="auto"/>
        <w:jc w:val="both"/>
        <w:rPr>
          <w:rFonts w:cs="Arial"/>
          <w:szCs w:val="22"/>
        </w:rPr>
      </w:pPr>
      <w:r w:rsidRPr="000C138D">
        <w:rPr>
          <w:rFonts w:cs="Arial"/>
          <w:szCs w:val="22"/>
        </w:rPr>
        <w:t xml:space="preserve">Ministry of Health. 2014. </w:t>
      </w:r>
      <w:r w:rsidRPr="000C138D">
        <w:rPr>
          <w:rFonts w:cs="Arial"/>
          <w:i/>
          <w:iCs/>
          <w:szCs w:val="22"/>
        </w:rPr>
        <w:t>Smokefree Environments and Regulated Products (Vaping) Amendment Bill Departmental Report</w:t>
      </w:r>
      <w:r w:rsidRPr="000C138D">
        <w:rPr>
          <w:rFonts w:cs="Arial"/>
          <w:szCs w:val="22"/>
        </w:rPr>
        <w:t xml:space="preserve">. </w:t>
      </w:r>
      <w:r>
        <w:rPr>
          <w:rFonts w:cs="Arial"/>
          <w:szCs w:val="22"/>
        </w:rPr>
        <w:t>URL</w:t>
      </w:r>
      <w:r w:rsidRPr="000C138D">
        <w:rPr>
          <w:rFonts w:cs="Arial"/>
          <w:szCs w:val="22"/>
        </w:rPr>
        <w:t xml:space="preserve">: </w:t>
      </w:r>
      <w:hyperlink r:id="rId24" w:history="1">
        <w:r w:rsidRPr="000C138D">
          <w:rPr>
            <w:rStyle w:val="Hyperlink"/>
          </w:rPr>
          <w:t>https://www.parliament.nz/resource/en-NZ/52SCHE_ADV_94933_HE8844/87a2d74c9de673f4a8db2eabf3d8b1a8ca7ea7d4</w:t>
        </w:r>
      </w:hyperlink>
      <w:r w:rsidRPr="000C138D">
        <w:rPr>
          <w:rFonts w:cs="Arial"/>
          <w:szCs w:val="22"/>
        </w:rPr>
        <w:t xml:space="preserve"> </w:t>
      </w:r>
      <w:r>
        <w:t>(accessed 9 March 2021).</w:t>
      </w:r>
    </w:p>
    <w:p w14:paraId="6894E034" w14:textId="2483315A" w:rsidR="00C5148E" w:rsidRPr="000C138D" w:rsidRDefault="00C5148E" w:rsidP="00C5148E">
      <w:pPr>
        <w:spacing w:before="120" w:after="120" w:line="240" w:lineRule="auto"/>
        <w:jc w:val="both"/>
        <w:rPr>
          <w:rFonts w:cs="Arial"/>
          <w:color w:val="002639"/>
          <w:szCs w:val="22"/>
          <w:shd w:val="clear" w:color="auto" w:fill="FFFFFF"/>
        </w:rPr>
      </w:pPr>
      <w:r w:rsidRPr="000C138D">
        <w:rPr>
          <w:rFonts w:cs="Arial"/>
          <w:szCs w:val="22"/>
        </w:rPr>
        <w:t xml:space="preserve">Ministry of Health. 2019. </w:t>
      </w:r>
      <w:r w:rsidRPr="002B69B0">
        <w:rPr>
          <w:rFonts w:cs="Arial"/>
          <w:i/>
          <w:szCs w:val="22"/>
        </w:rPr>
        <w:t xml:space="preserve">New Zealand Cancer Action Plan 2019–2029 – </w:t>
      </w:r>
      <w:proofErr w:type="spellStart"/>
      <w:r w:rsidRPr="002B69B0">
        <w:rPr>
          <w:rFonts w:cs="Arial"/>
          <w:i/>
          <w:szCs w:val="22"/>
        </w:rPr>
        <w:t>Te</w:t>
      </w:r>
      <w:proofErr w:type="spellEnd"/>
      <w:r w:rsidRPr="002B69B0">
        <w:rPr>
          <w:rFonts w:cs="Arial"/>
          <w:i/>
          <w:szCs w:val="22"/>
        </w:rPr>
        <w:t xml:space="preserve"> </w:t>
      </w:r>
      <w:proofErr w:type="spellStart"/>
      <w:r w:rsidRPr="002B69B0">
        <w:rPr>
          <w:rFonts w:cs="Arial"/>
          <w:i/>
          <w:szCs w:val="22"/>
        </w:rPr>
        <w:t>Mahere</w:t>
      </w:r>
      <w:proofErr w:type="spellEnd"/>
      <w:r w:rsidRPr="002B69B0">
        <w:rPr>
          <w:rFonts w:cs="Arial"/>
          <w:i/>
          <w:szCs w:val="22"/>
        </w:rPr>
        <w:t xml:space="preserve"> </w:t>
      </w:r>
      <w:proofErr w:type="spellStart"/>
      <w:r w:rsidRPr="002B69B0">
        <w:rPr>
          <w:rFonts w:cs="Arial"/>
          <w:i/>
          <w:szCs w:val="22"/>
        </w:rPr>
        <w:t>mō</w:t>
      </w:r>
      <w:proofErr w:type="spellEnd"/>
      <w:r w:rsidRPr="002B69B0">
        <w:rPr>
          <w:rFonts w:cs="Arial"/>
          <w:i/>
          <w:szCs w:val="22"/>
        </w:rPr>
        <w:t xml:space="preserve"> </w:t>
      </w:r>
      <w:proofErr w:type="spellStart"/>
      <w:r w:rsidRPr="002B69B0">
        <w:rPr>
          <w:rFonts w:cs="Arial"/>
          <w:i/>
          <w:szCs w:val="22"/>
        </w:rPr>
        <w:t>te</w:t>
      </w:r>
      <w:proofErr w:type="spellEnd"/>
      <w:r w:rsidRPr="002B69B0">
        <w:rPr>
          <w:rFonts w:cs="Arial"/>
          <w:i/>
          <w:szCs w:val="22"/>
        </w:rPr>
        <w:t xml:space="preserve"> Mate </w:t>
      </w:r>
      <w:proofErr w:type="spellStart"/>
      <w:r w:rsidRPr="002B69B0">
        <w:rPr>
          <w:rFonts w:cs="Arial"/>
          <w:i/>
          <w:szCs w:val="22"/>
        </w:rPr>
        <w:t>Pukupuku</w:t>
      </w:r>
      <w:proofErr w:type="spellEnd"/>
      <w:r w:rsidRPr="002B69B0">
        <w:rPr>
          <w:rFonts w:cs="Arial"/>
          <w:i/>
          <w:szCs w:val="22"/>
        </w:rPr>
        <w:t xml:space="preserve"> o Aotearoa 2019</w:t>
      </w:r>
      <w:r w:rsidRPr="00685916">
        <w:rPr>
          <w:rFonts w:cs="Arial"/>
          <w:i/>
          <w:iCs/>
          <w:color w:val="002639"/>
          <w:szCs w:val="22"/>
          <w:shd w:val="clear" w:color="auto" w:fill="FFFFFF"/>
        </w:rPr>
        <w:t>–</w:t>
      </w:r>
      <w:r w:rsidRPr="000C138D">
        <w:rPr>
          <w:rFonts w:cs="Arial"/>
          <w:i/>
          <w:iCs/>
          <w:color w:val="002639"/>
          <w:szCs w:val="22"/>
          <w:shd w:val="clear" w:color="auto" w:fill="FFFFFF"/>
        </w:rPr>
        <w:t>2029</w:t>
      </w:r>
      <w:r w:rsidRPr="000C138D">
        <w:rPr>
          <w:rFonts w:cs="Arial"/>
          <w:color w:val="002639"/>
          <w:szCs w:val="22"/>
          <w:shd w:val="clear" w:color="auto" w:fill="FFFFFF"/>
        </w:rPr>
        <w:t>. Revised January 2020</w:t>
      </w:r>
      <w:r w:rsidR="00D655AB">
        <w:rPr>
          <w:rFonts w:cs="Arial"/>
          <w:color w:val="002639"/>
          <w:szCs w:val="22"/>
          <w:shd w:val="clear" w:color="auto" w:fill="FFFFFF"/>
        </w:rPr>
        <w:t>.</w:t>
      </w:r>
      <w:r w:rsidRPr="000C138D">
        <w:rPr>
          <w:rFonts w:cs="Arial"/>
          <w:color w:val="002639"/>
          <w:szCs w:val="22"/>
          <w:shd w:val="clear" w:color="auto" w:fill="FFFFFF"/>
        </w:rPr>
        <w:t xml:space="preserve"> Wellington: Ministry of Health.</w:t>
      </w:r>
    </w:p>
    <w:p w14:paraId="326A1CAC" w14:textId="73203769" w:rsidR="00C5148E" w:rsidRPr="000C138D" w:rsidRDefault="00C5148E" w:rsidP="00C5148E">
      <w:pPr>
        <w:spacing w:before="120" w:after="120" w:line="240" w:lineRule="auto"/>
        <w:jc w:val="both"/>
        <w:rPr>
          <w:rFonts w:cs="Arial"/>
          <w:color w:val="002639"/>
          <w:szCs w:val="22"/>
          <w:shd w:val="clear" w:color="auto" w:fill="FFFFFF"/>
        </w:rPr>
      </w:pPr>
      <w:r w:rsidRPr="000C138D">
        <w:rPr>
          <w:rFonts w:cs="Arial"/>
          <w:color w:val="002639"/>
          <w:szCs w:val="22"/>
          <w:shd w:val="clear" w:color="auto" w:fill="FFFFFF"/>
        </w:rPr>
        <w:t>Ministry of Health 2020a. Annual Data Explorer</w:t>
      </w:r>
      <w:r w:rsidR="004D1B16">
        <w:rPr>
          <w:rFonts w:cs="Arial"/>
          <w:color w:val="002639"/>
          <w:szCs w:val="22"/>
          <w:shd w:val="clear" w:color="auto" w:fill="FFFFFF"/>
        </w:rPr>
        <w:t>. URL:</w:t>
      </w:r>
      <w:r w:rsidRPr="000C138D">
        <w:rPr>
          <w:rFonts w:cs="Arial"/>
          <w:color w:val="002639"/>
          <w:szCs w:val="22"/>
          <w:shd w:val="clear" w:color="auto" w:fill="FFFFFF"/>
        </w:rPr>
        <w:t xml:space="preserve"> </w:t>
      </w:r>
      <w:hyperlink r:id="rId25" w:history="1">
        <w:r w:rsidR="004D1B16" w:rsidRPr="007F0119">
          <w:rPr>
            <w:rStyle w:val="Hyperlink"/>
            <w:rFonts w:cs="Arial"/>
            <w:szCs w:val="22"/>
            <w:shd w:val="clear" w:color="auto" w:fill="FFFFFF"/>
          </w:rPr>
          <w:t>https://minhealthnz.shinyapps.io/nz-health-survey-2019-20-annual-data-explorer/</w:t>
        </w:r>
      </w:hyperlink>
      <w:r w:rsidR="004D1B16">
        <w:rPr>
          <w:rFonts w:cs="Arial"/>
          <w:color w:val="002639"/>
          <w:szCs w:val="22"/>
          <w:shd w:val="clear" w:color="auto" w:fill="FFFFFF"/>
        </w:rPr>
        <w:t xml:space="preserve"> </w:t>
      </w:r>
      <w:r w:rsidR="004D1B16">
        <w:rPr>
          <w:rFonts w:cs="Arial"/>
          <w:sz w:val="23"/>
          <w:szCs w:val="23"/>
        </w:rPr>
        <w:t>(accessed 12 March 2021).</w:t>
      </w:r>
    </w:p>
    <w:p w14:paraId="2BDAB253" w14:textId="45875E4A" w:rsidR="00C5148E" w:rsidRPr="000C138D" w:rsidRDefault="00C5148E" w:rsidP="00C5148E">
      <w:pPr>
        <w:spacing w:before="120" w:after="120" w:line="240" w:lineRule="auto"/>
        <w:rPr>
          <w:rFonts w:cs="Arial"/>
          <w:color w:val="002639"/>
          <w:szCs w:val="22"/>
          <w:shd w:val="clear" w:color="auto" w:fill="FFFFFF"/>
        </w:rPr>
      </w:pPr>
      <w:r w:rsidRPr="000C138D">
        <w:rPr>
          <w:rFonts w:cs="Arial"/>
          <w:szCs w:val="22"/>
        </w:rPr>
        <w:t xml:space="preserve">Ministry of Health. 2020b. </w:t>
      </w:r>
      <w:proofErr w:type="spellStart"/>
      <w:r w:rsidRPr="000C138D">
        <w:rPr>
          <w:rFonts w:cs="Arial"/>
          <w:i/>
          <w:iCs/>
          <w:szCs w:val="22"/>
        </w:rPr>
        <w:t>Whakamaua</w:t>
      </w:r>
      <w:proofErr w:type="spellEnd"/>
      <w:r w:rsidRPr="000C138D">
        <w:rPr>
          <w:rFonts w:cs="Arial"/>
          <w:i/>
          <w:iCs/>
          <w:szCs w:val="22"/>
        </w:rPr>
        <w:t>: Māori Health Action Plan 2020–2025</w:t>
      </w:r>
      <w:r w:rsidRPr="000C138D">
        <w:rPr>
          <w:rFonts w:cs="Arial"/>
          <w:szCs w:val="22"/>
        </w:rPr>
        <w:t xml:space="preserve">. Wellington: </w:t>
      </w:r>
      <w:r w:rsidRPr="000C138D">
        <w:rPr>
          <w:rFonts w:cs="Arial"/>
          <w:color w:val="002639"/>
          <w:szCs w:val="22"/>
          <w:shd w:val="clear" w:color="auto" w:fill="FFFFFF"/>
        </w:rPr>
        <w:t>Ministry of Health.</w:t>
      </w:r>
    </w:p>
    <w:p w14:paraId="7FF7EAB2" w14:textId="282F9FA4" w:rsidR="00C5148E" w:rsidRDefault="00C5148E" w:rsidP="00C5148E">
      <w:pPr>
        <w:spacing w:before="120" w:after="120" w:line="240" w:lineRule="auto"/>
        <w:rPr>
          <w:rFonts w:cs="Arial"/>
          <w:szCs w:val="22"/>
        </w:rPr>
      </w:pPr>
      <w:r w:rsidRPr="000C138D">
        <w:rPr>
          <w:rFonts w:cs="Arial"/>
          <w:color w:val="002639"/>
          <w:szCs w:val="22"/>
          <w:shd w:val="clear" w:color="auto" w:fill="FFFFFF"/>
        </w:rPr>
        <w:t xml:space="preserve">Ministry of </w:t>
      </w:r>
      <w:r w:rsidRPr="000C138D">
        <w:rPr>
          <w:rFonts w:cs="Arial"/>
          <w:szCs w:val="22"/>
        </w:rPr>
        <w:t>Health. 2020c.</w:t>
      </w:r>
      <w:r w:rsidRPr="002B69B0">
        <w:rPr>
          <w:rFonts w:cs="Arial"/>
          <w:i/>
          <w:szCs w:val="22"/>
        </w:rPr>
        <w:t xml:space="preserve"> Ola </w:t>
      </w:r>
      <w:proofErr w:type="spellStart"/>
      <w:r w:rsidRPr="002B69B0">
        <w:rPr>
          <w:rFonts w:cs="Arial"/>
          <w:i/>
          <w:szCs w:val="22"/>
        </w:rPr>
        <w:t>Manuia</w:t>
      </w:r>
      <w:proofErr w:type="spellEnd"/>
      <w:r w:rsidRPr="002B69B0">
        <w:rPr>
          <w:rFonts w:cs="Arial"/>
          <w:i/>
          <w:szCs w:val="22"/>
        </w:rPr>
        <w:t>: Pacific Health and Wellbeing Action Plan 2020</w:t>
      </w:r>
      <w:r>
        <w:rPr>
          <w:rFonts w:cs="Arial"/>
          <w:i/>
          <w:szCs w:val="22"/>
        </w:rPr>
        <w:t>–</w:t>
      </w:r>
      <w:r w:rsidRPr="002B69B0">
        <w:rPr>
          <w:rFonts w:cs="Arial"/>
          <w:i/>
          <w:szCs w:val="22"/>
        </w:rPr>
        <w:t>2025</w:t>
      </w:r>
      <w:r w:rsidRPr="000C138D">
        <w:rPr>
          <w:rFonts w:cs="Arial"/>
          <w:szCs w:val="22"/>
        </w:rPr>
        <w:t xml:space="preserve">. Wellington: Ministry of Health. </w:t>
      </w:r>
    </w:p>
    <w:p w14:paraId="64F3B8FB" w14:textId="460C2C85" w:rsidR="00C5148E" w:rsidRPr="000C138D" w:rsidRDefault="00C5148E" w:rsidP="00C5148E">
      <w:pPr>
        <w:spacing w:before="120" w:after="120" w:line="240" w:lineRule="auto"/>
        <w:rPr>
          <w:rFonts w:cs="Arial"/>
          <w:szCs w:val="22"/>
        </w:rPr>
      </w:pPr>
      <w:r w:rsidRPr="000C138D">
        <w:rPr>
          <w:rFonts w:cs="Arial"/>
          <w:color w:val="002639"/>
          <w:szCs w:val="22"/>
          <w:shd w:val="clear" w:color="auto" w:fill="FFFFFF"/>
        </w:rPr>
        <w:t xml:space="preserve">Ministry of </w:t>
      </w:r>
      <w:r w:rsidRPr="000C138D">
        <w:rPr>
          <w:rFonts w:cs="Arial"/>
          <w:szCs w:val="22"/>
        </w:rPr>
        <w:t>Health. 2020</w:t>
      </w:r>
      <w:r>
        <w:rPr>
          <w:rFonts w:cs="Arial"/>
          <w:szCs w:val="22"/>
        </w:rPr>
        <w:t>d</w:t>
      </w:r>
      <w:r w:rsidRPr="002B69B0">
        <w:rPr>
          <w:rFonts w:cs="Arial"/>
          <w:i/>
          <w:szCs w:val="22"/>
        </w:rPr>
        <w:t>.</w:t>
      </w:r>
      <w:r w:rsidRPr="002B69B0">
        <w:rPr>
          <w:i/>
        </w:rPr>
        <w:t>Smokefree Environments and Regulated Products (Vaping) Amendment Bill Departmental Report</w:t>
      </w:r>
      <w:r>
        <w:t xml:space="preserve">. Wellington: Ministry of Health. URL: </w:t>
      </w:r>
      <w:hyperlink r:id="rId26" w:history="1">
        <w:r w:rsidRPr="00162FE8">
          <w:rPr>
            <w:rStyle w:val="Hyperlink"/>
          </w:rPr>
          <w:t>https://www.parliament.nz/resource/en-NZ/52SCHE_ADV_94933_HE8844/87a2d74c9de673f4a8db2eabf3d8b1a8ca7ea7d4</w:t>
        </w:r>
      </w:hyperlink>
      <w:r>
        <w:t xml:space="preserve"> (accessed 9 March 2021).</w:t>
      </w:r>
    </w:p>
    <w:p w14:paraId="750C5B02" w14:textId="77777777" w:rsidR="00C5148E" w:rsidRDefault="00C5148E" w:rsidP="00C5148E">
      <w:r>
        <w:t xml:space="preserve">Ministry of Health and NOOS Consulting. 2017a. Young Māori women who </w:t>
      </w:r>
      <w:proofErr w:type="gramStart"/>
      <w:r>
        <w:t>smoke:</w:t>
      </w:r>
      <w:proofErr w:type="gramEnd"/>
      <w:r>
        <w:t xml:space="preserve"> single page summary. Wellington: Ministry of Health.</w:t>
      </w:r>
    </w:p>
    <w:p w14:paraId="760C5628" w14:textId="77777777" w:rsidR="00C5148E" w:rsidRDefault="00C5148E" w:rsidP="00C5148E">
      <w:pPr>
        <w:spacing w:before="120" w:after="120" w:line="240" w:lineRule="auto"/>
        <w:jc w:val="both"/>
        <w:rPr>
          <w:rFonts w:cs="Arial"/>
          <w:szCs w:val="22"/>
        </w:rPr>
      </w:pPr>
      <w:r w:rsidRPr="000C138D">
        <w:rPr>
          <w:rFonts w:cs="Arial"/>
          <w:szCs w:val="22"/>
        </w:rPr>
        <w:t>Ministry of Health and NOOS Consulting. 2017</w:t>
      </w:r>
      <w:r>
        <w:rPr>
          <w:rFonts w:cs="Arial"/>
          <w:szCs w:val="22"/>
        </w:rPr>
        <w:t>b</w:t>
      </w:r>
      <w:r w:rsidRPr="000C138D">
        <w:rPr>
          <w:rFonts w:cs="Arial"/>
          <w:szCs w:val="22"/>
        </w:rPr>
        <w:t xml:space="preserve">. </w:t>
      </w:r>
      <w:r w:rsidRPr="000C138D">
        <w:rPr>
          <w:rFonts w:cs="Arial"/>
          <w:i/>
          <w:iCs/>
          <w:szCs w:val="22"/>
        </w:rPr>
        <w:t xml:space="preserve">Young Māori women who </w:t>
      </w:r>
      <w:proofErr w:type="gramStart"/>
      <w:r w:rsidRPr="000C138D">
        <w:rPr>
          <w:rFonts w:cs="Arial"/>
          <w:i/>
          <w:iCs/>
          <w:szCs w:val="22"/>
        </w:rPr>
        <w:t>smoke:</w:t>
      </w:r>
      <w:proofErr w:type="gramEnd"/>
      <w:r w:rsidRPr="000C138D">
        <w:rPr>
          <w:rFonts w:cs="Arial"/>
          <w:i/>
          <w:iCs/>
          <w:szCs w:val="22"/>
        </w:rPr>
        <w:t xml:space="preserve"> technical report</w:t>
      </w:r>
      <w:r w:rsidRPr="000C138D">
        <w:rPr>
          <w:rFonts w:cs="Arial"/>
          <w:szCs w:val="22"/>
        </w:rPr>
        <w:t>. Wellington: Ministry of Health.</w:t>
      </w:r>
    </w:p>
    <w:p w14:paraId="5252353D" w14:textId="77777777" w:rsidR="00C5148E" w:rsidRPr="00633E82" w:rsidRDefault="00C5148E" w:rsidP="003B2450">
      <w:r>
        <w:rPr>
          <w:rStyle w:val="A13"/>
          <w:b w:val="0"/>
          <w:bCs w:val="0"/>
          <w:sz w:val="22"/>
          <w:szCs w:val="22"/>
        </w:rPr>
        <w:t xml:space="preserve">Ministry of Health in collaboration with </w:t>
      </w:r>
      <w:proofErr w:type="spellStart"/>
      <w:r>
        <w:rPr>
          <w:rStyle w:val="A13"/>
          <w:b w:val="0"/>
          <w:bCs w:val="0"/>
          <w:sz w:val="22"/>
          <w:szCs w:val="22"/>
        </w:rPr>
        <w:t>ThinkPlace</w:t>
      </w:r>
      <w:proofErr w:type="spellEnd"/>
      <w:r>
        <w:rPr>
          <w:rStyle w:val="A13"/>
          <w:b w:val="0"/>
          <w:bCs w:val="0"/>
          <w:sz w:val="22"/>
          <w:szCs w:val="22"/>
        </w:rPr>
        <w:t xml:space="preserve">. 2017. </w:t>
      </w:r>
      <w:r>
        <w:rPr>
          <w:rStyle w:val="A13"/>
          <w:b w:val="0"/>
          <w:bCs w:val="0"/>
          <w:i/>
          <w:sz w:val="22"/>
          <w:szCs w:val="22"/>
        </w:rPr>
        <w:t xml:space="preserve">Exploring Why </w:t>
      </w:r>
      <w:r w:rsidRPr="000C138D">
        <w:rPr>
          <w:rFonts w:cs="Arial"/>
          <w:i/>
          <w:iCs/>
          <w:szCs w:val="22"/>
        </w:rPr>
        <w:t>Young Māori Women Smoke</w:t>
      </w:r>
      <w:r>
        <w:rPr>
          <w:rFonts w:cs="Arial"/>
          <w:i/>
          <w:iCs/>
          <w:szCs w:val="22"/>
        </w:rPr>
        <w:t>:</w:t>
      </w:r>
      <w:r w:rsidRPr="003976A6">
        <w:rPr>
          <w:i/>
        </w:rPr>
        <w:t xml:space="preserve"> Taking a new approach to understanding the experiences of people in our </w:t>
      </w:r>
      <w:r w:rsidRPr="003976A6">
        <w:rPr>
          <w:i/>
        </w:rPr>
        <w:lastRenderedPageBreak/>
        <w:t>communities</w:t>
      </w:r>
      <w:r>
        <w:t xml:space="preserve">. Wellington: Ministry of Health. URL: </w:t>
      </w:r>
      <w:hyperlink r:id="rId27" w:history="1">
        <w:r w:rsidRPr="00E65507">
          <w:rPr>
            <w:rStyle w:val="Hyperlink"/>
          </w:rPr>
          <w:t>https://www.health.govt.nz/system/files/documents/pages/exploring-why-young-</w:t>
        </w:r>
        <w:r>
          <w:rPr>
            <w:rStyle w:val="Hyperlink"/>
          </w:rPr>
          <w:t>Māori</w:t>
        </w:r>
        <w:r w:rsidRPr="00E65507">
          <w:rPr>
            <w:rStyle w:val="Hyperlink"/>
          </w:rPr>
          <w:t>-women-smoke-final-10october2017.pdf</w:t>
        </w:r>
      </w:hyperlink>
      <w:r>
        <w:rPr>
          <w:rStyle w:val="Hyperlink"/>
        </w:rPr>
        <w:t xml:space="preserve"> </w:t>
      </w:r>
      <w:r>
        <w:t>(accessed 10 March 2021).</w:t>
      </w:r>
    </w:p>
    <w:p w14:paraId="36D156FA" w14:textId="74B1B6C2" w:rsidR="00C5148E" w:rsidRPr="000C138D" w:rsidRDefault="00C5148E" w:rsidP="003B2450">
      <w:r w:rsidRPr="000C138D">
        <w:rPr>
          <w:shd w:val="clear" w:color="auto" w:fill="FFFFFF"/>
        </w:rPr>
        <w:t xml:space="preserve">New Zealand Parliament. 2010. </w:t>
      </w:r>
      <w:r w:rsidRPr="000C138D">
        <w:rPr>
          <w:i/>
          <w:iCs/>
          <w:shd w:val="clear" w:color="auto" w:fill="FFFFFF"/>
        </w:rPr>
        <w:t xml:space="preserve">Inquiry into the </w:t>
      </w:r>
      <w:r w:rsidR="00945DFB">
        <w:rPr>
          <w:i/>
          <w:iCs/>
          <w:shd w:val="clear" w:color="auto" w:fill="FFFFFF"/>
        </w:rPr>
        <w:t>T</w:t>
      </w:r>
      <w:r w:rsidRPr="000C138D">
        <w:rPr>
          <w:i/>
          <w:iCs/>
          <w:shd w:val="clear" w:color="auto" w:fill="FFFFFF"/>
        </w:rPr>
        <w:t xml:space="preserve">obacco </w:t>
      </w:r>
      <w:r w:rsidR="00945DFB">
        <w:rPr>
          <w:i/>
          <w:iCs/>
          <w:shd w:val="clear" w:color="auto" w:fill="FFFFFF"/>
        </w:rPr>
        <w:t>I</w:t>
      </w:r>
      <w:r w:rsidRPr="000C138D">
        <w:rPr>
          <w:i/>
          <w:iCs/>
          <w:shd w:val="clear" w:color="auto" w:fill="FFFFFF"/>
        </w:rPr>
        <w:t xml:space="preserve">ndustry in Aotearoa and the </w:t>
      </w:r>
      <w:r w:rsidR="00945DFB">
        <w:rPr>
          <w:i/>
          <w:iCs/>
          <w:shd w:val="clear" w:color="auto" w:fill="FFFFFF"/>
        </w:rPr>
        <w:t>C</w:t>
      </w:r>
      <w:r w:rsidRPr="000C138D">
        <w:rPr>
          <w:i/>
          <w:iCs/>
          <w:shd w:val="clear" w:color="auto" w:fill="FFFFFF"/>
        </w:rPr>
        <w:t xml:space="preserve">onsequences of </w:t>
      </w:r>
      <w:r w:rsidR="00945DFB">
        <w:rPr>
          <w:i/>
          <w:iCs/>
          <w:shd w:val="clear" w:color="auto" w:fill="FFFFFF"/>
        </w:rPr>
        <w:t>T</w:t>
      </w:r>
      <w:r w:rsidRPr="000C138D">
        <w:rPr>
          <w:i/>
          <w:iCs/>
          <w:shd w:val="clear" w:color="auto" w:fill="FFFFFF"/>
        </w:rPr>
        <w:t xml:space="preserve">obacco </w:t>
      </w:r>
      <w:r w:rsidR="00945DFB">
        <w:rPr>
          <w:i/>
          <w:iCs/>
          <w:shd w:val="clear" w:color="auto" w:fill="FFFFFF"/>
        </w:rPr>
        <w:t>U</w:t>
      </w:r>
      <w:r w:rsidRPr="000C138D">
        <w:rPr>
          <w:i/>
          <w:iCs/>
          <w:shd w:val="clear" w:color="auto" w:fill="FFFFFF"/>
        </w:rPr>
        <w:t xml:space="preserve">se for </w:t>
      </w:r>
      <w:r w:rsidRPr="000C138D">
        <w:rPr>
          <w:rFonts w:eastAsia="Calibri"/>
          <w:i/>
          <w:iCs/>
        </w:rPr>
        <w:t>Māori</w:t>
      </w:r>
      <w:r w:rsidRPr="000C138D">
        <w:rPr>
          <w:i/>
          <w:iCs/>
          <w:shd w:val="clear" w:color="auto" w:fill="FFFFFF"/>
        </w:rPr>
        <w:t>.</w:t>
      </w:r>
      <w:r w:rsidRPr="000C138D">
        <w:rPr>
          <w:shd w:val="clear" w:color="auto" w:fill="FFFFFF"/>
        </w:rPr>
        <w:t xml:space="preserve"> Report of the </w:t>
      </w:r>
      <w:r w:rsidRPr="000C138D">
        <w:rPr>
          <w:rFonts w:eastAsia="Calibri"/>
        </w:rPr>
        <w:t>Māori</w:t>
      </w:r>
      <w:r w:rsidRPr="000C138D">
        <w:rPr>
          <w:shd w:val="clear" w:color="auto" w:fill="FFFFFF"/>
        </w:rPr>
        <w:t xml:space="preserve"> Affairs Committee. </w:t>
      </w:r>
      <w:r>
        <w:rPr>
          <w:shd w:val="clear" w:color="auto" w:fill="FFFFFF"/>
        </w:rPr>
        <w:t xml:space="preserve">URL: </w:t>
      </w:r>
      <w:hyperlink r:id="rId28" w:history="1">
        <w:r w:rsidRPr="000C138D">
          <w:rPr>
            <w:rStyle w:val="Hyperlink"/>
          </w:rPr>
          <w:t>https://www.parliament.nz/resource/en-NZ/49DBSCH_SCR4900_1/2fc4d36b0fbdfed73f3b4694e084a5935cf967bb</w:t>
        </w:r>
      </w:hyperlink>
      <w:r w:rsidRPr="000C138D">
        <w:t xml:space="preserve"> </w:t>
      </w:r>
      <w:r>
        <w:t>(accessed 5 March 2021).</w:t>
      </w:r>
    </w:p>
    <w:p w14:paraId="18028B4A" w14:textId="5470C1D2" w:rsidR="00C5148E" w:rsidRPr="000C138D" w:rsidRDefault="00C5148E" w:rsidP="003B2450">
      <w:pPr>
        <w:rPr>
          <w:rFonts w:ascii="Segoe UI" w:hAnsi="Segoe UI" w:cs="Segoe UI"/>
          <w:color w:val="212121"/>
          <w:sz w:val="15"/>
          <w:szCs w:val="15"/>
        </w:rPr>
      </w:pPr>
      <w:r w:rsidRPr="000C138D">
        <w:rPr>
          <w:shd w:val="clear" w:color="auto" w:fill="FFFFFF"/>
        </w:rPr>
        <w:t>New Zealand Parliament. 2011</w:t>
      </w:r>
      <w:r>
        <w:rPr>
          <w:shd w:val="clear" w:color="auto" w:fill="FFFFFF"/>
        </w:rPr>
        <w:t>.</w:t>
      </w:r>
      <w:r w:rsidRPr="000C138D">
        <w:rPr>
          <w:shd w:val="clear" w:color="auto" w:fill="FFFFFF"/>
        </w:rPr>
        <w:t xml:space="preserve"> </w:t>
      </w:r>
      <w:r w:rsidRPr="003B2450">
        <w:rPr>
          <w:i/>
          <w:shd w:val="clear" w:color="auto" w:fill="FFFFFF"/>
        </w:rPr>
        <w:t xml:space="preserve">Government Response to the Report of the Māori Affairs Committee on </w:t>
      </w:r>
      <w:r w:rsidR="00945DFB" w:rsidRPr="003B2450">
        <w:rPr>
          <w:i/>
          <w:shd w:val="clear" w:color="auto" w:fill="FFFFFF"/>
        </w:rPr>
        <w:t>I</w:t>
      </w:r>
      <w:r w:rsidRPr="003B2450">
        <w:rPr>
          <w:i/>
          <w:shd w:val="clear" w:color="auto" w:fill="FFFFFF"/>
        </w:rPr>
        <w:t xml:space="preserve">ts Inquiry into the </w:t>
      </w:r>
      <w:r w:rsidR="00945DFB" w:rsidRPr="003B2450">
        <w:rPr>
          <w:i/>
          <w:shd w:val="clear" w:color="auto" w:fill="FFFFFF"/>
        </w:rPr>
        <w:t>T</w:t>
      </w:r>
      <w:r w:rsidRPr="003B2450">
        <w:rPr>
          <w:i/>
          <w:shd w:val="clear" w:color="auto" w:fill="FFFFFF"/>
        </w:rPr>
        <w:t xml:space="preserve">obacco </w:t>
      </w:r>
      <w:r w:rsidR="00945DFB" w:rsidRPr="003B2450">
        <w:rPr>
          <w:i/>
          <w:shd w:val="clear" w:color="auto" w:fill="FFFFFF"/>
        </w:rPr>
        <w:t>I</w:t>
      </w:r>
      <w:r w:rsidRPr="003B2450">
        <w:rPr>
          <w:i/>
          <w:shd w:val="clear" w:color="auto" w:fill="FFFFFF"/>
        </w:rPr>
        <w:t xml:space="preserve">ndustry in Aotearoa and the </w:t>
      </w:r>
      <w:r w:rsidR="00945DFB" w:rsidRPr="003B2450">
        <w:rPr>
          <w:i/>
          <w:shd w:val="clear" w:color="auto" w:fill="FFFFFF"/>
        </w:rPr>
        <w:t>C</w:t>
      </w:r>
      <w:r w:rsidRPr="003B2450">
        <w:rPr>
          <w:i/>
          <w:shd w:val="clear" w:color="auto" w:fill="FFFFFF"/>
        </w:rPr>
        <w:t xml:space="preserve">onsequences of </w:t>
      </w:r>
      <w:r w:rsidR="00945DFB" w:rsidRPr="003B2450">
        <w:rPr>
          <w:i/>
          <w:shd w:val="clear" w:color="auto" w:fill="FFFFFF"/>
        </w:rPr>
        <w:t>T</w:t>
      </w:r>
      <w:r w:rsidRPr="003B2450">
        <w:rPr>
          <w:i/>
          <w:shd w:val="clear" w:color="auto" w:fill="FFFFFF"/>
        </w:rPr>
        <w:t xml:space="preserve">obacco </w:t>
      </w:r>
      <w:r w:rsidR="00945DFB" w:rsidRPr="003B2450">
        <w:rPr>
          <w:i/>
          <w:shd w:val="clear" w:color="auto" w:fill="FFFFFF"/>
        </w:rPr>
        <w:t>U</w:t>
      </w:r>
      <w:r w:rsidRPr="003B2450">
        <w:rPr>
          <w:i/>
          <w:shd w:val="clear" w:color="auto" w:fill="FFFFFF"/>
        </w:rPr>
        <w:t>se for Māori (Final Response)</w:t>
      </w:r>
      <w:r w:rsidRPr="000C138D">
        <w:rPr>
          <w:shd w:val="clear" w:color="auto" w:fill="FFFFFF"/>
        </w:rPr>
        <w:t>. Wellington:</w:t>
      </w:r>
      <w:r w:rsidRPr="00A315DC">
        <w:rPr>
          <w:shd w:val="clear" w:color="auto" w:fill="FFFFFF"/>
        </w:rPr>
        <w:t xml:space="preserve"> </w:t>
      </w:r>
      <w:r w:rsidRPr="000C138D">
        <w:rPr>
          <w:shd w:val="clear" w:color="auto" w:fill="FFFFFF"/>
        </w:rPr>
        <w:t xml:space="preserve">New Zealand Parliament. </w:t>
      </w:r>
      <w:r>
        <w:rPr>
          <w:shd w:val="clear" w:color="auto" w:fill="FFFFFF"/>
        </w:rPr>
        <w:t xml:space="preserve">URL: </w:t>
      </w:r>
      <w:hyperlink r:id="rId29" w:history="1">
        <w:r w:rsidRPr="000C138D">
          <w:rPr>
            <w:rStyle w:val="Hyperlink"/>
            <w:rFonts w:cs="Arial"/>
            <w:szCs w:val="22"/>
          </w:rPr>
          <w:t>https://www.parliament.nz/resource/en-NZ/49DBHOH_PAP21175_1/9f015010d386fe11050cddfbb468c2a3f5b0cb89</w:t>
        </w:r>
      </w:hyperlink>
      <w:r w:rsidRPr="000C138D">
        <w:rPr>
          <w:rFonts w:ascii="Segoe UI" w:hAnsi="Segoe UI" w:cs="Segoe UI"/>
          <w:color w:val="212121"/>
          <w:sz w:val="15"/>
          <w:szCs w:val="15"/>
        </w:rPr>
        <w:t xml:space="preserve"> </w:t>
      </w:r>
      <w:r w:rsidR="003B2450">
        <w:rPr>
          <w:sz w:val="23"/>
          <w:szCs w:val="23"/>
        </w:rPr>
        <w:t>(accessed 12 March 2021).</w:t>
      </w:r>
    </w:p>
    <w:p w14:paraId="6DDFB77C" w14:textId="06862F0B" w:rsidR="00C5148E" w:rsidRPr="000C138D" w:rsidRDefault="00C5148E" w:rsidP="003B2450">
      <w:r w:rsidRPr="00884E13">
        <w:rPr>
          <w:szCs w:val="22"/>
          <w:lang w:val="nl-NL"/>
        </w:rPr>
        <w:t>Pearson AL, Cleghorn CL, van der Deen FD</w:t>
      </w:r>
      <w:r w:rsidR="00BD212D" w:rsidRPr="00884E13">
        <w:rPr>
          <w:szCs w:val="22"/>
          <w:lang w:val="nl-NL"/>
        </w:rPr>
        <w:t>,</w:t>
      </w:r>
      <w:r w:rsidRPr="00884E13">
        <w:rPr>
          <w:szCs w:val="22"/>
          <w:lang w:val="nl-NL"/>
        </w:rPr>
        <w:t xml:space="preserve"> et al. 2015. </w:t>
      </w:r>
      <w:r w:rsidRPr="00884E13">
        <w:t xml:space="preserve">Theoretical impacts of a range of major tobacco retail outlet reduction interventions: modelling results in a country with a smoke-free national goal. </w:t>
      </w:r>
      <w:r w:rsidRPr="00884E13">
        <w:rPr>
          <w:i/>
          <w:iCs/>
        </w:rPr>
        <w:t>Tobacco Control</w:t>
      </w:r>
      <w:r w:rsidR="00BD212D" w:rsidRPr="00884E13">
        <w:t xml:space="preserve"> </w:t>
      </w:r>
      <w:r w:rsidRPr="00884E13">
        <w:t>24(e1):</w:t>
      </w:r>
      <w:r w:rsidR="00BD212D" w:rsidRPr="00884E13">
        <w:t xml:space="preserve"> </w:t>
      </w:r>
      <w:r w:rsidRPr="00884E13">
        <w:t>e32</w:t>
      </w:r>
      <w:r w:rsidR="00BD212D" w:rsidRPr="00884E13">
        <w:t>–</w:t>
      </w:r>
      <w:r w:rsidRPr="00884E13">
        <w:t>8</w:t>
      </w:r>
      <w:r w:rsidR="00BD212D" w:rsidRPr="00884E13">
        <w:t>.</w:t>
      </w:r>
    </w:p>
    <w:p w14:paraId="3A8EF3C7" w14:textId="04C888E8" w:rsidR="00C5148E" w:rsidRPr="000C138D" w:rsidRDefault="00C5148E" w:rsidP="003B2450">
      <w:r w:rsidRPr="000C138D">
        <w:t>Robert Wood Johnson Foundation</w:t>
      </w:r>
      <w:r w:rsidR="00BD212D">
        <w:t>.</w:t>
      </w:r>
      <w:r w:rsidRPr="000C138D">
        <w:t xml:space="preserve"> 2018. Comments from Richard Besser MD on advanced notice of proposed rulemaking regarding maximum nicotine level for tobacco products. </w:t>
      </w:r>
      <w:r w:rsidR="00BD212D">
        <w:t>URL:</w:t>
      </w:r>
      <w:r w:rsidRPr="000C138D">
        <w:t xml:space="preserve"> </w:t>
      </w:r>
      <w:hyperlink r:id="rId30" w:history="1">
        <w:r w:rsidRPr="000C138D">
          <w:rPr>
            <w:rStyle w:val="Hyperlink"/>
            <w:szCs w:val="22"/>
          </w:rPr>
          <w:t>https://www.rwjf.org/en/library/articles-and-news/2018/07/comments-from-richard-besser-on-advanced-notice-of-proposed-rulemaking-regarding-maximum-nicotine-level-for-tobacco-products.html</w:t>
        </w:r>
      </w:hyperlink>
      <w:r w:rsidR="00BD212D" w:rsidRPr="000C138D">
        <w:rPr>
          <w:rFonts w:ascii="Segoe UI" w:hAnsi="Segoe UI" w:cs="Segoe UI"/>
          <w:color w:val="212121"/>
          <w:sz w:val="15"/>
          <w:szCs w:val="15"/>
        </w:rPr>
        <w:t xml:space="preserve"> </w:t>
      </w:r>
      <w:r w:rsidR="00BD212D">
        <w:rPr>
          <w:sz w:val="23"/>
          <w:szCs w:val="23"/>
        </w:rPr>
        <w:t>(accessed 12 March 2021).</w:t>
      </w:r>
    </w:p>
    <w:p w14:paraId="1B59D199" w14:textId="7EF0850D" w:rsidR="002D61C0" w:rsidRPr="003B2450" w:rsidRDefault="002D61C0" w:rsidP="002D61C0">
      <w:proofErr w:type="spellStart"/>
      <w:r>
        <w:t>Sardin</w:t>
      </w:r>
      <w:proofErr w:type="spellEnd"/>
      <w:r>
        <w:t xml:space="preserve"> E</w:t>
      </w:r>
      <w:r w:rsidRPr="003B2450">
        <w:t xml:space="preserve">. 2018. Switching to </w:t>
      </w:r>
      <w:r>
        <w:t>r</w:t>
      </w:r>
      <w:r w:rsidRPr="003B2450">
        <w:t>educed-</w:t>
      </w:r>
      <w:r>
        <w:t>n</w:t>
      </w:r>
      <w:r w:rsidRPr="003B2450">
        <w:t xml:space="preserve">icotine </w:t>
      </w:r>
      <w:r>
        <w:t>c</w:t>
      </w:r>
      <w:r w:rsidRPr="003B2450">
        <w:t xml:space="preserve">igarettes </w:t>
      </w:r>
      <w:r>
        <w:t>m</w:t>
      </w:r>
      <w:r w:rsidRPr="003B2450">
        <w:t xml:space="preserve">ay </w:t>
      </w:r>
      <w:r>
        <w:t>a</w:t>
      </w:r>
      <w:r w:rsidRPr="003B2450">
        <w:t xml:space="preserve">id in </w:t>
      </w:r>
      <w:r>
        <w:t>q</w:t>
      </w:r>
      <w:r w:rsidRPr="003B2450">
        <w:t xml:space="preserve">uitting </w:t>
      </w:r>
      <w:r>
        <w:t>s</w:t>
      </w:r>
      <w:r w:rsidRPr="003B2450">
        <w:t xml:space="preserve">moking. </w:t>
      </w:r>
      <w:r w:rsidR="00A10730">
        <w:rPr>
          <w:i/>
        </w:rPr>
        <w:t>NIDA Notes</w:t>
      </w:r>
      <w:r w:rsidR="00A10730">
        <w:t>.</w:t>
      </w:r>
      <w:r w:rsidR="00A10730">
        <w:rPr>
          <w:i/>
        </w:rPr>
        <w:t xml:space="preserve"> </w:t>
      </w:r>
      <w:r>
        <w:t>URL:</w:t>
      </w:r>
      <w:r w:rsidRPr="003B2450">
        <w:t xml:space="preserve"> https://www.drugabuse.gov/news-events/nida-notes/2018/10/switching-to-reduced-nicotine-cigarettes-may-aid-in-quitting-smoking</w:t>
      </w:r>
      <w:r w:rsidRPr="000C138D">
        <w:rPr>
          <w:rFonts w:ascii="Segoe UI" w:hAnsi="Segoe UI" w:cs="Segoe UI"/>
          <w:color w:val="212121"/>
          <w:sz w:val="15"/>
          <w:szCs w:val="15"/>
        </w:rPr>
        <w:t xml:space="preserve"> </w:t>
      </w:r>
      <w:r>
        <w:rPr>
          <w:sz w:val="23"/>
          <w:szCs w:val="23"/>
        </w:rPr>
        <w:t>(accessed 12 March 2021).</w:t>
      </w:r>
    </w:p>
    <w:p w14:paraId="2D69E9B1" w14:textId="77777777" w:rsidR="00C5148E" w:rsidRDefault="00C5148E" w:rsidP="00C5148E">
      <w:pPr>
        <w:spacing w:before="120" w:after="120" w:line="240" w:lineRule="auto"/>
        <w:rPr>
          <w:szCs w:val="22"/>
        </w:rPr>
      </w:pPr>
      <w:r>
        <w:rPr>
          <w:szCs w:val="22"/>
        </w:rPr>
        <w:t>Thornley L, Edwards R, Thomson G, et al</w:t>
      </w:r>
      <w:r w:rsidRPr="00C62E5A">
        <w:rPr>
          <w:szCs w:val="22"/>
        </w:rPr>
        <w:t>. 2017</w:t>
      </w:r>
      <w:r>
        <w:rPr>
          <w:szCs w:val="22"/>
        </w:rPr>
        <w:t>a</w:t>
      </w:r>
      <w:r w:rsidRPr="00C62E5A">
        <w:rPr>
          <w:szCs w:val="22"/>
        </w:rPr>
        <w:t xml:space="preserve">. </w:t>
      </w:r>
      <w:r w:rsidRPr="00C62E5A">
        <w:rPr>
          <w:i/>
          <w:szCs w:val="22"/>
        </w:rPr>
        <w:t>Evidence and Feasibility Review: Summary Report</w:t>
      </w:r>
      <w:r w:rsidRPr="00C62E5A">
        <w:rPr>
          <w:szCs w:val="22"/>
        </w:rPr>
        <w:t xml:space="preserve">. </w:t>
      </w:r>
      <w:r>
        <w:rPr>
          <w:szCs w:val="22"/>
        </w:rPr>
        <w:t xml:space="preserve">Wellington: University of Otago, ASPIRE2025, Quitline and </w:t>
      </w:r>
      <w:proofErr w:type="spellStart"/>
      <w:r>
        <w:rPr>
          <w:szCs w:val="22"/>
        </w:rPr>
        <w:t>H</w:t>
      </w:r>
      <w:r>
        <w:rPr>
          <w:rFonts w:cs="Arial"/>
          <w:szCs w:val="22"/>
        </w:rPr>
        <w:t>ā</w:t>
      </w:r>
      <w:r>
        <w:rPr>
          <w:szCs w:val="22"/>
        </w:rPr>
        <w:t>pai</w:t>
      </w:r>
      <w:proofErr w:type="spellEnd"/>
      <w:r>
        <w:rPr>
          <w:szCs w:val="22"/>
        </w:rPr>
        <w:t xml:space="preserve"> </w:t>
      </w:r>
      <w:proofErr w:type="spellStart"/>
      <w:r>
        <w:rPr>
          <w:szCs w:val="22"/>
        </w:rPr>
        <w:t>te</w:t>
      </w:r>
      <w:proofErr w:type="spellEnd"/>
      <w:r>
        <w:rPr>
          <w:szCs w:val="22"/>
        </w:rPr>
        <w:t xml:space="preserve"> Hauora. URL: </w:t>
      </w:r>
      <w:hyperlink r:id="rId31" w:history="1">
        <w:r w:rsidRPr="00047E9E">
          <w:rPr>
            <w:rStyle w:val="Hyperlink"/>
            <w:szCs w:val="22"/>
          </w:rPr>
          <w:t>https://aspire2025.files.wordpress.com/2017/08/asap-evidence-feasibilty-review-for-web-final-24-aug.pdf</w:t>
        </w:r>
      </w:hyperlink>
      <w:r>
        <w:rPr>
          <w:szCs w:val="22"/>
        </w:rPr>
        <w:t xml:space="preserve"> (accessed 9 March 2021). </w:t>
      </w:r>
    </w:p>
    <w:p w14:paraId="5336F2EE" w14:textId="58036402" w:rsidR="00C5148E" w:rsidRDefault="00C5148E" w:rsidP="00C5148E">
      <w:pPr>
        <w:spacing w:before="120" w:after="120" w:line="240" w:lineRule="auto"/>
        <w:rPr>
          <w:szCs w:val="22"/>
        </w:rPr>
      </w:pPr>
      <w:r>
        <w:rPr>
          <w:szCs w:val="22"/>
        </w:rPr>
        <w:t>Thornley L, Edwards R, Waa A, et al</w:t>
      </w:r>
      <w:r w:rsidRPr="00C62E5A">
        <w:rPr>
          <w:szCs w:val="22"/>
        </w:rPr>
        <w:t>. 2017</w:t>
      </w:r>
      <w:r>
        <w:rPr>
          <w:szCs w:val="22"/>
        </w:rPr>
        <w:t>b</w:t>
      </w:r>
      <w:r w:rsidRPr="00C62E5A">
        <w:rPr>
          <w:szCs w:val="22"/>
        </w:rPr>
        <w:t>.</w:t>
      </w:r>
      <w:r>
        <w:rPr>
          <w:szCs w:val="22"/>
        </w:rPr>
        <w:t xml:space="preserve"> </w:t>
      </w:r>
      <w:r>
        <w:rPr>
          <w:i/>
          <w:szCs w:val="22"/>
        </w:rPr>
        <w:t>Achieving Smokefree Aotearoa by 2025.</w:t>
      </w:r>
      <w:r w:rsidRPr="000149F4">
        <w:rPr>
          <w:szCs w:val="22"/>
        </w:rPr>
        <w:t xml:space="preserve"> </w:t>
      </w:r>
      <w:r>
        <w:rPr>
          <w:szCs w:val="22"/>
        </w:rPr>
        <w:t xml:space="preserve">Wellington: University of Otago, ASPIRE2025, Quitline and </w:t>
      </w:r>
      <w:proofErr w:type="spellStart"/>
      <w:r>
        <w:rPr>
          <w:szCs w:val="22"/>
        </w:rPr>
        <w:t>H</w:t>
      </w:r>
      <w:r>
        <w:rPr>
          <w:rFonts w:cs="Arial"/>
          <w:szCs w:val="22"/>
        </w:rPr>
        <w:t>ā</w:t>
      </w:r>
      <w:r>
        <w:rPr>
          <w:szCs w:val="22"/>
        </w:rPr>
        <w:t>pai</w:t>
      </w:r>
      <w:proofErr w:type="spellEnd"/>
      <w:r>
        <w:rPr>
          <w:szCs w:val="22"/>
        </w:rPr>
        <w:t xml:space="preserve"> </w:t>
      </w:r>
      <w:proofErr w:type="spellStart"/>
      <w:r>
        <w:rPr>
          <w:szCs w:val="22"/>
        </w:rPr>
        <w:t>te</w:t>
      </w:r>
      <w:proofErr w:type="spellEnd"/>
      <w:r>
        <w:rPr>
          <w:szCs w:val="22"/>
        </w:rPr>
        <w:t xml:space="preserve"> Hauora. URL:</w:t>
      </w:r>
      <w:r w:rsidRPr="000149F4">
        <w:rPr>
          <w:rStyle w:val="Hyperlink"/>
        </w:rPr>
        <w:t xml:space="preserve"> </w:t>
      </w:r>
      <w:hyperlink r:id="rId32" w:history="1">
        <w:r w:rsidRPr="00C62E5A">
          <w:rPr>
            <w:rStyle w:val="Hyperlink"/>
          </w:rPr>
          <w:t>https://aspire2025.files.wordpress.com/2017/08/asap-main-report-for-web2.pdf</w:t>
        </w:r>
      </w:hyperlink>
      <w:r>
        <w:rPr>
          <w:rStyle w:val="Hyperlink"/>
        </w:rPr>
        <w:t xml:space="preserve"> </w:t>
      </w:r>
      <w:r>
        <w:rPr>
          <w:szCs w:val="22"/>
        </w:rPr>
        <w:t>(accessed 9 March 2021).</w:t>
      </w:r>
    </w:p>
    <w:p w14:paraId="6A1209E5" w14:textId="67772658" w:rsidR="002D5541" w:rsidRPr="009E1B48" w:rsidRDefault="0060730D" w:rsidP="008201CC">
      <w:pPr>
        <w:spacing w:before="120" w:after="120" w:line="240" w:lineRule="auto"/>
        <w:rPr>
          <w:rFonts w:cs="Arial"/>
          <w:szCs w:val="22"/>
        </w:rPr>
      </w:pPr>
      <w:r w:rsidRPr="009E1B48">
        <w:rPr>
          <w:rFonts w:cs="Arial"/>
          <w:szCs w:val="22"/>
        </w:rPr>
        <w:t xml:space="preserve">Van der </w:t>
      </w:r>
      <w:proofErr w:type="spellStart"/>
      <w:r w:rsidRPr="009E1B48">
        <w:rPr>
          <w:rFonts w:cs="Arial"/>
          <w:szCs w:val="22"/>
        </w:rPr>
        <w:t>Deen</w:t>
      </w:r>
      <w:proofErr w:type="spellEnd"/>
      <w:r w:rsidRPr="009E1B48">
        <w:rPr>
          <w:rFonts w:cs="Arial"/>
          <w:szCs w:val="22"/>
        </w:rPr>
        <w:t xml:space="preserve"> FS, Wilson N</w:t>
      </w:r>
      <w:r>
        <w:rPr>
          <w:rFonts w:cs="Arial"/>
          <w:szCs w:val="22"/>
          <w:lang w:val="nl-NL"/>
        </w:rPr>
        <w:t>.</w:t>
      </w:r>
      <w:r w:rsidRPr="009E1B48">
        <w:rPr>
          <w:rFonts w:cs="Arial"/>
          <w:szCs w:val="22"/>
        </w:rPr>
        <w:t xml:space="preserve"> 2018. </w:t>
      </w:r>
      <w:r>
        <w:rPr>
          <w:rFonts w:cs="Arial"/>
          <w:szCs w:val="22"/>
        </w:rPr>
        <w:t xml:space="preserve">Restricting tobacco sales to only pharmacies as an endgame strategy: Are pharmacies likely to opt in? </w:t>
      </w:r>
      <w:r>
        <w:rPr>
          <w:rFonts w:cs="Arial"/>
          <w:i/>
          <w:iCs/>
          <w:szCs w:val="22"/>
        </w:rPr>
        <w:t xml:space="preserve">Australian and New Zealand Journal of Public Health </w:t>
      </w:r>
      <w:r w:rsidR="00411B8A" w:rsidRPr="00E7153D">
        <w:rPr>
          <w:rFonts w:cs="Arial"/>
          <w:szCs w:val="22"/>
        </w:rPr>
        <w:t>42 (2)</w:t>
      </w:r>
      <w:r w:rsidR="00411B8A">
        <w:rPr>
          <w:rFonts w:cs="Arial"/>
          <w:szCs w:val="22"/>
        </w:rPr>
        <w:t xml:space="preserve"> </w:t>
      </w:r>
      <w:r w:rsidR="002A189D">
        <w:rPr>
          <w:rFonts w:cs="Arial"/>
          <w:szCs w:val="22"/>
        </w:rPr>
        <w:t>URL</w:t>
      </w:r>
      <w:r w:rsidR="00E7153D">
        <w:rPr>
          <w:rFonts w:cs="Arial"/>
          <w:szCs w:val="22"/>
        </w:rPr>
        <w:t>:</w:t>
      </w:r>
      <w:r w:rsidR="002A189D">
        <w:rPr>
          <w:rFonts w:cs="Arial"/>
          <w:szCs w:val="22"/>
        </w:rPr>
        <w:t xml:space="preserve"> </w:t>
      </w:r>
      <w:proofErr w:type="gramStart"/>
      <w:r w:rsidR="00E7153D" w:rsidRPr="00E7153D">
        <w:rPr>
          <w:rFonts w:cs="Arial"/>
          <w:szCs w:val="22"/>
        </w:rPr>
        <w:t xml:space="preserve">https://doi.org/10.1111/1753-6405.12764 </w:t>
      </w:r>
      <w:r w:rsidR="00E7153D">
        <w:rPr>
          <w:rFonts w:cs="Arial"/>
          <w:szCs w:val="22"/>
        </w:rPr>
        <w:t xml:space="preserve"> </w:t>
      </w:r>
      <w:r w:rsidR="00411B8A">
        <w:rPr>
          <w:rFonts w:cs="Arial"/>
          <w:szCs w:val="22"/>
        </w:rPr>
        <w:t>(</w:t>
      </w:r>
      <w:proofErr w:type="gramEnd"/>
      <w:r w:rsidR="00411B8A">
        <w:rPr>
          <w:rFonts w:cs="Arial"/>
          <w:szCs w:val="22"/>
        </w:rPr>
        <w:t>accessed 21 March 2021)</w:t>
      </w:r>
    </w:p>
    <w:p w14:paraId="7E12872C" w14:textId="26B77F69" w:rsidR="00C5148E" w:rsidRPr="009E1B48" w:rsidRDefault="00C5148E" w:rsidP="00C5148E">
      <w:pPr>
        <w:spacing w:before="120" w:after="120" w:line="240" w:lineRule="auto"/>
        <w:rPr>
          <w:rFonts w:cs="Arial"/>
          <w:szCs w:val="22"/>
        </w:rPr>
      </w:pPr>
      <w:r w:rsidRPr="009E1B48">
        <w:rPr>
          <w:rFonts w:cs="Arial"/>
          <w:szCs w:val="22"/>
        </w:rPr>
        <w:t xml:space="preserve">Van der </w:t>
      </w:r>
      <w:proofErr w:type="spellStart"/>
      <w:r w:rsidRPr="009E1B48">
        <w:rPr>
          <w:rFonts w:cs="Arial"/>
          <w:szCs w:val="22"/>
        </w:rPr>
        <w:t>Deen</w:t>
      </w:r>
      <w:proofErr w:type="spellEnd"/>
      <w:r w:rsidRPr="009E1B48">
        <w:rPr>
          <w:rFonts w:cs="Arial"/>
          <w:szCs w:val="22"/>
        </w:rPr>
        <w:t xml:space="preserve"> FS, Wilson N, Cleghorn CL, et al</w:t>
      </w:r>
      <w:r w:rsidR="00BD212D">
        <w:rPr>
          <w:rFonts w:cs="Arial"/>
          <w:szCs w:val="22"/>
          <w:lang w:val="nl-NL"/>
        </w:rPr>
        <w:t>.</w:t>
      </w:r>
      <w:r w:rsidRPr="009E1B48">
        <w:rPr>
          <w:rFonts w:cs="Arial"/>
          <w:szCs w:val="22"/>
        </w:rPr>
        <w:t xml:space="preserve"> 2018. </w:t>
      </w:r>
      <w:r w:rsidRPr="000C138D">
        <w:rPr>
          <w:rFonts w:cs="Arial"/>
          <w:szCs w:val="22"/>
        </w:rPr>
        <w:t>Impact of five tobacco endgame strategies on future smoking prevalence, population health and health system costs: two modelling studies to inform the tobacco endgame</w:t>
      </w:r>
      <w:r w:rsidR="00BD212D">
        <w:rPr>
          <w:rFonts w:cs="Arial"/>
          <w:szCs w:val="22"/>
        </w:rPr>
        <w:t>.</w:t>
      </w:r>
      <w:r w:rsidRPr="000C138D">
        <w:rPr>
          <w:rFonts w:cs="Arial"/>
          <w:szCs w:val="22"/>
        </w:rPr>
        <w:t xml:space="preserve"> </w:t>
      </w:r>
      <w:r w:rsidRPr="009E1B48">
        <w:rPr>
          <w:rFonts w:cs="Arial"/>
          <w:i/>
          <w:iCs/>
          <w:szCs w:val="22"/>
        </w:rPr>
        <w:t>Tobacco Control</w:t>
      </w:r>
      <w:r w:rsidRPr="009E1B48">
        <w:rPr>
          <w:rFonts w:cs="Arial"/>
          <w:szCs w:val="22"/>
        </w:rPr>
        <w:t xml:space="preserve"> 27:</w:t>
      </w:r>
      <w:r w:rsidR="00BD212D" w:rsidRPr="009E1B48">
        <w:rPr>
          <w:rFonts w:cs="Arial"/>
          <w:szCs w:val="22"/>
        </w:rPr>
        <w:t xml:space="preserve"> </w:t>
      </w:r>
      <w:r w:rsidRPr="009E1B48">
        <w:rPr>
          <w:rFonts w:cs="Arial"/>
          <w:szCs w:val="22"/>
        </w:rPr>
        <w:t>278</w:t>
      </w:r>
      <w:r w:rsidR="00BD212D" w:rsidRPr="009E1B48">
        <w:rPr>
          <w:rFonts w:cs="Arial"/>
          <w:szCs w:val="22"/>
        </w:rPr>
        <w:t>–</w:t>
      </w:r>
      <w:r w:rsidRPr="009E1B48">
        <w:rPr>
          <w:rFonts w:cs="Arial"/>
          <w:szCs w:val="22"/>
        </w:rPr>
        <w:t>86</w:t>
      </w:r>
      <w:r w:rsidR="00BD212D" w:rsidRPr="009E1B48">
        <w:rPr>
          <w:rFonts w:cs="Arial"/>
          <w:szCs w:val="22"/>
        </w:rPr>
        <w:t>.</w:t>
      </w:r>
    </w:p>
    <w:p w14:paraId="27D8A6B6" w14:textId="213B7D9F" w:rsidR="00C5148E" w:rsidRPr="000C138D" w:rsidRDefault="00C5148E" w:rsidP="00C5148E">
      <w:pPr>
        <w:spacing w:before="120" w:after="120" w:line="240" w:lineRule="auto"/>
        <w:rPr>
          <w:rFonts w:cs="Arial"/>
          <w:color w:val="000000"/>
          <w:szCs w:val="22"/>
          <w:shd w:val="clear" w:color="auto" w:fill="DDEBEA"/>
        </w:rPr>
      </w:pPr>
      <w:r w:rsidRPr="009E1B48">
        <w:rPr>
          <w:rFonts w:cs="Arial"/>
          <w:color w:val="212121"/>
          <w:szCs w:val="22"/>
          <w:shd w:val="clear" w:color="auto" w:fill="FFFFFF"/>
        </w:rPr>
        <w:t xml:space="preserve">Wakefield MA, </w:t>
      </w:r>
      <w:proofErr w:type="spellStart"/>
      <w:r w:rsidR="00BD212D" w:rsidRPr="009E1B48">
        <w:rPr>
          <w:rFonts w:cs="Arial"/>
          <w:color w:val="212121"/>
          <w:szCs w:val="22"/>
          <w:shd w:val="clear" w:color="auto" w:fill="FFFFFF"/>
        </w:rPr>
        <w:t>Dunstone</w:t>
      </w:r>
      <w:proofErr w:type="spellEnd"/>
      <w:r w:rsidR="00BD212D" w:rsidRPr="009E1B48">
        <w:rPr>
          <w:rFonts w:cs="Arial"/>
          <w:color w:val="212121"/>
          <w:szCs w:val="22"/>
          <w:shd w:val="clear" w:color="auto" w:fill="FFFFFF"/>
        </w:rPr>
        <w:t xml:space="preserve"> K, Brennan E, </w:t>
      </w:r>
      <w:r w:rsidRPr="009E1B48">
        <w:rPr>
          <w:rFonts w:cs="Arial"/>
          <w:color w:val="212121"/>
          <w:szCs w:val="22"/>
          <w:shd w:val="clear" w:color="auto" w:fill="FFFFFF"/>
        </w:rPr>
        <w:t xml:space="preserve">et al. </w:t>
      </w:r>
      <w:r w:rsidR="00BD212D" w:rsidRPr="009E1B48">
        <w:rPr>
          <w:rFonts w:cs="Arial"/>
          <w:color w:val="212121"/>
          <w:szCs w:val="22"/>
          <w:shd w:val="clear" w:color="auto" w:fill="FFFFFF"/>
        </w:rPr>
        <w:t xml:space="preserve">2020. </w:t>
      </w:r>
      <w:r w:rsidRPr="000C138D">
        <w:rPr>
          <w:rFonts w:cs="Arial"/>
          <w:color w:val="212121"/>
          <w:szCs w:val="22"/>
          <w:shd w:val="clear" w:color="auto" w:fill="FFFFFF"/>
        </w:rPr>
        <w:t xml:space="preserve">Australian smokers' experiences and perceptions of recessed and firm filter cigarettes. </w:t>
      </w:r>
      <w:r w:rsidRPr="0040090E">
        <w:rPr>
          <w:rFonts w:cs="Arial"/>
          <w:i/>
          <w:color w:val="212121"/>
          <w:szCs w:val="22"/>
          <w:shd w:val="clear" w:color="auto" w:fill="FFFFFF"/>
        </w:rPr>
        <w:t>Tob</w:t>
      </w:r>
      <w:r w:rsidR="00A10730" w:rsidRPr="0040090E">
        <w:rPr>
          <w:rFonts w:cs="Arial"/>
          <w:i/>
          <w:color w:val="212121"/>
          <w:szCs w:val="22"/>
          <w:shd w:val="clear" w:color="auto" w:fill="FFFFFF"/>
        </w:rPr>
        <w:t>acco</w:t>
      </w:r>
      <w:r w:rsidRPr="0040090E">
        <w:rPr>
          <w:rFonts w:cs="Arial"/>
          <w:i/>
          <w:color w:val="212121"/>
          <w:szCs w:val="22"/>
          <w:shd w:val="clear" w:color="auto" w:fill="FFFFFF"/>
        </w:rPr>
        <w:t xml:space="preserve"> Control</w:t>
      </w:r>
      <w:r w:rsidR="00A10730" w:rsidRPr="00A10730">
        <w:rPr>
          <w:rFonts w:cs="Arial"/>
          <w:color w:val="212121"/>
          <w:szCs w:val="22"/>
          <w:shd w:val="clear" w:color="auto" w:fill="FFFFFF"/>
        </w:rPr>
        <w:t xml:space="preserve"> </w:t>
      </w:r>
      <w:proofErr w:type="spellStart"/>
      <w:r w:rsidR="00A10730" w:rsidRPr="000C138D">
        <w:rPr>
          <w:rFonts w:cs="Arial"/>
          <w:color w:val="212121"/>
          <w:szCs w:val="22"/>
          <w:shd w:val="clear" w:color="auto" w:fill="FFFFFF"/>
        </w:rPr>
        <w:t>Epub</w:t>
      </w:r>
      <w:proofErr w:type="spellEnd"/>
      <w:r w:rsidR="00A10730" w:rsidRPr="000C138D">
        <w:rPr>
          <w:rFonts w:cs="Arial"/>
          <w:color w:val="212121"/>
          <w:szCs w:val="22"/>
          <w:shd w:val="clear" w:color="auto" w:fill="FFFFFF"/>
        </w:rPr>
        <w:t xml:space="preserve"> ahead of print</w:t>
      </w:r>
      <w:r w:rsidR="00A10730">
        <w:rPr>
          <w:rFonts w:cs="Arial"/>
          <w:i/>
          <w:color w:val="212121"/>
          <w:szCs w:val="22"/>
          <w:shd w:val="clear" w:color="auto" w:fill="FFFFFF"/>
        </w:rPr>
        <w:t>.</w:t>
      </w:r>
      <w:r w:rsidRPr="000C138D">
        <w:rPr>
          <w:rFonts w:cs="Arial"/>
          <w:color w:val="212121"/>
          <w:szCs w:val="22"/>
          <w:shd w:val="clear" w:color="auto" w:fill="FFFFFF"/>
        </w:rPr>
        <w:t xml:space="preserve"> </w:t>
      </w:r>
      <w:r w:rsidR="00A10730">
        <w:rPr>
          <w:rFonts w:cs="Arial"/>
          <w:color w:val="212121"/>
          <w:szCs w:val="22"/>
          <w:shd w:val="clear" w:color="auto" w:fill="FFFFFF"/>
        </w:rPr>
        <w:t>DOI</w:t>
      </w:r>
      <w:r w:rsidRPr="000C138D">
        <w:rPr>
          <w:rFonts w:cs="Arial"/>
          <w:color w:val="212121"/>
          <w:szCs w:val="22"/>
          <w:shd w:val="clear" w:color="auto" w:fill="FFFFFF"/>
        </w:rPr>
        <w:t>: 10.1136/tobaccocontrol-2020-055725</w:t>
      </w:r>
      <w:r w:rsidR="00A10730" w:rsidRPr="000C138D">
        <w:rPr>
          <w:rFonts w:ascii="Segoe UI" w:hAnsi="Segoe UI" w:cs="Segoe UI"/>
          <w:color w:val="212121"/>
          <w:sz w:val="15"/>
          <w:szCs w:val="15"/>
        </w:rPr>
        <w:t xml:space="preserve"> </w:t>
      </w:r>
      <w:r w:rsidR="00A10730">
        <w:rPr>
          <w:sz w:val="23"/>
          <w:szCs w:val="23"/>
        </w:rPr>
        <w:t>(accessed 12 March 2021)</w:t>
      </w:r>
      <w:r w:rsidRPr="000C138D">
        <w:rPr>
          <w:rFonts w:cs="Arial"/>
          <w:color w:val="212121"/>
          <w:szCs w:val="22"/>
          <w:shd w:val="clear" w:color="auto" w:fill="FFFFFF"/>
        </w:rPr>
        <w:t>.</w:t>
      </w:r>
    </w:p>
    <w:p w14:paraId="3D80542E" w14:textId="08DD3B10" w:rsidR="00C5148E" w:rsidRPr="000C138D" w:rsidRDefault="00C5148E" w:rsidP="00C5148E">
      <w:pPr>
        <w:spacing w:before="120" w:after="120" w:line="240" w:lineRule="auto"/>
        <w:rPr>
          <w:rFonts w:cs="Arial"/>
          <w:szCs w:val="22"/>
        </w:rPr>
      </w:pPr>
      <w:proofErr w:type="spellStart"/>
      <w:r w:rsidRPr="000C138D">
        <w:rPr>
          <w:rFonts w:cs="Arial"/>
          <w:szCs w:val="22"/>
        </w:rPr>
        <w:t>Wallbank</w:t>
      </w:r>
      <w:proofErr w:type="spellEnd"/>
      <w:r w:rsidRPr="000C138D">
        <w:rPr>
          <w:rFonts w:cs="Arial"/>
          <w:szCs w:val="22"/>
        </w:rPr>
        <w:t xml:space="preserve"> L, </w:t>
      </w:r>
      <w:proofErr w:type="spellStart"/>
      <w:r w:rsidRPr="000C138D">
        <w:rPr>
          <w:rFonts w:cs="Arial"/>
          <w:szCs w:val="22"/>
        </w:rPr>
        <w:t>MacKenzie</w:t>
      </w:r>
      <w:proofErr w:type="spellEnd"/>
      <w:r w:rsidRPr="000C138D">
        <w:rPr>
          <w:rFonts w:cs="Arial"/>
          <w:szCs w:val="22"/>
        </w:rPr>
        <w:t xml:space="preserve"> R, Freeman B, </w:t>
      </w:r>
      <w:r w:rsidR="00DD3C7C">
        <w:rPr>
          <w:rFonts w:cs="Arial"/>
          <w:szCs w:val="22"/>
        </w:rPr>
        <w:t>et al</w:t>
      </w:r>
      <w:r w:rsidRPr="000C138D">
        <w:rPr>
          <w:rFonts w:cs="Arial"/>
          <w:szCs w:val="22"/>
        </w:rPr>
        <w:t xml:space="preserve">. 2016 The environmental impact of tobacco use. In </w:t>
      </w:r>
      <w:r w:rsidR="00DD3C7C">
        <w:rPr>
          <w:rFonts w:cs="Arial"/>
          <w:szCs w:val="22"/>
        </w:rPr>
        <w:t xml:space="preserve">MM </w:t>
      </w:r>
      <w:proofErr w:type="spellStart"/>
      <w:r w:rsidRPr="000C138D">
        <w:rPr>
          <w:rFonts w:cs="Arial"/>
          <w:szCs w:val="22"/>
        </w:rPr>
        <w:t>Scollo</w:t>
      </w:r>
      <w:proofErr w:type="spellEnd"/>
      <w:r w:rsidRPr="000C138D">
        <w:rPr>
          <w:rFonts w:cs="Arial"/>
          <w:szCs w:val="22"/>
        </w:rPr>
        <w:t xml:space="preserve">, </w:t>
      </w:r>
      <w:r w:rsidR="00DD3C7C">
        <w:rPr>
          <w:rFonts w:cs="Arial"/>
          <w:szCs w:val="22"/>
        </w:rPr>
        <w:t xml:space="preserve">MH </w:t>
      </w:r>
      <w:r w:rsidRPr="000C138D">
        <w:rPr>
          <w:rFonts w:cs="Arial"/>
          <w:szCs w:val="22"/>
        </w:rPr>
        <w:t>Winstanley</w:t>
      </w:r>
      <w:r w:rsidR="00DD3C7C">
        <w:rPr>
          <w:rFonts w:cs="Arial"/>
          <w:szCs w:val="22"/>
        </w:rPr>
        <w:t xml:space="preserve"> (</w:t>
      </w:r>
      <w:r w:rsidRPr="000C138D">
        <w:rPr>
          <w:rFonts w:cs="Arial"/>
          <w:szCs w:val="22"/>
        </w:rPr>
        <w:t>eds</w:t>
      </w:r>
      <w:r w:rsidR="00DD3C7C">
        <w:rPr>
          <w:rFonts w:cs="Arial"/>
          <w:szCs w:val="22"/>
        </w:rPr>
        <w:t>)</w:t>
      </w:r>
      <w:r w:rsidRPr="000C138D">
        <w:rPr>
          <w:rFonts w:cs="Arial"/>
          <w:szCs w:val="22"/>
        </w:rPr>
        <w:t xml:space="preserve"> </w:t>
      </w:r>
      <w:r w:rsidRPr="000C138D">
        <w:rPr>
          <w:rFonts w:cs="Arial"/>
          <w:i/>
          <w:iCs/>
          <w:szCs w:val="22"/>
        </w:rPr>
        <w:t>Tobacco in Australia: Facts and issues</w:t>
      </w:r>
      <w:r w:rsidRPr="000C138D">
        <w:rPr>
          <w:rFonts w:cs="Arial"/>
          <w:szCs w:val="22"/>
        </w:rPr>
        <w:t xml:space="preserve">. Melbourne: Cancer Council Victoria. </w:t>
      </w:r>
      <w:r w:rsidR="00573336">
        <w:rPr>
          <w:rFonts w:cs="Arial"/>
          <w:szCs w:val="22"/>
        </w:rPr>
        <w:t>URL</w:t>
      </w:r>
      <w:r w:rsidRPr="000C138D">
        <w:rPr>
          <w:rFonts w:cs="Arial"/>
          <w:color w:val="000000"/>
          <w:szCs w:val="22"/>
          <w:shd w:val="clear" w:color="auto" w:fill="DDEBEA"/>
        </w:rPr>
        <w:t xml:space="preserve">: </w:t>
      </w:r>
      <w:hyperlink r:id="rId33" w:history="1">
        <w:r w:rsidRPr="000C138D">
          <w:rPr>
            <w:rStyle w:val="Hyperlink"/>
            <w:rFonts w:cs="Arial"/>
            <w:szCs w:val="22"/>
          </w:rPr>
          <w:t>http://www.tobaccoinaustralia.org.au/chapter-10-tobacco-industry/10-16-the-environmental-impact-of-tobacco-use</w:t>
        </w:r>
      </w:hyperlink>
      <w:r w:rsidR="00D4436B" w:rsidRPr="000C138D">
        <w:rPr>
          <w:rFonts w:ascii="Segoe UI" w:hAnsi="Segoe UI" w:cs="Segoe UI"/>
          <w:color w:val="212121"/>
          <w:sz w:val="15"/>
          <w:szCs w:val="15"/>
        </w:rPr>
        <w:t xml:space="preserve"> </w:t>
      </w:r>
      <w:r w:rsidR="00D4436B">
        <w:rPr>
          <w:sz w:val="23"/>
          <w:szCs w:val="23"/>
        </w:rPr>
        <w:t>(accessed 12 March 2021)</w:t>
      </w:r>
      <w:r w:rsidR="00D4436B" w:rsidRPr="000C138D">
        <w:rPr>
          <w:rFonts w:cs="Arial"/>
          <w:color w:val="212121"/>
          <w:szCs w:val="22"/>
          <w:shd w:val="clear" w:color="auto" w:fill="FFFFFF"/>
        </w:rPr>
        <w:t>.</w:t>
      </w:r>
    </w:p>
    <w:p w14:paraId="7F2A4E29" w14:textId="7C3EDF73" w:rsidR="00C5148E" w:rsidRPr="000C138D" w:rsidRDefault="00C5148E" w:rsidP="00C5148E">
      <w:pPr>
        <w:autoSpaceDE w:val="0"/>
        <w:autoSpaceDN w:val="0"/>
        <w:adjustRightInd w:val="0"/>
        <w:spacing w:before="120" w:after="120" w:line="240" w:lineRule="auto"/>
        <w:rPr>
          <w:rFonts w:eastAsia="Calibri" w:cs="Arial"/>
          <w:szCs w:val="22"/>
          <w:lang w:eastAsia="en-NZ"/>
        </w:rPr>
      </w:pPr>
      <w:r w:rsidRPr="000C138D">
        <w:rPr>
          <w:rFonts w:cs="Arial"/>
          <w:szCs w:val="22"/>
        </w:rPr>
        <w:t xml:space="preserve">Walker K. 2019. </w:t>
      </w:r>
      <w:r w:rsidRPr="000C138D">
        <w:rPr>
          <w:rFonts w:cs="Arial"/>
          <w:i/>
          <w:iCs/>
          <w:szCs w:val="22"/>
        </w:rPr>
        <w:t>Issues of Tobacco, Alcohol and other Substance Abuse for Maori</w:t>
      </w:r>
      <w:r w:rsidR="002834BD">
        <w:rPr>
          <w:rFonts w:cs="Arial"/>
          <w:i/>
          <w:iCs/>
          <w:szCs w:val="22"/>
        </w:rPr>
        <w:t>:</w:t>
      </w:r>
      <w:r w:rsidRPr="000C138D">
        <w:rPr>
          <w:rFonts w:cs="Arial"/>
          <w:i/>
          <w:iCs/>
          <w:szCs w:val="22"/>
        </w:rPr>
        <w:t xml:space="preserve"> </w:t>
      </w:r>
      <w:r w:rsidRPr="000C138D">
        <w:rPr>
          <w:rFonts w:eastAsia="Calibri" w:cs="Arial"/>
          <w:i/>
          <w:iCs/>
          <w:szCs w:val="22"/>
          <w:lang w:eastAsia="en-NZ"/>
        </w:rPr>
        <w:t xml:space="preserve">Report commissioned by the Waitangi Tribunal for Stage 2 of the Health Services and Outcomes </w:t>
      </w:r>
      <w:proofErr w:type="spellStart"/>
      <w:r w:rsidRPr="000C138D">
        <w:rPr>
          <w:rFonts w:eastAsia="Calibri" w:cs="Arial"/>
          <w:i/>
          <w:iCs/>
          <w:szCs w:val="22"/>
          <w:lang w:eastAsia="en-NZ"/>
        </w:rPr>
        <w:t>Kaupapa</w:t>
      </w:r>
      <w:proofErr w:type="spellEnd"/>
      <w:r w:rsidRPr="000C138D">
        <w:rPr>
          <w:rFonts w:eastAsia="Calibri" w:cs="Arial"/>
          <w:i/>
          <w:iCs/>
          <w:szCs w:val="22"/>
          <w:lang w:eastAsia="en-NZ"/>
        </w:rPr>
        <w:t xml:space="preserve"> Inquiry (Wai 2575)</w:t>
      </w:r>
      <w:r w:rsidR="002834BD">
        <w:rPr>
          <w:rFonts w:eastAsia="Calibri" w:cs="Arial"/>
          <w:i/>
          <w:iCs/>
          <w:szCs w:val="22"/>
          <w:lang w:eastAsia="en-NZ"/>
        </w:rPr>
        <w:t>.</w:t>
      </w:r>
      <w:r w:rsidRPr="000C138D">
        <w:rPr>
          <w:rFonts w:eastAsia="Calibri" w:cs="Arial"/>
          <w:i/>
          <w:iCs/>
          <w:szCs w:val="22"/>
          <w:lang w:eastAsia="en-NZ"/>
        </w:rPr>
        <w:t xml:space="preserve"> </w:t>
      </w:r>
      <w:r w:rsidR="002834BD">
        <w:rPr>
          <w:rFonts w:eastAsia="Calibri" w:cs="Arial"/>
          <w:iCs/>
          <w:szCs w:val="22"/>
          <w:lang w:eastAsia="en-NZ"/>
        </w:rPr>
        <w:t>URL:</w:t>
      </w:r>
      <w:r w:rsidRPr="000C138D">
        <w:rPr>
          <w:rFonts w:eastAsia="Calibri" w:cs="Arial"/>
          <w:i/>
          <w:iCs/>
          <w:szCs w:val="22"/>
          <w:lang w:eastAsia="en-NZ"/>
        </w:rPr>
        <w:t xml:space="preserve"> </w:t>
      </w:r>
      <w:hyperlink r:id="rId34" w:history="1">
        <w:r w:rsidRPr="000C138D">
          <w:rPr>
            <w:rStyle w:val="Hyperlink"/>
            <w:rFonts w:cs="Arial"/>
            <w:szCs w:val="22"/>
          </w:rPr>
          <w:t>https://forms.justice.govt.nz/search/Documents/WT/wt_DOC_155808738/Wai%202575%2C%20B030.pdf</w:t>
        </w:r>
      </w:hyperlink>
      <w:r w:rsidR="002834BD" w:rsidRPr="000C138D">
        <w:rPr>
          <w:rFonts w:ascii="Segoe UI" w:hAnsi="Segoe UI" w:cs="Segoe UI"/>
          <w:color w:val="212121"/>
          <w:sz w:val="15"/>
          <w:szCs w:val="15"/>
        </w:rPr>
        <w:t xml:space="preserve"> </w:t>
      </w:r>
      <w:r w:rsidR="002834BD">
        <w:rPr>
          <w:sz w:val="23"/>
          <w:szCs w:val="23"/>
        </w:rPr>
        <w:t>(accessed 12 March 2021)</w:t>
      </w:r>
      <w:r w:rsidR="002834BD" w:rsidRPr="000C138D">
        <w:rPr>
          <w:rFonts w:cs="Arial"/>
          <w:color w:val="212121"/>
          <w:szCs w:val="22"/>
          <w:shd w:val="clear" w:color="auto" w:fill="FFFFFF"/>
        </w:rPr>
        <w:t>.</w:t>
      </w:r>
    </w:p>
    <w:p w14:paraId="150578DA" w14:textId="711ADB44" w:rsidR="00C5148E" w:rsidRPr="002834BD" w:rsidRDefault="00C5148E" w:rsidP="002834BD">
      <w:r w:rsidRPr="002834BD">
        <w:t xml:space="preserve">Walker N, </w:t>
      </w:r>
      <w:r w:rsidR="00286EF6">
        <w:t xml:space="preserve">Fraser T, Howe C, </w:t>
      </w:r>
      <w:r w:rsidRPr="002834BD">
        <w:t>et al</w:t>
      </w:r>
      <w:r w:rsidR="002834BD" w:rsidRPr="002834BD">
        <w:t xml:space="preserve"> 2014.</w:t>
      </w:r>
      <w:r w:rsidRPr="002834BD">
        <w:t xml:space="preserve"> Abrupt nicotine reduction as an endgame strategy: a randomised trial. </w:t>
      </w:r>
      <w:r w:rsidRPr="0040090E">
        <w:rPr>
          <w:i/>
        </w:rPr>
        <w:t>Tobacco Control</w:t>
      </w:r>
      <w:r w:rsidR="002834BD" w:rsidRPr="0040090E">
        <w:rPr>
          <w:i/>
        </w:rPr>
        <w:t xml:space="preserve"> </w:t>
      </w:r>
      <w:r w:rsidRPr="002834BD">
        <w:t>24(e4)</w:t>
      </w:r>
      <w:r w:rsidR="00BC7228">
        <w:t>: e251–7</w:t>
      </w:r>
      <w:r w:rsidR="002834BD">
        <w:t>.</w:t>
      </w:r>
    </w:p>
    <w:p w14:paraId="0DFA03B6" w14:textId="15C3FE53" w:rsidR="00C5148E" w:rsidRPr="000C138D" w:rsidRDefault="00C5148E" w:rsidP="00C5148E">
      <w:pPr>
        <w:spacing w:before="120" w:after="120" w:line="240" w:lineRule="auto"/>
        <w:rPr>
          <w:rFonts w:cs="Arial"/>
          <w:szCs w:val="22"/>
        </w:rPr>
      </w:pPr>
      <w:proofErr w:type="gramStart"/>
      <w:r>
        <w:rPr>
          <w:rFonts w:eastAsiaTheme="minorHAnsi" w:cs="Arial"/>
          <w:szCs w:val="22"/>
          <w:lang w:eastAsia="en-US"/>
        </w:rPr>
        <w:t>WHO</w:t>
      </w:r>
      <w:r w:rsidRPr="000C138D">
        <w:rPr>
          <w:rFonts w:eastAsiaTheme="minorHAnsi" w:cs="Arial"/>
          <w:szCs w:val="22"/>
          <w:lang w:eastAsia="en-US"/>
        </w:rPr>
        <w:t>.</w:t>
      </w:r>
      <w:proofErr w:type="gramEnd"/>
      <w:r w:rsidRPr="000C138D">
        <w:rPr>
          <w:rFonts w:eastAsiaTheme="minorHAnsi" w:cs="Arial"/>
          <w:szCs w:val="22"/>
          <w:lang w:eastAsia="en-US"/>
        </w:rPr>
        <w:t xml:space="preserve"> 2003. </w:t>
      </w:r>
      <w:r w:rsidRPr="000C138D">
        <w:rPr>
          <w:rFonts w:eastAsiaTheme="minorHAnsi" w:cs="Arial"/>
          <w:i/>
          <w:iCs/>
          <w:szCs w:val="22"/>
          <w:lang w:eastAsia="en-US"/>
        </w:rPr>
        <w:t>WHO Framework Convention on Tobacco Control</w:t>
      </w:r>
      <w:r w:rsidRPr="000C138D">
        <w:rPr>
          <w:rFonts w:eastAsiaTheme="minorHAnsi" w:cs="Arial"/>
          <w:szCs w:val="22"/>
          <w:lang w:eastAsia="en-US"/>
        </w:rPr>
        <w:t xml:space="preserve">. </w:t>
      </w:r>
      <w:r>
        <w:rPr>
          <w:rFonts w:eastAsiaTheme="minorHAnsi" w:cs="Arial"/>
          <w:szCs w:val="22"/>
          <w:lang w:eastAsia="en-US"/>
        </w:rPr>
        <w:t xml:space="preserve">Geneva: </w:t>
      </w:r>
      <w:r w:rsidRPr="000C138D">
        <w:rPr>
          <w:rFonts w:eastAsiaTheme="minorHAnsi" w:cs="Arial"/>
          <w:szCs w:val="22"/>
          <w:lang w:eastAsia="en-US"/>
        </w:rPr>
        <w:t>World Health Organization</w:t>
      </w:r>
      <w:r>
        <w:rPr>
          <w:rFonts w:eastAsiaTheme="minorHAnsi" w:cs="Arial"/>
          <w:szCs w:val="22"/>
          <w:lang w:eastAsia="en-US"/>
        </w:rPr>
        <w:t>.</w:t>
      </w:r>
      <w:r w:rsidRPr="000C138D" w:rsidDel="00304501">
        <w:rPr>
          <w:rFonts w:eastAsiaTheme="minorHAnsi" w:cs="Arial"/>
          <w:szCs w:val="22"/>
          <w:lang w:eastAsia="en-US"/>
        </w:rPr>
        <w:t xml:space="preserve"> </w:t>
      </w:r>
      <w:r>
        <w:rPr>
          <w:rFonts w:eastAsiaTheme="minorHAnsi" w:cs="Arial"/>
          <w:szCs w:val="22"/>
          <w:lang w:eastAsia="en-US"/>
        </w:rPr>
        <w:t>URL</w:t>
      </w:r>
      <w:r w:rsidRPr="000C138D">
        <w:rPr>
          <w:rFonts w:eastAsiaTheme="minorHAnsi" w:cs="Arial"/>
          <w:szCs w:val="22"/>
          <w:lang w:eastAsia="en-US"/>
        </w:rPr>
        <w:t xml:space="preserve">: </w:t>
      </w:r>
      <w:hyperlink r:id="rId35" w:history="1">
        <w:r w:rsidRPr="000C138D">
          <w:rPr>
            <w:rStyle w:val="Hyperlink"/>
            <w:rFonts w:eastAsiaTheme="minorHAnsi" w:cs="Arial"/>
            <w:szCs w:val="22"/>
            <w:lang w:eastAsia="en-US"/>
          </w:rPr>
          <w:t>https://www.who.int/fctc/text_download/en/</w:t>
        </w:r>
      </w:hyperlink>
      <w:r w:rsidRPr="000C138D">
        <w:rPr>
          <w:rFonts w:eastAsiaTheme="minorHAnsi" w:cs="Arial"/>
          <w:szCs w:val="22"/>
          <w:lang w:eastAsia="en-US"/>
        </w:rPr>
        <w:t xml:space="preserve"> </w:t>
      </w:r>
      <w:r>
        <w:rPr>
          <w:rFonts w:eastAsiaTheme="minorHAnsi" w:cs="Arial"/>
          <w:szCs w:val="22"/>
          <w:lang w:eastAsia="en-US"/>
        </w:rPr>
        <w:t>(accessed 10 March 2021).</w:t>
      </w:r>
    </w:p>
    <w:p w14:paraId="4B6D1FA7" w14:textId="31B700AA" w:rsidR="00C5148E" w:rsidRPr="00A90D80" w:rsidRDefault="00C5148E" w:rsidP="00C5148E">
      <w:pPr>
        <w:autoSpaceDE w:val="0"/>
        <w:autoSpaceDN w:val="0"/>
        <w:adjustRightInd w:val="0"/>
        <w:spacing w:before="120" w:after="120" w:line="240" w:lineRule="auto"/>
      </w:pPr>
      <w:proofErr w:type="gramStart"/>
      <w:r w:rsidRPr="000C138D">
        <w:rPr>
          <w:rFonts w:eastAsiaTheme="minorHAnsi" w:cs="Arial"/>
          <w:szCs w:val="22"/>
          <w:lang w:eastAsia="en-US"/>
        </w:rPr>
        <w:t>WHO</w:t>
      </w:r>
      <w:r w:rsidR="00BC7228">
        <w:rPr>
          <w:rFonts w:eastAsiaTheme="minorHAnsi" w:cs="Arial"/>
          <w:szCs w:val="22"/>
          <w:lang w:eastAsia="en-US"/>
        </w:rPr>
        <w:t>.</w:t>
      </w:r>
      <w:proofErr w:type="gramEnd"/>
      <w:r w:rsidRPr="000C138D">
        <w:rPr>
          <w:rFonts w:eastAsiaTheme="minorHAnsi" w:cs="Arial"/>
          <w:szCs w:val="22"/>
          <w:lang w:eastAsia="en-US"/>
        </w:rPr>
        <w:t xml:space="preserve"> </w:t>
      </w:r>
      <w:r w:rsidRPr="0044488E">
        <w:rPr>
          <w:rFonts w:eastAsiaTheme="minorHAnsi" w:cs="Arial"/>
          <w:iCs/>
          <w:szCs w:val="22"/>
          <w:lang w:eastAsia="en-US"/>
        </w:rPr>
        <w:t>2016</w:t>
      </w:r>
      <w:r w:rsidR="00BC7228">
        <w:rPr>
          <w:rFonts w:eastAsiaTheme="minorHAnsi" w:cs="Arial"/>
          <w:iCs/>
          <w:szCs w:val="22"/>
          <w:lang w:eastAsia="en-US"/>
        </w:rPr>
        <w:t>,</w:t>
      </w:r>
      <w:r w:rsidRPr="000C138D">
        <w:rPr>
          <w:rFonts w:eastAsiaTheme="minorHAnsi" w:cs="Arial"/>
          <w:i/>
          <w:iCs/>
          <w:szCs w:val="22"/>
          <w:lang w:eastAsia="en-US"/>
        </w:rPr>
        <w:t xml:space="preserve"> Advisory </w:t>
      </w:r>
      <w:r w:rsidR="00BC7228">
        <w:rPr>
          <w:rFonts w:eastAsiaTheme="minorHAnsi" w:cs="Arial"/>
          <w:i/>
          <w:iCs/>
          <w:szCs w:val="22"/>
          <w:lang w:eastAsia="en-US"/>
        </w:rPr>
        <w:t>N</w:t>
      </w:r>
      <w:r w:rsidRPr="000C138D">
        <w:rPr>
          <w:rFonts w:eastAsiaTheme="minorHAnsi" w:cs="Arial"/>
          <w:i/>
          <w:iCs/>
          <w:szCs w:val="22"/>
          <w:lang w:eastAsia="en-US"/>
        </w:rPr>
        <w:t>ote</w:t>
      </w:r>
      <w:r w:rsidR="00BC7228">
        <w:rPr>
          <w:rFonts w:eastAsiaTheme="minorHAnsi" w:cs="Arial"/>
          <w:i/>
          <w:iCs/>
          <w:szCs w:val="22"/>
          <w:lang w:eastAsia="en-US"/>
        </w:rPr>
        <w:t>:</w:t>
      </w:r>
      <w:r w:rsidRPr="000C138D">
        <w:rPr>
          <w:rFonts w:eastAsiaTheme="minorHAnsi" w:cs="Arial"/>
          <w:i/>
          <w:iCs/>
          <w:szCs w:val="22"/>
          <w:lang w:eastAsia="en-US"/>
        </w:rPr>
        <w:t xml:space="preserve"> Banning Menthol in Tobacco Products</w:t>
      </w:r>
      <w:r w:rsidRPr="000C138D">
        <w:rPr>
          <w:rFonts w:eastAsiaTheme="minorHAnsi" w:cs="Arial"/>
          <w:szCs w:val="22"/>
          <w:lang w:eastAsia="en-US"/>
        </w:rPr>
        <w:t xml:space="preserve">. WHO Study Group on Tobacco Product Regulation </w:t>
      </w:r>
      <w:proofErr w:type="gramStart"/>
      <w:r w:rsidRPr="000C138D">
        <w:rPr>
          <w:rFonts w:eastAsiaTheme="minorHAnsi" w:cs="Arial"/>
          <w:szCs w:val="22"/>
          <w:lang w:eastAsia="en-US"/>
        </w:rPr>
        <w:t>(</w:t>
      </w:r>
      <w:proofErr w:type="spellStart"/>
      <w:r w:rsidRPr="000C138D">
        <w:rPr>
          <w:rFonts w:eastAsiaTheme="minorHAnsi" w:cs="Arial"/>
          <w:szCs w:val="22"/>
          <w:lang w:eastAsia="en-US"/>
        </w:rPr>
        <w:t>TobReg</w:t>
      </w:r>
      <w:proofErr w:type="spellEnd"/>
      <w:r w:rsidRPr="000C138D">
        <w:rPr>
          <w:rFonts w:eastAsiaTheme="minorHAnsi" w:cs="Arial"/>
          <w:szCs w:val="22"/>
          <w:lang w:eastAsia="en-US"/>
        </w:rPr>
        <w:t>)</w:t>
      </w:r>
      <w:r w:rsidR="00BC7228">
        <w:rPr>
          <w:rFonts w:eastAsiaTheme="minorHAnsi" w:cs="Arial"/>
          <w:szCs w:val="22"/>
          <w:lang w:eastAsia="en-US"/>
        </w:rPr>
        <w:t>.</w:t>
      </w:r>
      <w:proofErr w:type="gramEnd"/>
      <w:r w:rsidR="00BC7228" w:rsidRPr="00BC7228">
        <w:rPr>
          <w:rFonts w:eastAsiaTheme="minorHAnsi" w:cs="Arial"/>
          <w:szCs w:val="22"/>
          <w:lang w:eastAsia="en-US"/>
        </w:rPr>
        <w:t xml:space="preserve"> </w:t>
      </w:r>
      <w:r w:rsidR="00BC7228" w:rsidRPr="000C138D">
        <w:rPr>
          <w:rFonts w:eastAsiaTheme="minorHAnsi" w:cs="Arial"/>
          <w:szCs w:val="22"/>
          <w:lang w:eastAsia="en-US"/>
        </w:rPr>
        <w:t>Geneva: World Health Organization</w:t>
      </w:r>
      <w:r w:rsidR="00BC7228">
        <w:rPr>
          <w:rFonts w:eastAsiaTheme="minorHAnsi" w:cs="Arial"/>
          <w:szCs w:val="22"/>
          <w:lang w:eastAsia="en-US"/>
        </w:rPr>
        <w:t>. URL:</w:t>
      </w:r>
      <w:r w:rsidRPr="000C138D">
        <w:rPr>
          <w:rFonts w:eastAsiaTheme="minorHAnsi" w:cs="Arial"/>
          <w:szCs w:val="22"/>
          <w:lang w:eastAsia="en-US"/>
        </w:rPr>
        <w:t xml:space="preserve"> </w:t>
      </w:r>
      <w:hyperlink r:id="rId36" w:history="1">
        <w:r w:rsidRPr="000C138D">
          <w:rPr>
            <w:rStyle w:val="Hyperlink"/>
            <w:rFonts w:cs="Arial"/>
            <w:szCs w:val="22"/>
          </w:rPr>
          <w:t>http://apps.who.int/iris/bitstream/10665/205928/1/9789241510332_eng.pdf</w:t>
        </w:r>
        <w:r w:rsidR="00BC7228" w:rsidRPr="000C138D" w:rsidDel="00BC7228">
          <w:rPr>
            <w:rStyle w:val="Hyperlink"/>
            <w:rFonts w:cs="Arial"/>
            <w:szCs w:val="22"/>
          </w:rPr>
          <w:t xml:space="preserve"> </w:t>
        </w:r>
      </w:hyperlink>
      <w:r w:rsidR="00BC7228" w:rsidRPr="000C138D">
        <w:rPr>
          <w:rFonts w:eastAsiaTheme="minorHAnsi" w:cs="Arial"/>
          <w:szCs w:val="22"/>
          <w:lang w:eastAsia="en-US"/>
        </w:rPr>
        <w:t xml:space="preserve"> </w:t>
      </w:r>
      <w:r w:rsidR="00BC7228">
        <w:rPr>
          <w:rFonts w:eastAsiaTheme="minorHAnsi" w:cs="Arial"/>
          <w:szCs w:val="22"/>
          <w:lang w:eastAsia="en-US"/>
        </w:rPr>
        <w:t>(accessed 12 March 2021).</w:t>
      </w:r>
    </w:p>
    <w:p w14:paraId="34642EE6" w14:textId="6B8BC4B9" w:rsidR="00C5148E" w:rsidRPr="000C138D" w:rsidRDefault="00C5148E" w:rsidP="00C5148E">
      <w:pPr>
        <w:autoSpaceDE w:val="0"/>
        <w:autoSpaceDN w:val="0"/>
        <w:adjustRightInd w:val="0"/>
        <w:spacing w:before="120" w:after="120" w:line="240" w:lineRule="auto"/>
      </w:pPr>
      <w:proofErr w:type="gramStart"/>
      <w:r w:rsidRPr="000C138D">
        <w:rPr>
          <w:rFonts w:cs="Arial"/>
          <w:szCs w:val="22"/>
        </w:rPr>
        <w:t>WHO</w:t>
      </w:r>
      <w:r w:rsidR="00BC7228">
        <w:rPr>
          <w:rFonts w:cs="Arial"/>
          <w:szCs w:val="22"/>
        </w:rPr>
        <w:t>.</w:t>
      </w:r>
      <w:proofErr w:type="gramEnd"/>
      <w:r w:rsidRPr="000C138D">
        <w:rPr>
          <w:rFonts w:cs="Arial"/>
          <w:szCs w:val="22"/>
        </w:rPr>
        <w:t xml:space="preserve"> 2017.</w:t>
      </w:r>
      <w:r w:rsidRPr="000C138D">
        <w:rPr>
          <w:rFonts w:cs="Arial"/>
          <w:i/>
          <w:iCs/>
          <w:szCs w:val="22"/>
        </w:rPr>
        <w:t xml:space="preserve"> Tobacco and its </w:t>
      </w:r>
      <w:r w:rsidR="00BC7228">
        <w:rPr>
          <w:rFonts w:cs="Arial"/>
          <w:i/>
          <w:iCs/>
          <w:szCs w:val="22"/>
        </w:rPr>
        <w:t>E</w:t>
      </w:r>
      <w:r w:rsidRPr="000C138D">
        <w:rPr>
          <w:rFonts w:cs="Arial"/>
          <w:i/>
          <w:iCs/>
          <w:szCs w:val="22"/>
        </w:rPr>
        <w:t xml:space="preserve">nvironmental </w:t>
      </w:r>
      <w:r w:rsidR="00BC7228">
        <w:rPr>
          <w:rFonts w:cs="Arial"/>
          <w:i/>
          <w:iCs/>
          <w:szCs w:val="22"/>
        </w:rPr>
        <w:t>I</w:t>
      </w:r>
      <w:r w:rsidRPr="000C138D">
        <w:rPr>
          <w:rFonts w:cs="Arial"/>
          <w:i/>
          <w:iCs/>
          <w:szCs w:val="22"/>
        </w:rPr>
        <w:t xml:space="preserve">mpact: </w:t>
      </w:r>
      <w:r w:rsidR="00BC7228">
        <w:rPr>
          <w:rFonts w:cs="Arial"/>
          <w:i/>
          <w:iCs/>
          <w:szCs w:val="22"/>
        </w:rPr>
        <w:t>A</w:t>
      </w:r>
      <w:r w:rsidRPr="000C138D">
        <w:rPr>
          <w:rFonts w:cs="Arial"/>
          <w:i/>
          <w:iCs/>
          <w:szCs w:val="22"/>
        </w:rPr>
        <w:t xml:space="preserve">n overview. </w:t>
      </w:r>
      <w:r w:rsidRPr="000C138D">
        <w:rPr>
          <w:rFonts w:eastAsiaTheme="minorHAnsi" w:cs="Arial"/>
          <w:szCs w:val="22"/>
          <w:lang w:eastAsia="en-US"/>
        </w:rPr>
        <w:t>Geneva: World Health Organization</w:t>
      </w:r>
      <w:r>
        <w:rPr>
          <w:rFonts w:eastAsiaTheme="minorHAnsi" w:cs="Arial"/>
          <w:szCs w:val="22"/>
          <w:lang w:eastAsia="en-US"/>
        </w:rPr>
        <w:t>.</w:t>
      </w:r>
    </w:p>
    <w:p w14:paraId="68784753" w14:textId="77777777" w:rsidR="00C5148E" w:rsidRDefault="00C5148E">
      <w:pPr>
        <w:spacing w:after="0" w:line="240" w:lineRule="auto"/>
        <w:rPr>
          <w:b/>
          <w:color w:val="0082AB"/>
          <w:spacing w:val="20"/>
          <w:w w:val="90"/>
          <w:sz w:val="32"/>
          <w:szCs w:val="24"/>
          <w:lang w:eastAsia="en-AU"/>
        </w:rPr>
      </w:pPr>
      <w:r>
        <w:rPr>
          <w:lang w:eastAsia="en-AU"/>
        </w:rPr>
        <w:br w:type="page"/>
      </w:r>
    </w:p>
    <w:p w14:paraId="0791ECAB" w14:textId="3CB0DCF3" w:rsidR="00B64F99" w:rsidRPr="000C138D" w:rsidRDefault="00B64F99" w:rsidP="000E0C9E">
      <w:pPr>
        <w:pStyle w:val="Heading2"/>
        <w:rPr>
          <w:lang w:eastAsia="en-AU"/>
        </w:rPr>
      </w:pPr>
      <w:r w:rsidRPr="000C138D">
        <w:rPr>
          <w:lang w:eastAsia="en-AU"/>
        </w:rPr>
        <w:lastRenderedPageBreak/>
        <w:t>Appendix</w:t>
      </w:r>
      <w:r w:rsidR="0094337A">
        <w:rPr>
          <w:lang w:eastAsia="en-AU"/>
        </w:rPr>
        <w:t>:</w:t>
      </w:r>
      <w:r w:rsidRPr="000C138D">
        <w:rPr>
          <w:lang w:eastAsia="en-AU"/>
        </w:rPr>
        <w:t xml:space="preserve"> Tobacco </w:t>
      </w:r>
      <w:r w:rsidR="0094337A">
        <w:rPr>
          <w:lang w:eastAsia="en-AU"/>
        </w:rPr>
        <w:t>s</w:t>
      </w:r>
      <w:r w:rsidRPr="000C138D">
        <w:rPr>
          <w:lang w:eastAsia="en-AU"/>
        </w:rPr>
        <w:t>moking in New Zealand</w:t>
      </w:r>
    </w:p>
    <w:p w14:paraId="66BAAE93" w14:textId="54A15744" w:rsidR="00B64F99" w:rsidRPr="000C138D" w:rsidRDefault="00B64F99" w:rsidP="008931C3">
      <w:pPr>
        <w:rPr>
          <w:lang w:eastAsia="en-AU"/>
        </w:rPr>
      </w:pPr>
      <w:r w:rsidRPr="000C138D">
        <w:rPr>
          <w:lang w:eastAsia="en-AU"/>
        </w:rPr>
        <w:t>Smoking rates and tobacco consumption have been declining over recent decades</w:t>
      </w:r>
      <w:r w:rsidR="00B75F9E">
        <w:rPr>
          <w:lang w:eastAsia="en-AU"/>
        </w:rPr>
        <w:t>.</w:t>
      </w:r>
      <w:r w:rsidRPr="000C138D">
        <w:rPr>
          <w:lang w:eastAsia="en-AU"/>
        </w:rPr>
        <w:t xml:space="preserve"> </w:t>
      </w:r>
      <w:r w:rsidR="00B75F9E">
        <w:rPr>
          <w:lang w:eastAsia="en-AU"/>
        </w:rPr>
        <w:t>H</w:t>
      </w:r>
      <w:r w:rsidRPr="000C138D">
        <w:rPr>
          <w:lang w:eastAsia="en-AU"/>
        </w:rPr>
        <w:t>owever, around 4,500 New Zealanders still die prematurely each year from a smoking</w:t>
      </w:r>
      <w:r w:rsidR="00B75F9E">
        <w:rPr>
          <w:lang w:eastAsia="en-AU"/>
        </w:rPr>
        <w:t>-</w:t>
      </w:r>
      <w:r w:rsidRPr="000C138D">
        <w:rPr>
          <w:lang w:eastAsia="en-AU"/>
        </w:rPr>
        <w:t>related illness.</w:t>
      </w:r>
    </w:p>
    <w:p w14:paraId="22C82AF3" w14:textId="5B243981" w:rsidR="00B64F99" w:rsidRPr="000C138D" w:rsidRDefault="00B64F99" w:rsidP="008931C3">
      <w:pPr>
        <w:rPr>
          <w:rFonts w:cs="Arial"/>
          <w:bCs/>
        </w:rPr>
      </w:pPr>
      <w:r w:rsidRPr="000C138D">
        <w:rPr>
          <w:rFonts w:cs="Arial"/>
          <w:lang w:eastAsia="en-AU"/>
        </w:rPr>
        <w:t>In 2019/20, 11.6</w:t>
      </w:r>
      <w:r w:rsidRPr="000C138D">
        <w:rPr>
          <w:rFonts w:cs="Arial"/>
        </w:rPr>
        <w:t xml:space="preserve"> percent of adults were daily smokers</w:t>
      </w:r>
      <w:r w:rsidRPr="000C138D">
        <w:rPr>
          <w:rFonts w:cs="Arial"/>
          <w:lang w:eastAsia="en-AU"/>
        </w:rPr>
        <w:t xml:space="preserve"> (</w:t>
      </w:r>
      <w:r w:rsidRPr="000C138D">
        <w:rPr>
          <w:rFonts w:cs="Arial"/>
          <w:bCs/>
        </w:rPr>
        <w:t>28.7% of Māori</w:t>
      </w:r>
      <w:r w:rsidR="00B75F9E">
        <w:rPr>
          <w:rFonts w:cs="Arial"/>
          <w:bCs/>
        </w:rPr>
        <w:t>,</w:t>
      </w:r>
      <w:r w:rsidRPr="000C138D">
        <w:rPr>
          <w:rFonts w:cs="Arial"/>
          <w:bCs/>
        </w:rPr>
        <w:t xml:space="preserve"> 18.3% of Pacific</w:t>
      </w:r>
      <w:r w:rsidR="00B75F9E">
        <w:rPr>
          <w:rFonts w:cs="Arial"/>
          <w:bCs/>
        </w:rPr>
        <w:t xml:space="preserve"> peoples,</w:t>
      </w:r>
      <w:r w:rsidRPr="000C138D">
        <w:rPr>
          <w:rFonts w:cs="Arial"/>
          <w:bCs/>
        </w:rPr>
        <w:t xml:space="preserve"> 10.1% of European/Others</w:t>
      </w:r>
      <w:r w:rsidR="00B75F9E">
        <w:rPr>
          <w:rFonts w:cs="Arial"/>
          <w:bCs/>
        </w:rPr>
        <w:t xml:space="preserve"> and</w:t>
      </w:r>
      <w:r w:rsidRPr="000C138D">
        <w:rPr>
          <w:rFonts w:cs="Arial"/>
          <w:bCs/>
        </w:rPr>
        <w:t xml:space="preserve"> 7.4% of Asian)</w:t>
      </w:r>
      <w:r w:rsidR="00597C7D" w:rsidRPr="000C138D">
        <w:rPr>
          <w:rFonts w:cs="Arial"/>
          <w:bCs/>
        </w:rPr>
        <w:t>.</w:t>
      </w:r>
    </w:p>
    <w:p w14:paraId="7424752E" w14:textId="1134E1DB" w:rsidR="00B64F99" w:rsidRPr="000C138D" w:rsidRDefault="00053A90" w:rsidP="008931C3">
      <w:pPr>
        <w:rPr>
          <w:lang w:eastAsia="en-AU"/>
        </w:rPr>
      </w:pPr>
      <w:r w:rsidRPr="000C138D">
        <w:rPr>
          <w:lang w:eastAsia="en-AU"/>
        </w:rPr>
        <w:t xml:space="preserve">On average, each smoker smoked 9.4 cigarettes per day in </w:t>
      </w:r>
      <w:r w:rsidR="00A778E2" w:rsidRPr="000C138D">
        <w:rPr>
          <w:lang w:eastAsia="en-AU"/>
        </w:rPr>
        <w:t>20</w:t>
      </w:r>
      <w:r w:rsidRPr="000C138D">
        <w:rPr>
          <w:lang w:eastAsia="en-AU"/>
        </w:rPr>
        <w:t>19/20</w:t>
      </w:r>
      <w:r w:rsidR="00B75F9E">
        <w:rPr>
          <w:lang w:eastAsia="en-AU"/>
        </w:rPr>
        <w:t>,</w:t>
      </w:r>
      <w:r w:rsidRPr="000C138D">
        <w:rPr>
          <w:lang w:eastAsia="en-AU"/>
        </w:rPr>
        <w:t xml:space="preserve"> down from 11.2 in </w:t>
      </w:r>
      <w:r w:rsidR="00A778E2" w:rsidRPr="000C138D">
        <w:rPr>
          <w:lang w:eastAsia="en-AU"/>
        </w:rPr>
        <w:t>20</w:t>
      </w:r>
      <w:r w:rsidRPr="000C138D">
        <w:rPr>
          <w:lang w:eastAsia="en-AU"/>
        </w:rPr>
        <w:t xml:space="preserve">11/12 (Ministry of Health 2020a). </w:t>
      </w:r>
      <w:r w:rsidR="00B64F99" w:rsidRPr="000C138D">
        <w:rPr>
          <w:lang w:eastAsia="en-AU"/>
        </w:rPr>
        <w:t xml:space="preserve">Broadly, rates of smoking have been declining in youth. In 2006, 8.2 percent of </w:t>
      </w:r>
      <w:r w:rsidR="00597C7D" w:rsidRPr="000C138D">
        <w:rPr>
          <w:lang w:eastAsia="en-AU"/>
        </w:rPr>
        <w:t>Y</w:t>
      </w:r>
      <w:r w:rsidR="00B64F99" w:rsidRPr="000C138D">
        <w:rPr>
          <w:lang w:eastAsia="en-AU"/>
        </w:rPr>
        <w:t>ear 10</w:t>
      </w:r>
      <w:r w:rsidR="00597C7D" w:rsidRPr="000C138D">
        <w:rPr>
          <w:lang w:eastAsia="en-AU"/>
        </w:rPr>
        <w:t xml:space="preserve"> student</w:t>
      </w:r>
      <w:r w:rsidR="00B64F99" w:rsidRPr="000C138D">
        <w:rPr>
          <w:lang w:eastAsia="en-AU"/>
        </w:rPr>
        <w:t xml:space="preserve">s smoked daily, while in 2019 this </w:t>
      </w:r>
      <w:r w:rsidR="00B75F9E">
        <w:rPr>
          <w:lang w:eastAsia="en-AU"/>
        </w:rPr>
        <w:t>figure had fallen to</w:t>
      </w:r>
      <w:r w:rsidR="00B64F99" w:rsidRPr="000C138D">
        <w:rPr>
          <w:lang w:eastAsia="en-AU"/>
        </w:rPr>
        <w:t xml:space="preserve"> 2.1</w:t>
      </w:r>
      <w:r w:rsidR="004C1282" w:rsidRPr="000C138D">
        <w:rPr>
          <w:lang w:eastAsia="en-AU"/>
        </w:rPr>
        <w:t xml:space="preserve"> percent</w:t>
      </w:r>
      <w:r w:rsidR="00B64F99" w:rsidRPr="000C138D">
        <w:rPr>
          <w:lang w:eastAsia="en-AU"/>
        </w:rPr>
        <w:t>. However, clear disparities across different ethnicity and socioeconomic groupings</w:t>
      </w:r>
      <w:r w:rsidR="00B75F9E">
        <w:rPr>
          <w:lang w:eastAsia="en-AU"/>
        </w:rPr>
        <w:t xml:space="preserve"> continue. Further</w:t>
      </w:r>
      <w:r w:rsidR="00B64F99" w:rsidRPr="000C138D">
        <w:rPr>
          <w:lang w:eastAsia="en-AU"/>
        </w:rPr>
        <w:t xml:space="preserve">, over time the gaps between Māori and Pacific young people and other ethnicities seem to have widened, with </w:t>
      </w:r>
      <w:r w:rsidR="00B75F9E">
        <w:rPr>
          <w:lang w:eastAsia="en-AU"/>
        </w:rPr>
        <w:t xml:space="preserve">a </w:t>
      </w:r>
      <w:r w:rsidR="00B64F99" w:rsidRPr="000C138D">
        <w:rPr>
          <w:lang w:eastAsia="en-AU"/>
        </w:rPr>
        <w:t xml:space="preserve">much faster decline </w:t>
      </w:r>
      <w:r w:rsidR="00B75F9E">
        <w:rPr>
          <w:lang w:eastAsia="en-AU"/>
        </w:rPr>
        <w:t xml:space="preserve">in smoking rates </w:t>
      </w:r>
      <w:r w:rsidR="00B64F99" w:rsidRPr="000C138D">
        <w:rPr>
          <w:lang w:eastAsia="en-AU"/>
        </w:rPr>
        <w:t xml:space="preserve">for </w:t>
      </w:r>
      <w:proofErr w:type="spellStart"/>
      <w:r w:rsidR="00B64F99" w:rsidRPr="000C138D">
        <w:rPr>
          <w:lang w:eastAsia="en-AU"/>
        </w:rPr>
        <w:t>P</w:t>
      </w:r>
      <w:r w:rsidR="00023E0D" w:rsidRPr="000C138D">
        <w:rPr>
          <w:lang w:eastAsia="en-AU"/>
        </w:rPr>
        <w:t>ā</w:t>
      </w:r>
      <w:r w:rsidR="00B64F99" w:rsidRPr="000C138D">
        <w:rPr>
          <w:lang w:eastAsia="en-AU"/>
        </w:rPr>
        <w:t>keh</w:t>
      </w:r>
      <w:r w:rsidR="00023E0D" w:rsidRPr="000C138D">
        <w:rPr>
          <w:lang w:eastAsia="en-AU"/>
        </w:rPr>
        <w:t>ā</w:t>
      </w:r>
      <w:proofErr w:type="spellEnd"/>
      <w:r w:rsidR="00B64F99" w:rsidRPr="000C138D">
        <w:rPr>
          <w:lang w:eastAsia="en-AU"/>
        </w:rPr>
        <w:t xml:space="preserve"> students (ASH 20</w:t>
      </w:r>
      <w:r w:rsidR="006C30E3">
        <w:rPr>
          <w:lang w:eastAsia="en-AU"/>
        </w:rPr>
        <w:t>19</w:t>
      </w:r>
      <w:r w:rsidR="00B64F99" w:rsidRPr="000C138D">
        <w:rPr>
          <w:lang w:eastAsia="en-AU"/>
        </w:rPr>
        <w:t xml:space="preserve">).  </w:t>
      </w:r>
    </w:p>
    <w:p w14:paraId="35B05BCD" w14:textId="06A4F0F4" w:rsidR="00B64F99" w:rsidRPr="000C138D" w:rsidRDefault="00B64F99" w:rsidP="008931C3">
      <w:pPr>
        <w:rPr>
          <w:lang w:eastAsia="en-AU"/>
        </w:rPr>
      </w:pPr>
      <w:r w:rsidRPr="000C138D">
        <w:rPr>
          <w:lang w:eastAsia="en-AU"/>
        </w:rPr>
        <w:t>Young people who smoke are likely to be attending lower</w:t>
      </w:r>
      <w:r w:rsidR="00D93163">
        <w:rPr>
          <w:lang w:eastAsia="en-AU"/>
        </w:rPr>
        <w:t>-</w:t>
      </w:r>
      <w:r w:rsidRPr="000C138D">
        <w:rPr>
          <w:lang w:eastAsia="en-AU"/>
        </w:rPr>
        <w:t>decile schools</w:t>
      </w:r>
      <w:r w:rsidR="00D93163">
        <w:rPr>
          <w:lang w:eastAsia="en-AU"/>
        </w:rPr>
        <w:t>.</w:t>
      </w:r>
      <w:r w:rsidRPr="000C138D">
        <w:rPr>
          <w:lang w:eastAsia="en-AU"/>
        </w:rPr>
        <w:t xml:space="preserve"> </w:t>
      </w:r>
      <w:r w:rsidR="00D93163">
        <w:rPr>
          <w:lang w:eastAsia="en-AU"/>
        </w:rPr>
        <w:t>I</w:t>
      </w:r>
      <w:r w:rsidRPr="000C138D">
        <w:rPr>
          <w:lang w:eastAsia="en-AU"/>
        </w:rPr>
        <w:t>n 2019</w:t>
      </w:r>
      <w:r w:rsidR="00D93163">
        <w:rPr>
          <w:lang w:eastAsia="en-AU"/>
        </w:rPr>
        <w:t>,</w:t>
      </w:r>
      <w:r w:rsidRPr="000C138D">
        <w:rPr>
          <w:lang w:eastAsia="en-AU"/>
        </w:rPr>
        <w:t xml:space="preserve"> 13.5</w:t>
      </w:r>
      <w:r w:rsidR="004C1282" w:rsidRPr="000C138D">
        <w:rPr>
          <w:lang w:eastAsia="en-AU"/>
        </w:rPr>
        <w:t xml:space="preserve"> percent</w:t>
      </w:r>
      <w:r w:rsidRPr="000C138D">
        <w:rPr>
          <w:lang w:eastAsia="en-AU"/>
        </w:rPr>
        <w:t xml:space="preserve"> of students at decile 8</w:t>
      </w:r>
      <w:r w:rsidR="00D93163">
        <w:rPr>
          <w:lang w:eastAsia="en-AU"/>
        </w:rPr>
        <w:t>–</w:t>
      </w:r>
      <w:r w:rsidRPr="000C138D">
        <w:rPr>
          <w:lang w:eastAsia="en-AU"/>
        </w:rPr>
        <w:t>10 schools ha</w:t>
      </w:r>
      <w:r w:rsidR="00597C7D" w:rsidRPr="000C138D">
        <w:rPr>
          <w:lang w:eastAsia="en-AU"/>
        </w:rPr>
        <w:t>d</w:t>
      </w:r>
      <w:r w:rsidRPr="000C138D">
        <w:rPr>
          <w:lang w:eastAsia="en-AU"/>
        </w:rPr>
        <w:t xml:space="preserve"> ever tried smoking, </w:t>
      </w:r>
      <w:r w:rsidR="00D93163">
        <w:rPr>
          <w:lang w:eastAsia="en-AU"/>
        </w:rPr>
        <w:t>compared with</w:t>
      </w:r>
      <w:r w:rsidR="00D93163" w:rsidRPr="000C138D">
        <w:rPr>
          <w:lang w:eastAsia="en-AU"/>
        </w:rPr>
        <w:t xml:space="preserve"> </w:t>
      </w:r>
      <w:r w:rsidRPr="000C138D">
        <w:rPr>
          <w:lang w:eastAsia="en-AU"/>
        </w:rPr>
        <w:t>34</w:t>
      </w:r>
      <w:r w:rsidR="004C1282" w:rsidRPr="000C138D">
        <w:rPr>
          <w:lang w:eastAsia="en-AU"/>
        </w:rPr>
        <w:t xml:space="preserve"> percent</w:t>
      </w:r>
      <w:r w:rsidRPr="000C138D">
        <w:rPr>
          <w:lang w:eastAsia="en-AU"/>
        </w:rPr>
        <w:t xml:space="preserve"> of</w:t>
      </w:r>
      <w:r w:rsidR="00BC50FD" w:rsidRPr="00BC50FD">
        <w:rPr>
          <w:lang w:eastAsia="en-AU"/>
        </w:rPr>
        <w:t xml:space="preserve"> </w:t>
      </w:r>
      <w:r w:rsidR="00BC50FD" w:rsidRPr="000C138D">
        <w:rPr>
          <w:lang w:eastAsia="en-AU"/>
        </w:rPr>
        <w:t>students</w:t>
      </w:r>
      <w:r w:rsidR="00BC50FD">
        <w:rPr>
          <w:lang w:eastAsia="en-AU"/>
        </w:rPr>
        <w:t xml:space="preserve"> at</w:t>
      </w:r>
      <w:r w:rsidRPr="000C138D">
        <w:rPr>
          <w:lang w:eastAsia="en-AU"/>
        </w:rPr>
        <w:t xml:space="preserve"> decile 1</w:t>
      </w:r>
      <w:r w:rsidR="00D93163">
        <w:rPr>
          <w:lang w:eastAsia="en-AU"/>
        </w:rPr>
        <w:t>–</w:t>
      </w:r>
      <w:r w:rsidRPr="000C138D">
        <w:rPr>
          <w:lang w:eastAsia="en-AU"/>
        </w:rPr>
        <w:t>4 school</w:t>
      </w:r>
      <w:r w:rsidR="00BC50FD">
        <w:rPr>
          <w:lang w:eastAsia="en-AU"/>
        </w:rPr>
        <w:t>s</w:t>
      </w:r>
      <w:r w:rsidRPr="000C138D">
        <w:rPr>
          <w:lang w:eastAsia="en-AU"/>
        </w:rPr>
        <w:t xml:space="preserve">. Māori students are over </w:t>
      </w:r>
      <w:r w:rsidR="00D93163">
        <w:rPr>
          <w:lang w:eastAsia="en-AU"/>
        </w:rPr>
        <w:t>five</w:t>
      </w:r>
      <w:r w:rsidR="00D93163" w:rsidRPr="000C138D">
        <w:rPr>
          <w:lang w:eastAsia="en-AU"/>
        </w:rPr>
        <w:t xml:space="preserve"> </w:t>
      </w:r>
      <w:r w:rsidRPr="000C138D">
        <w:rPr>
          <w:lang w:eastAsia="en-AU"/>
        </w:rPr>
        <w:t>times more likely to have tried smoking than non-</w:t>
      </w:r>
      <w:r w:rsidR="006108AC" w:rsidRPr="000C138D">
        <w:rPr>
          <w:rFonts w:eastAsia="Calibri"/>
        </w:rPr>
        <w:t>Māori</w:t>
      </w:r>
      <w:r w:rsidRPr="000C138D">
        <w:rPr>
          <w:lang w:eastAsia="en-AU"/>
        </w:rPr>
        <w:t xml:space="preserve">, non-Pacific students. </w:t>
      </w:r>
    </w:p>
    <w:p w14:paraId="49BE8523" w14:textId="063E31A0" w:rsidR="00B64F99" w:rsidRPr="00AC1186" w:rsidRDefault="00B64F99" w:rsidP="008931C3">
      <w:pPr>
        <w:rPr>
          <w:lang w:eastAsia="en-AU"/>
        </w:rPr>
      </w:pPr>
      <w:r w:rsidRPr="000C138D">
        <w:rPr>
          <w:lang w:eastAsia="en-AU"/>
        </w:rPr>
        <w:t xml:space="preserve">In 2017, research on young </w:t>
      </w:r>
      <w:proofErr w:type="spellStart"/>
      <w:r w:rsidR="00597C7D" w:rsidRPr="000C138D">
        <w:rPr>
          <w:lang w:eastAsia="en-AU"/>
        </w:rPr>
        <w:t>w</w:t>
      </w:r>
      <w:r w:rsidR="00597C7D" w:rsidRPr="000C138D">
        <w:rPr>
          <w:color w:val="000000"/>
        </w:rPr>
        <w:t>ā</w:t>
      </w:r>
      <w:r w:rsidR="00597C7D" w:rsidRPr="000C138D">
        <w:rPr>
          <w:lang w:eastAsia="en-AU"/>
        </w:rPr>
        <w:t>hine</w:t>
      </w:r>
      <w:proofErr w:type="spellEnd"/>
      <w:r w:rsidR="00597C7D" w:rsidRPr="000C138D">
        <w:rPr>
          <w:lang w:eastAsia="en-AU"/>
        </w:rPr>
        <w:t xml:space="preserve"> </w:t>
      </w:r>
      <w:r w:rsidRPr="000C138D">
        <w:rPr>
          <w:lang w:eastAsia="en-AU"/>
        </w:rPr>
        <w:t>Māori who smoke found that they are more likely to live with other smokers, be unemployed or require income assistance, and have no secondary school qualification. Conversely, young M</w:t>
      </w:r>
      <w:r w:rsidRPr="000C138D">
        <w:rPr>
          <w:color w:val="000000"/>
        </w:rPr>
        <w:t>ā</w:t>
      </w:r>
      <w:r w:rsidRPr="000C138D">
        <w:rPr>
          <w:lang w:eastAsia="en-AU"/>
        </w:rPr>
        <w:t>ori women who have never smoked are more likely to have a higher secondary school qualification, have internet access at home and live in areas of social and material advantage</w:t>
      </w:r>
      <w:r w:rsidR="00D93163">
        <w:rPr>
          <w:lang w:eastAsia="en-AU"/>
        </w:rPr>
        <w:t xml:space="preserve"> (Ministry of Health and NOOS Consulting 2017</w:t>
      </w:r>
      <w:r w:rsidR="003813E7">
        <w:rPr>
          <w:lang w:eastAsia="en-AU"/>
        </w:rPr>
        <w:t>a, 2017b</w:t>
      </w:r>
      <w:r w:rsidR="00D93163">
        <w:rPr>
          <w:lang w:eastAsia="en-AU"/>
        </w:rPr>
        <w:t>)</w:t>
      </w:r>
      <w:r w:rsidRPr="000C138D">
        <w:rPr>
          <w:lang w:eastAsia="en-AU"/>
        </w:rPr>
        <w:t xml:space="preserve">. Qualitative research associated with this project found that young </w:t>
      </w:r>
      <w:proofErr w:type="spellStart"/>
      <w:r w:rsidRPr="000C138D">
        <w:rPr>
          <w:lang w:eastAsia="en-AU"/>
        </w:rPr>
        <w:t>w</w:t>
      </w:r>
      <w:r w:rsidRPr="000C138D">
        <w:rPr>
          <w:color w:val="000000"/>
        </w:rPr>
        <w:t>ā</w:t>
      </w:r>
      <w:r w:rsidRPr="000C138D">
        <w:rPr>
          <w:lang w:eastAsia="en-AU"/>
        </w:rPr>
        <w:t>hine</w:t>
      </w:r>
      <w:proofErr w:type="spellEnd"/>
      <w:r w:rsidRPr="000C138D">
        <w:rPr>
          <w:lang w:eastAsia="en-AU"/>
        </w:rPr>
        <w:t xml:space="preserve"> who smoked </w:t>
      </w:r>
      <w:r w:rsidRPr="000C138D">
        <w:t>often had</w:t>
      </w:r>
      <w:r w:rsidRPr="000C138D">
        <w:rPr>
          <w:b/>
          <w:bCs/>
        </w:rPr>
        <w:t xml:space="preserve"> </w:t>
      </w:r>
      <w:r w:rsidRPr="000C138D">
        <w:t>complex, challenging lives, and used smoking as</w:t>
      </w:r>
      <w:r w:rsidRPr="000C138D">
        <w:rPr>
          <w:rStyle w:val="A13"/>
          <w:b w:val="0"/>
          <w:bCs w:val="0"/>
          <w:sz w:val="22"/>
          <w:szCs w:val="22"/>
        </w:rPr>
        <w:t xml:space="preserve"> a</w:t>
      </w:r>
      <w:r w:rsidRPr="000C138D">
        <w:rPr>
          <w:rStyle w:val="A13"/>
          <w:sz w:val="22"/>
          <w:szCs w:val="22"/>
        </w:rPr>
        <w:t xml:space="preserve"> </w:t>
      </w:r>
      <w:r w:rsidRPr="000C138D">
        <w:rPr>
          <w:rStyle w:val="A13"/>
          <w:b w:val="0"/>
          <w:bCs w:val="0"/>
          <w:sz w:val="22"/>
          <w:szCs w:val="22"/>
        </w:rPr>
        <w:t xml:space="preserve">coping mechanism for stress and are therefore reluctant to stop. Many </w:t>
      </w:r>
      <w:proofErr w:type="gramStart"/>
      <w:r w:rsidRPr="000C138D">
        <w:rPr>
          <w:rStyle w:val="A13"/>
          <w:b w:val="0"/>
          <w:bCs w:val="0"/>
          <w:sz w:val="22"/>
          <w:szCs w:val="22"/>
        </w:rPr>
        <w:t>fear</w:t>
      </w:r>
      <w:proofErr w:type="gramEnd"/>
      <w:r w:rsidRPr="000C138D">
        <w:rPr>
          <w:rStyle w:val="A13"/>
          <w:b w:val="0"/>
          <w:bCs w:val="0"/>
          <w:sz w:val="22"/>
          <w:szCs w:val="22"/>
        </w:rPr>
        <w:t xml:space="preserve"> quitting because they have nothing to replace smoking with or are fearful of withdrawal</w:t>
      </w:r>
      <w:r w:rsidR="003976A6">
        <w:rPr>
          <w:rStyle w:val="A13"/>
          <w:b w:val="0"/>
          <w:bCs w:val="0"/>
          <w:sz w:val="22"/>
          <w:szCs w:val="22"/>
        </w:rPr>
        <w:t xml:space="preserve"> (Ministry of Health in collaboration with </w:t>
      </w:r>
      <w:proofErr w:type="spellStart"/>
      <w:r w:rsidR="003976A6" w:rsidRPr="00AC1186">
        <w:t>ThinkPlace</w:t>
      </w:r>
      <w:proofErr w:type="spellEnd"/>
      <w:r w:rsidR="003976A6" w:rsidRPr="00AC1186">
        <w:t xml:space="preserve"> 2017)</w:t>
      </w:r>
      <w:r w:rsidRPr="00AC1186">
        <w:t>.</w:t>
      </w:r>
      <w:r w:rsidRPr="00AC1186">
        <w:rPr>
          <w:lang w:eastAsia="en-AU"/>
        </w:rPr>
        <w:t xml:space="preserve"> </w:t>
      </w:r>
    </w:p>
    <w:p w14:paraId="2D067C5D" w14:textId="77777777" w:rsidR="00B64F99" w:rsidRPr="000C138D" w:rsidRDefault="00B64F99" w:rsidP="0044488E">
      <w:pPr>
        <w:pStyle w:val="Heading3"/>
      </w:pPr>
      <w:r w:rsidRPr="000C138D">
        <w:t xml:space="preserve">Tobacco control and </w:t>
      </w:r>
      <w:proofErr w:type="spellStart"/>
      <w:r w:rsidRPr="000C138D">
        <w:t>Te</w:t>
      </w:r>
      <w:proofErr w:type="spellEnd"/>
      <w:r w:rsidRPr="000C138D">
        <w:t xml:space="preserve"> </w:t>
      </w:r>
      <w:proofErr w:type="spellStart"/>
      <w:r w:rsidRPr="000C138D">
        <w:t>Tiriti</w:t>
      </w:r>
      <w:proofErr w:type="spellEnd"/>
      <w:r w:rsidRPr="000C138D">
        <w:t xml:space="preserve"> o Waitangi</w:t>
      </w:r>
    </w:p>
    <w:p w14:paraId="6CDDBDCB" w14:textId="77777777" w:rsidR="00C90C85" w:rsidRPr="000C138D" w:rsidRDefault="00C90C85" w:rsidP="008931C3">
      <w:pPr>
        <w:rPr>
          <w:rFonts w:eastAsia="Calibri" w:cs="Arial"/>
        </w:rPr>
      </w:pPr>
      <w:r w:rsidRPr="000C138D">
        <w:t xml:space="preserve">Māori have the highest smoking rate of any population group in New Zealand and have the poorest overall health status. </w:t>
      </w:r>
    </w:p>
    <w:p w14:paraId="11C715ED" w14:textId="44BB9560" w:rsidR="00B64F99" w:rsidRPr="000C138D" w:rsidRDefault="00B64F99" w:rsidP="008931C3">
      <w:r w:rsidRPr="000C138D">
        <w:rPr>
          <w:lang w:eastAsia="en-AU"/>
        </w:rPr>
        <w:t xml:space="preserve">Smoking is a significant, preventable cause of illness and premature death for New Zealand, which </w:t>
      </w:r>
      <w:r w:rsidR="002513FF">
        <w:rPr>
          <w:lang w:eastAsia="en-AU"/>
        </w:rPr>
        <w:t>has a greater impact on</w:t>
      </w:r>
      <w:r w:rsidR="002513FF" w:rsidRPr="000C138D">
        <w:rPr>
          <w:lang w:eastAsia="en-AU"/>
        </w:rPr>
        <w:t xml:space="preserve"> </w:t>
      </w:r>
      <w:r w:rsidRPr="000C138D">
        <w:rPr>
          <w:lang w:eastAsia="en-AU"/>
        </w:rPr>
        <w:t>M</w:t>
      </w:r>
      <w:r w:rsidRPr="000C138D">
        <w:rPr>
          <w:color w:val="000000"/>
        </w:rPr>
        <w:t>ā</w:t>
      </w:r>
      <w:r w:rsidRPr="000C138D">
        <w:rPr>
          <w:lang w:eastAsia="en-AU"/>
        </w:rPr>
        <w:t>ori and Pacific people</w:t>
      </w:r>
      <w:r w:rsidR="002513FF">
        <w:rPr>
          <w:lang w:eastAsia="en-AU"/>
        </w:rPr>
        <w:t>s</w:t>
      </w:r>
      <w:r w:rsidRPr="000C138D">
        <w:rPr>
          <w:lang w:eastAsia="en-AU"/>
        </w:rPr>
        <w:t xml:space="preserve"> and contribut</w:t>
      </w:r>
      <w:r w:rsidR="00C33B52" w:rsidRPr="000C138D">
        <w:rPr>
          <w:lang w:eastAsia="en-AU"/>
        </w:rPr>
        <w:t>e</w:t>
      </w:r>
      <w:r w:rsidR="00DA5380" w:rsidRPr="000C138D">
        <w:rPr>
          <w:lang w:eastAsia="en-AU"/>
        </w:rPr>
        <w:t>s</w:t>
      </w:r>
      <w:r w:rsidRPr="000C138D">
        <w:rPr>
          <w:lang w:eastAsia="en-AU"/>
        </w:rPr>
        <w:t xml:space="preserve"> strongly to health inequity for those populations.</w:t>
      </w:r>
      <w:r w:rsidRPr="000C138D">
        <w:t xml:space="preserve"> </w:t>
      </w:r>
      <w:r w:rsidR="00DA5380" w:rsidRPr="000C138D">
        <w:t>A</w:t>
      </w:r>
      <w:r w:rsidRPr="000C138D">
        <w:t xml:space="preserve"> Waitangi Tribunal inquiry into health services and outcomes for Māori </w:t>
      </w:r>
      <w:r w:rsidR="00DA5380" w:rsidRPr="000C138D">
        <w:t xml:space="preserve">(WAI 2575) </w:t>
      </w:r>
      <w:r w:rsidRPr="000C138D">
        <w:t xml:space="preserve">specifically includes </w:t>
      </w:r>
      <w:r w:rsidR="00DA5380" w:rsidRPr="000C138D">
        <w:t>t</w:t>
      </w:r>
      <w:r w:rsidRPr="000C138D">
        <w:t>obacco use by Māori as a source of health inequity</w:t>
      </w:r>
      <w:r w:rsidR="00C90C85" w:rsidRPr="000C138D">
        <w:t xml:space="preserve"> </w:t>
      </w:r>
      <w:r w:rsidRPr="000C138D">
        <w:t>(Walker 2019)</w:t>
      </w:r>
      <w:r w:rsidR="00C90C85" w:rsidRPr="000C138D">
        <w:t>.</w:t>
      </w:r>
      <w:r w:rsidRPr="000C138D">
        <w:t xml:space="preserve"> </w:t>
      </w:r>
    </w:p>
    <w:p w14:paraId="1DA0DE45" w14:textId="325EC139" w:rsidR="00B64F99" w:rsidRPr="000C138D" w:rsidRDefault="00DA5380" w:rsidP="008931C3">
      <w:pPr>
        <w:rPr>
          <w:rFonts w:eastAsia="Calibri" w:cs="Arial"/>
        </w:rPr>
      </w:pPr>
      <w:proofErr w:type="spellStart"/>
      <w:r w:rsidRPr="000C138D">
        <w:rPr>
          <w:rFonts w:cs="Arial"/>
          <w:color w:val="000000"/>
        </w:rPr>
        <w:t>Wā</w:t>
      </w:r>
      <w:r w:rsidRPr="000C138D">
        <w:rPr>
          <w:rFonts w:cs="Arial"/>
          <w:lang w:eastAsia="en-AU"/>
        </w:rPr>
        <w:t>hine</w:t>
      </w:r>
      <w:proofErr w:type="spellEnd"/>
      <w:r w:rsidRPr="000C138D">
        <w:rPr>
          <w:rFonts w:eastAsia="Calibri" w:cs="Arial"/>
        </w:rPr>
        <w:t xml:space="preserve"> </w:t>
      </w:r>
      <w:r w:rsidR="00B64F99" w:rsidRPr="000C138D">
        <w:rPr>
          <w:rFonts w:eastAsia="Calibri" w:cs="Arial"/>
        </w:rPr>
        <w:t xml:space="preserve">Māori have New Zealand’s highest smoking rates. The largest </w:t>
      </w:r>
      <w:r w:rsidR="00AB7A76" w:rsidRPr="000C138D">
        <w:rPr>
          <w:rFonts w:eastAsia="Calibri" w:cs="Arial"/>
        </w:rPr>
        <w:t>inequ</w:t>
      </w:r>
      <w:r w:rsidR="00AB7A76">
        <w:rPr>
          <w:rFonts w:eastAsia="Calibri" w:cs="Arial"/>
        </w:rPr>
        <w:t>ities are</w:t>
      </w:r>
      <w:r w:rsidR="00B64F99" w:rsidRPr="000C138D">
        <w:rPr>
          <w:rFonts w:eastAsia="Calibri" w:cs="Arial"/>
        </w:rPr>
        <w:t xml:space="preserve"> among Year 10 girls (</w:t>
      </w:r>
      <w:r w:rsidR="002513FF">
        <w:rPr>
          <w:rFonts w:eastAsia="Calibri" w:cs="Arial"/>
        </w:rPr>
        <w:t xml:space="preserve">aged </w:t>
      </w:r>
      <w:r w:rsidR="00B64F99" w:rsidRPr="000C138D">
        <w:rPr>
          <w:rFonts w:eastAsia="Calibri" w:cs="Arial"/>
        </w:rPr>
        <w:t>14 to 15</w:t>
      </w:r>
      <w:r w:rsidR="002513FF">
        <w:rPr>
          <w:rFonts w:eastAsia="Calibri" w:cs="Arial"/>
        </w:rPr>
        <w:t xml:space="preserve"> </w:t>
      </w:r>
      <w:r w:rsidR="00B64F99" w:rsidRPr="000C138D">
        <w:rPr>
          <w:rFonts w:eastAsia="Calibri" w:cs="Arial"/>
        </w:rPr>
        <w:t>year</w:t>
      </w:r>
      <w:r w:rsidR="002513FF">
        <w:rPr>
          <w:rFonts w:eastAsia="Calibri" w:cs="Arial"/>
        </w:rPr>
        <w:t>s</w:t>
      </w:r>
      <w:r w:rsidR="00B64F99" w:rsidRPr="000C138D">
        <w:rPr>
          <w:rFonts w:eastAsia="Calibri" w:cs="Arial"/>
        </w:rPr>
        <w:t>). In 2019, 6.3 percent of Year 10 Māori</w:t>
      </w:r>
      <w:r w:rsidR="00B64F99" w:rsidRPr="000C138D">
        <w:rPr>
          <w:rFonts w:eastAsia="Calibri" w:cs="Arial"/>
          <w:sz w:val="24"/>
          <w:szCs w:val="24"/>
        </w:rPr>
        <w:t xml:space="preserve"> girls </w:t>
      </w:r>
      <w:r w:rsidR="00B64F99" w:rsidRPr="000C138D">
        <w:rPr>
          <w:rFonts w:eastAsia="Calibri" w:cs="Arial"/>
        </w:rPr>
        <w:t>smoked daily</w:t>
      </w:r>
      <w:r w:rsidR="002513FF">
        <w:rPr>
          <w:rFonts w:eastAsia="Calibri" w:cs="Arial"/>
        </w:rPr>
        <w:t>,</w:t>
      </w:r>
      <w:r w:rsidR="00B64F99" w:rsidRPr="000C138D">
        <w:rPr>
          <w:rFonts w:eastAsia="Calibri" w:cs="Arial"/>
        </w:rPr>
        <w:t xml:space="preserve"> compared with 0.9 percent of Year 10 non-</w:t>
      </w:r>
      <w:r w:rsidR="00A9014E" w:rsidRPr="000C138D">
        <w:rPr>
          <w:rFonts w:eastAsia="Calibri" w:cs="Arial"/>
        </w:rPr>
        <w:t>Māori</w:t>
      </w:r>
      <w:r w:rsidR="00B64F99" w:rsidRPr="000C138D">
        <w:rPr>
          <w:rFonts w:eastAsia="Calibri" w:cs="Arial"/>
        </w:rPr>
        <w:t xml:space="preserve">, non-Pacific girls. These inequities have </w:t>
      </w:r>
      <w:r w:rsidR="002513FF">
        <w:rPr>
          <w:rFonts w:eastAsia="Calibri" w:cs="Arial"/>
        </w:rPr>
        <w:t>widened</w:t>
      </w:r>
      <w:r w:rsidR="002513FF" w:rsidRPr="000C138D">
        <w:rPr>
          <w:rFonts w:eastAsia="Calibri" w:cs="Arial"/>
        </w:rPr>
        <w:t xml:space="preserve"> </w:t>
      </w:r>
      <w:r w:rsidR="00B64F99" w:rsidRPr="000C138D">
        <w:rPr>
          <w:rFonts w:eastAsia="Calibri" w:cs="Arial"/>
        </w:rPr>
        <w:t>in recent years as the smoking rate for non-Māori</w:t>
      </w:r>
      <w:r w:rsidR="002513FF">
        <w:rPr>
          <w:rFonts w:eastAsia="Calibri" w:cs="Arial"/>
        </w:rPr>
        <w:t>,</w:t>
      </w:r>
      <w:r w:rsidR="00B64F99" w:rsidRPr="000C138D">
        <w:rPr>
          <w:rFonts w:eastAsia="Calibri" w:cs="Arial"/>
        </w:rPr>
        <w:t xml:space="preserve"> non-Pacific girls of this age has decreased much faster than the rate for Māori girls.  </w:t>
      </w:r>
    </w:p>
    <w:p w14:paraId="3F7BC73F" w14:textId="782788BC" w:rsidR="00B64F99" w:rsidRPr="000C138D" w:rsidRDefault="00B64F99" w:rsidP="008931C3">
      <w:pPr>
        <w:rPr>
          <w:rFonts w:eastAsia="Calibri" w:cs="Arial"/>
        </w:rPr>
      </w:pPr>
      <w:r w:rsidRPr="000C138D">
        <w:rPr>
          <w:rFonts w:eastAsia="Calibri" w:cs="Arial"/>
        </w:rPr>
        <w:t xml:space="preserve">These </w:t>
      </w:r>
      <w:r w:rsidR="00AB7A76" w:rsidRPr="000C138D">
        <w:rPr>
          <w:rFonts w:eastAsia="Calibri" w:cs="Arial"/>
        </w:rPr>
        <w:t>inequ</w:t>
      </w:r>
      <w:r w:rsidR="00AB7A76">
        <w:rPr>
          <w:rFonts w:eastAsia="Calibri" w:cs="Arial"/>
        </w:rPr>
        <w:t xml:space="preserve">ities </w:t>
      </w:r>
      <w:r w:rsidRPr="000C138D">
        <w:rPr>
          <w:rFonts w:eastAsia="Calibri" w:cs="Arial"/>
        </w:rPr>
        <w:t xml:space="preserve">carry through into young adulthood, including pregnancy. For example, </w:t>
      </w:r>
      <w:r w:rsidR="002513FF">
        <w:rPr>
          <w:rFonts w:eastAsia="Calibri" w:cs="Arial"/>
        </w:rPr>
        <w:t>35</w:t>
      </w:r>
      <w:r w:rsidRPr="000C138D">
        <w:rPr>
          <w:rFonts w:eastAsia="Calibri" w:cs="Arial"/>
        </w:rPr>
        <w:t xml:space="preserve"> percent of pregnant Māori women who presented to a lead maternity carer for the first time in the first quarter of 2020/21 smoked.</w:t>
      </w:r>
    </w:p>
    <w:p w14:paraId="73551DE1" w14:textId="1B028432" w:rsidR="00B64F99" w:rsidRPr="000C138D" w:rsidRDefault="00B64F99" w:rsidP="0044488E">
      <w:pPr>
        <w:pStyle w:val="Heading3"/>
        <w:rPr>
          <w:lang w:eastAsia="en-AU"/>
        </w:rPr>
      </w:pPr>
      <w:r w:rsidRPr="000C138D">
        <w:rPr>
          <w:lang w:eastAsia="en-AU"/>
        </w:rPr>
        <w:t xml:space="preserve">A </w:t>
      </w:r>
      <w:r w:rsidR="00BD7569">
        <w:rPr>
          <w:lang w:eastAsia="en-AU"/>
        </w:rPr>
        <w:t>S</w:t>
      </w:r>
      <w:r w:rsidRPr="000C138D">
        <w:rPr>
          <w:lang w:eastAsia="en-AU"/>
        </w:rPr>
        <w:t xml:space="preserve">mokefree Aotearoa supports Government priorities </w:t>
      </w:r>
    </w:p>
    <w:p w14:paraId="236833C1" w14:textId="4A962710" w:rsidR="00B64F99" w:rsidRPr="000C138D" w:rsidRDefault="00B64F99" w:rsidP="008931C3">
      <w:r w:rsidRPr="000C138D">
        <w:t xml:space="preserve">Achieving a </w:t>
      </w:r>
      <w:r w:rsidR="00BD7569">
        <w:t>S</w:t>
      </w:r>
      <w:r w:rsidRPr="000C138D">
        <w:t xml:space="preserve">mokefree Aotearoa will contribute to </w:t>
      </w:r>
      <w:proofErr w:type="spellStart"/>
      <w:r w:rsidRPr="000C138D">
        <w:rPr>
          <w:i/>
        </w:rPr>
        <w:t>Whakamaua</w:t>
      </w:r>
      <w:proofErr w:type="spellEnd"/>
      <w:r w:rsidRPr="000C138D">
        <w:rPr>
          <w:i/>
        </w:rPr>
        <w:t>:</w:t>
      </w:r>
      <w:r w:rsidRPr="000C138D">
        <w:t xml:space="preserve"> </w:t>
      </w:r>
      <w:r w:rsidRPr="000C138D">
        <w:rPr>
          <w:i/>
        </w:rPr>
        <w:t xml:space="preserve">Māori Health Action Plan 2020–2025 </w:t>
      </w:r>
      <w:r w:rsidR="00B664F0">
        <w:t xml:space="preserve">(Ministry of Health 2020b) </w:t>
      </w:r>
      <w:r w:rsidRPr="000C138D">
        <w:t xml:space="preserve">and </w:t>
      </w:r>
      <w:r w:rsidRPr="000C138D">
        <w:rPr>
          <w:i/>
        </w:rPr>
        <w:t xml:space="preserve">Ola </w:t>
      </w:r>
      <w:proofErr w:type="spellStart"/>
      <w:r w:rsidRPr="000C138D">
        <w:rPr>
          <w:i/>
        </w:rPr>
        <w:t>Manuia</w:t>
      </w:r>
      <w:proofErr w:type="spellEnd"/>
      <w:r w:rsidRPr="000C138D">
        <w:rPr>
          <w:i/>
        </w:rPr>
        <w:t>: Pacific Health and Wellbeing Action Plan 2020–2025</w:t>
      </w:r>
      <w:r w:rsidR="00B664F0" w:rsidRPr="000C138D">
        <w:rPr>
          <w:i/>
        </w:rPr>
        <w:t xml:space="preserve"> </w:t>
      </w:r>
      <w:r w:rsidR="00B664F0">
        <w:t>(Ministry of Health 2020c)</w:t>
      </w:r>
      <w:r w:rsidRPr="000C138D">
        <w:t xml:space="preserve"> by supporting equitable health outcomes for Māori and Pacific peoples, respectively. </w:t>
      </w:r>
    </w:p>
    <w:p w14:paraId="6F96460E" w14:textId="38180A90" w:rsidR="00B64F99" w:rsidRPr="000C138D" w:rsidRDefault="00B64F99" w:rsidP="008931C3">
      <w:r w:rsidRPr="000C138D">
        <w:lastRenderedPageBreak/>
        <w:t>The</w:t>
      </w:r>
      <w:r w:rsidRPr="000C138D">
        <w:rPr>
          <w:i/>
        </w:rPr>
        <w:t xml:space="preserve"> New Zealand Cancer Action Plan 2019–2029 </w:t>
      </w:r>
      <w:r w:rsidR="008E562D">
        <w:t xml:space="preserve">(Ministry of Health 2019) </w:t>
      </w:r>
      <w:r w:rsidRPr="000C138D">
        <w:t>identifies smoking as a leading cause of preventable cancer</w:t>
      </w:r>
      <w:r w:rsidR="008E562D">
        <w:t>. It also</w:t>
      </w:r>
      <w:r w:rsidRPr="000C138D">
        <w:t xml:space="preserve"> highlights that achieving a </w:t>
      </w:r>
      <w:r w:rsidR="00BD7569">
        <w:t>S</w:t>
      </w:r>
      <w:r w:rsidRPr="000C138D">
        <w:t xml:space="preserve">mokefree Aotearoa by 2025 is a leading way of reducing cancers in New Zealand.    </w:t>
      </w:r>
    </w:p>
    <w:p w14:paraId="730A8A35" w14:textId="0D5A0BA9" w:rsidR="00B64F99" w:rsidRPr="000C138D" w:rsidRDefault="00B64F99" w:rsidP="008931C3">
      <w:r w:rsidRPr="000C138D">
        <w:t xml:space="preserve">Achieving a </w:t>
      </w:r>
      <w:r w:rsidR="00BD7569">
        <w:t>S</w:t>
      </w:r>
      <w:r w:rsidRPr="000C138D">
        <w:t xml:space="preserve">mokefree Aotearoa contributes to the </w:t>
      </w:r>
      <w:r w:rsidRPr="000C138D">
        <w:rPr>
          <w:i/>
        </w:rPr>
        <w:t>Child and Youth Wellbeing Strategy</w:t>
      </w:r>
      <w:r w:rsidR="008E562D">
        <w:t xml:space="preserve"> (Department of Prime Minister and Cabinet 2019)</w:t>
      </w:r>
      <w:r w:rsidRPr="000C138D">
        <w:rPr>
          <w:iCs/>
        </w:rPr>
        <w:t xml:space="preserve">, especially to the wellbeing outcome: </w:t>
      </w:r>
      <w:r w:rsidR="00304501">
        <w:rPr>
          <w:iCs/>
        </w:rPr>
        <w:t xml:space="preserve">that </w:t>
      </w:r>
      <w:r w:rsidRPr="000C138D">
        <w:rPr>
          <w:iCs/>
        </w:rPr>
        <w:t>children and young people are happy and healthy</w:t>
      </w:r>
      <w:r w:rsidRPr="000C138D">
        <w:t>.</w:t>
      </w:r>
    </w:p>
    <w:p w14:paraId="76650EA8" w14:textId="527E0199" w:rsidR="00B64F99" w:rsidRPr="000C138D" w:rsidRDefault="00B64F99" w:rsidP="008931C3">
      <w:pPr>
        <w:rPr>
          <w:szCs w:val="22"/>
        </w:rPr>
      </w:pPr>
      <w:r w:rsidRPr="000C138D">
        <w:t xml:space="preserve">A </w:t>
      </w:r>
      <w:r w:rsidR="00BD7569">
        <w:t>S</w:t>
      </w:r>
      <w:r w:rsidRPr="000C138D">
        <w:t xml:space="preserve">mokefree Aotearoa supports the Government’s priority to improve New Zealand’s waterways, including improving water quality through reducing pollution. Cleaner waterways support </w:t>
      </w:r>
      <w:proofErr w:type="spellStart"/>
      <w:r w:rsidRPr="000C138D">
        <w:t>te</w:t>
      </w:r>
      <w:proofErr w:type="spellEnd"/>
      <w:r w:rsidRPr="000C138D">
        <w:t xml:space="preserve"> Mana o </w:t>
      </w:r>
      <w:proofErr w:type="spellStart"/>
      <w:r w:rsidRPr="000C138D">
        <w:t>te</w:t>
      </w:r>
      <w:proofErr w:type="spellEnd"/>
      <w:r w:rsidRPr="000C138D">
        <w:t xml:space="preserve"> Wai – the integrated and holistic wellbeing of the water, which is recognised in the National Policy Statement for Freshwater Management and reflects obligations under </w:t>
      </w:r>
      <w:proofErr w:type="spellStart"/>
      <w:r w:rsidRPr="000C138D">
        <w:t>Te</w:t>
      </w:r>
      <w:proofErr w:type="spellEnd"/>
      <w:r w:rsidRPr="000C138D">
        <w:t xml:space="preserve"> </w:t>
      </w:r>
      <w:proofErr w:type="spellStart"/>
      <w:r w:rsidRPr="000C138D">
        <w:t>Tiriti</w:t>
      </w:r>
      <w:proofErr w:type="spellEnd"/>
      <w:r w:rsidRPr="000C138D">
        <w:t xml:space="preserve"> o Waitangi to actively protect Māori rights and interests, which include </w:t>
      </w:r>
      <w:r w:rsidRPr="000C138D">
        <w:rPr>
          <w:szCs w:val="22"/>
        </w:rPr>
        <w:t xml:space="preserve">those relating to fresh water.   </w:t>
      </w:r>
    </w:p>
    <w:p w14:paraId="1DF04988" w14:textId="156726B3" w:rsidR="00B64F99" w:rsidRPr="000C138D" w:rsidRDefault="00B64F99" w:rsidP="008931C3">
      <w:pPr>
        <w:rPr>
          <w:rFonts w:ascii="ArialMT" w:eastAsia="Calibri" w:hAnsi="ArialMT" w:cs="ArialMT"/>
          <w:szCs w:val="22"/>
          <w:lang w:eastAsia="en-NZ"/>
        </w:rPr>
      </w:pPr>
      <w:r w:rsidRPr="000C138D">
        <w:rPr>
          <w:rFonts w:ascii="ArialMT" w:eastAsia="Calibri" w:hAnsi="ArialMT" w:cs="ArialMT"/>
          <w:szCs w:val="22"/>
          <w:lang w:eastAsia="en-NZ"/>
        </w:rPr>
        <w:t>The measures considered are also consistent with New Zealand’s international treaty</w:t>
      </w:r>
      <w:r w:rsidR="00A5485B" w:rsidRPr="000C138D">
        <w:rPr>
          <w:rFonts w:ascii="ArialMT" w:eastAsia="Calibri" w:hAnsi="ArialMT" w:cs="ArialMT"/>
          <w:szCs w:val="22"/>
          <w:lang w:eastAsia="en-NZ"/>
        </w:rPr>
        <w:t xml:space="preserve"> </w:t>
      </w:r>
      <w:r w:rsidRPr="000C138D">
        <w:rPr>
          <w:rFonts w:ascii="ArialMT" w:eastAsia="Calibri" w:hAnsi="ArialMT" w:cs="ArialMT"/>
          <w:szCs w:val="22"/>
          <w:lang w:eastAsia="en-NZ"/>
        </w:rPr>
        <w:t>obligations and commitments under the World Health Organization (WHO) Framework Convention on Tobacco Control (FCTC</w:t>
      </w:r>
      <w:r w:rsidRPr="000C138D">
        <w:rPr>
          <w:rFonts w:ascii="ArialMT" w:eastAsia="Calibri" w:hAnsi="ArialMT" w:cs="ArialMT"/>
          <w:sz w:val="23"/>
          <w:szCs w:val="23"/>
          <w:lang w:eastAsia="en-NZ"/>
        </w:rPr>
        <w:t>)</w:t>
      </w:r>
      <w:r w:rsidR="00304501">
        <w:rPr>
          <w:rFonts w:ascii="ArialMT" w:eastAsia="Calibri" w:hAnsi="ArialMT" w:cs="ArialMT"/>
          <w:sz w:val="23"/>
          <w:szCs w:val="23"/>
          <w:lang w:eastAsia="en-NZ"/>
        </w:rPr>
        <w:t xml:space="preserve"> (WHO 2003)</w:t>
      </w:r>
      <w:r w:rsidRPr="000C138D">
        <w:rPr>
          <w:rFonts w:ascii="ArialMT" w:eastAsia="Calibri" w:hAnsi="ArialMT" w:cs="ArialMT"/>
          <w:sz w:val="23"/>
          <w:szCs w:val="23"/>
          <w:lang w:eastAsia="en-NZ"/>
        </w:rPr>
        <w:t>.</w:t>
      </w:r>
    </w:p>
    <w:p w14:paraId="26419BAF" w14:textId="37A27B27" w:rsidR="00B64F99" w:rsidRPr="000C138D" w:rsidRDefault="00B64F99" w:rsidP="00A5387C">
      <w:pPr>
        <w:pStyle w:val="Heading3"/>
        <w:rPr>
          <w:lang w:eastAsia="en-AU"/>
        </w:rPr>
      </w:pPr>
      <w:r w:rsidRPr="000C138D">
        <w:rPr>
          <w:lang w:eastAsia="en-AU"/>
        </w:rPr>
        <w:t xml:space="preserve">The </w:t>
      </w:r>
      <w:r w:rsidR="00304501">
        <w:rPr>
          <w:lang w:eastAsia="en-AU"/>
        </w:rPr>
        <w:t>t</w:t>
      </w:r>
      <w:r w:rsidRPr="000C138D">
        <w:rPr>
          <w:lang w:eastAsia="en-AU"/>
        </w:rPr>
        <w:t xml:space="preserve">obacco </w:t>
      </w:r>
      <w:r w:rsidR="00304501">
        <w:rPr>
          <w:lang w:eastAsia="en-AU"/>
        </w:rPr>
        <w:t>i</w:t>
      </w:r>
      <w:r w:rsidRPr="000C138D">
        <w:rPr>
          <w:lang w:eastAsia="en-AU"/>
        </w:rPr>
        <w:t>ndustry</w:t>
      </w:r>
    </w:p>
    <w:p w14:paraId="3DFE41AC" w14:textId="2D6FA942" w:rsidR="00B64F99" w:rsidRPr="000C138D" w:rsidRDefault="00304501" w:rsidP="008931C3">
      <w:pPr>
        <w:rPr>
          <w:lang w:eastAsia="en-AU"/>
        </w:rPr>
      </w:pPr>
      <w:r>
        <w:rPr>
          <w:lang w:eastAsia="en-AU"/>
        </w:rPr>
        <w:t>Each of the</w:t>
      </w:r>
      <w:r w:rsidR="00B64F99" w:rsidRPr="000C138D">
        <w:rPr>
          <w:lang w:eastAsia="en-AU"/>
        </w:rPr>
        <w:t xml:space="preserve"> three larger importers of tobacco into New Zealand</w:t>
      </w:r>
      <w:r>
        <w:rPr>
          <w:lang w:eastAsia="en-AU"/>
        </w:rPr>
        <w:t xml:space="preserve"> has</w:t>
      </w:r>
      <w:r w:rsidR="00B64F99" w:rsidRPr="000C138D">
        <w:rPr>
          <w:lang w:eastAsia="en-AU"/>
        </w:rPr>
        <w:t xml:space="preserve"> </w:t>
      </w:r>
      <w:proofErr w:type="gramStart"/>
      <w:r w:rsidR="00B64F99" w:rsidRPr="000C138D">
        <w:rPr>
          <w:lang w:eastAsia="en-AU"/>
        </w:rPr>
        <w:t>a number of</w:t>
      </w:r>
      <w:proofErr w:type="gramEnd"/>
      <w:r w:rsidR="00B64F99" w:rsidRPr="000C138D">
        <w:rPr>
          <w:lang w:eastAsia="en-AU"/>
        </w:rPr>
        <w:t xml:space="preserve"> brands and types</w:t>
      </w:r>
      <w:r>
        <w:rPr>
          <w:lang w:eastAsia="en-AU"/>
        </w:rPr>
        <w:t>. A</w:t>
      </w:r>
      <w:r w:rsidR="00B64F99" w:rsidRPr="000C138D">
        <w:rPr>
          <w:lang w:eastAsia="en-AU"/>
        </w:rPr>
        <w:t xml:space="preserve">s a group, </w:t>
      </w:r>
      <w:r>
        <w:rPr>
          <w:lang w:eastAsia="en-AU"/>
        </w:rPr>
        <w:t xml:space="preserve">they </w:t>
      </w:r>
      <w:r w:rsidR="00B64F99" w:rsidRPr="000C138D">
        <w:rPr>
          <w:lang w:eastAsia="en-AU"/>
        </w:rPr>
        <w:t xml:space="preserve">dominate the tobacco market. The approximately nine smaller </w:t>
      </w:r>
      <w:r w:rsidR="00535833" w:rsidRPr="000C138D">
        <w:rPr>
          <w:lang w:eastAsia="en-AU"/>
        </w:rPr>
        <w:t>wholesalers</w:t>
      </w:r>
      <w:r w:rsidR="00B64F99" w:rsidRPr="000C138D">
        <w:rPr>
          <w:lang w:eastAsia="en-AU"/>
        </w:rPr>
        <w:t xml:space="preserve"> often </w:t>
      </w:r>
      <w:r w:rsidRPr="000C138D">
        <w:rPr>
          <w:lang w:eastAsia="en-AU"/>
        </w:rPr>
        <w:t>specialis</w:t>
      </w:r>
      <w:r>
        <w:rPr>
          <w:lang w:eastAsia="en-AU"/>
        </w:rPr>
        <w:t>e</w:t>
      </w:r>
      <w:r w:rsidRPr="000C138D">
        <w:rPr>
          <w:lang w:eastAsia="en-AU"/>
        </w:rPr>
        <w:t xml:space="preserve"> </w:t>
      </w:r>
      <w:r w:rsidR="00B64F99" w:rsidRPr="000C138D">
        <w:rPr>
          <w:lang w:eastAsia="en-AU"/>
        </w:rPr>
        <w:t>in more niche products, such as cigars and pipe tobacco.</w:t>
      </w:r>
      <w:r w:rsidR="00B64F99" w:rsidRPr="000C138D">
        <w:rPr>
          <w:rStyle w:val="FootnoteReference"/>
          <w:lang w:eastAsia="en-AU"/>
        </w:rPr>
        <w:footnoteReference w:id="9"/>
      </w:r>
      <w:r w:rsidR="00B64F99" w:rsidRPr="000C138D">
        <w:rPr>
          <w:lang w:eastAsia="en-AU"/>
        </w:rPr>
        <w:t xml:space="preserve"> </w:t>
      </w:r>
    </w:p>
    <w:p w14:paraId="5E2A26B2" w14:textId="77ADF4B1" w:rsidR="00B64F99" w:rsidRPr="000C138D" w:rsidRDefault="00B64F99" w:rsidP="008931C3">
      <w:pPr>
        <w:rPr>
          <w:lang w:eastAsia="en-AU"/>
        </w:rPr>
      </w:pPr>
      <w:r w:rsidRPr="000C138D">
        <w:rPr>
          <w:lang w:eastAsia="en-AU"/>
        </w:rPr>
        <w:t xml:space="preserve">Retail sales for tobacco products are widely distributed, with between 5,000 </w:t>
      </w:r>
      <w:r w:rsidR="00304501">
        <w:rPr>
          <w:lang w:eastAsia="en-AU"/>
        </w:rPr>
        <w:t xml:space="preserve">and </w:t>
      </w:r>
      <w:r w:rsidRPr="000C138D">
        <w:rPr>
          <w:lang w:eastAsia="en-AU"/>
        </w:rPr>
        <w:t>8,000 retail outlets for tobacco. Retailers include supermarkets, service stations, dairies and convenience stores, and on-licen</w:t>
      </w:r>
      <w:r w:rsidR="00A611CC">
        <w:rPr>
          <w:lang w:eastAsia="en-AU"/>
        </w:rPr>
        <w:t>sed</w:t>
      </w:r>
      <w:r w:rsidRPr="000C138D">
        <w:rPr>
          <w:lang w:eastAsia="en-AU"/>
        </w:rPr>
        <w:t xml:space="preserve"> premises (bars)</w:t>
      </w:r>
      <w:r w:rsidR="00304501">
        <w:rPr>
          <w:lang w:eastAsia="en-AU"/>
        </w:rPr>
        <w:t>.</w:t>
      </w:r>
      <w:r w:rsidRPr="000C138D">
        <w:rPr>
          <w:lang w:eastAsia="en-AU"/>
        </w:rPr>
        <w:t xml:space="preserve"> </w:t>
      </w:r>
    </w:p>
    <w:p w14:paraId="121B51E2" w14:textId="104DDD36" w:rsidR="00B64F99" w:rsidRPr="000C138D" w:rsidRDefault="00B64F99" w:rsidP="008931C3">
      <w:pPr>
        <w:rPr>
          <w:lang w:eastAsia="en-AU"/>
        </w:rPr>
      </w:pPr>
      <w:r w:rsidRPr="000C138D">
        <w:rPr>
          <w:lang w:eastAsia="en-AU"/>
        </w:rPr>
        <w:t>Overall, sales</w:t>
      </w:r>
      <w:r w:rsidR="00304501">
        <w:rPr>
          <w:lang w:eastAsia="en-AU"/>
        </w:rPr>
        <w:t xml:space="preserve"> of tobacco</w:t>
      </w:r>
      <w:r w:rsidRPr="000C138D">
        <w:rPr>
          <w:lang w:eastAsia="en-AU"/>
        </w:rPr>
        <w:t xml:space="preserve"> are gradually declining </w:t>
      </w:r>
      <w:r w:rsidR="00304501" w:rsidRPr="000C138D">
        <w:rPr>
          <w:lang w:eastAsia="en-AU"/>
        </w:rPr>
        <w:t>(Ministry of Health 2019)</w:t>
      </w:r>
      <w:r w:rsidR="00304501">
        <w:rPr>
          <w:lang w:eastAsia="en-AU"/>
        </w:rPr>
        <w:t xml:space="preserve">, </w:t>
      </w:r>
      <w:r w:rsidRPr="000C138D">
        <w:rPr>
          <w:lang w:eastAsia="en-AU"/>
        </w:rPr>
        <w:t xml:space="preserve">as </w:t>
      </w:r>
      <w:r w:rsidR="00304501">
        <w:rPr>
          <w:lang w:eastAsia="en-AU"/>
        </w:rPr>
        <w:fldChar w:fldCharType="begin"/>
      </w:r>
      <w:r w:rsidR="00304501">
        <w:rPr>
          <w:lang w:eastAsia="en-AU"/>
        </w:rPr>
        <w:instrText xml:space="preserve"> REF _Ref66259421 \h </w:instrText>
      </w:r>
      <w:r w:rsidR="00304501">
        <w:rPr>
          <w:lang w:eastAsia="en-AU"/>
        </w:rPr>
      </w:r>
      <w:r w:rsidR="00304501">
        <w:rPr>
          <w:lang w:eastAsia="en-AU"/>
        </w:rPr>
        <w:fldChar w:fldCharType="separate"/>
      </w:r>
      <w:r w:rsidR="00A847AE" w:rsidRPr="000C138D">
        <w:t xml:space="preserve">Table </w:t>
      </w:r>
      <w:r w:rsidR="00A847AE">
        <w:rPr>
          <w:noProof/>
        </w:rPr>
        <w:t>5</w:t>
      </w:r>
      <w:r w:rsidR="00304501">
        <w:rPr>
          <w:lang w:eastAsia="en-AU"/>
        </w:rPr>
        <w:fldChar w:fldCharType="end"/>
      </w:r>
      <w:r w:rsidR="00304501">
        <w:rPr>
          <w:lang w:eastAsia="en-AU"/>
        </w:rPr>
        <w:t xml:space="preserve"> </w:t>
      </w:r>
      <w:r w:rsidRPr="000C138D">
        <w:rPr>
          <w:lang w:eastAsia="en-AU"/>
        </w:rPr>
        <w:t>shows.</w:t>
      </w:r>
    </w:p>
    <w:p w14:paraId="3D210F10" w14:textId="4ACEF71F" w:rsidR="00B64F99" w:rsidRPr="000C138D" w:rsidRDefault="00B64F99" w:rsidP="00A04078">
      <w:pPr>
        <w:pStyle w:val="Caption"/>
        <w:keepNext/>
        <w:spacing w:before="120" w:after="120" w:line="240" w:lineRule="auto"/>
      </w:pPr>
      <w:bookmarkStart w:id="6" w:name="_Ref66259421"/>
      <w:r w:rsidRPr="000C138D">
        <w:t xml:space="preserve">Table </w:t>
      </w:r>
      <w:fldSimple w:instr=" SEQ Table \* ARABIC ">
        <w:r w:rsidR="00A847AE">
          <w:rPr>
            <w:noProof/>
          </w:rPr>
          <w:t>5</w:t>
        </w:r>
      </w:fldSimple>
      <w:bookmarkEnd w:id="6"/>
      <w:r w:rsidRPr="000C138D">
        <w:t xml:space="preserve"> </w:t>
      </w:r>
      <w:r w:rsidR="00304501">
        <w:t>Cigarettes and roll-your-own tobacco sales 2010–2019</w:t>
      </w:r>
    </w:p>
    <w:p w14:paraId="384BA8FD" w14:textId="77777777" w:rsidR="00B64F99" w:rsidRPr="000C138D" w:rsidRDefault="00B64F99" w:rsidP="00A04078">
      <w:pPr>
        <w:pStyle w:val="ReportBody-MOH"/>
        <w:numPr>
          <w:ilvl w:val="0"/>
          <w:numId w:val="0"/>
        </w:numPr>
        <w:rPr>
          <w:rFonts w:ascii="Arial" w:hAnsi="Arial"/>
          <w:lang w:eastAsia="en-AU"/>
        </w:rPr>
      </w:pPr>
      <w:r w:rsidRPr="000C138D">
        <w:rPr>
          <w:noProof/>
        </w:rPr>
        <w:drawing>
          <wp:inline distT="0" distB="0" distL="0" distR="0" wp14:anchorId="452CC683" wp14:editId="61C86D53">
            <wp:extent cx="5238752" cy="2828926"/>
            <wp:effectExtent l="0" t="0" r="0" b="9525"/>
            <wp:docPr id="1" name="Chart 1">
              <a:extLst xmlns:a="http://schemas.openxmlformats.org/drawingml/2006/main">
                <a:ext uri="{FF2B5EF4-FFF2-40B4-BE49-F238E27FC236}">
                  <a16:creationId xmlns:a16="http://schemas.microsoft.com/office/drawing/2014/main" id="{00000000-0008-0000-0F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499EB306" w14:textId="0DECA8DD" w:rsidR="00B64F99" w:rsidRPr="000C138D" w:rsidRDefault="00B64F99" w:rsidP="008931C3">
      <w:pPr>
        <w:rPr>
          <w:lang w:eastAsia="en-AU"/>
        </w:rPr>
      </w:pPr>
      <w:r w:rsidRPr="000C138D">
        <w:rPr>
          <w:lang w:eastAsia="en-AU"/>
        </w:rPr>
        <w:t>Tobacco is sold either as cigarettes, in packs of 20 or 25 and occasionally larger volumes (</w:t>
      </w:r>
      <w:r w:rsidR="00FB5D1B">
        <w:rPr>
          <w:lang w:eastAsia="en-AU"/>
        </w:rPr>
        <w:t xml:space="preserve">packs of </w:t>
      </w:r>
      <w:r w:rsidRPr="000C138D">
        <w:rPr>
          <w:lang w:eastAsia="en-AU"/>
        </w:rPr>
        <w:t>50), or as loose tobacco – roll</w:t>
      </w:r>
      <w:r w:rsidR="00FB5D1B">
        <w:rPr>
          <w:lang w:eastAsia="en-AU"/>
        </w:rPr>
        <w:t>-</w:t>
      </w:r>
      <w:r w:rsidRPr="000C138D">
        <w:rPr>
          <w:lang w:eastAsia="en-AU"/>
        </w:rPr>
        <w:t>your</w:t>
      </w:r>
      <w:r w:rsidR="00FB5D1B">
        <w:rPr>
          <w:lang w:eastAsia="en-AU"/>
        </w:rPr>
        <w:t>-</w:t>
      </w:r>
      <w:r w:rsidRPr="000C138D">
        <w:rPr>
          <w:lang w:eastAsia="en-AU"/>
        </w:rPr>
        <w:t xml:space="preserve">owns. Smaller volumes of pipe tobacco, cigars and cigarillos are also sold.  </w:t>
      </w:r>
    </w:p>
    <w:p w14:paraId="6846C119" w14:textId="594F0B7D" w:rsidR="00B64F99" w:rsidRPr="000C138D" w:rsidRDefault="00B64F99" w:rsidP="008931C3">
      <w:pPr>
        <w:rPr>
          <w:lang w:eastAsia="en-AU"/>
        </w:rPr>
      </w:pPr>
      <w:r w:rsidRPr="000C138D">
        <w:rPr>
          <w:lang w:eastAsia="en-AU"/>
        </w:rPr>
        <w:t xml:space="preserve">Many cigarette brand variants are described based on colour – </w:t>
      </w:r>
      <w:r w:rsidR="00FB5D1B">
        <w:rPr>
          <w:lang w:eastAsia="en-AU"/>
        </w:rPr>
        <w:t>for example,</w:t>
      </w:r>
      <w:r w:rsidRPr="000C138D">
        <w:rPr>
          <w:lang w:eastAsia="en-AU"/>
        </w:rPr>
        <w:t xml:space="preserve"> ‘Classic Red’, ‘Gold’ or ‘Blue’</w:t>
      </w:r>
      <w:r w:rsidR="00FB5D1B">
        <w:rPr>
          <w:lang w:eastAsia="en-AU"/>
        </w:rPr>
        <w:t xml:space="preserve"> –</w:t>
      </w:r>
      <w:r w:rsidRPr="000C138D">
        <w:rPr>
          <w:lang w:eastAsia="en-AU"/>
        </w:rPr>
        <w:t xml:space="preserve"> which are generally correlated </w:t>
      </w:r>
      <w:r w:rsidR="00FB5D1B">
        <w:rPr>
          <w:lang w:eastAsia="en-AU"/>
        </w:rPr>
        <w:t>with</w:t>
      </w:r>
      <w:r w:rsidR="00FB5D1B" w:rsidRPr="000C138D">
        <w:rPr>
          <w:lang w:eastAsia="en-AU"/>
        </w:rPr>
        <w:t xml:space="preserve"> </w:t>
      </w:r>
      <w:r w:rsidRPr="000C138D">
        <w:rPr>
          <w:lang w:eastAsia="en-AU"/>
        </w:rPr>
        <w:t>now</w:t>
      </w:r>
      <w:r w:rsidR="00FB5D1B">
        <w:rPr>
          <w:lang w:eastAsia="en-AU"/>
        </w:rPr>
        <w:t>-</w:t>
      </w:r>
      <w:r w:rsidRPr="000C138D">
        <w:rPr>
          <w:lang w:eastAsia="en-AU"/>
        </w:rPr>
        <w:t xml:space="preserve">banned variant descriptors such as ‘low tar’ and ‘mild’. Variants are also distinguished by </w:t>
      </w:r>
      <w:r w:rsidR="00FB5D1B">
        <w:rPr>
          <w:lang w:eastAsia="en-AU"/>
        </w:rPr>
        <w:t>whether they include</w:t>
      </w:r>
      <w:r w:rsidRPr="000C138D">
        <w:rPr>
          <w:lang w:eastAsia="en-AU"/>
        </w:rPr>
        <w:t xml:space="preserve"> </w:t>
      </w:r>
      <w:r w:rsidR="00A27F37" w:rsidRPr="000C138D">
        <w:rPr>
          <w:lang w:eastAsia="en-AU"/>
        </w:rPr>
        <w:t>m</w:t>
      </w:r>
      <w:r w:rsidRPr="000C138D">
        <w:rPr>
          <w:lang w:eastAsia="en-AU"/>
        </w:rPr>
        <w:t xml:space="preserve">enthol or </w:t>
      </w:r>
      <w:r w:rsidR="00A27F37" w:rsidRPr="000C138D">
        <w:rPr>
          <w:lang w:eastAsia="en-AU"/>
        </w:rPr>
        <w:t>r</w:t>
      </w:r>
      <w:r w:rsidRPr="000C138D">
        <w:rPr>
          <w:lang w:eastAsia="en-AU"/>
        </w:rPr>
        <w:t xml:space="preserve">um </w:t>
      </w:r>
      <w:r w:rsidRPr="000C138D">
        <w:rPr>
          <w:lang w:eastAsia="en-AU"/>
        </w:rPr>
        <w:lastRenderedPageBreak/>
        <w:t xml:space="preserve">flavouring in the tobacco, as well as </w:t>
      </w:r>
      <w:r w:rsidR="00FB5D1B">
        <w:rPr>
          <w:lang w:eastAsia="en-AU"/>
        </w:rPr>
        <w:t>in their</w:t>
      </w:r>
      <w:r w:rsidR="00FB5D1B" w:rsidRPr="000C138D">
        <w:rPr>
          <w:lang w:eastAsia="en-AU"/>
        </w:rPr>
        <w:t xml:space="preserve"> </w:t>
      </w:r>
      <w:r w:rsidRPr="000C138D">
        <w:rPr>
          <w:lang w:eastAsia="en-AU"/>
        </w:rPr>
        <w:t xml:space="preserve">use of generic descriptors such as </w:t>
      </w:r>
      <w:r w:rsidR="00FB5D1B">
        <w:rPr>
          <w:lang w:eastAsia="en-AU"/>
        </w:rPr>
        <w:t>‘</w:t>
      </w:r>
      <w:r w:rsidRPr="000C138D">
        <w:rPr>
          <w:lang w:eastAsia="en-AU"/>
        </w:rPr>
        <w:t>mellow</w:t>
      </w:r>
      <w:r w:rsidR="00FB5D1B">
        <w:rPr>
          <w:lang w:eastAsia="en-AU"/>
        </w:rPr>
        <w:t>’</w:t>
      </w:r>
      <w:r w:rsidRPr="000C138D">
        <w:rPr>
          <w:lang w:eastAsia="en-AU"/>
        </w:rPr>
        <w:t xml:space="preserve">, </w:t>
      </w:r>
      <w:r w:rsidR="00FB5D1B">
        <w:rPr>
          <w:lang w:eastAsia="en-AU"/>
        </w:rPr>
        <w:t>‘</w:t>
      </w:r>
      <w:r w:rsidRPr="000C138D">
        <w:rPr>
          <w:lang w:eastAsia="en-AU"/>
        </w:rPr>
        <w:t>fine</w:t>
      </w:r>
      <w:r w:rsidR="00FB5D1B">
        <w:rPr>
          <w:lang w:eastAsia="en-AU"/>
        </w:rPr>
        <w:t>’</w:t>
      </w:r>
      <w:r w:rsidRPr="000C138D">
        <w:rPr>
          <w:lang w:eastAsia="en-AU"/>
        </w:rPr>
        <w:t xml:space="preserve">, </w:t>
      </w:r>
      <w:r w:rsidR="00FB5D1B">
        <w:rPr>
          <w:lang w:eastAsia="en-AU"/>
        </w:rPr>
        <w:t>‘</w:t>
      </w:r>
      <w:r w:rsidRPr="000C138D">
        <w:rPr>
          <w:lang w:eastAsia="en-AU"/>
        </w:rPr>
        <w:t>rich</w:t>
      </w:r>
      <w:r w:rsidR="00FB5D1B">
        <w:rPr>
          <w:lang w:eastAsia="en-AU"/>
        </w:rPr>
        <w:t>’</w:t>
      </w:r>
      <w:r w:rsidRPr="000C138D">
        <w:rPr>
          <w:lang w:eastAsia="en-AU"/>
        </w:rPr>
        <w:t xml:space="preserve">, </w:t>
      </w:r>
      <w:r w:rsidR="00FB5D1B">
        <w:rPr>
          <w:lang w:eastAsia="en-AU"/>
        </w:rPr>
        <w:t>‘</w:t>
      </w:r>
      <w:r w:rsidRPr="000C138D">
        <w:rPr>
          <w:lang w:eastAsia="en-AU"/>
        </w:rPr>
        <w:t>fresher</w:t>
      </w:r>
      <w:r w:rsidR="00FB5D1B">
        <w:rPr>
          <w:lang w:eastAsia="en-AU"/>
        </w:rPr>
        <w:t>’</w:t>
      </w:r>
      <w:r w:rsidRPr="000C138D">
        <w:rPr>
          <w:lang w:eastAsia="en-AU"/>
        </w:rPr>
        <w:t xml:space="preserve"> or </w:t>
      </w:r>
      <w:r w:rsidR="00FB5D1B">
        <w:rPr>
          <w:lang w:eastAsia="en-AU"/>
        </w:rPr>
        <w:t>‘</w:t>
      </w:r>
      <w:r w:rsidRPr="000C138D">
        <w:rPr>
          <w:lang w:eastAsia="en-AU"/>
        </w:rPr>
        <w:t>fuller</w:t>
      </w:r>
      <w:r w:rsidR="00966F12">
        <w:rPr>
          <w:lang w:eastAsia="en-AU"/>
        </w:rPr>
        <w:t>’.</w:t>
      </w:r>
      <w:r w:rsidRPr="000C138D">
        <w:rPr>
          <w:lang w:eastAsia="en-AU"/>
        </w:rPr>
        <w:t xml:space="preserve"> </w:t>
      </w:r>
    </w:p>
    <w:p w14:paraId="7D6AC6B4" w14:textId="6B9F1C60" w:rsidR="00B64F99" w:rsidRPr="000C138D" w:rsidRDefault="00B64F99" w:rsidP="008931C3">
      <w:pPr>
        <w:rPr>
          <w:lang w:eastAsia="en-AU"/>
        </w:rPr>
      </w:pPr>
      <w:r w:rsidRPr="000C138D">
        <w:rPr>
          <w:lang w:eastAsia="en-AU"/>
        </w:rPr>
        <w:t xml:space="preserve">Cigarettes can be further differentiated by design features such as filter and filter paper design. </w:t>
      </w:r>
      <w:r w:rsidR="00C61D72">
        <w:rPr>
          <w:lang w:eastAsia="en-AU"/>
        </w:rPr>
        <w:t>Variations</w:t>
      </w:r>
      <w:r w:rsidR="00C61D72" w:rsidRPr="000C138D">
        <w:rPr>
          <w:lang w:eastAsia="en-AU"/>
        </w:rPr>
        <w:t xml:space="preserve"> </w:t>
      </w:r>
      <w:r w:rsidRPr="000C138D">
        <w:rPr>
          <w:lang w:eastAsia="en-AU"/>
        </w:rPr>
        <w:t>can include product features such as printing on filters and filter vents (tiny holes)</w:t>
      </w:r>
      <w:r w:rsidR="00C61D72">
        <w:rPr>
          <w:lang w:eastAsia="en-AU"/>
        </w:rPr>
        <w:t>. A</w:t>
      </w:r>
      <w:r w:rsidRPr="000C138D">
        <w:rPr>
          <w:lang w:eastAsia="en-AU"/>
        </w:rPr>
        <w:t xml:space="preserve"> recent innovation</w:t>
      </w:r>
      <w:r w:rsidR="00C61D72">
        <w:rPr>
          <w:lang w:eastAsia="en-AU"/>
        </w:rPr>
        <w:t xml:space="preserve"> is</w:t>
      </w:r>
      <w:r w:rsidRPr="000C138D">
        <w:rPr>
          <w:lang w:eastAsia="en-AU"/>
        </w:rPr>
        <w:t xml:space="preserve"> flavoured crush balls</w:t>
      </w:r>
      <w:r w:rsidR="00C61D72">
        <w:rPr>
          <w:lang w:eastAsia="en-AU"/>
        </w:rPr>
        <w:t>,</w:t>
      </w:r>
      <w:r w:rsidRPr="000C138D">
        <w:rPr>
          <w:lang w:eastAsia="en-AU"/>
        </w:rPr>
        <w:t xml:space="preserve"> </w:t>
      </w:r>
      <w:r w:rsidR="00C61D72">
        <w:rPr>
          <w:lang w:eastAsia="en-AU"/>
        </w:rPr>
        <w:t xml:space="preserve">which </w:t>
      </w:r>
      <w:r w:rsidRPr="000C138D">
        <w:rPr>
          <w:lang w:eastAsia="en-AU"/>
        </w:rPr>
        <w:t xml:space="preserve">are filled with a liquid flavouring </w:t>
      </w:r>
      <w:r w:rsidR="00C61D72">
        <w:rPr>
          <w:lang w:eastAsia="en-AU"/>
        </w:rPr>
        <w:t>–</w:t>
      </w:r>
      <w:r w:rsidR="00C61D72" w:rsidRPr="000C138D">
        <w:rPr>
          <w:lang w:eastAsia="en-AU"/>
        </w:rPr>
        <w:t xml:space="preserve"> </w:t>
      </w:r>
      <w:r w:rsidRPr="000C138D">
        <w:rPr>
          <w:lang w:eastAsia="en-AU"/>
        </w:rPr>
        <w:t xml:space="preserve">often menthol, but in overseas markets these can be fruity or other flavours. One or two crush balls will be included inside the filter and are activated by the user crushing the ball. </w:t>
      </w:r>
    </w:p>
    <w:p w14:paraId="0455D371" w14:textId="77777777" w:rsidR="00B64F99" w:rsidRPr="000C138D" w:rsidRDefault="00B64F99" w:rsidP="00E02064">
      <w:pPr>
        <w:pStyle w:val="Heading3"/>
      </w:pPr>
      <w:r w:rsidRPr="000C138D">
        <w:t>Vaping and other alternatives</w:t>
      </w:r>
    </w:p>
    <w:p w14:paraId="6B9D46D4" w14:textId="521089E8" w:rsidR="00B64F99" w:rsidRPr="000C138D" w:rsidRDefault="00B64F99" w:rsidP="008931C3">
      <w:r w:rsidRPr="000C138D">
        <w:t xml:space="preserve">Vaping products are electrical devices that produce a vapour, rather than smoke, by heating a solution (vaping liquid) </w:t>
      </w:r>
      <w:r w:rsidR="00C61D72">
        <w:t>that</w:t>
      </w:r>
      <w:r w:rsidR="00C61D72" w:rsidRPr="000C138D">
        <w:t xml:space="preserve"> </w:t>
      </w:r>
      <w:r w:rsidRPr="000C138D">
        <w:t>the user inhales. Vaping liquids are available with or without nicotine and are usually flavoured. The liquids and devices can be sold separately.</w:t>
      </w:r>
    </w:p>
    <w:p w14:paraId="0BB31660" w14:textId="696DDCDC" w:rsidR="00B64F99" w:rsidRPr="000C138D" w:rsidRDefault="00B64F99" w:rsidP="008931C3">
      <w:r w:rsidRPr="000C138D">
        <w:t xml:space="preserve">A wide range of smokeless tobacco products </w:t>
      </w:r>
      <w:r w:rsidR="00C61D72">
        <w:t>is</w:t>
      </w:r>
      <w:r w:rsidR="00C61D72" w:rsidRPr="000C138D">
        <w:t xml:space="preserve"> </w:t>
      </w:r>
      <w:r w:rsidRPr="000C138D">
        <w:t>used internationally as alternatives to smoked tobacco</w:t>
      </w:r>
      <w:r w:rsidR="00C61D72">
        <w:t>. One</w:t>
      </w:r>
      <w:r w:rsidRPr="000C138D">
        <w:t xml:space="preserve"> example </w:t>
      </w:r>
      <w:r w:rsidR="00C61D72">
        <w:t xml:space="preserve">is </w:t>
      </w:r>
      <w:r w:rsidRPr="000C138D">
        <w:t>heated tobacco products (devices that heat, rather than burn, manufactured tobacco sticks)</w:t>
      </w:r>
      <w:r w:rsidR="00C61D72">
        <w:t>.</w:t>
      </w:r>
    </w:p>
    <w:p w14:paraId="706E0EF4" w14:textId="5995FEBB" w:rsidR="00B64F99" w:rsidRPr="000C138D" w:rsidRDefault="00B64F99" w:rsidP="008931C3">
      <w:pPr>
        <w:rPr>
          <w:lang w:eastAsia="en-AU"/>
        </w:rPr>
      </w:pPr>
      <w:r w:rsidRPr="000C138D">
        <w:rPr>
          <w:lang w:eastAsia="en-AU"/>
        </w:rPr>
        <w:t xml:space="preserve">Vaping products and smokeless tobacco alternatives are not risk free but are considered less harmful than cigarettes. Vaping devices and the liquids </w:t>
      </w:r>
      <w:r w:rsidR="00C61D72" w:rsidRPr="000C138D">
        <w:rPr>
          <w:lang w:eastAsia="en-AU"/>
        </w:rPr>
        <w:t>(</w:t>
      </w:r>
      <w:r w:rsidR="00C61D72">
        <w:rPr>
          <w:lang w:eastAsia="en-AU"/>
        </w:rPr>
        <w:t>‘</w:t>
      </w:r>
      <w:r w:rsidRPr="000C138D">
        <w:rPr>
          <w:lang w:eastAsia="en-AU"/>
        </w:rPr>
        <w:t>vape juice</w:t>
      </w:r>
      <w:r w:rsidR="00C61D72">
        <w:rPr>
          <w:lang w:eastAsia="en-AU"/>
        </w:rPr>
        <w:t>’</w:t>
      </w:r>
      <w:r w:rsidRPr="000C138D">
        <w:rPr>
          <w:lang w:eastAsia="en-AU"/>
        </w:rPr>
        <w:t xml:space="preserve">) are sold in a range of retailers, such as dairies and service stations, as well as specialist vape retailers. The liquids used in vape devices are available in a range of variants – including tobacco and menthol, but also fruity flavours such as ‘strawberry watermelon </w:t>
      </w:r>
      <w:proofErr w:type="spellStart"/>
      <w:r w:rsidRPr="000C138D">
        <w:rPr>
          <w:lang w:eastAsia="en-AU"/>
        </w:rPr>
        <w:t>bubblegum</w:t>
      </w:r>
      <w:proofErr w:type="spellEnd"/>
      <w:r w:rsidRPr="000C138D">
        <w:rPr>
          <w:lang w:eastAsia="en-AU"/>
        </w:rPr>
        <w:t>’</w:t>
      </w:r>
      <w:r w:rsidR="00C61D72">
        <w:rPr>
          <w:lang w:eastAsia="en-AU"/>
        </w:rPr>
        <w:t>.</w:t>
      </w:r>
      <w:r w:rsidRPr="000C138D">
        <w:rPr>
          <w:lang w:eastAsia="en-AU"/>
        </w:rPr>
        <w:t xml:space="preserve"> Regulations under </w:t>
      </w:r>
      <w:r w:rsidR="00D657D3" w:rsidRPr="000C138D">
        <w:rPr>
          <w:lang w:eastAsia="en-AU"/>
        </w:rPr>
        <w:t xml:space="preserve">the </w:t>
      </w:r>
      <w:r w:rsidR="008C0668" w:rsidRPr="000C138D">
        <w:t>Smokefree Environments and Regulated Products Act 1990</w:t>
      </w:r>
      <w:r w:rsidR="008C0668">
        <w:t xml:space="preserve"> </w:t>
      </w:r>
      <w:r w:rsidR="00C61D72">
        <w:rPr>
          <w:lang w:eastAsia="en-AU"/>
        </w:rPr>
        <w:t>that</w:t>
      </w:r>
      <w:r w:rsidRPr="000C138D">
        <w:rPr>
          <w:lang w:eastAsia="en-AU"/>
        </w:rPr>
        <w:t xml:space="preserve"> would control some of the constituents of vaping products</w:t>
      </w:r>
      <w:r w:rsidR="00C61D72" w:rsidRPr="00C61D72">
        <w:rPr>
          <w:lang w:eastAsia="en-AU"/>
        </w:rPr>
        <w:t xml:space="preserve"> </w:t>
      </w:r>
      <w:r w:rsidR="00C61D72" w:rsidRPr="000C138D">
        <w:rPr>
          <w:lang w:eastAsia="en-AU"/>
        </w:rPr>
        <w:t>are currently being considered</w:t>
      </w:r>
      <w:r w:rsidRPr="000C138D">
        <w:rPr>
          <w:lang w:eastAsia="en-AU"/>
        </w:rPr>
        <w:t xml:space="preserve">.   </w:t>
      </w:r>
    </w:p>
    <w:p w14:paraId="7F983D52" w14:textId="69F5AB8A" w:rsidR="00A13139" w:rsidRPr="000C138D" w:rsidRDefault="00A13139" w:rsidP="008931C3">
      <w:pPr>
        <w:rPr>
          <w:lang w:eastAsia="en-AU"/>
        </w:rPr>
      </w:pPr>
      <w:r w:rsidRPr="000C138D">
        <w:rPr>
          <w:lang w:eastAsia="en-AU"/>
        </w:rPr>
        <w:t xml:space="preserve">It is also possible that </w:t>
      </w:r>
      <w:r w:rsidR="009A0ED9" w:rsidRPr="000C138D">
        <w:rPr>
          <w:lang w:eastAsia="en-AU"/>
        </w:rPr>
        <w:t xml:space="preserve">some </w:t>
      </w:r>
      <w:r w:rsidRPr="000C138D">
        <w:rPr>
          <w:lang w:eastAsia="en-AU"/>
        </w:rPr>
        <w:t>people may choose to grow their own tobacco</w:t>
      </w:r>
      <w:r w:rsidR="009A0ED9" w:rsidRPr="000C138D">
        <w:rPr>
          <w:lang w:eastAsia="en-AU"/>
        </w:rPr>
        <w:t xml:space="preserve"> as an alternative to smokeless tobacco or vaping products. </w:t>
      </w:r>
      <w:r w:rsidRPr="000C138D">
        <w:rPr>
          <w:lang w:eastAsia="en-AU"/>
        </w:rPr>
        <w:t xml:space="preserve"> </w:t>
      </w:r>
    </w:p>
    <w:p w14:paraId="49409BAE" w14:textId="77777777" w:rsidR="00B64F99" w:rsidRPr="000C138D" w:rsidRDefault="00B64F99" w:rsidP="005923A9">
      <w:pPr>
        <w:pStyle w:val="Heading3"/>
        <w:rPr>
          <w:lang w:eastAsia="en-AU"/>
        </w:rPr>
      </w:pPr>
      <w:r w:rsidRPr="000C138D">
        <w:rPr>
          <w:lang w:eastAsia="en-AU"/>
        </w:rPr>
        <w:t>New Zealand’s tobacco control programme</w:t>
      </w:r>
    </w:p>
    <w:p w14:paraId="4EA1318F" w14:textId="34FEA832" w:rsidR="00B64F99" w:rsidRPr="000C138D" w:rsidRDefault="00B64F99" w:rsidP="008931C3">
      <w:pPr>
        <w:rPr>
          <w:lang w:eastAsia="en-AU"/>
        </w:rPr>
      </w:pPr>
      <w:r w:rsidRPr="000C138D">
        <w:rPr>
          <w:lang w:eastAsia="en-AU"/>
        </w:rPr>
        <w:t>New Zealand’s tobacco control programme is based on international best practice, consistent with the World Health Organi</w:t>
      </w:r>
      <w:r w:rsidR="00A27F37" w:rsidRPr="000C138D">
        <w:rPr>
          <w:lang w:eastAsia="en-AU"/>
        </w:rPr>
        <w:t>z</w:t>
      </w:r>
      <w:r w:rsidRPr="000C138D">
        <w:rPr>
          <w:lang w:eastAsia="en-AU"/>
        </w:rPr>
        <w:t xml:space="preserve">ation’s </w:t>
      </w:r>
      <w:r w:rsidR="00A27F37" w:rsidRPr="000C138D">
        <w:rPr>
          <w:lang w:eastAsia="en-AU"/>
        </w:rPr>
        <w:t>F</w:t>
      </w:r>
      <w:r w:rsidRPr="000C138D">
        <w:rPr>
          <w:lang w:eastAsia="en-AU"/>
        </w:rPr>
        <w:t xml:space="preserve">ramework </w:t>
      </w:r>
      <w:r w:rsidR="00A27F37" w:rsidRPr="000C138D">
        <w:rPr>
          <w:lang w:eastAsia="en-AU"/>
        </w:rPr>
        <w:t>C</w:t>
      </w:r>
      <w:r w:rsidRPr="000C138D">
        <w:rPr>
          <w:lang w:eastAsia="en-AU"/>
        </w:rPr>
        <w:t xml:space="preserve">onvention on </w:t>
      </w:r>
      <w:r w:rsidR="00A27F37" w:rsidRPr="000C138D">
        <w:rPr>
          <w:lang w:eastAsia="en-AU"/>
        </w:rPr>
        <w:t>T</w:t>
      </w:r>
      <w:r w:rsidRPr="000C138D">
        <w:rPr>
          <w:lang w:eastAsia="en-AU"/>
        </w:rPr>
        <w:t xml:space="preserve">obacco </w:t>
      </w:r>
      <w:r w:rsidR="00A27F37" w:rsidRPr="000C138D">
        <w:rPr>
          <w:lang w:eastAsia="en-AU"/>
        </w:rPr>
        <w:t>C</w:t>
      </w:r>
      <w:r w:rsidRPr="000C138D">
        <w:rPr>
          <w:lang w:eastAsia="en-AU"/>
        </w:rPr>
        <w:t>ontrol</w:t>
      </w:r>
      <w:r w:rsidR="00C61D72">
        <w:rPr>
          <w:lang w:eastAsia="en-AU"/>
        </w:rPr>
        <w:t xml:space="preserve"> (WHO 2003)</w:t>
      </w:r>
      <w:r w:rsidRPr="000C138D">
        <w:rPr>
          <w:lang w:eastAsia="en-AU"/>
        </w:rPr>
        <w:t xml:space="preserve">. </w:t>
      </w:r>
    </w:p>
    <w:p w14:paraId="18F72281" w14:textId="653E3769" w:rsidR="00B64F99" w:rsidRPr="000C138D" w:rsidRDefault="00B64F99" w:rsidP="008931C3">
      <w:pPr>
        <w:rPr>
          <w:lang w:eastAsia="en-AU"/>
        </w:rPr>
      </w:pPr>
      <w:r w:rsidRPr="000C138D">
        <w:rPr>
          <w:lang w:eastAsia="en-AU"/>
        </w:rPr>
        <w:t xml:space="preserve">As well as government action through the Ministry of Health and </w:t>
      </w:r>
      <w:proofErr w:type="spellStart"/>
      <w:r w:rsidRPr="000C138D">
        <w:rPr>
          <w:lang w:eastAsia="en-AU"/>
        </w:rPr>
        <w:t>Te</w:t>
      </w:r>
      <w:proofErr w:type="spellEnd"/>
      <w:r w:rsidRPr="000C138D">
        <w:rPr>
          <w:lang w:eastAsia="en-AU"/>
        </w:rPr>
        <w:t xml:space="preserve"> </w:t>
      </w:r>
      <w:proofErr w:type="spellStart"/>
      <w:r w:rsidRPr="000C138D">
        <w:rPr>
          <w:lang w:eastAsia="en-AU"/>
        </w:rPr>
        <w:t>Hiringa</w:t>
      </w:r>
      <w:proofErr w:type="spellEnd"/>
      <w:r w:rsidRPr="000C138D">
        <w:rPr>
          <w:lang w:eastAsia="en-AU"/>
        </w:rPr>
        <w:t xml:space="preserve"> Hauora (Health Promotion Agency),</w:t>
      </w:r>
      <w:r w:rsidR="00C61D72" w:rsidRPr="00C61D72">
        <w:rPr>
          <w:lang w:eastAsia="en-AU"/>
        </w:rPr>
        <w:t xml:space="preserve"> </w:t>
      </w:r>
      <w:r w:rsidR="00C61D72" w:rsidRPr="000C138D">
        <w:rPr>
          <w:lang w:eastAsia="en-AU"/>
        </w:rPr>
        <w:t>community-based action</w:t>
      </w:r>
      <w:r w:rsidR="00C61D72">
        <w:rPr>
          <w:lang w:eastAsia="en-AU"/>
        </w:rPr>
        <w:t xml:space="preserve"> provides significant support for</w:t>
      </w:r>
      <w:r w:rsidRPr="000C138D">
        <w:rPr>
          <w:lang w:eastAsia="en-AU"/>
        </w:rPr>
        <w:t xml:space="preserve"> tobacco control in New Zealand. Key organisations in this space are the Cancer Society, </w:t>
      </w:r>
      <w:proofErr w:type="spellStart"/>
      <w:r w:rsidRPr="000C138D">
        <w:rPr>
          <w:lang w:eastAsia="en-AU"/>
        </w:rPr>
        <w:t>Hāpai</w:t>
      </w:r>
      <w:proofErr w:type="spellEnd"/>
      <w:r w:rsidRPr="000C138D">
        <w:rPr>
          <w:lang w:eastAsia="en-AU"/>
        </w:rPr>
        <w:t xml:space="preserve"> </w:t>
      </w:r>
      <w:proofErr w:type="spellStart"/>
      <w:r w:rsidRPr="000C138D">
        <w:rPr>
          <w:lang w:eastAsia="en-AU"/>
        </w:rPr>
        <w:t>te</w:t>
      </w:r>
      <w:proofErr w:type="spellEnd"/>
      <w:r w:rsidRPr="000C138D">
        <w:rPr>
          <w:lang w:eastAsia="en-AU"/>
        </w:rPr>
        <w:t xml:space="preserve"> Hauora and </w:t>
      </w:r>
      <w:r w:rsidR="002B06EE">
        <w:rPr>
          <w:lang w:eastAsia="en-AU"/>
        </w:rPr>
        <w:t>Action for Smokefree 2025 (</w:t>
      </w:r>
      <w:r w:rsidRPr="000C138D">
        <w:rPr>
          <w:lang w:eastAsia="en-AU"/>
        </w:rPr>
        <w:t>ASH</w:t>
      </w:r>
      <w:r w:rsidR="002B06EE">
        <w:rPr>
          <w:lang w:eastAsia="en-AU"/>
        </w:rPr>
        <w:t>)</w:t>
      </w:r>
      <w:r w:rsidRPr="000C138D">
        <w:rPr>
          <w:lang w:eastAsia="en-AU"/>
        </w:rPr>
        <w:t xml:space="preserve">. </w:t>
      </w:r>
    </w:p>
    <w:p w14:paraId="5BF36363" w14:textId="39541630" w:rsidR="00B64F99" w:rsidRPr="000C138D" w:rsidRDefault="00DC404F" w:rsidP="008931C3">
      <w:pPr>
        <w:rPr>
          <w:lang w:eastAsia="en-AU"/>
        </w:rPr>
      </w:pPr>
      <w:r>
        <w:rPr>
          <w:lang w:eastAsia="en-AU"/>
        </w:rPr>
        <w:t>Further, l</w:t>
      </w:r>
      <w:r w:rsidR="00B64F99" w:rsidRPr="000C138D">
        <w:rPr>
          <w:lang w:eastAsia="en-AU"/>
        </w:rPr>
        <w:t xml:space="preserve">ocal </w:t>
      </w:r>
      <w:r>
        <w:rPr>
          <w:lang w:eastAsia="en-AU"/>
        </w:rPr>
        <w:t>g</w:t>
      </w:r>
      <w:r w:rsidR="00B64F99" w:rsidRPr="000C138D">
        <w:rPr>
          <w:lang w:eastAsia="en-AU"/>
        </w:rPr>
        <w:t xml:space="preserve">overnment has a role in setting local outdoors </w:t>
      </w:r>
      <w:proofErr w:type="spellStart"/>
      <w:r w:rsidR="00B64F99" w:rsidRPr="000C138D">
        <w:rPr>
          <w:lang w:eastAsia="en-AU"/>
        </w:rPr>
        <w:t>smokefree</w:t>
      </w:r>
      <w:proofErr w:type="spellEnd"/>
      <w:r w:rsidR="00B64F99" w:rsidRPr="000C138D">
        <w:rPr>
          <w:lang w:eastAsia="en-AU"/>
        </w:rPr>
        <w:t xml:space="preserve"> and </w:t>
      </w:r>
      <w:proofErr w:type="spellStart"/>
      <w:r w:rsidR="00B64F99" w:rsidRPr="000C138D">
        <w:rPr>
          <w:lang w:eastAsia="en-AU"/>
        </w:rPr>
        <w:t>vapefree</w:t>
      </w:r>
      <w:proofErr w:type="spellEnd"/>
      <w:r w:rsidR="00B64F99" w:rsidRPr="000C138D">
        <w:rPr>
          <w:lang w:eastAsia="en-AU"/>
        </w:rPr>
        <w:t xml:space="preserve"> areas. District health boards also have a role </w:t>
      </w:r>
      <w:r>
        <w:rPr>
          <w:lang w:eastAsia="en-AU"/>
        </w:rPr>
        <w:t xml:space="preserve">in </w:t>
      </w:r>
      <w:r w:rsidR="00B64F99" w:rsidRPr="000C138D">
        <w:rPr>
          <w:lang w:eastAsia="en-AU"/>
        </w:rPr>
        <w:t xml:space="preserve">supporting the </w:t>
      </w:r>
      <w:proofErr w:type="spellStart"/>
      <w:r w:rsidR="00B64F99" w:rsidRPr="000C138D">
        <w:rPr>
          <w:lang w:eastAsia="en-AU"/>
        </w:rPr>
        <w:t>smokefree</w:t>
      </w:r>
      <w:proofErr w:type="spellEnd"/>
      <w:r w:rsidR="00B64F99" w:rsidRPr="000C138D">
        <w:rPr>
          <w:lang w:eastAsia="en-AU"/>
        </w:rPr>
        <w:t xml:space="preserve"> goal</w:t>
      </w:r>
      <w:r>
        <w:rPr>
          <w:lang w:eastAsia="en-AU"/>
        </w:rPr>
        <w:t xml:space="preserve"> and, through their</w:t>
      </w:r>
      <w:r w:rsidR="00B64F99" w:rsidRPr="000C138D">
        <w:rPr>
          <w:lang w:eastAsia="en-AU"/>
        </w:rPr>
        <w:t xml:space="preserve"> public health units</w:t>
      </w:r>
      <w:r>
        <w:rPr>
          <w:lang w:eastAsia="en-AU"/>
        </w:rPr>
        <w:t>,</w:t>
      </w:r>
      <w:r w:rsidR="00B64F99" w:rsidRPr="000C138D">
        <w:rPr>
          <w:lang w:eastAsia="en-AU"/>
        </w:rPr>
        <w:t xml:space="preserve"> ensuring compliance with current requirements. </w:t>
      </w:r>
    </w:p>
    <w:p w14:paraId="2338B378" w14:textId="77777777" w:rsidR="00B64F99" w:rsidRPr="000C138D" w:rsidRDefault="00B64F99" w:rsidP="008931C3">
      <w:pPr>
        <w:rPr>
          <w:lang w:eastAsia="en-AU"/>
        </w:rPr>
      </w:pPr>
      <w:r w:rsidRPr="000C138D">
        <w:rPr>
          <w:lang w:eastAsia="en-AU"/>
        </w:rPr>
        <w:t xml:space="preserve">This wider network of organisations and advocates contributes by working to change norms about smoking and influencing the development of policy and legislation. </w:t>
      </w:r>
    </w:p>
    <w:p w14:paraId="5149C8A7" w14:textId="69E40A8C" w:rsidR="00B64F99" w:rsidRPr="000C138D" w:rsidRDefault="00B64F99" w:rsidP="00A5387C">
      <w:pPr>
        <w:pStyle w:val="Heading3"/>
        <w:rPr>
          <w:lang w:eastAsia="en-AU"/>
        </w:rPr>
      </w:pPr>
      <w:r w:rsidRPr="000C138D">
        <w:rPr>
          <w:lang w:eastAsia="en-AU"/>
        </w:rPr>
        <w:t>The Smokefree 2025 goal</w:t>
      </w:r>
    </w:p>
    <w:p w14:paraId="16A38224" w14:textId="384F7FC1" w:rsidR="00B64F99" w:rsidRPr="000C138D" w:rsidRDefault="00B64F99" w:rsidP="008931C3">
      <w:pPr>
        <w:rPr>
          <w:lang w:eastAsia="en-AU"/>
        </w:rPr>
      </w:pPr>
      <w:r w:rsidRPr="000C138D">
        <w:rPr>
          <w:lang w:eastAsia="en-AU"/>
        </w:rPr>
        <w:t xml:space="preserve">In 2010, the Māori Affairs Select Committee led an inquiry into the tobacco industry in New Zealand and the consequences of tobacco use for Māori. In 2011, in response to this inquiry, the Government adopted the goal of reducing smoking prevalence and tobacco availability to minimal levels, which would essentially make New Zealand </w:t>
      </w:r>
      <w:proofErr w:type="spellStart"/>
      <w:r w:rsidR="002668D9" w:rsidRPr="000C138D">
        <w:rPr>
          <w:lang w:eastAsia="en-AU"/>
        </w:rPr>
        <w:t>s</w:t>
      </w:r>
      <w:r w:rsidRPr="000C138D">
        <w:rPr>
          <w:lang w:eastAsia="en-AU"/>
        </w:rPr>
        <w:t>mokefree</w:t>
      </w:r>
      <w:proofErr w:type="spellEnd"/>
      <w:r w:rsidRPr="000C138D">
        <w:rPr>
          <w:lang w:eastAsia="en-AU"/>
        </w:rPr>
        <w:t xml:space="preserve"> by 2025</w:t>
      </w:r>
      <w:r w:rsidR="00DC404F">
        <w:rPr>
          <w:lang w:eastAsia="en-AU"/>
        </w:rPr>
        <w:t xml:space="preserve"> (New Zealand Parliament 2011)</w:t>
      </w:r>
      <w:r w:rsidRPr="000C138D">
        <w:rPr>
          <w:lang w:eastAsia="en-AU"/>
        </w:rPr>
        <w:t xml:space="preserve">. </w:t>
      </w:r>
    </w:p>
    <w:p w14:paraId="19C45FE5" w14:textId="2167E7E5" w:rsidR="00B64F99" w:rsidRPr="000C138D" w:rsidRDefault="00DC404F" w:rsidP="008931C3">
      <w:pPr>
        <w:rPr>
          <w:lang w:eastAsia="en-AU"/>
        </w:rPr>
      </w:pPr>
      <w:r w:rsidRPr="000C138D">
        <w:rPr>
          <w:lang w:eastAsia="en-AU"/>
        </w:rPr>
        <w:t>All</w:t>
      </w:r>
      <w:r>
        <w:rPr>
          <w:lang w:eastAsia="en-AU"/>
        </w:rPr>
        <w:t xml:space="preserve"> ethnic</w:t>
      </w:r>
      <w:r w:rsidRPr="000C138D">
        <w:rPr>
          <w:lang w:eastAsia="en-AU"/>
        </w:rPr>
        <w:t xml:space="preserve"> groups in New Zealand </w:t>
      </w:r>
      <w:r>
        <w:rPr>
          <w:lang w:eastAsia="en-AU"/>
        </w:rPr>
        <w:t>have made p</w:t>
      </w:r>
      <w:r w:rsidR="00B64F99" w:rsidRPr="000C138D">
        <w:rPr>
          <w:lang w:eastAsia="en-AU"/>
        </w:rPr>
        <w:t xml:space="preserve">rogress towards this </w:t>
      </w:r>
      <w:r w:rsidR="00EF74EB" w:rsidRPr="000C138D">
        <w:rPr>
          <w:lang w:eastAsia="en-AU"/>
        </w:rPr>
        <w:t>goal.</w:t>
      </w:r>
      <w:r w:rsidR="00B64F99" w:rsidRPr="000C138D">
        <w:rPr>
          <w:lang w:eastAsia="en-AU"/>
        </w:rPr>
        <w:t xml:space="preserve"> From 2006/07 to 2019</w:t>
      </w:r>
      <w:r w:rsidR="00A27F37" w:rsidRPr="000C138D">
        <w:rPr>
          <w:lang w:eastAsia="en-AU"/>
        </w:rPr>
        <w:t>/</w:t>
      </w:r>
      <w:r w:rsidR="00B64F99" w:rsidRPr="000C138D">
        <w:rPr>
          <w:lang w:eastAsia="en-AU"/>
        </w:rPr>
        <w:t>20</w:t>
      </w:r>
      <w:r>
        <w:rPr>
          <w:lang w:eastAsia="en-AU"/>
        </w:rPr>
        <w:t>,</w:t>
      </w:r>
      <w:r w:rsidR="00B64F99" w:rsidRPr="000C138D">
        <w:rPr>
          <w:lang w:eastAsia="en-AU"/>
        </w:rPr>
        <w:t xml:space="preserve"> </w:t>
      </w:r>
      <w:r>
        <w:rPr>
          <w:lang w:eastAsia="en-AU"/>
        </w:rPr>
        <w:t>s</w:t>
      </w:r>
      <w:r w:rsidR="00B64F99" w:rsidRPr="000C138D">
        <w:rPr>
          <w:lang w:eastAsia="en-AU"/>
        </w:rPr>
        <w:t>moking prevalence has reduced from 17 percent to 10.1 percent among European/</w:t>
      </w:r>
      <w:r w:rsidR="00942C28">
        <w:rPr>
          <w:lang w:eastAsia="en-AU"/>
        </w:rPr>
        <w:t>O</w:t>
      </w:r>
      <w:r w:rsidR="00B64F99" w:rsidRPr="000C138D">
        <w:rPr>
          <w:lang w:eastAsia="en-AU"/>
        </w:rPr>
        <w:t>ther</w:t>
      </w:r>
      <w:r>
        <w:rPr>
          <w:lang w:eastAsia="en-AU"/>
        </w:rPr>
        <w:t>s</w:t>
      </w:r>
      <w:r w:rsidR="00B64F99" w:rsidRPr="000C138D">
        <w:rPr>
          <w:lang w:eastAsia="en-AU"/>
        </w:rPr>
        <w:t xml:space="preserve">, </w:t>
      </w:r>
      <w:r w:rsidR="00B65510">
        <w:rPr>
          <w:lang w:eastAsia="en-AU"/>
        </w:rPr>
        <w:t xml:space="preserve">from </w:t>
      </w:r>
      <w:r w:rsidR="00B64F99" w:rsidRPr="000C138D">
        <w:rPr>
          <w:lang w:eastAsia="en-AU"/>
        </w:rPr>
        <w:t xml:space="preserve">39.2 to 28.7 percent among Māori and </w:t>
      </w:r>
      <w:r w:rsidR="00B65510">
        <w:rPr>
          <w:lang w:eastAsia="en-AU"/>
        </w:rPr>
        <w:t xml:space="preserve">from </w:t>
      </w:r>
      <w:r w:rsidR="00B64F99" w:rsidRPr="000C138D">
        <w:rPr>
          <w:lang w:eastAsia="en-AU"/>
        </w:rPr>
        <w:t>24.8 to 18.3 percent among Pacific peoples</w:t>
      </w:r>
      <w:r>
        <w:rPr>
          <w:lang w:eastAsia="en-AU"/>
        </w:rPr>
        <w:t xml:space="preserve"> (</w:t>
      </w:r>
      <w:r>
        <w:rPr>
          <w:lang w:eastAsia="en-AU"/>
        </w:rPr>
        <w:fldChar w:fldCharType="begin"/>
      </w:r>
      <w:r>
        <w:rPr>
          <w:lang w:eastAsia="en-AU"/>
        </w:rPr>
        <w:instrText xml:space="preserve"> REF _Ref66338442 \h </w:instrText>
      </w:r>
      <w:r>
        <w:rPr>
          <w:lang w:eastAsia="en-AU"/>
        </w:rPr>
      </w:r>
      <w:r>
        <w:rPr>
          <w:lang w:eastAsia="en-AU"/>
        </w:rPr>
        <w:fldChar w:fldCharType="separate"/>
      </w:r>
      <w:r w:rsidR="00A847AE" w:rsidRPr="000C138D">
        <w:t xml:space="preserve">Table </w:t>
      </w:r>
      <w:r w:rsidR="00A847AE">
        <w:rPr>
          <w:noProof/>
        </w:rPr>
        <w:t>6</w:t>
      </w:r>
      <w:r>
        <w:rPr>
          <w:lang w:eastAsia="en-AU"/>
        </w:rPr>
        <w:fldChar w:fldCharType="end"/>
      </w:r>
      <w:r>
        <w:rPr>
          <w:lang w:eastAsia="en-AU"/>
        </w:rPr>
        <w:t>)</w:t>
      </w:r>
      <w:r w:rsidR="00B64F99" w:rsidRPr="000C138D">
        <w:rPr>
          <w:lang w:eastAsia="en-AU"/>
        </w:rPr>
        <w:t xml:space="preserve">.  </w:t>
      </w:r>
    </w:p>
    <w:p w14:paraId="1D9F8C3D" w14:textId="613C1796" w:rsidR="00B64F99" w:rsidRPr="000C138D" w:rsidRDefault="00B64F99" w:rsidP="00A04078">
      <w:pPr>
        <w:pStyle w:val="Caption"/>
        <w:keepNext/>
        <w:spacing w:before="120" w:after="120" w:line="240" w:lineRule="auto"/>
      </w:pPr>
      <w:bookmarkStart w:id="7" w:name="_Ref66338442"/>
      <w:r w:rsidRPr="000C138D">
        <w:lastRenderedPageBreak/>
        <w:t xml:space="preserve">Table </w:t>
      </w:r>
      <w:r w:rsidR="002564DB">
        <w:fldChar w:fldCharType="begin"/>
      </w:r>
      <w:r w:rsidR="002564DB">
        <w:instrText xml:space="preserve"> SEQ Table \* ARABIC </w:instrText>
      </w:r>
      <w:r w:rsidR="002564DB">
        <w:fldChar w:fldCharType="separate"/>
      </w:r>
      <w:r w:rsidR="00A847AE">
        <w:rPr>
          <w:noProof/>
        </w:rPr>
        <w:t>6</w:t>
      </w:r>
      <w:r w:rsidR="002564DB">
        <w:rPr>
          <w:noProof/>
        </w:rPr>
        <w:fldChar w:fldCharType="end"/>
      </w:r>
      <w:bookmarkEnd w:id="7"/>
      <w:r w:rsidRPr="000C138D">
        <w:t xml:space="preserve"> Daily smoking prevalence by ethnicity, 2006/07–2019/20</w:t>
      </w:r>
    </w:p>
    <w:p w14:paraId="0CD3D4E8" w14:textId="77777777" w:rsidR="00B64F99" w:rsidRPr="000C138D" w:rsidRDefault="00B64F99" w:rsidP="00A04078">
      <w:pPr>
        <w:pStyle w:val="ReportBody-MOH"/>
        <w:numPr>
          <w:ilvl w:val="0"/>
          <w:numId w:val="0"/>
        </w:numPr>
        <w:rPr>
          <w:rFonts w:ascii="Arial" w:hAnsi="Arial"/>
          <w:lang w:eastAsia="en-AU"/>
        </w:rPr>
      </w:pPr>
      <w:r w:rsidRPr="000C138D">
        <w:rPr>
          <w:b/>
          <w:noProof/>
        </w:rPr>
        <w:drawing>
          <wp:inline distT="0" distB="0" distL="0" distR="0" wp14:anchorId="6116EBE8" wp14:editId="47650C8E">
            <wp:extent cx="5228823" cy="25844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31689" cy="2585867"/>
                    </a:xfrm>
                    <a:prstGeom prst="rect">
                      <a:avLst/>
                    </a:prstGeom>
                    <a:noFill/>
                  </pic:spPr>
                </pic:pic>
              </a:graphicData>
            </a:graphic>
          </wp:inline>
        </w:drawing>
      </w:r>
    </w:p>
    <w:p w14:paraId="359B8C78" w14:textId="67E70A77" w:rsidR="00B64F99" w:rsidRPr="000C138D" w:rsidRDefault="00B64F99" w:rsidP="008931C3">
      <w:pPr>
        <w:rPr>
          <w:lang w:eastAsia="en-AU"/>
        </w:rPr>
      </w:pPr>
      <w:r w:rsidRPr="000C138D">
        <w:rPr>
          <w:lang w:eastAsia="en-AU"/>
        </w:rPr>
        <w:t xml:space="preserve">The amount of tobacco New Zealanders consume is also decreasing. For example, cigarette consumption per </w:t>
      </w:r>
      <w:r w:rsidR="00C5148E">
        <w:rPr>
          <w:lang w:eastAsia="en-AU"/>
        </w:rPr>
        <w:t>person</w:t>
      </w:r>
      <w:r w:rsidR="00C5148E" w:rsidRPr="000C138D">
        <w:rPr>
          <w:lang w:eastAsia="en-AU"/>
        </w:rPr>
        <w:t xml:space="preserve"> </w:t>
      </w:r>
      <w:r w:rsidRPr="000C138D">
        <w:rPr>
          <w:lang w:eastAsia="en-AU"/>
        </w:rPr>
        <w:t>decreased by 40 percent between 2011</w:t>
      </w:r>
      <w:r w:rsidR="00C5148E">
        <w:rPr>
          <w:lang w:eastAsia="en-AU"/>
        </w:rPr>
        <w:t>,</w:t>
      </w:r>
      <w:r w:rsidRPr="000C138D">
        <w:rPr>
          <w:lang w:eastAsia="en-AU"/>
        </w:rPr>
        <w:t xml:space="preserve"> when the recent series of 10 percent increases on tobacco excise began, and 2019</w:t>
      </w:r>
      <w:r w:rsidR="00C5148E">
        <w:rPr>
          <w:lang w:eastAsia="en-AU"/>
        </w:rPr>
        <w:t xml:space="preserve"> (</w:t>
      </w:r>
      <w:r w:rsidR="00C5148E">
        <w:rPr>
          <w:lang w:eastAsia="en-AU"/>
        </w:rPr>
        <w:fldChar w:fldCharType="begin"/>
      </w:r>
      <w:r w:rsidR="00C5148E">
        <w:rPr>
          <w:lang w:eastAsia="en-AU"/>
        </w:rPr>
        <w:instrText xml:space="preserve"> REF _Ref66343978 \h </w:instrText>
      </w:r>
      <w:r w:rsidR="00C5148E">
        <w:rPr>
          <w:lang w:eastAsia="en-AU"/>
        </w:rPr>
      </w:r>
      <w:r w:rsidR="00C5148E">
        <w:rPr>
          <w:lang w:eastAsia="en-AU"/>
        </w:rPr>
        <w:fldChar w:fldCharType="separate"/>
      </w:r>
      <w:r w:rsidR="00A847AE" w:rsidRPr="000C138D">
        <w:t xml:space="preserve">Table </w:t>
      </w:r>
      <w:r w:rsidR="00A847AE">
        <w:rPr>
          <w:noProof/>
        </w:rPr>
        <w:t>7</w:t>
      </w:r>
      <w:r w:rsidR="00C5148E">
        <w:rPr>
          <w:lang w:eastAsia="en-AU"/>
        </w:rPr>
        <w:fldChar w:fldCharType="end"/>
      </w:r>
      <w:r w:rsidR="00C5148E">
        <w:rPr>
          <w:lang w:eastAsia="en-AU"/>
        </w:rPr>
        <w:t>)</w:t>
      </w:r>
      <w:r w:rsidRPr="000C138D">
        <w:rPr>
          <w:lang w:eastAsia="en-AU"/>
        </w:rPr>
        <w:t xml:space="preserve">. </w:t>
      </w:r>
    </w:p>
    <w:p w14:paraId="2B68964F" w14:textId="60D4404F" w:rsidR="00B64F99" w:rsidRPr="000C138D" w:rsidRDefault="00B64F99" w:rsidP="00A04078">
      <w:pPr>
        <w:pStyle w:val="Caption"/>
        <w:keepNext/>
        <w:spacing w:before="120" w:after="120" w:line="240" w:lineRule="auto"/>
      </w:pPr>
      <w:bookmarkStart w:id="8" w:name="_Ref66343978"/>
      <w:r w:rsidRPr="000C138D">
        <w:t xml:space="preserve">Table </w:t>
      </w:r>
      <w:r w:rsidR="002564DB">
        <w:fldChar w:fldCharType="begin"/>
      </w:r>
      <w:r w:rsidR="002564DB">
        <w:instrText xml:space="preserve"> SEQ Table \* ARA</w:instrText>
      </w:r>
      <w:r w:rsidR="002564DB">
        <w:instrText xml:space="preserve">BIC </w:instrText>
      </w:r>
      <w:r w:rsidR="002564DB">
        <w:fldChar w:fldCharType="separate"/>
      </w:r>
      <w:r w:rsidR="00A847AE">
        <w:rPr>
          <w:noProof/>
        </w:rPr>
        <w:t>7</w:t>
      </w:r>
      <w:r w:rsidR="002564DB">
        <w:rPr>
          <w:noProof/>
        </w:rPr>
        <w:fldChar w:fldCharType="end"/>
      </w:r>
      <w:bookmarkEnd w:id="8"/>
      <w:r w:rsidRPr="000C138D">
        <w:t xml:space="preserve"> Tobacco consumption trends, 2004–2019</w:t>
      </w:r>
    </w:p>
    <w:p w14:paraId="665B2FCF" w14:textId="77777777" w:rsidR="00B64F99" w:rsidRPr="000C138D" w:rsidRDefault="00B64F99" w:rsidP="00A04078">
      <w:pPr>
        <w:pStyle w:val="ReportBody-MOH"/>
        <w:numPr>
          <w:ilvl w:val="0"/>
          <w:numId w:val="0"/>
        </w:numPr>
        <w:rPr>
          <w:rFonts w:ascii="Arial" w:hAnsi="Arial"/>
          <w:lang w:eastAsia="en-AU"/>
        </w:rPr>
      </w:pPr>
      <w:r w:rsidRPr="000C138D">
        <w:rPr>
          <w:noProof/>
        </w:rPr>
        <w:drawing>
          <wp:inline distT="0" distB="0" distL="0" distR="0" wp14:anchorId="0A9F854C" wp14:editId="24C962B1">
            <wp:extent cx="4392930" cy="3038475"/>
            <wp:effectExtent l="0" t="0" r="26670" b="9525"/>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16310B86" w14:textId="77777777" w:rsidR="00A27F37" w:rsidRPr="000C138D" w:rsidRDefault="00A27F37">
      <w:pPr>
        <w:spacing w:after="0" w:line="240" w:lineRule="auto"/>
        <w:rPr>
          <w:rFonts w:cs="Arial"/>
          <w:kern w:val="22"/>
          <w:szCs w:val="22"/>
          <w:lang w:eastAsia="en-AU"/>
        </w:rPr>
      </w:pPr>
      <w:r w:rsidRPr="000C138D">
        <w:rPr>
          <w:lang w:eastAsia="en-AU"/>
        </w:rPr>
        <w:br w:type="page"/>
      </w:r>
    </w:p>
    <w:p w14:paraId="5346139B" w14:textId="76A5BD67" w:rsidR="00B64F99" w:rsidRPr="000C138D" w:rsidRDefault="00B64F99" w:rsidP="008931C3">
      <w:pPr>
        <w:rPr>
          <w:lang w:eastAsia="en-AU"/>
        </w:rPr>
      </w:pPr>
      <w:r w:rsidRPr="000C138D">
        <w:rPr>
          <w:lang w:eastAsia="en-AU"/>
        </w:rPr>
        <w:lastRenderedPageBreak/>
        <w:t>However, modelling indicates that under a business</w:t>
      </w:r>
      <w:r w:rsidR="00C5148E">
        <w:rPr>
          <w:lang w:eastAsia="en-AU"/>
        </w:rPr>
        <w:t>-</w:t>
      </w:r>
      <w:r w:rsidRPr="000C138D">
        <w:rPr>
          <w:lang w:eastAsia="en-AU"/>
        </w:rPr>
        <w:t>as</w:t>
      </w:r>
      <w:r w:rsidR="00C5148E">
        <w:rPr>
          <w:lang w:eastAsia="en-AU"/>
        </w:rPr>
        <w:t>-</w:t>
      </w:r>
      <w:r w:rsidRPr="000C138D">
        <w:rPr>
          <w:lang w:eastAsia="en-AU"/>
        </w:rPr>
        <w:t>usual approach, smoking rates are projected to only reduce to 8.1 percent for non-Māori and 20 percent for Māori by 2025</w:t>
      </w:r>
      <w:r w:rsidR="00C5148E">
        <w:rPr>
          <w:lang w:eastAsia="en-AU"/>
        </w:rPr>
        <w:t xml:space="preserve"> (</w:t>
      </w:r>
      <w:r w:rsidR="00C5148E">
        <w:rPr>
          <w:lang w:eastAsia="en-AU"/>
        </w:rPr>
        <w:fldChar w:fldCharType="begin"/>
      </w:r>
      <w:r w:rsidR="00C5148E">
        <w:rPr>
          <w:lang w:eastAsia="en-AU"/>
        </w:rPr>
        <w:instrText xml:space="preserve"> REF _Ref66344084 \h </w:instrText>
      </w:r>
      <w:r w:rsidR="00C5148E">
        <w:rPr>
          <w:lang w:eastAsia="en-AU"/>
        </w:rPr>
      </w:r>
      <w:r w:rsidR="00C5148E">
        <w:rPr>
          <w:lang w:eastAsia="en-AU"/>
        </w:rPr>
        <w:fldChar w:fldCharType="separate"/>
      </w:r>
      <w:r w:rsidR="00A847AE">
        <w:t xml:space="preserve">Table </w:t>
      </w:r>
      <w:r w:rsidR="00A847AE">
        <w:rPr>
          <w:noProof/>
        </w:rPr>
        <w:t>8</w:t>
      </w:r>
      <w:r w:rsidR="00C5148E">
        <w:rPr>
          <w:lang w:eastAsia="en-AU"/>
        </w:rPr>
        <w:fldChar w:fldCharType="end"/>
      </w:r>
      <w:r w:rsidR="00C5148E">
        <w:rPr>
          <w:lang w:eastAsia="en-AU"/>
        </w:rPr>
        <w:t>)</w:t>
      </w:r>
      <w:r w:rsidRPr="000C138D">
        <w:rPr>
          <w:lang w:eastAsia="en-AU"/>
        </w:rPr>
        <w:t xml:space="preserve">. </w:t>
      </w:r>
      <w:r w:rsidR="00C5148E">
        <w:rPr>
          <w:lang w:eastAsia="en-AU"/>
        </w:rPr>
        <w:t xml:space="preserve">The rates of </w:t>
      </w:r>
      <w:r w:rsidR="00C5148E" w:rsidRPr="000C138D">
        <w:rPr>
          <w:lang w:eastAsia="en-AU"/>
        </w:rPr>
        <w:t>daily smoking</w:t>
      </w:r>
      <w:r w:rsidR="00C5148E">
        <w:rPr>
          <w:lang w:eastAsia="en-AU"/>
        </w:rPr>
        <w:t xml:space="preserve"> for </w:t>
      </w:r>
      <w:r w:rsidRPr="000C138D">
        <w:rPr>
          <w:lang w:eastAsia="en-AU"/>
        </w:rPr>
        <w:t xml:space="preserve">Pacific peoples </w:t>
      </w:r>
      <w:r w:rsidR="00C5148E">
        <w:rPr>
          <w:lang w:eastAsia="en-AU"/>
        </w:rPr>
        <w:t>is</w:t>
      </w:r>
      <w:r w:rsidR="00C5148E" w:rsidRPr="000C138D">
        <w:rPr>
          <w:lang w:eastAsia="en-AU"/>
        </w:rPr>
        <w:t xml:space="preserve"> </w:t>
      </w:r>
      <w:r w:rsidRPr="000C138D">
        <w:rPr>
          <w:lang w:eastAsia="en-AU"/>
        </w:rPr>
        <w:t xml:space="preserve">projected to reach 11.7 percent by 2025. Māori are not projected to reach </w:t>
      </w:r>
      <w:r w:rsidR="00C5148E">
        <w:rPr>
          <w:lang w:eastAsia="en-AU"/>
        </w:rPr>
        <w:t>5</w:t>
      </w:r>
      <w:r w:rsidR="00C5148E" w:rsidRPr="000C138D">
        <w:rPr>
          <w:lang w:eastAsia="en-AU"/>
        </w:rPr>
        <w:t xml:space="preserve"> </w:t>
      </w:r>
      <w:r w:rsidRPr="000C138D">
        <w:rPr>
          <w:lang w:eastAsia="en-AU"/>
        </w:rPr>
        <w:t xml:space="preserve">percent until 2061. </w:t>
      </w:r>
    </w:p>
    <w:p w14:paraId="426B015E" w14:textId="4941CD1B" w:rsidR="00B64F99" w:rsidRPr="000C138D" w:rsidRDefault="00C5148E" w:rsidP="00C5148E">
      <w:pPr>
        <w:pStyle w:val="Caption"/>
        <w:rPr>
          <w:lang w:eastAsia="en-AU"/>
        </w:rPr>
      </w:pPr>
      <w:bookmarkStart w:id="9" w:name="_Ref66344084"/>
      <w:r w:rsidRPr="000C138D">
        <w:rPr>
          <w:noProof/>
          <w:lang w:eastAsia="en-NZ"/>
        </w:rPr>
        <w:drawing>
          <wp:anchor distT="0" distB="0" distL="114300" distR="114300" simplePos="0" relativeHeight="251659264" behindDoc="1" locked="0" layoutInCell="1" allowOverlap="1" wp14:anchorId="4C18E56E" wp14:editId="272FE9C1">
            <wp:simplePos x="0" y="0"/>
            <wp:positionH relativeFrom="column">
              <wp:posOffset>-26670</wp:posOffset>
            </wp:positionH>
            <wp:positionV relativeFrom="paragraph">
              <wp:posOffset>467360</wp:posOffset>
            </wp:positionV>
            <wp:extent cx="3930650" cy="2432685"/>
            <wp:effectExtent l="0" t="0" r="0" b="5715"/>
            <wp:wrapTopAndBottom/>
            <wp:docPr id="4" name="Picture 4" descr="Graph3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3 V2"/>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t="8657"/>
                    <a:stretch/>
                  </pic:blipFill>
                  <pic:spPr bwMode="auto">
                    <a:xfrm>
                      <a:off x="0" y="0"/>
                      <a:ext cx="3930650" cy="2432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Table </w:t>
      </w:r>
      <w:r w:rsidR="002564DB">
        <w:fldChar w:fldCharType="begin"/>
      </w:r>
      <w:r w:rsidR="002564DB">
        <w:instrText xml:space="preserve"> SEQ Table \* ARABIC </w:instrText>
      </w:r>
      <w:r w:rsidR="002564DB">
        <w:fldChar w:fldCharType="separate"/>
      </w:r>
      <w:r w:rsidR="00A847AE">
        <w:rPr>
          <w:noProof/>
        </w:rPr>
        <w:t>8</w:t>
      </w:r>
      <w:r w:rsidR="002564DB">
        <w:rPr>
          <w:noProof/>
        </w:rPr>
        <w:fldChar w:fldCharType="end"/>
      </w:r>
      <w:bookmarkEnd w:id="9"/>
      <w:r>
        <w:t xml:space="preserve"> </w:t>
      </w:r>
      <w:r w:rsidRPr="00CA444C">
        <w:t>Projections of adult smoking prevalence (for daily smoking) for Māori and non-Māori to 2060</w:t>
      </w:r>
    </w:p>
    <w:p w14:paraId="1E2047BF" w14:textId="77777777" w:rsidR="00B64F99" w:rsidRPr="000C138D" w:rsidRDefault="00B64F99" w:rsidP="00A04078">
      <w:pPr>
        <w:pStyle w:val="ReportBody-MOH"/>
        <w:numPr>
          <w:ilvl w:val="0"/>
          <w:numId w:val="0"/>
        </w:numPr>
        <w:rPr>
          <w:rFonts w:ascii="Arial" w:hAnsi="Arial"/>
          <w:lang w:eastAsia="en-AU"/>
        </w:rPr>
      </w:pPr>
    </w:p>
    <w:p w14:paraId="576D20A2" w14:textId="77777777" w:rsidR="00B64F99" w:rsidRPr="000C138D" w:rsidRDefault="00B64F99" w:rsidP="00A04078">
      <w:pPr>
        <w:pStyle w:val="spacer"/>
        <w:spacing w:before="120" w:after="120"/>
      </w:pPr>
    </w:p>
    <w:p w14:paraId="1089D42D" w14:textId="77777777" w:rsidR="00B465FF" w:rsidRPr="000C138D" w:rsidRDefault="00B465FF" w:rsidP="00A04078">
      <w:pPr>
        <w:pStyle w:val="spacer"/>
        <w:spacing w:before="120" w:after="120"/>
      </w:pPr>
    </w:p>
    <w:sectPr w:rsidR="00B465FF" w:rsidRPr="000C138D" w:rsidSect="00B952B7">
      <w:headerReference w:type="default" r:id="rId41"/>
      <w:footerReference w:type="default" r:id="rId42"/>
      <w:pgSz w:w="11906" w:h="16838"/>
      <w:pgMar w:top="1134" w:right="1418"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A1ECD" w14:textId="77777777" w:rsidR="00F4549A" w:rsidRDefault="00F4549A">
      <w:pPr>
        <w:spacing w:after="0" w:line="240" w:lineRule="auto"/>
      </w:pPr>
      <w:r>
        <w:separator/>
      </w:r>
    </w:p>
  </w:endnote>
  <w:endnote w:type="continuationSeparator" w:id="0">
    <w:p w14:paraId="4C230464" w14:textId="77777777" w:rsidR="00F4549A" w:rsidRDefault="00F45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illSans">
    <w:altName w:val="Calibri"/>
    <w:panose1 w:val="00000000000000000000"/>
    <w:charset w:val="00"/>
    <w:family w:val="modern"/>
    <w:notTrueType/>
    <w:pitch w:val="variable"/>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E2247" w14:textId="50918167" w:rsidR="00044636" w:rsidRPr="00957BC2" w:rsidRDefault="00044636" w:rsidP="002127DC">
    <w:pPr>
      <w:pStyle w:val="Footer"/>
    </w:pPr>
    <w:r>
      <w:rPr>
        <w:sz w:val="14"/>
      </w:rPr>
      <w:tab/>
    </w:r>
    <w:r w:rsidRPr="00957BC2">
      <w:t xml:space="preserve">  Impact Summary</w:t>
    </w:r>
    <w:r>
      <w:t xml:space="preserve"> </w:t>
    </w:r>
    <w:r w:rsidR="00A5387C">
      <w:t>Proposals for a Smokefree Aotearoa</w:t>
    </w:r>
    <w:r w:rsidRPr="00957BC2">
      <w:t xml:space="preserve">|   </w:t>
    </w:r>
    <w:r w:rsidRPr="00957BC2">
      <w:fldChar w:fldCharType="begin"/>
    </w:r>
    <w:r w:rsidRPr="00957BC2">
      <w:instrText xml:space="preserve"> PAGE </w:instrText>
    </w:r>
    <w:r w:rsidRPr="00957BC2">
      <w:fldChar w:fldCharType="separate"/>
    </w:r>
    <w:r w:rsidR="009E1B48">
      <w:t>25</w:t>
    </w:r>
    <w:r w:rsidRPr="00957BC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494A9" w14:textId="77777777" w:rsidR="00F4549A" w:rsidRDefault="00F4549A">
      <w:pPr>
        <w:spacing w:after="0" w:line="240" w:lineRule="auto"/>
      </w:pPr>
      <w:r>
        <w:separator/>
      </w:r>
    </w:p>
  </w:footnote>
  <w:footnote w:type="continuationSeparator" w:id="0">
    <w:p w14:paraId="2A5F958B" w14:textId="77777777" w:rsidR="00F4549A" w:rsidRDefault="00F4549A">
      <w:pPr>
        <w:spacing w:after="0" w:line="240" w:lineRule="auto"/>
      </w:pPr>
      <w:r>
        <w:continuationSeparator/>
      </w:r>
    </w:p>
  </w:footnote>
  <w:footnote w:id="1">
    <w:p w14:paraId="7EABD23E" w14:textId="46EA7370" w:rsidR="00044636" w:rsidRPr="00EB427B" w:rsidRDefault="00044636" w:rsidP="0082483F">
      <w:pPr>
        <w:pStyle w:val="FootnoteText"/>
      </w:pPr>
      <w:r>
        <w:rPr>
          <w:rStyle w:val="FootnoteReference"/>
        </w:rPr>
        <w:footnoteRef/>
      </w:r>
      <w:r>
        <w:t xml:space="preserve"> </w:t>
      </w:r>
      <w:r w:rsidRPr="009B7054">
        <w:t>The name of this Act changed on 11 November 2020. It was formerly known as the</w:t>
      </w:r>
      <w:r w:rsidRPr="00663F22">
        <w:t xml:space="preserve"> </w:t>
      </w:r>
      <w:r w:rsidRPr="00A5387C">
        <w:rPr>
          <w:iCs/>
        </w:rPr>
        <w:t>Smoke-free Environments Act 1990</w:t>
      </w:r>
      <w:r>
        <w:rPr>
          <w:iCs/>
        </w:rPr>
        <w:t>.</w:t>
      </w:r>
    </w:p>
  </w:footnote>
  <w:footnote w:id="2">
    <w:p w14:paraId="5FEEBC69" w14:textId="62441A86" w:rsidR="003F0439" w:rsidRDefault="003F0439">
      <w:pPr>
        <w:pStyle w:val="FootnoteText"/>
      </w:pPr>
      <w:r>
        <w:rPr>
          <w:rStyle w:val="FootnoteReference"/>
        </w:rPr>
        <w:footnoteRef/>
      </w:r>
      <w:r>
        <w:t xml:space="preserve"> </w:t>
      </w:r>
      <w:r w:rsidR="00137C2D">
        <w:t>This would mean that existing retail outlets would be allowed to continue but no new licences would be issued</w:t>
      </w:r>
    </w:p>
  </w:footnote>
  <w:footnote w:id="3">
    <w:p w14:paraId="0137AB0C" w14:textId="77777777" w:rsidR="00044636" w:rsidRDefault="00044636" w:rsidP="00D74645">
      <w:pPr>
        <w:pStyle w:val="FootnoteText"/>
      </w:pPr>
      <w:r>
        <w:rPr>
          <w:rStyle w:val="FootnoteReference"/>
        </w:rPr>
        <w:footnoteRef/>
      </w:r>
      <w:r>
        <w:t xml:space="preserve"> For US, see </w:t>
      </w:r>
      <w:hyperlink r:id="rId1" w:history="1">
        <w:r w:rsidRPr="002714CE">
          <w:rPr>
            <w:rStyle w:val="Hyperlink"/>
          </w:rPr>
          <w:t>https://tobacco21.org/</w:t>
        </w:r>
      </w:hyperlink>
      <w:r>
        <w:t xml:space="preserve">  For Tasmania, see </w:t>
      </w:r>
      <w:hyperlink r:id="rId2" w:history="1">
        <w:r w:rsidRPr="00E60C33">
          <w:rPr>
            <w:rStyle w:val="Hyperlink"/>
          </w:rPr>
          <w:t>www.tobacco21.com.au/</w:t>
        </w:r>
      </w:hyperlink>
    </w:p>
    <w:p w14:paraId="4FA99FF6" w14:textId="77777777" w:rsidR="00044636" w:rsidRPr="00B465CE" w:rsidRDefault="00044636" w:rsidP="00D74645">
      <w:pPr>
        <w:pStyle w:val="FootnoteText"/>
      </w:pPr>
      <w:r>
        <w:t xml:space="preserve"> </w:t>
      </w:r>
    </w:p>
  </w:footnote>
  <w:footnote w:id="4">
    <w:p w14:paraId="3082890A" w14:textId="77777777" w:rsidR="00044636" w:rsidRPr="009D56E1" w:rsidRDefault="00044636" w:rsidP="0082483F">
      <w:pPr>
        <w:pStyle w:val="FootnoteText"/>
      </w:pPr>
      <w:r>
        <w:rPr>
          <w:rStyle w:val="FootnoteReference"/>
        </w:rPr>
        <w:footnoteRef/>
      </w:r>
      <w:r>
        <w:t xml:space="preserve"> More information on law vaping reform is available on the Ministry’s website </w:t>
      </w:r>
      <w:r w:rsidRPr="009D56E1">
        <w:t>https://www.health.govt.nz/our-work/preventative-health-wellness/tobacco-control/vaping-smokefree-environments-and-regulated-products</w:t>
      </w:r>
    </w:p>
  </w:footnote>
  <w:footnote w:id="5">
    <w:p w14:paraId="1AD01DA6" w14:textId="77777777" w:rsidR="00044636" w:rsidRPr="00E7265D" w:rsidRDefault="00044636" w:rsidP="0082483F">
      <w:pPr>
        <w:pStyle w:val="FootnoteText"/>
      </w:pPr>
      <w:r>
        <w:rPr>
          <w:rStyle w:val="FootnoteReference"/>
        </w:rPr>
        <w:footnoteRef/>
      </w:r>
      <w:r>
        <w:t xml:space="preserve"> </w:t>
      </w:r>
      <w:hyperlink r:id="rId3" w:history="1">
        <w:r w:rsidRPr="00A04078">
          <w:rPr>
            <w:rStyle w:val="FootnoteReference"/>
            <w:sz w:val="18"/>
            <w:szCs w:val="18"/>
          </w:rPr>
          <w:t>https://www.who.int/fctc/guidelines/Guideliness_Articles_9_10_rev_240613.pdf</w:t>
        </w:r>
      </w:hyperlink>
      <w:r w:rsidRPr="00887C6B">
        <w:rPr>
          <w:rStyle w:val="FootnoteReference"/>
        </w:rPr>
        <w:t xml:space="preserve"> </w:t>
      </w:r>
    </w:p>
  </w:footnote>
  <w:footnote w:id="6">
    <w:p w14:paraId="65FC4214" w14:textId="03257188" w:rsidR="00044636" w:rsidRPr="00BE79F3" w:rsidRDefault="00044636">
      <w:pPr>
        <w:pStyle w:val="FootnoteText"/>
      </w:pPr>
      <w:r>
        <w:rPr>
          <w:rStyle w:val="FootnoteReference"/>
        </w:rPr>
        <w:footnoteRef/>
      </w:r>
      <w:r>
        <w:t>Philip Morris</w:t>
      </w:r>
      <w:r w:rsidRPr="001E602A">
        <w:t xml:space="preserve"> </w:t>
      </w:r>
      <w:r>
        <w:t>produced Next brand de</w:t>
      </w:r>
      <w:r w:rsidR="00C61FE3">
        <w:t>-</w:t>
      </w:r>
      <w:proofErr w:type="spellStart"/>
      <w:r>
        <w:t>nicotinised</w:t>
      </w:r>
      <w:proofErr w:type="spellEnd"/>
      <w:r>
        <w:t xml:space="preserve"> cigarettes in the 1980s. This brand name is still used, but for lower-price standard nicotine cigarettes in some overseas markets. </w:t>
      </w:r>
    </w:p>
  </w:footnote>
  <w:footnote w:id="7">
    <w:p w14:paraId="508FD266" w14:textId="22111459" w:rsidR="00044636" w:rsidRPr="009C412B" w:rsidRDefault="00044636" w:rsidP="0006538D">
      <w:pPr>
        <w:pStyle w:val="FootnoteText"/>
      </w:pPr>
      <w:r>
        <w:rPr>
          <w:rStyle w:val="FootnoteReference"/>
        </w:rPr>
        <w:footnoteRef/>
      </w:r>
      <w:r>
        <w:t xml:space="preserve"> ASPIRE2025 is a research collaboration focused on tobacco control. Partner agencies are the University of Otago, Massey University, Tala Pasifika, </w:t>
      </w:r>
      <w:proofErr w:type="spellStart"/>
      <w:r>
        <w:t>Whakauae</w:t>
      </w:r>
      <w:proofErr w:type="spellEnd"/>
      <w:r>
        <w:t xml:space="preserve"> Research and the Health Promotion Agency (</w:t>
      </w:r>
      <w:hyperlink r:id="rId4" w:history="1">
        <w:r w:rsidRPr="00162FE8">
          <w:rPr>
            <w:rStyle w:val="Hyperlink"/>
          </w:rPr>
          <w:t>https://aspire2025.org.nz</w:t>
        </w:r>
      </w:hyperlink>
      <w:r>
        <w:t>).</w:t>
      </w:r>
    </w:p>
  </w:footnote>
  <w:footnote w:id="8">
    <w:p w14:paraId="3887675A" w14:textId="0EC765A3" w:rsidR="00044636" w:rsidRPr="000415F4" w:rsidRDefault="00044636" w:rsidP="0006538D">
      <w:pPr>
        <w:pStyle w:val="FootnoteText"/>
      </w:pPr>
      <w:r>
        <w:rPr>
          <w:rStyle w:val="FootnoteReference"/>
        </w:rPr>
        <w:footnoteRef/>
      </w:r>
      <w:r>
        <w:t xml:space="preserve"> </w:t>
      </w:r>
      <w:r w:rsidR="0051147D">
        <w:t>Fleming Z. ‘</w:t>
      </w:r>
      <w:r w:rsidR="0051147D" w:rsidRPr="00156499">
        <w:t>Smokefree 2025: Government hasn't even finished draft for anti-smoking plan</w:t>
      </w:r>
      <w:r w:rsidR="0051147D">
        <w:t xml:space="preserve">.’ </w:t>
      </w:r>
      <w:r w:rsidR="0051147D">
        <w:rPr>
          <w:i/>
        </w:rPr>
        <w:t>Stuff</w:t>
      </w:r>
      <w:r w:rsidR="0051147D">
        <w:t xml:space="preserve">, 16 December 2020. URL: </w:t>
      </w:r>
      <w:hyperlink r:id="rId5" w:history="1">
        <w:r w:rsidRPr="0058194F">
          <w:rPr>
            <w:rStyle w:val="Hyperlink"/>
            <w:rFonts w:cs="Arial"/>
            <w:szCs w:val="22"/>
            <w:lang w:eastAsia="en-AU"/>
          </w:rPr>
          <w:t>https://www.newshub.co.nz/home/politics/2020/12/smokefree-2025-government-hasn-t-even-finished-draft-for-anti-smoking-plan-after-9-years.html</w:t>
        </w:r>
      </w:hyperlink>
      <w:r w:rsidR="0051147D">
        <w:t xml:space="preserve"> (accessed 12 March 2020).</w:t>
      </w:r>
    </w:p>
  </w:footnote>
  <w:footnote w:id="9">
    <w:p w14:paraId="61CA99EE" w14:textId="77777777" w:rsidR="00044636" w:rsidRPr="003F044C" w:rsidRDefault="00044636" w:rsidP="00B64F99">
      <w:pPr>
        <w:pStyle w:val="FootnoteText"/>
      </w:pPr>
      <w:r>
        <w:rPr>
          <w:rStyle w:val="FootnoteReference"/>
        </w:rPr>
        <w:footnoteRef/>
      </w:r>
      <w:r>
        <w:t xml:space="preserve"> From Ministry of Health, 2019 tobacco returns.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D51C6" w14:textId="0AF95DAB" w:rsidR="00044636" w:rsidRPr="00EB1B21" w:rsidRDefault="00044636" w:rsidP="00784C66">
    <w:pPr>
      <w:tabs>
        <w:tab w:val="center" w:pos="4253"/>
      </w:tabs>
      <w:rPr>
        <w:b/>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3B81A2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AC4CF5"/>
    <w:multiLevelType w:val="hybridMultilevel"/>
    <w:tmpl w:val="0E46E4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B003E76"/>
    <w:multiLevelType w:val="hybridMultilevel"/>
    <w:tmpl w:val="DC36869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0013A43"/>
    <w:multiLevelType w:val="hybridMultilevel"/>
    <w:tmpl w:val="6C069A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1547D14"/>
    <w:multiLevelType w:val="hybridMultilevel"/>
    <w:tmpl w:val="7AC2E76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5" w15:restartNumberingAfterBreak="0">
    <w:nsid w:val="12602368"/>
    <w:multiLevelType w:val="multilevel"/>
    <w:tmpl w:val="FD844D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AC65AC"/>
    <w:multiLevelType w:val="multilevel"/>
    <w:tmpl w:val="70C24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AC192D"/>
    <w:multiLevelType w:val="hybridMultilevel"/>
    <w:tmpl w:val="2062B30A"/>
    <w:lvl w:ilvl="0" w:tplc="14090009">
      <w:start w:val="1"/>
      <w:numFmt w:val="bullet"/>
      <w:lvlText w:val=""/>
      <w:lvlJc w:val="left"/>
      <w:pPr>
        <w:ind w:left="360" w:hanging="360"/>
      </w:pPr>
      <w:rPr>
        <w:rFonts w:ascii="Wingdings" w:hAnsi="Wingdings"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06F7866"/>
    <w:multiLevelType w:val="multilevel"/>
    <w:tmpl w:val="8FD687E0"/>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2AB3A99"/>
    <w:multiLevelType w:val="multilevel"/>
    <w:tmpl w:val="6C8A7ED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36F0D3B"/>
    <w:multiLevelType w:val="hybridMultilevel"/>
    <w:tmpl w:val="841475E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4FB71AB"/>
    <w:multiLevelType w:val="hybridMultilevel"/>
    <w:tmpl w:val="020833AC"/>
    <w:lvl w:ilvl="0" w:tplc="14090003">
      <w:start w:val="1"/>
      <w:numFmt w:val="bullet"/>
      <w:lvlText w:val="o"/>
      <w:lvlJc w:val="left"/>
      <w:pPr>
        <w:ind w:left="1500" w:hanging="360"/>
      </w:pPr>
      <w:rPr>
        <w:rFonts w:ascii="Courier New" w:hAnsi="Courier New" w:cs="Courier New" w:hint="default"/>
      </w:rPr>
    </w:lvl>
    <w:lvl w:ilvl="1" w:tplc="14090003" w:tentative="1">
      <w:start w:val="1"/>
      <w:numFmt w:val="bullet"/>
      <w:lvlText w:val="o"/>
      <w:lvlJc w:val="left"/>
      <w:pPr>
        <w:ind w:left="2220" w:hanging="360"/>
      </w:pPr>
      <w:rPr>
        <w:rFonts w:ascii="Courier New" w:hAnsi="Courier New" w:cs="Courier New" w:hint="default"/>
      </w:rPr>
    </w:lvl>
    <w:lvl w:ilvl="2" w:tplc="14090005" w:tentative="1">
      <w:start w:val="1"/>
      <w:numFmt w:val="bullet"/>
      <w:lvlText w:val=""/>
      <w:lvlJc w:val="left"/>
      <w:pPr>
        <w:ind w:left="2940" w:hanging="360"/>
      </w:pPr>
      <w:rPr>
        <w:rFonts w:ascii="Wingdings" w:hAnsi="Wingdings" w:hint="default"/>
      </w:rPr>
    </w:lvl>
    <w:lvl w:ilvl="3" w:tplc="14090001" w:tentative="1">
      <w:start w:val="1"/>
      <w:numFmt w:val="bullet"/>
      <w:lvlText w:val=""/>
      <w:lvlJc w:val="left"/>
      <w:pPr>
        <w:ind w:left="3660" w:hanging="360"/>
      </w:pPr>
      <w:rPr>
        <w:rFonts w:ascii="Symbol" w:hAnsi="Symbol" w:hint="default"/>
      </w:rPr>
    </w:lvl>
    <w:lvl w:ilvl="4" w:tplc="14090003" w:tentative="1">
      <w:start w:val="1"/>
      <w:numFmt w:val="bullet"/>
      <w:lvlText w:val="o"/>
      <w:lvlJc w:val="left"/>
      <w:pPr>
        <w:ind w:left="4380" w:hanging="360"/>
      </w:pPr>
      <w:rPr>
        <w:rFonts w:ascii="Courier New" w:hAnsi="Courier New" w:cs="Courier New" w:hint="default"/>
      </w:rPr>
    </w:lvl>
    <w:lvl w:ilvl="5" w:tplc="14090005" w:tentative="1">
      <w:start w:val="1"/>
      <w:numFmt w:val="bullet"/>
      <w:lvlText w:val=""/>
      <w:lvlJc w:val="left"/>
      <w:pPr>
        <w:ind w:left="5100" w:hanging="360"/>
      </w:pPr>
      <w:rPr>
        <w:rFonts w:ascii="Wingdings" w:hAnsi="Wingdings" w:hint="default"/>
      </w:rPr>
    </w:lvl>
    <w:lvl w:ilvl="6" w:tplc="14090001" w:tentative="1">
      <w:start w:val="1"/>
      <w:numFmt w:val="bullet"/>
      <w:lvlText w:val=""/>
      <w:lvlJc w:val="left"/>
      <w:pPr>
        <w:ind w:left="5820" w:hanging="360"/>
      </w:pPr>
      <w:rPr>
        <w:rFonts w:ascii="Symbol" w:hAnsi="Symbol" w:hint="default"/>
      </w:rPr>
    </w:lvl>
    <w:lvl w:ilvl="7" w:tplc="14090003" w:tentative="1">
      <w:start w:val="1"/>
      <w:numFmt w:val="bullet"/>
      <w:lvlText w:val="o"/>
      <w:lvlJc w:val="left"/>
      <w:pPr>
        <w:ind w:left="6540" w:hanging="360"/>
      </w:pPr>
      <w:rPr>
        <w:rFonts w:ascii="Courier New" w:hAnsi="Courier New" w:cs="Courier New" w:hint="default"/>
      </w:rPr>
    </w:lvl>
    <w:lvl w:ilvl="8" w:tplc="14090005" w:tentative="1">
      <w:start w:val="1"/>
      <w:numFmt w:val="bullet"/>
      <w:lvlText w:val=""/>
      <w:lvlJc w:val="left"/>
      <w:pPr>
        <w:ind w:left="7260" w:hanging="360"/>
      </w:pPr>
      <w:rPr>
        <w:rFonts w:ascii="Wingdings" w:hAnsi="Wingdings" w:hint="default"/>
      </w:rPr>
    </w:lvl>
  </w:abstractNum>
  <w:abstractNum w:abstractNumId="12" w15:restartNumberingAfterBreak="0">
    <w:nsid w:val="25684844"/>
    <w:multiLevelType w:val="multilevel"/>
    <w:tmpl w:val="4F90C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4922E4"/>
    <w:multiLevelType w:val="hybridMultilevel"/>
    <w:tmpl w:val="C526F7AE"/>
    <w:lvl w:ilvl="0" w:tplc="14090009">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30EB632A"/>
    <w:multiLevelType w:val="hybridMultilevel"/>
    <w:tmpl w:val="A3686F8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5" w15:restartNumberingAfterBreak="0">
    <w:nsid w:val="3174597C"/>
    <w:multiLevelType w:val="multilevel"/>
    <w:tmpl w:val="CC66E496"/>
    <w:lvl w:ilvl="0">
      <w:start w:val="1"/>
      <w:numFmt w:val="decimal"/>
      <w:pStyle w:val="ReportBody-MOH"/>
      <w:lvlText w:val="%1"/>
      <w:lvlJc w:val="left"/>
      <w:pPr>
        <w:tabs>
          <w:tab w:val="num" w:pos="493"/>
        </w:tabs>
        <w:ind w:left="493" w:hanging="493"/>
      </w:pPr>
      <w:rPr>
        <w:rFonts w:hint="default"/>
      </w:rPr>
    </w:lvl>
    <w:lvl w:ilvl="1">
      <w:start w:val="1"/>
      <w:numFmt w:val="decimal"/>
      <w:pStyle w:val="ReportBody2-MOH"/>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6" w15:restartNumberingAfterBreak="0">
    <w:nsid w:val="33DF230B"/>
    <w:multiLevelType w:val="hybridMultilevel"/>
    <w:tmpl w:val="466C1FAE"/>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3539082D"/>
    <w:multiLevelType w:val="hybridMultilevel"/>
    <w:tmpl w:val="B30C4CCA"/>
    <w:lvl w:ilvl="0" w:tplc="6C0C79D2">
      <w:start w:val="1"/>
      <w:numFmt w:val="bullet"/>
      <w:pStyle w:val="Table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38DE5A8D"/>
    <w:multiLevelType w:val="hybridMultilevel"/>
    <w:tmpl w:val="474CBF86"/>
    <w:lvl w:ilvl="0" w:tplc="0EBA6BEA">
      <w:start w:val="1"/>
      <w:numFmt w:val="bullet"/>
      <w:pStyle w:val="Bullet-list"/>
      <w:lvlText w:val=""/>
      <w:lvlJc w:val="left"/>
      <w:pPr>
        <w:ind w:left="360" w:hanging="360"/>
      </w:pPr>
      <w:rPr>
        <w:rFonts w:ascii="Symbol" w:hAnsi="Symbol" w:hint="default"/>
      </w:rPr>
    </w:lvl>
    <w:lvl w:ilvl="1" w:tplc="1409000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39DA29B4"/>
    <w:multiLevelType w:val="hybridMultilevel"/>
    <w:tmpl w:val="14F0B1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41D704A8"/>
    <w:multiLevelType w:val="hybridMultilevel"/>
    <w:tmpl w:val="9B802A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484670BC"/>
    <w:multiLevelType w:val="hybridMultilevel"/>
    <w:tmpl w:val="38E073C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493D677C"/>
    <w:multiLevelType w:val="multilevel"/>
    <w:tmpl w:val="EB76AB1A"/>
    <w:lvl w:ilvl="0">
      <w:start w:val="1"/>
      <w:numFmt w:val="bullet"/>
      <w:lvlText w:val=""/>
      <w:lvlJc w:val="left"/>
      <w:pPr>
        <w:tabs>
          <w:tab w:val="num" w:pos="720"/>
        </w:tabs>
        <w:ind w:left="720" w:hanging="360"/>
      </w:pPr>
      <w:rPr>
        <w:rFonts w:ascii="Symbol" w:hAnsi="Symbol" w:hint="default"/>
        <w:sz w:val="20"/>
      </w:rPr>
    </w:lvl>
    <w:lvl w:ilvl="1">
      <w:start w:val="1"/>
      <w:numFmt w:val="bullet"/>
      <w:pStyle w:val="Bulletlistlevel2"/>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B85C90"/>
    <w:multiLevelType w:val="hybridMultilevel"/>
    <w:tmpl w:val="35C2E0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4B26367A"/>
    <w:multiLevelType w:val="hybridMultilevel"/>
    <w:tmpl w:val="54B634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4CA63506"/>
    <w:multiLevelType w:val="multilevel"/>
    <w:tmpl w:val="BEE28C7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50CD02AE"/>
    <w:multiLevelType w:val="hybridMultilevel"/>
    <w:tmpl w:val="11568D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48410C0"/>
    <w:multiLevelType w:val="multilevel"/>
    <w:tmpl w:val="80D62336"/>
    <w:lvl w:ilvl="0">
      <w:start w:val="1"/>
      <w:numFmt w:val="decimal"/>
      <w:pStyle w:val="BodyText-Numbered"/>
      <w:lvlText w:val="%1."/>
      <w:lvlJc w:val="left"/>
      <w:pPr>
        <w:ind w:left="567" w:hanging="567"/>
      </w:pPr>
      <w:rPr>
        <w:rFonts w:hint="default"/>
      </w:rPr>
    </w:lvl>
    <w:lvl w:ilvl="1">
      <w:start w:val="1"/>
      <w:numFmt w:val="bullet"/>
      <w:lvlText w:val=""/>
      <w:lvlJc w:val="left"/>
      <w:pPr>
        <w:ind w:left="1134" w:hanging="567"/>
      </w:pPr>
      <w:rPr>
        <w:rFonts w:ascii="Symbol" w:hAnsi="Symbol"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8" w15:restartNumberingAfterBreak="0">
    <w:nsid w:val="55295F22"/>
    <w:multiLevelType w:val="hybridMultilevel"/>
    <w:tmpl w:val="E610A99C"/>
    <w:lvl w:ilvl="0" w:tplc="14090003">
      <w:start w:val="1"/>
      <w:numFmt w:val="bullet"/>
      <w:lvlText w:val="o"/>
      <w:lvlJc w:val="left"/>
      <w:pPr>
        <w:ind w:left="1500" w:hanging="360"/>
      </w:pPr>
      <w:rPr>
        <w:rFonts w:ascii="Courier New" w:hAnsi="Courier New" w:cs="Courier New" w:hint="default"/>
      </w:rPr>
    </w:lvl>
    <w:lvl w:ilvl="1" w:tplc="14090003" w:tentative="1">
      <w:start w:val="1"/>
      <w:numFmt w:val="bullet"/>
      <w:lvlText w:val="o"/>
      <w:lvlJc w:val="left"/>
      <w:pPr>
        <w:ind w:left="2220" w:hanging="360"/>
      </w:pPr>
      <w:rPr>
        <w:rFonts w:ascii="Courier New" w:hAnsi="Courier New" w:cs="Courier New" w:hint="default"/>
      </w:rPr>
    </w:lvl>
    <w:lvl w:ilvl="2" w:tplc="14090005" w:tentative="1">
      <w:start w:val="1"/>
      <w:numFmt w:val="bullet"/>
      <w:lvlText w:val=""/>
      <w:lvlJc w:val="left"/>
      <w:pPr>
        <w:ind w:left="2940" w:hanging="360"/>
      </w:pPr>
      <w:rPr>
        <w:rFonts w:ascii="Wingdings" w:hAnsi="Wingdings" w:hint="default"/>
      </w:rPr>
    </w:lvl>
    <w:lvl w:ilvl="3" w:tplc="14090001" w:tentative="1">
      <w:start w:val="1"/>
      <w:numFmt w:val="bullet"/>
      <w:lvlText w:val=""/>
      <w:lvlJc w:val="left"/>
      <w:pPr>
        <w:ind w:left="3660" w:hanging="360"/>
      </w:pPr>
      <w:rPr>
        <w:rFonts w:ascii="Symbol" w:hAnsi="Symbol" w:hint="default"/>
      </w:rPr>
    </w:lvl>
    <w:lvl w:ilvl="4" w:tplc="14090003" w:tentative="1">
      <w:start w:val="1"/>
      <w:numFmt w:val="bullet"/>
      <w:lvlText w:val="o"/>
      <w:lvlJc w:val="left"/>
      <w:pPr>
        <w:ind w:left="4380" w:hanging="360"/>
      </w:pPr>
      <w:rPr>
        <w:rFonts w:ascii="Courier New" w:hAnsi="Courier New" w:cs="Courier New" w:hint="default"/>
      </w:rPr>
    </w:lvl>
    <w:lvl w:ilvl="5" w:tplc="14090005" w:tentative="1">
      <w:start w:val="1"/>
      <w:numFmt w:val="bullet"/>
      <w:lvlText w:val=""/>
      <w:lvlJc w:val="left"/>
      <w:pPr>
        <w:ind w:left="5100" w:hanging="360"/>
      </w:pPr>
      <w:rPr>
        <w:rFonts w:ascii="Wingdings" w:hAnsi="Wingdings" w:hint="default"/>
      </w:rPr>
    </w:lvl>
    <w:lvl w:ilvl="6" w:tplc="14090001" w:tentative="1">
      <w:start w:val="1"/>
      <w:numFmt w:val="bullet"/>
      <w:lvlText w:val=""/>
      <w:lvlJc w:val="left"/>
      <w:pPr>
        <w:ind w:left="5820" w:hanging="360"/>
      </w:pPr>
      <w:rPr>
        <w:rFonts w:ascii="Symbol" w:hAnsi="Symbol" w:hint="default"/>
      </w:rPr>
    </w:lvl>
    <w:lvl w:ilvl="7" w:tplc="14090003" w:tentative="1">
      <w:start w:val="1"/>
      <w:numFmt w:val="bullet"/>
      <w:lvlText w:val="o"/>
      <w:lvlJc w:val="left"/>
      <w:pPr>
        <w:ind w:left="6540" w:hanging="360"/>
      </w:pPr>
      <w:rPr>
        <w:rFonts w:ascii="Courier New" w:hAnsi="Courier New" w:cs="Courier New" w:hint="default"/>
      </w:rPr>
    </w:lvl>
    <w:lvl w:ilvl="8" w:tplc="14090005" w:tentative="1">
      <w:start w:val="1"/>
      <w:numFmt w:val="bullet"/>
      <w:lvlText w:val=""/>
      <w:lvlJc w:val="left"/>
      <w:pPr>
        <w:ind w:left="7260" w:hanging="360"/>
      </w:pPr>
      <w:rPr>
        <w:rFonts w:ascii="Wingdings" w:hAnsi="Wingdings" w:hint="default"/>
      </w:rPr>
    </w:lvl>
  </w:abstractNum>
  <w:abstractNum w:abstractNumId="29" w15:restartNumberingAfterBreak="0">
    <w:nsid w:val="561A693C"/>
    <w:multiLevelType w:val="hybridMultilevel"/>
    <w:tmpl w:val="C8423C5E"/>
    <w:lvl w:ilvl="0" w:tplc="41F4BD7E">
      <w:start w:val="1"/>
      <w:numFmt w:val="bullet"/>
      <w:pStyle w:val="Boxbullet"/>
      <w:lvlText w:val="•"/>
      <w:lvlJc w:val="left"/>
      <w:pPr>
        <w:tabs>
          <w:tab w:val="num" w:pos="644"/>
        </w:tabs>
        <w:ind w:left="567" w:hanging="283"/>
      </w:pPr>
      <w:rPr>
        <w:rFonts w:hAnsi="Arial" w:hint="default"/>
        <w:b/>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8B54D4"/>
    <w:multiLevelType w:val="multilevel"/>
    <w:tmpl w:val="186C6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6E6A59"/>
    <w:multiLevelType w:val="hybridMultilevel"/>
    <w:tmpl w:val="711A84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1717CA6"/>
    <w:multiLevelType w:val="hybridMultilevel"/>
    <w:tmpl w:val="A240DEF8"/>
    <w:lvl w:ilvl="0" w:tplc="14090009">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61F06E64"/>
    <w:multiLevelType w:val="hybridMultilevel"/>
    <w:tmpl w:val="97CA98A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63515DD4"/>
    <w:multiLevelType w:val="hybridMultilevel"/>
    <w:tmpl w:val="B74C528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5" w15:restartNumberingAfterBreak="0">
    <w:nsid w:val="66517777"/>
    <w:multiLevelType w:val="hybridMultilevel"/>
    <w:tmpl w:val="D51894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8A373D6"/>
    <w:multiLevelType w:val="hybridMultilevel"/>
    <w:tmpl w:val="799825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92E48CD"/>
    <w:multiLevelType w:val="hybridMultilevel"/>
    <w:tmpl w:val="6524AA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A6E501E"/>
    <w:multiLevelType w:val="hybridMultilevel"/>
    <w:tmpl w:val="89DA141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15:restartNumberingAfterBreak="0">
    <w:nsid w:val="72F9179D"/>
    <w:multiLevelType w:val="hybridMultilevel"/>
    <w:tmpl w:val="0E50672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38"/>
  </w:num>
  <w:num w:numId="4">
    <w:abstractNumId w:val="14"/>
  </w:num>
  <w:num w:numId="5">
    <w:abstractNumId w:val="39"/>
  </w:num>
  <w:num w:numId="6">
    <w:abstractNumId w:val="32"/>
  </w:num>
  <w:num w:numId="7">
    <w:abstractNumId w:val="13"/>
  </w:num>
  <w:num w:numId="8">
    <w:abstractNumId w:val="18"/>
  </w:num>
  <w:num w:numId="9">
    <w:abstractNumId w:val="9"/>
  </w:num>
  <w:num w:numId="10">
    <w:abstractNumId w:val="25"/>
  </w:num>
  <w:num w:numId="11">
    <w:abstractNumId w:val="30"/>
  </w:num>
  <w:num w:numId="12">
    <w:abstractNumId w:val="6"/>
  </w:num>
  <w:num w:numId="13">
    <w:abstractNumId w:val="12"/>
  </w:num>
  <w:num w:numId="14">
    <w:abstractNumId w:val="19"/>
  </w:num>
  <w:num w:numId="15">
    <w:abstractNumId w:val="16"/>
  </w:num>
  <w:num w:numId="16">
    <w:abstractNumId w:val="7"/>
  </w:num>
  <w:num w:numId="17">
    <w:abstractNumId w:val="37"/>
  </w:num>
  <w:num w:numId="18">
    <w:abstractNumId w:val="4"/>
  </w:num>
  <w:num w:numId="19">
    <w:abstractNumId w:val="21"/>
  </w:num>
  <w:num w:numId="20">
    <w:abstractNumId w:val="36"/>
  </w:num>
  <w:num w:numId="21">
    <w:abstractNumId w:val="28"/>
  </w:num>
  <w:num w:numId="22">
    <w:abstractNumId w:val="11"/>
  </w:num>
  <w:num w:numId="23">
    <w:abstractNumId w:val="35"/>
  </w:num>
  <w:num w:numId="24">
    <w:abstractNumId w:val="31"/>
  </w:num>
  <w:num w:numId="25">
    <w:abstractNumId w:val="1"/>
  </w:num>
  <w:num w:numId="26">
    <w:abstractNumId w:val="22"/>
  </w:num>
  <w:num w:numId="27">
    <w:abstractNumId w:val="26"/>
  </w:num>
  <w:num w:numId="28">
    <w:abstractNumId w:val="29"/>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27"/>
  </w:num>
  <w:num w:numId="36">
    <w:abstractNumId w:val="17"/>
  </w:num>
  <w:num w:numId="37">
    <w:abstractNumId w:val="5"/>
  </w:num>
  <w:num w:numId="38">
    <w:abstractNumId w:val="15"/>
    <w:lvlOverride w:ilvl="0">
      <w:lvl w:ilvl="0">
        <w:start w:val="1"/>
        <w:numFmt w:val="decimal"/>
        <w:pStyle w:val="ReportBody-MOH"/>
        <w:lvlText w:val="%1."/>
        <w:lvlJc w:val="left"/>
        <w:pPr>
          <w:ind w:left="851" w:hanging="851"/>
        </w:pPr>
        <w:rPr>
          <w:rFonts w:hint="default"/>
          <w:i w:val="0"/>
          <w:color w:val="auto"/>
        </w:rPr>
      </w:lvl>
    </w:lvlOverride>
    <w:lvlOverride w:ilvl="1">
      <w:lvl w:ilvl="1">
        <w:start w:val="1"/>
        <w:numFmt w:val="lowerLetter"/>
        <w:pStyle w:val="ReportBody2-MOH"/>
        <w:lvlText w:val="%2."/>
        <w:lvlJc w:val="left"/>
        <w:pPr>
          <w:ind w:left="1276" w:hanging="425"/>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9">
    <w:abstractNumId w:val="20"/>
  </w:num>
  <w:num w:numId="40">
    <w:abstractNumId w:val="10"/>
  </w:num>
  <w:num w:numId="41">
    <w:abstractNumId w:val="3"/>
  </w:num>
  <w:num w:numId="42">
    <w:abstractNumId w:val="23"/>
  </w:num>
  <w:num w:numId="43">
    <w:abstractNumId w:val="33"/>
  </w:num>
  <w:num w:numId="44">
    <w:abstractNumId w:val="8"/>
  </w:num>
  <w:num w:numId="45">
    <w:abstractNumId w:val="15"/>
    <w:lvlOverride w:ilvl="0">
      <w:lvl w:ilvl="0">
        <w:start w:val="1"/>
        <w:numFmt w:val="decimal"/>
        <w:pStyle w:val="ReportBody-MOH"/>
        <w:lvlText w:val="%1."/>
        <w:lvlJc w:val="left"/>
        <w:pPr>
          <w:ind w:left="851" w:hanging="851"/>
        </w:pPr>
        <w:rPr>
          <w:rFonts w:hint="default"/>
          <w:i w:val="0"/>
          <w:color w:val="auto"/>
        </w:rPr>
      </w:lvl>
    </w:lvlOverride>
    <w:lvlOverride w:ilvl="1">
      <w:lvl w:ilvl="1">
        <w:start w:val="1"/>
        <w:numFmt w:val="lowerLetter"/>
        <w:pStyle w:val="ReportBody2-MOH"/>
        <w:lvlText w:val="%2."/>
        <w:lvlJc w:val="left"/>
        <w:pPr>
          <w:ind w:left="1276" w:hanging="425"/>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46">
    <w:abstractNumId w:val="34"/>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AA5"/>
    <w:rsid w:val="00001137"/>
    <w:rsid w:val="0000150A"/>
    <w:rsid w:val="000041E0"/>
    <w:rsid w:val="00007FC7"/>
    <w:rsid w:val="00012718"/>
    <w:rsid w:val="00014893"/>
    <w:rsid w:val="000149F4"/>
    <w:rsid w:val="00015B4A"/>
    <w:rsid w:val="0001708B"/>
    <w:rsid w:val="000201AF"/>
    <w:rsid w:val="000214FA"/>
    <w:rsid w:val="00023E0D"/>
    <w:rsid w:val="00025DED"/>
    <w:rsid w:val="00030EC1"/>
    <w:rsid w:val="00032FE7"/>
    <w:rsid w:val="0003500F"/>
    <w:rsid w:val="00035A36"/>
    <w:rsid w:val="00041078"/>
    <w:rsid w:val="000415F4"/>
    <w:rsid w:val="000435DC"/>
    <w:rsid w:val="00044636"/>
    <w:rsid w:val="000463AD"/>
    <w:rsid w:val="00051A88"/>
    <w:rsid w:val="00052187"/>
    <w:rsid w:val="000535CE"/>
    <w:rsid w:val="00053A90"/>
    <w:rsid w:val="000545E1"/>
    <w:rsid w:val="00056353"/>
    <w:rsid w:val="00056B56"/>
    <w:rsid w:val="00060660"/>
    <w:rsid w:val="0006158B"/>
    <w:rsid w:val="00063506"/>
    <w:rsid w:val="0006498F"/>
    <w:rsid w:val="0006538D"/>
    <w:rsid w:val="000657A0"/>
    <w:rsid w:val="0007162A"/>
    <w:rsid w:val="0008266E"/>
    <w:rsid w:val="00082B07"/>
    <w:rsid w:val="000876CB"/>
    <w:rsid w:val="0009009A"/>
    <w:rsid w:val="000917DB"/>
    <w:rsid w:val="00093947"/>
    <w:rsid w:val="0009467F"/>
    <w:rsid w:val="00095669"/>
    <w:rsid w:val="00095C53"/>
    <w:rsid w:val="000A082B"/>
    <w:rsid w:val="000A0B4C"/>
    <w:rsid w:val="000A1ADA"/>
    <w:rsid w:val="000A3146"/>
    <w:rsid w:val="000A4841"/>
    <w:rsid w:val="000A4C4F"/>
    <w:rsid w:val="000A5B5B"/>
    <w:rsid w:val="000A6CA3"/>
    <w:rsid w:val="000B76BE"/>
    <w:rsid w:val="000C138D"/>
    <w:rsid w:val="000C2B8E"/>
    <w:rsid w:val="000C3197"/>
    <w:rsid w:val="000C4A4D"/>
    <w:rsid w:val="000C529D"/>
    <w:rsid w:val="000D01CE"/>
    <w:rsid w:val="000D0A8B"/>
    <w:rsid w:val="000E0C9E"/>
    <w:rsid w:val="000E180F"/>
    <w:rsid w:val="000E46DB"/>
    <w:rsid w:val="000E4F71"/>
    <w:rsid w:val="000E5909"/>
    <w:rsid w:val="000E6F3D"/>
    <w:rsid w:val="000F2317"/>
    <w:rsid w:val="000F2D25"/>
    <w:rsid w:val="000F467C"/>
    <w:rsid w:val="000F7065"/>
    <w:rsid w:val="00100007"/>
    <w:rsid w:val="0010021B"/>
    <w:rsid w:val="001002DD"/>
    <w:rsid w:val="00100F3E"/>
    <w:rsid w:val="00101FBD"/>
    <w:rsid w:val="0010559E"/>
    <w:rsid w:val="00105AB5"/>
    <w:rsid w:val="00110F66"/>
    <w:rsid w:val="00111C4C"/>
    <w:rsid w:val="0011429A"/>
    <w:rsid w:val="00114390"/>
    <w:rsid w:val="00117AAC"/>
    <w:rsid w:val="001210C1"/>
    <w:rsid w:val="0013144F"/>
    <w:rsid w:val="001322E5"/>
    <w:rsid w:val="00132D18"/>
    <w:rsid w:val="001342B2"/>
    <w:rsid w:val="001343AE"/>
    <w:rsid w:val="00137C2D"/>
    <w:rsid w:val="0014215A"/>
    <w:rsid w:val="001422B3"/>
    <w:rsid w:val="00144191"/>
    <w:rsid w:val="00144944"/>
    <w:rsid w:val="00147C6A"/>
    <w:rsid w:val="00150BA9"/>
    <w:rsid w:val="0015247A"/>
    <w:rsid w:val="001624D2"/>
    <w:rsid w:val="001707D2"/>
    <w:rsid w:val="00173B71"/>
    <w:rsid w:val="0017536B"/>
    <w:rsid w:val="0017620D"/>
    <w:rsid w:val="00182BB5"/>
    <w:rsid w:val="0018793F"/>
    <w:rsid w:val="00190453"/>
    <w:rsid w:val="00190F07"/>
    <w:rsid w:val="001A12DC"/>
    <w:rsid w:val="001A1D14"/>
    <w:rsid w:val="001A36AD"/>
    <w:rsid w:val="001A5771"/>
    <w:rsid w:val="001B3E1F"/>
    <w:rsid w:val="001B4792"/>
    <w:rsid w:val="001B5E3C"/>
    <w:rsid w:val="001B701C"/>
    <w:rsid w:val="001B7B43"/>
    <w:rsid w:val="001C5532"/>
    <w:rsid w:val="001D1ADC"/>
    <w:rsid w:val="001D200F"/>
    <w:rsid w:val="001D4BA5"/>
    <w:rsid w:val="001D5FBE"/>
    <w:rsid w:val="001E0D43"/>
    <w:rsid w:val="001E33E2"/>
    <w:rsid w:val="001E4F19"/>
    <w:rsid w:val="001E5C02"/>
    <w:rsid w:val="001E602A"/>
    <w:rsid w:val="001E7B82"/>
    <w:rsid w:val="001F5538"/>
    <w:rsid w:val="001F5C4F"/>
    <w:rsid w:val="0020024F"/>
    <w:rsid w:val="0020242A"/>
    <w:rsid w:val="0020289C"/>
    <w:rsid w:val="00207CEA"/>
    <w:rsid w:val="00207F9B"/>
    <w:rsid w:val="002106CB"/>
    <w:rsid w:val="0021264F"/>
    <w:rsid w:val="002127DC"/>
    <w:rsid w:val="00213182"/>
    <w:rsid w:val="00214E78"/>
    <w:rsid w:val="00217894"/>
    <w:rsid w:val="00223E66"/>
    <w:rsid w:val="00226BB1"/>
    <w:rsid w:val="0022786F"/>
    <w:rsid w:val="002309E3"/>
    <w:rsid w:val="00230C0A"/>
    <w:rsid w:val="002368B6"/>
    <w:rsid w:val="0024289C"/>
    <w:rsid w:val="00246B38"/>
    <w:rsid w:val="002513FF"/>
    <w:rsid w:val="00252874"/>
    <w:rsid w:val="00254AAA"/>
    <w:rsid w:val="002558D6"/>
    <w:rsid w:val="002564DB"/>
    <w:rsid w:val="002566BD"/>
    <w:rsid w:val="002602C0"/>
    <w:rsid w:val="00263764"/>
    <w:rsid w:val="002668D9"/>
    <w:rsid w:val="002717B4"/>
    <w:rsid w:val="00273A42"/>
    <w:rsid w:val="00275D0D"/>
    <w:rsid w:val="00282EE0"/>
    <w:rsid w:val="002834BD"/>
    <w:rsid w:val="002859ED"/>
    <w:rsid w:val="00286EF6"/>
    <w:rsid w:val="002874F6"/>
    <w:rsid w:val="00293C06"/>
    <w:rsid w:val="00293FDC"/>
    <w:rsid w:val="0029443C"/>
    <w:rsid w:val="002967CB"/>
    <w:rsid w:val="00297506"/>
    <w:rsid w:val="002A04F1"/>
    <w:rsid w:val="002A189D"/>
    <w:rsid w:val="002A1D46"/>
    <w:rsid w:val="002A22E5"/>
    <w:rsid w:val="002A3278"/>
    <w:rsid w:val="002A34EB"/>
    <w:rsid w:val="002A36C7"/>
    <w:rsid w:val="002A56F0"/>
    <w:rsid w:val="002A64F3"/>
    <w:rsid w:val="002A6A33"/>
    <w:rsid w:val="002B06EE"/>
    <w:rsid w:val="002B2211"/>
    <w:rsid w:val="002B69B0"/>
    <w:rsid w:val="002B7BBA"/>
    <w:rsid w:val="002C63C8"/>
    <w:rsid w:val="002D3AB0"/>
    <w:rsid w:val="002D4C78"/>
    <w:rsid w:val="002D54C0"/>
    <w:rsid w:val="002D5541"/>
    <w:rsid w:val="002D5734"/>
    <w:rsid w:val="002D603F"/>
    <w:rsid w:val="002D61C0"/>
    <w:rsid w:val="002D63C9"/>
    <w:rsid w:val="002D7D61"/>
    <w:rsid w:val="002E2708"/>
    <w:rsid w:val="002E62FE"/>
    <w:rsid w:val="002E643B"/>
    <w:rsid w:val="002F1503"/>
    <w:rsid w:val="002F3C19"/>
    <w:rsid w:val="002F4151"/>
    <w:rsid w:val="002F57C1"/>
    <w:rsid w:val="002F60FE"/>
    <w:rsid w:val="002F70EA"/>
    <w:rsid w:val="0030117A"/>
    <w:rsid w:val="00301CC7"/>
    <w:rsid w:val="00301D86"/>
    <w:rsid w:val="00304501"/>
    <w:rsid w:val="003049D7"/>
    <w:rsid w:val="00304CE4"/>
    <w:rsid w:val="00311487"/>
    <w:rsid w:val="0031250B"/>
    <w:rsid w:val="00312F4F"/>
    <w:rsid w:val="00313889"/>
    <w:rsid w:val="003159A1"/>
    <w:rsid w:val="00316701"/>
    <w:rsid w:val="0032262A"/>
    <w:rsid w:val="00324230"/>
    <w:rsid w:val="0032503F"/>
    <w:rsid w:val="00330AE8"/>
    <w:rsid w:val="00332CDA"/>
    <w:rsid w:val="00332E45"/>
    <w:rsid w:val="00333037"/>
    <w:rsid w:val="00334395"/>
    <w:rsid w:val="00336018"/>
    <w:rsid w:val="0033708B"/>
    <w:rsid w:val="00337358"/>
    <w:rsid w:val="00337589"/>
    <w:rsid w:val="00341BCD"/>
    <w:rsid w:val="00341FE7"/>
    <w:rsid w:val="0034233C"/>
    <w:rsid w:val="003479D1"/>
    <w:rsid w:val="0035262A"/>
    <w:rsid w:val="00355A3A"/>
    <w:rsid w:val="00360048"/>
    <w:rsid w:val="00361510"/>
    <w:rsid w:val="003619DC"/>
    <w:rsid w:val="00362E62"/>
    <w:rsid w:val="00364A69"/>
    <w:rsid w:val="00372B9A"/>
    <w:rsid w:val="003730F0"/>
    <w:rsid w:val="00374938"/>
    <w:rsid w:val="0037535F"/>
    <w:rsid w:val="00380585"/>
    <w:rsid w:val="003813E7"/>
    <w:rsid w:val="00384CFE"/>
    <w:rsid w:val="00384D7D"/>
    <w:rsid w:val="00384DCB"/>
    <w:rsid w:val="00387C4F"/>
    <w:rsid w:val="00393FEC"/>
    <w:rsid w:val="003976A6"/>
    <w:rsid w:val="003A53A7"/>
    <w:rsid w:val="003B2450"/>
    <w:rsid w:val="003B29A3"/>
    <w:rsid w:val="003B4BDA"/>
    <w:rsid w:val="003B79E2"/>
    <w:rsid w:val="003C0DAE"/>
    <w:rsid w:val="003C12FA"/>
    <w:rsid w:val="003C2133"/>
    <w:rsid w:val="003C4AA3"/>
    <w:rsid w:val="003D2B86"/>
    <w:rsid w:val="003D7F1C"/>
    <w:rsid w:val="003E3200"/>
    <w:rsid w:val="003E42FB"/>
    <w:rsid w:val="003E4A18"/>
    <w:rsid w:val="003F0439"/>
    <w:rsid w:val="003F0DF3"/>
    <w:rsid w:val="003F1B42"/>
    <w:rsid w:val="003F4A17"/>
    <w:rsid w:val="003F4ADE"/>
    <w:rsid w:val="0040090E"/>
    <w:rsid w:val="0040374B"/>
    <w:rsid w:val="00403FCA"/>
    <w:rsid w:val="004107DA"/>
    <w:rsid w:val="00411B8A"/>
    <w:rsid w:val="00412399"/>
    <w:rsid w:val="004142E2"/>
    <w:rsid w:val="00414D0D"/>
    <w:rsid w:val="00416A5A"/>
    <w:rsid w:val="00420769"/>
    <w:rsid w:val="0042393D"/>
    <w:rsid w:val="0042471F"/>
    <w:rsid w:val="00424864"/>
    <w:rsid w:val="004303A2"/>
    <w:rsid w:val="004347CA"/>
    <w:rsid w:val="00440888"/>
    <w:rsid w:val="00441C7C"/>
    <w:rsid w:val="00442FC7"/>
    <w:rsid w:val="0044488E"/>
    <w:rsid w:val="00455309"/>
    <w:rsid w:val="00456ED6"/>
    <w:rsid w:val="00464A00"/>
    <w:rsid w:val="00465380"/>
    <w:rsid w:val="004657A8"/>
    <w:rsid w:val="00465FCF"/>
    <w:rsid w:val="00466FA2"/>
    <w:rsid w:val="00470D09"/>
    <w:rsid w:val="00472D95"/>
    <w:rsid w:val="00473F81"/>
    <w:rsid w:val="00474760"/>
    <w:rsid w:val="00475248"/>
    <w:rsid w:val="004768CD"/>
    <w:rsid w:val="00481EED"/>
    <w:rsid w:val="00486B17"/>
    <w:rsid w:val="00492F10"/>
    <w:rsid w:val="004933E0"/>
    <w:rsid w:val="004949B0"/>
    <w:rsid w:val="004976C6"/>
    <w:rsid w:val="004A192D"/>
    <w:rsid w:val="004A1BFE"/>
    <w:rsid w:val="004A4ACB"/>
    <w:rsid w:val="004A6E81"/>
    <w:rsid w:val="004B26AC"/>
    <w:rsid w:val="004B3E80"/>
    <w:rsid w:val="004B3EE3"/>
    <w:rsid w:val="004B5B0D"/>
    <w:rsid w:val="004B731F"/>
    <w:rsid w:val="004B7507"/>
    <w:rsid w:val="004B7D66"/>
    <w:rsid w:val="004C1282"/>
    <w:rsid w:val="004C12AA"/>
    <w:rsid w:val="004C1C76"/>
    <w:rsid w:val="004C5980"/>
    <w:rsid w:val="004C5AEC"/>
    <w:rsid w:val="004C774A"/>
    <w:rsid w:val="004D1B16"/>
    <w:rsid w:val="004D40D5"/>
    <w:rsid w:val="004E0A11"/>
    <w:rsid w:val="004E2B51"/>
    <w:rsid w:val="004F2A68"/>
    <w:rsid w:val="004F2E9C"/>
    <w:rsid w:val="004F32F2"/>
    <w:rsid w:val="004F361A"/>
    <w:rsid w:val="00503FC0"/>
    <w:rsid w:val="0051088B"/>
    <w:rsid w:val="00511307"/>
    <w:rsid w:val="0051147D"/>
    <w:rsid w:val="0051258C"/>
    <w:rsid w:val="00515761"/>
    <w:rsid w:val="00520820"/>
    <w:rsid w:val="00521BDE"/>
    <w:rsid w:val="00522529"/>
    <w:rsid w:val="00522D43"/>
    <w:rsid w:val="00527017"/>
    <w:rsid w:val="0053213E"/>
    <w:rsid w:val="00534B16"/>
    <w:rsid w:val="00535833"/>
    <w:rsid w:val="005429F8"/>
    <w:rsid w:val="00546700"/>
    <w:rsid w:val="00546C33"/>
    <w:rsid w:val="00546F69"/>
    <w:rsid w:val="0055240C"/>
    <w:rsid w:val="00556F13"/>
    <w:rsid w:val="00562BE6"/>
    <w:rsid w:val="00564647"/>
    <w:rsid w:val="00565281"/>
    <w:rsid w:val="00566891"/>
    <w:rsid w:val="00567434"/>
    <w:rsid w:val="00570D83"/>
    <w:rsid w:val="00573336"/>
    <w:rsid w:val="005744B1"/>
    <w:rsid w:val="00574D04"/>
    <w:rsid w:val="00580BDE"/>
    <w:rsid w:val="00583BCF"/>
    <w:rsid w:val="00585F37"/>
    <w:rsid w:val="005876C7"/>
    <w:rsid w:val="005876FF"/>
    <w:rsid w:val="005919C3"/>
    <w:rsid w:val="005923A9"/>
    <w:rsid w:val="00595878"/>
    <w:rsid w:val="00597C7D"/>
    <w:rsid w:val="00597E31"/>
    <w:rsid w:val="005A02C8"/>
    <w:rsid w:val="005A2583"/>
    <w:rsid w:val="005A261B"/>
    <w:rsid w:val="005A3981"/>
    <w:rsid w:val="005A7C44"/>
    <w:rsid w:val="005B0875"/>
    <w:rsid w:val="005B2B13"/>
    <w:rsid w:val="005B5159"/>
    <w:rsid w:val="005B6345"/>
    <w:rsid w:val="005B7B4A"/>
    <w:rsid w:val="005C0F56"/>
    <w:rsid w:val="005C35F6"/>
    <w:rsid w:val="005C482E"/>
    <w:rsid w:val="005C5A84"/>
    <w:rsid w:val="005D0F5F"/>
    <w:rsid w:val="005D37F7"/>
    <w:rsid w:val="005D5129"/>
    <w:rsid w:val="005D5BF0"/>
    <w:rsid w:val="005D6980"/>
    <w:rsid w:val="005D6A56"/>
    <w:rsid w:val="005D7E05"/>
    <w:rsid w:val="005E1148"/>
    <w:rsid w:val="005E434B"/>
    <w:rsid w:val="005F4232"/>
    <w:rsid w:val="005F5612"/>
    <w:rsid w:val="00601E26"/>
    <w:rsid w:val="00602D53"/>
    <w:rsid w:val="00603AF2"/>
    <w:rsid w:val="0060730D"/>
    <w:rsid w:val="006108AC"/>
    <w:rsid w:val="00613DDC"/>
    <w:rsid w:val="006158C4"/>
    <w:rsid w:val="00624BD6"/>
    <w:rsid w:val="006262C0"/>
    <w:rsid w:val="0063085B"/>
    <w:rsid w:val="006327E4"/>
    <w:rsid w:val="00632850"/>
    <w:rsid w:val="00633E82"/>
    <w:rsid w:val="00640E4C"/>
    <w:rsid w:val="00643CAB"/>
    <w:rsid w:val="00651B5A"/>
    <w:rsid w:val="00655924"/>
    <w:rsid w:val="00655F3B"/>
    <w:rsid w:val="00656316"/>
    <w:rsid w:val="00660166"/>
    <w:rsid w:val="00663AA4"/>
    <w:rsid w:val="00663F22"/>
    <w:rsid w:val="006662A7"/>
    <w:rsid w:val="00666FFB"/>
    <w:rsid w:val="0067032A"/>
    <w:rsid w:val="00671708"/>
    <w:rsid w:val="0067537D"/>
    <w:rsid w:val="00676420"/>
    <w:rsid w:val="00676708"/>
    <w:rsid w:val="00681B2A"/>
    <w:rsid w:val="0068250D"/>
    <w:rsid w:val="00684BB1"/>
    <w:rsid w:val="00685741"/>
    <w:rsid w:val="00685916"/>
    <w:rsid w:val="00686B28"/>
    <w:rsid w:val="006873C6"/>
    <w:rsid w:val="00687A5C"/>
    <w:rsid w:val="00690F71"/>
    <w:rsid w:val="0069218C"/>
    <w:rsid w:val="0069358C"/>
    <w:rsid w:val="0069422A"/>
    <w:rsid w:val="00695565"/>
    <w:rsid w:val="00695DAC"/>
    <w:rsid w:val="00696997"/>
    <w:rsid w:val="006A70C4"/>
    <w:rsid w:val="006A790E"/>
    <w:rsid w:val="006B1547"/>
    <w:rsid w:val="006B1BD5"/>
    <w:rsid w:val="006B4D2D"/>
    <w:rsid w:val="006B7680"/>
    <w:rsid w:val="006C068F"/>
    <w:rsid w:val="006C2477"/>
    <w:rsid w:val="006C30E3"/>
    <w:rsid w:val="006C40C2"/>
    <w:rsid w:val="006C4264"/>
    <w:rsid w:val="006D13ED"/>
    <w:rsid w:val="006D24C8"/>
    <w:rsid w:val="006D3130"/>
    <w:rsid w:val="006D5192"/>
    <w:rsid w:val="006D5DE0"/>
    <w:rsid w:val="006D7116"/>
    <w:rsid w:val="006D7248"/>
    <w:rsid w:val="006D72B1"/>
    <w:rsid w:val="006E0D8B"/>
    <w:rsid w:val="006E0E58"/>
    <w:rsid w:val="006E3C64"/>
    <w:rsid w:val="006E3F1B"/>
    <w:rsid w:val="006F1B00"/>
    <w:rsid w:val="006F4195"/>
    <w:rsid w:val="006F5CEE"/>
    <w:rsid w:val="006F7603"/>
    <w:rsid w:val="00704377"/>
    <w:rsid w:val="00705DEE"/>
    <w:rsid w:val="00712AF7"/>
    <w:rsid w:val="007164F6"/>
    <w:rsid w:val="007169E5"/>
    <w:rsid w:val="00717D19"/>
    <w:rsid w:val="0072324B"/>
    <w:rsid w:val="00723920"/>
    <w:rsid w:val="00724AB4"/>
    <w:rsid w:val="00727B7C"/>
    <w:rsid w:val="0073131F"/>
    <w:rsid w:val="00732F67"/>
    <w:rsid w:val="007335BF"/>
    <w:rsid w:val="00733B50"/>
    <w:rsid w:val="00734693"/>
    <w:rsid w:val="00734939"/>
    <w:rsid w:val="00736236"/>
    <w:rsid w:val="00736E02"/>
    <w:rsid w:val="0074249B"/>
    <w:rsid w:val="00742652"/>
    <w:rsid w:val="0074461B"/>
    <w:rsid w:val="0074524C"/>
    <w:rsid w:val="00747543"/>
    <w:rsid w:val="00750F24"/>
    <w:rsid w:val="007511EC"/>
    <w:rsid w:val="0075263F"/>
    <w:rsid w:val="00752F22"/>
    <w:rsid w:val="00754D8C"/>
    <w:rsid w:val="00761BA3"/>
    <w:rsid w:val="00766419"/>
    <w:rsid w:val="00767DC2"/>
    <w:rsid w:val="00770946"/>
    <w:rsid w:val="00771958"/>
    <w:rsid w:val="007774CD"/>
    <w:rsid w:val="007826B0"/>
    <w:rsid w:val="00783846"/>
    <w:rsid w:val="00784A13"/>
    <w:rsid w:val="00784C66"/>
    <w:rsid w:val="00787700"/>
    <w:rsid w:val="00787BC7"/>
    <w:rsid w:val="00790F0C"/>
    <w:rsid w:val="00794773"/>
    <w:rsid w:val="00795A6F"/>
    <w:rsid w:val="007A484F"/>
    <w:rsid w:val="007C0313"/>
    <w:rsid w:val="007C527F"/>
    <w:rsid w:val="007C77B1"/>
    <w:rsid w:val="007D19FE"/>
    <w:rsid w:val="007D1B3E"/>
    <w:rsid w:val="007D37DF"/>
    <w:rsid w:val="007D6DB5"/>
    <w:rsid w:val="007E032D"/>
    <w:rsid w:val="007F00D3"/>
    <w:rsid w:val="007F4620"/>
    <w:rsid w:val="007F6AF0"/>
    <w:rsid w:val="00800A3B"/>
    <w:rsid w:val="00800DEC"/>
    <w:rsid w:val="00801E4F"/>
    <w:rsid w:val="00803F09"/>
    <w:rsid w:val="00811433"/>
    <w:rsid w:val="00813441"/>
    <w:rsid w:val="00813A3F"/>
    <w:rsid w:val="008160A3"/>
    <w:rsid w:val="008201CC"/>
    <w:rsid w:val="00820DEF"/>
    <w:rsid w:val="00821441"/>
    <w:rsid w:val="0082483F"/>
    <w:rsid w:val="00826BE8"/>
    <w:rsid w:val="00826EB9"/>
    <w:rsid w:val="008336A0"/>
    <w:rsid w:val="00840588"/>
    <w:rsid w:val="00843E42"/>
    <w:rsid w:val="008473AA"/>
    <w:rsid w:val="0085332B"/>
    <w:rsid w:val="008609BB"/>
    <w:rsid w:val="00860AB8"/>
    <w:rsid w:val="008618B1"/>
    <w:rsid w:val="008634A8"/>
    <w:rsid w:val="008640EC"/>
    <w:rsid w:val="00864AD0"/>
    <w:rsid w:val="00864EBC"/>
    <w:rsid w:val="00865B0F"/>
    <w:rsid w:val="00866268"/>
    <w:rsid w:val="00870D10"/>
    <w:rsid w:val="00872D60"/>
    <w:rsid w:val="0087349D"/>
    <w:rsid w:val="008755FC"/>
    <w:rsid w:val="00875EEF"/>
    <w:rsid w:val="00876D67"/>
    <w:rsid w:val="00877898"/>
    <w:rsid w:val="00882786"/>
    <w:rsid w:val="00882D08"/>
    <w:rsid w:val="00884E13"/>
    <w:rsid w:val="00886DFF"/>
    <w:rsid w:val="00892530"/>
    <w:rsid w:val="008931C3"/>
    <w:rsid w:val="00893946"/>
    <w:rsid w:val="008A124E"/>
    <w:rsid w:val="008A44AF"/>
    <w:rsid w:val="008A56EB"/>
    <w:rsid w:val="008A5853"/>
    <w:rsid w:val="008A6442"/>
    <w:rsid w:val="008B0403"/>
    <w:rsid w:val="008B24CB"/>
    <w:rsid w:val="008C0668"/>
    <w:rsid w:val="008C16A4"/>
    <w:rsid w:val="008D066E"/>
    <w:rsid w:val="008D523E"/>
    <w:rsid w:val="008E0F12"/>
    <w:rsid w:val="008E4953"/>
    <w:rsid w:val="008E562D"/>
    <w:rsid w:val="008E755F"/>
    <w:rsid w:val="008F453B"/>
    <w:rsid w:val="00903BA9"/>
    <w:rsid w:val="009047FB"/>
    <w:rsid w:val="00905989"/>
    <w:rsid w:val="00910628"/>
    <w:rsid w:val="00911C5B"/>
    <w:rsid w:val="00912DE1"/>
    <w:rsid w:val="009137E3"/>
    <w:rsid w:val="00913F6D"/>
    <w:rsid w:val="00914440"/>
    <w:rsid w:val="00917A22"/>
    <w:rsid w:val="00927B10"/>
    <w:rsid w:val="009300CF"/>
    <w:rsid w:val="00932CF2"/>
    <w:rsid w:val="00942315"/>
    <w:rsid w:val="00942C28"/>
    <w:rsid w:val="0094337A"/>
    <w:rsid w:val="009435D3"/>
    <w:rsid w:val="00944B3B"/>
    <w:rsid w:val="00945DFB"/>
    <w:rsid w:val="00950B6D"/>
    <w:rsid w:val="00951ABE"/>
    <w:rsid w:val="009522D4"/>
    <w:rsid w:val="00952912"/>
    <w:rsid w:val="009559BF"/>
    <w:rsid w:val="00956FB1"/>
    <w:rsid w:val="00957BC2"/>
    <w:rsid w:val="0096111D"/>
    <w:rsid w:val="00961610"/>
    <w:rsid w:val="00962209"/>
    <w:rsid w:val="00966F12"/>
    <w:rsid w:val="00967089"/>
    <w:rsid w:val="00967308"/>
    <w:rsid w:val="00971B60"/>
    <w:rsid w:val="00972683"/>
    <w:rsid w:val="0097647C"/>
    <w:rsid w:val="00977EB1"/>
    <w:rsid w:val="0098401F"/>
    <w:rsid w:val="00984151"/>
    <w:rsid w:val="009847C9"/>
    <w:rsid w:val="00986DCD"/>
    <w:rsid w:val="0099228E"/>
    <w:rsid w:val="009932EE"/>
    <w:rsid w:val="00994225"/>
    <w:rsid w:val="00995279"/>
    <w:rsid w:val="0099707C"/>
    <w:rsid w:val="009A02D2"/>
    <w:rsid w:val="009A0ED9"/>
    <w:rsid w:val="009A3CB2"/>
    <w:rsid w:val="009A4B51"/>
    <w:rsid w:val="009A7A20"/>
    <w:rsid w:val="009B20C4"/>
    <w:rsid w:val="009B4532"/>
    <w:rsid w:val="009B6ECC"/>
    <w:rsid w:val="009C3385"/>
    <w:rsid w:val="009C3DF5"/>
    <w:rsid w:val="009C4D4B"/>
    <w:rsid w:val="009C5D87"/>
    <w:rsid w:val="009D0538"/>
    <w:rsid w:val="009D089C"/>
    <w:rsid w:val="009D4228"/>
    <w:rsid w:val="009E1B48"/>
    <w:rsid w:val="009E1DB7"/>
    <w:rsid w:val="009E2EB0"/>
    <w:rsid w:val="009E3B70"/>
    <w:rsid w:val="009E5225"/>
    <w:rsid w:val="009F0B87"/>
    <w:rsid w:val="009F3A0A"/>
    <w:rsid w:val="009F5D60"/>
    <w:rsid w:val="009F5E79"/>
    <w:rsid w:val="00A02A3E"/>
    <w:rsid w:val="00A04078"/>
    <w:rsid w:val="00A05076"/>
    <w:rsid w:val="00A063B5"/>
    <w:rsid w:val="00A07450"/>
    <w:rsid w:val="00A10730"/>
    <w:rsid w:val="00A120F4"/>
    <w:rsid w:val="00A13139"/>
    <w:rsid w:val="00A146CA"/>
    <w:rsid w:val="00A20233"/>
    <w:rsid w:val="00A2098E"/>
    <w:rsid w:val="00A2218E"/>
    <w:rsid w:val="00A241AE"/>
    <w:rsid w:val="00A2774C"/>
    <w:rsid w:val="00A27F37"/>
    <w:rsid w:val="00A315DC"/>
    <w:rsid w:val="00A338F3"/>
    <w:rsid w:val="00A33BA0"/>
    <w:rsid w:val="00A358C8"/>
    <w:rsid w:val="00A36887"/>
    <w:rsid w:val="00A37814"/>
    <w:rsid w:val="00A41F24"/>
    <w:rsid w:val="00A4259B"/>
    <w:rsid w:val="00A42A63"/>
    <w:rsid w:val="00A441F1"/>
    <w:rsid w:val="00A4581C"/>
    <w:rsid w:val="00A5387C"/>
    <w:rsid w:val="00A5485B"/>
    <w:rsid w:val="00A552DC"/>
    <w:rsid w:val="00A611CC"/>
    <w:rsid w:val="00A61452"/>
    <w:rsid w:val="00A625AD"/>
    <w:rsid w:val="00A64EB2"/>
    <w:rsid w:val="00A66590"/>
    <w:rsid w:val="00A70FBB"/>
    <w:rsid w:val="00A729B4"/>
    <w:rsid w:val="00A778E2"/>
    <w:rsid w:val="00A816CD"/>
    <w:rsid w:val="00A847AE"/>
    <w:rsid w:val="00A87859"/>
    <w:rsid w:val="00A9014E"/>
    <w:rsid w:val="00A901B5"/>
    <w:rsid w:val="00A90CA2"/>
    <w:rsid w:val="00A90D80"/>
    <w:rsid w:val="00A9103E"/>
    <w:rsid w:val="00A92D41"/>
    <w:rsid w:val="00A972C1"/>
    <w:rsid w:val="00AA03FA"/>
    <w:rsid w:val="00AB03C4"/>
    <w:rsid w:val="00AB0E1E"/>
    <w:rsid w:val="00AB0FDE"/>
    <w:rsid w:val="00AB1758"/>
    <w:rsid w:val="00AB208A"/>
    <w:rsid w:val="00AB73B3"/>
    <w:rsid w:val="00AB7A76"/>
    <w:rsid w:val="00AC1186"/>
    <w:rsid w:val="00AC12FE"/>
    <w:rsid w:val="00AC1336"/>
    <w:rsid w:val="00AC3726"/>
    <w:rsid w:val="00AE4238"/>
    <w:rsid w:val="00AE4D46"/>
    <w:rsid w:val="00AE74DD"/>
    <w:rsid w:val="00AF3223"/>
    <w:rsid w:val="00AF3A37"/>
    <w:rsid w:val="00AF580F"/>
    <w:rsid w:val="00AF7FAB"/>
    <w:rsid w:val="00B00970"/>
    <w:rsid w:val="00B03776"/>
    <w:rsid w:val="00B037EF"/>
    <w:rsid w:val="00B13DA5"/>
    <w:rsid w:val="00B148AB"/>
    <w:rsid w:val="00B15F56"/>
    <w:rsid w:val="00B17B3C"/>
    <w:rsid w:val="00B20765"/>
    <w:rsid w:val="00B232C8"/>
    <w:rsid w:val="00B23E8A"/>
    <w:rsid w:val="00B24A03"/>
    <w:rsid w:val="00B2569A"/>
    <w:rsid w:val="00B26135"/>
    <w:rsid w:val="00B274E5"/>
    <w:rsid w:val="00B3630A"/>
    <w:rsid w:val="00B4041D"/>
    <w:rsid w:val="00B44C1B"/>
    <w:rsid w:val="00B465FF"/>
    <w:rsid w:val="00B47208"/>
    <w:rsid w:val="00B478FE"/>
    <w:rsid w:val="00B5083F"/>
    <w:rsid w:val="00B511B3"/>
    <w:rsid w:val="00B51411"/>
    <w:rsid w:val="00B51B48"/>
    <w:rsid w:val="00B530F4"/>
    <w:rsid w:val="00B54B53"/>
    <w:rsid w:val="00B612F0"/>
    <w:rsid w:val="00B64F99"/>
    <w:rsid w:val="00B65510"/>
    <w:rsid w:val="00B664F0"/>
    <w:rsid w:val="00B66883"/>
    <w:rsid w:val="00B75345"/>
    <w:rsid w:val="00B75F9E"/>
    <w:rsid w:val="00B77663"/>
    <w:rsid w:val="00B77B76"/>
    <w:rsid w:val="00B84503"/>
    <w:rsid w:val="00B84F05"/>
    <w:rsid w:val="00B87BCF"/>
    <w:rsid w:val="00B91035"/>
    <w:rsid w:val="00B952B7"/>
    <w:rsid w:val="00B959B0"/>
    <w:rsid w:val="00BA08C7"/>
    <w:rsid w:val="00BA18C4"/>
    <w:rsid w:val="00BA1ABF"/>
    <w:rsid w:val="00BA32BA"/>
    <w:rsid w:val="00BB02E9"/>
    <w:rsid w:val="00BB084C"/>
    <w:rsid w:val="00BB4B00"/>
    <w:rsid w:val="00BB4EA2"/>
    <w:rsid w:val="00BC0F9A"/>
    <w:rsid w:val="00BC2351"/>
    <w:rsid w:val="00BC3D1A"/>
    <w:rsid w:val="00BC50FD"/>
    <w:rsid w:val="00BC51B1"/>
    <w:rsid w:val="00BC5EAD"/>
    <w:rsid w:val="00BC7228"/>
    <w:rsid w:val="00BD212D"/>
    <w:rsid w:val="00BD247A"/>
    <w:rsid w:val="00BD656E"/>
    <w:rsid w:val="00BD7569"/>
    <w:rsid w:val="00BE4A62"/>
    <w:rsid w:val="00BE54BA"/>
    <w:rsid w:val="00BE5DC7"/>
    <w:rsid w:val="00BE60AF"/>
    <w:rsid w:val="00BE62EB"/>
    <w:rsid w:val="00BE79F3"/>
    <w:rsid w:val="00BF0705"/>
    <w:rsid w:val="00BF1626"/>
    <w:rsid w:val="00BF2567"/>
    <w:rsid w:val="00BF7965"/>
    <w:rsid w:val="00C0286D"/>
    <w:rsid w:val="00C05A4B"/>
    <w:rsid w:val="00C07AC2"/>
    <w:rsid w:val="00C10DB5"/>
    <w:rsid w:val="00C142FB"/>
    <w:rsid w:val="00C1518C"/>
    <w:rsid w:val="00C155EF"/>
    <w:rsid w:val="00C16186"/>
    <w:rsid w:val="00C16371"/>
    <w:rsid w:val="00C16911"/>
    <w:rsid w:val="00C23005"/>
    <w:rsid w:val="00C232F0"/>
    <w:rsid w:val="00C23E53"/>
    <w:rsid w:val="00C25868"/>
    <w:rsid w:val="00C26C8F"/>
    <w:rsid w:val="00C2708A"/>
    <w:rsid w:val="00C33B52"/>
    <w:rsid w:val="00C33D79"/>
    <w:rsid w:val="00C34DAA"/>
    <w:rsid w:val="00C43621"/>
    <w:rsid w:val="00C43B76"/>
    <w:rsid w:val="00C45246"/>
    <w:rsid w:val="00C45DDD"/>
    <w:rsid w:val="00C475FC"/>
    <w:rsid w:val="00C500AA"/>
    <w:rsid w:val="00C5148E"/>
    <w:rsid w:val="00C52C93"/>
    <w:rsid w:val="00C542A0"/>
    <w:rsid w:val="00C55BC3"/>
    <w:rsid w:val="00C57E98"/>
    <w:rsid w:val="00C61C5D"/>
    <w:rsid w:val="00C61D72"/>
    <w:rsid w:val="00C61FE3"/>
    <w:rsid w:val="00C62667"/>
    <w:rsid w:val="00C67A41"/>
    <w:rsid w:val="00C732B9"/>
    <w:rsid w:val="00C75739"/>
    <w:rsid w:val="00C7655A"/>
    <w:rsid w:val="00C77099"/>
    <w:rsid w:val="00C77B6A"/>
    <w:rsid w:val="00C810D9"/>
    <w:rsid w:val="00C8297E"/>
    <w:rsid w:val="00C829D9"/>
    <w:rsid w:val="00C83722"/>
    <w:rsid w:val="00C871CC"/>
    <w:rsid w:val="00C90C85"/>
    <w:rsid w:val="00C93AA5"/>
    <w:rsid w:val="00C961EF"/>
    <w:rsid w:val="00C96661"/>
    <w:rsid w:val="00CA112E"/>
    <w:rsid w:val="00CA5CDA"/>
    <w:rsid w:val="00CB1E07"/>
    <w:rsid w:val="00CB7FF9"/>
    <w:rsid w:val="00CC077A"/>
    <w:rsid w:val="00CC1ADD"/>
    <w:rsid w:val="00CC1CF1"/>
    <w:rsid w:val="00CC3653"/>
    <w:rsid w:val="00CC53F1"/>
    <w:rsid w:val="00CC7B99"/>
    <w:rsid w:val="00CD24DC"/>
    <w:rsid w:val="00CD5805"/>
    <w:rsid w:val="00CE0325"/>
    <w:rsid w:val="00CE0F5F"/>
    <w:rsid w:val="00CE2685"/>
    <w:rsid w:val="00CF0C99"/>
    <w:rsid w:val="00CF2DA5"/>
    <w:rsid w:val="00CF5589"/>
    <w:rsid w:val="00CF69AE"/>
    <w:rsid w:val="00D019CB"/>
    <w:rsid w:val="00D10E61"/>
    <w:rsid w:val="00D112B1"/>
    <w:rsid w:val="00D119F5"/>
    <w:rsid w:val="00D11CBB"/>
    <w:rsid w:val="00D12C9D"/>
    <w:rsid w:val="00D1548A"/>
    <w:rsid w:val="00D209FA"/>
    <w:rsid w:val="00D212EA"/>
    <w:rsid w:val="00D22DE9"/>
    <w:rsid w:val="00D22E76"/>
    <w:rsid w:val="00D23632"/>
    <w:rsid w:val="00D236C4"/>
    <w:rsid w:val="00D23F6B"/>
    <w:rsid w:val="00D240F8"/>
    <w:rsid w:val="00D24298"/>
    <w:rsid w:val="00D2629D"/>
    <w:rsid w:val="00D26A33"/>
    <w:rsid w:val="00D30409"/>
    <w:rsid w:val="00D31569"/>
    <w:rsid w:val="00D4436B"/>
    <w:rsid w:val="00D44373"/>
    <w:rsid w:val="00D45133"/>
    <w:rsid w:val="00D451E2"/>
    <w:rsid w:val="00D47975"/>
    <w:rsid w:val="00D500F4"/>
    <w:rsid w:val="00D52650"/>
    <w:rsid w:val="00D545B7"/>
    <w:rsid w:val="00D56849"/>
    <w:rsid w:val="00D57AAD"/>
    <w:rsid w:val="00D6318D"/>
    <w:rsid w:val="00D655AB"/>
    <w:rsid w:val="00D657D3"/>
    <w:rsid w:val="00D728B9"/>
    <w:rsid w:val="00D74645"/>
    <w:rsid w:val="00D753EF"/>
    <w:rsid w:val="00D75517"/>
    <w:rsid w:val="00D76343"/>
    <w:rsid w:val="00D77C22"/>
    <w:rsid w:val="00D82608"/>
    <w:rsid w:val="00D84166"/>
    <w:rsid w:val="00D86B1C"/>
    <w:rsid w:val="00D90032"/>
    <w:rsid w:val="00D93163"/>
    <w:rsid w:val="00D93C40"/>
    <w:rsid w:val="00D9793F"/>
    <w:rsid w:val="00DA06D7"/>
    <w:rsid w:val="00DA39FD"/>
    <w:rsid w:val="00DA5380"/>
    <w:rsid w:val="00DC36AE"/>
    <w:rsid w:val="00DC3810"/>
    <w:rsid w:val="00DC404F"/>
    <w:rsid w:val="00DD28F3"/>
    <w:rsid w:val="00DD3C7C"/>
    <w:rsid w:val="00DD706D"/>
    <w:rsid w:val="00DE391E"/>
    <w:rsid w:val="00DE425E"/>
    <w:rsid w:val="00DF07D2"/>
    <w:rsid w:val="00DF0871"/>
    <w:rsid w:val="00DF1B9C"/>
    <w:rsid w:val="00DF3876"/>
    <w:rsid w:val="00DF5F4B"/>
    <w:rsid w:val="00E00376"/>
    <w:rsid w:val="00E01A35"/>
    <w:rsid w:val="00E01BE1"/>
    <w:rsid w:val="00E02064"/>
    <w:rsid w:val="00E03DE6"/>
    <w:rsid w:val="00E05E86"/>
    <w:rsid w:val="00E07078"/>
    <w:rsid w:val="00E119BB"/>
    <w:rsid w:val="00E12787"/>
    <w:rsid w:val="00E15686"/>
    <w:rsid w:val="00E2206C"/>
    <w:rsid w:val="00E26975"/>
    <w:rsid w:val="00E26A3F"/>
    <w:rsid w:val="00E2783B"/>
    <w:rsid w:val="00E321BE"/>
    <w:rsid w:val="00E35DFD"/>
    <w:rsid w:val="00E37BB8"/>
    <w:rsid w:val="00E401AD"/>
    <w:rsid w:val="00E40267"/>
    <w:rsid w:val="00E42E9F"/>
    <w:rsid w:val="00E464B9"/>
    <w:rsid w:val="00E46FD9"/>
    <w:rsid w:val="00E47711"/>
    <w:rsid w:val="00E511D0"/>
    <w:rsid w:val="00E53B5F"/>
    <w:rsid w:val="00E54D61"/>
    <w:rsid w:val="00E5642C"/>
    <w:rsid w:val="00E56A24"/>
    <w:rsid w:val="00E57521"/>
    <w:rsid w:val="00E6054D"/>
    <w:rsid w:val="00E62373"/>
    <w:rsid w:val="00E62561"/>
    <w:rsid w:val="00E666F3"/>
    <w:rsid w:val="00E66CC0"/>
    <w:rsid w:val="00E7153D"/>
    <w:rsid w:val="00E81DF0"/>
    <w:rsid w:val="00E85113"/>
    <w:rsid w:val="00E85315"/>
    <w:rsid w:val="00E92509"/>
    <w:rsid w:val="00E92552"/>
    <w:rsid w:val="00E93919"/>
    <w:rsid w:val="00E94723"/>
    <w:rsid w:val="00E95647"/>
    <w:rsid w:val="00E96043"/>
    <w:rsid w:val="00E96A1C"/>
    <w:rsid w:val="00E9759E"/>
    <w:rsid w:val="00EA105D"/>
    <w:rsid w:val="00EA2449"/>
    <w:rsid w:val="00EA2AF3"/>
    <w:rsid w:val="00EA4F3B"/>
    <w:rsid w:val="00EA53C4"/>
    <w:rsid w:val="00EB0E8C"/>
    <w:rsid w:val="00EB2AB5"/>
    <w:rsid w:val="00EB50CB"/>
    <w:rsid w:val="00EB6129"/>
    <w:rsid w:val="00EB7B64"/>
    <w:rsid w:val="00EC0C87"/>
    <w:rsid w:val="00EC102C"/>
    <w:rsid w:val="00EC3D8D"/>
    <w:rsid w:val="00EC49D6"/>
    <w:rsid w:val="00EC6FAD"/>
    <w:rsid w:val="00ED0A7E"/>
    <w:rsid w:val="00ED165F"/>
    <w:rsid w:val="00ED1D6B"/>
    <w:rsid w:val="00ED71B1"/>
    <w:rsid w:val="00ED7749"/>
    <w:rsid w:val="00EE09B9"/>
    <w:rsid w:val="00EE2720"/>
    <w:rsid w:val="00EE3295"/>
    <w:rsid w:val="00EE447B"/>
    <w:rsid w:val="00EE4E3B"/>
    <w:rsid w:val="00EF0F05"/>
    <w:rsid w:val="00EF74EB"/>
    <w:rsid w:val="00F1023E"/>
    <w:rsid w:val="00F132B2"/>
    <w:rsid w:val="00F14105"/>
    <w:rsid w:val="00F22605"/>
    <w:rsid w:val="00F27C94"/>
    <w:rsid w:val="00F30A84"/>
    <w:rsid w:val="00F3112F"/>
    <w:rsid w:val="00F31EBC"/>
    <w:rsid w:val="00F32A3D"/>
    <w:rsid w:val="00F3489D"/>
    <w:rsid w:val="00F40D4B"/>
    <w:rsid w:val="00F43A8B"/>
    <w:rsid w:val="00F44166"/>
    <w:rsid w:val="00F44C79"/>
    <w:rsid w:val="00F4549A"/>
    <w:rsid w:val="00F4559C"/>
    <w:rsid w:val="00F456C5"/>
    <w:rsid w:val="00F46A83"/>
    <w:rsid w:val="00F47B8B"/>
    <w:rsid w:val="00F557C4"/>
    <w:rsid w:val="00F571FC"/>
    <w:rsid w:val="00F57A90"/>
    <w:rsid w:val="00F63B99"/>
    <w:rsid w:val="00F65560"/>
    <w:rsid w:val="00F72C9B"/>
    <w:rsid w:val="00F7345E"/>
    <w:rsid w:val="00F81C1E"/>
    <w:rsid w:val="00F862D3"/>
    <w:rsid w:val="00F9141F"/>
    <w:rsid w:val="00FA0F61"/>
    <w:rsid w:val="00FA30D4"/>
    <w:rsid w:val="00FA68D9"/>
    <w:rsid w:val="00FA6B9E"/>
    <w:rsid w:val="00FB5D1B"/>
    <w:rsid w:val="00FC2916"/>
    <w:rsid w:val="00FC486E"/>
    <w:rsid w:val="00FC6345"/>
    <w:rsid w:val="00FC7167"/>
    <w:rsid w:val="00FD0D35"/>
    <w:rsid w:val="00FD539D"/>
    <w:rsid w:val="00FD5F1F"/>
    <w:rsid w:val="00FD6751"/>
    <w:rsid w:val="00FD683D"/>
    <w:rsid w:val="00FD6F66"/>
    <w:rsid w:val="00FE1060"/>
    <w:rsid w:val="00FE41D3"/>
    <w:rsid w:val="00FE42E3"/>
    <w:rsid w:val="00FE4A69"/>
    <w:rsid w:val="00FE4CA1"/>
    <w:rsid w:val="00FE5A6C"/>
    <w:rsid w:val="00FE608A"/>
    <w:rsid w:val="00FE63B6"/>
    <w:rsid w:val="00FE691D"/>
    <w:rsid w:val="00FE7E4B"/>
    <w:rsid w:val="00FF0450"/>
    <w:rsid w:val="00FF20A9"/>
    <w:rsid w:val="00FF4B1F"/>
    <w:rsid w:val="00FF5D8C"/>
    <w:rsid w:val="00FF6121"/>
    <w:rsid w:val="00FF7CA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A24145"/>
  <w15:docId w15:val="{1289C48B-28FC-4350-8FA8-0320C96F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1C3"/>
    <w:pPr>
      <w:spacing w:after="160" w:line="240" w:lineRule="atLeast"/>
    </w:pPr>
    <w:rPr>
      <w:rFonts w:ascii="Arial" w:eastAsia="Times New Roman" w:hAnsi="Arial"/>
      <w:sz w:val="22"/>
      <w:lang w:eastAsia="en-GB"/>
    </w:rPr>
  </w:style>
  <w:style w:type="paragraph" w:styleId="Heading1">
    <w:name w:val="heading 1"/>
    <w:basedOn w:val="Normal"/>
    <w:next w:val="Normal"/>
    <w:link w:val="Heading1Char"/>
    <w:qFormat/>
    <w:rsid w:val="006D3130"/>
    <w:pPr>
      <w:spacing w:before="120" w:line="240" w:lineRule="auto"/>
      <w:outlineLvl w:val="0"/>
    </w:pPr>
    <w:rPr>
      <w:b/>
      <w:color w:val="0082AB"/>
      <w:spacing w:val="20"/>
      <w:w w:val="90"/>
      <w:sz w:val="44"/>
      <w:szCs w:val="44"/>
    </w:rPr>
  </w:style>
  <w:style w:type="paragraph" w:styleId="Heading2">
    <w:name w:val="heading 2"/>
    <w:basedOn w:val="Normal"/>
    <w:next w:val="Normal"/>
    <w:link w:val="Heading2Char"/>
    <w:autoRedefine/>
    <w:qFormat/>
    <w:rsid w:val="00414D0D"/>
    <w:pPr>
      <w:keepNext/>
      <w:spacing w:after="120" w:line="240" w:lineRule="auto"/>
      <w:outlineLvl w:val="1"/>
    </w:pPr>
    <w:rPr>
      <w:b/>
      <w:color w:val="0082AB"/>
      <w:spacing w:val="20"/>
      <w:w w:val="90"/>
      <w:sz w:val="32"/>
      <w:szCs w:val="24"/>
    </w:rPr>
  </w:style>
  <w:style w:type="paragraph" w:styleId="Heading3">
    <w:name w:val="heading 3"/>
    <w:basedOn w:val="Heading2"/>
    <w:next w:val="Normal"/>
    <w:link w:val="Heading3Char"/>
    <w:qFormat/>
    <w:rsid w:val="00EC6FAD"/>
    <w:pPr>
      <w:spacing w:before="200"/>
      <w:outlineLvl w:val="2"/>
    </w:pPr>
    <w:rPr>
      <w:sz w:val="24"/>
      <w:szCs w:val="22"/>
    </w:rPr>
  </w:style>
  <w:style w:type="paragraph" w:styleId="Heading4">
    <w:name w:val="heading 4"/>
    <w:basedOn w:val="Normal"/>
    <w:next w:val="Normal"/>
    <w:link w:val="Heading4Char"/>
    <w:qFormat/>
    <w:rsid w:val="002513FF"/>
    <w:pPr>
      <w:keepNext/>
      <w:spacing w:before="120" w:after="120" w:line="240" w:lineRule="auto"/>
      <w:outlineLvl w:val="3"/>
    </w:pPr>
    <w:rPr>
      <w:b/>
      <w:bCs/>
      <w:i/>
      <w:szCs w:val="22"/>
    </w:rPr>
  </w:style>
  <w:style w:type="paragraph" w:styleId="Heading5">
    <w:name w:val="heading 5"/>
    <w:basedOn w:val="Normal"/>
    <w:next w:val="Normal"/>
    <w:link w:val="Heading5Char"/>
    <w:rsid w:val="00EC6FAD"/>
    <w:pPr>
      <w:keepNext/>
      <w:widowControl w:val="0"/>
      <w:spacing w:before="80" w:after="120"/>
      <w:outlineLvl w:val="4"/>
    </w:pPr>
    <w:rPr>
      <w:color w:val="000000"/>
      <w:szCs w:val="22"/>
    </w:rPr>
  </w:style>
  <w:style w:type="paragraph" w:styleId="Heading6">
    <w:name w:val="heading 6"/>
    <w:basedOn w:val="Normal"/>
    <w:next w:val="Normal"/>
    <w:link w:val="Heading6Char"/>
    <w:rsid w:val="00EC6FAD"/>
    <w:pPr>
      <w:spacing w:before="240"/>
      <w:outlineLvl w:val="5"/>
    </w:pPr>
    <w:rPr>
      <w:i/>
      <w:sz w:val="20"/>
    </w:rPr>
  </w:style>
  <w:style w:type="paragraph" w:styleId="Heading7">
    <w:name w:val="heading 7"/>
    <w:basedOn w:val="Normal"/>
    <w:next w:val="Normal"/>
    <w:link w:val="Heading7Char"/>
    <w:rsid w:val="00EC6FAD"/>
    <w:pPr>
      <w:spacing w:before="240"/>
      <w:outlineLvl w:val="6"/>
    </w:pPr>
    <w:rPr>
      <w:sz w:val="20"/>
    </w:rPr>
  </w:style>
  <w:style w:type="paragraph" w:styleId="Heading8">
    <w:name w:val="heading 8"/>
    <w:basedOn w:val="Normal"/>
    <w:next w:val="Normal"/>
    <w:link w:val="Heading8Char"/>
    <w:rsid w:val="00EC6FAD"/>
    <w:pPr>
      <w:spacing w:before="80" w:after="80"/>
      <w:outlineLvl w:val="7"/>
    </w:pPr>
    <w:rPr>
      <w:sz w:val="20"/>
    </w:rPr>
  </w:style>
  <w:style w:type="paragraph" w:styleId="Heading9">
    <w:name w:val="heading 9"/>
    <w:next w:val="Normal"/>
    <w:link w:val="Heading9Char"/>
    <w:rsid w:val="00EC6FAD"/>
    <w:pPr>
      <w:keepNext/>
      <w:spacing w:before="160" w:line="260" w:lineRule="exact"/>
      <w:outlineLvl w:val="8"/>
    </w:pPr>
    <w:rPr>
      <w:rFonts w:ascii="Arial" w:eastAsia="Times New Roman" w:hAnsi="Arial"/>
      <w:b/>
      <w:i/>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6FAD"/>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Normal,Colorful List - Accent 11,List Paragraph numbered,List Paragraph1,List Bullet indent,Level 3,Bullet Heading,Normal text,Unordered List Paragraph,Rec para,Recommendation,List Paragraph11,Dot pt,F5 List Paragraph,No Spacing1"/>
    <w:basedOn w:val="Normal"/>
    <w:link w:val="ListParagraphChar"/>
    <w:uiPriority w:val="34"/>
    <w:qFormat/>
    <w:rsid w:val="00223E66"/>
    <w:pPr>
      <w:spacing w:after="0"/>
      <w:ind w:left="720"/>
      <w:contextualSpacing/>
    </w:pPr>
    <w:rPr>
      <w:rFonts w:cs="Arial"/>
    </w:rPr>
  </w:style>
  <w:style w:type="character" w:customStyle="1" w:styleId="ListParagraphChar">
    <w:name w:val="List Paragraph Char"/>
    <w:aliases w:val="Bullet Normal Char,Colorful List - Accent 11 Char,List Paragraph numbered Char,List Paragraph1 Char,List Bullet indent Char,Level 3 Char,Bullet Heading Char,Normal text Char,Unordered List Paragraph Char,Rec para Char,Dot pt Char"/>
    <w:link w:val="ListParagraph"/>
    <w:uiPriority w:val="34"/>
    <w:qFormat/>
    <w:locked/>
    <w:rsid w:val="00223E66"/>
    <w:rPr>
      <w:rFonts w:ascii="Arial" w:eastAsia="Times New Roman" w:hAnsi="Arial" w:cs="Arial"/>
    </w:rPr>
  </w:style>
  <w:style w:type="character" w:customStyle="1" w:styleId="Heading1Char">
    <w:name w:val="Heading 1 Char"/>
    <w:link w:val="Heading1"/>
    <w:rsid w:val="006D3130"/>
    <w:rPr>
      <w:rFonts w:ascii="Arial" w:eastAsia="Times New Roman" w:hAnsi="Arial" w:cs="Times New Roman"/>
      <w:b/>
      <w:color w:val="0082AB"/>
      <w:spacing w:val="20"/>
      <w:w w:val="90"/>
      <w:sz w:val="44"/>
      <w:szCs w:val="44"/>
      <w:lang w:eastAsia="en-GB"/>
    </w:rPr>
  </w:style>
  <w:style w:type="paragraph" w:styleId="Footer">
    <w:name w:val="footer"/>
    <w:basedOn w:val="Normal"/>
    <w:link w:val="FooterChar"/>
    <w:autoRedefine/>
    <w:rsid w:val="002127DC"/>
    <w:pPr>
      <w:tabs>
        <w:tab w:val="right" w:pos="9070"/>
      </w:tabs>
      <w:spacing w:after="0" w:line="240" w:lineRule="auto"/>
      <w:jc w:val="right"/>
    </w:pPr>
    <w:rPr>
      <w:noProof/>
      <w:color w:val="0082AB"/>
      <w:spacing w:val="6"/>
      <w:sz w:val="16"/>
      <w:szCs w:val="16"/>
    </w:rPr>
  </w:style>
  <w:style w:type="character" w:customStyle="1" w:styleId="FooterChar">
    <w:name w:val="Footer Char"/>
    <w:link w:val="Footer"/>
    <w:rsid w:val="002127DC"/>
    <w:rPr>
      <w:rFonts w:ascii="Arial" w:eastAsia="Times New Roman" w:hAnsi="Arial"/>
      <w:noProof/>
      <w:color w:val="0082AB"/>
      <w:spacing w:val="6"/>
      <w:sz w:val="16"/>
      <w:szCs w:val="16"/>
      <w:lang w:val="en-GB" w:eastAsia="en-GB"/>
    </w:rPr>
  </w:style>
  <w:style w:type="paragraph" w:styleId="Header">
    <w:name w:val="header"/>
    <w:basedOn w:val="Normal"/>
    <w:link w:val="HeaderChar"/>
    <w:rsid w:val="00EC6FAD"/>
    <w:pPr>
      <w:tabs>
        <w:tab w:val="center" w:pos="4153"/>
        <w:tab w:val="right" w:pos="8306"/>
      </w:tabs>
    </w:pPr>
  </w:style>
  <w:style w:type="character" w:customStyle="1" w:styleId="HeaderChar">
    <w:name w:val="Header Char"/>
    <w:link w:val="Header"/>
    <w:rsid w:val="00E92509"/>
    <w:rPr>
      <w:rFonts w:ascii="Arial" w:eastAsia="Times New Roman" w:hAnsi="Arial" w:cs="Times New Roman"/>
      <w:szCs w:val="20"/>
      <w:lang w:val="en-GB" w:eastAsia="en-GB"/>
    </w:rPr>
  </w:style>
  <w:style w:type="paragraph" w:customStyle="1" w:styleId="Boxtext">
    <w:name w:val="Box text"/>
    <w:basedOn w:val="Normal"/>
    <w:rsid w:val="00957BC2"/>
    <w:pPr>
      <w:pBdr>
        <w:top w:val="single" w:sz="4" w:space="10" w:color="EBF5F8"/>
        <w:left w:val="single" w:sz="4" w:space="4" w:color="EBF5F8"/>
        <w:bottom w:val="single" w:sz="4" w:space="10" w:color="EBF5F8"/>
        <w:right w:val="single" w:sz="4" w:space="4" w:color="EBF5F8"/>
      </w:pBdr>
      <w:shd w:val="clear" w:color="auto" w:fill="EBF5F8"/>
      <w:spacing w:after="80"/>
      <w:ind w:left="142" w:right="142"/>
    </w:pPr>
    <w:rPr>
      <w:color w:val="000000"/>
      <w:szCs w:val="22"/>
    </w:rPr>
  </w:style>
  <w:style w:type="paragraph" w:customStyle="1" w:styleId="spacer">
    <w:name w:val="spacer"/>
    <w:basedOn w:val="Normal"/>
    <w:qFormat/>
    <w:rsid w:val="00EC6FAD"/>
    <w:pPr>
      <w:spacing w:after="0" w:line="240" w:lineRule="auto"/>
    </w:pPr>
    <w:rPr>
      <w:sz w:val="16"/>
      <w:szCs w:val="22"/>
      <w:lang w:eastAsia="en-AU"/>
    </w:rPr>
  </w:style>
  <w:style w:type="paragraph" w:customStyle="1" w:styleId="Bullet-list">
    <w:name w:val="Bullet-list"/>
    <w:qFormat/>
    <w:rsid w:val="007A484F"/>
    <w:pPr>
      <w:numPr>
        <w:numId w:val="29"/>
      </w:numPr>
      <w:spacing w:after="120" w:line="280" w:lineRule="exact"/>
      <w:ind w:left="284" w:hanging="284"/>
    </w:pPr>
    <w:rPr>
      <w:rFonts w:ascii="Arial" w:eastAsia="Times New Roman" w:hAnsi="Arial"/>
      <w:i/>
      <w:sz w:val="22"/>
      <w:szCs w:val="22"/>
      <w:lang w:val="en-AU" w:eastAsia="en-US"/>
    </w:rPr>
  </w:style>
  <w:style w:type="paragraph" w:styleId="BalloonText">
    <w:name w:val="Balloon Text"/>
    <w:basedOn w:val="Normal"/>
    <w:link w:val="BalloonTextChar"/>
    <w:semiHidden/>
    <w:rsid w:val="00EC6FAD"/>
    <w:rPr>
      <w:rFonts w:ascii="Tahoma" w:hAnsi="Tahoma" w:cs="Tahoma"/>
      <w:sz w:val="16"/>
      <w:szCs w:val="16"/>
    </w:rPr>
  </w:style>
  <w:style w:type="character" w:customStyle="1" w:styleId="BalloonTextChar">
    <w:name w:val="Balloon Text Char"/>
    <w:link w:val="BalloonText"/>
    <w:semiHidden/>
    <w:rsid w:val="0032262A"/>
    <w:rPr>
      <w:rFonts w:ascii="Tahoma" w:eastAsia="Times New Roman" w:hAnsi="Tahoma" w:cs="Tahoma"/>
      <w:sz w:val="16"/>
      <w:szCs w:val="16"/>
      <w:lang w:val="en-GB" w:eastAsia="en-GB"/>
    </w:rPr>
  </w:style>
  <w:style w:type="character" w:styleId="Hyperlink">
    <w:name w:val="Hyperlink"/>
    <w:uiPriority w:val="99"/>
    <w:rsid w:val="00030EC1"/>
    <w:rPr>
      <w:color w:val="0082AB"/>
      <w:u w:val="single"/>
    </w:rPr>
  </w:style>
  <w:style w:type="character" w:styleId="CommentReference">
    <w:name w:val="annotation reference"/>
    <w:semiHidden/>
    <w:rsid w:val="00EC6FAD"/>
    <w:rPr>
      <w:sz w:val="16"/>
      <w:szCs w:val="16"/>
    </w:rPr>
  </w:style>
  <w:style w:type="paragraph" w:styleId="CommentText">
    <w:name w:val="annotation text"/>
    <w:basedOn w:val="Normal"/>
    <w:link w:val="CommentTextChar"/>
    <w:semiHidden/>
    <w:rsid w:val="00EC6FAD"/>
    <w:rPr>
      <w:sz w:val="20"/>
    </w:rPr>
  </w:style>
  <w:style w:type="character" w:customStyle="1" w:styleId="CommentTextChar">
    <w:name w:val="Comment Text Char"/>
    <w:link w:val="CommentText"/>
    <w:semiHidden/>
    <w:rsid w:val="00956FB1"/>
    <w:rPr>
      <w:rFonts w:ascii="Arial" w:eastAsia="Times New Roman" w:hAnsi="Arial" w:cs="Times New Roman"/>
      <w:sz w:val="20"/>
      <w:szCs w:val="20"/>
      <w:lang w:val="en-GB" w:eastAsia="en-GB"/>
    </w:rPr>
  </w:style>
  <w:style w:type="paragraph" w:styleId="CommentSubject">
    <w:name w:val="annotation subject"/>
    <w:basedOn w:val="CommentText"/>
    <w:next w:val="CommentText"/>
    <w:link w:val="CommentSubjectChar"/>
    <w:semiHidden/>
    <w:rsid w:val="00EC6FAD"/>
    <w:rPr>
      <w:b/>
      <w:bCs/>
    </w:rPr>
  </w:style>
  <w:style w:type="character" w:customStyle="1" w:styleId="CommentSubjectChar">
    <w:name w:val="Comment Subject Char"/>
    <w:link w:val="CommentSubject"/>
    <w:semiHidden/>
    <w:rsid w:val="00956FB1"/>
    <w:rPr>
      <w:rFonts w:ascii="Arial" w:eastAsia="Times New Roman" w:hAnsi="Arial" w:cs="Times New Roman"/>
      <w:b/>
      <w:bCs/>
      <w:sz w:val="20"/>
      <w:szCs w:val="20"/>
      <w:lang w:val="en-GB" w:eastAsia="en-GB"/>
    </w:rPr>
  </w:style>
  <w:style w:type="paragraph" w:customStyle="1" w:styleId="Author">
    <w:name w:val="Author"/>
    <w:basedOn w:val="Normal"/>
    <w:semiHidden/>
    <w:rsid w:val="00EC6FAD"/>
    <w:pPr>
      <w:spacing w:before="240" w:after="1200"/>
      <w:ind w:left="-181"/>
      <w:jc w:val="right"/>
    </w:pPr>
    <w:rPr>
      <w:rFonts w:cs="Arial"/>
      <w:i/>
      <w:sz w:val="40"/>
      <w:szCs w:val="22"/>
    </w:rPr>
  </w:style>
  <w:style w:type="paragraph" w:customStyle="1" w:styleId="Boxbullet">
    <w:name w:val="Box bullet"/>
    <w:basedOn w:val="Boxtext"/>
    <w:rsid w:val="00EC6FAD"/>
    <w:pPr>
      <w:numPr>
        <w:numId w:val="28"/>
      </w:numPr>
      <w:tabs>
        <w:tab w:val="clear" w:pos="644"/>
        <w:tab w:val="num" w:pos="426"/>
      </w:tabs>
      <w:spacing w:before="80"/>
    </w:pPr>
  </w:style>
  <w:style w:type="paragraph" w:customStyle="1" w:styleId="Boxheading">
    <w:name w:val="Box heading"/>
    <w:basedOn w:val="Normal"/>
    <w:next w:val="Boxtext"/>
    <w:autoRedefine/>
    <w:rsid w:val="00EC6FAD"/>
    <w:pPr>
      <w:spacing w:before="180" w:after="60" w:line="240" w:lineRule="auto"/>
      <w:ind w:left="284" w:right="284"/>
    </w:pPr>
    <w:rPr>
      <w:rFonts w:ascii="Arial Narrow" w:hAnsi="Arial Narrow"/>
      <w:b/>
      <w:bCs/>
      <w:color w:val="335087"/>
      <w:spacing w:val="10"/>
      <w:szCs w:val="22"/>
    </w:rPr>
  </w:style>
  <w:style w:type="paragraph" w:customStyle="1" w:styleId="Boxindent">
    <w:name w:val="Box indent"/>
    <w:basedOn w:val="Boxtext"/>
    <w:rsid w:val="00EC6FAD"/>
    <w:pPr>
      <w:tabs>
        <w:tab w:val="left" w:pos="426"/>
      </w:tabs>
      <w:ind w:left="426" w:hanging="284"/>
    </w:pPr>
  </w:style>
  <w:style w:type="paragraph" w:styleId="Caption">
    <w:name w:val="caption"/>
    <w:basedOn w:val="Normal"/>
    <w:next w:val="Normal"/>
    <w:rsid w:val="00EC6FAD"/>
    <w:rPr>
      <w:b/>
      <w:bCs/>
      <w:sz w:val="20"/>
    </w:rPr>
  </w:style>
  <w:style w:type="paragraph" w:styleId="DocumentMap">
    <w:name w:val="Document Map"/>
    <w:basedOn w:val="Normal"/>
    <w:link w:val="DocumentMapChar"/>
    <w:semiHidden/>
    <w:rsid w:val="00EC6FAD"/>
    <w:pPr>
      <w:shd w:val="clear" w:color="auto" w:fill="000080"/>
    </w:pPr>
    <w:rPr>
      <w:rFonts w:ascii="Tahoma" w:hAnsi="Tahoma" w:cs="Tahoma"/>
      <w:sz w:val="20"/>
    </w:rPr>
  </w:style>
  <w:style w:type="character" w:customStyle="1" w:styleId="DocumentMapChar">
    <w:name w:val="Document Map Char"/>
    <w:link w:val="DocumentMap"/>
    <w:semiHidden/>
    <w:rsid w:val="00EC6FAD"/>
    <w:rPr>
      <w:rFonts w:ascii="Tahoma" w:eastAsia="Times New Roman" w:hAnsi="Tahoma" w:cs="Tahoma"/>
      <w:sz w:val="20"/>
      <w:szCs w:val="20"/>
      <w:shd w:val="clear" w:color="auto" w:fill="000080"/>
      <w:lang w:val="en-GB" w:eastAsia="en-GB"/>
    </w:rPr>
  </w:style>
  <w:style w:type="paragraph" w:customStyle="1" w:styleId="EvenFooter">
    <w:name w:val="Even Footer"/>
    <w:basedOn w:val="Footer"/>
    <w:rsid w:val="00EC6FAD"/>
    <w:pPr>
      <w:jc w:val="left"/>
    </w:pPr>
  </w:style>
  <w:style w:type="paragraph" w:customStyle="1" w:styleId="Evenfooter-wide">
    <w:name w:val="Even footer-wide"/>
    <w:basedOn w:val="EvenFooter"/>
    <w:rsid w:val="00EC6FAD"/>
  </w:style>
  <w:style w:type="character" w:styleId="FollowedHyperlink">
    <w:name w:val="FollowedHyperlink"/>
    <w:rsid w:val="00EC6FAD"/>
    <w:rPr>
      <w:color w:val="800080"/>
      <w:u w:val="single"/>
    </w:rPr>
  </w:style>
  <w:style w:type="character" w:styleId="FootnoteReference">
    <w:name w:val="footnote reference"/>
    <w:uiPriority w:val="99"/>
    <w:rsid w:val="00EC6FAD"/>
    <w:rPr>
      <w:rFonts w:ascii="Arial" w:hAnsi="Arial"/>
      <w:color w:val="auto"/>
      <w:position w:val="8"/>
      <w:sz w:val="16"/>
    </w:rPr>
  </w:style>
  <w:style w:type="paragraph" w:styleId="FootnoteText">
    <w:name w:val="footnote text"/>
    <w:aliases w:val="Footnote - MOH"/>
    <w:basedOn w:val="Normal"/>
    <w:link w:val="FootnoteTextChar"/>
    <w:uiPriority w:val="99"/>
    <w:qFormat/>
    <w:rsid w:val="00EC6FAD"/>
    <w:pPr>
      <w:tabs>
        <w:tab w:val="left" w:pos="425"/>
      </w:tabs>
      <w:spacing w:after="60" w:line="240" w:lineRule="auto"/>
      <w:ind w:left="425" w:hanging="425"/>
    </w:pPr>
    <w:rPr>
      <w:sz w:val="18"/>
    </w:rPr>
  </w:style>
  <w:style w:type="character" w:customStyle="1" w:styleId="FootnoteTextChar">
    <w:name w:val="Footnote Text Char"/>
    <w:aliases w:val="Footnote - MOH Char"/>
    <w:link w:val="FootnoteText"/>
    <w:uiPriority w:val="99"/>
    <w:rsid w:val="00EC6FAD"/>
    <w:rPr>
      <w:rFonts w:ascii="Arial" w:eastAsia="Times New Roman" w:hAnsi="Arial" w:cs="Times New Roman"/>
      <w:sz w:val="18"/>
      <w:szCs w:val="20"/>
      <w:lang w:val="en-GB" w:eastAsia="en-GB"/>
    </w:rPr>
  </w:style>
  <w:style w:type="character" w:customStyle="1" w:styleId="Heading2Char">
    <w:name w:val="Heading 2 Char"/>
    <w:link w:val="Heading2"/>
    <w:rsid w:val="00414D0D"/>
    <w:rPr>
      <w:rFonts w:ascii="Arial" w:eastAsia="Times New Roman" w:hAnsi="Arial"/>
      <w:b/>
      <w:color w:val="0082AB"/>
      <w:spacing w:val="20"/>
      <w:w w:val="90"/>
      <w:sz w:val="32"/>
      <w:szCs w:val="24"/>
      <w:lang w:val="en-GB" w:eastAsia="en-GB"/>
    </w:rPr>
  </w:style>
  <w:style w:type="character" w:customStyle="1" w:styleId="Heading3Char">
    <w:name w:val="Heading 3 Char"/>
    <w:link w:val="Heading3"/>
    <w:rsid w:val="00EC6FAD"/>
    <w:rPr>
      <w:rFonts w:ascii="Arial" w:eastAsia="Times New Roman" w:hAnsi="Arial" w:cs="Times New Roman"/>
      <w:b/>
      <w:color w:val="335087"/>
      <w:spacing w:val="20"/>
      <w:w w:val="90"/>
      <w:sz w:val="24"/>
      <w:lang w:val="en-GB" w:eastAsia="en-GB"/>
    </w:rPr>
  </w:style>
  <w:style w:type="character" w:customStyle="1" w:styleId="Heading4Char">
    <w:name w:val="Heading 4 Char"/>
    <w:link w:val="Heading4"/>
    <w:rsid w:val="002513FF"/>
    <w:rPr>
      <w:rFonts w:ascii="Arial" w:eastAsia="Times New Roman" w:hAnsi="Arial"/>
      <w:b/>
      <w:bCs/>
      <w:i/>
      <w:sz w:val="22"/>
      <w:szCs w:val="22"/>
      <w:lang w:eastAsia="en-GB"/>
    </w:rPr>
  </w:style>
  <w:style w:type="character" w:customStyle="1" w:styleId="Heading5Char">
    <w:name w:val="Heading 5 Char"/>
    <w:link w:val="Heading5"/>
    <w:rsid w:val="00EC6FAD"/>
    <w:rPr>
      <w:rFonts w:ascii="Arial" w:eastAsia="Times New Roman" w:hAnsi="Arial" w:cs="Times New Roman"/>
      <w:color w:val="000000"/>
      <w:lang w:val="en-GB" w:eastAsia="en-GB"/>
    </w:rPr>
  </w:style>
  <w:style w:type="character" w:customStyle="1" w:styleId="Heading6Char">
    <w:name w:val="Heading 6 Char"/>
    <w:link w:val="Heading6"/>
    <w:rsid w:val="00EC6FAD"/>
    <w:rPr>
      <w:rFonts w:ascii="Arial" w:eastAsia="Times New Roman" w:hAnsi="Arial" w:cs="Times New Roman"/>
      <w:i/>
      <w:sz w:val="20"/>
      <w:szCs w:val="20"/>
      <w:lang w:val="en-GB" w:eastAsia="en-GB"/>
    </w:rPr>
  </w:style>
  <w:style w:type="character" w:customStyle="1" w:styleId="Heading7Char">
    <w:name w:val="Heading 7 Char"/>
    <w:link w:val="Heading7"/>
    <w:rsid w:val="00EC6FAD"/>
    <w:rPr>
      <w:rFonts w:ascii="Arial" w:eastAsia="Times New Roman" w:hAnsi="Arial" w:cs="Times New Roman"/>
      <w:sz w:val="20"/>
      <w:szCs w:val="20"/>
      <w:lang w:val="en-GB" w:eastAsia="en-GB"/>
    </w:rPr>
  </w:style>
  <w:style w:type="character" w:customStyle="1" w:styleId="Heading8Char">
    <w:name w:val="Heading 8 Char"/>
    <w:link w:val="Heading8"/>
    <w:rsid w:val="00EC6FAD"/>
    <w:rPr>
      <w:rFonts w:ascii="Arial" w:eastAsia="Times New Roman" w:hAnsi="Arial" w:cs="Times New Roman"/>
      <w:sz w:val="20"/>
      <w:szCs w:val="20"/>
      <w:lang w:val="en-GB" w:eastAsia="en-GB"/>
    </w:rPr>
  </w:style>
  <w:style w:type="character" w:customStyle="1" w:styleId="Heading9Char">
    <w:name w:val="Heading 9 Char"/>
    <w:link w:val="Heading9"/>
    <w:rsid w:val="00EC6FAD"/>
    <w:rPr>
      <w:rFonts w:ascii="Arial" w:eastAsia="Times New Roman" w:hAnsi="Arial" w:cs="Times New Roman"/>
      <w:b/>
      <w:i/>
      <w:sz w:val="20"/>
      <w:szCs w:val="20"/>
      <w:lang w:val="en-AU"/>
    </w:rPr>
  </w:style>
  <w:style w:type="paragraph" w:styleId="List">
    <w:name w:val="List"/>
    <w:basedOn w:val="Normal"/>
    <w:rsid w:val="00EC6FAD"/>
    <w:pPr>
      <w:ind w:left="283" w:hanging="283"/>
    </w:pPr>
  </w:style>
  <w:style w:type="paragraph" w:styleId="Title">
    <w:name w:val="Title"/>
    <w:basedOn w:val="Normal"/>
    <w:link w:val="TitleChar"/>
    <w:rsid w:val="00EC6FAD"/>
    <w:pPr>
      <w:widowControl w:val="0"/>
      <w:autoSpaceDE w:val="0"/>
      <w:autoSpaceDN w:val="0"/>
      <w:adjustRightInd w:val="0"/>
      <w:spacing w:before="1560" w:after="720"/>
    </w:pPr>
    <w:rPr>
      <w:rFonts w:cs="Arial"/>
      <w:color w:val="002469"/>
      <w:spacing w:val="40"/>
      <w:w w:val="90"/>
      <w:sz w:val="48"/>
      <w:szCs w:val="48"/>
    </w:rPr>
  </w:style>
  <w:style w:type="character" w:customStyle="1" w:styleId="TitleChar">
    <w:name w:val="Title Char"/>
    <w:link w:val="Title"/>
    <w:rsid w:val="00EC6FAD"/>
    <w:rPr>
      <w:rFonts w:ascii="Arial" w:eastAsia="Times New Roman" w:hAnsi="Arial" w:cs="Arial"/>
      <w:color w:val="002469"/>
      <w:spacing w:val="40"/>
      <w:w w:val="90"/>
      <w:sz w:val="48"/>
      <w:szCs w:val="48"/>
      <w:lang w:val="en-GB" w:eastAsia="en-GB"/>
    </w:rPr>
  </w:style>
  <w:style w:type="paragraph" w:styleId="Subtitle">
    <w:name w:val="Subtitle"/>
    <w:basedOn w:val="Title"/>
    <w:next w:val="Normal"/>
    <w:link w:val="SubtitleChar"/>
    <w:rsid w:val="00EC6FAD"/>
    <w:pPr>
      <w:spacing w:before="360" w:line="600" w:lineRule="atLeast"/>
    </w:pPr>
    <w:rPr>
      <w:sz w:val="36"/>
      <w:szCs w:val="36"/>
    </w:rPr>
  </w:style>
  <w:style w:type="character" w:customStyle="1" w:styleId="SubtitleChar">
    <w:name w:val="Subtitle Char"/>
    <w:link w:val="Subtitle"/>
    <w:rsid w:val="00EC6FAD"/>
    <w:rPr>
      <w:rFonts w:ascii="Arial" w:eastAsia="Times New Roman" w:hAnsi="Arial" w:cs="Arial"/>
      <w:color w:val="002469"/>
      <w:spacing w:val="40"/>
      <w:w w:val="90"/>
      <w:sz w:val="36"/>
      <w:szCs w:val="36"/>
      <w:lang w:val="en-GB" w:eastAsia="en-GB"/>
    </w:rPr>
  </w:style>
  <w:style w:type="paragraph" w:customStyle="1" w:styleId="TableText">
    <w:name w:val="Table Text"/>
    <w:basedOn w:val="Normal"/>
    <w:rsid w:val="00EC6FAD"/>
    <w:pPr>
      <w:autoSpaceDE w:val="0"/>
      <w:autoSpaceDN w:val="0"/>
      <w:adjustRightInd w:val="0"/>
      <w:spacing w:before="60" w:after="60"/>
    </w:pPr>
    <w:rPr>
      <w:rFonts w:cs="GillSans"/>
      <w:sz w:val="20"/>
      <w:szCs w:val="22"/>
      <w:lang w:eastAsia="en-AU"/>
    </w:rPr>
  </w:style>
  <w:style w:type="paragraph" w:customStyle="1" w:styleId="tablespacer">
    <w:name w:val="table_spacer"/>
    <w:basedOn w:val="Normal"/>
    <w:next w:val="Normal"/>
    <w:rsid w:val="00EC6FAD"/>
    <w:pPr>
      <w:keepNext/>
      <w:spacing w:after="0" w:line="240" w:lineRule="auto"/>
    </w:pPr>
    <w:rPr>
      <w:sz w:val="20"/>
    </w:rPr>
  </w:style>
  <w:style w:type="paragraph" w:styleId="TOC1">
    <w:name w:val="toc 1"/>
    <w:basedOn w:val="Normal"/>
    <w:next w:val="Normal"/>
    <w:uiPriority w:val="39"/>
    <w:rsid w:val="00EC6FAD"/>
    <w:pPr>
      <w:tabs>
        <w:tab w:val="right" w:leader="dot" w:pos="9214"/>
      </w:tabs>
      <w:spacing w:before="240" w:after="120"/>
      <w:ind w:left="284" w:right="284"/>
    </w:pPr>
    <w:rPr>
      <w:bCs/>
      <w:noProof/>
      <w:sz w:val="24"/>
      <w:szCs w:val="44"/>
    </w:rPr>
  </w:style>
  <w:style w:type="paragraph" w:styleId="TOC2">
    <w:name w:val="toc 2"/>
    <w:basedOn w:val="Normal"/>
    <w:next w:val="Normal"/>
    <w:uiPriority w:val="39"/>
    <w:rsid w:val="00EC6FAD"/>
    <w:pPr>
      <w:tabs>
        <w:tab w:val="right" w:leader="dot" w:pos="9214"/>
      </w:tabs>
      <w:spacing w:before="100" w:after="100"/>
      <w:ind w:left="709" w:right="284"/>
    </w:pPr>
    <w:rPr>
      <w:noProof/>
      <w:sz w:val="24"/>
    </w:rPr>
  </w:style>
  <w:style w:type="paragraph" w:styleId="TOC3">
    <w:name w:val="toc 3"/>
    <w:basedOn w:val="Normal"/>
    <w:next w:val="Normal"/>
    <w:semiHidden/>
    <w:rsid w:val="00EC6FAD"/>
    <w:pPr>
      <w:tabs>
        <w:tab w:val="left" w:leader="dot" w:pos="8646"/>
        <w:tab w:val="right" w:pos="9072"/>
      </w:tabs>
      <w:ind w:left="1418" w:right="850"/>
    </w:pPr>
  </w:style>
  <w:style w:type="paragraph" w:customStyle="1" w:styleId="TableHeadings">
    <w:name w:val="Table Headings"/>
    <w:basedOn w:val="Normal"/>
    <w:qFormat/>
    <w:rsid w:val="00EC6FAD"/>
    <w:pPr>
      <w:spacing w:before="60" w:after="60"/>
    </w:pPr>
    <w:rPr>
      <w:rFonts w:cs="Arial"/>
      <w:b/>
      <w:color w:val="000000"/>
    </w:rPr>
  </w:style>
  <w:style w:type="paragraph" w:customStyle="1" w:styleId="Bulletlistlevel2">
    <w:name w:val="Bullet list level 2"/>
    <w:basedOn w:val="Normal"/>
    <w:qFormat/>
    <w:rsid w:val="00800DEC"/>
    <w:pPr>
      <w:numPr>
        <w:ilvl w:val="1"/>
        <w:numId w:val="26"/>
      </w:numPr>
      <w:spacing w:after="180" w:line="280" w:lineRule="exact"/>
      <w:ind w:left="568" w:hanging="284"/>
    </w:pPr>
    <w:rPr>
      <w:rFonts w:cs="Arial"/>
      <w:lang w:eastAsia="en-AU"/>
    </w:rPr>
  </w:style>
  <w:style w:type="paragraph" w:customStyle="1" w:styleId="BodyText-Numbered">
    <w:name w:val="Body Text - Numbered"/>
    <w:basedOn w:val="BodyText"/>
    <w:link w:val="BodyText-NumberedChar"/>
    <w:qFormat/>
    <w:rsid w:val="008A56EB"/>
    <w:pPr>
      <w:keepNext/>
      <w:numPr>
        <w:numId w:val="35"/>
      </w:numPr>
      <w:spacing w:before="60" w:line="240" w:lineRule="auto"/>
    </w:pPr>
    <w:rPr>
      <w:rFonts w:cs="Arial"/>
    </w:rPr>
  </w:style>
  <w:style w:type="character" w:customStyle="1" w:styleId="BodyText-NumberedChar">
    <w:name w:val="Body Text - Numbered Char"/>
    <w:link w:val="BodyText-Numbered"/>
    <w:rsid w:val="008A56EB"/>
    <w:rPr>
      <w:rFonts w:ascii="Arial" w:eastAsia="Times New Roman" w:hAnsi="Arial" w:cs="Arial"/>
      <w:sz w:val="22"/>
      <w:lang w:val="en-GB" w:eastAsia="en-GB"/>
    </w:rPr>
  </w:style>
  <w:style w:type="paragraph" w:customStyle="1" w:styleId="Tablebullet">
    <w:name w:val="Table bullet"/>
    <w:basedOn w:val="Normal"/>
    <w:qFormat/>
    <w:rsid w:val="008A56EB"/>
    <w:pPr>
      <w:numPr>
        <w:numId w:val="36"/>
      </w:numPr>
      <w:autoSpaceDE w:val="0"/>
      <w:autoSpaceDN w:val="0"/>
      <w:adjustRightInd w:val="0"/>
      <w:spacing w:before="60" w:after="60"/>
    </w:pPr>
    <w:rPr>
      <w:rFonts w:cs="GillSans"/>
      <w:szCs w:val="22"/>
      <w:lang w:eastAsia="en-AU"/>
    </w:rPr>
  </w:style>
  <w:style w:type="paragraph" w:styleId="BodyText">
    <w:name w:val="Body Text"/>
    <w:basedOn w:val="Normal"/>
    <w:link w:val="BodyTextChar"/>
    <w:uiPriority w:val="99"/>
    <w:semiHidden/>
    <w:unhideWhenUsed/>
    <w:rsid w:val="008A56EB"/>
    <w:pPr>
      <w:spacing w:after="120"/>
    </w:pPr>
  </w:style>
  <w:style w:type="character" w:customStyle="1" w:styleId="BodyTextChar">
    <w:name w:val="Body Text Char"/>
    <w:link w:val="BodyText"/>
    <w:uiPriority w:val="99"/>
    <w:semiHidden/>
    <w:rsid w:val="008A56EB"/>
    <w:rPr>
      <w:rFonts w:ascii="Arial" w:eastAsia="Times New Roman" w:hAnsi="Arial"/>
      <w:sz w:val="22"/>
      <w:lang w:val="en-GB" w:eastAsia="en-GB"/>
    </w:rPr>
  </w:style>
  <w:style w:type="paragraph" w:customStyle="1" w:styleId="ReportBody-MOH">
    <w:name w:val="Report Body - MOH"/>
    <w:basedOn w:val="Normal"/>
    <w:link w:val="ReportBody-MOHChar"/>
    <w:qFormat/>
    <w:rsid w:val="0082483F"/>
    <w:pPr>
      <w:numPr>
        <w:numId w:val="38"/>
      </w:numPr>
      <w:spacing w:before="120" w:after="120" w:line="240" w:lineRule="auto"/>
      <w:ind w:right="284"/>
    </w:pPr>
    <w:rPr>
      <w:rFonts w:ascii="Segoe UI" w:hAnsi="Segoe UI" w:cs="Arial"/>
      <w:kern w:val="22"/>
      <w:szCs w:val="22"/>
      <w:lang w:eastAsia="en-NZ"/>
    </w:rPr>
  </w:style>
  <w:style w:type="paragraph" w:customStyle="1" w:styleId="ReportBody2-MOH">
    <w:name w:val="Report Body 2 - MOH"/>
    <w:basedOn w:val="ReportBody-MOH"/>
    <w:qFormat/>
    <w:rsid w:val="0082483F"/>
    <w:pPr>
      <w:numPr>
        <w:ilvl w:val="1"/>
      </w:numPr>
      <w:tabs>
        <w:tab w:val="num" w:pos="360"/>
        <w:tab w:val="num" w:pos="1440"/>
      </w:tabs>
      <w:ind w:left="1440" w:hanging="360"/>
    </w:pPr>
  </w:style>
  <w:style w:type="character" w:customStyle="1" w:styleId="ReportBody-MOHChar">
    <w:name w:val="Report Body - MOH Char"/>
    <w:link w:val="ReportBody-MOH"/>
    <w:rsid w:val="0082483F"/>
    <w:rPr>
      <w:rFonts w:ascii="Segoe UI" w:eastAsia="Times New Roman" w:hAnsi="Segoe UI" w:cs="Arial"/>
      <w:kern w:val="22"/>
      <w:sz w:val="22"/>
      <w:szCs w:val="22"/>
    </w:rPr>
  </w:style>
  <w:style w:type="paragraph" w:styleId="NormalWeb">
    <w:name w:val="Normal (Web)"/>
    <w:basedOn w:val="Normal"/>
    <w:uiPriority w:val="99"/>
    <w:semiHidden/>
    <w:unhideWhenUsed/>
    <w:rsid w:val="0082483F"/>
    <w:pPr>
      <w:spacing w:before="100" w:beforeAutospacing="1" w:after="100" w:afterAutospacing="1" w:line="240" w:lineRule="auto"/>
    </w:pPr>
    <w:rPr>
      <w:rFonts w:ascii="Times New Roman" w:hAnsi="Times New Roman"/>
      <w:sz w:val="24"/>
      <w:szCs w:val="24"/>
      <w:lang w:eastAsia="en-NZ"/>
    </w:rPr>
  </w:style>
  <w:style w:type="paragraph" w:customStyle="1" w:styleId="TableText0">
    <w:name w:val="TableText"/>
    <w:basedOn w:val="Normal"/>
    <w:qFormat/>
    <w:rsid w:val="0082483F"/>
    <w:pPr>
      <w:spacing w:before="60" w:after="60" w:line="240" w:lineRule="auto"/>
    </w:pPr>
    <w:rPr>
      <w:sz w:val="18"/>
    </w:rPr>
  </w:style>
  <w:style w:type="paragraph" w:customStyle="1" w:styleId="Number">
    <w:name w:val="Number"/>
    <w:basedOn w:val="Normal"/>
    <w:qFormat/>
    <w:rsid w:val="0006538D"/>
    <w:pPr>
      <w:numPr>
        <w:numId w:val="44"/>
      </w:numPr>
      <w:spacing w:before="240" w:after="0" w:line="264" w:lineRule="auto"/>
    </w:pPr>
    <w:rPr>
      <w:rFonts w:ascii="Georgia" w:hAnsi="Georgia"/>
    </w:rPr>
  </w:style>
  <w:style w:type="paragraph" w:customStyle="1" w:styleId="Letter">
    <w:name w:val="Letter"/>
    <w:basedOn w:val="Normal"/>
    <w:qFormat/>
    <w:rsid w:val="0006538D"/>
    <w:pPr>
      <w:numPr>
        <w:ilvl w:val="1"/>
        <w:numId w:val="44"/>
      </w:numPr>
      <w:spacing w:before="120" w:after="0" w:line="264" w:lineRule="auto"/>
    </w:pPr>
    <w:rPr>
      <w:rFonts w:ascii="Georgia" w:hAnsi="Georgia"/>
    </w:rPr>
  </w:style>
  <w:style w:type="paragraph" w:customStyle="1" w:styleId="Roman">
    <w:name w:val="Roman"/>
    <w:basedOn w:val="Normal"/>
    <w:qFormat/>
    <w:rsid w:val="0006538D"/>
    <w:pPr>
      <w:numPr>
        <w:ilvl w:val="2"/>
        <w:numId w:val="44"/>
      </w:numPr>
      <w:spacing w:before="60" w:after="0" w:line="264" w:lineRule="auto"/>
    </w:pPr>
    <w:rPr>
      <w:rFonts w:ascii="Georgia" w:hAnsi="Georgia"/>
    </w:rPr>
  </w:style>
  <w:style w:type="character" w:customStyle="1" w:styleId="A13">
    <w:name w:val="A13"/>
    <w:uiPriority w:val="99"/>
    <w:rsid w:val="00B64F99"/>
    <w:rPr>
      <w:rFonts w:cs="Roboto"/>
      <w:b/>
      <w:bCs/>
      <w:color w:val="000000"/>
      <w:sz w:val="30"/>
      <w:szCs w:val="30"/>
    </w:rPr>
  </w:style>
  <w:style w:type="paragraph" w:customStyle="1" w:styleId="CabStandard">
    <w:name w:val="CabStandard"/>
    <w:basedOn w:val="Normal"/>
    <w:link w:val="CabStandardChar"/>
    <w:rsid w:val="00B64F99"/>
    <w:pPr>
      <w:spacing w:line="240" w:lineRule="auto"/>
    </w:pPr>
    <w:rPr>
      <w:rFonts w:ascii="Times New Roman" w:hAnsi="Times New Roman"/>
      <w:sz w:val="24"/>
      <w:lang w:eastAsia="ja-JP"/>
    </w:rPr>
  </w:style>
  <w:style w:type="character" w:customStyle="1" w:styleId="CabStandardChar">
    <w:name w:val="CabStandard Char"/>
    <w:link w:val="CabStandard"/>
    <w:rsid w:val="00B64F99"/>
    <w:rPr>
      <w:rFonts w:ascii="Times New Roman" w:eastAsia="Times New Roman" w:hAnsi="Times New Roman"/>
      <w:sz w:val="24"/>
      <w:lang w:val="en-GB" w:eastAsia="ja-JP"/>
    </w:rPr>
  </w:style>
  <w:style w:type="character" w:styleId="Strong">
    <w:name w:val="Strong"/>
    <w:basedOn w:val="DefaultParagraphFont"/>
    <w:uiPriority w:val="22"/>
    <w:qFormat/>
    <w:rsid w:val="002A64F3"/>
    <w:rPr>
      <w:b/>
      <w:bCs/>
    </w:rPr>
  </w:style>
  <w:style w:type="paragraph" w:customStyle="1" w:styleId="Default">
    <w:name w:val="Default"/>
    <w:rsid w:val="002A64F3"/>
    <w:pPr>
      <w:autoSpaceDE w:val="0"/>
      <w:autoSpaceDN w:val="0"/>
      <w:adjustRightInd w:val="0"/>
    </w:pPr>
    <w:rPr>
      <w:rFonts w:ascii="Arial" w:eastAsiaTheme="minorHAnsi" w:hAnsi="Arial" w:cs="Arial"/>
      <w:color w:val="000000"/>
      <w:sz w:val="24"/>
      <w:szCs w:val="24"/>
      <w:lang w:eastAsia="en-US"/>
    </w:rPr>
  </w:style>
  <w:style w:type="character" w:customStyle="1" w:styleId="pagesnum">
    <w:name w:val="pagesnum"/>
    <w:basedOn w:val="DefaultParagraphFont"/>
    <w:rsid w:val="002A64F3"/>
  </w:style>
  <w:style w:type="character" w:customStyle="1" w:styleId="ff2">
    <w:name w:val="ff2"/>
    <w:basedOn w:val="DefaultParagraphFont"/>
    <w:rsid w:val="002A64F3"/>
  </w:style>
  <w:style w:type="character" w:customStyle="1" w:styleId="ls0">
    <w:name w:val="ls0"/>
    <w:basedOn w:val="DefaultParagraphFont"/>
    <w:rsid w:val="002A64F3"/>
  </w:style>
  <w:style w:type="paragraph" w:styleId="Revision">
    <w:name w:val="Revision"/>
    <w:hidden/>
    <w:uiPriority w:val="99"/>
    <w:semiHidden/>
    <w:rsid w:val="001F5538"/>
    <w:rPr>
      <w:rFonts w:ascii="Arial" w:eastAsia="Times New Roman" w:hAnsi="Arial"/>
      <w:sz w:val="22"/>
      <w:lang w:eastAsia="en-GB"/>
    </w:rPr>
  </w:style>
  <w:style w:type="paragraph" w:styleId="ListBullet">
    <w:name w:val="List Bullet"/>
    <w:basedOn w:val="Normal"/>
    <w:uiPriority w:val="99"/>
    <w:unhideWhenUsed/>
    <w:rsid w:val="008931C3"/>
    <w:pPr>
      <w:numPr>
        <w:numId w:val="47"/>
      </w:numPr>
      <w:contextualSpacing/>
    </w:pPr>
  </w:style>
  <w:style w:type="character" w:styleId="Emphasis">
    <w:name w:val="Emphasis"/>
    <w:basedOn w:val="DefaultParagraphFont"/>
    <w:uiPriority w:val="20"/>
    <w:qFormat/>
    <w:rsid w:val="00A10730"/>
    <w:rPr>
      <w:i/>
      <w:iCs/>
    </w:rPr>
  </w:style>
  <w:style w:type="character" w:styleId="UnresolvedMention">
    <w:name w:val="Unresolved Mention"/>
    <w:basedOn w:val="DefaultParagraphFont"/>
    <w:uiPriority w:val="99"/>
    <w:semiHidden/>
    <w:unhideWhenUsed/>
    <w:rsid w:val="002F4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828545">
      <w:bodyDiv w:val="1"/>
      <w:marLeft w:val="0"/>
      <w:marRight w:val="0"/>
      <w:marTop w:val="0"/>
      <w:marBottom w:val="0"/>
      <w:divBdr>
        <w:top w:val="none" w:sz="0" w:space="0" w:color="auto"/>
        <w:left w:val="none" w:sz="0" w:space="0" w:color="auto"/>
        <w:bottom w:val="none" w:sz="0" w:space="0" w:color="auto"/>
        <w:right w:val="none" w:sz="0" w:space="0" w:color="auto"/>
      </w:divBdr>
    </w:div>
    <w:div w:id="912741077">
      <w:bodyDiv w:val="1"/>
      <w:marLeft w:val="0"/>
      <w:marRight w:val="0"/>
      <w:marTop w:val="0"/>
      <w:marBottom w:val="0"/>
      <w:divBdr>
        <w:top w:val="none" w:sz="0" w:space="0" w:color="auto"/>
        <w:left w:val="none" w:sz="0" w:space="0" w:color="auto"/>
        <w:bottom w:val="none" w:sz="0" w:space="0" w:color="auto"/>
        <w:right w:val="none" w:sz="0" w:space="0" w:color="auto"/>
      </w:divBdr>
    </w:div>
    <w:div w:id="1358434029">
      <w:bodyDiv w:val="1"/>
      <w:marLeft w:val="0"/>
      <w:marRight w:val="0"/>
      <w:marTop w:val="0"/>
      <w:marBottom w:val="0"/>
      <w:divBdr>
        <w:top w:val="none" w:sz="0" w:space="0" w:color="auto"/>
        <w:left w:val="none" w:sz="0" w:space="0" w:color="auto"/>
        <w:bottom w:val="none" w:sz="0" w:space="0" w:color="auto"/>
        <w:right w:val="none" w:sz="0" w:space="0" w:color="auto"/>
      </w:divBdr>
    </w:div>
    <w:div w:id="1413430114">
      <w:bodyDiv w:val="1"/>
      <w:marLeft w:val="0"/>
      <w:marRight w:val="0"/>
      <w:marTop w:val="0"/>
      <w:marBottom w:val="0"/>
      <w:divBdr>
        <w:top w:val="none" w:sz="0" w:space="0" w:color="auto"/>
        <w:left w:val="none" w:sz="0" w:space="0" w:color="auto"/>
        <w:bottom w:val="none" w:sz="0" w:space="0" w:color="auto"/>
        <w:right w:val="none" w:sz="0" w:space="0" w:color="auto"/>
      </w:divBdr>
    </w:div>
    <w:div w:id="204236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t.nz/system/files/documents/pages/cabinet-paper-8-april-2016.pdf" TargetMode="External"/><Relationship Id="rId18" Type="http://schemas.openxmlformats.org/officeDocument/2006/relationships/hyperlink" Target="about:blank" TargetMode="External"/><Relationship Id="rId26" Type="http://schemas.openxmlformats.org/officeDocument/2006/relationships/hyperlink" Target="https://www.parliament.nz/resource/en-NZ/52SCHE_ADV_94933_HE8844/87a2d74c9de673f4a8db2eabf3d8b1a8ca7ea7d4" TargetMode="External"/><Relationship Id="rId39" Type="http://schemas.openxmlformats.org/officeDocument/2006/relationships/chart" Target="charts/chart2.xml"/><Relationship Id="rId3" Type="http://schemas.openxmlformats.org/officeDocument/2006/relationships/customXml" Target="../customXml/item3.xml"/><Relationship Id="rId21" Type="http://schemas.openxmlformats.org/officeDocument/2006/relationships/hyperlink" Target="https://www.ncbi.nlm.nih.gov/pubmed/20589676" TargetMode="External"/><Relationship Id="rId34" Type="http://schemas.openxmlformats.org/officeDocument/2006/relationships/hyperlink" Target="https://forms.justice.govt.nz/search/Documents/WT/wt_DOC_155808738/Wai%202575%2C%20B030.pdf"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ncbi.nlm.nih.gov/pubmed/15767332" TargetMode="External"/><Relationship Id="rId17" Type="http://schemas.openxmlformats.org/officeDocument/2006/relationships/hyperlink" Target="https://www.federalregister.gov/documents/2018/03/16/2018-05345/tobacco-product-standard-for-nicotine-level-of-combusted-cigarettes" TargetMode="External"/><Relationship Id="rId25" Type="http://schemas.openxmlformats.org/officeDocument/2006/relationships/hyperlink" Target="https://minhealthnz.shinyapps.io/nz-health-survey-2019-20-annual-data-explorer/" TargetMode="External"/><Relationship Id="rId33" Type="http://schemas.openxmlformats.org/officeDocument/2006/relationships/hyperlink" Target="http://www.tobaccoinaustralia.org.au/chapter-10-tobacco-industry/10-16-the-environmental-impact-of-tobacco-use" TargetMode="External"/><Relationship Id="rId38"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untobaccocontrol.org/impldb/european-union-ban-on-flavoured-tobacco-products/" TargetMode="External"/><Relationship Id="rId20" Type="http://schemas.openxmlformats.org/officeDocument/2006/relationships/hyperlink" Target="http://tobaccocontrol.bmj.com/content/tobaccocontrol/26/6/709.full.pdf" TargetMode="External"/><Relationship Id="rId29" Type="http://schemas.openxmlformats.org/officeDocument/2006/relationships/hyperlink" Target="https://www.parliament.nz/resource/en-NZ/49DBHOH_PAP21175_1/9f015010d386fe11050cddfbb468c2a3f5b0cb89"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3n8a8pro7vhmx.cloudfront.net/ashnz/pages/70/attachments/original/1583197940/2019_ASH_Y10_Snapshot_Topline_smoking_FINAL.pdf?1583197940" TargetMode="External"/><Relationship Id="rId24" Type="http://schemas.openxmlformats.org/officeDocument/2006/relationships/hyperlink" Target="https://www.parliament.nz/resource/en-NZ/52SCHE_ADV_94933_HE8844/87a2d74c9de673f4a8db2eabf3d8b1a8ca7ea7d4" TargetMode="External"/><Relationship Id="rId32" Type="http://schemas.openxmlformats.org/officeDocument/2006/relationships/hyperlink" Target="https://aspire2025.files.wordpress.com/2017/08/asap-main-report-for-web2.pdf" TargetMode="External"/><Relationship Id="rId37" Type="http://schemas.openxmlformats.org/officeDocument/2006/relationships/chart" Target="charts/chart1.xml"/><Relationship Id="rId40"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s://ec.europa.eu/health/sites/health/files/tobacco/docs/dir_201440_en.pdf" TargetMode="External"/><Relationship Id="rId23" Type="http://schemas.openxmlformats.org/officeDocument/2006/relationships/hyperlink" Target="https://doi.org/10.18001/TRS.5.5.1" TargetMode="External"/><Relationship Id="rId28" Type="http://schemas.openxmlformats.org/officeDocument/2006/relationships/hyperlink" Target="https://www.parliament.nz/resource/en-NZ/49DBSCH_SCR4900_1/2fc4d36b0fbdfed73f3b4694e084a5935cf967bb" TargetMode="External"/><Relationship Id="rId36" Type="http://schemas.openxmlformats.org/officeDocument/2006/relationships/hyperlink" Target="http://apps.who.int/iris/bitstream/10665/205928/1/9789241510332_eng.pdf.%20Page%2012-13" TargetMode="External"/><Relationship Id="rId10" Type="http://schemas.openxmlformats.org/officeDocument/2006/relationships/endnotes" Target="endnotes.xml"/><Relationship Id="rId19" Type="http://schemas.openxmlformats.org/officeDocument/2006/relationships/hyperlink" Target="https://www.knzb.org.nz/wp-content/uploads/2020/04/KNZB-NLA-report-Online_020420.pdf" TargetMode="External"/><Relationship Id="rId31" Type="http://schemas.openxmlformats.org/officeDocument/2006/relationships/hyperlink" Target="https://aspire2025.files.wordpress.com/2017/08/asap-evidence-feasibilty-review-for-web-final-24-aug.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zma.org.nz/journal-articles/majority-support-among-the-public-youth-and-smokers-for-retail-level-controls-to-help-end-tobacco-use-in-new-zealand" TargetMode="External"/><Relationship Id="rId22" Type="http://schemas.openxmlformats.org/officeDocument/2006/relationships/hyperlink" Target="https://doi.org/10.1016/j.healthplace.2013.07.003" TargetMode="External"/><Relationship Id="rId27" Type="http://schemas.openxmlformats.org/officeDocument/2006/relationships/hyperlink" Target="https://www.health.govt.nz/system/files/documents/pages/exploring-why-young-maori-women-smoke-final-10october2017.pdf" TargetMode="External"/><Relationship Id="rId30" Type="http://schemas.openxmlformats.org/officeDocument/2006/relationships/hyperlink" Target="https://www.rwjf.org/en/library/articles-and-news/2018/07/comments-from-richard-besser-on-advanced-notice-of-proposed-rulemaking-regarding-maximum-nicotine-level-for-tobacco-products.html" TargetMode="External"/><Relationship Id="rId35" Type="http://schemas.openxmlformats.org/officeDocument/2006/relationships/hyperlink" Target="https://www.who.int/fctc/text_download/en/"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who.int/fctc/guidelines/Guideliness_Articles_9_10_rev_240613.pdf" TargetMode="External"/><Relationship Id="rId2" Type="http://schemas.openxmlformats.org/officeDocument/2006/relationships/hyperlink" Target="http://www.tobacco21.com.au/" TargetMode="External"/><Relationship Id="rId1" Type="http://schemas.openxmlformats.org/officeDocument/2006/relationships/hyperlink" Target="https://tobacco21.org/" TargetMode="External"/><Relationship Id="rId5" Type="http://schemas.openxmlformats.org/officeDocument/2006/relationships/hyperlink" Target="https://www.newshub.co.nz/home/politics/2020/12/smokefree-2025-government-hasn-t-even-finished-draft-for-anti-smoking-plan-after-9-years.html" TargetMode="External"/><Relationship Id="rId4" Type="http://schemas.openxmlformats.org/officeDocument/2006/relationships/hyperlink" Target="https://aspire2025.org.nz/"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Notes.Link!E6A27500FA7325CC5E296B42C1326FC231BE6F003B7025CCCCC7C00E263E465D30A906000A8625CC0800200000004558543232323639546F626163636F20436F6E74726F6C2050726F6772616D6D652046696C696E67"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Notes.Link!E6A27500FA7325CC5E296B42C1326FC231BE6F003B7025CC6E52E544DF42E715E58F0A00C38525CC0800200000004558543333383338546F626163636F20436F6E74726F6C2050726F6772616D6D652046696C696E67"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lineChart>
        <c:grouping val="standard"/>
        <c:varyColors val="0"/>
        <c:ser>
          <c:idx val="1"/>
          <c:order val="0"/>
          <c:tx>
            <c:v>Cigarettes</c:v>
          </c:tx>
          <c:spPr>
            <a:ln w="28575" cap="rnd">
              <a:solidFill>
                <a:schemeClr val="accent5"/>
              </a:solidFill>
              <a:round/>
            </a:ln>
            <a:effectLst/>
          </c:spPr>
          <c:marker>
            <c:symbol val="none"/>
          </c:marker>
          <c:cat>
            <c:numRef>
              <c:f>'[Worksheet in (Read-Only) Tobacco returns - peer review](8) Tobacco product sales'!$A$6:$A$15</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'[Worksheet in (Read-Only) Tobacco returns - peer review](8) Tobacco product sales'!$C$6:$C$15</c:f>
              <c:numCache>
                <c:formatCode>0</c:formatCode>
                <c:ptCount val="10"/>
                <c:pt idx="0">
                  <c:v>1554</c:v>
                </c:pt>
                <c:pt idx="1">
                  <c:v>1458.1</c:v>
                </c:pt>
                <c:pt idx="2">
                  <c:v>1411.8999999999999</c:v>
                </c:pt>
                <c:pt idx="3">
                  <c:v>1320.1999999999998</c:v>
                </c:pt>
                <c:pt idx="4">
                  <c:v>1301.3</c:v>
                </c:pt>
                <c:pt idx="5">
                  <c:v>1267</c:v>
                </c:pt>
                <c:pt idx="6">
                  <c:v>1254</c:v>
                </c:pt>
                <c:pt idx="7">
                  <c:v>1218</c:v>
                </c:pt>
                <c:pt idx="8" formatCode="General">
                  <c:v>1163</c:v>
                </c:pt>
                <c:pt idx="9">
                  <c:v>1045.7423199999998</c:v>
                </c:pt>
              </c:numCache>
            </c:numRef>
          </c:val>
          <c:smooth val="0"/>
          <c:extLst>
            <c:ext xmlns:c16="http://schemas.microsoft.com/office/drawing/2014/chart" uri="{C3380CC4-5D6E-409C-BE32-E72D297353CC}">
              <c16:uniqueId val="{00000000-A6CC-4C65-9A93-F45A9547FBA5}"/>
            </c:ext>
          </c:extLst>
        </c:ser>
        <c:ser>
          <c:idx val="2"/>
          <c:order val="1"/>
          <c:tx>
            <c:v>Roll-your-own tobacco</c:v>
          </c:tx>
          <c:spPr>
            <a:ln w="28575" cap="rnd">
              <a:solidFill>
                <a:schemeClr val="accent5">
                  <a:tint val="65000"/>
                </a:schemeClr>
              </a:solidFill>
              <a:round/>
            </a:ln>
            <a:effectLst/>
          </c:spPr>
          <c:marker>
            <c:symbol val="none"/>
          </c:marker>
          <c:cat>
            <c:numRef>
              <c:f>'[Worksheet in (Read-Only) Tobacco returns - peer review](8) Tobacco product sales'!$A$6:$A$15</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'[Worksheet in (Read-Only) Tobacco returns - peer review](8) Tobacco product sales'!$D$6:$D$15</c:f>
              <c:numCache>
                <c:formatCode>General</c:formatCode>
                <c:ptCount val="10"/>
                <c:pt idx="0">
                  <c:v>735</c:v>
                </c:pt>
                <c:pt idx="1">
                  <c:v>641</c:v>
                </c:pt>
                <c:pt idx="2">
                  <c:v>632</c:v>
                </c:pt>
                <c:pt idx="3">
                  <c:v>582</c:v>
                </c:pt>
                <c:pt idx="4">
                  <c:v>553</c:v>
                </c:pt>
                <c:pt idx="5">
                  <c:v>519</c:v>
                </c:pt>
                <c:pt idx="6">
                  <c:v>512</c:v>
                </c:pt>
                <c:pt idx="7" formatCode="0">
                  <c:v>468</c:v>
                </c:pt>
                <c:pt idx="8">
                  <c:v>454</c:v>
                </c:pt>
                <c:pt idx="9" formatCode="0">
                  <c:v>440.62200000000001</c:v>
                </c:pt>
              </c:numCache>
            </c:numRef>
          </c:val>
          <c:smooth val="0"/>
          <c:extLst>
            <c:ext xmlns:c16="http://schemas.microsoft.com/office/drawing/2014/chart" uri="{C3380CC4-5D6E-409C-BE32-E72D297353CC}">
              <c16:uniqueId val="{00000001-A6CC-4C65-9A93-F45A9547FBA5}"/>
            </c:ext>
          </c:extLst>
        </c:ser>
        <c:dLbls>
          <c:showLegendKey val="0"/>
          <c:showVal val="0"/>
          <c:showCatName val="0"/>
          <c:showSerName val="0"/>
          <c:showPercent val="0"/>
          <c:showBubbleSize val="0"/>
        </c:dLbls>
        <c:smooth val="0"/>
        <c:axId val="181952000"/>
        <c:axId val="110078208"/>
      </c:lineChart>
      <c:catAx>
        <c:axId val="1819520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078208"/>
        <c:crosses val="autoZero"/>
        <c:auto val="1"/>
        <c:lblAlgn val="ctr"/>
        <c:lblOffset val="100"/>
        <c:noMultiLvlLbl val="0"/>
      </c:catAx>
      <c:valAx>
        <c:axId val="1100782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Tobacco</a:t>
                </a:r>
                <a:r>
                  <a:rPr lang="en-NZ" baseline="0"/>
                  <a:t> released for sale (tonnes)</a:t>
                </a:r>
                <a:endParaRPr lang="en-NZ"/>
              </a:p>
            </c:rich>
          </c:tx>
          <c:layout>
            <c:manualLayout>
              <c:xMode val="edge"/>
              <c:yMode val="edge"/>
              <c:x val="2.2222222222222223E-2"/>
              <c:y val="0.17675925925925923"/>
            </c:manualLayout>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952000"/>
        <c:crosses val="autoZero"/>
        <c:crossBetween val="between"/>
        <c:majorUnit val="5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Tobacco</a:t>
            </a:r>
            <a:r>
              <a:rPr lang="en-NZ" baseline="0"/>
              <a:t> consumption trends, 2004-2019</a:t>
            </a:r>
            <a:endParaRPr lang="en-NZ"/>
          </a:p>
        </c:rich>
      </c:tx>
      <c:overlay val="0"/>
      <c:spPr>
        <a:noFill/>
        <a:ln>
          <a:noFill/>
        </a:ln>
        <a:effectLst/>
      </c:spPr>
    </c:title>
    <c:autoTitleDeleted val="0"/>
    <c:plotArea>
      <c:layout/>
      <c:lineChart>
        <c:grouping val="standard"/>
        <c:varyColors val="0"/>
        <c:ser>
          <c:idx val="1"/>
          <c:order val="0"/>
          <c:spPr>
            <a:ln w="28575" cap="rnd">
              <a:solidFill>
                <a:schemeClr val="accent6">
                  <a:shade val="76000"/>
                </a:schemeClr>
              </a:solidFill>
              <a:round/>
            </a:ln>
            <a:effectLst/>
          </c:spPr>
          <c:marker>
            <c:symbol val="none"/>
          </c:marker>
          <c:cat>
            <c:numRef>
              <c:f>'[Worksheet in (Read-Only) 2019 Tobacco Returns](9) Total consumption trends'!$A$6:$A$21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'[Worksheet in (Read-Only) 2019 Tobacco Returns](9) Total consumption trends'!$G$6:$G$21</c:f>
              <c:numCache>
                <c:formatCode>0</c:formatCode>
                <c:ptCount val="16"/>
                <c:pt idx="0">
                  <c:v>1103.4979037607159</c:v>
                </c:pt>
                <c:pt idx="1">
                  <c:v>1086.293477925999</c:v>
                </c:pt>
                <c:pt idx="2">
                  <c:v>1075.0144083477417</c:v>
                </c:pt>
                <c:pt idx="3">
                  <c:v>1042.8785607196403</c:v>
                </c:pt>
                <c:pt idx="4">
                  <c:v>1059.5888783269961</c:v>
                </c:pt>
                <c:pt idx="5">
                  <c:v>1023.4660600439017</c:v>
                </c:pt>
                <c:pt idx="6">
                  <c:v>964.13020941322839</c:v>
                </c:pt>
                <c:pt idx="7">
                  <c:v>858.63069550278249</c:v>
                </c:pt>
                <c:pt idx="8">
                  <c:v>818.13952729172115</c:v>
                </c:pt>
                <c:pt idx="9">
                  <c:v>768.55979841054477</c:v>
                </c:pt>
                <c:pt idx="10">
                  <c:v>742.12584373041875</c:v>
                </c:pt>
                <c:pt idx="11">
                  <c:v>703.64382828764508</c:v>
                </c:pt>
                <c:pt idx="12">
                  <c:v>668.52873719826516</c:v>
                </c:pt>
                <c:pt idx="13">
                  <c:v>623.6106539034846</c:v>
                </c:pt>
                <c:pt idx="14">
                  <c:v>593.36708489250861</c:v>
                </c:pt>
                <c:pt idx="15">
                  <c:v>538.6839527106589</c:v>
                </c:pt>
              </c:numCache>
            </c:numRef>
          </c:val>
          <c:smooth val="0"/>
          <c:extLst>
            <c:ext xmlns:c16="http://schemas.microsoft.com/office/drawing/2014/chart" uri="{C3380CC4-5D6E-409C-BE32-E72D297353CC}">
              <c16:uniqueId val="{00000000-37C1-4A2A-BDBF-3A831F860629}"/>
            </c:ext>
          </c:extLst>
        </c:ser>
        <c:dLbls>
          <c:showLegendKey val="0"/>
          <c:showVal val="0"/>
          <c:showCatName val="0"/>
          <c:showSerName val="0"/>
          <c:showPercent val="0"/>
          <c:showBubbleSize val="0"/>
        </c:dLbls>
        <c:smooth val="0"/>
        <c:axId val="156483584"/>
        <c:axId val="110079936"/>
      </c:lineChart>
      <c:catAx>
        <c:axId val="1564835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079936"/>
        <c:crosses val="autoZero"/>
        <c:auto val="1"/>
        <c:lblAlgn val="ctr"/>
        <c:lblOffset val="100"/>
        <c:noMultiLvlLbl val="0"/>
      </c:catAx>
      <c:valAx>
        <c:axId val="110079936"/>
        <c:scaling>
          <c:orientation val="minMax"/>
          <c:min val="3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Tobacco</a:t>
                </a:r>
                <a:r>
                  <a:rPr lang="en-NZ" baseline="0"/>
                  <a:t> consumption  per capita (cigarettes)</a:t>
                </a:r>
                <a:endParaRPr lang="en-NZ"/>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483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CE386BC9AF254EA333E1F117E1890A" ma:contentTypeVersion="7" ma:contentTypeDescription="Create a new document." ma:contentTypeScope="" ma:versionID="51b2f3580839e3ab0e7f2175ff90b871">
  <xsd:schema xmlns:xsd="http://www.w3.org/2001/XMLSchema" xmlns:xs="http://www.w3.org/2001/XMLSchema" xmlns:p="http://schemas.microsoft.com/office/2006/metadata/properties" xmlns:ns3="6a3d0d7c-4045-43a3-ac19-bbfb8050322a" xmlns:ns4="a02efa24-9c69-4022-8e35-2550932964a7" targetNamespace="http://schemas.microsoft.com/office/2006/metadata/properties" ma:root="true" ma:fieldsID="c3103ee9b21ac3f3dbf6134e4f152af6" ns3:_="" ns4:_="">
    <xsd:import namespace="6a3d0d7c-4045-43a3-ac19-bbfb8050322a"/>
    <xsd:import namespace="a02efa24-9c69-4022-8e35-2550932964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d0d7c-4045-43a3-ac19-bbfb80503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2efa24-9c69-4022-8e35-2550932964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86053-905F-47C8-A722-CEC8A3B1823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02efa24-9c69-4022-8e35-2550932964a7"/>
    <ds:schemaRef ds:uri="http://purl.org/dc/elements/1.1/"/>
    <ds:schemaRef ds:uri="6a3d0d7c-4045-43a3-ac19-bbfb8050322a"/>
    <ds:schemaRef ds:uri="http://www.w3.org/XML/1998/namespace"/>
    <ds:schemaRef ds:uri="http://purl.org/dc/dcmitype/"/>
  </ds:schemaRefs>
</ds:datastoreItem>
</file>

<file path=customXml/itemProps2.xml><?xml version="1.0" encoding="utf-8"?>
<ds:datastoreItem xmlns:ds="http://schemas.openxmlformats.org/officeDocument/2006/customXml" ds:itemID="{02565DDE-244A-44F0-BD1A-EA0069FF67D5}">
  <ds:schemaRefs>
    <ds:schemaRef ds:uri="http://schemas.microsoft.com/sharepoint/v3/contenttype/forms"/>
  </ds:schemaRefs>
</ds:datastoreItem>
</file>

<file path=customXml/itemProps3.xml><?xml version="1.0" encoding="utf-8"?>
<ds:datastoreItem xmlns:ds="http://schemas.openxmlformats.org/officeDocument/2006/customXml" ds:itemID="{C007CEEA-E54B-4BF0-9B17-9C4EDB801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d0d7c-4045-43a3-ac19-bbfb8050322a"/>
    <ds:schemaRef ds:uri="a02efa24-9c69-4022-8e35-255093296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D153E9-4D60-4A86-AC61-8905ACD7E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11329</Words>
  <Characters>64580</Characters>
  <Application>Microsoft Office Word</Application>
  <DocSecurity>4</DocSecurity>
  <Lines>538</Lines>
  <Paragraphs>151</Paragraphs>
  <ScaleCrop>false</ScaleCrop>
  <HeadingPairs>
    <vt:vector size="2" baseType="variant">
      <vt:variant>
        <vt:lpstr>Title</vt:lpstr>
      </vt:variant>
      <vt:variant>
        <vt:i4>1</vt:i4>
      </vt:variant>
    </vt:vector>
  </HeadingPairs>
  <TitlesOfParts>
    <vt:vector size="1" baseType="lpstr">
      <vt:lpstr>Regulatory Impact Assessment - Impact Summary Template</vt:lpstr>
    </vt:vector>
  </TitlesOfParts>
  <Company>NZ Government</Company>
  <LinksUpToDate>false</LinksUpToDate>
  <CharactersWithSpaces>75758</CharactersWithSpaces>
  <SharedDoc>false</SharedDoc>
  <HLinks>
    <vt:vector size="36" baseType="variant">
      <vt:variant>
        <vt:i4>8257662</vt:i4>
      </vt:variant>
      <vt:variant>
        <vt:i4>15</vt:i4>
      </vt:variant>
      <vt:variant>
        <vt:i4>0</vt:i4>
      </vt:variant>
      <vt:variant>
        <vt:i4>5</vt:i4>
      </vt:variant>
      <vt:variant>
        <vt:lpwstr>http://www.treasury.govt.nz/publications/guidance/planning/costbenefitanalysis</vt:lpwstr>
      </vt:variant>
      <vt:variant>
        <vt:lpwstr/>
      </vt:variant>
      <vt:variant>
        <vt:i4>2949239</vt:i4>
      </vt:variant>
      <vt:variant>
        <vt:i4>12</vt:i4>
      </vt:variant>
      <vt:variant>
        <vt:i4>0</vt:i4>
      </vt:variant>
      <vt:variant>
        <vt:i4>5</vt:i4>
      </vt:variant>
      <vt:variant>
        <vt:lpwstr>http://www.treasury.govt.nz/publications/guidance/planning/costbenefitanalysis/x/x-guide-oct15.pdf</vt:lpwstr>
      </vt:variant>
      <vt:variant>
        <vt:lpwstr/>
      </vt:variant>
      <vt:variant>
        <vt:i4>2687029</vt:i4>
      </vt:variant>
      <vt:variant>
        <vt:i4>9</vt:i4>
      </vt:variant>
      <vt:variant>
        <vt:i4>0</vt:i4>
      </vt:variant>
      <vt:variant>
        <vt:i4>5</vt:i4>
      </vt:variant>
      <vt:variant>
        <vt:lpwstr>http://www.treasury.govt.nz/regulation/expectations</vt:lpwstr>
      </vt:variant>
      <vt:variant>
        <vt:lpwstr/>
      </vt:variant>
      <vt:variant>
        <vt:i4>2687029</vt:i4>
      </vt:variant>
      <vt:variant>
        <vt:i4>6</vt:i4>
      </vt:variant>
      <vt:variant>
        <vt:i4>0</vt:i4>
      </vt:variant>
      <vt:variant>
        <vt:i4>5</vt:i4>
      </vt:variant>
      <vt:variant>
        <vt:lpwstr>http://www.treasury.govt.nz/regulation/expectations</vt:lpwstr>
      </vt:variant>
      <vt:variant>
        <vt:lpwstr/>
      </vt:variant>
      <vt:variant>
        <vt:i4>4128805</vt:i4>
      </vt:variant>
      <vt:variant>
        <vt:i4>3</vt:i4>
      </vt:variant>
      <vt:variant>
        <vt:i4>0</vt:i4>
      </vt:variant>
      <vt:variant>
        <vt:i4>5</vt:i4>
      </vt:variant>
      <vt:variant>
        <vt:lpwstr>http://www.treasury.govt.nz/regulation/regulatoryproposal/ria/handbook</vt:lpwstr>
      </vt:variant>
      <vt:variant>
        <vt:lpwstr/>
      </vt:variant>
      <vt:variant>
        <vt:i4>3801155</vt:i4>
      </vt:variant>
      <vt:variant>
        <vt:i4>0</vt:i4>
      </vt:variant>
      <vt:variant>
        <vt:i4>0</vt:i4>
      </vt:variant>
      <vt:variant>
        <vt:i4>5</vt:i4>
      </vt:variant>
      <vt:variant>
        <vt:lpwstr>mailto:ria@treasury.govt.nz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Impact Assessment - Impact Summary Template</dc:title>
  <dc:creator>New Zealand Treasury</dc:creator>
  <cp:lastModifiedBy>Carolyn Shivanandan</cp:lastModifiedBy>
  <cp:revision>2</cp:revision>
  <cp:lastPrinted>2021-03-29T23:31:00Z</cp:lastPrinted>
  <dcterms:created xsi:type="dcterms:W3CDTF">2021-04-13T23:13:00Z</dcterms:created>
  <dcterms:modified xsi:type="dcterms:W3CDTF">2021-04-13T23:13:00Z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ySecurityClassification">
    <vt:lpwstr>IN-CONFIDENCE</vt:lpwstr>
  </property>
  <property fmtid="{D5CDD505-2E9C-101B-9397-08002B2CF9AE}" pid="3" name="TsyDisplayedSecurityClassification">
    <vt:lpwstr>IN-CONFIDENCE</vt:lpwstr>
  </property>
  <property fmtid="{D5CDD505-2E9C-101B-9397-08002B2CF9AE}" pid="4" name="TsySeemailSecurityClassification">
    <vt:lpwstr> [IN-CONFIDENCE]</vt:lpwstr>
  </property>
  <property fmtid="{D5CDD505-2E9C-101B-9397-08002B2CF9AE}" pid="5" name="TsyDocNum">
    <vt:i4>4068135</vt:i4>
  </property>
  <property fmtid="{D5CDD505-2E9C-101B-9397-08002B2CF9AE}" pid="6" name="TsyDocVer">
    <vt:i4>2</vt:i4>
  </property>
  <property fmtid="{D5CDD505-2E9C-101B-9397-08002B2CF9AE}" pid="7" name="TsyDisplayedDocNumVer">
    <vt:lpwstr>Treasury:4068135v2</vt:lpwstr>
  </property>
  <property fmtid="{D5CDD505-2E9C-101B-9397-08002B2CF9AE}" pid="8" name="TsyFileNo">
    <vt:lpwstr>SH-11-2-7-9</vt:lpwstr>
  </property>
  <property fmtid="{D5CDD505-2E9C-101B-9397-08002B2CF9AE}" pid="9" name="TsyDescription">
    <vt:lpwstr>Final impact-summary-template revised Jan 2019 - Formatted</vt:lpwstr>
  </property>
  <property fmtid="{D5CDD505-2E9C-101B-9397-08002B2CF9AE}" pid="10" name="TsyTrNum">
    <vt:lpwstr> </vt:lpwstr>
  </property>
  <property fmtid="{D5CDD505-2E9C-101B-9397-08002B2CF9AE}" pid="11" name="TsyOiaNum">
    <vt:lpwstr> </vt:lpwstr>
  </property>
  <property fmtid="{D5CDD505-2E9C-101B-9397-08002B2CF9AE}" pid="12" name="TsyManagerUsername">
    <vt:lpwstr> </vt:lpwstr>
  </property>
  <property fmtid="{D5CDD505-2E9C-101B-9397-08002B2CF9AE}" pid="13" name="TsyManagerFullname">
    <vt:lpwstr> </vt:lpwstr>
  </property>
  <property fmtid="{D5CDD505-2E9C-101B-9397-08002B2CF9AE}" pid="14" name="TsyAuthorUsername">
    <vt:lpwstr>CAMERONL</vt:lpwstr>
  </property>
  <property fmtid="{D5CDD505-2E9C-101B-9397-08002B2CF9AE}" pid="15" name="TsyAuthorFullname">
    <vt:lpwstr>Linda Cameron [TSY]</vt:lpwstr>
  </property>
  <property fmtid="{D5CDD505-2E9C-101B-9397-08002B2CF9AE}" pid="16" name="TsyUpdateFooter">
    <vt:bool>true</vt:bool>
  </property>
  <property fmtid="{D5CDD505-2E9C-101B-9397-08002B2CF9AE}" pid="17" name="ContentTypeId">
    <vt:lpwstr>0x01010059CE386BC9AF254EA333E1F117E1890A</vt:lpwstr>
  </property>
</Properties>
</file>