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8B4AB" w14:textId="4933ABE8" w:rsidR="00EF50FD" w:rsidRPr="00A864A5" w:rsidRDefault="00EF50FD" w:rsidP="00EF50FD">
      <w:pPr>
        <w:pStyle w:val="Heading1"/>
        <w:spacing w:before="0" w:after="120" w:line="276" w:lineRule="auto"/>
        <w:rPr>
          <w:color w:val="0082AB"/>
          <w:lang w:val="en-NZ"/>
        </w:rPr>
      </w:pPr>
      <w:bookmarkStart w:id="0" w:name="_GoBack"/>
      <w:bookmarkEnd w:id="0"/>
      <w:r w:rsidRPr="00A864A5">
        <w:rPr>
          <w:color w:val="0082AB"/>
          <w:lang w:val="en-NZ"/>
        </w:rPr>
        <w:t xml:space="preserve">Regulatory Impact Statement: </w:t>
      </w:r>
      <w:r w:rsidR="009D3DD9">
        <w:rPr>
          <w:color w:val="0082AB"/>
          <w:lang w:val="en-NZ"/>
        </w:rPr>
        <w:t>Regulation</w:t>
      </w:r>
      <w:r w:rsidR="00AE1763">
        <w:rPr>
          <w:color w:val="0082AB"/>
          <w:lang w:val="en-NZ"/>
        </w:rPr>
        <w:t xml:space="preserve"> of drug checking services</w:t>
      </w:r>
    </w:p>
    <w:p w14:paraId="3BD94C32" w14:textId="2F835BE6" w:rsidR="0062657E" w:rsidRPr="00A864A5" w:rsidRDefault="0017116F" w:rsidP="00EF50FD">
      <w:pPr>
        <w:pStyle w:val="Heading2"/>
        <w:rPr>
          <w:lang w:val="en-NZ"/>
        </w:rPr>
      </w:pPr>
      <w:r w:rsidRPr="00A864A5">
        <w:rPr>
          <w:lang w:val="en-NZ"/>
        </w:rPr>
        <w:t>Covershee</w:t>
      </w:r>
      <w:r w:rsidR="00EF50FD" w:rsidRPr="00A864A5">
        <w:rPr>
          <w:lang w:val="en-NZ"/>
        </w:rPr>
        <w:t>t</w:t>
      </w:r>
    </w:p>
    <w:p w14:paraId="6DD276F7" w14:textId="7DC5C400" w:rsidR="0062657E" w:rsidRPr="00A864A5" w:rsidRDefault="0062657E" w:rsidP="00743278">
      <w:pPr>
        <w:pStyle w:val="spacer"/>
        <w:rPr>
          <w:lang w:val="en-NZ"/>
        </w:rPr>
      </w:pP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2296"/>
        <w:gridCol w:w="6556"/>
      </w:tblGrid>
      <w:tr w:rsidR="001F29E6" w:rsidRPr="00A864A5" w14:paraId="24CAC5A8" w14:textId="77777777" w:rsidTr="00701229">
        <w:tc>
          <w:tcPr>
            <w:tcW w:w="5000" w:type="pct"/>
            <w:gridSpan w:val="2"/>
            <w:tcBorders>
              <w:bottom w:val="single" w:sz="4" w:space="0" w:color="DDDDDD"/>
            </w:tcBorders>
            <w:shd w:val="clear" w:color="auto" w:fill="99CDDD"/>
            <w:hideMark/>
          </w:tcPr>
          <w:p w14:paraId="3273EFFF" w14:textId="2E160C31" w:rsidR="001F29E6" w:rsidRPr="00A864A5" w:rsidRDefault="001F29E6" w:rsidP="00701229">
            <w:pPr>
              <w:pStyle w:val="TableHeadings"/>
              <w:rPr>
                <w:color w:val="002060"/>
                <w:szCs w:val="22"/>
                <w:lang w:val="en-NZ"/>
              </w:rPr>
            </w:pPr>
            <w:bookmarkStart w:id="1" w:name="_Hlk47357107"/>
            <w:r w:rsidRPr="00A864A5">
              <w:rPr>
                <w:szCs w:val="22"/>
                <w:lang w:val="en-NZ"/>
              </w:rPr>
              <w:t>Purpose</w:t>
            </w:r>
          </w:p>
        </w:tc>
      </w:tr>
      <w:tr w:rsidR="001F29E6" w:rsidRPr="00A864A5" w14:paraId="24C44C49" w14:textId="77777777" w:rsidTr="000C29FA">
        <w:trPr>
          <w:trHeight w:val="414"/>
        </w:trPr>
        <w:tc>
          <w:tcPr>
            <w:tcW w:w="1297" w:type="pct"/>
            <w:tcBorders>
              <w:top w:val="nil"/>
            </w:tcBorders>
            <w:shd w:val="clear" w:color="auto" w:fill="EBF5F8"/>
          </w:tcPr>
          <w:p w14:paraId="120D8478" w14:textId="11B228E3" w:rsidR="001F29E6" w:rsidRPr="00A864A5" w:rsidRDefault="001F29E6" w:rsidP="00701229">
            <w:pPr>
              <w:spacing w:after="180"/>
              <w:rPr>
                <w:rFonts w:cs="Arial"/>
                <w:iCs/>
                <w:color w:val="000000"/>
                <w:szCs w:val="22"/>
                <w:lang w:val="en-NZ"/>
              </w:rPr>
            </w:pPr>
            <w:r w:rsidRPr="00A864A5">
              <w:rPr>
                <w:rFonts w:cs="Arial"/>
                <w:iCs/>
                <w:color w:val="000000"/>
                <w:szCs w:val="22"/>
                <w:lang w:val="en-NZ"/>
              </w:rPr>
              <w:t xml:space="preserve">Decision </w:t>
            </w:r>
            <w:r w:rsidR="00575FF9" w:rsidRPr="00A864A5">
              <w:rPr>
                <w:rFonts w:cs="Arial"/>
                <w:iCs/>
                <w:color w:val="000000"/>
                <w:szCs w:val="22"/>
                <w:lang w:val="en-NZ"/>
              </w:rPr>
              <w:t>S</w:t>
            </w:r>
            <w:r w:rsidRPr="00A864A5">
              <w:rPr>
                <w:rFonts w:cs="Arial"/>
                <w:iCs/>
                <w:color w:val="000000"/>
                <w:szCs w:val="22"/>
                <w:lang w:val="en-NZ"/>
              </w:rPr>
              <w:t>ought:</w:t>
            </w:r>
          </w:p>
        </w:tc>
        <w:tc>
          <w:tcPr>
            <w:tcW w:w="3703" w:type="pct"/>
            <w:tcBorders>
              <w:top w:val="nil"/>
            </w:tcBorders>
            <w:shd w:val="clear" w:color="auto" w:fill="auto"/>
          </w:tcPr>
          <w:p w14:paraId="2B9F992E" w14:textId="5C2A8EB3" w:rsidR="001F29E6" w:rsidRPr="00653211" w:rsidRDefault="00653211" w:rsidP="00701229">
            <w:pPr>
              <w:spacing w:after="180"/>
              <w:rPr>
                <w:rFonts w:cs="Arial"/>
                <w:iCs/>
                <w:color w:val="000000"/>
                <w:szCs w:val="22"/>
                <w:lang w:val="en-NZ"/>
              </w:rPr>
            </w:pPr>
            <w:r w:rsidRPr="00653211">
              <w:rPr>
                <w:rFonts w:cs="Arial"/>
                <w:iCs/>
                <w:color w:val="000000"/>
                <w:szCs w:val="22"/>
                <w:lang w:val="en-NZ"/>
              </w:rPr>
              <w:t>A</w:t>
            </w:r>
            <w:r w:rsidR="0017774D" w:rsidRPr="00653211">
              <w:rPr>
                <w:rFonts w:cs="Arial"/>
                <w:iCs/>
                <w:color w:val="000000"/>
                <w:szCs w:val="22"/>
                <w:lang w:val="en-NZ"/>
              </w:rPr>
              <w:t>greement to amend the Misuse of Drugs Act 1975 and the Psychoactive Substances Act 2013 to enable a permanent system of regulation for drug checking services</w:t>
            </w:r>
          </w:p>
        </w:tc>
      </w:tr>
      <w:tr w:rsidR="001F29E6" w:rsidRPr="00A864A5" w14:paraId="2895A1B0" w14:textId="77777777" w:rsidTr="000C29FA">
        <w:trPr>
          <w:trHeight w:val="506"/>
        </w:trPr>
        <w:tc>
          <w:tcPr>
            <w:tcW w:w="1297" w:type="pct"/>
            <w:tcBorders>
              <w:top w:val="nil"/>
            </w:tcBorders>
            <w:shd w:val="clear" w:color="auto" w:fill="EBF5F8"/>
          </w:tcPr>
          <w:p w14:paraId="19AF4671" w14:textId="691D4CA0" w:rsidR="001F29E6" w:rsidRPr="00A864A5" w:rsidRDefault="001F29E6" w:rsidP="00701229">
            <w:pPr>
              <w:spacing w:after="180"/>
              <w:rPr>
                <w:rFonts w:cs="Arial"/>
                <w:iCs/>
                <w:color w:val="000000"/>
                <w:szCs w:val="22"/>
                <w:lang w:val="en-NZ"/>
              </w:rPr>
            </w:pPr>
            <w:r w:rsidRPr="00A864A5">
              <w:rPr>
                <w:rFonts w:cs="Arial"/>
                <w:iCs/>
                <w:color w:val="000000"/>
                <w:szCs w:val="22"/>
                <w:lang w:val="en-NZ"/>
              </w:rPr>
              <w:t xml:space="preserve">Advising </w:t>
            </w:r>
            <w:r w:rsidR="00723DF3" w:rsidRPr="00A864A5">
              <w:rPr>
                <w:rFonts w:cs="Arial"/>
                <w:iCs/>
                <w:color w:val="000000"/>
                <w:szCs w:val="22"/>
                <w:lang w:val="en-NZ"/>
              </w:rPr>
              <w:t>Agencies</w:t>
            </w:r>
            <w:r w:rsidRPr="00A864A5">
              <w:rPr>
                <w:rFonts w:cs="Arial"/>
                <w:iCs/>
                <w:color w:val="000000"/>
                <w:szCs w:val="22"/>
                <w:lang w:val="en-NZ"/>
              </w:rPr>
              <w:t>:</w:t>
            </w:r>
          </w:p>
        </w:tc>
        <w:tc>
          <w:tcPr>
            <w:tcW w:w="3703" w:type="pct"/>
            <w:tcBorders>
              <w:top w:val="nil"/>
            </w:tcBorders>
            <w:shd w:val="clear" w:color="auto" w:fill="auto"/>
          </w:tcPr>
          <w:p w14:paraId="742E202F" w14:textId="74A3A6BD" w:rsidR="001F29E6" w:rsidRPr="0086789E" w:rsidRDefault="0086789E" w:rsidP="00701229">
            <w:pPr>
              <w:spacing w:after="180"/>
              <w:rPr>
                <w:rFonts w:cs="Arial"/>
                <w:iCs/>
                <w:color w:val="000000"/>
                <w:szCs w:val="22"/>
                <w:lang w:val="en-NZ"/>
              </w:rPr>
            </w:pPr>
            <w:r>
              <w:rPr>
                <w:rFonts w:cs="Arial"/>
                <w:iCs/>
                <w:color w:val="000000"/>
                <w:szCs w:val="22"/>
                <w:lang w:val="en-NZ"/>
              </w:rPr>
              <w:t>Ministry of Health</w:t>
            </w:r>
            <w:r w:rsidR="004F4399">
              <w:rPr>
                <w:rFonts w:cs="Arial"/>
                <w:iCs/>
                <w:color w:val="000000"/>
                <w:szCs w:val="22"/>
                <w:lang w:val="en-NZ"/>
              </w:rPr>
              <w:t xml:space="preserve"> </w:t>
            </w:r>
          </w:p>
        </w:tc>
      </w:tr>
      <w:tr w:rsidR="001F29E6" w:rsidRPr="00A864A5" w14:paraId="568C5BEC" w14:textId="77777777" w:rsidTr="000C29FA">
        <w:trPr>
          <w:trHeight w:val="317"/>
        </w:trPr>
        <w:tc>
          <w:tcPr>
            <w:tcW w:w="1297" w:type="pct"/>
            <w:tcBorders>
              <w:top w:val="nil"/>
            </w:tcBorders>
            <w:shd w:val="clear" w:color="auto" w:fill="EBF5F8"/>
          </w:tcPr>
          <w:p w14:paraId="0F68A519" w14:textId="4F678206" w:rsidR="001F29E6" w:rsidRPr="00A864A5" w:rsidRDefault="001F29E6" w:rsidP="00701229">
            <w:pPr>
              <w:spacing w:after="180"/>
              <w:rPr>
                <w:rFonts w:cs="Arial"/>
                <w:iCs/>
                <w:color w:val="000000"/>
                <w:szCs w:val="22"/>
                <w:lang w:val="en-NZ"/>
              </w:rPr>
            </w:pPr>
            <w:r w:rsidRPr="00A864A5">
              <w:rPr>
                <w:rFonts w:cs="Arial"/>
                <w:iCs/>
                <w:color w:val="000000"/>
                <w:szCs w:val="22"/>
                <w:lang w:val="en-NZ"/>
              </w:rPr>
              <w:t>Proposing Minister</w:t>
            </w:r>
            <w:r w:rsidR="000C29FA">
              <w:rPr>
                <w:rFonts w:cs="Arial"/>
                <w:iCs/>
                <w:color w:val="000000"/>
                <w:szCs w:val="22"/>
                <w:lang w:val="en-NZ"/>
              </w:rPr>
              <w:t>s:</w:t>
            </w:r>
          </w:p>
        </w:tc>
        <w:tc>
          <w:tcPr>
            <w:tcW w:w="3703" w:type="pct"/>
            <w:tcBorders>
              <w:top w:val="nil"/>
            </w:tcBorders>
            <w:shd w:val="clear" w:color="auto" w:fill="auto"/>
          </w:tcPr>
          <w:p w14:paraId="3C92607C" w14:textId="30432338" w:rsidR="001F29E6" w:rsidRPr="0086789E" w:rsidRDefault="0086789E" w:rsidP="00701229">
            <w:pPr>
              <w:spacing w:after="180"/>
              <w:rPr>
                <w:rFonts w:cs="Arial"/>
                <w:iCs/>
                <w:color w:val="000000"/>
                <w:szCs w:val="22"/>
                <w:lang w:val="en-NZ"/>
              </w:rPr>
            </w:pPr>
            <w:r>
              <w:rPr>
                <w:rFonts w:cs="Arial"/>
                <w:iCs/>
                <w:color w:val="000000"/>
                <w:szCs w:val="22"/>
                <w:lang w:val="en-NZ"/>
              </w:rPr>
              <w:t>Hon Andrew Little, Minister of Health</w:t>
            </w:r>
          </w:p>
        </w:tc>
      </w:tr>
      <w:tr w:rsidR="00C11B3B" w:rsidRPr="00A864A5" w14:paraId="73C7C7FD" w14:textId="77777777" w:rsidTr="000C29FA">
        <w:trPr>
          <w:trHeight w:val="202"/>
        </w:trPr>
        <w:tc>
          <w:tcPr>
            <w:tcW w:w="1297" w:type="pct"/>
            <w:tcBorders>
              <w:top w:val="nil"/>
            </w:tcBorders>
            <w:shd w:val="clear" w:color="auto" w:fill="EBF5F8"/>
          </w:tcPr>
          <w:p w14:paraId="5B57759D" w14:textId="211E040E" w:rsidR="00C11B3B" w:rsidRPr="00A864A5" w:rsidRDefault="00C11B3B" w:rsidP="00701229">
            <w:pPr>
              <w:spacing w:after="180"/>
              <w:rPr>
                <w:rFonts w:cs="Arial"/>
                <w:iCs/>
                <w:color w:val="000000"/>
                <w:szCs w:val="22"/>
                <w:lang w:val="en-NZ"/>
              </w:rPr>
            </w:pPr>
            <w:r w:rsidRPr="00A864A5">
              <w:rPr>
                <w:rFonts w:cs="Arial"/>
                <w:iCs/>
                <w:color w:val="000000"/>
                <w:szCs w:val="22"/>
                <w:lang w:val="en-NZ"/>
              </w:rPr>
              <w:t>Date:</w:t>
            </w:r>
          </w:p>
        </w:tc>
        <w:tc>
          <w:tcPr>
            <w:tcW w:w="3703" w:type="pct"/>
            <w:tcBorders>
              <w:top w:val="nil"/>
            </w:tcBorders>
            <w:shd w:val="clear" w:color="auto" w:fill="auto"/>
          </w:tcPr>
          <w:p w14:paraId="4547EFD0" w14:textId="63C8BE21" w:rsidR="00C11B3B" w:rsidRPr="00507617" w:rsidRDefault="005F2D50" w:rsidP="00701229">
            <w:pPr>
              <w:spacing w:after="180"/>
              <w:rPr>
                <w:rFonts w:cs="Arial"/>
                <w:iCs/>
                <w:color w:val="000000"/>
                <w:szCs w:val="22"/>
                <w:lang w:val="en-NZ"/>
              </w:rPr>
            </w:pPr>
            <w:r w:rsidRPr="00507617">
              <w:rPr>
                <w:rFonts w:cs="Arial"/>
                <w:iCs/>
                <w:color w:val="000000"/>
                <w:szCs w:val="22"/>
                <w:lang w:val="en-NZ"/>
              </w:rPr>
              <w:t>March 2021</w:t>
            </w:r>
          </w:p>
        </w:tc>
      </w:tr>
      <w:tr w:rsidR="0079435C" w:rsidRPr="00A864A5" w14:paraId="7F643A0E" w14:textId="77777777" w:rsidTr="00B70F81">
        <w:tc>
          <w:tcPr>
            <w:tcW w:w="5000" w:type="pct"/>
            <w:gridSpan w:val="2"/>
            <w:tcBorders>
              <w:bottom w:val="single" w:sz="4" w:space="0" w:color="DDDDDD"/>
            </w:tcBorders>
            <w:shd w:val="clear" w:color="auto" w:fill="99CDDD"/>
            <w:hideMark/>
          </w:tcPr>
          <w:p w14:paraId="7F446F06" w14:textId="570ED786" w:rsidR="0079435C" w:rsidRPr="00A864A5" w:rsidRDefault="0079435C" w:rsidP="00B70F81">
            <w:pPr>
              <w:pStyle w:val="TableHeadings"/>
              <w:rPr>
                <w:color w:val="002060"/>
                <w:szCs w:val="22"/>
                <w:lang w:val="en-NZ"/>
              </w:rPr>
            </w:pPr>
            <w:r w:rsidRPr="00A864A5">
              <w:rPr>
                <w:szCs w:val="22"/>
                <w:lang w:val="en-NZ"/>
              </w:rPr>
              <w:t>Problem Definition</w:t>
            </w:r>
          </w:p>
        </w:tc>
      </w:tr>
      <w:tr w:rsidR="0079435C" w:rsidRPr="00A864A5" w14:paraId="058C86B2" w14:textId="77777777" w:rsidTr="00DE63FC">
        <w:trPr>
          <w:trHeight w:val="134"/>
        </w:trPr>
        <w:tc>
          <w:tcPr>
            <w:tcW w:w="5000" w:type="pct"/>
            <w:gridSpan w:val="2"/>
            <w:tcBorders>
              <w:top w:val="nil"/>
            </w:tcBorders>
            <w:shd w:val="clear" w:color="auto" w:fill="auto"/>
          </w:tcPr>
          <w:p w14:paraId="071E0BC5" w14:textId="17A1D24A" w:rsidR="0079435C" w:rsidRDefault="00EB6DF2" w:rsidP="00B70F81">
            <w:pPr>
              <w:tabs>
                <w:tab w:val="left" w:pos="7424"/>
                <w:tab w:val="right" w:pos="8636"/>
              </w:tabs>
              <w:rPr>
                <w:rFonts w:cs="Arial"/>
                <w:szCs w:val="22"/>
                <w:lang w:val="en-NZ"/>
              </w:rPr>
            </w:pPr>
            <w:r w:rsidRPr="00EB6DF2">
              <w:rPr>
                <w:rFonts w:cs="Arial"/>
                <w:b/>
                <w:bCs/>
                <w:szCs w:val="22"/>
                <w:lang w:val="en-NZ"/>
              </w:rPr>
              <w:t>Primary problem:</w:t>
            </w:r>
            <w:r>
              <w:rPr>
                <w:rFonts w:cs="Arial"/>
                <w:szCs w:val="22"/>
                <w:lang w:val="en-NZ"/>
              </w:rPr>
              <w:t xml:space="preserve"> </w:t>
            </w:r>
            <w:r w:rsidR="009A7C7D">
              <w:rPr>
                <w:rFonts w:cs="Arial"/>
                <w:szCs w:val="22"/>
                <w:lang w:val="en-NZ"/>
              </w:rPr>
              <w:t xml:space="preserve">There are </w:t>
            </w:r>
            <w:r w:rsidR="000367A6">
              <w:rPr>
                <w:rFonts w:cs="Arial"/>
                <w:szCs w:val="22"/>
                <w:lang w:val="en-NZ"/>
              </w:rPr>
              <w:t xml:space="preserve">health </w:t>
            </w:r>
            <w:r w:rsidR="009A7C7D">
              <w:rPr>
                <w:rFonts w:cs="Arial"/>
                <w:szCs w:val="22"/>
                <w:lang w:val="en-NZ"/>
              </w:rPr>
              <w:t xml:space="preserve">risks and harms arising from </w:t>
            </w:r>
            <w:r w:rsidR="00343C1C">
              <w:rPr>
                <w:rFonts w:cs="Arial"/>
                <w:szCs w:val="22"/>
                <w:lang w:val="en-NZ"/>
              </w:rPr>
              <w:t>the</w:t>
            </w:r>
            <w:r w:rsidR="00407C4B">
              <w:rPr>
                <w:rFonts w:cs="Arial"/>
                <w:szCs w:val="22"/>
                <w:lang w:val="en-NZ"/>
              </w:rPr>
              <w:t xml:space="preserve"> </w:t>
            </w:r>
            <w:r w:rsidR="00B76D96">
              <w:rPr>
                <w:rFonts w:cs="Arial"/>
                <w:szCs w:val="22"/>
                <w:lang w:val="en-NZ"/>
              </w:rPr>
              <w:t>consumption</w:t>
            </w:r>
            <w:r w:rsidR="00343C1C">
              <w:rPr>
                <w:rFonts w:cs="Arial"/>
                <w:szCs w:val="22"/>
                <w:lang w:val="en-NZ"/>
              </w:rPr>
              <w:t xml:space="preserve"> of all </w:t>
            </w:r>
            <w:r w:rsidR="00D55AFE">
              <w:rPr>
                <w:rFonts w:cs="Arial"/>
                <w:szCs w:val="22"/>
                <w:lang w:val="en-NZ"/>
              </w:rPr>
              <w:t>illicit</w:t>
            </w:r>
            <w:r w:rsidR="00343C1C">
              <w:rPr>
                <w:rFonts w:cs="Arial"/>
                <w:szCs w:val="22"/>
                <w:lang w:val="en-NZ"/>
              </w:rPr>
              <w:t xml:space="preserve"> drugs</w:t>
            </w:r>
            <w:r w:rsidR="00121A94">
              <w:rPr>
                <w:rFonts w:cs="Arial"/>
                <w:szCs w:val="22"/>
                <w:lang w:val="en-NZ"/>
              </w:rPr>
              <w:t xml:space="preserve">. </w:t>
            </w:r>
            <w:r w:rsidR="00193CBE">
              <w:rPr>
                <w:rFonts w:cs="Arial"/>
                <w:szCs w:val="22"/>
                <w:lang w:val="en-NZ"/>
              </w:rPr>
              <w:t>S</w:t>
            </w:r>
            <w:r w:rsidR="007771C0">
              <w:rPr>
                <w:rFonts w:cs="Arial"/>
                <w:szCs w:val="22"/>
                <w:lang w:val="en-NZ"/>
              </w:rPr>
              <w:t>ome of the</w:t>
            </w:r>
            <w:r w:rsidR="00D55AFE">
              <w:rPr>
                <w:rFonts w:cs="Arial"/>
                <w:szCs w:val="22"/>
                <w:lang w:val="en-NZ"/>
              </w:rPr>
              <w:t>se</w:t>
            </w:r>
            <w:r w:rsidR="007771C0">
              <w:rPr>
                <w:rFonts w:cs="Arial"/>
                <w:szCs w:val="22"/>
                <w:lang w:val="en-NZ"/>
              </w:rPr>
              <w:t xml:space="preserve"> risks and harms arise from</w:t>
            </w:r>
            <w:r w:rsidR="00407C4B">
              <w:rPr>
                <w:rFonts w:cs="Arial"/>
                <w:szCs w:val="22"/>
                <w:lang w:val="en-NZ"/>
              </w:rPr>
              <w:t xml:space="preserve"> </w:t>
            </w:r>
            <w:r w:rsidR="00CE1CBD">
              <w:rPr>
                <w:rFonts w:cs="Arial"/>
                <w:szCs w:val="22"/>
                <w:lang w:val="en-NZ"/>
              </w:rPr>
              <w:t>people</w:t>
            </w:r>
            <w:r w:rsidR="00407C4B">
              <w:rPr>
                <w:rFonts w:cs="Arial"/>
                <w:szCs w:val="22"/>
                <w:lang w:val="en-NZ"/>
              </w:rPr>
              <w:t xml:space="preserve"> not knowing the actual </w:t>
            </w:r>
            <w:r w:rsidR="009A7C7D">
              <w:rPr>
                <w:rFonts w:cs="Arial"/>
                <w:szCs w:val="22"/>
                <w:lang w:val="en-NZ"/>
              </w:rPr>
              <w:t xml:space="preserve">composition of </w:t>
            </w:r>
            <w:r w:rsidR="00407C4B">
              <w:rPr>
                <w:rFonts w:cs="Arial"/>
                <w:szCs w:val="22"/>
                <w:lang w:val="en-NZ"/>
              </w:rPr>
              <w:t xml:space="preserve">their </w:t>
            </w:r>
            <w:r w:rsidR="009A7C7D">
              <w:rPr>
                <w:rFonts w:cs="Arial"/>
                <w:szCs w:val="22"/>
                <w:lang w:val="en-NZ"/>
              </w:rPr>
              <w:t>drugs</w:t>
            </w:r>
            <w:r w:rsidR="00121A94">
              <w:rPr>
                <w:rFonts w:cs="Arial"/>
                <w:szCs w:val="22"/>
                <w:lang w:val="en-NZ"/>
              </w:rPr>
              <w:t>, and</w:t>
            </w:r>
            <w:r w:rsidR="007771C0">
              <w:rPr>
                <w:rFonts w:cs="Arial"/>
                <w:szCs w:val="22"/>
                <w:lang w:val="en-NZ"/>
              </w:rPr>
              <w:t xml:space="preserve">/or not knowing how </w:t>
            </w:r>
            <w:r w:rsidR="00667B7D">
              <w:rPr>
                <w:rFonts w:cs="Arial"/>
                <w:szCs w:val="22"/>
                <w:lang w:val="en-NZ"/>
              </w:rPr>
              <w:t>to mitigate other</w:t>
            </w:r>
            <w:r w:rsidR="00362EF3">
              <w:rPr>
                <w:rFonts w:cs="Arial"/>
                <w:szCs w:val="22"/>
                <w:lang w:val="en-NZ"/>
              </w:rPr>
              <w:t xml:space="preserve"> risks and harms.</w:t>
            </w:r>
          </w:p>
          <w:p w14:paraId="4EBB6131" w14:textId="7513FF58" w:rsidR="00EB7A89" w:rsidRPr="00A864A5" w:rsidRDefault="00EB6DF2" w:rsidP="00B70F81">
            <w:pPr>
              <w:tabs>
                <w:tab w:val="left" w:pos="7424"/>
                <w:tab w:val="right" w:pos="8636"/>
              </w:tabs>
              <w:rPr>
                <w:rFonts w:cs="Arial"/>
                <w:szCs w:val="22"/>
                <w:lang w:val="en-NZ"/>
              </w:rPr>
            </w:pPr>
            <w:r w:rsidRPr="00EB6DF2">
              <w:rPr>
                <w:rFonts w:cs="Arial"/>
                <w:b/>
                <w:bCs/>
                <w:szCs w:val="22"/>
                <w:lang w:val="en-NZ"/>
              </w:rPr>
              <w:t xml:space="preserve">Secondary problem: </w:t>
            </w:r>
            <w:r w:rsidR="0056599D">
              <w:rPr>
                <w:rFonts w:cs="Arial"/>
                <w:szCs w:val="22"/>
                <w:lang w:val="en-NZ"/>
              </w:rPr>
              <w:t xml:space="preserve">Drug checking services address the </w:t>
            </w:r>
            <w:r>
              <w:rPr>
                <w:rFonts w:cs="Arial"/>
                <w:szCs w:val="22"/>
                <w:lang w:val="en-NZ"/>
              </w:rPr>
              <w:t>primary</w:t>
            </w:r>
            <w:r w:rsidR="0056599D">
              <w:rPr>
                <w:rFonts w:cs="Arial"/>
                <w:szCs w:val="22"/>
                <w:lang w:val="en-NZ"/>
              </w:rPr>
              <w:t xml:space="preserve"> problem by testing illicit drugs </w:t>
            </w:r>
            <w:r>
              <w:rPr>
                <w:rFonts w:cs="Arial"/>
                <w:szCs w:val="22"/>
                <w:lang w:val="en-NZ"/>
              </w:rPr>
              <w:t xml:space="preserve">and providing harm reduction advice. However the legislation which regulates drug checking service providers will repeal in December 2021. If a new regulatory system is not established, it will be more difficult </w:t>
            </w:r>
            <w:r w:rsidR="00B364E4">
              <w:rPr>
                <w:rFonts w:cs="Arial"/>
                <w:szCs w:val="22"/>
                <w:lang w:val="en-NZ"/>
              </w:rPr>
              <w:t xml:space="preserve">for drug checking providers to operate. </w:t>
            </w:r>
            <w:r>
              <w:rPr>
                <w:rFonts w:cs="Arial"/>
                <w:szCs w:val="22"/>
                <w:lang w:val="en-NZ"/>
              </w:rPr>
              <w:t xml:space="preserve"> </w:t>
            </w:r>
          </w:p>
        </w:tc>
      </w:tr>
      <w:tr w:rsidR="00C93549" w:rsidRPr="00A864A5" w14:paraId="7CED8916" w14:textId="77777777" w:rsidTr="00FE3199">
        <w:tc>
          <w:tcPr>
            <w:tcW w:w="5000" w:type="pct"/>
            <w:gridSpan w:val="2"/>
            <w:tcBorders>
              <w:bottom w:val="single" w:sz="4" w:space="0" w:color="DDDDDD"/>
            </w:tcBorders>
            <w:shd w:val="clear" w:color="auto" w:fill="99CDDD"/>
            <w:hideMark/>
          </w:tcPr>
          <w:p w14:paraId="163B530B" w14:textId="0ACEE607" w:rsidR="00C93549" w:rsidRPr="00A864A5" w:rsidRDefault="00063943" w:rsidP="00CF7FB3">
            <w:pPr>
              <w:pStyle w:val="TableHeadings"/>
              <w:rPr>
                <w:color w:val="002060"/>
                <w:szCs w:val="22"/>
                <w:lang w:val="en-NZ"/>
              </w:rPr>
            </w:pPr>
            <w:bookmarkStart w:id="2" w:name="_Hlk57202117"/>
            <w:r w:rsidRPr="00A864A5">
              <w:rPr>
                <w:szCs w:val="22"/>
                <w:lang w:val="en-NZ"/>
              </w:rPr>
              <w:t>Exe</w:t>
            </w:r>
            <w:r w:rsidR="0079435C" w:rsidRPr="00A864A5">
              <w:rPr>
                <w:szCs w:val="22"/>
                <w:lang w:val="en-NZ"/>
              </w:rPr>
              <w:t>cutive Summary</w:t>
            </w:r>
          </w:p>
        </w:tc>
      </w:tr>
      <w:tr w:rsidR="00FE3199" w:rsidRPr="00A864A5" w14:paraId="6B25993E" w14:textId="77777777" w:rsidTr="00DE63FC">
        <w:trPr>
          <w:trHeight w:val="944"/>
        </w:trPr>
        <w:tc>
          <w:tcPr>
            <w:tcW w:w="5000" w:type="pct"/>
            <w:gridSpan w:val="2"/>
            <w:tcBorders>
              <w:top w:val="nil"/>
            </w:tcBorders>
            <w:shd w:val="clear" w:color="auto" w:fill="auto"/>
          </w:tcPr>
          <w:p w14:paraId="6E6A4A36" w14:textId="48DC0ADE" w:rsidR="00400783" w:rsidRDefault="00987CAB" w:rsidP="00F87DF0">
            <w:pPr>
              <w:tabs>
                <w:tab w:val="left" w:pos="7424"/>
                <w:tab w:val="right" w:pos="8636"/>
              </w:tabs>
              <w:rPr>
                <w:rFonts w:cs="Arial"/>
                <w:szCs w:val="22"/>
                <w:lang w:val="en-NZ"/>
              </w:rPr>
            </w:pPr>
            <w:r w:rsidRPr="00987CAB">
              <w:rPr>
                <w:rFonts w:cs="Arial"/>
                <w:szCs w:val="22"/>
                <w:lang w:val="en-NZ"/>
              </w:rPr>
              <w:t>Drug checking services check the composition of illicit drugs and provide harm reduction advice to help individuals make</w:t>
            </w:r>
            <w:r w:rsidR="00BF0172">
              <w:rPr>
                <w:rFonts w:cs="Arial"/>
                <w:szCs w:val="22"/>
                <w:lang w:val="en-NZ"/>
              </w:rPr>
              <w:t xml:space="preserve"> more</w:t>
            </w:r>
            <w:r w:rsidRPr="00987CAB">
              <w:rPr>
                <w:rFonts w:cs="Arial"/>
                <w:szCs w:val="22"/>
                <w:lang w:val="en-NZ"/>
              </w:rPr>
              <w:t xml:space="preserve"> informed decisions about drug use. Where a </w:t>
            </w:r>
            <w:r w:rsidR="007D51FF">
              <w:rPr>
                <w:rFonts w:cs="Arial"/>
                <w:szCs w:val="22"/>
                <w:lang w:val="en-NZ"/>
              </w:rPr>
              <w:t>substance</w:t>
            </w:r>
            <w:r w:rsidRPr="00987CAB">
              <w:rPr>
                <w:rFonts w:cs="Arial"/>
                <w:szCs w:val="22"/>
                <w:lang w:val="en-NZ"/>
              </w:rPr>
              <w:t xml:space="preserve"> is not as presumed, the individual can make the potentially life-saving decision not to consume it</w:t>
            </w:r>
            <w:r w:rsidR="007D51FF">
              <w:rPr>
                <w:rFonts w:cs="Arial"/>
                <w:szCs w:val="22"/>
                <w:lang w:val="en-NZ"/>
              </w:rPr>
              <w:t>.</w:t>
            </w:r>
          </w:p>
          <w:p w14:paraId="1236D08C" w14:textId="77777777" w:rsidR="007D51FF" w:rsidRDefault="007D51FF" w:rsidP="00F87DF0">
            <w:pPr>
              <w:tabs>
                <w:tab w:val="left" w:pos="7424"/>
                <w:tab w:val="right" w:pos="8636"/>
              </w:tabs>
              <w:rPr>
                <w:rFonts w:cs="Arial"/>
                <w:szCs w:val="22"/>
                <w:lang w:val="en-NZ"/>
              </w:rPr>
            </w:pPr>
            <w:r>
              <w:rPr>
                <w:rFonts w:cs="Arial"/>
                <w:szCs w:val="22"/>
                <w:lang w:val="en-NZ"/>
              </w:rPr>
              <w:t xml:space="preserve">Until late 2020, several aspects of drug checking were potentially illegal under the Misuse of Drugs Act 1975 and the Psychoactive Substances Act 2013. For example, drug checkers were potentially committing a possession offence if they handled the drugs. </w:t>
            </w:r>
          </w:p>
          <w:p w14:paraId="0CA29C21" w14:textId="51DA9C86" w:rsidR="007D51FF" w:rsidRDefault="007D51FF" w:rsidP="00F87DF0">
            <w:pPr>
              <w:tabs>
                <w:tab w:val="left" w:pos="7424"/>
                <w:tab w:val="right" w:pos="8636"/>
              </w:tabs>
              <w:rPr>
                <w:rFonts w:cs="Arial"/>
                <w:szCs w:val="22"/>
                <w:lang w:val="en-NZ"/>
              </w:rPr>
            </w:pPr>
            <w:r>
              <w:rPr>
                <w:rFonts w:cs="Arial"/>
                <w:szCs w:val="22"/>
                <w:lang w:val="en-NZ"/>
              </w:rPr>
              <w:t>The Drug and Substance Checking Legislation Act 2020</w:t>
            </w:r>
            <w:r w:rsidR="00EB23E0">
              <w:rPr>
                <w:rFonts w:cs="Arial"/>
                <w:szCs w:val="22"/>
                <w:lang w:val="en-NZ"/>
              </w:rPr>
              <w:t xml:space="preserve"> (the Drug Checking Act)</w:t>
            </w:r>
            <w:r>
              <w:rPr>
                <w:rFonts w:cs="Arial"/>
                <w:szCs w:val="22"/>
                <w:lang w:val="en-NZ"/>
              </w:rPr>
              <w:t xml:space="preserve"> </w:t>
            </w:r>
            <w:r w:rsidR="00E1176B">
              <w:rPr>
                <w:rFonts w:cs="Arial"/>
                <w:szCs w:val="22"/>
                <w:lang w:val="en-NZ"/>
              </w:rPr>
              <w:t xml:space="preserve">amended the Misuse of Drugs Act to </w:t>
            </w:r>
            <w:r>
              <w:rPr>
                <w:rFonts w:cs="Arial"/>
                <w:szCs w:val="22"/>
                <w:lang w:val="en-NZ"/>
              </w:rPr>
              <w:t>enable the Director-General of Health to appoint drug checking service providers and enable appointed providers to operate with legal certainty. However</w:t>
            </w:r>
            <w:r w:rsidR="00E1176B">
              <w:rPr>
                <w:rFonts w:cs="Arial"/>
                <w:szCs w:val="22"/>
                <w:lang w:val="en-NZ"/>
              </w:rPr>
              <w:t>,</w:t>
            </w:r>
            <w:r>
              <w:rPr>
                <w:rFonts w:cs="Arial"/>
                <w:szCs w:val="22"/>
                <w:lang w:val="en-NZ"/>
              </w:rPr>
              <w:t xml:space="preserve"> </w:t>
            </w:r>
            <w:r w:rsidR="009063AA">
              <w:rPr>
                <w:rFonts w:cs="Arial"/>
                <w:szCs w:val="22"/>
                <w:lang w:val="en-NZ"/>
              </w:rPr>
              <w:t xml:space="preserve">these amendments </w:t>
            </w:r>
            <w:r>
              <w:rPr>
                <w:rFonts w:cs="Arial"/>
                <w:szCs w:val="22"/>
                <w:lang w:val="en-NZ"/>
              </w:rPr>
              <w:t xml:space="preserve">will repeal in December 2021. </w:t>
            </w:r>
          </w:p>
          <w:p w14:paraId="73FBCD01" w14:textId="44D7A883" w:rsidR="007D51FF" w:rsidRDefault="007D51FF" w:rsidP="00F87DF0">
            <w:pPr>
              <w:tabs>
                <w:tab w:val="left" w:pos="7424"/>
                <w:tab w:val="right" w:pos="8636"/>
              </w:tabs>
              <w:rPr>
                <w:rFonts w:cs="Arial"/>
                <w:szCs w:val="22"/>
                <w:lang w:val="en-NZ"/>
              </w:rPr>
            </w:pPr>
            <w:r>
              <w:rPr>
                <w:rFonts w:cs="Arial"/>
                <w:szCs w:val="22"/>
                <w:lang w:val="en-NZ"/>
              </w:rPr>
              <w:t xml:space="preserve">Allowing drug checking to revert to a legal grey area is undesirable, as it will make drug checking less accessible, and </w:t>
            </w:r>
            <w:r w:rsidR="008C421D">
              <w:rPr>
                <w:rFonts w:cs="Arial"/>
                <w:szCs w:val="22"/>
                <w:lang w:val="en-NZ"/>
              </w:rPr>
              <w:t>would</w:t>
            </w:r>
            <w:r>
              <w:rPr>
                <w:rFonts w:cs="Arial"/>
                <w:szCs w:val="22"/>
                <w:lang w:val="en-NZ"/>
              </w:rPr>
              <w:t xml:space="preserve"> not allow quality control</w:t>
            </w:r>
            <w:r w:rsidR="008C421D">
              <w:rPr>
                <w:rFonts w:cs="Arial"/>
                <w:szCs w:val="22"/>
                <w:lang w:val="en-NZ"/>
              </w:rPr>
              <w:t xml:space="preserve"> of drug checking</w:t>
            </w:r>
            <w:r>
              <w:rPr>
                <w:rFonts w:cs="Arial"/>
                <w:szCs w:val="22"/>
                <w:lang w:val="en-NZ"/>
              </w:rPr>
              <w:t>. It would also be undesirable to enable drug checking without any regulation, as low</w:t>
            </w:r>
            <w:r w:rsidR="00E1176B">
              <w:rPr>
                <w:rFonts w:cs="Arial"/>
                <w:szCs w:val="22"/>
                <w:lang w:val="en-NZ"/>
              </w:rPr>
              <w:t>-</w:t>
            </w:r>
            <w:r>
              <w:rPr>
                <w:rFonts w:cs="Arial"/>
                <w:szCs w:val="22"/>
                <w:lang w:val="en-NZ"/>
              </w:rPr>
              <w:t xml:space="preserve">quality </w:t>
            </w:r>
            <w:r>
              <w:rPr>
                <w:rFonts w:cs="Arial"/>
                <w:szCs w:val="22"/>
                <w:lang w:val="en-NZ"/>
              </w:rPr>
              <w:lastRenderedPageBreak/>
              <w:t xml:space="preserve">services </w:t>
            </w:r>
            <w:r w:rsidR="00E1176B">
              <w:rPr>
                <w:rFonts w:cs="Arial"/>
                <w:szCs w:val="22"/>
                <w:lang w:val="en-NZ"/>
              </w:rPr>
              <w:t>c</w:t>
            </w:r>
            <w:r>
              <w:rPr>
                <w:rFonts w:cs="Arial"/>
                <w:szCs w:val="22"/>
                <w:lang w:val="en-NZ"/>
              </w:rPr>
              <w:t>ould create risk of harm</w:t>
            </w:r>
            <w:r w:rsidR="00E1176B">
              <w:rPr>
                <w:rFonts w:cs="Arial"/>
                <w:szCs w:val="22"/>
                <w:lang w:val="en-NZ"/>
              </w:rPr>
              <w:t xml:space="preserve">, for example by providing </w:t>
            </w:r>
            <w:r w:rsidR="005B576D">
              <w:rPr>
                <w:rFonts w:cs="Arial"/>
                <w:szCs w:val="22"/>
                <w:lang w:val="en-NZ"/>
              </w:rPr>
              <w:t>inaccurate</w:t>
            </w:r>
            <w:r w:rsidR="003B48D2">
              <w:rPr>
                <w:rFonts w:cs="Arial"/>
                <w:szCs w:val="22"/>
                <w:lang w:val="en-NZ"/>
              </w:rPr>
              <w:t xml:space="preserve"> advice or creating a false sense of safety</w:t>
            </w:r>
            <w:r>
              <w:rPr>
                <w:rFonts w:cs="Arial"/>
                <w:szCs w:val="22"/>
                <w:lang w:val="en-NZ"/>
              </w:rPr>
              <w:t xml:space="preserve">. </w:t>
            </w:r>
          </w:p>
          <w:p w14:paraId="0041314E" w14:textId="77777777" w:rsidR="00F01663" w:rsidRDefault="0045743E" w:rsidP="00F87DF0">
            <w:pPr>
              <w:tabs>
                <w:tab w:val="left" w:pos="7424"/>
                <w:tab w:val="right" w:pos="8636"/>
              </w:tabs>
              <w:rPr>
                <w:rFonts w:cs="Arial"/>
                <w:szCs w:val="22"/>
                <w:lang w:val="en-NZ"/>
              </w:rPr>
            </w:pPr>
            <w:r>
              <w:rPr>
                <w:rFonts w:cs="Arial"/>
                <w:szCs w:val="22"/>
                <w:lang w:val="en-NZ"/>
              </w:rPr>
              <w:t xml:space="preserve">A licensing system under the Misuse of Drugs Act would </w:t>
            </w:r>
            <w:r w:rsidR="008C42C6">
              <w:rPr>
                <w:rFonts w:cs="Arial"/>
                <w:szCs w:val="22"/>
                <w:lang w:val="en-NZ"/>
              </w:rPr>
              <w:t xml:space="preserve">allow licensed drug checking service providers to operate with legal certainty. It would also enable quality control and monitoring of providers. </w:t>
            </w:r>
          </w:p>
          <w:p w14:paraId="72C08822" w14:textId="6BC62DC7" w:rsidR="00F01663" w:rsidRDefault="00F01663" w:rsidP="00F87DF0">
            <w:pPr>
              <w:tabs>
                <w:tab w:val="left" w:pos="7424"/>
                <w:tab w:val="right" w:pos="8636"/>
              </w:tabs>
              <w:rPr>
                <w:rFonts w:cs="Arial"/>
                <w:szCs w:val="22"/>
                <w:lang w:val="en-NZ"/>
              </w:rPr>
            </w:pPr>
            <w:r>
              <w:rPr>
                <w:rFonts w:cs="Arial"/>
                <w:szCs w:val="22"/>
                <w:lang w:val="en-NZ"/>
              </w:rPr>
              <w:t>Costs of the licensing system will largely fall on the Ministry of Health, which will run the licensing system.</w:t>
            </w:r>
            <w:r w:rsidR="00A75181">
              <w:rPr>
                <w:rFonts w:cs="Arial"/>
                <w:szCs w:val="22"/>
                <w:lang w:val="en-NZ"/>
              </w:rPr>
              <w:t xml:space="preserve"> Recovering the full costs from providers through licence fees is not recommended, as drug checking is likely to be provided solely or mostly by non-profit organisations. Licence fees or other cost recovery </w:t>
            </w:r>
            <w:r w:rsidR="00826978">
              <w:rPr>
                <w:rFonts w:cs="Arial"/>
                <w:szCs w:val="22"/>
                <w:lang w:val="en-NZ"/>
              </w:rPr>
              <w:t>are</w:t>
            </w:r>
            <w:r w:rsidR="00A75181">
              <w:rPr>
                <w:rFonts w:cs="Arial"/>
                <w:szCs w:val="22"/>
                <w:lang w:val="en-NZ"/>
              </w:rPr>
              <w:t xml:space="preserve"> likely to deter some providers from seeking a licence. </w:t>
            </w:r>
          </w:p>
          <w:p w14:paraId="199F2CEF" w14:textId="3E73A58F" w:rsidR="008261A8" w:rsidRDefault="005D166E" w:rsidP="00F87DF0">
            <w:pPr>
              <w:tabs>
                <w:tab w:val="left" w:pos="7424"/>
                <w:tab w:val="right" w:pos="8636"/>
              </w:tabs>
              <w:rPr>
                <w:rFonts w:cs="Arial"/>
                <w:szCs w:val="22"/>
                <w:lang w:val="en-NZ"/>
              </w:rPr>
            </w:pPr>
            <w:r>
              <w:rPr>
                <w:rFonts w:cs="Arial"/>
                <w:szCs w:val="22"/>
                <w:lang w:val="en-NZ"/>
              </w:rPr>
              <w:t>E</w:t>
            </w:r>
            <w:r w:rsidR="009C1F99">
              <w:rPr>
                <w:rFonts w:cs="Arial"/>
                <w:szCs w:val="22"/>
                <w:lang w:val="en-NZ"/>
              </w:rPr>
              <w:t>quitable access to drug checking is</w:t>
            </w:r>
            <w:r>
              <w:rPr>
                <w:rFonts w:cs="Arial"/>
                <w:szCs w:val="22"/>
                <w:lang w:val="en-NZ"/>
              </w:rPr>
              <w:t xml:space="preserve"> also</w:t>
            </w:r>
            <w:r w:rsidR="009C1F99">
              <w:rPr>
                <w:rFonts w:cs="Arial"/>
                <w:szCs w:val="22"/>
                <w:lang w:val="en-NZ"/>
              </w:rPr>
              <w:t xml:space="preserve"> likely to require government funding</w:t>
            </w:r>
            <w:r w:rsidR="00875ED6">
              <w:rPr>
                <w:rFonts w:cs="Arial"/>
                <w:szCs w:val="22"/>
                <w:lang w:val="en-NZ"/>
              </w:rPr>
              <w:t xml:space="preserve"> </w:t>
            </w:r>
            <w:r w:rsidR="00826978">
              <w:rPr>
                <w:rFonts w:cs="Arial"/>
                <w:szCs w:val="22"/>
                <w:lang w:val="en-NZ"/>
              </w:rPr>
              <w:t xml:space="preserve">for </w:t>
            </w:r>
            <w:r w:rsidR="00875ED6">
              <w:rPr>
                <w:rFonts w:cs="Arial"/>
                <w:szCs w:val="22"/>
                <w:lang w:val="en-NZ"/>
              </w:rPr>
              <w:t>some licensed drug checking services</w:t>
            </w:r>
            <w:r w:rsidR="009C1F99">
              <w:rPr>
                <w:rFonts w:cs="Arial"/>
                <w:szCs w:val="22"/>
                <w:lang w:val="en-NZ"/>
              </w:rPr>
              <w:t xml:space="preserve">. </w:t>
            </w:r>
          </w:p>
          <w:p w14:paraId="2732FEC4" w14:textId="77777777" w:rsidR="00CF598A" w:rsidRDefault="00CF598A" w:rsidP="00CF598A">
            <w:pPr>
              <w:tabs>
                <w:tab w:val="left" w:pos="7424"/>
                <w:tab w:val="right" w:pos="8636"/>
              </w:tabs>
              <w:rPr>
                <w:rFonts w:cs="Arial"/>
                <w:szCs w:val="22"/>
                <w:lang w:val="en-NZ"/>
              </w:rPr>
            </w:pPr>
            <w:r>
              <w:t xml:space="preserve">Officials have developed this policy in close consultation with the Ministry of Justice and the New Zealand Police, and have engaged with KnowYourStuffNZ, the New Zealand Drug Foundation, Te Puni Kōkiri, WorkSafe, the Treasury, the New Zealand Union of Students’ Associations, the New Zealand Promoters’ Association, the </w:t>
            </w:r>
            <w:r w:rsidRPr="00936937">
              <w:t>Entertainment Venues Association of New Zealand</w:t>
            </w:r>
            <w:r>
              <w:t xml:space="preserve">, and drug checking organisations in the United States, the United Kingdom, France and Switzerland. Stakeholders have been </w:t>
            </w:r>
            <w:r w:rsidR="00624F07">
              <w:rPr>
                <w:rFonts w:cs="Arial"/>
                <w:szCs w:val="22"/>
                <w:lang w:val="en-NZ"/>
              </w:rPr>
              <w:t xml:space="preserve">supportive of </w:t>
            </w:r>
            <w:r w:rsidR="00A67C86">
              <w:rPr>
                <w:rFonts w:cs="Arial"/>
                <w:szCs w:val="22"/>
                <w:lang w:val="en-NZ"/>
              </w:rPr>
              <w:t xml:space="preserve">enabling drug checking. </w:t>
            </w:r>
          </w:p>
          <w:p w14:paraId="32A1256D" w14:textId="12D44265" w:rsidR="000132F6" w:rsidRPr="00A864A5" w:rsidRDefault="001C4A9C" w:rsidP="004D309C">
            <w:pPr>
              <w:rPr>
                <w:rFonts w:cs="Arial"/>
                <w:szCs w:val="22"/>
                <w:lang w:val="en-NZ"/>
              </w:rPr>
            </w:pPr>
            <w:r>
              <w:rPr>
                <w:rFonts w:cs="Arial"/>
                <w:szCs w:val="22"/>
                <w:lang w:val="en-NZ"/>
              </w:rPr>
              <w:t>The</w:t>
            </w:r>
            <w:r w:rsidR="00F4684A">
              <w:rPr>
                <w:rFonts w:cs="Arial"/>
                <w:szCs w:val="22"/>
                <w:lang w:val="en-NZ"/>
              </w:rPr>
              <w:t xml:space="preserve"> general public has</w:t>
            </w:r>
            <w:r>
              <w:rPr>
                <w:rFonts w:cs="Arial"/>
                <w:szCs w:val="22"/>
                <w:lang w:val="en-NZ"/>
              </w:rPr>
              <w:t xml:space="preserve"> a wide range of views about how best to reduce drug harm</w:t>
            </w:r>
            <w:r w:rsidR="00F4684A">
              <w:rPr>
                <w:rFonts w:cs="Arial"/>
                <w:szCs w:val="22"/>
                <w:lang w:val="en-NZ"/>
              </w:rPr>
              <w:t>,</w:t>
            </w:r>
            <w:r>
              <w:rPr>
                <w:rFonts w:cs="Arial"/>
                <w:szCs w:val="22"/>
                <w:lang w:val="en-NZ"/>
              </w:rPr>
              <w:t xml:space="preserve"> and who should b</w:t>
            </w:r>
            <w:r w:rsidR="00F4684A">
              <w:rPr>
                <w:rFonts w:cs="Arial"/>
                <w:szCs w:val="22"/>
                <w:lang w:val="en-NZ"/>
              </w:rPr>
              <w:t>ear</w:t>
            </w:r>
            <w:r>
              <w:rPr>
                <w:rFonts w:cs="Arial"/>
                <w:szCs w:val="22"/>
                <w:lang w:val="en-NZ"/>
              </w:rPr>
              <w:t xml:space="preserve"> the risks of</w:t>
            </w:r>
            <w:r>
              <w:rPr>
                <w:rFonts w:cs="Arial"/>
              </w:rPr>
              <w:t xml:space="preserve"> illicit</w:t>
            </w:r>
            <w:r>
              <w:rPr>
                <w:rFonts w:cs="Arial"/>
                <w:szCs w:val="22"/>
                <w:lang w:val="en-NZ"/>
              </w:rPr>
              <w:t xml:space="preserve"> drug use. At one end </w:t>
            </w:r>
            <w:r w:rsidR="00F4684A">
              <w:rPr>
                <w:rFonts w:cs="Arial"/>
                <w:szCs w:val="22"/>
                <w:lang w:val="en-NZ"/>
              </w:rPr>
              <w:t xml:space="preserve">of the spectrum </w:t>
            </w:r>
            <w:r>
              <w:rPr>
                <w:rFonts w:cs="Arial"/>
                <w:szCs w:val="22"/>
                <w:lang w:val="en-NZ"/>
              </w:rPr>
              <w:t xml:space="preserve">there is the view that drug use should </w:t>
            </w:r>
            <w:r w:rsidR="00A67F2C">
              <w:rPr>
                <w:rFonts w:cs="Arial"/>
                <w:szCs w:val="22"/>
                <w:lang w:val="en-NZ"/>
              </w:rPr>
              <w:t xml:space="preserve">be </w:t>
            </w:r>
            <w:r>
              <w:rPr>
                <w:rFonts w:cs="Arial"/>
                <w:szCs w:val="22"/>
                <w:lang w:val="en-NZ"/>
              </w:rPr>
              <w:t xml:space="preserve">discouraged through strict prohibition, and all risks should </w:t>
            </w:r>
            <w:r>
              <w:rPr>
                <w:rFonts w:cs="Arial"/>
              </w:rPr>
              <w:t>rest</w:t>
            </w:r>
            <w:r>
              <w:rPr>
                <w:rFonts w:cs="Arial"/>
                <w:szCs w:val="22"/>
                <w:lang w:val="en-NZ"/>
              </w:rPr>
              <w:t xml:space="preserve"> with </w:t>
            </w:r>
            <w:r>
              <w:rPr>
                <w:rFonts w:cs="Arial"/>
              </w:rPr>
              <w:t>people</w:t>
            </w:r>
            <w:r>
              <w:rPr>
                <w:rFonts w:cs="Arial"/>
                <w:szCs w:val="22"/>
                <w:lang w:val="en-NZ"/>
              </w:rPr>
              <w:t xml:space="preserve"> using illegal drugs. At the other end </w:t>
            </w:r>
            <w:r>
              <w:rPr>
                <w:rFonts w:cs="Arial"/>
              </w:rPr>
              <w:t>there is the view</w:t>
            </w:r>
            <w:r>
              <w:rPr>
                <w:rFonts w:cs="Arial"/>
                <w:szCs w:val="22"/>
                <w:lang w:val="en-NZ"/>
              </w:rPr>
              <w:t xml:space="preserve"> that drug </w:t>
            </w:r>
            <w:r w:rsidR="006267AE">
              <w:rPr>
                <w:rFonts w:cs="Arial"/>
                <w:szCs w:val="22"/>
                <w:lang w:val="en-NZ"/>
              </w:rPr>
              <w:t xml:space="preserve">use </w:t>
            </w:r>
            <w:r>
              <w:rPr>
                <w:rFonts w:cs="Arial"/>
              </w:rPr>
              <w:t xml:space="preserve">should </w:t>
            </w:r>
            <w:r w:rsidR="006267AE">
              <w:rPr>
                <w:rFonts w:cs="Arial"/>
              </w:rPr>
              <w:t>be legalised, and that the government</w:t>
            </w:r>
            <w:r w:rsidR="00FB41AE">
              <w:rPr>
                <w:rFonts w:cs="Arial"/>
              </w:rPr>
              <w:t xml:space="preserve"> should focus solely on</w:t>
            </w:r>
            <w:r w:rsidR="006267AE">
              <w:rPr>
                <w:rFonts w:cs="Arial"/>
              </w:rPr>
              <w:t xml:space="preserve"> </w:t>
            </w:r>
            <w:r w:rsidR="00FB41AE">
              <w:rPr>
                <w:rFonts w:cs="Arial"/>
              </w:rPr>
              <w:t xml:space="preserve">harm reduction. </w:t>
            </w:r>
            <w:r w:rsidR="002A24F6">
              <w:rPr>
                <w:rFonts w:cs="Arial"/>
              </w:rPr>
              <w:t xml:space="preserve">This policy </w:t>
            </w:r>
            <w:r>
              <w:rPr>
                <w:rFonts w:cs="Arial"/>
                <w:szCs w:val="22"/>
                <w:lang w:val="en-NZ"/>
              </w:rPr>
              <w:t>sits in the middle, supporting people who use drugs to help them reduce harms</w:t>
            </w:r>
            <w:r>
              <w:rPr>
                <w:rFonts w:cs="Arial"/>
              </w:rPr>
              <w:t>,</w:t>
            </w:r>
            <w:r>
              <w:rPr>
                <w:rFonts w:cs="Arial"/>
                <w:szCs w:val="22"/>
                <w:lang w:val="en-NZ"/>
              </w:rPr>
              <w:t xml:space="preserve"> </w:t>
            </w:r>
            <w:r w:rsidR="002A24F6">
              <w:rPr>
                <w:rFonts w:cs="Arial"/>
                <w:szCs w:val="22"/>
                <w:lang w:val="en-NZ"/>
              </w:rPr>
              <w:t xml:space="preserve">but not decriminalising possession by drug users. </w:t>
            </w:r>
            <w:r w:rsidR="00805DB4" w:rsidRPr="00A864A5">
              <w:rPr>
                <w:rFonts w:cs="Arial"/>
                <w:szCs w:val="22"/>
                <w:lang w:val="en-NZ"/>
              </w:rPr>
              <w:tab/>
            </w:r>
          </w:p>
        </w:tc>
      </w:tr>
      <w:tr w:rsidR="00E8143E" w:rsidRPr="00A864A5" w14:paraId="42ED5650" w14:textId="77777777" w:rsidTr="00473506">
        <w:tc>
          <w:tcPr>
            <w:tcW w:w="5000" w:type="pct"/>
            <w:gridSpan w:val="2"/>
            <w:tcBorders>
              <w:bottom w:val="single" w:sz="4" w:space="0" w:color="DDDDDD"/>
            </w:tcBorders>
            <w:shd w:val="clear" w:color="auto" w:fill="99CDDD"/>
            <w:hideMark/>
          </w:tcPr>
          <w:p w14:paraId="195A9405" w14:textId="63973CA0" w:rsidR="00E8143E" w:rsidRPr="00A864A5" w:rsidRDefault="00E8143E" w:rsidP="00473506">
            <w:pPr>
              <w:pStyle w:val="TableHeadings"/>
              <w:rPr>
                <w:color w:val="002060"/>
                <w:szCs w:val="22"/>
                <w:lang w:val="en-NZ"/>
              </w:rPr>
            </w:pPr>
            <w:bookmarkStart w:id="3" w:name="_Hlk57203483"/>
            <w:bookmarkEnd w:id="1"/>
            <w:bookmarkEnd w:id="2"/>
            <w:r w:rsidRPr="00A864A5">
              <w:rPr>
                <w:szCs w:val="22"/>
                <w:lang w:val="en-NZ"/>
              </w:rPr>
              <w:lastRenderedPageBreak/>
              <w:t>Limitations or Constraints on Analysis</w:t>
            </w:r>
          </w:p>
        </w:tc>
      </w:tr>
      <w:tr w:rsidR="00E8143E" w:rsidRPr="00A864A5" w14:paraId="2E89EDEC" w14:textId="77777777" w:rsidTr="00FC27A3">
        <w:trPr>
          <w:trHeight w:val="1486"/>
        </w:trPr>
        <w:tc>
          <w:tcPr>
            <w:tcW w:w="5000" w:type="pct"/>
            <w:gridSpan w:val="2"/>
            <w:tcBorders>
              <w:top w:val="nil"/>
            </w:tcBorders>
            <w:shd w:val="clear" w:color="auto" w:fill="auto"/>
          </w:tcPr>
          <w:p w14:paraId="45725AAF" w14:textId="42275F45" w:rsidR="00E8143E" w:rsidRDefault="00A50DF2" w:rsidP="009051F0">
            <w:pPr>
              <w:pStyle w:val="Bullet-list"/>
            </w:pPr>
            <w:r>
              <w:t>T</w:t>
            </w:r>
            <w:r w:rsidR="009031DD">
              <w:t xml:space="preserve">he new system needs to be in place by the time the </w:t>
            </w:r>
            <w:r w:rsidR="000367A6">
              <w:t xml:space="preserve">Drug Checking Act </w:t>
            </w:r>
            <w:r w:rsidR="009031DD">
              <w:t>repeals in early December 2021</w:t>
            </w:r>
            <w:r w:rsidR="00343C1C">
              <w:t xml:space="preserve"> which has limited time for identification and analysis of a wide range of options</w:t>
            </w:r>
            <w:r w:rsidR="009031DD">
              <w:t xml:space="preserve">. </w:t>
            </w:r>
          </w:p>
          <w:p w14:paraId="628C4562" w14:textId="5529CE6F" w:rsidR="00F87DF0" w:rsidRPr="00E1176B" w:rsidRDefault="00D7657B" w:rsidP="00835BC6">
            <w:pPr>
              <w:pStyle w:val="Bullet-list"/>
            </w:pPr>
            <w:r w:rsidRPr="00E1176B">
              <w:t xml:space="preserve">Drug checking addresses </w:t>
            </w:r>
            <w:r w:rsidR="00CF5F92" w:rsidRPr="00E1176B">
              <w:t xml:space="preserve">one aspect of the </w:t>
            </w:r>
            <w:r w:rsidR="00A856F1">
              <w:t xml:space="preserve">primary </w:t>
            </w:r>
            <w:r w:rsidR="00CF5F92" w:rsidRPr="00E1176B">
              <w:t xml:space="preserve">policy problem: risk and harm arising from lack of information about illicit drugs. </w:t>
            </w:r>
            <w:r w:rsidR="00D158E8" w:rsidRPr="00E1176B">
              <w:t xml:space="preserve">Drug checking addresses this information deficit by providing people with information about the likely composition of the drugs they intend to take, and how to reduce risks from drug consumption. </w:t>
            </w:r>
            <w:r w:rsidR="006F2415">
              <w:t xml:space="preserve">It also provides information to Police and health services about drugs in circulation. </w:t>
            </w:r>
            <w:r w:rsidR="005A6B48" w:rsidRPr="00E1176B">
              <w:t xml:space="preserve">Addressing drug harm more broadly will require an extensive </w:t>
            </w:r>
            <w:r w:rsidR="000B4C8F" w:rsidRPr="00E1176B">
              <w:t xml:space="preserve">and multi-faceted </w:t>
            </w:r>
            <w:r w:rsidR="005A6B48" w:rsidRPr="00E1176B">
              <w:t>work programme</w:t>
            </w:r>
            <w:r w:rsidR="00E1176B">
              <w:t xml:space="preserve"> which is outside the scope of this project</w:t>
            </w:r>
            <w:r w:rsidR="00C6596F" w:rsidRPr="00E1176B">
              <w:t xml:space="preserve">. </w:t>
            </w:r>
          </w:p>
          <w:p w14:paraId="3DBA48DC" w14:textId="5ADEC103" w:rsidR="004D309C" w:rsidRPr="00A864A5" w:rsidRDefault="00F93A0A" w:rsidP="005E4FAB">
            <w:pPr>
              <w:pStyle w:val="Bullet-list"/>
            </w:pPr>
            <w:r>
              <w:t xml:space="preserve">Research in New Zealand and other countries consistently shows that </w:t>
            </w:r>
            <w:r w:rsidR="00537B60">
              <w:t xml:space="preserve">a significant percentage </w:t>
            </w:r>
            <w:r w:rsidR="00F25D11">
              <w:t xml:space="preserve">(up to 75% in New Zealand) </w:t>
            </w:r>
            <w:r w:rsidR="00537B60">
              <w:t xml:space="preserve">of people will choose not to take their drugs if they are not as expected. </w:t>
            </w:r>
            <w:r w:rsidR="00F25D11">
              <w:t xml:space="preserve">There is also some </w:t>
            </w:r>
            <w:r w:rsidR="000B4C8F">
              <w:t xml:space="preserve">overseas </w:t>
            </w:r>
            <w:r w:rsidR="00F25D11">
              <w:t xml:space="preserve">evidence </w:t>
            </w:r>
            <w:r w:rsidR="000B4C8F">
              <w:t xml:space="preserve">that drug checking can significantly reduce drug-related </w:t>
            </w:r>
            <w:r w:rsidR="000B4C8F">
              <w:lastRenderedPageBreak/>
              <w:t>hospitalisations</w:t>
            </w:r>
            <w:r w:rsidR="00A2158D">
              <w:t>.</w:t>
            </w:r>
            <w:r w:rsidR="0087211D">
              <w:rPr>
                <w:rStyle w:val="FootnoteReference"/>
              </w:rPr>
              <w:footnoteReference w:id="1"/>
            </w:r>
            <w:r w:rsidR="00A2158D">
              <w:t xml:space="preserve"> </w:t>
            </w:r>
            <w:r w:rsidR="003659DA">
              <w:t xml:space="preserve">New Zealand does not </w:t>
            </w:r>
            <w:r w:rsidR="002B1751">
              <w:t>collect</w:t>
            </w:r>
            <w:r w:rsidR="003659DA">
              <w:t xml:space="preserve"> </w:t>
            </w:r>
            <w:r w:rsidR="00EB770E">
              <w:t>data on levels of harm from</w:t>
            </w:r>
            <w:r w:rsidR="00396973">
              <w:t xml:space="preserve"> specific</w:t>
            </w:r>
            <w:r w:rsidR="00EB770E">
              <w:t xml:space="preserve"> </w:t>
            </w:r>
            <w:r w:rsidR="00B30DD4">
              <w:t>drugs</w:t>
            </w:r>
            <w:r w:rsidR="00396973">
              <w:t xml:space="preserve">, </w:t>
            </w:r>
            <w:r w:rsidR="003659DA">
              <w:t>so it is not</w:t>
            </w:r>
            <w:r w:rsidR="0045795D">
              <w:t xml:space="preserve"> possible to know how much harm might be prevented</w:t>
            </w:r>
            <w:r w:rsidR="000B1174">
              <w:t xml:space="preserve">. </w:t>
            </w:r>
          </w:p>
        </w:tc>
      </w:tr>
      <w:tr w:rsidR="00413FD8" w:rsidRPr="00A864A5" w14:paraId="0EA0047F" w14:textId="77777777" w:rsidTr="00B82E98">
        <w:tc>
          <w:tcPr>
            <w:tcW w:w="5000" w:type="pct"/>
            <w:gridSpan w:val="2"/>
            <w:tcBorders>
              <w:bottom w:val="single" w:sz="4" w:space="0" w:color="DDDDDD"/>
            </w:tcBorders>
            <w:shd w:val="clear" w:color="auto" w:fill="99CDDD"/>
            <w:hideMark/>
          </w:tcPr>
          <w:p w14:paraId="7A579FF2" w14:textId="77777777" w:rsidR="00413FD8" w:rsidRPr="00A864A5" w:rsidRDefault="00413FD8" w:rsidP="00B82E98">
            <w:pPr>
              <w:pStyle w:val="TableHeadings"/>
              <w:rPr>
                <w:color w:val="002060"/>
                <w:szCs w:val="22"/>
                <w:lang w:val="en-NZ"/>
              </w:rPr>
            </w:pPr>
            <w:bookmarkStart w:id="4" w:name="_Hlk47608084"/>
            <w:bookmarkEnd w:id="3"/>
            <w:r w:rsidRPr="00A864A5">
              <w:rPr>
                <w:szCs w:val="22"/>
                <w:lang w:val="en-NZ"/>
              </w:rPr>
              <w:lastRenderedPageBreak/>
              <w:t>Responsible Manager(s) (completed by relevant manager)</w:t>
            </w:r>
          </w:p>
        </w:tc>
      </w:tr>
      <w:tr w:rsidR="00413FD8" w:rsidRPr="00A864A5" w14:paraId="091E60B6" w14:textId="77777777" w:rsidTr="007A20DD">
        <w:trPr>
          <w:trHeight w:val="1761"/>
        </w:trPr>
        <w:tc>
          <w:tcPr>
            <w:tcW w:w="5000" w:type="pct"/>
            <w:gridSpan w:val="2"/>
            <w:tcBorders>
              <w:top w:val="nil"/>
            </w:tcBorders>
            <w:shd w:val="clear" w:color="auto" w:fill="auto"/>
          </w:tcPr>
          <w:p w14:paraId="2BD94019" w14:textId="2DB5ACF0" w:rsidR="00413FD8" w:rsidRPr="00324917" w:rsidRDefault="00324917" w:rsidP="00560FED">
            <w:pPr>
              <w:spacing w:before="60" w:after="0" w:line="276" w:lineRule="auto"/>
              <w:ind w:left="284" w:hanging="284"/>
              <w:jc w:val="both"/>
              <w:rPr>
                <w:rFonts w:cs="Arial"/>
                <w:szCs w:val="22"/>
                <w:lang w:val="en-NZ"/>
              </w:rPr>
            </w:pPr>
            <w:r>
              <w:rPr>
                <w:rFonts w:cs="Arial"/>
                <w:szCs w:val="22"/>
                <w:lang w:val="en-NZ"/>
              </w:rPr>
              <w:t>John Doyle</w:t>
            </w:r>
          </w:p>
          <w:p w14:paraId="14C17A55" w14:textId="41925131" w:rsidR="00560FED" w:rsidRPr="00324917" w:rsidRDefault="00324917" w:rsidP="00560FED">
            <w:pPr>
              <w:spacing w:before="60" w:after="0" w:line="276" w:lineRule="auto"/>
              <w:ind w:left="284" w:hanging="284"/>
              <w:jc w:val="both"/>
              <w:rPr>
                <w:rFonts w:cs="Arial"/>
                <w:szCs w:val="22"/>
                <w:lang w:val="en-NZ"/>
              </w:rPr>
            </w:pPr>
            <w:r>
              <w:rPr>
                <w:rFonts w:cs="Arial"/>
                <w:szCs w:val="22"/>
                <w:lang w:val="en-NZ"/>
              </w:rPr>
              <w:t xml:space="preserve">Manager, Regulatory Policy </w:t>
            </w:r>
          </w:p>
          <w:p w14:paraId="487CCF41" w14:textId="628BD3DE" w:rsidR="00413FD8" w:rsidRPr="00324917" w:rsidRDefault="00324917" w:rsidP="00560FED">
            <w:pPr>
              <w:spacing w:before="60" w:after="0" w:line="276" w:lineRule="auto"/>
              <w:ind w:left="284" w:hanging="284"/>
              <w:jc w:val="both"/>
              <w:rPr>
                <w:rFonts w:cs="Arial"/>
                <w:szCs w:val="22"/>
                <w:lang w:val="en-NZ"/>
              </w:rPr>
            </w:pPr>
            <w:r>
              <w:rPr>
                <w:rFonts w:cs="Arial"/>
                <w:szCs w:val="22"/>
                <w:lang w:val="en-NZ"/>
              </w:rPr>
              <w:t>System Strategy and Policy</w:t>
            </w:r>
          </w:p>
          <w:p w14:paraId="4E99BE46" w14:textId="1EF574EC" w:rsidR="00413FD8" w:rsidRPr="00324917" w:rsidRDefault="00FF7E0E" w:rsidP="00560FED">
            <w:pPr>
              <w:spacing w:before="60" w:after="0" w:line="276" w:lineRule="auto"/>
              <w:ind w:left="284" w:hanging="284"/>
              <w:jc w:val="both"/>
              <w:rPr>
                <w:rFonts w:cs="Arial"/>
                <w:szCs w:val="22"/>
                <w:lang w:val="en-NZ"/>
              </w:rPr>
            </w:pPr>
            <w:r>
              <w:rPr>
                <w:rFonts w:cs="Arial"/>
                <w:szCs w:val="22"/>
                <w:lang w:val="en-NZ"/>
              </w:rPr>
              <w:t>Ministry of Health</w:t>
            </w:r>
          </w:p>
          <w:p w14:paraId="2C49C312" w14:textId="33974042" w:rsidR="00FF7E0E" w:rsidRDefault="00FF7E0E" w:rsidP="00560FED">
            <w:pPr>
              <w:spacing w:after="0"/>
              <w:rPr>
                <w:rFonts w:cs="Arial"/>
                <w:szCs w:val="22"/>
                <w:lang w:val="en-NZ"/>
              </w:rPr>
            </w:pPr>
          </w:p>
          <w:p w14:paraId="4C88FFD7" w14:textId="2E9F6B47" w:rsidR="00BC189F" w:rsidRDefault="004D59F0" w:rsidP="00560FED">
            <w:pPr>
              <w:spacing w:after="0"/>
              <w:rPr>
                <w:rFonts w:cs="Arial"/>
                <w:szCs w:val="22"/>
                <w:lang w:val="en-NZ"/>
              </w:rPr>
            </w:pPr>
            <w:r>
              <w:rPr>
                <w:rFonts w:cs="Arial"/>
                <w:szCs w:val="22"/>
                <w:lang w:val="en-NZ"/>
              </w:rPr>
              <w:t>1</w:t>
            </w:r>
            <w:r w:rsidR="00EA75F6">
              <w:rPr>
                <w:rFonts w:cs="Arial"/>
                <w:szCs w:val="22"/>
                <w:lang w:val="en-NZ"/>
              </w:rPr>
              <w:t>5</w:t>
            </w:r>
            <w:r w:rsidR="00BC189F">
              <w:rPr>
                <w:rFonts w:cs="Arial"/>
                <w:szCs w:val="22"/>
                <w:lang w:val="en-NZ"/>
              </w:rPr>
              <w:t>/03/2021</w:t>
            </w:r>
          </w:p>
          <w:p w14:paraId="65FBD4C4" w14:textId="6AD0A028" w:rsidR="007A20DD" w:rsidRPr="00A864A5" w:rsidRDefault="007A20DD" w:rsidP="00BC189F">
            <w:pPr>
              <w:spacing w:after="0"/>
              <w:rPr>
                <w:rFonts w:cs="Arial"/>
                <w:iCs/>
                <w:color w:val="000000"/>
                <w:sz w:val="14"/>
                <w:szCs w:val="14"/>
                <w:lang w:val="en-NZ"/>
              </w:rPr>
            </w:pPr>
          </w:p>
        </w:tc>
      </w:tr>
      <w:tr w:rsidR="00EB2157" w:rsidRPr="00A864A5" w14:paraId="5FCD62D5" w14:textId="77777777" w:rsidTr="00CF7FB3">
        <w:tc>
          <w:tcPr>
            <w:tcW w:w="5000" w:type="pct"/>
            <w:gridSpan w:val="2"/>
            <w:tcBorders>
              <w:bottom w:val="single" w:sz="4" w:space="0" w:color="DDDDDD"/>
            </w:tcBorders>
            <w:shd w:val="clear" w:color="auto" w:fill="99CDDD"/>
            <w:hideMark/>
          </w:tcPr>
          <w:p w14:paraId="55C0C834" w14:textId="5D1F9B2C" w:rsidR="00EB2157" w:rsidRPr="00A864A5" w:rsidRDefault="00EB2157" w:rsidP="00CF7FB3">
            <w:pPr>
              <w:pStyle w:val="TableHeadings"/>
              <w:rPr>
                <w:color w:val="002060"/>
                <w:szCs w:val="22"/>
                <w:lang w:val="en-NZ"/>
              </w:rPr>
            </w:pPr>
            <w:r w:rsidRPr="00A864A5">
              <w:rPr>
                <w:szCs w:val="22"/>
                <w:lang w:val="en-NZ"/>
              </w:rPr>
              <w:t xml:space="preserve">Quality </w:t>
            </w:r>
            <w:r w:rsidR="009F6501" w:rsidRPr="00A864A5">
              <w:rPr>
                <w:szCs w:val="22"/>
                <w:lang w:val="en-NZ"/>
              </w:rPr>
              <w:t>A</w:t>
            </w:r>
            <w:r w:rsidRPr="00A864A5">
              <w:rPr>
                <w:szCs w:val="22"/>
                <w:lang w:val="en-NZ"/>
              </w:rPr>
              <w:t>ssuranc</w:t>
            </w:r>
            <w:r w:rsidR="00BE1BC0">
              <w:rPr>
                <w:szCs w:val="22"/>
                <w:lang w:val="en-NZ"/>
              </w:rPr>
              <w:t>e</w:t>
            </w:r>
          </w:p>
        </w:tc>
      </w:tr>
      <w:tr w:rsidR="00EB2157" w:rsidRPr="00A864A5" w14:paraId="6F7BACA2" w14:textId="77777777" w:rsidTr="000C29FA">
        <w:trPr>
          <w:trHeight w:val="691"/>
        </w:trPr>
        <w:tc>
          <w:tcPr>
            <w:tcW w:w="1297" w:type="pct"/>
            <w:tcBorders>
              <w:top w:val="nil"/>
            </w:tcBorders>
            <w:shd w:val="clear" w:color="auto" w:fill="EBF5F8"/>
          </w:tcPr>
          <w:p w14:paraId="22AF1207" w14:textId="2D9FD533" w:rsidR="00EB2157" w:rsidRPr="00A864A5" w:rsidRDefault="00EB2157" w:rsidP="00CF7FB3">
            <w:pPr>
              <w:spacing w:after="180"/>
              <w:rPr>
                <w:rFonts w:cs="Arial"/>
                <w:iCs/>
                <w:color w:val="000000"/>
                <w:szCs w:val="22"/>
                <w:lang w:val="en-NZ"/>
              </w:rPr>
            </w:pPr>
            <w:r w:rsidRPr="00A864A5">
              <w:rPr>
                <w:rFonts w:cs="Arial"/>
                <w:iCs/>
                <w:color w:val="000000"/>
                <w:szCs w:val="22"/>
                <w:lang w:val="en-NZ"/>
              </w:rPr>
              <w:t xml:space="preserve">Reviewing </w:t>
            </w:r>
            <w:r w:rsidR="00575FF9" w:rsidRPr="00A864A5">
              <w:rPr>
                <w:rFonts w:cs="Arial"/>
                <w:iCs/>
                <w:color w:val="000000"/>
                <w:szCs w:val="22"/>
                <w:lang w:val="en-NZ"/>
              </w:rPr>
              <w:t>A</w:t>
            </w:r>
            <w:r w:rsidRPr="00A864A5">
              <w:rPr>
                <w:rFonts w:cs="Arial"/>
                <w:iCs/>
                <w:color w:val="000000"/>
                <w:szCs w:val="22"/>
                <w:lang w:val="en-NZ"/>
              </w:rPr>
              <w:t>gency</w:t>
            </w:r>
            <w:r w:rsidR="00F321A6" w:rsidRPr="00A864A5">
              <w:rPr>
                <w:rFonts w:cs="Arial"/>
                <w:iCs/>
                <w:color w:val="000000"/>
                <w:szCs w:val="22"/>
                <w:lang w:val="en-NZ"/>
              </w:rPr>
              <w:t>/</w:t>
            </w:r>
            <w:r w:rsidR="009438E4" w:rsidRPr="00A864A5">
              <w:rPr>
                <w:rFonts w:cs="Arial"/>
                <w:iCs/>
                <w:color w:val="000000"/>
                <w:szCs w:val="22"/>
                <w:lang w:val="en-NZ"/>
              </w:rPr>
              <w:t>Agencies</w:t>
            </w:r>
            <w:r w:rsidRPr="00A864A5">
              <w:rPr>
                <w:rFonts w:cs="Arial"/>
                <w:iCs/>
                <w:color w:val="000000"/>
                <w:szCs w:val="22"/>
                <w:lang w:val="en-NZ"/>
              </w:rPr>
              <w:t>:</w:t>
            </w:r>
          </w:p>
        </w:tc>
        <w:tc>
          <w:tcPr>
            <w:tcW w:w="3703" w:type="pct"/>
            <w:tcBorders>
              <w:top w:val="nil"/>
            </w:tcBorders>
            <w:shd w:val="clear" w:color="auto" w:fill="auto"/>
          </w:tcPr>
          <w:p w14:paraId="402BE84D" w14:textId="590B29FE" w:rsidR="00EB2157" w:rsidRPr="00A864A5" w:rsidRDefault="00032D5E" w:rsidP="00CF7FB3">
            <w:pPr>
              <w:spacing w:after="180"/>
              <w:rPr>
                <w:rFonts w:cs="Arial"/>
                <w:iCs/>
                <w:color w:val="000000"/>
                <w:szCs w:val="22"/>
                <w:lang w:val="en-NZ"/>
              </w:rPr>
            </w:pPr>
            <w:r>
              <w:rPr>
                <w:rFonts w:cs="Arial"/>
                <w:iCs/>
                <w:color w:val="000000"/>
                <w:szCs w:val="22"/>
                <w:lang w:val="en-NZ"/>
              </w:rPr>
              <w:t>Ministry of Health P</w:t>
            </w:r>
            <w:r w:rsidR="00BC189F">
              <w:rPr>
                <w:rFonts w:cs="Arial"/>
                <w:iCs/>
                <w:color w:val="000000"/>
                <w:szCs w:val="22"/>
                <w:lang w:val="en-NZ"/>
              </w:rPr>
              <w:t>apers</w:t>
            </w:r>
            <w:r>
              <w:rPr>
                <w:rFonts w:cs="Arial"/>
                <w:iCs/>
                <w:color w:val="000000"/>
                <w:szCs w:val="22"/>
                <w:lang w:val="en-NZ"/>
              </w:rPr>
              <w:t xml:space="preserve"> and </w:t>
            </w:r>
            <w:r w:rsidR="00941993">
              <w:rPr>
                <w:rFonts w:cs="Arial"/>
                <w:iCs/>
                <w:color w:val="000000"/>
                <w:szCs w:val="22"/>
                <w:lang w:val="en-NZ"/>
              </w:rPr>
              <w:t>Regulat</w:t>
            </w:r>
            <w:r w:rsidR="00BC189F">
              <w:rPr>
                <w:rFonts w:cs="Arial"/>
                <w:iCs/>
                <w:color w:val="000000"/>
                <w:szCs w:val="22"/>
                <w:lang w:val="en-NZ"/>
              </w:rPr>
              <w:t>ory</w:t>
            </w:r>
            <w:r w:rsidR="00941993">
              <w:rPr>
                <w:rFonts w:cs="Arial"/>
                <w:iCs/>
                <w:color w:val="000000"/>
                <w:szCs w:val="22"/>
                <w:lang w:val="en-NZ"/>
              </w:rPr>
              <w:t xml:space="preserve"> Committee</w:t>
            </w:r>
            <w:r w:rsidR="00BC189F">
              <w:rPr>
                <w:rFonts w:cs="Arial"/>
                <w:iCs/>
                <w:color w:val="000000"/>
                <w:szCs w:val="22"/>
                <w:lang w:val="en-NZ"/>
              </w:rPr>
              <w:t xml:space="preserve"> (PARC)</w:t>
            </w:r>
          </w:p>
        </w:tc>
      </w:tr>
      <w:tr w:rsidR="00EB2157" w:rsidRPr="00A864A5" w14:paraId="228C68D7" w14:textId="77777777" w:rsidTr="000C29FA">
        <w:trPr>
          <w:trHeight w:val="1849"/>
        </w:trPr>
        <w:tc>
          <w:tcPr>
            <w:tcW w:w="1297" w:type="pct"/>
            <w:tcBorders>
              <w:top w:val="nil"/>
            </w:tcBorders>
            <w:shd w:val="clear" w:color="auto" w:fill="EBF5F8"/>
          </w:tcPr>
          <w:p w14:paraId="4DF0990E" w14:textId="00252464" w:rsidR="00EB2157" w:rsidRPr="00A864A5" w:rsidRDefault="00F321A6" w:rsidP="00CF7FB3">
            <w:pPr>
              <w:spacing w:after="180"/>
              <w:rPr>
                <w:rFonts w:cs="Arial"/>
                <w:iCs/>
                <w:color w:val="000000"/>
                <w:szCs w:val="22"/>
                <w:lang w:val="en-NZ"/>
              </w:rPr>
            </w:pPr>
            <w:r w:rsidRPr="00A864A5">
              <w:rPr>
                <w:rFonts w:cs="Arial"/>
                <w:iCs/>
                <w:color w:val="000000"/>
                <w:szCs w:val="22"/>
                <w:lang w:val="en-NZ"/>
              </w:rPr>
              <w:t xml:space="preserve">Panel </w:t>
            </w:r>
            <w:r w:rsidR="00EB2157" w:rsidRPr="00A864A5">
              <w:rPr>
                <w:rFonts w:cs="Arial"/>
                <w:iCs/>
                <w:color w:val="000000"/>
                <w:szCs w:val="22"/>
                <w:lang w:val="en-NZ"/>
              </w:rPr>
              <w:t>Assessment</w:t>
            </w:r>
            <w:r w:rsidRPr="00A864A5">
              <w:rPr>
                <w:rFonts w:cs="Arial"/>
                <w:iCs/>
                <w:color w:val="000000"/>
                <w:szCs w:val="22"/>
                <w:lang w:val="en-NZ"/>
              </w:rPr>
              <w:t xml:space="preserve"> &amp; </w:t>
            </w:r>
            <w:r w:rsidR="0085441F" w:rsidRPr="00A864A5">
              <w:rPr>
                <w:rFonts w:cs="Arial"/>
                <w:iCs/>
                <w:color w:val="000000"/>
                <w:szCs w:val="22"/>
                <w:lang w:val="en-NZ"/>
              </w:rPr>
              <w:t>Comment</w:t>
            </w:r>
            <w:r w:rsidR="00EB2157" w:rsidRPr="00A864A5">
              <w:rPr>
                <w:rFonts w:cs="Arial"/>
                <w:iCs/>
                <w:color w:val="000000"/>
                <w:szCs w:val="22"/>
                <w:lang w:val="en-NZ"/>
              </w:rPr>
              <w:t>:</w:t>
            </w:r>
          </w:p>
        </w:tc>
        <w:tc>
          <w:tcPr>
            <w:tcW w:w="3703" w:type="pct"/>
            <w:tcBorders>
              <w:top w:val="nil"/>
            </w:tcBorders>
            <w:shd w:val="clear" w:color="auto" w:fill="auto"/>
          </w:tcPr>
          <w:p w14:paraId="678D99D3" w14:textId="7F248DAB" w:rsidR="00677563" w:rsidRPr="00677563" w:rsidRDefault="00677563" w:rsidP="00677563">
            <w:pPr>
              <w:spacing w:after="180"/>
              <w:rPr>
                <w:rFonts w:cs="Arial"/>
                <w:iCs/>
                <w:color w:val="000000"/>
                <w:szCs w:val="22"/>
                <w:lang w:val="en-NZ"/>
              </w:rPr>
            </w:pPr>
            <w:r w:rsidRPr="00677563">
              <w:rPr>
                <w:rFonts w:cs="Arial"/>
                <w:iCs/>
                <w:color w:val="000000"/>
                <w:szCs w:val="22"/>
                <w:lang w:val="en-NZ"/>
              </w:rPr>
              <w:t xml:space="preserve">The Ministry QA panel has reviewed the Impact Statement titled “Regulation of drug checking services”, produced by the Ministry of Health and dated March 2021. </w:t>
            </w:r>
          </w:p>
          <w:p w14:paraId="3E531A9B" w14:textId="77777777" w:rsidR="00677563" w:rsidRPr="00677563" w:rsidRDefault="00677563" w:rsidP="00677563">
            <w:pPr>
              <w:spacing w:after="180"/>
              <w:rPr>
                <w:rFonts w:cs="Arial"/>
                <w:iCs/>
                <w:color w:val="000000"/>
                <w:szCs w:val="22"/>
                <w:lang w:val="en-NZ"/>
              </w:rPr>
            </w:pPr>
            <w:r w:rsidRPr="00677563">
              <w:rPr>
                <w:rFonts w:cs="Arial"/>
                <w:iCs/>
                <w:color w:val="000000"/>
                <w:szCs w:val="22"/>
                <w:lang w:val="en-NZ"/>
              </w:rPr>
              <w:t>The panel considers that the Impact Statement meets the quality assurance criteria.</w:t>
            </w:r>
          </w:p>
          <w:p w14:paraId="28FD900F" w14:textId="385BC28C" w:rsidR="00EB2157" w:rsidRPr="00A864A5" w:rsidRDefault="00677563" w:rsidP="00677563">
            <w:pPr>
              <w:spacing w:after="180"/>
              <w:rPr>
                <w:rFonts w:cs="Arial"/>
                <w:iCs/>
                <w:color w:val="000000"/>
                <w:szCs w:val="22"/>
                <w:lang w:val="en-NZ"/>
              </w:rPr>
            </w:pPr>
            <w:r w:rsidRPr="00677563">
              <w:rPr>
                <w:rFonts w:cs="Arial"/>
                <w:iCs/>
                <w:color w:val="000000"/>
                <w:szCs w:val="22"/>
                <w:lang w:val="en-NZ"/>
              </w:rPr>
              <w:t>The Impact Statement is clear and concise. The analysis is balanced in its presentation of the information and the major impacts are identified and assessed.</w:t>
            </w:r>
          </w:p>
        </w:tc>
      </w:tr>
    </w:tbl>
    <w:p w14:paraId="294EA294" w14:textId="77777777" w:rsidR="00CE4BE1" w:rsidRDefault="00CE4BE1" w:rsidP="007D51FF">
      <w:pPr>
        <w:rPr>
          <w:lang w:val="en-NZ"/>
        </w:rPr>
      </w:pPr>
      <w:bookmarkStart w:id="5" w:name="_Toc363047038"/>
      <w:bookmarkStart w:id="6" w:name="_Toc362940530"/>
      <w:bookmarkStart w:id="7" w:name="_Toc362618966"/>
      <w:bookmarkStart w:id="8" w:name="_Toc362434720"/>
      <w:bookmarkStart w:id="9" w:name="_Toc362368098"/>
      <w:bookmarkEnd w:id="4"/>
    </w:p>
    <w:p w14:paraId="02D1B969" w14:textId="77777777" w:rsidR="00CE4BE1" w:rsidRDefault="00CE4BE1">
      <w:pPr>
        <w:spacing w:after="0" w:line="240" w:lineRule="auto"/>
        <w:rPr>
          <w:rFonts w:ascii="Arial Bold" w:hAnsi="Arial Bold"/>
          <w:b/>
          <w:color w:val="0082AB"/>
          <w:spacing w:val="20"/>
          <w:w w:val="90"/>
          <w:sz w:val="32"/>
          <w:szCs w:val="24"/>
          <w:lang w:val="en-NZ"/>
        </w:rPr>
      </w:pPr>
      <w:r>
        <w:rPr>
          <w:lang w:val="en-NZ"/>
        </w:rPr>
        <w:br w:type="page"/>
      </w:r>
    </w:p>
    <w:p w14:paraId="18A4BED5" w14:textId="48BFD817" w:rsidR="00DD2C30" w:rsidRPr="00A864A5" w:rsidRDefault="00F16C50" w:rsidP="00DD2C30">
      <w:pPr>
        <w:pStyle w:val="Heading2"/>
        <w:rPr>
          <w:lang w:val="en-NZ"/>
        </w:rPr>
      </w:pPr>
      <w:r w:rsidRPr="00A864A5">
        <w:rPr>
          <w:lang w:val="en-NZ"/>
        </w:rPr>
        <w:lastRenderedPageBreak/>
        <w:t xml:space="preserve">Section 1: </w:t>
      </w:r>
      <w:r w:rsidR="00F402DF" w:rsidRPr="00A864A5">
        <w:rPr>
          <w:lang w:val="en-NZ"/>
        </w:rPr>
        <w:t>Outlining the problem</w:t>
      </w:r>
    </w:p>
    <w:p w14:paraId="4E48D616" w14:textId="42A4AE88" w:rsidR="007D78A1" w:rsidRPr="00A864A5" w:rsidRDefault="007D78A1" w:rsidP="007D78A1">
      <w:pPr>
        <w:pStyle w:val="Heading3"/>
        <w:rPr>
          <w:lang w:val="en-NZ"/>
        </w:rPr>
      </w:pPr>
      <w:r w:rsidRPr="00A864A5">
        <w:rPr>
          <w:lang w:val="en-NZ"/>
        </w:rPr>
        <w:t>Background Information</w:t>
      </w:r>
    </w:p>
    <w:p w14:paraId="3FAFEAA8" w14:textId="412106B6" w:rsidR="00F87DF0" w:rsidRDefault="00735B75" w:rsidP="001F494A">
      <w:pPr>
        <w:pStyle w:val="Heading4"/>
      </w:pPr>
      <w:r>
        <w:t>Uninten</w:t>
      </w:r>
      <w:r w:rsidR="009506F6">
        <w:t>ded</w:t>
      </w:r>
      <w:r>
        <w:t xml:space="preserve"> consequences of drug </w:t>
      </w:r>
      <w:r w:rsidR="00F87DF0">
        <w:t xml:space="preserve">prohibition </w:t>
      </w:r>
    </w:p>
    <w:p w14:paraId="02D2BF52" w14:textId="59AEE41B" w:rsidR="00DC4949" w:rsidRDefault="00CF6D07" w:rsidP="00F87DF0">
      <w:pPr>
        <w:rPr>
          <w:lang w:val="en-NZ"/>
        </w:rPr>
      </w:pPr>
      <w:r>
        <w:rPr>
          <w:lang w:val="en-NZ"/>
        </w:rPr>
        <w:t xml:space="preserve">The main piece of legislation addressing illicit drugs in New Zealand is the Misuse of Drugs Act 1975. </w:t>
      </w:r>
      <w:r w:rsidR="00AD254D">
        <w:rPr>
          <w:lang w:val="en-NZ"/>
        </w:rPr>
        <w:t>U</w:t>
      </w:r>
      <w:r w:rsidR="005874EB">
        <w:rPr>
          <w:lang w:val="en-NZ"/>
        </w:rPr>
        <w:t>n</w:t>
      </w:r>
      <w:r w:rsidR="002F5FE0">
        <w:rPr>
          <w:lang w:val="en-NZ"/>
        </w:rPr>
        <w:t>classified</w:t>
      </w:r>
      <w:r w:rsidR="005874EB">
        <w:rPr>
          <w:lang w:val="en-NZ"/>
        </w:rPr>
        <w:t xml:space="preserve"> psychoactive substances are addressed through the Psychoactive Substances Act 2013.</w:t>
      </w:r>
      <w:r w:rsidR="007C6EA0">
        <w:rPr>
          <w:lang w:val="en-NZ"/>
        </w:rPr>
        <w:t xml:space="preserve"> The Misuse of Drugs Act is based on </w:t>
      </w:r>
      <w:r w:rsidR="00C965B4">
        <w:rPr>
          <w:lang w:val="en-NZ"/>
        </w:rPr>
        <w:t xml:space="preserve">the idea that it is possible to prevent </w:t>
      </w:r>
      <w:r w:rsidR="000B0902">
        <w:rPr>
          <w:lang w:val="en-NZ"/>
        </w:rPr>
        <w:t xml:space="preserve">illicit </w:t>
      </w:r>
      <w:r w:rsidR="00C965B4">
        <w:rPr>
          <w:lang w:val="en-NZ"/>
        </w:rPr>
        <w:t xml:space="preserve">drug consumption </w:t>
      </w:r>
      <w:r w:rsidR="00DC4949">
        <w:rPr>
          <w:lang w:val="en-NZ"/>
        </w:rPr>
        <w:t xml:space="preserve">(and therefore </w:t>
      </w:r>
      <w:r w:rsidR="000B0902">
        <w:rPr>
          <w:lang w:val="en-NZ"/>
        </w:rPr>
        <w:t xml:space="preserve">illicit </w:t>
      </w:r>
      <w:r w:rsidR="00DC4949">
        <w:rPr>
          <w:lang w:val="en-NZ"/>
        </w:rPr>
        <w:t xml:space="preserve">drug harm) </w:t>
      </w:r>
      <w:r w:rsidR="00C965B4">
        <w:rPr>
          <w:lang w:val="en-NZ"/>
        </w:rPr>
        <w:t xml:space="preserve">by </w:t>
      </w:r>
      <w:r w:rsidR="005F509B">
        <w:rPr>
          <w:lang w:val="en-NZ"/>
        </w:rPr>
        <w:t>prohibiting</w:t>
      </w:r>
      <w:r w:rsidR="00C965B4">
        <w:rPr>
          <w:lang w:val="en-NZ"/>
        </w:rPr>
        <w:t xml:space="preserve"> the manufacture, import, sale and possession of illicit drugs</w:t>
      </w:r>
      <w:r w:rsidR="00DC4949">
        <w:rPr>
          <w:lang w:val="en-NZ"/>
        </w:rPr>
        <w:t xml:space="preserve">, and the diversion of pharmaceutical drugs for </w:t>
      </w:r>
      <w:r w:rsidR="00542BB5">
        <w:rPr>
          <w:lang w:val="en-NZ"/>
        </w:rPr>
        <w:t xml:space="preserve">illicit </w:t>
      </w:r>
      <w:r w:rsidR="00DC4949">
        <w:rPr>
          <w:lang w:val="en-NZ"/>
        </w:rPr>
        <w:t>use</w:t>
      </w:r>
      <w:r w:rsidR="00C965B4">
        <w:rPr>
          <w:lang w:val="en-NZ"/>
        </w:rPr>
        <w:t xml:space="preserve">. </w:t>
      </w:r>
    </w:p>
    <w:p w14:paraId="46C5BB19" w14:textId="7FB5B554" w:rsidR="00DC4949" w:rsidRDefault="00B14184" w:rsidP="00F87DF0">
      <w:pPr>
        <w:rPr>
          <w:lang w:val="en-NZ"/>
        </w:rPr>
      </w:pPr>
      <w:r>
        <w:rPr>
          <w:lang w:val="en-NZ"/>
        </w:rPr>
        <w:t xml:space="preserve">In recent years the Misuse of Drugs Act has been amended to provide for </w:t>
      </w:r>
      <w:r w:rsidR="00CC77AA">
        <w:rPr>
          <w:lang w:val="en-NZ"/>
        </w:rPr>
        <w:t xml:space="preserve">other approaches to drug harm reduction. These approaches </w:t>
      </w:r>
      <w:r w:rsidR="00B861BA">
        <w:rPr>
          <w:lang w:val="en-NZ"/>
        </w:rPr>
        <w:t xml:space="preserve">seek to reduce risk and harm to people who consume drugs despite prohibition. </w:t>
      </w:r>
      <w:r w:rsidR="00704BE7">
        <w:rPr>
          <w:lang w:val="en-NZ"/>
        </w:rPr>
        <w:t>However</w:t>
      </w:r>
      <w:r w:rsidR="004B20C1">
        <w:rPr>
          <w:lang w:val="en-NZ"/>
        </w:rPr>
        <w:t>,</w:t>
      </w:r>
      <w:r w:rsidR="00704BE7">
        <w:rPr>
          <w:lang w:val="en-NZ"/>
        </w:rPr>
        <w:t xml:space="preserve"> the overall approach of the Misuse of Drugs Act is still prohibition. </w:t>
      </w:r>
      <w:r w:rsidR="00CC77AA">
        <w:rPr>
          <w:lang w:val="en-NZ"/>
        </w:rPr>
        <w:t xml:space="preserve"> </w:t>
      </w:r>
    </w:p>
    <w:p w14:paraId="1C8310C6" w14:textId="1257F460" w:rsidR="009A36BD" w:rsidRDefault="00614897" w:rsidP="009A36BD">
      <w:pPr>
        <w:rPr>
          <w:lang w:val="en-NZ"/>
        </w:rPr>
      </w:pPr>
      <w:r>
        <w:rPr>
          <w:lang w:val="en-NZ"/>
        </w:rPr>
        <w:t>Despite prohibition,</w:t>
      </w:r>
      <w:r w:rsidR="009A36BD">
        <w:rPr>
          <w:lang w:val="en-NZ"/>
        </w:rPr>
        <w:t xml:space="preserve"> </w:t>
      </w:r>
      <w:r w:rsidR="000B0902">
        <w:rPr>
          <w:lang w:val="en-NZ"/>
        </w:rPr>
        <w:t>many</w:t>
      </w:r>
      <w:r w:rsidR="009A36BD">
        <w:rPr>
          <w:lang w:val="en-NZ"/>
        </w:rPr>
        <w:t xml:space="preserve"> illicit drugs are still widely available</w:t>
      </w:r>
      <w:r>
        <w:rPr>
          <w:lang w:val="en-NZ"/>
        </w:rPr>
        <w:t xml:space="preserve"> in New Zealand</w:t>
      </w:r>
      <w:r w:rsidR="009A36BD">
        <w:rPr>
          <w:lang w:val="en-NZ"/>
        </w:rPr>
        <w:t>. The 2017/18 New Zealand Health Survey found that 15</w:t>
      </w:r>
      <w:r w:rsidR="004B20C1">
        <w:rPr>
          <w:lang w:val="en-NZ"/>
        </w:rPr>
        <w:t xml:space="preserve"> percent</w:t>
      </w:r>
      <w:r w:rsidR="009A36BD">
        <w:rPr>
          <w:lang w:val="en-NZ"/>
        </w:rPr>
        <w:t xml:space="preserve"> of New Zealand adults had used cannabis in the previous 12 months. International comparisons are difficult, but this seems to be higher than most other countries. Smaller percentages consume other illicit drugs including MDMA</w:t>
      </w:r>
      <w:r w:rsidR="006A1D20">
        <w:rPr>
          <w:lang w:val="en-NZ"/>
        </w:rPr>
        <w:t xml:space="preserve"> (ecstasy)</w:t>
      </w:r>
      <w:r w:rsidR="009A36BD">
        <w:rPr>
          <w:lang w:val="en-NZ"/>
        </w:rPr>
        <w:t xml:space="preserve">, cocaine and amphetamines. </w:t>
      </w:r>
    </w:p>
    <w:p w14:paraId="2F86F77E" w14:textId="2247BED7" w:rsidR="000752E3" w:rsidRDefault="00AB1D82" w:rsidP="00F87DF0">
      <w:pPr>
        <w:rPr>
          <w:lang w:val="en-NZ"/>
        </w:rPr>
      </w:pPr>
      <w:r>
        <w:rPr>
          <w:lang w:val="en-NZ"/>
        </w:rPr>
        <w:t>A</w:t>
      </w:r>
      <w:r w:rsidR="00E22913">
        <w:rPr>
          <w:lang w:val="en-NZ"/>
        </w:rPr>
        <w:t xml:space="preserve"> prohibition </w:t>
      </w:r>
      <w:r w:rsidR="00D14B99">
        <w:rPr>
          <w:lang w:val="en-NZ"/>
        </w:rPr>
        <w:t>approach means forgoing regulation and control over</w:t>
      </w:r>
      <w:r w:rsidR="007C4F54">
        <w:rPr>
          <w:lang w:val="en-NZ"/>
        </w:rPr>
        <w:t xml:space="preserve"> </w:t>
      </w:r>
      <w:r w:rsidR="00B17D6D">
        <w:rPr>
          <w:lang w:val="en-NZ"/>
        </w:rPr>
        <w:t xml:space="preserve">the </w:t>
      </w:r>
      <w:r w:rsidR="00C50147">
        <w:rPr>
          <w:lang w:val="en-NZ"/>
        </w:rPr>
        <w:t xml:space="preserve">manufacture </w:t>
      </w:r>
      <w:r w:rsidR="003575FF">
        <w:rPr>
          <w:lang w:val="en-NZ"/>
        </w:rPr>
        <w:t>and</w:t>
      </w:r>
      <w:r w:rsidR="00C50147">
        <w:rPr>
          <w:lang w:val="en-NZ"/>
        </w:rPr>
        <w:t xml:space="preserve"> </w:t>
      </w:r>
      <w:r w:rsidR="00353EE8">
        <w:rPr>
          <w:lang w:val="en-NZ"/>
        </w:rPr>
        <w:t>supply</w:t>
      </w:r>
      <w:r w:rsidR="007C4F54">
        <w:rPr>
          <w:lang w:val="en-NZ"/>
        </w:rPr>
        <w:t xml:space="preserve"> of </w:t>
      </w:r>
      <w:r w:rsidR="00F54F95">
        <w:rPr>
          <w:lang w:val="en-NZ"/>
        </w:rPr>
        <w:t xml:space="preserve">illicit </w:t>
      </w:r>
      <w:r w:rsidR="007C4F54">
        <w:rPr>
          <w:lang w:val="en-NZ"/>
        </w:rPr>
        <w:t>drugs.</w:t>
      </w:r>
      <w:r>
        <w:rPr>
          <w:lang w:val="en-NZ"/>
        </w:rPr>
        <w:t xml:space="preserve"> </w:t>
      </w:r>
      <w:r w:rsidR="008558D8">
        <w:rPr>
          <w:lang w:val="en-NZ"/>
        </w:rPr>
        <w:t xml:space="preserve">This contrasts with the </w:t>
      </w:r>
      <w:r w:rsidR="000045CB">
        <w:rPr>
          <w:lang w:val="en-NZ"/>
        </w:rPr>
        <w:t xml:space="preserve">regulatory </w:t>
      </w:r>
      <w:r w:rsidR="008558D8">
        <w:rPr>
          <w:lang w:val="en-NZ"/>
        </w:rPr>
        <w:t xml:space="preserve">approach </w:t>
      </w:r>
      <w:r w:rsidR="00C55C20">
        <w:rPr>
          <w:lang w:val="en-NZ"/>
        </w:rPr>
        <w:t>to alcohol. Alcohol manufacturers, importers and dealers are required to ensure that their product does not contain any</w:t>
      </w:r>
      <w:r w:rsidR="001D64B7">
        <w:rPr>
          <w:lang w:val="en-NZ"/>
        </w:rPr>
        <w:t xml:space="preserve"> contaminants and is of a consistent strength</w:t>
      </w:r>
      <w:r w:rsidR="001403F9">
        <w:rPr>
          <w:lang w:val="en-NZ"/>
        </w:rPr>
        <w:t>,</w:t>
      </w:r>
      <w:r w:rsidR="001D64B7">
        <w:rPr>
          <w:lang w:val="en-NZ"/>
        </w:rPr>
        <w:t xml:space="preserve"> which must be stated on the label. </w:t>
      </w:r>
      <w:r w:rsidR="00BB6854">
        <w:rPr>
          <w:lang w:val="en-NZ"/>
        </w:rPr>
        <w:t>Alcohol still causes a high level of harm, but</w:t>
      </w:r>
      <w:r w:rsidR="00164FE5">
        <w:rPr>
          <w:lang w:val="en-NZ"/>
        </w:rPr>
        <w:t xml:space="preserve"> in New Zealand</w:t>
      </w:r>
      <w:r w:rsidR="00BB6854">
        <w:rPr>
          <w:lang w:val="en-NZ"/>
        </w:rPr>
        <w:t xml:space="preserve"> </w:t>
      </w:r>
      <w:r w:rsidR="00F37185">
        <w:rPr>
          <w:lang w:val="en-NZ"/>
        </w:rPr>
        <w:t xml:space="preserve">it is very rare for anyone to consume a dangerous substance </w:t>
      </w:r>
      <w:r w:rsidR="00E409A0">
        <w:rPr>
          <w:lang w:val="en-NZ"/>
        </w:rPr>
        <w:t xml:space="preserve">which has been </w:t>
      </w:r>
      <w:r w:rsidR="001969AE">
        <w:rPr>
          <w:lang w:val="en-NZ"/>
        </w:rPr>
        <w:t xml:space="preserve">added to or </w:t>
      </w:r>
      <w:r w:rsidR="00E409A0">
        <w:rPr>
          <w:lang w:val="en-NZ"/>
        </w:rPr>
        <w:t xml:space="preserve">mis-sold as alcohol. </w:t>
      </w:r>
      <w:r w:rsidR="00520AFE">
        <w:rPr>
          <w:lang w:val="en-NZ"/>
        </w:rPr>
        <w:t xml:space="preserve">By comparison, testing of supposed MDMA over the summer of 2020/21 </w:t>
      </w:r>
      <w:r w:rsidR="00D709F0">
        <w:rPr>
          <w:lang w:val="en-NZ"/>
        </w:rPr>
        <w:t>showed that</w:t>
      </w:r>
      <w:r w:rsidR="00864742">
        <w:rPr>
          <w:lang w:val="en-NZ"/>
        </w:rPr>
        <w:t xml:space="preserve"> about 40-50%</w:t>
      </w:r>
      <w:r w:rsidR="00E2407B">
        <w:rPr>
          <w:lang w:val="en-NZ"/>
        </w:rPr>
        <w:t xml:space="preserve"> of samples were actually </w:t>
      </w:r>
      <w:r w:rsidR="004D6281">
        <w:rPr>
          <w:lang w:val="en-NZ"/>
        </w:rPr>
        <w:t>dangerous synthetic cathinones.</w:t>
      </w:r>
      <w:r w:rsidR="00195696">
        <w:rPr>
          <w:rStyle w:val="FootnoteReference"/>
          <w:lang w:val="en-NZ"/>
        </w:rPr>
        <w:footnoteReference w:id="2"/>
      </w:r>
      <w:r w:rsidR="004D6281">
        <w:rPr>
          <w:lang w:val="en-NZ"/>
        </w:rPr>
        <w:t xml:space="preserve"> </w:t>
      </w:r>
      <w:r w:rsidR="005644C0">
        <w:rPr>
          <w:lang w:val="en-NZ"/>
        </w:rPr>
        <w:t xml:space="preserve"> </w:t>
      </w:r>
    </w:p>
    <w:p w14:paraId="52753F76" w14:textId="1AF76FA5" w:rsidR="00735B75" w:rsidRDefault="00735B75" w:rsidP="001F494A">
      <w:pPr>
        <w:pStyle w:val="Heading4"/>
      </w:pPr>
      <w:r>
        <w:t>Drug checking as a harm reduction measure</w:t>
      </w:r>
    </w:p>
    <w:p w14:paraId="1D2CC42D" w14:textId="19EB2A6B" w:rsidR="00FF4EF5" w:rsidRDefault="000B688F" w:rsidP="00FF4EF5">
      <w:pPr>
        <w:rPr>
          <w:lang w:val="en-NZ"/>
        </w:rPr>
      </w:pPr>
      <w:r>
        <w:rPr>
          <w:lang w:val="en-NZ"/>
        </w:rPr>
        <w:t>Drug checking</w:t>
      </w:r>
      <w:r w:rsidR="004B20C1">
        <w:rPr>
          <w:lang w:val="en-NZ"/>
        </w:rPr>
        <w:t xml:space="preserve"> </w:t>
      </w:r>
      <w:r w:rsidR="000B6B23">
        <w:rPr>
          <w:lang w:val="en-NZ"/>
        </w:rPr>
        <w:t xml:space="preserve">is a harm reduction </w:t>
      </w:r>
      <w:r w:rsidR="004B20C1">
        <w:rPr>
          <w:lang w:val="en-NZ"/>
        </w:rPr>
        <w:t>service</w:t>
      </w:r>
      <w:r w:rsidR="000B6B23">
        <w:rPr>
          <w:lang w:val="en-NZ"/>
        </w:rPr>
        <w:t xml:space="preserve"> which</w:t>
      </w:r>
      <w:r>
        <w:rPr>
          <w:lang w:val="en-NZ"/>
        </w:rPr>
        <w:t xml:space="preserve"> test</w:t>
      </w:r>
      <w:r w:rsidR="000B6B23">
        <w:rPr>
          <w:lang w:val="en-NZ"/>
        </w:rPr>
        <w:t>s</w:t>
      </w:r>
      <w:r>
        <w:rPr>
          <w:lang w:val="en-NZ"/>
        </w:rPr>
        <w:t xml:space="preserve"> illicit drugs to determine what the composition is likely to be and provides the person who has the drug with </w:t>
      </w:r>
      <w:r w:rsidR="000A738C">
        <w:rPr>
          <w:lang w:val="en-NZ"/>
        </w:rPr>
        <w:t xml:space="preserve">harm reduction advice. Depending on the drug, this </w:t>
      </w:r>
      <w:r w:rsidR="007A0C90">
        <w:rPr>
          <w:lang w:val="en-NZ"/>
        </w:rPr>
        <w:t xml:space="preserve">advice will </w:t>
      </w:r>
      <w:r w:rsidR="000A738C">
        <w:rPr>
          <w:lang w:val="en-NZ"/>
        </w:rPr>
        <w:t xml:space="preserve">include not taking it at all, not taking it in combination with other drugs, or taking a small dose. </w:t>
      </w:r>
      <w:r w:rsidR="00844F3B">
        <w:rPr>
          <w:lang w:val="en-NZ"/>
        </w:rPr>
        <w:t xml:space="preserve">Clients are also given general harm reduction advice, for example consuming an appropriate amount of water. </w:t>
      </w:r>
      <w:r w:rsidR="00D8413B">
        <w:rPr>
          <w:lang w:val="en-NZ"/>
        </w:rPr>
        <w:t xml:space="preserve">Testing results </w:t>
      </w:r>
      <w:r w:rsidR="00197226">
        <w:rPr>
          <w:lang w:val="en-NZ"/>
        </w:rPr>
        <w:t>generate</w:t>
      </w:r>
      <w:r w:rsidR="00D8413B">
        <w:rPr>
          <w:lang w:val="en-NZ"/>
        </w:rPr>
        <w:t xml:space="preserve"> information about wh</w:t>
      </w:r>
      <w:r w:rsidR="00B15C8A">
        <w:rPr>
          <w:lang w:val="en-NZ"/>
        </w:rPr>
        <w:t>at</w:t>
      </w:r>
      <w:r w:rsidR="00D8413B">
        <w:rPr>
          <w:lang w:val="en-NZ"/>
        </w:rPr>
        <w:t xml:space="preserve"> drugs are in circulation and </w:t>
      </w:r>
      <w:r w:rsidR="00EE1FD3">
        <w:rPr>
          <w:lang w:val="en-NZ"/>
        </w:rPr>
        <w:t xml:space="preserve">enable drug checkers and others to inform the public about the presence and risk of particularly dangerous drugs. </w:t>
      </w:r>
      <w:r w:rsidR="00D8413B">
        <w:rPr>
          <w:lang w:val="en-NZ"/>
        </w:rPr>
        <w:t xml:space="preserve"> </w:t>
      </w:r>
    </w:p>
    <w:p w14:paraId="0E3B7331" w14:textId="28D9A340" w:rsidR="00B63CBC" w:rsidRDefault="00AA1FB7" w:rsidP="00B63CBC">
      <w:pPr>
        <w:rPr>
          <w:lang w:val="en-NZ"/>
        </w:rPr>
      </w:pPr>
      <w:r>
        <w:rPr>
          <w:lang w:val="en-NZ"/>
        </w:rPr>
        <w:lastRenderedPageBreak/>
        <w:t>D</w:t>
      </w:r>
      <w:r w:rsidR="00B63CBC">
        <w:rPr>
          <w:lang w:val="en-NZ"/>
        </w:rPr>
        <w:t xml:space="preserve">rug harm reduction is </w:t>
      </w:r>
      <w:r>
        <w:rPr>
          <w:lang w:val="en-NZ"/>
        </w:rPr>
        <w:t>based on</w:t>
      </w:r>
      <w:r w:rsidR="00021380">
        <w:rPr>
          <w:lang w:val="en-NZ"/>
        </w:rPr>
        <w:t xml:space="preserve"> respecting the autonomy of people who use the service.</w:t>
      </w:r>
      <w:r w:rsidR="00B63CBC">
        <w:rPr>
          <w:lang w:val="en-NZ"/>
        </w:rPr>
        <w:t xml:space="preserve"> More informed decisions about whether or not to consume a drug, and how to consume it, can be made by the individual if they are provided with the right information. Drug checking provid</w:t>
      </w:r>
      <w:r w:rsidR="00183A48">
        <w:rPr>
          <w:lang w:val="en-NZ"/>
        </w:rPr>
        <w:t>es</w:t>
      </w:r>
      <w:r w:rsidR="00B63CBC">
        <w:rPr>
          <w:lang w:val="en-NZ"/>
        </w:rPr>
        <w:t xml:space="preserve"> information on what a drug is likely to be, and how risks and harms can be reduced or avoided</w:t>
      </w:r>
      <w:r w:rsidR="00183A48">
        <w:rPr>
          <w:lang w:val="en-NZ"/>
        </w:rPr>
        <w:t>, thus ensuring that decisions are informed by evidence</w:t>
      </w:r>
      <w:r w:rsidR="00B63CBC">
        <w:rPr>
          <w:lang w:val="en-NZ"/>
        </w:rPr>
        <w:t>. Drug checking therefore can help reduce the chances of drug harm, but cannot guarantee that it will be avoided</w:t>
      </w:r>
      <w:r w:rsidR="004B38F2">
        <w:rPr>
          <w:lang w:val="en-NZ"/>
        </w:rPr>
        <w:t xml:space="preserve">, because some people will still make unsafe choices. </w:t>
      </w:r>
    </w:p>
    <w:p w14:paraId="77710ECE" w14:textId="1AF9EC4D" w:rsidR="00244B27" w:rsidRDefault="0061384A" w:rsidP="0061384A">
      <w:pPr>
        <w:rPr>
          <w:lang w:val="en-NZ"/>
        </w:rPr>
      </w:pPr>
      <w:r>
        <w:rPr>
          <w:lang w:val="en-NZ"/>
        </w:rPr>
        <w:t xml:space="preserve">Drug checking was first developed in the Netherlands in the early 1990s. Since then it has become available in various countries in Europe and North America, as well as Australia and New Zealand. In </w:t>
      </w:r>
      <w:r w:rsidR="00BD1FC8">
        <w:rPr>
          <w:lang w:val="en-NZ"/>
        </w:rPr>
        <w:t xml:space="preserve">many places, it is provided in conjunction with </w:t>
      </w:r>
      <w:r w:rsidR="00EC1D80">
        <w:rPr>
          <w:lang w:val="en-NZ"/>
        </w:rPr>
        <w:t>other</w:t>
      </w:r>
      <w:r w:rsidR="00BD1FC8">
        <w:rPr>
          <w:lang w:val="en-NZ"/>
        </w:rPr>
        <w:t xml:space="preserve"> drug harm </w:t>
      </w:r>
      <w:r w:rsidR="00EC1D80">
        <w:rPr>
          <w:lang w:val="en-NZ"/>
        </w:rPr>
        <w:t xml:space="preserve">measures such as needle </w:t>
      </w:r>
      <w:r w:rsidR="00C96C4C">
        <w:rPr>
          <w:lang w:val="en-NZ"/>
        </w:rPr>
        <w:t>ex</w:t>
      </w:r>
      <w:r w:rsidR="00EC1D80">
        <w:rPr>
          <w:lang w:val="en-NZ"/>
        </w:rPr>
        <w:t>changes</w:t>
      </w:r>
      <w:r w:rsidR="009D5831">
        <w:rPr>
          <w:lang w:val="en-NZ"/>
        </w:rPr>
        <w:t xml:space="preserve">. Clients can also be connected to health and welfare services, including </w:t>
      </w:r>
      <w:r w:rsidR="00146B87">
        <w:rPr>
          <w:lang w:val="en-NZ"/>
        </w:rPr>
        <w:t>addiction services</w:t>
      </w:r>
      <w:r w:rsidR="00D941CF">
        <w:rPr>
          <w:lang w:val="en-NZ"/>
        </w:rPr>
        <w:t xml:space="preserve">. </w:t>
      </w:r>
      <w:r>
        <w:rPr>
          <w:lang w:val="en-NZ"/>
        </w:rPr>
        <w:t xml:space="preserve">The legal status </w:t>
      </w:r>
      <w:r w:rsidR="000D71EA">
        <w:rPr>
          <w:lang w:val="en-NZ"/>
        </w:rPr>
        <w:t>and level of government support for</w:t>
      </w:r>
      <w:r>
        <w:rPr>
          <w:lang w:val="en-NZ"/>
        </w:rPr>
        <w:t xml:space="preserve"> drug checking varies </w:t>
      </w:r>
      <w:r w:rsidR="00566BF2">
        <w:rPr>
          <w:lang w:val="en-NZ"/>
        </w:rPr>
        <w:t>between jurisdictions</w:t>
      </w:r>
      <w:r w:rsidR="000D71EA">
        <w:rPr>
          <w:lang w:val="en-NZ"/>
        </w:rPr>
        <w:t>.</w:t>
      </w:r>
      <w:r>
        <w:rPr>
          <w:lang w:val="en-NZ"/>
        </w:rPr>
        <w:t xml:space="preserve"> </w:t>
      </w:r>
      <w:r w:rsidR="00A51158">
        <w:rPr>
          <w:lang w:val="en-NZ"/>
        </w:rPr>
        <w:t xml:space="preserve">In </w:t>
      </w:r>
      <w:r w:rsidR="00566BF2">
        <w:rPr>
          <w:lang w:val="en-NZ"/>
        </w:rPr>
        <w:t>many places,</w:t>
      </w:r>
      <w:r w:rsidR="00A51158">
        <w:rPr>
          <w:lang w:val="en-NZ"/>
        </w:rPr>
        <w:t xml:space="preserve"> drug checking operates in a </w:t>
      </w:r>
      <w:r w:rsidR="00503BB6">
        <w:rPr>
          <w:lang w:val="en-NZ"/>
        </w:rPr>
        <w:t>legal</w:t>
      </w:r>
      <w:r w:rsidR="00A51158">
        <w:rPr>
          <w:lang w:val="en-NZ"/>
        </w:rPr>
        <w:t xml:space="preserve"> grey </w:t>
      </w:r>
      <w:r w:rsidR="00503BB6">
        <w:rPr>
          <w:lang w:val="en-NZ"/>
        </w:rPr>
        <w:t>area</w:t>
      </w:r>
      <w:r w:rsidR="00A51158">
        <w:rPr>
          <w:lang w:val="en-NZ"/>
        </w:rPr>
        <w:t>, wh</w:t>
      </w:r>
      <w:r w:rsidR="00875DF6">
        <w:rPr>
          <w:lang w:val="en-NZ"/>
        </w:rPr>
        <w:t>ereas</w:t>
      </w:r>
      <w:r w:rsidR="00A51158">
        <w:rPr>
          <w:lang w:val="en-NZ"/>
        </w:rPr>
        <w:t xml:space="preserve"> in Zurich </w:t>
      </w:r>
      <w:r w:rsidR="002D36D8">
        <w:rPr>
          <w:lang w:val="en-NZ"/>
        </w:rPr>
        <w:t>it</w:t>
      </w:r>
      <w:r w:rsidR="00A51158">
        <w:rPr>
          <w:lang w:val="en-NZ"/>
        </w:rPr>
        <w:t xml:space="preserve"> is </w:t>
      </w:r>
      <w:r w:rsidR="00FC1558">
        <w:rPr>
          <w:lang w:val="en-NZ"/>
        </w:rPr>
        <w:t>a service provided by</w:t>
      </w:r>
      <w:r w:rsidR="00A51158">
        <w:rPr>
          <w:lang w:val="en-NZ"/>
        </w:rPr>
        <w:t xml:space="preserve"> the city government. </w:t>
      </w:r>
    </w:p>
    <w:p w14:paraId="7CF6BDF3" w14:textId="554F6898" w:rsidR="00244B27" w:rsidRDefault="00244B27" w:rsidP="001F494A">
      <w:pPr>
        <w:pStyle w:val="Heading4"/>
      </w:pPr>
      <w:r>
        <w:t>Drug checking in New Zealand</w:t>
      </w:r>
    </w:p>
    <w:p w14:paraId="6346981A" w14:textId="43374436" w:rsidR="00735B75" w:rsidRDefault="00735B75" w:rsidP="00FF4EF5">
      <w:pPr>
        <w:rPr>
          <w:lang w:val="en-NZ"/>
        </w:rPr>
      </w:pPr>
      <w:r>
        <w:rPr>
          <w:lang w:val="en-NZ"/>
        </w:rPr>
        <w:t>Drug checking in New Zealand emerged in the early 2010s, in response to avoidable drug-related harm at music festivals.</w:t>
      </w:r>
      <w:r w:rsidR="00CF55A9">
        <w:rPr>
          <w:lang w:val="en-NZ"/>
        </w:rPr>
        <w:t xml:space="preserve"> </w:t>
      </w:r>
      <w:r w:rsidR="00661C39">
        <w:rPr>
          <w:lang w:val="en-NZ"/>
        </w:rPr>
        <w:t xml:space="preserve">KnowYourStuffNZ (KYS) formed to provide drug checking services at music festivals. KYS is volunteer-run and funded by donations. </w:t>
      </w:r>
      <w:r w:rsidR="00197226">
        <w:rPr>
          <w:lang w:val="en-NZ"/>
        </w:rPr>
        <w:t>Since 2019</w:t>
      </w:r>
      <w:r w:rsidR="00945C9C">
        <w:rPr>
          <w:lang w:val="en-NZ"/>
        </w:rPr>
        <w:t xml:space="preserve"> they have begun operating “static clinics” in major </w:t>
      </w:r>
      <w:r w:rsidR="004B20C1">
        <w:rPr>
          <w:lang w:val="en-NZ"/>
        </w:rPr>
        <w:t>central business district</w:t>
      </w:r>
      <w:r w:rsidR="00945C9C">
        <w:rPr>
          <w:lang w:val="en-NZ"/>
        </w:rPr>
        <w:t>s</w:t>
      </w:r>
      <w:r w:rsidR="00197226">
        <w:rPr>
          <w:lang w:val="en-NZ"/>
        </w:rPr>
        <w:t xml:space="preserve">, </w:t>
      </w:r>
      <w:r w:rsidR="00074FAA">
        <w:rPr>
          <w:lang w:val="en-NZ"/>
        </w:rPr>
        <w:t>allowing the</w:t>
      </w:r>
      <w:r w:rsidR="00197226">
        <w:rPr>
          <w:lang w:val="en-NZ"/>
        </w:rPr>
        <w:t xml:space="preserve"> general public </w:t>
      </w:r>
      <w:r w:rsidR="00074FAA">
        <w:rPr>
          <w:lang w:val="en-NZ"/>
        </w:rPr>
        <w:t>to</w:t>
      </w:r>
      <w:r w:rsidR="00197226">
        <w:rPr>
          <w:lang w:val="en-NZ"/>
        </w:rPr>
        <w:t xml:space="preserve"> have their drugs checked</w:t>
      </w:r>
      <w:r w:rsidR="00945C9C">
        <w:rPr>
          <w:lang w:val="en-NZ"/>
        </w:rPr>
        <w:t xml:space="preserve">. </w:t>
      </w:r>
      <w:r w:rsidR="00197226">
        <w:rPr>
          <w:lang w:val="en-NZ"/>
        </w:rPr>
        <w:t>KYS</w:t>
      </w:r>
      <w:r w:rsidR="00B1563E">
        <w:rPr>
          <w:lang w:val="en-NZ"/>
        </w:rPr>
        <w:t xml:space="preserve"> work with</w:t>
      </w:r>
      <w:r w:rsidR="00197226">
        <w:rPr>
          <w:lang w:val="en-NZ"/>
        </w:rPr>
        <w:t xml:space="preserve"> Drug Information and Alerts N</w:t>
      </w:r>
      <w:r w:rsidR="00EF6919">
        <w:rPr>
          <w:lang w:val="en-NZ"/>
        </w:rPr>
        <w:t xml:space="preserve">ew </w:t>
      </w:r>
      <w:r w:rsidR="00197226">
        <w:rPr>
          <w:lang w:val="en-NZ"/>
        </w:rPr>
        <w:t>Z</w:t>
      </w:r>
      <w:r w:rsidR="00EF6919">
        <w:rPr>
          <w:lang w:val="en-NZ"/>
        </w:rPr>
        <w:t>ealand</w:t>
      </w:r>
      <w:r w:rsidR="00197226">
        <w:rPr>
          <w:lang w:val="en-NZ"/>
        </w:rPr>
        <w:t xml:space="preserve"> to </w:t>
      </w:r>
      <w:r w:rsidR="00B1563E">
        <w:rPr>
          <w:lang w:val="en-NZ"/>
        </w:rPr>
        <w:t xml:space="preserve">gather and disseminate information about particularly dangerous drugs in circulation. </w:t>
      </w:r>
    </w:p>
    <w:p w14:paraId="1C95BA89" w14:textId="648FE201" w:rsidR="008633E3" w:rsidRDefault="008633E3" w:rsidP="00547570">
      <w:pPr>
        <w:rPr>
          <w:lang w:val="en-NZ"/>
        </w:rPr>
      </w:pPr>
      <w:r>
        <w:rPr>
          <w:lang w:val="en-NZ"/>
        </w:rPr>
        <w:t xml:space="preserve">Until late 2020, drug checking </w:t>
      </w:r>
      <w:r w:rsidR="00945C9C">
        <w:rPr>
          <w:lang w:val="en-NZ"/>
        </w:rPr>
        <w:t xml:space="preserve">in New Zealand </w:t>
      </w:r>
      <w:r>
        <w:rPr>
          <w:lang w:val="en-NZ"/>
        </w:rPr>
        <w:t xml:space="preserve">operated in a legal grey area. Drug checkers could not handle drugs for testing without being at risk of a possession offence, </w:t>
      </w:r>
      <w:r w:rsidR="00547570">
        <w:rPr>
          <w:lang w:val="en-NZ"/>
        </w:rPr>
        <w:t xml:space="preserve">and the law did not enable them to </w:t>
      </w:r>
      <w:r w:rsidR="00BB2021">
        <w:rPr>
          <w:lang w:val="en-NZ"/>
        </w:rPr>
        <w:t xml:space="preserve">pass samples on to other laboratories for further testing. Hosts of drug checking services were potentially committing an offence under section 12 of the Misuse of Drugs Act, as the presence of drug testing </w:t>
      </w:r>
      <w:r w:rsidR="004B20C1">
        <w:rPr>
          <w:lang w:val="en-NZ"/>
        </w:rPr>
        <w:t>suggested</w:t>
      </w:r>
      <w:r w:rsidR="00BB2021">
        <w:rPr>
          <w:lang w:val="en-NZ"/>
        </w:rPr>
        <w:t xml:space="preserve"> that they were knowingly allowing the premises to be used for the commission of drug offences. </w:t>
      </w:r>
      <w:r w:rsidR="00F642E7">
        <w:rPr>
          <w:lang w:val="en-NZ"/>
        </w:rPr>
        <w:t>Police have largely been supportive of drug checking, but the potential for arrest and prosecution w</w:t>
      </w:r>
      <w:r w:rsidR="00B51056">
        <w:rPr>
          <w:lang w:val="en-NZ"/>
        </w:rPr>
        <w:t>as still a deterrent for potential hosts</w:t>
      </w:r>
      <w:r w:rsidR="00551751">
        <w:rPr>
          <w:lang w:val="en-NZ"/>
        </w:rPr>
        <w:t>,</w:t>
      </w:r>
      <w:r w:rsidR="00B51056">
        <w:rPr>
          <w:lang w:val="en-NZ"/>
        </w:rPr>
        <w:t xml:space="preserve"> clients</w:t>
      </w:r>
      <w:r w:rsidR="00551751">
        <w:rPr>
          <w:lang w:val="en-NZ"/>
        </w:rPr>
        <w:t xml:space="preserve"> and providers. </w:t>
      </w:r>
    </w:p>
    <w:p w14:paraId="05F4D4D6" w14:textId="2C6F3CE4" w:rsidR="008633E3" w:rsidRDefault="005E03B1" w:rsidP="00FF4EF5">
      <w:pPr>
        <w:rPr>
          <w:lang w:val="en-NZ"/>
        </w:rPr>
      </w:pPr>
      <w:r>
        <w:rPr>
          <w:lang w:val="en-NZ"/>
        </w:rPr>
        <w:t xml:space="preserve">The Drug and Substance Checking Legislation Act </w:t>
      </w:r>
      <w:r w:rsidR="00EF6919">
        <w:rPr>
          <w:lang w:val="en-NZ"/>
        </w:rPr>
        <w:t xml:space="preserve">2020 </w:t>
      </w:r>
      <w:r w:rsidR="004E0C78">
        <w:rPr>
          <w:lang w:val="en-NZ"/>
        </w:rPr>
        <w:t xml:space="preserve">(the Drug Checking Act) </w:t>
      </w:r>
      <w:r>
        <w:rPr>
          <w:lang w:val="en-NZ"/>
        </w:rPr>
        <w:t>was passed under urgency in December 2020</w:t>
      </w:r>
      <w:r w:rsidR="004B20C1">
        <w:rPr>
          <w:lang w:val="en-NZ"/>
        </w:rPr>
        <w:t xml:space="preserve"> and amended the Misuse of Drugs Act</w:t>
      </w:r>
      <w:r w:rsidR="006F5626">
        <w:rPr>
          <w:lang w:val="en-NZ"/>
        </w:rPr>
        <w:t xml:space="preserve"> and the Psychoactive Substances Act</w:t>
      </w:r>
      <w:r>
        <w:rPr>
          <w:lang w:val="en-NZ"/>
        </w:rPr>
        <w:t xml:space="preserve">. </w:t>
      </w:r>
      <w:r w:rsidR="00E13086">
        <w:rPr>
          <w:lang w:val="en-NZ"/>
        </w:rPr>
        <w:t>Under t</w:t>
      </w:r>
      <w:r w:rsidR="008E61AB">
        <w:rPr>
          <w:lang w:val="en-NZ"/>
        </w:rPr>
        <w:t xml:space="preserve">he </w:t>
      </w:r>
      <w:r w:rsidR="004B20C1">
        <w:rPr>
          <w:lang w:val="en-NZ"/>
        </w:rPr>
        <w:t xml:space="preserve">amended Misuse of Drugs </w:t>
      </w:r>
      <w:r w:rsidR="008E61AB">
        <w:rPr>
          <w:lang w:val="en-NZ"/>
        </w:rPr>
        <w:t>Act</w:t>
      </w:r>
      <w:r w:rsidR="00E13086">
        <w:rPr>
          <w:lang w:val="en-NZ"/>
        </w:rPr>
        <w:t>,</w:t>
      </w:r>
      <w:r w:rsidR="008E61AB">
        <w:rPr>
          <w:lang w:val="en-NZ"/>
        </w:rPr>
        <w:t xml:space="preserve"> the Director-General of Health </w:t>
      </w:r>
      <w:r w:rsidR="00E13086">
        <w:rPr>
          <w:lang w:val="en-NZ"/>
        </w:rPr>
        <w:t>can</w:t>
      </w:r>
      <w:r w:rsidR="008E61AB">
        <w:rPr>
          <w:lang w:val="en-NZ"/>
        </w:rPr>
        <w:t xml:space="preserve"> appoint drug checking service provider</w:t>
      </w:r>
      <w:r w:rsidR="00E13086">
        <w:rPr>
          <w:lang w:val="en-NZ"/>
        </w:rPr>
        <w:t>s</w:t>
      </w:r>
      <w:r w:rsidR="008E61AB">
        <w:rPr>
          <w:lang w:val="en-NZ"/>
        </w:rPr>
        <w:t xml:space="preserve">, </w:t>
      </w:r>
      <w:r w:rsidR="00E13086">
        <w:rPr>
          <w:lang w:val="en-NZ"/>
        </w:rPr>
        <w:t xml:space="preserve">and </w:t>
      </w:r>
      <w:r w:rsidR="006F5626">
        <w:rPr>
          <w:lang w:val="en-NZ"/>
        </w:rPr>
        <w:t>it</w:t>
      </w:r>
      <w:r w:rsidR="00E13086">
        <w:rPr>
          <w:lang w:val="en-NZ"/>
        </w:rPr>
        <w:t xml:space="preserve"> is not an offence to host</w:t>
      </w:r>
      <w:r w:rsidR="00FC6EAB">
        <w:rPr>
          <w:lang w:val="en-NZ"/>
        </w:rPr>
        <w:t xml:space="preserve"> an appointed</w:t>
      </w:r>
      <w:r w:rsidR="00E13086">
        <w:rPr>
          <w:lang w:val="en-NZ"/>
        </w:rPr>
        <w:t xml:space="preserve"> drug checking</w:t>
      </w:r>
      <w:r w:rsidR="00FC6EAB">
        <w:rPr>
          <w:lang w:val="en-NZ"/>
        </w:rPr>
        <w:t xml:space="preserve"> provider</w:t>
      </w:r>
      <w:r w:rsidR="00E13086">
        <w:rPr>
          <w:lang w:val="en-NZ"/>
        </w:rPr>
        <w:t>, even if drug checking clients are committing drug offences.</w:t>
      </w:r>
      <w:r w:rsidR="00E95B47">
        <w:rPr>
          <w:lang w:val="en-NZ"/>
        </w:rPr>
        <w:t xml:space="preserve"> </w:t>
      </w:r>
      <w:r w:rsidR="00095A16">
        <w:rPr>
          <w:lang w:val="en-NZ"/>
        </w:rPr>
        <w:t xml:space="preserve">The Misuse of Drugs Act and the Psychoactive Substances Act were also amended to enable appointed drug checking providers to handle drugs and </w:t>
      </w:r>
      <w:r w:rsidR="003D5F14">
        <w:rPr>
          <w:lang w:val="en-NZ"/>
        </w:rPr>
        <w:t xml:space="preserve">psychoactive substances for drug checking purposes, and pass samples to an approved laboratory. </w:t>
      </w:r>
      <w:r w:rsidR="001D0802">
        <w:rPr>
          <w:lang w:val="en-NZ"/>
        </w:rPr>
        <w:t>The</w:t>
      </w:r>
      <w:r w:rsidR="004E0C78">
        <w:rPr>
          <w:lang w:val="en-NZ"/>
        </w:rPr>
        <w:t xml:space="preserve"> Drug Checking</w:t>
      </w:r>
      <w:r w:rsidR="001D0802">
        <w:rPr>
          <w:lang w:val="en-NZ"/>
        </w:rPr>
        <w:t xml:space="preserve"> Act</w:t>
      </w:r>
      <w:r w:rsidR="004B20C1">
        <w:rPr>
          <w:lang w:val="en-NZ"/>
        </w:rPr>
        <w:t xml:space="preserve"> provisions</w:t>
      </w:r>
      <w:r w:rsidR="001D0802">
        <w:rPr>
          <w:lang w:val="en-NZ"/>
        </w:rPr>
        <w:t xml:space="preserve"> will repeal in December 2021, as it is intended that a permanent regulatory system will be in place. </w:t>
      </w:r>
    </w:p>
    <w:p w14:paraId="35038AC1" w14:textId="0DBD81CD" w:rsidR="00D85885" w:rsidRDefault="00F56C3A" w:rsidP="00FF4EF5">
      <w:pPr>
        <w:rPr>
          <w:lang w:val="en-NZ"/>
        </w:rPr>
      </w:pPr>
      <w:r>
        <w:rPr>
          <w:lang w:val="en-NZ"/>
        </w:rPr>
        <w:t xml:space="preserve">KYS has been appointed under the </w:t>
      </w:r>
      <w:r w:rsidR="004B20C1">
        <w:rPr>
          <w:lang w:val="en-NZ"/>
        </w:rPr>
        <w:t>Misuse of Drugs</w:t>
      </w:r>
      <w:r>
        <w:rPr>
          <w:lang w:val="en-NZ"/>
        </w:rPr>
        <w:t xml:space="preserve"> Act</w:t>
      </w:r>
      <w:r w:rsidR="00E95B47">
        <w:rPr>
          <w:lang w:val="en-NZ"/>
        </w:rPr>
        <w:t xml:space="preserve">, and </w:t>
      </w:r>
      <w:r w:rsidR="00EF6919">
        <w:rPr>
          <w:lang w:val="en-NZ"/>
        </w:rPr>
        <w:t>is allowed to</w:t>
      </w:r>
      <w:r w:rsidR="00E95B47">
        <w:rPr>
          <w:lang w:val="en-NZ"/>
        </w:rPr>
        <w:t xml:space="preserve"> provide services at festivals and other events, and also at static clinics</w:t>
      </w:r>
      <w:r>
        <w:rPr>
          <w:lang w:val="en-NZ"/>
        </w:rPr>
        <w:t xml:space="preserve">. No other providers have applied for appointment. </w:t>
      </w:r>
      <w:r w:rsidR="00F912E1">
        <w:rPr>
          <w:lang w:val="en-NZ"/>
        </w:rPr>
        <w:t>Since the law change t</w:t>
      </w:r>
      <w:r>
        <w:rPr>
          <w:lang w:val="en-NZ"/>
        </w:rPr>
        <w:t xml:space="preserve">here has been a </w:t>
      </w:r>
      <w:r w:rsidR="00F912E1">
        <w:rPr>
          <w:lang w:val="en-NZ"/>
        </w:rPr>
        <w:t>significant</w:t>
      </w:r>
      <w:r>
        <w:rPr>
          <w:lang w:val="en-NZ"/>
        </w:rPr>
        <w:t xml:space="preserve"> increase in demand for KYS’s services</w:t>
      </w:r>
      <w:r w:rsidR="00703C45">
        <w:rPr>
          <w:lang w:val="en-NZ"/>
        </w:rPr>
        <w:t xml:space="preserve"> from event organisers and the general public. They are</w:t>
      </w:r>
      <w:r>
        <w:rPr>
          <w:lang w:val="en-NZ"/>
        </w:rPr>
        <w:t xml:space="preserve"> not able to meet</w:t>
      </w:r>
      <w:r w:rsidR="00703C45">
        <w:rPr>
          <w:lang w:val="en-NZ"/>
        </w:rPr>
        <w:t xml:space="preserve"> this </w:t>
      </w:r>
      <w:r w:rsidR="00703C45">
        <w:rPr>
          <w:lang w:val="en-NZ"/>
        </w:rPr>
        <w:lastRenderedPageBreak/>
        <w:t>demand</w:t>
      </w:r>
      <w:r w:rsidR="00871575">
        <w:rPr>
          <w:lang w:val="en-NZ"/>
        </w:rPr>
        <w:t>,</w:t>
      </w:r>
      <w:r w:rsidR="00703C45">
        <w:rPr>
          <w:lang w:val="en-NZ"/>
        </w:rPr>
        <w:t xml:space="preserve"> </w:t>
      </w:r>
      <w:r w:rsidR="00B65426">
        <w:rPr>
          <w:lang w:val="en-NZ"/>
        </w:rPr>
        <w:t>as they have</w:t>
      </w:r>
      <w:r w:rsidR="00703C45">
        <w:rPr>
          <w:lang w:val="en-NZ"/>
        </w:rPr>
        <w:t xml:space="preserve"> </w:t>
      </w:r>
      <w:r w:rsidR="00B65426">
        <w:rPr>
          <w:lang w:val="en-NZ"/>
        </w:rPr>
        <w:t xml:space="preserve">limited resources and </w:t>
      </w:r>
      <w:r w:rsidR="001E3A2C">
        <w:rPr>
          <w:lang w:val="en-NZ"/>
        </w:rPr>
        <w:t xml:space="preserve">there was a very short timeframe between the law change and the start of the festival season. </w:t>
      </w:r>
      <w:r w:rsidR="00703C45">
        <w:rPr>
          <w:lang w:val="en-NZ"/>
        </w:rPr>
        <w:t xml:space="preserve"> </w:t>
      </w:r>
    </w:p>
    <w:p w14:paraId="607428E3" w14:textId="6696469C" w:rsidR="00F56C3A" w:rsidRDefault="006E0042" w:rsidP="00FF4EF5">
      <w:pPr>
        <w:rPr>
          <w:lang w:val="en-NZ"/>
        </w:rPr>
      </w:pPr>
      <w:r>
        <w:rPr>
          <w:lang w:val="en-NZ"/>
        </w:rPr>
        <w:t>Over the summer of 2020/21, KYS detected large quantities of dangerous synthetic cathinones</w:t>
      </w:r>
      <w:r w:rsidR="00871575">
        <w:rPr>
          <w:lang w:val="en-NZ"/>
        </w:rPr>
        <w:t xml:space="preserve">, </w:t>
      </w:r>
      <w:r w:rsidR="00BB2FBD">
        <w:rPr>
          <w:lang w:val="en-NZ"/>
        </w:rPr>
        <w:t>mainly</w:t>
      </w:r>
      <w:r w:rsidR="00871575">
        <w:rPr>
          <w:lang w:val="en-NZ"/>
        </w:rPr>
        <w:t xml:space="preserve"> eutylone,</w:t>
      </w:r>
      <w:r>
        <w:rPr>
          <w:lang w:val="en-NZ"/>
        </w:rPr>
        <w:t xml:space="preserve"> being sold as MDMA. </w:t>
      </w:r>
      <w:r w:rsidR="002F026C">
        <w:rPr>
          <w:lang w:val="en-NZ"/>
        </w:rPr>
        <w:t xml:space="preserve">Because KYS could operate openly, </w:t>
      </w:r>
      <w:r w:rsidR="007E0815">
        <w:rPr>
          <w:lang w:val="en-NZ"/>
        </w:rPr>
        <w:t xml:space="preserve">they found it </w:t>
      </w:r>
      <w:r w:rsidR="008113B9">
        <w:rPr>
          <w:lang w:val="en-NZ"/>
        </w:rPr>
        <w:t xml:space="preserve">easier to </w:t>
      </w:r>
      <w:r w:rsidR="007E0815">
        <w:rPr>
          <w:lang w:val="en-NZ"/>
        </w:rPr>
        <w:t xml:space="preserve">promptly </w:t>
      </w:r>
      <w:r w:rsidR="008113B9">
        <w:rPr>
          <w:lang w:val="en-NZ"/>
        </w:rPr>
        <w:t xml:space="preserve">inform the public about the presence and dangers of </w:t>
      </w:r>
      <w:r w:rsidR="0015101E">
        <w:rPr>
          <w:lang w:val="en-NZ"/>
        </w:rPr>
        <w:t xml:space="preserve">synthetic </w:t>
      </w:r>
      <w:r w:rsidR="008113B9">
        <w:rPr>
          <w:lang w:val="en-NZ"/>
        </w:rPr>
        <w:t>cathinones</w:t>
      </w:r>
      <w:r w:rsidR="00577DCD">
        <w:rPr>
          <w:lang w:val="en-NZ"/>
        </w:rPr>
        <w:t xml:space="preserve">. KYS found </w:t>
      </w:r>
      <w:r w:rsidR="008113B9">
        <w:rPr>
          <w:lang w:val="en-NZ"/>
        </w:rPr>
        <w:t>that 75</w:t>
      </w:r>
      <w:r w:rsidR="004B20C1">
        <w:rPr>
          <w:lang w:val="en-NZ"/>
        </w:rPr>
        <w:t xml:space="preserve"> percent</w:t>
      </w:r>
      <w:r w:rsidR="008113B9">
        <w:rPr>
          <w:lang w:val="en-NZ"/>
        </w:rPr>
        <w:t xml:space="preserve"> of people whose drugs were found to be </w:t>
      </w:r>
      <w:r w:rsidR="00871575">
        <w:rPr>
          <w:lang w:val="en-NZ"/>
        </w:rPr>
        <w:t xml:space="preserve">eutylone </w:t>
      </w:r>
      <w:r w:rsidR="00D85885">
        <w:rPr>
          <w:lang w:val="en-NZ"/>
        </w:rPr>
        <w:t xml:space="preserve">had decided not to take them. </w:t>
      </w:r>
    </w:p>
    <w:p w14:paraId="2AB82CE5" w14:textId="6B14EF49" w:rsidR="007D78A1" w:rsidRPr="00A864A5" w:rsidRDefault="00FF4EF5" w:rsidP="00FF4EF5">
      <w:pPr>
        <w:pStyle w:val="Heading3"/>
        <w:rPr>
          <w:lang w:val="en-NZ"/>
        </w:rPr>
      </w:pPr>
      <w:r>
        <w:rPr>
          <w:lang w:val="en-NZ"/>
        </w:rPr>
        <w:t>W</w:t>
      </w:r>
      <w:r w:rsidR="007D78A1" w:rsidRPr="00A864A5">
        <w:rPr>
          <w:lang w:val="en-NZ"/>
        </w:rPr>
        <w:t>hat is the policy problem or opportunity?</w:t>
      </w:r>
    </w:p>
    <w:p w14:paraId="22C7429A" w14:textId="7F909D7B" w:rsidR="00E853DB" w:rsidRDefault="00FB44FC" w:rsidP="001F494A">
      <w:pPr>
        <w:pStyle w:val="Heading4"/>
      </w:pPr>
      <w:r>
        <w:t xml:space="preserve">The </w:t>
      </w:r>
      <w:r w:rsidR="007B4F92">
        <w:t xml:space="preserve">primary </w:t>
      </w:r>
      <w:r>
        <w:t>policy problem</w:t>
      </w:r>
    </w:p>
    <w:p w14:paraId="16BF17B7" w14:textId="1C81493B" w:rsidR="009A5CE8" w:rsidRDefault="007233C5" w:rsidP="007B4F92">
      <w:pPr>
        <w:rPr>
          <w:lang w:val="en-NZ"/>
        </w:rPr>
      </w:pPr>
      <w:r>
        <w:rPr>
          <w:lang w:val="en-NZ"/>
        </w:rPr>
        <w:t>Some of the harms relating to illicit drug use arise from</w:t>
      </w:r>
      <w:r w:rsidR="00695CF3">
        <w:rPr>
          <w:lang w:val="en-NZ"/>
        </w:rPr>
        <w:t xml:space="preserve"> </w:t>
      </w:r>
      <w:r w:rsidR="00832392">
        <w:rPr>
          <w:lang w:val="en-NZ"/>
        </w:rPr>
        <w:t>people</w:t>
      </w:r>
      <w:r>
        <w:rPr>
          <w:lang w:val="en-NZ"/>
        </w:rPr>
        <w:t xml:space="preserve"> lack</w:t>
      </w:r>
      <w:r w:rsidR="00695CF3">
        <w:rPr>
          <w:lang w:val="en-NZ"/>
        </w:rPr>
        <w:t>ing</w:t>
      </w:r>
      <w:r>
        <w:rPr>
          <w:lang w:val="en-NZ"/>
        </w:rPr>
        <w:t xml:space="preserve"> </w:t>
      </w:r>
      <w:r w:rsidR="00EE1F61">
        <w:rPr>
          <w:lang w:val="en-NZ"/>
        </w:rPr>
        <w:t>reliable information about the composition of the</w:t>
      </w:r>
      <w:r w:rsidR="00084B29">
        <w:rPr>
          <w:lang w:val="en-NZ"/>
        </w:rPr>
        <w:t>ir</w:t>
      </w:r>
      <w:r w:rsidR="00EE1F61">
        <w:rPr>
          <w:lang w:val="en-NZ"/>
        </w:rPr>
        <w:t xml:space="preserve"> drugs, and about how to reduce or avoid harms from drug consumption. </w:t>
      </w:r>
    </w:p>
    <w:p w14:paraId="0F985E58" w14:textId="784B3335" w:rsidR="00695CF3" w:rsidRDefault="00695CF3" w:rsidP="007B4F92">
      <w:pPr>
        <w:rPr>
          <w:lang w:val="en-NZ"/>
        </w:rPr>
      </w:pPr>
      <w:r>
        <w:rPr>
          <w:lang w:val="en-NZ"/>
        </w:rPr>
        <w:t xml:space="preserve">Because there is no quality control of illicit drugs, some drugs may be different from what the consumer is expecting. </w:t>
      </w:r>
      <w:r w:rsidR="00144719">
        <w:rPr>
          <w:lang w:val="en-NZ"/>
        </w:rPr>
        <w:t xml:space="preserve">For example it was common over the summer of 2020/21 for synthetic cathinones to be sold as MDMA. Synthetic cathinones </w:t>
      </w:r>
      <w:r w:rsidR="00BD3870">
        <w:rPr>
          <w:lang w:val="en-NZ"/>
        </w:rPr>
        <w:t xml:space="preserve">can be </w:t>
      </w:r>
      <w:proofErr w:type="gramStart"/>
      <w:r w:rsidR="00BD3870">
        <w:rPr>
          <w:lang w:val="en-NZ"/>
        </w:rPr>
        <w:t>more risky</w:t>
      </w:r>
      <w:proofErr w:type="gramEnd"/>
      <w:r w:rsidR="00BD3870">
        <w:rPr>
          <w:lang w:val="en-NZ"/>
        </w:rPr>
        <w:t xml:space="preserve"> than</w:t>
      </w:r>
      <w:r w:rsidR="006145B7">
        <w:rPr>
          <w:lang w:val="en-NZ"/>
        </w:rPr>
        <w:t xml:space="preserve"> MDMA, and so there is significant risk </w:t>
      </w:r>
      <w:r w:rsidR="00084B29">
        <w:rPr>
          <w:lang w:val="en-NZ"/>
        </w:rPr>
        <w:t xml:space="preserve">of harm </w:t>
      </w:r>
      <w:r w:rsidR="006145B7">
        <w:rPr>
          <w:lang w:val="en-NZ"/>
        </w:rPr>
        <w:t xml:space="preserve">from people consuming synthetic cathinones in the belief that they are MDMA. </w:t>
      </w:r>
    </w:p>
    <w:p w14:paraId="7858A823" w14:textId="4D5D324A" w:rsidR="00574F41" w:rsidRDefault="00995E9A" w:rsidP="007B4F92">
      <w:pPr>
        <w:rPr>
          <w:lang w:val="en-NZ"/>
        </w:rPr>
      </w:pPr>
      <w:r>
        <w:rPr>
          <w:lang w:val="en-NZ"/>
        </w:rPr>
        <w:t>People who use</w:t>
      </w:r>
      <w:r w:rsidR="00A04A98">
        <w:rPr>
          <w:lang w:val="en-NZ"/>
        </w:rPr>
        <w:t xml:space="preserve"> illicit drugs may also lack reliable information about how they can reduce or avoid harm from drug consumption. </w:t>
      </w:r>
      <w:r w:rsidR="00C517F9">
        <w:rPr>
          <w:lang w:val="en-NZ"/>
        </w:rPr>
        <w:t xml:space="preserve">Advice from official sources </w:t>
      </w:r>
      <w:r w:rsidR="009238FE">
        <w:rPr>
          <w:lang w:val="en-NZ"/>
        </w:rPr>
        <w:t xml:space="preserve">(for example teachers or doctors) </w:t>
      </w:r>
      <w:r w:rsidR="00C517F9">
        <w:rPr>
          <w:lang w:val="en-NZ"/>
        </w:rPr>
        <w:t xml:space="preserve">may be focused on discouraging people from consuming drugs, </w:t>
      </w:r>
      <w:r w:rsidR="003708FC">
        <w:rPr>
          <w:lang w:val="en-NZ"/>
        </w:rPr>
        <w:t>and people who consume drugs may see official advice</w:t>
      </w:r>
      <w:r w:rsidR="00C517F9">
        <w:rPr>
          <w:lang w:val="en-NZ"/>
        </w:rPr>
        <w:t xml:space="preserve"> as unreliable </w:t>
      </w:r>
      <w:r w:rsidR="003708FC">
        <w:rPr>
          <w:lang w:val="en-NZ"/>
        </w:rPr>
        <w:t xml:space="preserve">due to prohibitionist bias. </w:t>
      </w:r>
      <w:r w:rsidR="00C174B9">
        <w:rPr>
          <w:lang w:val="en-NZ"/>
        </w:rPr>
        <w:t xml:space="preserve">They may instead turn to unofficial advice from the internet or from other </w:t>
      </w:r>
      <w:r>
        <w:rPr>
          <w:lang w:val="en-NZ"/>
        </w:rPr>
        <w:t xml:space="preserve">people who use </w:t>
      </w:r>
      <w:r w:rsidR="00C174B9">
        <w:rPr>
          <w:lang w:val="en-NZ"/>
        </w:rPr>
        <w:t>drugs</w:t>
      </w:r>
      <w:r w:rsidR="00574F41">
        <w:rPr>
          <w:lang w:val="en-NZ"/>
        </w:rPr>
        <w:t>, and there is significant risk that this advice will be inaccurate</w:t>
      </w:r>
      <w:r w:rsidR="003E0BAF">
        <w:rPr>
          <w:lang w:val="en-NZ"/>
        </w:rPr>
        <w:t xml:space="preserve"> and potentially dangerous. </w:t>
      </w:r>
    </w:p>
    <w:p w14:paraId="26AA1CA2" w14:textId="503205DF" w:rsidR="00CC50A8" w:rsidRDefault="007B6683" w:rsidP="007B4F92">
      <w:pPr>
        <w:rPr>
          <w:lang w:val="en-NZ"/>
        </w:rPr>
      </w:pPr>
      <w:r>
        <w:rPr>
          <w:lang w:val="en-NZ"/>
        </w:rPr>
        <w:t>T</w:t>
      </w:r>
      <w:r w:rsidR="0051057F">
        <w:rPr>
          <w:lang w:val="en-NZ"/>
        </w:rPr>
        <w:t xml:space="preserve">here is also </w:t>
      </w:r>
      <w:r>
        <w:rPr>
          <w:lang w:val="en-NZ"/>
        </w:rPr>
        <w:t>limited</w:t>
      </w:r>
      <w:r w:rsidR="0051057F">
        <w:rPr>
          <w:lang w:val="en-NZ"/>
        </w:rPr>
        <w:t xml:space="preserve"> information about which drugs are in circulation within New Zealand. </w:t>
      </w:r>
      <w:r w:rsidR="007568AB">
        <w:rPr>
          <w:lang w:val="en-NZ"/>
        </w:rPr>
        <w:t>This makes it more difficult for Police and health services to anticipate</w:t>
      </w:r>
      <w:r w:rsidR="00366AD9">
        <w:rPr>
          <w:lang w:val="en-NZ"/>
        </w:rPr>
        <w:t>, prevent or</w:t>
      </w:r>
      <w:r w:rsidR="007568AB">
        <w:rPr>
          <w:lang w:val="en-NZ"/>
        </w:rPr>
        <w:t xml:space="preserve"> respond to drug harm, particularly from novel substances. </w:t>
      </w:r>
    </w:p>
    <w:p w14:paraId="6296E321" w14:textId="3A9EF7AE" w:rsidR="007B4F92" w:rsidRDefault="007B4F92" w:rsidP="001F494A">
      <w:pPr>
        <w:pStyle w:val="Heading4"/>
      </w:pPr>
      <w:r>
        <w:t>The secondary policy problem</w:t>
      </w:r>
    </w:p>
    <w:p w14:paraId="62BE5F90" w14:textId="7CC66829" w:rsidR="006755E1" w:rsidRDefault="00C4588C" w:rsidP="007D78A1">
      <w:pPr>
        <w:rPr>
          <w:lang w:val="en-NZ"/>
        </w:rPr>
      </w:pPr>
      <w:r>
        <w:rPr>
          <w:lang w:val="en-NZ"/>
        </w:rPr>
        <w:t>If the Drug Checking Act</w:t>
      </w:r>
      <w:r w:rsidR="004B20C1">
        <w:rPr>
          <w:lang w:val="en-NZ"/>
        </w:rPr>
        <w:t xml:space="preserve"> provisions</w:t>
      </w:r>
      <w:r>
        <w:rPr>
          <w:lang w:val="en-NZ"/>
        </w:rPr>
        <w:t xml:space="preserve"> repeal without a new system in place, drug checking will revert to a legal grey area. </w:t>
      </w:r>
      <w:r w:rsidR="00363468">
        <w:rPr>
          <w:lang w:val="en-NZ"/>
        </w:rPr>
        <w:t xml:space="preserve">It will probably continue to operate but will be significantly hindered. Problems arising </w:t>
      </w:r>
      <w:r w:rsidR="00DC6D12">
        <w:rPr>
          <w:lang w:val="en-NZ"/>
        </w:rPr>
        <w:t>before the Drug Checking Act came into effect included:</w:t>
      </w:r>
    </w:p>
    <w:p w14:paraId="6B2F0212" w14:textId="34CD01BC" w:rsidR="00E5794F" w:rsidRDefault="004B20C1" w:rsidP="00DC6D12">
      <w:pPr>
        <w:pStyle w:val="ListParagraph"/>
        <w:numPr>
          <w:ilvl w:val="0"/>
          <w:numId w:val="24"/>
        </w:numPr>
        <w:rPr>
          <w:lang w:val="en-NZ"/>
        </w:rPr>
      </w:pPr>
      <w:r>
        <w:rPr>
          <w:lang w:val="en-NZ"/>
        </w:rPr>
        <w:t>t</w:t>
      </w:r>
      <w:r w:rsidR="00E5794F">
        <w:rPr>
          <w:lang w:val="en-NZ"/>
        </w:rPr>
        <w:t xml:space="preserve">here was only one </w:t>
      </w:r>
      <w:r w:rsidR="00577A4E">
        <w:rPr>
          <w:lang w:val="en-NZ"/>
        </w:rPr>
        <w:t>provider of drug checking services, as the legal uncertainty reduced demand and was off-putting to potential service providers</w:t>
      </w:r>
    </w:p>
    <w:p w14:paraId="6864A168" w14:textId="19D5B253" w:rsidR="00DC6D12" w:rsidRDefault="004B20C1" w:rsidP="00DC6D12">
      <w:pPr>
        <w:pStyle w:val="ListParagraph"/>
        <w:numPr>
          <w:ilvl w:val="0"/>
          <w:numId w:val="24"/>
        </w:numPr>
        <w:rPr>
          <w:lang w:val="en-NZ"/>
        </w:rPr>
      </w:pPr>
      <w:r>
        <w:rPr>
          <w:lang w:val="en-NZ"/>
        </w:rPr>
        <w:t>f</w:t>
      </w:r>
      <w:r w:rsidR="00DC6D12">
        <w:rPr>
          <w:lang w:val="en-NZ"/>
        </w:rPr>
        <w:t>estival organisers and other potential hosts were often reluctant to allow drug checking, as it put them at risk of prosecution under section 12 of the Misuse of Drugs Act</w:t>
      </w:r>
    </w:p>
    <w:p w14:paraId="6CCF8978" w14:textId="45204417" w:rsidR="00DC6D12" w:rsidRDefault="008629C9" w:rsidP="00DC6D12">
      <w:pPr>
        <w:pStyle w:val="ListParagraph"/>
        <w:numPr>
          <w:ilvl w:val="0"/>
          <w:numId w:val="24"/>
        </w:numPr>
        <w:rPr>
          <w:lang w:val="en-NZ"/>
        </w:rPr>
      </w:pPr>
      <w:r>
        <w:rPr>
          <w:lang w:val="en-NZ"/>
        </w:rPr>
        <w:t>KYS</w:t>
      </w:r>
      <w:r w:rsidR="00C904EE">
        <w:rPr>
          <w:lang w:val="en-NZ"/>
        </w:rPr>
        <w:t xml:space="preserve"> found it difficult to attract funding due to the uncertain legal position of the service</w:t>
      </w:r>
    </w:p>
    <w:p w14:paraId="6CC978D7" w14:textId="07203641" w:rsidR="00C904EE" w:rsidRDefault="00D274A2" w:rsidP="00DC6D12">
      <w:pPr>
        <w:pStyle w:val="ListParagraph"/>
        <w:numPr>
          <w:ilvl w:val="0"/>
          <w:numId w:val="24"/>
        </w:numPr>
        <w:rPr>
          <w:lang w:val="en-NZ"/>
        </w:rPr>
      </w:pPr>
      <w:r>
        <w:rPr>
          <w:lang w:val="en-NZ"/>
        </w:rPr>
        <w:t xml:space="preserve">drug </w:t>
      </w:r>
      <w:r w:rsidR="004B20C1">
        <w:rPr>
          <w:lang w:val="en-NZ"/>
        </w:rPr>
        <w:t>c</w:t>
      </w:r>
      <w:r w:rsidR="005E2D35">
        <w:rPr>
          <w:lang w:val="en-NZ"/>
        </w:rPr>
        <w:t>heckers could not handle the drugs, which tended to make the process slower</w:t>
      </w:r>
      <w:r w:rsidR="00927FA5">
        <w:rPr>
          <w:lang w:val="en-NZ"/>
        </w:rPr>
        <w:t xml:space="preserve"> than necessary and risked damage to expensive and delicate testing equipment. It </w:t>
      </w:r>
      <w:r w:rsidR="00927FA5">
        <w:rPr>
          <w:lang w:val="en-NZ"/>
        </w:rPr>
        <w:lastRenderedPageBreak/>
        <w:t xml:space="preserve">also made drug checking inaccessible to some people with disabilities, if they </w:t>
      </w:r>
      <w:r w:rsidR="001E359A">
        <w:rPr>
          <w:lang w:val="en-NZ"/>
        </w:rPr>
        <w:t xml:space="preserve">lacked the vision or co-ordination needed to place the drugs in the correct place for testing </w:t>
      </w:r>
    </w:p>
    <w:p w14:paraId="3268E92F" w14:textId="5377E63E" w:rsidR="00494B03" w:rsidRDefault="004B20C1" w:rsidP="00DC6D12">
      <w:pPr>
        <w:pStyle w:val="ListParagraph"/>
        <w:numPr>
          <w:ilvl w:val="0"/>
          <w:numId w:val="24"/>
        </w:numPr>
        <w:rPr>
          <w:lang w:val="en-NZ"/>
        </w:rPr>
      </w:pPr>
      <w:r>
        <w:rPr>
          <w:lang w:val="en-NZ"/>
        </w:rPr>
        <w:t>i</w:t>
      </w:r>
      <w:r w:rsidR="00357A87">
        <w:rPr>
          <w:lang w:val="en-NZ"/>
        </w:rPr>
        <w:t xml:space="preserve">f people surrendered their drugs </w:t>
      </w:r>
      <w:r w:rsidR="00240393">
        <w:rPr>
          <w:lang w:val="en-NZ"/>
        </w:rPr>
        <w:t xml:space="preserve">to drug checking providers </w:t>
      </w:r>
      <w:r w:rsidR="00357A87">
        <w:rPr>
          <w:lang w:val="en-NZ"/>
        </w:rPr>
        <w:t xml:space="preserve">after being told they were not as expected, they were at risk of a supply offence and the </w:t>
      </w:r>
      <w:r w:rsidR="0049423F">
        <w:rPr>
          <w:lang w:val="en-NZ"/>
        </w:rPr>
        <w:t>recipients</w:t>
      </w:r>
      <w:r w:rsidR="00357A87">
        <w:rPr>
          <w:lang w:val="en-NZ"/>
        </w:rPr>
        <w:t xml:space="preserve"> </w:t>
      </w:r>
      <w:r w:rsidR="0049423F">
        <w:rPr>
          <w:lang w:val="en-NZ"/>
        </w:rPr>
        <w:t>were at risk of a possession offence</w:t>
      </w:r>
    </w:p>
    <w:p w14:paraId="39C8C120" w14:textId="155FBF95" w:rsidR="00063BD0" w:rsidRDefault="00063BD0" w:rsidP="00DC6D12">
      <w:pPr>
        <w:pStyle w:val="ListParagraph"/>
        <w:numPr>
          <w:ilvl w:val="0"/>
          <w:numId w:val="24"/>
        </w:numPr>
        <w:rPr>
          <w:lang w:val="en-NZ"/>
        </w:rPr>
      </w:pPr>
      <w:r>
        <w:rPr>
          <w:lang w:val="en-NZ"/>
        </w:rPr>
        <w:t>there was no legal provision for drug checkers to pass drug samples on to another laboratory for further testing</w:t>
      </w:r>
    </w:p>
    <w:p w14:paraId="794E9BE1" w14:textId="1829998D" w:rsidR="001E359A" w:rsidRDefault="004B20C1" w:rsidP="00DC6D12">
      <w:pPr>
        <w:pStyle w:val="ListParagraph"/>
        <w:numPr>
          <w:ilvl w:val="0"/>
          <w:numId w:val="24"/>
        </w:numPr>
        <w:rPr>
          <w:lang w:val="en-NZ"/>
        </w:rPr>
      </w:pPr>
      <w:r>
        <w:rPr>
          <w:lang w:val="en-NZ"/>
        </w:rPr>
        <w:t>b</w:t>
      </w:r>
      <w:r w:rsidR="00A51C0D">
        <w:rPr>
          <w:lang w:val="en-NZ"/>
        </w:rPr>
        <w:t xml:space="preserve">ecause they could not operate openly, </w:t>
      </w:r>
      <w:r w:rsidR="00494B03">
        <w:rPr>
          <w:lang w:val="en-NZ"/>
        </w:rPr>
        <w:t>KYS found it difficult to promptly inform the public about the presence of particularly dangerous drugs</w:t>
      </w:r>
      <w:r w:rsidR="00A51C0D">
        <w:rPr>
          <w:lang w:val="en-NZ"/>
        </w:rPr>
        <w:t>.</w:t>
      </w:r>
      <w:r w:rsidR="0049423F">
        <w:rPr>
          <w:lang w:val="en-NZ"/>
        </w:rPr>
        <w:t xml:space="preserve"> </w:t>
      </w:r>
    </w:p>
    <w:p w14:paraId="07B208EC" w14:textId="6F5A4CE2" w:rsidR="007037C4" w:rsidRDefault="00491EB5" w:rsidP="007D78A1">
      <w:pPr>
        <w:rPr>
          <w:lang w:val="en-NZ"/>
        </w:rPr>
      </w:pPr>
      <w:r>
        <w:rPr>
          <w:lang w:val="en-NZ"/>
        </w:rPr>
        <w:t xml:space="preserve">The Drug Checking Act was </w:t>
      </w:r>
      <w:r w:rsidR="00635DBE">
        <w:rPr>
          <w:lang w:val="en-NZ"/>
        </w:rPr>
        <w:t>implemented</w:t>
      </w:r>
      <w:r>
        <w:rPr>
          <w:lang w:val="en-NZ"/>
        </w:rPr>
        <w:t xml:space="preserve"> as temporary legislation to allow drug checking to take place over the summer of 2020/21. </w:t>
      </w:r>
      <w:r w:rsidR="00D85885">
        <w:rPr>
          <w:lang w:val="en-NZ"/>
        </w:rPr>
        <w:t xml:space="preserve">The system </w:t>
      </w:r>
      <w:r w:rsidR="00272421">
        <w:rPr>
          <w:lang w:val="en-NZ"/>
        </w:rPr>
        <w:t xml:space="preserve">enabled by the Act is not best practice, as it grants a very high level of discretion to the Director-General and provides no oversight of appointment decisions or provider activity. There are no provisions for appointments to be revoked. </w:t>
      </w:r>
    </w:p>
    <w:p w14:paraId="764475E1" w14:textId="288703F8" w:rsidR="00FB44FC" w:rsidRDefault="00FB44FC" w:rsidP="001F494A">
      <w:pPr>
        <w:pStyle w:val="Heading4"/>
      </w:pPr>
      <w:r>
        <w:t>The opportunity</w:t>
      </w:r>
    </w:p>
    <w:p w14:paraId="5EB0098C" w14:textId="74233AD7" w:rsidR="00FB44FC" w:rsidRDefault="00040FB1" w:rsidP="00A00E1E">
      <w:pPr>
        <w:rPr>
          <w:lang w:val="en-NZ"/>
        </w:rPr>
      </w:pPr>
      <w:r>
        <w:rPr>
          <w:lang w:val="en-NZ"/>
        </w:rPr>
        <w:t xml:space="preserve">A permanent regulatory system for drug checking would </w:t>
      </w:r>
      <w:r w:rsidR="001A3CEA">
        <w:rPr>
          <w:lang w:val="en-NZ"/>
        </w:rPr>
        <w:t xml:space="preserve">help crucial harm reduction information to be disseminated to people who are at risk of drug harm. People who consume illicit drugs tend to be hard to </w:t>
      </w:r>
      <w:r w:rsidR="004E4C46">
        <w:rPr>
          <w:lang w:val="en-NZ"/>
        </w:rPr>
        <w:t xml:space="preserve">identify and </w:t>
      </w:r>
      <w:r w:rsidR="001A3CEA">
        <w:rPr>
          <w:lang w:val="en-NZ"/>
        </w:rPr>
        <w:t>reach with health messages</w:t>
      </w:r>
      <w:r w:rsidR="00C334C7">
        <w:rPr>
          <w:lang w:val="en-NZ"/>
        </w:rPr>
        <w:t xml:space="preserve">. </w:t>
      </w:r>
      <w:r w:rsidR="007A3B35">
        <w:rPr>
          <w:lang w:val="en-NZ"/>
        </w:rPr>
        <w:t xml:space="preserve">Drug checking </w:t>
      </w:r>
      <w:r w:rsidR="00C11942">
        <w:rPr>
          <w:lang w:val="en-NZ"/>
        </w:rPr>
        <w:t>brings people who consume drugs into contact with people who can provide them with advice</w:t>
      </w:r>
      <w:r w:rsidR="008E526E">
        <w:rPr>
          <w:lang w:val="en-NZ"/>
        </w:rPr>
        <w:t xml:space="preserve">, and potentially connect them to broader health services. </w:t>
      </w:r>
      <w:r w:rsidR="00785E00">
        <w:rPr>
          <w:lang w:val="en-NZ"/>
        </w:rPr>
        <w:t>This</w:t>
      </w:r>
      <w:r w:rsidR="00A00E1E">
        <w:rPr>
          <w:lang w:val="en-NZ"/>
        </w:rPr>
        <w:t xml:space="preserve"> advice is usually</w:t>
      </w:r>
      <w:r w:rsidR="00785E00">
        <w:rPr>
          <w:lang w:val="en-NZ"/>
        </w:rPr>
        <w:t xml:space="preserve"> </w:t>
      </w:r>
      <w:r w:rsidR="00A00E1E">
        <w:rPr>
          <w:lang w:val="en-NZ"/>
        </w:rPr>
        <w:t xml:space="preserve">provided by peers </w:t>
      </w:r>
      <w:r w:rsidR="00785E00">
        <w:rPr>
          <w:lang w:val="en-NZ"/>
        </w:rPr>
        <w:t>in a</w:t>
      </w:r>
      <w:r w:rsidR="007A3B35">
        <w:rPr>
          <w:lang w:val="en-NZ"/>
        </w:rPr>
        <w:t xml:space="preserve"> non-judgemental</w:t>
      </w:r>
      <w:r w:rsidR="00785E00">
        <w:rPr>
          <w:lang w:val="en-NZ"/>
        </w:rPr>
        <w:t xml:space="preserve"> way</w:t>
      </w:r>
      <w:r w:rsidR="001620F6">
        <w:rPr>
          <w:lang w:val="en-NZ"/>
        </w:rPr>
        <w:t xml:space="preserve"> which can </w:t>
      </w:r>
      <w:r w:rsidR="00754C5D">
        <w:rPr>
          <w:lang w:val="en-NZ"/>
        </w:rPr>
        <w:t>have a stronger influenc</w:t>
      </w:r>
      <w:r w:rsidR="00BB746A">
        <w:rPr>
          <w:lang w:val="en-NZ"/>
        </w:rPr>
        <w:t xml:space="preserve">e </w:t>
      </w:r>
      <w:r w:rsidR="000E6B9B">
        <w:rPr>
          <w:lang w:val="en-NZ"/>
        </w:rPr>
        <w:t xml:space="preserve">on </w:t>
      </w:r>
      <w:r w:rsidR="00E14F01">
        <w:rPr>
          <w:lang w:val="en-NZ"/>
        </w:rPr>
        <w:t>a person’s</w:t>
      </w:r>
      <w:r w:rsidR="000E6B9B">
        <w:rPr>
          <w:lang w:val="en-NZ"/>
        </w:rPr>
        <w:t xml:space="preserve"> actions</w:t>
      </w:r>
      <w:r w:rsidR="0028277C">
        <w:rPr>
          <w:lang w:val="en-NZ"/>
        </w:rPr>
        <w:t xml:space="preserve"> than advice from official sources</w:t>
      </w:r>
      <w:r w:rsidR="00E14F01">
        <w:rPr>
          <w:lang w:val="en-NZ"/>
        </w:rPr>
        <w:t>.</w:t>
      </w:r>
    </w:p>
    <w:p w14:paraId="25B3F6DB" w14:textId="40B1B629" w:rsidR="00173FAE" w:rsidRDefault="00020F57" w:rsidP="00FB44FC">
      <w:pPr>
        <w:rPr>
          <w:lang w:val="en-NZ"/>
        </w:rPr>
      </w:pPr>
      <w:r>
        <w:rPr>
          <w:lang w:val="en-NZ"/>
        </w:rPr>
        <w:t xml:space="preserve">Regulated drug checking would also improve information flows </w:t>
      </w:r>
      <w:r w:rsidR="00D30F43">
        <w:rPr>
          <w:lang w:val="en-NZ"/>
        </w:rPr>
        <w:t xml:space="preserve">about which illicit drugs are </w:t>
      </w:r>
      <w:r w:rsidR="001A31B5">
        <w:rPr>
          <w:lang w:val="en-NZ"/>
        </w:rPr>
        <w:t>circulating</w:t>
      </w:r>
      <w:r w:rsidR="00D30F43">
        <w:rPr>
          <w:lang w:val="en-NZ"/>
        </w:rPr>
        <w:t xml:space="preserve"> in New Zealand</w:t>
      </w:r>
      <w:r w:rsidR="00B365D4">
        <w:rPr>
          <w:lang w:val="en-NZ"/>
        </w:rPr>
        <w:t>.</w:t>
      </w:r>
      <w:r w:rsidR="00D30F43">
        <w:rPr>
          <w:lang w:val="en-NZ"/>
        </w:rPr>
        <w:t xml:space="preserve"> </w:t>
      </w:r>
      <w:r w:rsidR="00B365D4">
        <w:rPr>
          <w:lang w:val="en-NZ"/>
        </w:rPr>
        <w:t>T</w:t>
      </w:r>
      <w:r w:rsidR="00D30F43">
        <w:rPr>
          <w:lang w:val="en-NZ"/>
        </w:rPr>
        <w:t>his information is generally difficult to obtain</w:t>
      </w:r>
      <w:r w:rsidR="00434D8E">
        <w:rPr>
          <w:lang w:val="en-NZ"/>
        </w:rPr>
        <w:t xml:space="preserve">, particularly </w:t>
      </w:r>
      <w:r w:rsidR="0032407D">
        <w:rPr>
          <w:lang w:val="en-NZ"/>
        </w:rPr>
        <w:t>with regard to</w:t>
      </w:r>
      <w:r w:rsidR="00434D8E">
        <w:rPr>
          <w:lang w:val="en-NZ"/>
        </w:rPr>
        <w:t xml:space="preserve"> novel substances. </w:t>
      </w:r>
    </w:p>
    <w:p w14:paraId="70ADADAC" w14:textId="33FAB8D9" w:rsidR="0083317D" w:rsidRDefault="0083317D" w:rsidP="00FB44FC">
      <w:pPr>
        <w:rPr>
          <w:lang w:val="en-NZ"/>
        </w:rPr>
      </w:pPr>
      <w:r>
        <w:rPr>
          <w:lang w:val="en-NZ"/>
        </w:rPr>
        <w:t xml:space="preserve">Better information has a range of benefits. At festivals and other events, for example, drug checking can alert paramedics to </w:t>
      </w:r>
      <w:r w:rsidR="00225105">
        <w:rPr>
          <w:lang w:val="en-NZ"/>
        </w:rPr>
        <w:t>particularly dangerous drugs</w:t>
      </w:r>
      <w:r w:rsidR="00635AB9">
        <w:rPr>
          <w:lang w:val="en-NZ"/>
        </w:rPr>
        <w:t xml:space="preserve">, enabling the paramedics to </w:t>
      </w:r>
      <w:r w:rsidR="001C2E4B">
        <w:rPr>
          <w:lang w:val="en-NZ"/>
        </w:rPr>
        <w:t>appropriately treat victims of drug harm</w:t>
      </w:r>
      <w:r w:rsidR="00225105">
        <w:rPr>
          <w:lang w:val="en-NZ"/>
        </w:rPr>
        <w:t xml:space="preserve">. </w:t>
      </w:r>
      <w:r w:rsidR="00CF3981">
        <w:rPr>
          <w:lang w:val="en-NZ"/>
        </w:rPr>
        <w:t xml:space="preserve">Drug checking results </w:t>
      </w:r>
      <w:r w:rsidR="00173FAE">
        <w:rPr>
          <w:lang w:val="en-NZ"/>
        </w:rPr>
        <w:t>may</w:t>
      </w:r>
      <w:r w:rsidR="00CF3981">
        <w:rPr>
          <w:lang w:val="en-NZ"/>
        </w:rPr>
        <w:t xml:space="preserve"> be the first </w:t>
      </w:r>
      <w:r w:rsidR="005F10DB">
        <w:rPr>
          <w:lang w:val="en-NZ"/>
        </w:rPr>
        <w:t>indication that a new psychoactive substance is circulating.</w:t>
      </w:r>
      <w:r w:rsidR="008936EF">
        <w:rPr>
          <w:lang w:val="en-NZ"/>
        </w:rPr>
        <w:t xml:space="preserve"> </w:t>
      </w:r>
      <w:r w:rsidR="008A6B5E">
        <w:rPr>
          <w:lang w:val="en-NZ"/>
        </w:rPr>
        <w:t xml:space="preserve">A response can </w:t>
      </w:r>
      <w:r w:rsidR="00485451">
        <w:rPr>
          <w:lang w:val="en-NZ"/>
        </w:rPr>
        <w:t xml:space="preserve">then be developed, for example </w:t>
      </w:r>
      <w:r w:rsidR="008E7187">
        <w:rPr>
          <w:lang w:val="en-NZ"/>
        </w:rPr>
        <w:t xml:space="preserve">preparing </w:t>
      </w:r>
      <w:r w:rsidR="00485451">
        <w:rPr>
          <w:lang w:val="en-NZ"/>
        </w:rPr>
        <w:t>health service</w:t>
      </w:r>
      <w:r w:rsidR="008E7187">
        <w:rPr>
          <w:lang w:val="en-NZ"/>
        </w:rPr>
        <w:t xml:space="preserve"> responses</w:t>
      </w:r>
      <w:r w:rsidR="00485451">
        <w:rPr>
          <w:lang w:val="en-NZ"/>
        </w:rPr>
        <w:t xml:space="preserve">. </w:t>
      </w:r>
    </w:p>
    <w:p w14:paraId="59BB5BCF" w14:textId="064A7C0B" w:rsidR="007037C4" w:rsidRPr="00A864A5" w:rsidRDefault="007037C4" w:rsidP="007037C4">
      <w:pPr>
        <w:pStyle w:val="Heading3"/>
        <w:rPr>
          <w:lang w:val="en-NZ"/>
        </w:rPr>
      </w:pPr>
      <w:r w:rsidRPr="00A864A5">
        <w:rPr>
          <w:lang w:val="en-NZ"/>
        </w:rPr>
        <w:t>What objectives are you seeking in relation to this policy problem or opportunity?</w:t>
      </w:r>
    </w:p>
    <w:p w14:paraId="32B11D4F" w14:textId="7C533FB0" w:rsidR="007037C4" w:rsidRDefault="00480746" w:rsidP="00457DEA">
      <w:pPr>
        <w:rPr>
          <w:lang w:val="en-NZ"/>
        </w:rPr>
      </w:pPr>
      <w:r>
        <w:rPr>
          <w:lang w:val="en-NZ"/>
        </w:rPr>
        <w:t>The</w:t>
      </w:r>
      <w:r w:rsidR="00C73803">
        <w:rPr>
          <w:lang w:val="en-NZ"/>
        </w:rPr>
        <w:t xml:space="preserve"> key</w:t>
      </w:r>
      <w:r>
        <w:rPr>
          <w:lang w:val="en-NZ"/>
        </w:rPr>
        <w:t xml:space="preserve"> policy objective</w:t>
      </w:r>
      <w:r w:rsidR="00C73803">
        <w:rPr>
          <w:lang w:val="en-NZ"/>
        </w:rPr>
        <w:t xml:space="preserve"> is to reduce harm relating to illicit drug consumption</w:t>
      </w:r>
      <w:r w:rsidR="00895C80">
        <w:rPr>
          <w:lang w:val="en-NZ"/>
        </w:rPr>
        <w:t xml:space="preserve">. </w:t>
      </w:r>
      <w:r w:rsidR="002C0703">
        <w:rPr>
          <w:lang w:val="en-NZ"/>
        </w:rPr>
        <w:t>Drug checking will help deliver this objective in the</w:t>
      </w:r>
      <w:r w:rsidR="000C1F3E">
        <w:rPr>
          <w:lang w:val="en-NZ"/>
        </w:rPr>
        <w:t xml:space="preserve"> ways outlined in the opportunity section above. </w:t>
      </w:r>
    </w:p>
    <w:bookmarkEnd w:id="5"/>
    <w:bookmarkEnd w:id="6"/>
    <w:bookmarkEnd w:id="7"/>
    <w:bookmarkEnd w:id="8"/>
    <w:bookmarkEnd w:id="9"/>
    <w:p w14:paraId="5E96742C" w14:textId="77777777" w:rsidR="00457DEA" w:rsidRDefault="00457DEA">
      <w:pPr>
        <w:spacing w:after="0" w:line="240" w:lineRule="auto"/>
        <w:rPr>
          <w:rFonts w:ascii="Arial Bold" w:hAnsi="Arial Bold"/>
          <w:b/>
          <w:color w:val="0082AB"/>
          <w:spacing w:val="20"/>
          <w:w w:val="90"/>
          <w:sz w:val="32"/>
          <w:szCs w:val="24"/>
          <w:lang w:val="en-NZ"/>
        </w:rPr>
      </w:pPr>
      <w:r>
        <w:rPr>
          <w:lang w:val="en-NZ"/>
        </w:rPr>
        <w:br w:type="page"/>
      </w:r>
    </w:p>
    <w:p w14:paraId="4416672B" w14:textId="0B0B0F47" w:rsidR="00F402DF" w:rsidRDefault="00F402DF" w:rsidP="00804E26">
      <w:pPr>
        <w:pStyle w:val="Heading2"/>
        <w:rPr>
          <w:lang w:val="en-NZ"/>
        </w:rPr>
      </w:pPr>
      <w:r w:rsidRPr="00A864A5">
        <w:rPr>
          <w:lang w:val="en-NZ"/>
        </w:rPr>
        <w:lastRenderedPageBreak/>
        <w:t xml:space="preserve">Section 2: </w:t>
      </w:r>
      <w:r w:rsidR="00AD4328" w:rsidRPr="00A864A5">
        <w:rPr>
          <w:lang w:val="en-NZ"/>
        </w:rPr>
        <w:t>Option identification</w:t>
      </w:r>
      <w:r w:rsidR="00CB3AC3" w:rsidRPr="00A864A5">
        <w:rPr>
          <w:lang w:val="en-NZ"/>
        </w:rPr>
        <w:t xml:space="preserve"> and impact analysis</w:t>
      </w:r>
    </w:p>
    <w:p w14:paraId="25BC8EEE" w14:textId="7141A92C" w:rsidR="004E1A06" w:rsidRPr="00A864A5" w:rsidRDefault="004E1A06" w:rsidP="004E1A06">
      <w:pPr>
        <w:pStyle w:val="Heading3"/>
        <w:rPr>
          <w:lang w:val="en-NZ"/>
        </w:rPr>
      </w:pPr>
      <w:r w:rsidRPr="00A864A5">
        <w:rPr>
          <w:lang w:val="en-NZ"/>
        </w:rPr>
        <w:t>What criteria will be used to evaluate option</w:t>
      </w:r>
      <w:r w:rsidR="004402CE" w:rsidRPr="00A864A5">
        <w:rPr>
          <w:lang w:val="en-NZ"/>
        </w:rPr>
        <w:t>s</w:t>
      </w:r>
      <w:r w:rsidRPr="00A864A5">
        <w:rPr>
          <w:lang w:val="en-NZ"/>
        </w:rPr>
        <w:t xml:space="preserve"> against the status quo?</w:t>
      </w:r>
    </w:p>
    <w:p w14:paraId="077970A0" w14:textId="0569110A" w:rsidR="006C4739" w:rsidRDefault="006C4739" w:rsidP="00F15365">
      <w:pPr>
        <w:rPr>
          <w:lang w:val="en-NZ"/>
        </w:rPr>
      </w:pPr>
      <w:r>
        <w:rPr>
          <w:lang w:val="en-NZ"/>
        </w:rPr>
        <w:t xml:space="preserve">The </w:t>
      </w:r>
      <w:r w:rsidR="0024413D">
        <w:rPr>
          <w:lang w:val="en-NZ"/>
        </w:rPr>
        <w:t>key criteri</w:t>
      </w:r>
      <w:r w:rsidR="00493A40">
        <w:rPr>
          <w:lang w:val="en-NZ"/>
        </w:rPr>
        <w:t>on</w:t>
      </w:r>
      <w:r w:rsidR="0024413D">
        <w:rPr>
          <w:lang w:val="en-NZ"/>
        </w:rPr>
        <w:t xml:space="preserve"> is the extent to which the option will assist the key policy objective of </w:t>
      </w:r>
      <w:r w:rsidR="0024413D" w:rsidRPr="00271AD7">
        <w:rPr>
          <w:b/>
          <w:bCs/>
          <w:lang w:val="en-NZ"/>
        </w:rPr>
        <w:t xml:space="preserve">reducing harm </w:t>
      </w:r>
      <w:r w:rsidR="0024413D" w:rsidRPr="0024413D">
        <w:rPr>
          <w:lang w:val="en-NZ"/>
        </w:rPr>
        <w:t>relating to illicit drug consumption</w:t>
      </w:r>
      <w:r w:rsidR="0024413D">
        <w:rPr>
          <w:lang w:val="en-NZ"/>
        </w:rPr>
        <w:t>.</w:t>
      </w:r>
      <w:r w:rsidR="00A97F00">
        <w:rPr>
          <w:lang w:val="en-NZ"/>
        </w:rPr>
        <w:t xml:space="preserve"> Drug checking has the potential to reduce </w:t>
      </w:r>
      <w:r w:rsidR="008F3364">
        <w:rPr>
          <w:lang w:val="en-NZ"/>
        </w:rPr>
        <w:t xml:space="preserve">drug harm by preventing unintentional consumption of particularly dangerous drugs, enabling people who use drugs to make </w:t>
      </w:r>
      <w:r w:rsidR="00101110">
        <w:rPr>
          <w:lang w:val="en-NZ"/>
        </w:rPr>
        <w:t xml:space="preserve">more </w:t>
      </w:r>
      <w:r w:rsidR="008F3364">
        <w:rPr>
          <w:lang w:val="en-NZ"/>
        </w:rPr>
        <w:t>informed decisions</w:t>
      </w:r>
      <w:r w:rsidR="006E390D">
        <w:rPr>
          <w:lang w:val="en-NZ"/>
        </w:rPr>
        <w:t xml:space="preserve"> about drug use</w:t>
      </w:r>
      <w:r w:rsidR="008F3364">
        <w:rPr>
          <w:lang w:val="en-NZ"/>
        </w:rPr>
        <w:t xml:space="preserve">, and by providing </w:t>
      </w:r>
      <w:r w:rsidR="00850067">
        <w:rPr>
          <w:lang w:val="en-NZ"/>
        </w:rPr>
        <w:t xml:space="preserve">Police and health services with </w:t>
      </w:r>
      <w:r w:rsidR="008F3364">
        <w:rPr>
          <w:lang w:val="en-NZ"/>
        </w:rPr>
        <w:t xml:space="preserve">information about </w:t>
      </w:r>
      <w:r w:rsidR="00850067">
        <w:rPr>
          <w:lang w:val="en-NZ"/>
        </w:rPr>
        <w:t xml:space="preserve">which drugs are circulating in New Zealand. </w:t>
      </w:r>
    </w:p>
    <w:p w14:paraId="7788741F" w14:textId="2553B1D1" w:rsidR="004E1A06" w:rsidRDefault="002B6AA8" w:rsidP="00F15365">
      <w:pPr>
        <w:rPr>
          <w:lang w:val="en-NZ"/>
        </w:rPr>
      </w:pPr>
      <w:r>
        <w:rPr>
          <w:lang w:val="en-NZ"/>
        </w:rPr>
        <w:t>The</w:t>
      </w:r>
      <w:r w:rsidR="0024413D">
        <w:rPr>
          <w:lang w:val="en-NZ"/>
        </w:rPr>
        <w:t xml:space="preserve">re are </w:t>
      </w:r>
      <w:r w:rsidR="00C73A07">
        <w:rPr>
          <w:lang w:val="en-NZ"/>
        </w:rPr>
        <w:t xml:space="preserve">three </w:t>
      </w:r>
      <w:r w:rsidR="0024413D">
        <w:rPr>
          <w:lang w:val="en-NZ"/>
        </w:rPr>
        <w:t>additional</w:t>
      </w:r>
      <w:r>
        <w:rPr>
          <w:lang w:val="en-NZ"/>
        </w:rPr>
        <w:t xml:space="preserve"> criteria are </w:t>
      </w:r>
      <w:r w:rsidR="00075F4B">
        <w:rPr>
          <w:lang w:val="en-NZ"/>
        </w:rPr>
        <w:t>as follows:</w:t>
      </w:r>
    </w:p>
    <w:p w14:paraId="5B4B05CE" w14:textId="44627C0D" w:rsidR="00075F4B" w:rsidRPr="00480746" w:rsidRDefault="00075F4B" w:rsidP="00610083">
      <w:pPr>
        <w:pStyle w:val="ListParagraph"/>
        <w:numPr>
          <w:ilvl w:val="0"/>
          <w:numId w:val="26"/>
        </w:numPr>
        <w:rPr>
          <w:lang w:val="en-NZ"/>
        </w:rPr>
      </w:pPr>
      <w:r w:rsidRPr="00480746">
        <w:rPr>
          <w:b/>
          <w:bCs/>
          <w:lang w:val="en-NZ"/>
        </w:rPr>
        <w:t>Safety and quality:</w:t>
      </w:r>
      <w:r w:rsidRPr="00480746">
        <w:rPr>
          <w:lang w:val="en-NZ"/>
        </w:rPr>
        <w:t xml:space="preserve"> authorised services need to </w:t>
      </w:r>
      <w:r w:rsidR="00610083">
        <w:rPr>
          <w:lang w:val="en-NZ"/>
        </w:rPr>
        <w:t xml:space="preserve">be able to </w:t>
      </w:r>
      <w:r w:rsidRPr="00480746">
        <w:rPr>
          <w:lang w:val="en-NZ"/>
        </w:rPr>
        <w:t xml:space="preserve">deliver accurate test results, and appropriate harm reduction messaging. </w:t>
      </w:r>
    </w:p>
    <w:p w14:paraId="682A8FD1" w14:textId="715E6DEC" w:rsidR="00075F4B" w:rsidRPr="00480746" w:rsidRDefault="00075F4B" w:rsidP="00075F4B">
      <w:pPr>
        <w:pStyle w:val="ListParagraph"/>
        <w:numPr>
          <w:ilvl w:val="0"/>
          <w:numId w:val="26"/>
        </w:numPr>
        <w:rPr>
          <w:lang w:val="en-NZ"/>
        </w:rPr>
      </w:pPr>
      <w:r w:rsidRPr="00480746">
        <w:rPr>
          <w:b/>
          <w:bCs/>
          <w:lang w:val="en-NZ"/>
        </w:rPr>
        <w:t>Equitable access:</w:t>
      </w:r>
      <w:r w:rsidRPr="00480746">
        <w:rPr>
          <w:lang w:val="en-NZ"/>
        </w:rPr>
        <w:t xml:space="preserve"> drug checking services should be readily available to those who need them. There should not be financial, cultural, or other barriers to use. The regulatory system must comply with the principles of Te Tiriti o Waitangi.  </w:t>
      </w:r>
    </w:p>
    <w:p w14:paraId="53EBF5CD" w14:textId="314BFF21" w:rsidR="002316E5" w:rsidRDefault="00075F4B" w:rsidP="006B7932">
      <w:pPr>
        <w:pStyle w:val="ListParagraph"/>
        <w:numPr>
          <w:ilvl w:val="0"/>
          <w:numId w:val="26"/>
        </w:numPr>
        <w:rPr>
          <w:lang w:val="en-NZ"/>
        </w:rPr>
      </w:pPr>
      <w:r w:rsidRPr="00480746">
        <w:rPr>
          <w:b/>
          <w:bCs/>
          <w:lang w:val="en-NZ"/>
        </w:rPr>
        <w:t>Practicality and flexibility</w:t>
      </w:r>
      <w:r w:rsidRPr="00480746">
        <w:rPr>
          <w:lang w:val="en-NZ"/>
        </w:rPr>
        <w:t xml:space="preserve">: the system should </w:t>
      </w:r>
      <w:r w:rsidR="00C73A07">
        <w:rPr>
          <w:lang w:val="en-NZ"/>
        </w:rPr>
        <w:t xml:space="preserve">make efficient use of </w:t>
      </w:r>
      <w:r w:rsidR="006B7932">
        <w:rPr>
          <w:lang w:val="en-NZ"/>
        </w:rPr>
        <w:t xml:space="preserve">the time and money of the Crown and regulated parties. </w:t>
      </w:r>
      <w:r w:rsidRPr="00480746">
        <w:rPr>
          <w:lang w:val="en-NZ"/>
        </w:rPr>
        <w:t>It should be sufficiently flexible to allow a range of approaches, particularly kaupapa Māori services.</w:t>
      </w:r>
      <w:r w:rsidR="00B92C38">
        <w:rPr>
          <w:lang w:val="en-NZ"/>
        </w:rPr>
        <w:t xml:space="preserve"> It must be possible to implement in the time available. </w:t>
      </w:r>
      <w:r w:rsidR="006A2452">
        <w:rPr>
          <w:lang w:val="en-NZ"/>
        </w:rPr>
        <w:t xml:space="preserve">A practical and flexible system will help ensure that providers are treated equitably. </w:t>
      </w:r>
    </w:p>
    <w:p w14:paraId="3252D892" w14:textId="49E0963C" w:rsidR="00E52B84" w:rsidRPr="00A864A5" w:rsidRDefault="007D78A1" w:rsidP="00E52B84">
      <w:pPr>
        <w:pStyle w:val="Heading3"/>
        <w:rPr>
          <w:lang w:val="en-NZ"/>
        </w:rPr>
      </w:pPr>
      <w:r w:rsidRPr="00A864A5">
        <w:rPr>
          <w:lang w:val="en-NZ"/>
        </w:rPr>
        <w:t>What scope are you considering options within?</w:t>
      </w:r>
    </w:p>
    <w:p w14:paraId="6AFC2B63" w14:textId="446969D6" w:rsidR="001F2EA7" w:rsidRDefault="00A81B1C" w:rsidP="004A2600">
      <w:pPr>
        <w:rPr>
          <w:lang w:val="en-NZ"/>
        </w:rPr>
      </w:pPr>
      <w:r>
        <w:rPr>
          <w:lang w:val="en-NZ"/>
        </w:rPr>
        <w:t xml:space="preserve">Establishment of a new regulatory agency for drug checking has not been considered. </w:t>
      </w:r>
      <w:r w:rsidR="00B86B75">
        <w:rPr>
          <w:lang w:val="en-NZ"/>
        </w:rPr>
        <w:t xml:space="preserve">It is expected that the number of licence applications will be low; approximately 1-2 per annum. Creation of a new agency is therefore not necessary or an efficient use of resources. </w:t>
      </w:r>
    </w:p>
    <w:p w14:paraId="1B0E1348" w14:textId="6DA6C3EF" w:rsidR="005124C5" w:rsidRDefault="005124C5" w:rsidP="004A2600">
      <w:pPr>
        <w:rPr>
          <w:lang w:val="en-NZ"/>
        </w:rPr>
      </w:pPr>
      <w:r>
        <w:rPr>
          <w:lang w:val="en-NZ"/>
        </w:rPr>
        <w:t xml:space="preserve">The following options for </w:t>
      </w:r>
      <w:r w:rsidR="00F33D6C">
        <w:rPr>
          <w:lang w:val="en-NZ"/>
        </w:rPr>
        <w:t>the regulator being an entity other than the Ministry of Health have also been discounted:</w:t>
      </w:r>
    </w:p>
    <w:p w14:paraId="31B7ACE6" w14:textId="1405BB33" w:rsidR="00F33D6C" w:rsidRDefault="00892409" w:rsidP="00892409">
      <w:pPr>
        <w:pStyle w:val="ListParagraph"/>
        <w:numPr>
          <w:ilvl w:val="0"/>
          <w:numId w:val="35"/>
        </w:numPr>
        <w:rPr>
          <w:lang w:val="en-NZ"/>
        </w:rPr>
      </w:pPr>
      <w:r>
        <w:rPr>
          <w:lang w:val="en-NZ"/>
        </w:rPr>
        <w:t>An industry body: there are no industry bodies which cover drug harm reduction and drug checking technology</w:t>
      </w:r>
    </w:p>
    <w:p w14:paraId="3AEB4D13" w14:textId="66D499D8" w:rsidR="00892409" w:rsidRDefault="00A84DFE" w:rsidP="00892409">
      <w:pPr>
        <w:pStyle w:val="ListParagraph"/>
        <w:numPr>
          <w:ilvl w:val="0"/>
          <w:numId w:val="35"/>
        </w:numPr>
        <w:rPr>
          <w:lang w:val="en-NZ"/>
        </w:rPr>
      </w:pPr>
      <w:r>
        <w:rPr>
          <w:lang w:val="en-NZ"/>
        </w:rPr>
        <w:t xml:space="preserve">An NGO: </w:t>
      </w:r>
      <w:r w:rsidR="00D50DCB">
        <w:rPr>
          <w:lang w:val="en-NZ"/>
        </w:rPr>
        <w:t xml:space="preserve">The NGO with the most relevant expertise is the New Zealand Drug Foundation. However the </w:t>
      </w:r>
      <w:r w:rsidR="00911FD0">
        <w:rPr>
          <w:lang w:val="en-NZ"/>
        </w:rPr>
        <w:t>Foundation currently assists KYS with drug checking, so would not be able to act as an impartial assessor</w:t>
      </w:r>
    </w:p>
    <w:p w14:paraId="3B9BE608" w14:textId="20E8DAF1" w:rsidR="00911FD0" w:rsidRDefault="00911FD0" w:rsidP="00892409">
      <w:pPr>
        <w:pStyle w:val="ListParagraph"/>
        <w:numPr>
          <w:ilvl w:val="0"/>
          <w:numId w:val="35"/>
        </w:numPr>
        <w:rPr>
          <w:lang w:val="en-NZ"/>
        </w:rPr>
      </w:pPr>
      <w:r>
        <w:rPr>
          <w:lang w:val="en-NZ"/>
        </w:rPr>
        <w:t xml:space="preserve">Another </w:t>
      </w:r>
      <w:r w:rsidR="004F28FD">
        <w:rPr>
          <w:lang w:val="en-NZ"/>
        </w:rPr>
        <w:t xml:space="preserve">central </w:t>
      </w:r>
      <w:r>
        <w:rPr>
          <w:lang w:val="en-NZ"/>
        </w:rPr>
        <w:t>government agency</w:t>
      </w:r>
      <w:r w:rsidR="004F28FD">
        <w:rPr>
          <w:lang w:val="en-NZ"/>
        </w:rPr>
        <w:t xml:space="preserve">: The goal of drug checking, and the regulation of drug checking, is to prevent health-related harm. </w:t>
      </w:r>
      <w:r w:rsidR="0075541E">
        <w:rPr>
          <w:lang w:val="en-NZ"/>
        </w:rPr>
        <w:t>Therefore the Ministry of Health is the most appropriate central government agency</w:t>
      </w:r>
    </w:p>
    <w:p w14:paraId="20240EB8" w14:textId="5E644366" w:rsidR="0075541E" w:rsidRPr="00892409" w:rsidRDefault="00274F53" w:rsidP="00892409">
      <w:pPr>
        <w:pStyle w:val="ListParagraph"/>
        <w:numPr>
          <w:ilvl w:val="0"/>
          <w:numId w:val="35"/>
        </w:numPr>
        <w:rPr>
          <w:lang w:val="en-NZ"/>
        </w:rPr>
      </w:pPr>
      <w:r>
        <w:rPr>
          <w:lang w:val="en-NZ"/>
        </w:rPr>
        <w:t>Territorial authorities</w:t>
      </w:r>
      <w:r w:rsidR="0075541E">
        <w:rPr>
          <w:lang w:val="en-NZ"/>
        </w:rPr>
        <w:t xml:space="preserve">: </w:t>
      </w:r>
      <w:r w:rsidR="00F26EC0">
        <w:rPr>
          <w:lang w:val="en-NZ"/>
        </w:rPr>
        <w:t xml:space="preserve">KYS operate across New Zealand, and it is likely that </w:t>
      </w:r>
      <w:r>
        <w:rPr>
          <w:lang w:val="en-NZ"/>
        </w:rPr>
        <w:t xml:space="preserve">other drug checking service providers will also be multi-regional. This makes a local government regulator inappropriate. </w:t>
      </w:r>
    </w:p>
    <w:p w14:paraId="7E1B5206" w14:textId="105C85AE" w:rsidR="004A2600" w:rsidRDefault="004A2600" w:rsidP="004A2600">
      <w:pPr>
        <w:rPr>
          <w:lang w:val="en-NZ"/>
        </w:rPr>
      </w:pPr>
      <w:r>
        <w:rPr>
          <w:lang w:val="en-NZ"/>
        </w:rPr>
        <w:t>The following option</w:t>
      </w:r>
      <w:r w:rsidR="00541C00">
        <w:rPr>
          <w:lang w:val="en-NZ"/>
        </w:rPr>
        <w:t xml:space="preserve"> is</w:t>
      </w:r>
      <w:r>
        <w:rPr>
          <w:lang w:val="en-NZ"/>
        </w:rPr>
        <w:t xml:space="preserve"> </w:t>
      </w:r>
      <w:r w:rsidR="001F5152">
        <w:rPr>
          <w:lang w:val="en-NZ"/>
        </w:rPr>
        <w:t xml:space="preserve">also </w:t>
      </w:r>
      <w:r>
        <w:rPr>
          <w:lang w:val="en-NZ"/>
        </w:rPr>
        <w:t>out of scope:</w:t>
      </w:r>
    </w:p>
    <w:p w14:paraId="7D89BFF3" w14:textId="5D7FCC04" w:rsidR="00016817" w:rsidRDefault="00016817" w:rsidP="001F494A">
      <w:pPr>
        <w:pStyle w:val="Heading4"/>
      </w:pPr>
      <w:r>
        <w:t>Legislation and regulation of some</w:t>
      </w:r>
      <w:r w:rsidR="00847A9E">
        <w:t xml:space="preserve"> or all</w:t>
      </w:r>
      <w:r>
        <w:t xml:space="preserve"> recreational drugs </w:t>
      </w:r>
    </w:p>
    <w:p w14:paraId="615E6A37" w14:textId="4C96F0E3" w:rsidR="001538A0" w:rsidRDefault="00016817" w:rsidP="00197B5A">
      <w:pPr>
        <w:rPr>
          <w:lang w:val="en-NZ"/>
        </w:rPr>
      </w:pPr>
      <w:r>
        <w:rPr>
          <w:lang w:val="en-NZ"/>
        </w:rPr>
        <w:lastRenderedPageBreak/>
        <w:t xml:space="preserve">This </w:t>
      </w:r>
      <w:r w:rsidR="008E61F8" w:rsidRPr="00016817">
        <w:rPr>
          <w:lang w:val="en-NZ"/>
        </w:rPr>
        <w:t>c</w:t>
      </w:r>
      <w:r w:rsidR="005F3068" w:rsidRPr="00016817">
        <w:rPr>
          <w:lang w:val="en-NZ"/>
        </w:rPr>
        <w:t xml:space="preserve">ould be </w:t>
      </w:r>
      <w:r w:rsidR="008E61F8" w:rsidRPr="00016817">
        <w:rPr>
          <w:lang w:val="en-NZ"/>
        </w:rPr>
        <w:t xml:space="preserve">an </w:t>
      </w:r>
      <w:r w:rsidR="005F3068" w:rsidRPr="00016817">
        <w:rPr>
          <w:lang w:val="en-NZ"/>
        </w:rPr>
        <w:t>effective way to address problems arising from lack of quality control</w:t>
      </w:r>
      <w:r w:rsidR="00197B5A">
        <w:rPr>
          <w:lang w:val="en-NZ"/>
        </w:rPr>
        <w:t xml:space="preserve"> of illicit drugs. However</w:t>
      </w:r>
      <w:r w:rsidR="005B137A">
        <w:rPr>
          <w:lang w:val="en-NZ"/>
        </w:rPr>
        <w:t>,</w:t>
      </w:r>
      <w:r w:rsidR="005F3068" w:rsidRPr="00016817">
        <w:rPr>
          <w:lang w:val="en-NZ"/>
        </w:rPr>
        <w:t xml:space="preserve"> the benefits </w:t>
      </w:r>
      <w:r w:rsidR="008E61F8" w:rsidRPr="00016817">
        <w:rPr>
          <w:lang w:val="en-NZ"/>
        </w:rPr>
        <w:t xml:space="preserve">and risks </w:t>
      </w:r>
      <w:r w:rsidR="005F3068" w:rsidRPr="00016817">
        <w:rPr>
          <w:lang w:val="en-NZ"/>
        </w:rPr>
        <w:t xml:space="preserve">of this approach </w:t>
      </w:r>
      <w:r w:rsidR="008E61F8" w:rsidRPr="00016817">
        <w:rPr>
          <w:lang w:val="en-NZ"/>
        </w:rPr>
        <w:t xml:space="preserve">cannot be adequately assessed in the time </w:t>
      </w:r>
      <w:r w:rsidR="005116D6" w:rsidRPr="00016817">
        <w:rPr>
          <w:lang w:val="en-NZ"/>
        </w:rPr>
        <w:t>available</w:t>
      </w:r>
      <w:r w:rsidR="005F3068" w:rsidRPr="00016817">
        <w:rPr>
          <w:lang w:val="en-NZ"/>
        </w:rPr>
        <w:t>.</w:t>
      </w:r>
      <w:r w:rsidR="005116D6" w:rsidRPr="00016817">
        <w:rPr>
          <w:lang w:val="en-NZ"/>
        </w:rPr>
        <w:t xml:space="preserve"> </w:t>
      </w:r>
      <w:r w:rsidR="00B0088B">
        <w:rPr>
          <w:lang w:val="en-NZ"/>
        </w:rPr>
        <w:t>The operation of the Psychoactive Substances Act, under which no psychoactive substance has been approved, suggests that</w:t>
      </w:r>
      <w:r w:rsidR="00FC7A54">
        <w:rPr>
          <w:lang w:val="en-NZ"/>
        </w:rPr>
        <w:t xml:space="preserve"> it </w:t>
      </w:r>
      <w:r w:rsidR="00256A4A">
        <w:rPr>
          <w:lang w:val="en-NZ"/>
        </w:rPr>
        <w:t>can be</w:t>
      </w:r>
      <w:r w:rsidR="00FC7A54">
        <w:rPr>
          <w:lang w:val="en-NZ"/>
        </w:rPr>
        <w:t xml:space="preserve"> challenging to develop an effective regulatory system for recreational drugs. </w:t>
      </w:r>
      <w:r w:rsidR="00197B5A">
        <w:rPr>
          <w:lang w:val="en-NZ"/>
        </w:rPr>
        <w:t xml:space="preserve">Political consideration of this approach is unlikely, due to the recent public vote </w:t>
      </w:r>
      <w:r w:rsidR="008E61F8" w:rsidRPr="00016817">
        <w:rPr>
          <w:lang w:val="en-NZ"/>
        </w:rPr>
        <w:t xml:space="preserve">against </w:t>
      </w:r>
      <w:r w:rsidR="00D54457" w:rsidRPr="00016817">
        <w:rPr>
          <w:lang w:val="en-NZ"/>
        </w:rPr>
        <w:t>cannabis legalisation</w:t>
      </w:r>
      <w:r w:rsidR="008E61F8" w:rsidRPr="00016817">
        <w:rPr>
          <w:lang w:val="en-NZ"/>
        </w:rPr>
        <w:t xml:space="preserve"> and </w:t>
      </w:r>
      <w:r w:rsidR="005116D6" w:rsidRPr="00016817">
        <w:rPr>
          <w:lang w:val="en-NZ"/>
        </w:rPr>
        <w:t>regulation</w:t>
      </w:r>
      <w:r w:rsidR="008E61F8" w:rsidRPr="00016817">
        <w:rPr>
          <w:lang w:val="en-NZ"/>
        </w:rPr>
        <w:t>.</w:t>
      </w:r>
    </w:p>
    <w:p w14:paraId="3E4703B0" w14:textId="77777777" w:rsidR="00897F4F" w:rsidRDefault="00EE03E6" w:rsidP="00897F4F">
      <w:pPr>
        <w:pStyle w:val="Heading3"/>
        <w:rPr>
          <w:lang w:val="en-NZ"/>
        </w:rPr>
      </w:pPr>
      <w:r w:rsidRPr="00A864A5">
        <w:rPr>
          <w:lang w:val="en-NZ"/>
        </w:rPr>
        <w:t xml:space="preserve">Describe </w:t>
      </w:r>
      <w:r w:rsidR="00913334" w:rsidRPr="00A864A5">
        <w:rPr>
          <w:lang w:val="en-NZ"/>
        </w:rPr>
        <w:t>and analyse</w:t>
      </w:r>
      <w:r w:rsidRPr="00A864A5">
        <w:rPr>
          <w:lang w:val="en-NZ"/>
        </w:rPr>
        <w:t xml:space="preserve"> the option</w:t>
      </w:r>
      <w:r w:rsidR="004402CE" w:rsidRPr="00A864A5">
        <w:rPr>
          <w:lang w:val="en-NZ"/>
        </w:rPr>
        <w:t>s</w:t>
      </w:r>
    </w:p>
    <w:p w14:paraId="00861FFE" w14:textId="542F44FD" w:rsidR="00294646" w:rsidRPr="00A864A5" w:rsidRDefault="007D78A1" w:rsidP="001F494A">
      <w:pPr>
        <w:pStyle w:val="Heading4"/>
      </w:pPr>
      <w:r w:rsidRPr="00A864A5">
        <w:t>Option One –</w:t>
      </w:r>
      <w:r w:rsidR="00247E49">
        <w:t xml:space="preserve"> </w:t>
      </w:r>
      <w:r w:rsidR="000210ED" w:rsidRPr="00A864A5">
        <w:t>Counterfactual</w:t>
      </w:r>
      <w:r w:rsidR="00552B06">
        <w:t xml:space="preserve"> if no action is taken</w:t>
      </w:r>
    </w:p>
    <w:p w14:paraId="2D1EF1A5" w14:textId="1CB022A5" w:rsidR="00F3024B" w:rsidRDefault="009B385A" w:rsidP="007D78A1">
      <w:pPr>
        <w:rPr>
          <w:lang w:val="en-NZ"/>
        </w:rPr>
      </w:pPr>
      <w:r>
        <w:rPr>
          <w:lang w:val="en-NZ"/>
        </w:rPr>
        <w:t xml:space="preserve">The </w:t>
      </w:r>
      <w:r w:rsidR="00247E49">
        <w:rPr>
          <w:lang w:val="en-NZ"/>
        </w:rPr>
        <w:t>c</w:t>
      </w:r>
      <w:r>
        <w:rPr>
          <w:lang w:val="en-NZ"/>
        </w:rPr>
        <w:t xml:space="preserve">ounterfactual </w:t>
      </w:r>
      <w:r w:rsidR="00563F58">
        <w:rPr>
          <w:lang w:val="en-NZ"/>
        </w:rPr>
        <w:t xml:space="preserve">if no action is taken </w:t>
      </w:r>
      <w:r>
        <w:rPr>
          <w:lang w:val="en-NZ"/>
        </w:rPr>
        <w:t xml:space="preserve">is to allow the Drug Checking Act </w:t>
      </w:r>
      <w:r w:rsidR="00364410">
        <w:rPr>
          <w:lang w:val="en-NZ"/>
        </w:rPr>
        <w:t xml:space="preserve">provisions </w:t>
      </w:r>
      <w:r>
        <w:rPr>
          <w:lang w:val="en-NZ"/>
        </w:rPr>
        <w:t xml:space="preserve">to expire without a replacement. This would </w:t>
      </w:r>
      <w:r w:rsidR="00BE046C">
        <w:rPr>
          <w:lang w:val="en-NZ"/>
        </w:rPr>
        <w:t xml:space="preserve">return drug checking to a legal grey area. </w:t>
      </w:r>
      <w:r w:rsidR="001D4BA9">
        <w:rPr>
          <w:lang w:val="en-NZ"/>
        </w:rPr>
        <w:t>KYS would probably continue to operate as they did prior to the Drug Checking Act</w:t>
      </w:r>
      <w:r w:rsidR="005064C6">
        <w:rPr>
          <w:lang w:val="en-NZ"/>
        </w:rPr>
        <w:t>, with the difficulties outlined in the ‘secondary policy problem’ section above</w:t>
      </w:r>
      <w:r w:rsidR="001D4BA9">
        <w:rPr>
          <w:lang w:val="en-NZ"/>
        </w:rPr>
        <w:t xml:space="preserve">. </w:t>
      </w:r>
      <w:r w:rsidR="009B4E3B">
        <w:rPr>
          <w:lang w:val="en-NZ"/>
        </w:rPr>
        <w:t xml:space="preserve">Relative to the other options, under this option is it unlikely that new providers would enter the market. </w:t>
      </w:r>
      <w:r w:rsidR="007B2F10">
        <w:rPr>
          <w:lang w:val="en-NZ"/>
        </w:rPr>
        <w:t xml:space="preserve"> </w:t>
      </w:r>
    </w:p>
    <w:p w14:paraId="79846F25" w14:textId="3D9C3C05" w:rsidR="00493A40" w:rsidRDefault="00CB792C" w:rsidP="007D78A1">
      <w:pPr>
        <w:rPr>
          <w:lang w:val="en-NZ"/>
        </w:rPr>
      </w:pPr>
      <w:r>
        <w:rPr>
          <w:b/>
          <w:bCs/>
          <w:lang w:val="en-NZ"/>
        </w:rPr>
        <w:t>Reducing harm</w:t>
      </w:r>
      <w:r w:rsidR="00493A40" w:rsidRPr="00E40DBB">
        <w:rPr>
          <w:b/>
          <w:bCs/>
          <w:lang w:val="en-NZ"/>
        </w:rPr>
        <w:t>:</w:t>
      </w:r>
      <w:r w:rsidR="00493A40">
        <w:rPr>
          <w:lang w:val="en-NZ"/>
        </w:rPr>
        <w:t xml:space="preserve"> </w:t>
      </w:r>
      <w:r w:rsidR="00E40DBB">
        <w:rPr>
          <w:lang w:val="en-NZ"/>
        </w:rPr>
        <w:t xml:space="preserve">Some drug harm would still be reduced, as KYS is likely to continue providing </w:t>
      </w:r>
      <w:r w:rsidR="00375EAE">
        <w:rPr>
          <w:lang w:val="en-NZ"/>
        </w:rPr>
        <w:t xml:space="preserve">harm reduction advice, and testing the likely composition of illicit drugs. However </w:t>
      </w:r>
      <w:r w:rsidR="00221FDE">
        <w:rPr>
          <w:lang w:val="en-NZ"/>
        </w:rPr>
        <w:t xml:space="preserve">legal uncertainty would make their work more difficult, and </w:t>
      </w:r>
      <w:r w:rsidR="00C6168F">
        <w:rPr>
          <w:lang w:val="en-NZ"/>
        </w:rPr>
        <w:t>deter some potential hosts. Informing the public about particularly dangerous drugs would be more difficult due to the need to protect hosts</w:t>
      </w:r>
      <w:r w:rsidR="009E2CE8">
        <w:rPr>
          <w:lang w:val="en-NZ"/>
        </w:rPr>
        <w:t xml:space="preserve"> from potential prosecution</w:t>
      </w:r>
      <w:r w:rsidR="00C6168F">
        <w:rPr>
          <w:lang w:val="en-NZ"/>
        </w:rPr>
        <w:t xml:space="preserve">. </w:t>
      </w:r>
      <w:r w:rsidR="003374AB">
        <w:rPr>
          <w:lang w:val="en-NZ"/>
        </w:rPr>
        <w:t xml:space="preserve">Reduced operations would mean Police and health services would receive less information about illicit drugs circulating in the community. </w:t>
      </w:r>
    </w:p>
    <w:p w14:paraId="15C85EB0" w14:textId="4B855DCF" w:rsidR="00F3024B" w:rsidRDefault="00F3024B" w:rsidP="007D78A1">
      <w:pPr>
        <w:rPr>
          <w:lang w:val="en-NZ"/>
        </w:rPr>
      </w:pPr>
      <w:r w:rsidRPr="0027640A">
        <w:rPr>
          <w:b/>
          <w:bCs/>
          <w:lang w:val="en-NZ"/>
        </w:rPr>
        <w:t>Safety and quality:</w:t>
      </w:r>
      <w:r w:rsidR="00341FDD">
        <w:rPr>
          <w:lang w:val="en-NZ"/>
        </w:rPr>
        <w:t xml:space="preserve"> There would be no oversight </w:t>
      </w:r>
      <w:r w:rsidR="00195103">
        <w:rPr>
          <w:lang w:val="en-NZ"/>
        </w:rPr>
        <w:t xml:space="preserve">or monitoring </w:t>
      </w:r>
      <w:r w:rsidR="00341FDD">
        <w:rPr>
          <w:lang w:val="en-NZ"/>
        </w:rPr>
        <w:t>of drug checking,</w:t>
      </w:r>
      <w:r w:rsidR="00F02E63">
        <w:rPr>
          <w:lang w:val="en-NZ"/>
        </w:rPr>
        <w:t xml:space="preserve"> including</w:t>
      </w:r>
      <w:r w:rsidR="00341FDD">
        <w:rPr>
          <w:lang w:val="en-NZ"/>
        </w:rPr>
        <w:t xml:space="preserve"> </w:t>
      </w:r>
      <w:r w:rsidR="00682CBE">
        <w:rPr>
          <w:lang w:val="en-NZ"/>
        </w:rPr>
        <w:t>service</w:t>
      </w:r>
      <w:r w:rsidR="00F02E63">
        <w:rPr>
          <w:lang w:val="en-NZ"/>
        </w:rPr>
        <w:t xml:space="preserve"> safety or</w:t>
      </w:r>
      <w:r w:rsidR="00682CBE">
        <w:rPr>
          <w:lang w:val="en-NZ"/>
        </w:rPr>
        <w:t xml:space="preserve"> quality</w:t>
      </w:r>
      <w:r w:rsidR="00341FDD">
        <w:rPr>
          <w:lang w:val="en-NZ"/>
        </w:rPr>
        <w:t>.</w:t>
      </w:r>
      <w:r w:rsidR="009A1225">
        <w:rPr>
          <w:lang w:val="en-NZ"/>
        </w:rPr>
        <w:t xml:space="preserve"> If a </w:t>
      </w:r>
      <w:r w:rsidR="005C2079">
        <w:rPr>
          <w:lang w:val="en-NZ"/>
        </w:rPr>
        <w:t>new</w:t>
      </w:r>
      <w:r w:rsidR="009A1225">
        <w:rPr>
          <w:lang w:val="en-NZ"/>
        </w:rPr>
        <w:t xml:space="preserve"> provider began operating, </w:t>
      </w:r>
      <w:r w:rsidR="005C2079">
        <w:rPr>
          <w:lang w:val="en-NZ"/>
        </w:rPr>
        <w:t xml:space="preserve">it would be difficult to assess their service quality or take action if the quality was low. </w:t>
      </w:r>
    </w:p>
    <w:p w14:paraId="388CC9D6" w14:textId="400B3FC1" w:rsidR="00F3024B" w:rsidRDefault="00F3024B" w:rsidP="007D78A1">
      <w:pPr>
        <w:rPr>
          <w:lang w:val="en-NZ"/>
        </w:rPr>
      </w:pPr>
      <w:r w:rsidRPr="0027640A">
        <w:rPr>
          <w:b/>
          <w:bCs/>
          <w:lang w:val="en-NZ"/>
        </w:rPr>
        <w:t>Equitable access:</w:t>
      </w:r>
      <w:r w:rsidR="00F81C73" w:rsidRPr="0027640A">
        <w:rPr>
          <w:b/>
          <w:bCs/>
          <w:lang w:val="en-NZ"/>
        </w:rPr>
        <w:t xml:space="preserve"> </w:t>
      </w:r>
      <w:r w:rsidR="003300FA">
        <w:rPr>
          <w:lang w:val="en-NZ"/>
        </w:rPr>
        <w:t xml:space="preserve">Access would be reduced, as potential hosts would be more reluctant to host drug checking. </w:t>
      </w:r>
      <w:r w:rsidR="00D4721E">
        <w:rPr>
          <w:lang w:val="en-NZ"/>
        </w:rPr>
        <w:t xml:space="preserve">This would reduce the </w:t>
      </w:r>
      <w:r w:rsidR="00855502">
        <w:rPr>
          <w:lang w:val="en-NZ"/>
        </w:rPr>
        <w:t xml:space="preserve">scope for drug checking to be expanded to serve more vulnerable groups. </w:t>
      </w:r>
      <w:r w:rsidR="00702710">
        <w:rPr>
          <w:lang w:val="en-NZ"/>
        </w:rPr>
        <w:t>Drug checking services w</w:t>
      </w:r>
      <w:r w:rsidR="001F494A">
        <w:rPr>
          <w:lang w:val="en-NZ"/>
        </w:rPr>
        <w:t>ould</w:t>
      </w:r>
      <w:r w:rsidR="00702710">
        <w:rPr>
          <w:lang w:val="en-NZ"/>
        </w:rPr>
        <w:t xml:space="preserve"> find it more difficult to access funding, as their activity is not strictly legal, and this would likely impact on their ability to address equity issues for their services.</w:t>
      </w:r>
      <w:r w:rsidR="00642FDE">
        <w:rPr>
          <w:lang w:val="en-NZ"/>
        </w:rPr>
        <w:t xml:space="preserve"> Legal problems could impact disproportionately on Māori, who are more like</w:t>
      </w:r>
      <w:r w:rsidR="0069774F">
        <w:rPr>
          <w:lang w:val="en-NZ"/>
        </w:rPr>
        <w:t xml:space="preserve">ly to be arrested and convicted under the Misuse of Drugs Act, and so may be more </w:t>
      </w:r>
      <w:r w:rsidR="00A04C57">
        <w:rPr>
          <w:lang w:val="en-NZ"/>
        </w:rPr>
        <w:t xml:space="preserve">concerned that use of drug checking could expose them to arrest or prosecution for drug offences. </w:t>
      </w:r>
      <w:r w:rsidR="00F41280">
        <w:rPr>
          <w:lang w:val="en-NZ"/>
        </w:rPr>
        <w:t xml:space="preserve"> </w:t>
      </w:r>
    </w:p>
    <w:p w14:paraId="79D92767" w14:textId="5A836ACB" w:rsidR="007D78A1" w:rsidRPr="00A864A5" w:rsidRDefault="00F3024B" w:rsidP="009E0186">
      <w:pPr>
        <w:rPr>
          <w:lang w:val="en-NZ"/>
        </w:rPr>
      </w:pPr>
      <w:r w:rsidRPr="0027640A">
        <w:rPr>
          <w:b/>
          <w:bCs/>
          <w:lang w:val="en-NZ"/>
        </w:rPr>
        <w:t>Practicality and flexibility:</w:t>
      </w:r>
      <w:r>
        <w:rPr>
          <w:lang w:val="en-NZ"/>
        </w:rPr>
        <w:t xml:space="preserve"> </w:t>
      </w:r>
      <w:r w:rsidR="009E0186">
        <w:rPr>
          <w:lang w:val="en-NZ"/>
        </w:rPr>
        <w:t>This option has no costs for the Ministry of Health. However</w:t>
      </w:r>
      <w:r w:rsidR="001B0028">
        <w:rPr>
          <w:lang w:val="en-NZ"/>
        </w:rPr>
        <w:t>,</w:t>
      </w:r>
      <w:r w:rsidR="009E0186">
        <w:rPr>
          <w:lang w:val="en-NZ"/>
        </w:rPr>
        <w:t xml:space="preserve"> </w:t>
      </w:r>
      <w:r w:rsidR="00844B6D">
        <w:rPr>
          <w:lang w:val="en-NZ"/>
        </w:rPr>
        <w:t>it</w:t>
      </w:r>
      <w:r w:rsidR="00834F0D">
        <w:rPr>
          <w:lang w:val="en-NZ"/>
        </w:rPr>
        <w:t xml:space="preserve"> could be a false economy</w:t>
      </w:r>
      <w:r w:rsidR="004C3F82">
        <w:rPr>
          <w:lang w:val="en-NZ"/>
        </w:rPr>
        <w:t xml:space="preserve"> </w:t>
      </w:r>
      <w:r w:rsidR="00F971C4">
        <w:rPr>
          <w:lang w:val="en-NZ"/>
        </w:rPr>
        <w:t xml:space="preserve">for the health system and </w:t>
      </w:r>
      <w:r w:rsidR="0048373A">
        <w:rPr>
          <w:lang w:val="en-NZ"/>
        </w:rPr>
        <w:t xml:space="preserve">wider </w:t>
      </w:r>
      <w:r w:rsidR="00F971C4">
        <w:rPr>
          <w:lang w:val="en-NZ"/>
        </w:rPr>
        <w:t xml:space="preserve">society </w:t>
      </w:r>
      <w:r w:rsidR="009E0186">
        <w:rPr>
          <w:lang w:val="en-NZ"/>
        </w:rPr>
        <w:t xml:space="preserve">due to the costs of avoidable drug harm. </w:t>
      </w:r>
      <w:r w:rsidR="00C10990">
        <w:rPr>
          <w:lang w:val="en-NZ"/>
        </w:rPr>
        <w:t xml:space="preserve">Drug checking </w:t>
      </w:r>
      <w:r w:rsidR="00247E49">
        <w:rPr>
          <w:lang w:val="en-NZ"/>
        </w:rPr>
        <w:t>service providers would face practical difficulties due to the legal grey area but would not have any compliance costs</w:t>
      </w:r>
      <w:r w:rsidR="00D47124">
        <w:rPr>
          <w:lang w:val="en-NZ"/>
        </w:rPr>
        <w:t xml:space="preserve"> other than those arising from legal ambiguity</w:t>
      </w:r>
      <w:r w:rsidR="00247E49">
        <w:rPr>
          <w:lang w:val="en-NZ"/>
        </w:rPr>
        <w:t xml:space="preserve">. </w:t>
      </w:r>
      <w:r w:rsidR="00C10990">
        <w:rPr>
          <w:lang w:val="en-NZ"/>
        </w:rPr>
        <w:t xml:space="preserve"> </w:t>
      </w:r>
    </w:p>
    <w:p w14:paraId="1D12E53B" w14:textId="1EC99BB7" w:rsidR="001F3729" w:rsidRPr="001F494A" w:rsidRDefault="00570E3F" w:rsidP="001F494A">
      <w:pPr>
        <w:pStyle w:val="Heading4"/>
      </w:pPr>
      <w:r w:rsidRPr="001F494A">
        <w:t xml:space="preserve">Option Two – </w:t>
      </w:r>
      <w:r w:rsidR="001F3729" w:rsidRPr="001F494A">
        <w:t>Make the current system permanent</w:t>
      </w:r>
    </w:p>
    <w:p w14:paraId="37678FED" w14:textId="68BDAA91" w:rsidR="001F3729" w:rsidRDefault="006247CD" w:rsidP="001F3729">
      <w:pPr>
        <w:rPr>
          <w:lang w:val="en-NZ"/>
        </w:rPr>
      </w:pPr>
      <w:r>
        <w:rPr>
          <w:lang w:val="en-NZ"/>
        </w:rPr>
        <w:t>The Drug Checking Act would be amended</w:t>
      </w:r>
      <w:r w:rsidR="0048373A">
        <w:rPr>
          <w:lang w:val="en-NZ"/>
        </w:rPr>
        <w:t xml:space="preserve"> to remove the repeal provisions</w:t>
      </w:r>
      <w:r>
        <w:rPr>
          <w:lang w:val="en-NZ"/>
        </w:rPr>
        <w:t xml:space="preserve">. </w:t>
      </w:r>
      <w:r w:rsidR="009C2E53">
        <w:rPr>
          <w:lang w:val="en-NZ"/>
        </w:rPr>
        <w:t xml:space="preserve">The Director-General of Health could continue to appoint drug checking service providers, who would be able to carry out drug checking with legal certainty. </w:t>
      </w:r>
      <w:r w:rsidR="006961F1">
        <w:rPr>
          <w:lang w:val="en-NZ"/>
        </w:rPr>
        <w:t xml:space="preserve">We expect that KYS’ appointment would be extended or renewed. </w:t>
      </w:r>
      <w:r w:rsidR="00FF4C8E">
        <w:rPr>
          <w:lang w:val="en-NZ"/>
        </w:rPr>
        <w:t xml:space="preserve">Other providers may </w:t>
      </w:r>
      <w:r w:rsidR="0048373A">
        <w:rPr>
          <w:lang w:val="en-NZ"/>
        </w:rPr>
        <w:t xml:space="preserve">also </w:t>
      </w:r>
      <w:r w:rsidR="00FF4C8E">
        <w:rPr>
          <w:lang w:val="en-NZ"/>
        </w:rPr>
        <w:t xml:space="preserve">be appointed. </w:t>
      </w:r>
    </w:p>
    <w:p w14:paraId="4F455FE1" w14:textId="3DD09B33" w:rsidR="006A6437" w:rsidRDefault="00A32D98" w:rsidP="001F3729">
      <w:pPr>
        <w:rPr>
          <w:lang w:val="en-NZ"/>
        </w:rPr>
      </w:pPr>
      <w:r>
        <w:rPr>
          <w:b/>
          <w:bCs/>
          <w:lang w:val="en-NZ"/>
        </w:rPr>
        <w:lastRenderedPageBreak/>
        <w:t>Reducing harm</w:t>
      </w:r>
      <w:r w:rsidR="006A6437" w:rsidRPr="00E62A4F">
        <w:rPr>
          <w:b/>
          <w:bCs/>
          <w:lang w:val="en-NZ"/>
        </w:rPr>
        <w:t>:</w:t>
      </w:r>
      <w:r w:rsidR="006A6437">
        <w:rPr>
          <w:lang w:val="en-NZ"/>
        </w:rPr>
        <w:t xml:space="preserve"> </w:t>
      </w:r>
      <w:r w:rsidR="00E62A4F">
        <w:rPr>
          <w:lang w:val="en-NZ"/>
        </w:rPr>
        <w:t xml:space="preserve">The potential for regulated drug checking to prevent harm has been demonstrated over the summer of 2020/21, when a high percentage of supposed MDMA was shown to be </w:t>
      </w:r>
      <w:r w:rsidR="005F6EBA">
        <w:rPr>
          <w:lang w:val="en-NZ"/>
        </w:rPr>
        <w:t xml:space="preserve">eutylone or other </w:t>
      </w:r>
      <w:r w:rsidR="00E62A4F">
        <w:rPr>
          <w:lang w:val="en-NZ"/>
        </w:rPr>
        <w:t xml:space="preserve">synthetic cathinones. </w:t>
      </w:r>
      <w:r w:rsidR="005F6EBA">
        <w:rPr>
          <w:lang w:val="en-NZ"/>
        </w:rPr>
        <w:t>KYS found that 75% of people who were told their drug was eutylone chose not to consume it</w:t>
      </w:r>
      <w:r w:rsidR="009E0716">
        <w:rPr>
          <w:lang w:val="en-NZ"/>
        </w:rPr>
        <w:t>, thereby avoiding harms which may have resulted from consuming eutylone</w:t>
      </w:r>
      <w:r w:rsidR="005F6EBA">
        <w:rPr>
          <w:lang w:val="en-NZ"/>
        </w:rPr>
        <w:t>.</w:t>
      </w:r>
      <w:r w:rsidR="009E0716">
        <w:rPr>
          <w:lang w:val="en-NZ"/>
        </w:rPr>
        <w:t xml:space="preserve"> It is likely that KYS’s communications about </w:t>
      </w:r>
      <w:r w:rsidR="00EA6998">
        <w:rPr>
          <w:lang w:val="en-NZ"/>
        </w:rPr>
        <w:t>cathinones</w:t>
      </w:r>
      <w:r w:rsidR="009E0716">
        <w:rPr>
          <w:lang w:val="en-NZ"/>
        </w:rPr>
        <w:t xml:space="preserve"> prevented further harm by encouraging </w:t>
      </w:r>
      <w:r w:rsidR="002013FA">
        <w:rPr>
          <w:lang w:val="en-NZ"/>
        </w:rPr>
        <w:t>people to be more cautious about their illicit drug use.</w:t>
      </w:r>
      <w:r w:rsidR="005F6EBA">
        <w:rPr>
          <w:lang w:val="en-NZ"/>
        </w:rPr>
        <w:t xml:space="preserve"> </w:t>
      </w:r>
      <w:r w:rsidR="00841FC6">
        <w:rPr>
          <w:lang w:val="en-NZ"/>
        </w:rPr>
        <w:t xml:space="preserve">Compared to the status quo, this option </w:t>
      </w:r>
      <w:r w:rsidR="000F7691">
        <w:rPr>
          <w:lang w:val="en-NZ"/>
        </w:rPr>
        <w:t>has greater potential for harm reduction, due to drug checking services being able to operate openly</w:t>
      </w:r>
      <w:r w:rsidR="00CE7B55">
        <w:rPr>
          <w:lang w:val="en-NZ"/>
        </w:rPr>
        <w:t xml:space="preserve">, and </w:t>
      </w:r>
      <w:r w:rsidR="00C22386">
        <w:rPr>
          <w:lang w:val="en-NZ"/>
        </w:rPr>
        <w:t xml:space="preserve">hosts not risking legal sanctions. </w:t>
      </w:r>
    </w:p>
    <w:p w14:paraId="290B0F21" w14:textId="5FD0628E" w:rsidR="00EC7C72" w:rsidRDefault="00873FCF" w:rsidP="00873FCF">
      <w:pPr>
        <w:rPr>
          <w:lang w:val="en-NZ"/>
        </w:rPr>
      </w:pPr>
      <w:r w:rsidRPr="0027640A">
        <w:rPr>
          <w:b/>
          <w:bCs/>
          <w:lang w:val="en-NZ"/>
        </w:rPr>
        <w:t>Safety and quality:</w:t>
      </w:r>
      <w:r>
        <w:rPr>
          <w:lang w:val="en-NZ"/>
        </w:rPr>
        <w:t xml:space="preserve"> </w:t>
      </w:r>
      <w:r w:rsidR="00E5626D">
        <w:rPr>
          <w:lang w:val="en-NZ"/>
        </w:rPr>
        <w:t xml:space="preserve">Before the Director-General </w:t>
      </w:r>
      <w:proofErr w:type="gramStart"/>
      <w:r w:rsidR="00E5626D">
        <w:rPr>
          <w:lang w:val="en-NZ"/>
        </w:rPr>
        <w:t>makes</w:t>
      </w:r>
      <w:proofErr w:type="gramEnd"/>
      <w:r w:rsidR="00E5626D">
        <w:rPr>
          <w:lang w:val="en-NZ"/>
        </w:rPr>
        <w:t xml:space="preserve"> a decision on whether to appoint a provider, officials would provide</w:t>
      </w:r>
      <w:r w:rsidR="00E07F7B">
        <w:rPr>
          <w:lang w:val="en-NZ"/>
        </w:rPr>
        <w:t xml:space="preserve"> advice on </w:t>
      </w:r>
      <w:r w:rsidR="00E5626D">
        <w:rPr>
          <w:lang w:val="en-NZ"/>
        </w:rPr>
        <w:t>the quality and safety of the</w:t>
      </w:r>
      <w:r w:rsidR="00E07F7B">
        <w:rPr>
          <w:lang w:val="en-NZ"/>
        </w:rPr>
        <w:t xml:space="preserve"> provider</w:t>
      </w:r>
      <w:r w:rsidR="005B4553">
        <w:rPr>
          <w:lang w:val="en-NZ"/>
        </w:rPr>
        <w:t>’s services.</w:t>
      </w:r>
      <w:r w:rsidR="00E5626D">
        <w:rPr>
          <w:lang w:val="en-NZ"/>
        </w:rPr>
        <w:t xml:space="preserve"> </w:t>
      </w:r>
      <w:r w:rsidR="00192AB7">
        <w:rPr>
          <w:lang w:val="en-NZ"/>
        </w:rPr>
        <w:t>The appointment could be made subject to reporting</w:t>
      </w:r>
      <w:r w:rsidR="00122459">
        <w:rPr>
          <w:lang w:val="en-NZ"/>
        </w:rPr>
        <w:t>, monitoring</w:t>
      </w:r>
      <w:r w:rsidR="00192AB7">
        <w:rPr>
          <w:lang w:val="en-NZ"/>
        </w:rPr>
        <w:t xml:space="preserve"> and audit requirements. However</w:t>
      </w:r>
      <w:r w:rsidR="001B0028">
        <w:rPr>
          <w:lang w:val="en-NZ"/>
        </w:rPr>
        <w:t>,</w:t>
      </w:r>
      <w:r w:rsidR="00192AB7">
        <w:rPr>
          <w:lang w:val="en-NZ"/>
        </w:rPr>
        <w:t xml:space="preserve"> without </w:t>
      </w:r>
      <w:r w:rsidR="00275528">
        <w:rPr>
          <w:lang w:val="en-NZ"/>
        </w:rPr>
        <w:t xml:space="preserve">principles or other guidance in legislation, there is risk </w:t>
      </w:r>
      <w:r w:rsidR="00EC7C72">
        <w:rPr>
          <w:lang w:val="en-NZ"/>
        </w:rPr>
        <w:t xml:space="preserve">that providers would be treated </w:t>
      </w:r>
      <w:r w:rsidR="001B0028">
        <w:rPr>
          <w:lang w:val="en-NZ"/>
        </w:rPr>
        <w:t>inconsistently</w:t>
      </w:r>
      <w:r w:rsidR="00EC7C72">
        <w:rPr>
          <w:lang w:val="en-NZ"/>
        </w:rPr>
        <w:t xml:space="preserve"> without good reason. </w:t>
      </w:r>
      <w:r w:rsidR="00122459">
        <w:rPr>
          <w:lang w:val="en-NZ"/>
        </w:rPr>
        <w:t>This risks inequitable treatment of providers. There is also risk that low</w:t>
      </w:r>
      <w:r w:rsidR="001B0028">
        <w:rPr>
          <w:lang w:val="en-NZ"/>
        </w:rPr>
        <w:t>-</w:t>
      </w:r>
      <w:r w:rsidR="00122459">
        <w:rPr>
          <w:lang w:val="en-NZ"/>
        </w:rPr>
        <w:t xml:space="preserve">quality services would inadvertently be allowed due to inadequate monitoring provisions. </w:t>
      </w:r>
    </w:p>
    <w:p w14:paraId="349C091D" w14:textId="6A7FBEFA" w:rsidR="00873FCF" w:rsidRDefault="00873FCF" w:rsidP="00873FCF">
      <w:pPr>
        <w:rPr>
          <w:lang w:val="en-NZ"/>
        </w:rPr>
      </w:pPr>
      <w:r w:rsidRPr="0027640A">
        <w:rPr>
          <w:b/>
          <w:bCs/>
          <w:lang w:val="en-NZ"/>
        </w:rPr>
        <w:t xml:space="preserve">Equitable access: </w:t>
      </w:r>
      <w:r w:rsidR="00F86F11">
        <w:rPr>
          <w:lang w:val="en-NZ"/>
        </w:rPr>
        <w:t>This option would improve access relative to option one. Legality i</w:t>
      </w:r>
      <w:r w:rsidR="00DF3341">
        <w:rPr>
          <w:lang w:val="en-NZ"/>
        </w:rPr>
        <w:t>ncreases</w:t>
      </w:r>
      <w:r w:rsidR="00F86F11">
        <w:rPr>
          <w:lang w:val="en-NZ"/>
        </w:rPr>
        <w:t xml:space="preserve"> the possibility of wider support, funding and publicity</w:t>
      </w:r>
      <w:r w:rsidR="0076571C">
        <w:rPr>
          <w:lang w:val="en-NZ"/>
        </w:rPr>
        <w:t>,</w:t>
      </w:r>
      <w:r w:rsidR="00F86F11">
        <w:rPr>
          <w:lang w:val="en-NZ"/>
        </w:rPr>
        <w:t xml:space="preserve"> all of which may help the service reach </w:t>
      </w:r>
      <w:r w:rsidR="0076571C">
        <w:rPr>
          <w:lang w:val="en-NZ"/>
        </w:rPr>
        <w:t>under-served populations</w:t>
      </w:r>
      <w:r w:rsidR="00F86F11">
        <w:rPr>
          <w:lang w:val="en-NZ"/>
        </w:rPr>
        <w:t xml:space="preserve"> and achieve wider equity. </w:t>
      </w:r>
      <w:r w:rsidR="006B5EAA">
        <w:rPr>
          <w:lang w:val="en-NZ"/>
        </w:rPr>
        <w:t>There is also potential for appointment to be dependent on efforts to reach under-served populations.</w:t>
      </w:r>
      <w:r w:rsidR="00F86F11">
        <w:rPr>
          <w:lang w:val="en-NZ"/>
        </w:rPr>
        <w:t xml:space="preserve"> </w:t>
      </w:r>
    </w:p>
    <w:p w14:paraId="1DAE0713" w14:textId="0C30281A" w:rsidR="001F1010" w:rsidRPr="008A5003" w:rsidRDefault="00873FCF" w:rsidP="004E0A37">
      <w:pPr>
        <w:rPr>
          <w:lang w:val="en-NZ"/>
        </w:rPr>
      </w:pPr>
      <w:r w:rsidRPr="0027640A">
        <w:rPr>
          <w:b/>
          <w:bCs/>
          <w:lang w:val="en-NZ"/>
        </w:rPr>
        <w:t>Practicality and flexibility:</w:t>
      </w:r>
      <w:r w:rsidR="008A5003">
        <w:rPr>
          <w:b/>
          <w:bCs/>
          <w:lang w:val="en-NZ"/>
        </w:rPr>
        <w:t xml:space="preserve"> </w:t>
      </w:r>
      <w:r w:rsidR="008A5003">
        <w:rPr>
          <w:lang w:val="en-NZ"/>
        </w:rPr>
        <w:t xml:space="preserve">This option </w:t>
      </w:r>
      <w:r w:rsidR="009D6E9C">
        <w:rPr>
          <w:lang w:val="en-NZ"/>
        </w:rPr>
        <w:t>allows</w:t>
      </w:r>
      <w:r w:rsidR="008A5003">
        <w:rPr>
          <w:lang w:val="en-NZ"/>
        </w:rPr>
        <w:t xml:space="preserve"> a high level of flexibility, as the Director</w:t>
      </w:r>
      <w:r w:rsidR="00D171A6">
        <w:rPr>
          <w:lang w:val="en-NZ"/>
        </w:rPr>
        <w:t xml:space="preserve">-General would be able to exercise complete discretion as to appointment decisions. </w:t>
      </w:r>
      <w:r w:rsidR="009D6E9C">
        <w:rPr>
          <w:lang w:val="en-NZ"/>
        </w:rPr>
        <w:t>However</w:t>
      </w:r>
      <w:r w:rsidR="001C333B">
        <w:rPr>
          <w:lang w:val="en-NZ"/>
        </w:rPr>
        <w:t>,</w:t>
      </w:r>
      <w:r w:rsidR="009D6E9C">
        <w:rPr>
          <w:lang w:val="en-NZ"/>
        </w:rPr>
        <w:t xml:space="preserve"> this creates risk </w:t>
      </w:r>
      <w:r w:rsidR="00115D40">
        <w:rPr>
          <w:lang w:val="en-NZ"/>
        </w:rPr>
        <w:t xml:space="preserve">of the decision being made according to </w:t>
      </w:r>
      <w:r w:rsidR="00153E84">
        <w:rPr>
          <w:lang w:val="en-NZ"/>
        </w:rPr>
        <w:t>criteria which are too narrow</w:t>
      </w:r>
      <w:r w:rsidR="00362E94">
        <w:rPr>
          <w:lang w:val="en-NZ"/>
        </w:rPr>
        <w:t>,</w:t>
      </w:r>
      <w:r w:rsidR="00153E84">
        <w:rPr>
          <w:lang w:val="en-NZ"/>
        </w:rPr>
        <w:t xml:space="preserve"> </w:t>
      </w:r>
      <w:r w:rsidR="00362E94">
        <w:rPr>
          <w:lang w:val="en-NZ"/>
        </w:rPr>
        <w:t xml:space="preserve">too broad, or inconsistent between providers. </w:t>
      </w:r>
      <w:r w:rsidR="001F1010">
        <w:rPr>
          <w:lang w:val="en-NZ"/>
        </w:rPr>
        <w:t>T</w:t>
      </w:r>
      <w:r w:rsidR="00C745BD">
        <w:rPr>
          <w:lang w:val="en-NZ"/>
        </w:rPr>
        <w:t xml:space="preserve">here would be no transparency of </w:t>
      </w:r>
      <w:r w:rsidR="001F1010">
        <w:rPr>
          <w:lang w:val="en-NZ"/>
        </w:rPr>
        <w:t xml:space="preserve">decision-making. </w:t>
      </w:r>
      <w:r w:rsidR="004E0A37">
        <w:rPr>
          <w:lang w:val="en-NZ"/>
        </w:rPr>
        <w:t xml:space="preserve">Ensuring consistent decision-making would make this option </w:t>
      </w:r>
      <w:r w:rsidR="001A673A">
        <w:rPr>
          <w:lang w:val="en-NZ"/>
        </w:rPr>
        <w:t>as resource intensive for the Ministry of Health as option three</w:t>
      </w:r>
      <w:r w:rsidR="00710899">
        <w:rPr>
          <w:lang w:val="en-NZ"/>
        </w:rPr>
        <w:t>.</w:t>
      </w:r>
      <w:r w:rsidR="009B70DE">
        <w:rPr>
          <w:lang w:val="en-NZ"/>
        </w:rPr>
        <w:t xml:space="preserve"> </w:t>
      </w:r>
      <w:r w:rsidR="00F41280">
        <w:rPr>
          <w:lang w:val="en-NZ"/>
        </w:rPr>
        <w:t xml:space="preserve">The current system does not </w:t>
      </w:r>
      <w:proofErr w:type="gramStart"/>
      <w:r w:rsidR="002A23C6">
        <w:rPr>
          <w:lang w:val="en-NZ"/>
        </w:rPr>
        <w:t>cost-recover</w:t>
      </w:r>
      <w:proofErr w:type="gramEnd"/>
      <w:r w:rsidR="00F41280">
        <w:rPr>
          <w:lang w:val="en-NZ"/>
        </w:rPr>
        <w:t>, so does not present a financial barrier to providers with limited resources</w:t>
      </w:r>
      <w:r w:rsidR="00DF3341">
        <w:rPr>
          <w:lang w:val="en-NZ"/>
        </w:rPr>
        <w:t xml:space="preserve"> but does prevent the Ministry from recovering costs. </w:t>
      </w:r>
    </w:p>
    <w:p w14:paraId="0F6FCE9D" w14:textId="76AC0399" w:rsidR="00570E3F" w:rsidRPr="00A864A5" w:rsidRDefault="001F3729" w:rsidP="001F494A">
      <w:pPr>
        <w:pStyle w:val="Heading4"/>
      </w:pPr>
      <w:r>
        <w:t xml:space="preserve">Option Three – </w:t>
      </w:r>
      <w:r w:rsidR="00247E49">
        <w:t>Licensing system</w:t>
      </w:r>
    </w:p>
    <w:p w14:paraId="3A0CDA41" w14:textId="071883F4" w:rsidR="003454D5" w:rsidRDefault="00DD5499" w:rsidP="00570E3F">
      <w:pPr>
        <w:rPr>
          <w:lang w:val="en-NZ"/>
        </w:rPr>
      </w:pPr>
      <w:r>
        <w:rPr>
          <w:lang w:val="en-NZ"/>
        </w:rPr>
        <w:t>A licensing system would be developed under the Misuse of Drugs Act</w:t>
      </w:r>
      <w:r w:rsidR="0031248B">
        <w:rPr>
          <w:lang w:val="en-NZ"/>
        </w:rPr>
        <w:t>, with consequential amendments to the Psychoactive Substances Act</w:t>
      </w:r>
      <w:r>
        <w:rPr>
          <w:lang w:val="en-NZ"/>
        </w:rPr>
        <w:t xml:space="preserve">. This would allow fit-for-purpose drug checking services to be provided with legal certainty. </w:t>
      </w:r>
      <w:r w:rsidR="00180D25">
        <w:rPr>
          <w:lang w:val="en-NZ"/>
        </w:rPr>
        <w:t>We expect that KYS would be licensed, and</w:t>
      </w:r>
      <w:r w:rsidR="00BC62FF">
        <w:rPr>
          <w:lang w:val="en-NZ"/>
        </w:rPr>
        <w:t xml:space="preserve"> that</w:t>
      </w:r>
      <w:r w:rsidR="00180D25">
        <w:rPr>
          <w:lang w:val="en-NZ"/>
        </w:rPr>
        <w:t xml:space="preserve"> other providers would </w:t>
      </w:r>
      <w:r w:rsidR="005C3EF5">
        <w:rPr>
          <w:lang w:val="en-NZ"/>
        </w:rPr>
        <w:t xml:space="preserve">apply for licences. </w:t>
      </w:r>
    </w:p>
    <w:p w14:paraId="528ADB1E" w14:textId="70E34783" w:rsidR="00052545" w:rsidRPr="00B72C42" w:rsidRDefault="00052545" w:rsidP="00897826">
      <w:pPr>
        <w:rPr>
          <w:lang w:val="en-NZ"/>
        </w:rPr>
      </w:pPr>
      <w:r>
        <w:rPr>
          <w:b/>
          <w:bCs/>
          <w:lang w:val="en-NZ"/>
        </w:rPr>
        <w:t>Reducing harm</w:t>
      </w:r>
      <w:r w:rsidRPr="00E62A4F">
        <w:rPr>
          <w:b/>
          <w:bCs/>
          <w:lang w:val="en-NZ"/>
        </w:rPr>
        <w:t>:</w:t>
      </w:r>
      <w:r w:rsidR="00B72C42">
        <w:rPr>
          <w:b/>
          <w:bCs/>
          <w:lang w:val="en-NZ"/>
        </w:rPr>
        <w:t xml:space="preserve"> </w:t>
      </w:r>
      <w:r w:rsidR="00756A96">
        <w:rPr>
          <w:lang w:val="en-NZ"/>
        </w:rPr>
        <w:t xml:space="preserve">This option has the strongest potential to reduce harm. </w:t>
      </w:r>
      <w:r w:rsidR="00897826">
        <w:rPr>
          <w:lang w:val="en-NZ"/>
        </w:rPr>
        <w:t xml:space="preserve">As with option two, </w:t>
      </w:r>
      <w:r w:rsidR="0061305A">
        <w:rPr>
          <w:lang w:val="en-NZ"/>
        </w:rPr>
        <w:t xml:space="preserve">drug checking providers </w:t>
      </w:r>
      <w:r w:rsidR="00897826">
        <w:rPr>
          <w:lang w:val="en-NZ"/>
        </w:rPr>
        <w:t xml:space="preserve">would be able </w:t>
      </w:r>
      <w:r w:rsidR="0061305A">
        <w:rPr>
          <w:lang w:val="en-NZ"/>
        </w:rPr>
        <w:t xml:space="preserve">to operate with legal certainty. </w:t>
      </w:r>
      <w:r w:rsidR="00F06632">
        <w:rPr>
          <w:lang w:val="en-NZ"/>
        </w:rPr>
        <w:t xml:space="preserve">Because licence criteria </w:t>
      </w:r>
      <w:r w:rsidR="00F627CD">
        <w:rPr>
          <w:lang w:val="en-NZ"/>
        </w:rPr>
        <w:t xml:space="preserve">and monitoring provisions </w:t>
      </w:r>
      <w:r w:rsidR="00F06632">
        <w:rPr>
          <w:lang w:val="en-NZ"/>
        </w:rPr>
        <w:t>would be consistent and well-defined</w:t>
      </w:r>
      <w:r w:rsidR="008E615E">
        <w:rPr>
          <w:lang w:val="en-NZ"/>
        </w:rPr>
        <w:t xml:space="preserve"> under this option</w:t>
      </w:r>
      <w:r w:rsidR="00F06632">
        <w:rPr>
          <w:lang w:val="en-NZ"/>
        </w:rPr>
        <w:t xml:space="preserve">, </w:t>
      </w:r>
      <w:r w:rsidR="00F627CD">
        <w:rPr>
          <w:lang w:val="en-NZ"/>
        </w:rPr>
        <w:t xml:space="preserve">there is less risk </w:t>
      </w:r>
      <w:r w:rsidR="003E521A">
        <w:rPr>
          <w:lang w:val="en-NZ"/>
        </w:rPr>
        <w:t xml:space="preserve">than with option two </w:t>
      </w:r>
      <w:r w:rsidR="00F627CD">
        <w:rPr>
          <w:lang w:val="en-NZ"/>
        </w:rPr>
        <w:t xml:space="preserve">that </w:t>
      </w:r>
      <w:proofErr w:type="gramStart"/>
      <w:r w:rsidR="00F627CD">
        <w:rPr>
          <w:lang w:val="en-NZ"/>
        </w:rPr>
        <w:t>low quality</w:t>
      </w:r>
      <w:proofErr w:type="gramEnd"/>
      <w:r w:rsidR="00F627CD">
        <w:rPr>
          <w:lang w:val="en-NZ"/>
        </w:rPr>
        <w:t xml:space="preserve"> providers would be allowed to operate</w:t>
      </w:r>
      <w:r w:rsidR="00323168">
        <w:rPr>
          <w:lang w:val="en-NZ"/>
        </w:rPr>
        <w:t>, or that high quality providers would be denied a licence. This</w:t>
      </w:r>
      <w:r w:rsidR="00A8677E">
        <w:rPr>
          <w:lang w:val="en-NZ"/>
        </w:rPr>
        <w:t xml:space="preserve"> </w:t>
      </w:r>
      <w:r w:rsidR="008E615E">
        <w:rPr>
          <w:lang w:val="en-NZ"/>
        </w:rPr>
        <w:t xml:space="preserve">would </w:t>
      </w:r>
      <w:r w:rsidR="00A8677E">
        <w:rPr>
          <w:lang w:val="en-NZ"/>
        </w:rPr>
        <w:t xml:space="preserve">reduce the risk of people </w:t>
      </w:r>
      <w:r w:rsidR="00716DD7">
        <w:rPr>
          <w:lang w:val="en-NZ"/>
        </w:rPr>
        <w:t xml:space="preserve">experiencing harm due to </w:t>
      </w:r>
      <w:r w:rsidR="00A8677E">
        <w:rPr>
          <w:lang w:val="en-NZ"/>
        </w:rPr>
        <w:t xml:space="preserve">receiving bad advice, or not being able to access the service. </w:t>
      </w:r>
    </w:p>
    <w:p w14:paraId="1A1DBF7D" w14:textId="6381DE57" w:rsidR="003454D5" w:rsidRDefault="003454D5" w:rsidP="003454D5">
      <w:pPr>
        <w:rPr>
          <w:lang w:val="en-NZ"/>
        </w:rPr>
      </w:pPr>
      <w:r w:rsidRPr="0027640A">
        <w:rPr>
          <w:b/>
          <w:bCs/>
          <w:lang w:val="en-NZ"/>
        </w:rPr>
        <w:t>Safety and quality:</w:t>
      </w:r>
      <w:r w:rsidR="00DD5499">
        <w:rPr>
          <w:lang w:val="en-NZ"/>
        </w:rPr>
        <w:t xml:space="preserve"> This </w:t>
      </w:r>
      <w:r w:rsidR="00173E94">
        <w:rPr>
          <w:lang w:val="en-NZ"/>
        </w:rPr>
        <w:t xml:space="preserve">option would help ensure that services are safe and high quality, as providers would only be licensed if they could demonstrate their ability to provide appropriate </w:t>
      </w:r>
      <w:r w:rsidR="00173E94">
        <w:rPr>
          <w:lang w:val="en-NZ"/>
        </w:rPr>
        <w:lastRenderedPageBreak/>
        <w:t xml:space="preserve">services. </w:t>
      </w:r>
      <w:r w:rsidR="00E74DB6">
        <w:rPr>
          <w:lang w:val="en-NZ"/>
        </w:rPr>
        <w:t xml:space="preserve">The licensing system would </w:t>
      </w:r>
      <w:r w:rsidR="00D9772C">
        <w:rPr>
          <w:lang w:val="en-NZ"/>
        </w:rPr>
        <w:t>have</w:t>
      </w:r>
      <w:r w:rsidR="00E74DB6">
        <w:rPr>
          <w:lang w:val="en-NZ"/>
        </w:rPr>
        <w:t xml:space="preserve"> reporting requirements and </w:t>
      </w:r>
      <w:r w:rsidR="00FC328C">
        <w:rPr>
          <w:lang w:val="en-NZ"/>
        </w:rPr>
        <w:t>enable</w:t>
      </w:r>
      <w:r w:rsidR="00E74DB6">
        <w:rPr>
          <w:lang w:val="en-NZ"/>
        </w:rPr>
        <w:t xml:space="preserve"> monitoring and audits to ensure quality is maintained. </w:t>
      </w:r>
    </w:p>
    <w:p w14:paraId="0247EA04" w14:textId="41CE6A71" w:rsidR="003454D5" w:rsidRPr="00C35633" w:rsidRDefault="003454D5" w:rsidP="003454D5">
      <w:pPr>
        <w:rPr>
          <w:lang w:val="en-NZ"/>
        </w:rPr>
      </w:pPr>
      <w:r w:rsidRPr="0027640A">
        <w:rPr>
          <w:b/>
          <w:bCs/>
          <w:lang w:val="en-NZ"/>
        </w:rPr>
        <w:t>Equitable access:</w:t>
      </w:r>
      <w:r w:rsidR="00173E94" w:rsidRPr="0027640A">
        <w:rPr>
          <w:b/>
          <w:bCs/>
          <w:lang w:val="en-NZ"/>
        </w:rPr>
        <w:t xml:space="preserve"> </w:t>
      </w:r>
      <w:r w:rsidR="00C35633">
        <w:rPr>
          <w:lang w:val="en-NZ"/>
        </w:rPr>
        <w:t>This option would have</w:t>
      </w:r>
      <w:r w:rsidR="007646A2">
        <w:rPr>
          <w:lang w:val="en-NZ"/>
        </w:rPr>
        <w:t xml:space="preserve"> similar</w:t>
      </w:r>
      <w:r w:rsidR="00C35633">
        <w:rPr>
          <w:lang w:val="en-NZ"/>
        </w:rPr>
        <w:t xml:space="preserve"> impact on equitable access as option two</w:t>
      </w:r>
      <w:r w:rsidR="000E267A">
        <w:rPr>
          <w:lang w:val="en-NZ"/>
        </w:rPr>
        <w:t>, potentially increasing equitable access</w:t>
      </w:r>
      <w:r w:rsidR="00386B98">
        <w:rPr>
          <w:lang w:val="en-NZ"/>
        </w:rPr>
        <w:t xml:space="preserve">. </w:t>
      </w:r>
      <w:r w:rsidR="00757A4C">
        <w:rPr>
          <w:lang w:val="en-NZ"/>
        </w:rPr>
        <w:t>Under this option, licensed providers would not be able to charge individual clients for drug checking services.</w:t>
      </w:r>
      <w:r w:rsidR="0031248B">
        <w:rPr>
          <w:lang w:val="en-NZ"/>
        </w:rPr>
        <w:t xml:space="preserve"> This will help ensure that cost is not a barrier. </w:t>
      </w:r>
      <w:r w:rsidR="00757A4C">
        <w:rPr>
          <w:lang w:val="en-NZ"/>
        </w:rPr>
        <w:t xml:space="preserve"> </w:t>
      </w:r>
      <w:r w:rsidR="00C35633">
        <w:rPr>
          <w:lang w:val="en-NZ"/>
        </w:rPr>
        <w:t xml:space="preserve"> </w:t>
      </w:r>
    </w:p>
    <w:p w14:paraId="2CE6058D" w14:textId="32599DD1" w:rsidR="00570E3F" w:rsidRPr="00A864A5" w:rsidRDefault="003454D5" w:rsidP="00CB244C">
      <w:pPr>
        <w:rPr>
          <w:lang w:val="en-NZ"/>
        </w:rPr>
      </w:pPr>
      <w:r w:rsidRPr="0027640A">
        <w:rPr>
          <w:b/>
          <w:bCs/>
          <w:lang w:val="en-NZ"/>
        </w:rPr>
        <w:t>Practicality and flexibility:</w:t>
      </w:r>
      <w:r w:rsidR="00E74DB6" w:rsidRPr="0027640A">
        <w:rPr>
          <w:b/>
          <w:bCs/>
          <w:lang w:val="en-NZ"/>
        </w:rPr>
        <w:t xml:space="preserve"> </w:t>
      </w:r>
      <w:r w:rsidR="00E33620">
        <w:rPr>
          <w:lang w:val="en-NZ"/>
        </w:rPr>
        <w:t xml:space="preserve">Licensing criteria would be set out in regulations and guidelines, ensuring consistency and transparency. </w:t>
      </w:r>
      <w:r w:rsidR="004F1CEE">
        <w:rPr>
          <w:lang w:val="en-NZ"/>
        </w:rPr>
        <w:t xml:space="preserve">Final decisions would be made by the Director-General of Health, based on advice from an ad-hoc committee of Ministry of Health staff with appropriate expertise. </w:t>
      </w:r>
      <w:r w:rsidR="007E77D5">
        <w:rPr>
          <w:lang w:val="en-NZ"/>
        </w:rPr>
        <w:t xml:space="preserve">The level of practicality and flexibility would </w:t>
      </w:r>
      <w:r w:rsidR="00C745BD">
        <w:rPr>
          <w:lang w:val="en-NZ"/>
        </w:rPr>
        <w:t>depend on the criteria</w:t>
      </w:r>
      <w:r w:rsidR="00F90A32">
        <w:rPr>
          <w:lang w:val="en-NZ"/>
        </w:rPr>
        <w:t>, which will need</w:t>
      </w:r>
      <w:r w:rsidR="00567A6E">
        <w:rPr>
          <w:lang w:val="en-NZ"/>
        </w:rPr>
        <w:t xml:space="preserve"> to ensure that </w:t>
      </w:r>
      <w:r w:rsidR="004541FF">
        <w:rPr>
          <w:lang w:val="en-NZ"/>
        </w:rPr>
        <w:t xml:space="preserve">low quality services are not licensed, and that good quality services are not denied a licence due to </w:t>
      </w:r>
      <w:r w:rsidR="00117BBF">
        <w:rPr>
          <w:lang w:val="en-NZ"/>
        </w:rPr>
        <w:t xml:space="preserve">inappropriately restrictive criteria. In particular, </w:t>
      </w:r>
      <w:r w:rsidR="00CB244C">
        <w:rPr>
          <w:lang w:val="en-NZ"/>
        </w:rPr>
        <w:t xml:space="preserve">applications by kaupapa Māori entities will be assessed by </w:t>
      </w:r>
      <w:r w:rsidR="004F1CEE">
        <w:rPr>
          <w:lang w:val="en-NZ"/>
        </w:rPr>
        <w:t>committee members</w:t>
      </w:r>
      <w:r w:rsidR="00CB244C">
        <w:rPr>
          <w:lang w:val="en-NZ"/>
        </w:rPr>
        <w:t xml:space="preserve"> with kaupapa Māori expertise. </w:t>
      </w:r>
      <w:r w:rsidR="00EE4B58">
        <w:rPr>
          <w:lang w:val="en-NZ"/>
        </w:rPr>
        <w:t>Resource</w:t>
      </w:r>
      <w:r w:rsidR="00CC4E68">
        <w:rPr>
          <w:lang w:val="en-NZ"/>
        </w:rPr>
        <w:t xml:space="preserve"> costs for the Ministry and providers would be similar to option two</w:t>
      </w:r>
      <w:r w:rsidR="00EF79AB">
        <w:rPr>
          <w:lang w:val="en-NZ"/>
        </w:rPr>
        <w:t xml:space="preserve">, as there would </w:t>
      </w:r>
      <w:r w:rsidR="00FC328C">
        <w:rPr>
          <w:lang w:val="en-NZ"/>
        </w:rPr>
        <w:t xml:space="preserve">either </w:t>
      </w:r>
      <w:r w:rsidR="00EF79AB">
        <w:rPr>
          <w:lang w:val="en-NZ"/>
        </w:rPr>
        <w:t>be no licence fees</w:t>
      </w:r>
      <w:r w:rsidR="00FC328C">
        <w:rPr>
          <w:lang w:val="en-NZ"/>
        </w:rPr>
        <w:t xml:space="preserve">, or low fees. </w:t>
      </w:r>
      <w:r w:rsidR="00D421D2">
        <w:rPr>
          <w:lang w:val="en-NZ"/>
        </w:rPr>
        <w:t xml:space="preserve">The Ministry would develop guidance and criteria </w:t>
      </w:r>
      <w:r w:rsidR="00AF14E8">
        <w:rPr>
          <w:lang w:val="en-NZ"/>
        </w:rPr>
        <w:t xml:space="preserve">during system development, allowing more efficient use of resources </w:t>
      </w:r>
      <w:r w:rsidR="006918DE">
        <w:rPr>
          <w:lang w:val="en-NZ"/>
        </w:rPr>
        <w:t xml:space="preserve">during licence assessments. </w:t>
      </w:r>
    </w:p>
    <w:p w14:paraId="3F7AA2C2" w14:textId="287D6E73" w:rsidR="007D78A1" w:rsidRPr="00A864A5" w:rsidRDefault="007D78A1" w:rsidP="001F494A">
      <w:pPr>
        <w:pStyle w:val="Heading4"/>
      </w:pPr>
      <w:r w:rsidRPr="00A864A5">
        <w:t xml:space="preserve">Option </w:t>
      </w:r>
      <w:r w:rsidR="00041DC3">
        <w:t>Four</w:t>
      </w:r>
      <w:r w:rsidR="00EC4C48">
        <w:t xml:space="preserve"> – Legalisation without regulation</w:t>
      </w:r>
    </w:p>
    <w:p w14:paraId="35F2A859" w14:textId="075ED6E0" w:rsidR="0038684D" w:rsidRDefault="00EC4C48" w:rsidP="00315A06">
      <w:pPr>
        <w:rPr>
          <w:lang w:val="en-NZ"/>
        </w:rPr>
      </w:pPr>
      <w:r>
        <w:rPr>
          <w:lang w:val="en-NZ"/>
        </w:rPr>
        <w:t xml:space="preserve">The legal barriers to drug checking would be removed, </w:t>
      </w:r>
      <w:r w:rsidR="0038684D">
        <w:rPr>
          <w:lang w:val="en-NZ"/>
        </w:rPr>
        <w:t xml:space="preserve">but no </w:t>
      </w:r>
      <w:r w:rsidR="00AB1278">
        <w:rPr>
          <w:lang w:val="en-NZ"/>
        </w:rPr>
        <w:t xml:space="preserve">specific </w:t>
      </w:r>
      <w:r w:rsidR="0038684D">
        <w:rPr>
          <w:lang w:val="en-NZ"/>
        </w:rPr>
        <w:t>regulat</w:t>
      </w:r>
      <w:r w:rsidR="00AF289C">
        <w:rPr>
          <w:lang w:val="en-NZ"/>
        </w:rPr>
        <w:t>ory system</w:t>
      </w:r>
      <w:r w:rsidR="0038684D">
        <w:rPr>
          <w:lang w:val="en-NZ"/>
        </w:rPr>
        <w:t xml:space="preserve"> would be introduced. Anyone </w:t>
      </w:r>
      <w:r w:rsidR="0065070E">
        <w:rPr>
          <w:lang w:val="en-NZ"/>
        </w:rPr>
        <w:t>who wanted</w:t>
      </w:r>
      <w:r w:rsidR="0038684D">
        <w:rPr>
          <w:lang w:val="en-NZ"/>
        </w:rPr>
        <w:t xml:space="preserve"> to provide drug checking services could do so</w:t>
      </w:r>
      <w:r w:rsidR="001C333B">
        <w:rPr>
          <w:lang w:val="en-NZ"/>
        </w:rPr>
        <w:t xml:space="preserve"> and could pass on costs to c</w:t>
      </w:r>
      <w:r w:rsidR="0031248B">
        <w:rPr>
          <w:lang w:val="en-NZ"/>
        </w:rPr>
        <w:t>lient</w:t>
      </w:r>
      <w:r w:rsidR="001C333B">
        <w:rPr>
          <w:lang w:val="en-NZ"/>
        </w:rPr>
        <w:t>s if they choose</w:t>
      </w:r>
      <w:r w:rsidR="0038684D">
        <w:rPr>
          <w:lang w:val="en-NZ"/>
        </w:rPr>
        <w:t xml:space="preserve">. </w:t>
      </w:r>
      <w:r w:rsidR="00AB1278">
        <w:rPr>
          <w:lang w:val="en-NZ"/>
        </w:rPr>
        <w:t>Standard consumer protection law would apply to drug checking services</w:t>
      </w:r>
      <w:r w:rsidR="00393444">
        <w:rPr>
          <w:lang w:val="en-NZ"/>
        </w:rPr>
        <w:t xml:space="preserve">, but there would be no specific standards for drug </w:t>
      </w:r>
      <w:proofErr w:type="gramStart"/>
      <w:r w:rsidR="00393444">
        <w:rPr>
          <w:lang w:val="en-NZ"/>
        </w:rPr>
        <w:t>checking</w:t>
      </w:r>
      <w:proofErr w:type="gramEnd"/>
      <w:r w:rsidR="0020703A">
        <w:rPr>
          <w:lang w:val="en-NZ"/>
        </w:rPr>
        <w:t xml:space="preserve"> and it would be difficult to take action against low-quality providers. </w:t>
      </w:r>
      <w:r w:rsidR="00AB1278">
        <w:rPr>
          <w:lang w:val="en-NZ"/>
        </w:rPr>
        <w:t xml:space="preserve"> </w:t>
      </w:r>
    </w:p>
    <w:p w14:paraId="2F83EA34" w14:textId="26C8B8B5" w:rsidR="00716DD7" w:rsidRPr="005B5FE5" w:rsidRDefault="00716DD7" w:rsidP="003454D5">
      <w:pPr>
        <w:rPr>
          <w:lang w:val="en-NZ"/>
        </w:rPr>
      </w:pPr>
      <w:r>
        <w:rPr>
          <w:b/>
          <w:bCs/>
          <w:lang w:val="en-NZ"/>
        </w:rPr>
        <w:t>Reducing harm</w:t>
      </w:r>
      <w:r w:rsidRPr="00E62A4F">
        <w:rPr>
          <w:b/>
          <w:bCs/>
          <w:lang w:val="en-NZ"/>
        </w:rPr>
        <w:t>:</w:t>
      </w:r>
      <w:r w:rsidR="005B5FE5">
        <w:rPr>
          <w:b/>
          <w:bCs/>
          <w:lang w:val="en-NZ"/>
        </w:rPr>
        <w:t xml:space="preserve"> </w:t>
      </w:r>
      <w:r w:rsidR="008F670F">
        <w:rPr>
          <w:lang w:val="en-NZ"/>
        </w:rPr>
        <w:t xml:space="preserve">Under this option, the quality of harm reduction advice would probably be variable. For example some providers would use </w:t>
      </w:r>
      <w:r w:rsidR="003F1164">
        <w:rPr>
          <w:lang w:val="en-NZ"/>
        </w:rPr>
        <w:t xml:space="preserve">best practice testing methods and others </w:t>
      </w:r>
      <w:r w:rsidR="001B422D">
        <w:rPr>
          <w:lang w:val="en-NZ"/>
        </w:rPr>
        <w:t>might</w:t>
      </w:r>
      <w:r w:rsidR="003F1164">
        <w:rPr>
          <w:lang w:val="en-NZ"/>
        </w:rPr>
        <w:t xml:space="preserve"> use cheaper and less reliable </w:t>
      </w:r>
      <w:r w:rsidR="001B422D">
        <w:rPr>
          <w:lang w:val="en-NZ"/>
        </w:rPr>
        <w:t xml:space="preserve">chemical </w:t>
      </w:r>
      <w:r w:rsidR="000A252D">
        <w:rPr>
          <w:lang w:val="en-NZ"/>
        </w:rPr>
        <w:t>reagent tests</w:t>
      </w:r>
      <w:r w:rsidR="003F1164">
        <w:rPr>
          <w:lang w:val="en-NZ"/>
        </w:rPr>
        <w:t xml:space="preserve">. </w:t>
      </w:r>
      <w:r w:rsidR="000A252D">
        <w:rPr>
          <w:lang w:val="en-NZ"/>
        </w:rPr>
        <w:t>Reagent</w:t>
      </w:r>
      <w:r w:rsidR="003F1164">
        <w:rPr>
          <w:lang w:val="en-NZ"/>
        </w:rPr>
        <w:t xml:space="preserve"> tests </w:t>
      </w:r>
      <w:r w:rsidR="004326D5">
        <w:rPr>
          <w:lang w:val="en-NZ"/>
        </w:rPr>
        <w:t>can fail to detect some dangerous substances</w:t>
      </w:r>
      <w:r w:rsidR="00BE38BB">
        <w:rPr>
          <w:lang w:val="en-NZ"/>
        </w:rPr>
        <w:t>, and so there is risk that clients will be told that their drug is safer than it actually is. There is also risk of bad harm reduction advice</w:t>
      </w:r>
      <w:r w:rsidR="00813D59">
        <w:rPr>
          <w:lang w:val="en-NZ"/>
        </w:rPr>
        <w:t xml:space="preserve">, which would prevent clients from making informed decisions </w:t>
      </w:r>
      <w:r w:rsidR="00EF21DC">
        <w:rPr>
          <w:lang w:val="en-NZ"/>
        </w:rPr>
        <w:t xml:space="preserve">and safer choices. </w:t>
      </w:r>
      <w:r w:rsidR="00F72E9B">
        <w:rPr>
          <w:lang w:val="en-NZ"/>
        </w:rPr>
        <w:t>It is likely that good advice would be given by</w:t>
      </w:r>
      <w:r w:rsidR="000A252D">
        <w:rPr>
          <w:lang w:val="en-NZ"/>
        </w:rPr>
        <w:t xml:space="preserve"> some </w:t>
      </w:r>
      <w:r w:rsidR="00F72E9B">
        <w:rPr>
          <w:lang w:val="en-NZ"/>
        </w:rPr>
        <w:t xml:space="preserve">providers, </w:t>
      </w:r>
      <w:r w:rsidR="00E66F86">
        <w:rPr>
          <w:lang w:val="en-NZ"/>
        </w:rPr>
        <w:t>but there is potential for high-quality drug checking providers to be driven out of the market due to competition from low-quality providers, or for drug checking in general to suffer reputational damage from low-quality providers.</w:t>
      </w:r>
    </w:p>
    <w:p w14:paraId="72EBD765" w14:textId="4DA140FC" w:rsidR="003454D5" w:rsidRDefault="003454D5" w:rsidP="003454D5">
      <w:pPr>
        <w:rPr>
          <w:lang w:val="en-NZ"/>
        </w:rPr>
      </w:pPr>
      <w:r w:rsidRPr="0027640A">
        <w:rPr>
          <w:b/>
          <w:bCs/>
          <w:lang w:val="en-NZ"/>
        </w:rPr>
        <w:t>Safety and quality:</w:t>
      </w:r>
      <w:r w:rsidR="00AB1278">
        <w:rPr>
          <w:lang w:val="en-NZ"/>
        </w:rPr>
        <w:t xml:space="preserve"> There would be no oversight of safety or quality other than under general consumer law. </w:t>
      </w:r>
      <w:r w:rsidR="00626FBA">
        <w:rPr>
          <w:lang w:val="en-NZ"/>
        </w:rPr>
        <w:t xml:space="preserve">There would be some risk of fraudulent or low-quality for-profit services, and a higher risk of </w:t>
      </w:r>
      <w:r w:rsidR="000E093C">
        <w:rPr>
          <w:lang w:val="en-NZ"/>
        </w:rPr>
        <w:t xml:space="preserve">well-meaning but low-quality </w:t>
      </w:r>
      <w:r w:rsidR="001E0EE4">
        <w:rPr>
          <w:lang w:val="en-NZ"/>
        </w:rPr>
        <w:t xml:space="preserve">non-profit </w:t>
      </w:r>
      <w:r w:rsidR="000E093C">
        <w:rPr>
          <w:lang w:val="en-NZ"/>
        </w:rPr>
        <w:t xml:space="preserve">services. </w:t>
      </w:r>
      <w:r w:rsidR="001D349C">
        <w:rPr>
          <w:lang w:val="en-NZ"/>
        </w:rPr>
        <w:t xml:space="preserve">Low-quality services would create risk of potentially fatal bad advice, in particular people getting a false sense of </w:t>
      </w:r>
      <w:r w:rsidR="00EE2CAF">
        <w:rPr>
          <w:lang w:val="en-NZ"/>
        </w:rPr>
        <w:t xml:space="preserve">safety. </w:t>
      </w:r>
    </w:p>
    <w:p w14:paraId="5CB3398C" w14:textId="43879915" w:rsidR="003454D5" w:rsidRDefault="003454D5" w:rsidP="003454D5">
      <w:pPr>
        <w:rPr>
          <w:lang w:val="en-NZ"/>
        </w:rPr>
      </w:pPr>
      <w:r w:rsidRPr="0027640A">
        <w:rPr>
          <w:b/>
          <w:bCs/>
          <w:lang w:val="en-NZ"/>
        </w:rPr>
        <w:t>Equitable access:</w:t>
      </w:r>
      <w:r w:rsidR="00EE2CAF">
        <w:rPr>
          <w:lang w:val="en-NZ"/>
        </w:rPr>
        <w:t xml:space="preserve"> </w:t>
      </w:r>
      <w:r w:rsidR="001248B4">
        <w:rPr>
          <w:lang w:val="en-NZ"/>
        </w:rPr>
        <w:t xml:space="preserve">This option would do the most to improve access to drug checking, but </w:t>
      </w:r>
      <w:r w:rsidR="00A12ED9">
        <w:rPr>
          <w:lang w:val="en-NZ"/>
        </w:rPr>
        <w:t xml:space="preserve">the access would be to services of variable quality. </w:t>
      </w:r>
      <w:r w:rsidR="00077AFF">
        <w:rPr>
          <w:lang w:val="en-NZ"/>
        </w:rPr>
        <w:t>It is not clear how equity would be affected</w:t>
      </w:r>
      <w:r w:rsidR="00EF79AB">
        <w:rPr>
          <w:lang w:val="en-NZ"/>
        </w:rPr>
        <w:t xml:space="preserve">, but more vulnerable communities could </w:t>
      </w:r>
      <w:r w:rsidR="00C736E5">
        <w:rPr>
          <w:lang w:val="en-NZ"/>
        </w:rPr>
        <w:t xml:space="preserve">be targeted by low quality providers. </w:t>
      </w:r>
    </w:p>
    <w:p w14:paraId="20C80FF0" w14:textId="2D901657" w:rsidR="00505A19" w:rsidRDefault="003454D5" w:rsidP="00505A19">
      <w:pPr>
        <w:rPr>
          <w:lang w:val="en-NZ"/>
        </w:rPr>
      </w:pPr>
      <w:r w:rsidRPr="0027640A">
        <w:rPr>
          <w:b/>
          <w:bCs/>
          <w:lang w:val="en-NZ"/>
        </w:rPr>
        <w:lastRenderedPageBreak/>
        <w:t>Practicality and flexibility:</w:t>
      </w:r>
      <w:r w:rsidR="00D4525C">
        <w:rPr>
          <w:lang w:val="en-NZ"/>
        </w:rPr>
        <w:t xml:space="preserve"> This </w:t>
      </w:r>
      <w:proofErr w:type="gramStart"/>
      <w:r w:rsidR="00D4525C">
        <w:rPr>
          <w:lang w:val="en-NZ"/>
        </w:rPr>
        <w:t>is</w:t>
      </w:r>
      <w:proofErr w:type="gramEnd"/>
      <w:r w:rsidR="00D4525C">
        <w:rPr>
          <w:lang w:val="en-NZ"/>
        </w:rPr>
        <w:t xml:space="preserve"> the most practical </w:t>
      </w:r>
      <w:r w:rsidR="0059611B">
        <w:rPr>
          <w:lang w:val="en-NZ"/>
        </w:rPr>
        <w:t>option for all parties</w:t>
      </w:r>
      <w:r w:rsidR="0092590A">
        <w:rPr>
          <w:lang w:val="en-NZ"/>
        </w:rPr>
        <w:t>, as it w</w:t>
      </w:r>
      <w:r w:rsidR="009953C9">
        <w:rPr>
          <w:lang w:val="en-NZ"/>
        </w:rPr>
        <w:t>ould</w:t>
      </w:r>
      <w:r w:rsidR="0092590A">
        <w:rPr>
          <w:lang w:val="en-NZ"/>
        </w:rPr>
        <w:t xml:space="preserve"> allow drug checking but not impose compliance costs or requirements. The Ministry would not be required to do anything </w:t>
      </w:r>
      <w:r w:rsidR="004D5F17">
        <w:rPr>
          <w:lang w:val="en-NZ"/>
        </w:rPr>
        <w:t>once the law has been changed.</w:t>
      </w:r>
      <w:r w:rsidR="00B53BA2">
        <w:rPr>
          <w:lang w:val="en-NZ"/>
        </w:rPr>
        <w:t xml:space="preserve"> However</w:t>
      </w:r>
      <w:r w:rsidR="001C333B">
        <w:rPr>
          <w:lang w:val="en-NZ"/>
        </w:rPr>
        <w:t>,</w:t>
      </w:r>
      <w:r w:rsidR="004269BF">
        <w:rPr>
          <w:lang w:val="en-NZ"/>
        </w:rPr>
        <w:t xml:space="preserve"> this could be a false economy</w:t>
      </w:r>
      <w:r w:rsidR="00B53BA2">
        <w:rPr>
          <w:lang w:val="en-NZ"/>
        </w:rPr>
        <w:t xml:space="preserve"> due to the potential costs of drug-related harm arising from low quality drug checking. </w:t>
      </w:r>
      <w:r w:rsidR="00E63221">
        <w:rPr>
          <w:lang w:val="en-NZ"/>
        </w:rPr>
        <w:t xml:space="preserve"> </w:t>
      </w:r>
      <w:bookmarkStart w:id="10" w:name="_Hlk53565400"/>
    </w:p>
    <w:p w14:paraId="4EC02C43" w14:textId="3FC26C78" w:rsidR="00D71CE0" w:rsidRPr="00A864A5" w:rsidRDefault="00F01ED1" w:rsidP="00A269FA">
      <w:pPr>
        <w:pStyle w:val="Heading3"/>
        <w:rPr>
          <w:lang w:val="en-NZ"/>
        </w:rPr>
      </w:pPr>
      <w:r w:rsidRPr="00A864A5">
        <w:rPr>
          <w:lang w:val="en-NZ"/>
        </w:rPr>
        <w:t>Multi-Criteria Analysis</w:t>
      </w:r>
      <w:bookmarkEnd w:id="10"/>
    </w:p>
    <w:tbl>
      <w:tblPr>
        <w:tblW w:w="9810" w:type="dxa"/>
        <w:tblInd w:w="-289"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542"/>
        <w:gridCol w:w="2031"/>
        <w:gridCol w:w="1984"/>
        <w:gridCol w:w="1985"/>
        <w:gridCol w:w="2268"/>
      </w:tblGrid>
      <w:tr w:rsidR="000958EA" w:rsidRPr="00A864A5" w14:paraId="64606FB2" w14:textId="67EE94FB" w:rsidTr="00A269FA">
        <w:trPr>
          <w:trHeight w:val="395"/>
        </w:trPr>
        <w:tc>
          <w:tcPr>
            <w:tcW w:w="1542" w:type="dxa"/>
            <w:shd w:val="clear" w:color="auto" w:fill="99CDDD"/>
            <w:vAlign w:val="center"/>
          </w:tcPr>
          <w:p w14:paraId="3D6EF1B6" w14:textId="77777777" w:rsidR="000958EA" w:rsidRPr="00A864A5" w:rsidRDefault="000958EA" w:rsidP="004C056B">
            <w:pPr>
              <w:spacing w:before="60" w:after="60" w:line="276" w:lineRule="auto"/>
              <w:jc w:val="center"/>
              <w:rPr>
                <w:rFonts w:cs="Arial"/>
                <w:b/>
                <w:color w:val="FFFFFF"/>
                <w:sz w:val="20"/>
                <w:szCs w:val="24"/>
                <w:lang w:val="en-NZ"/>
              </w:rPr>
            </w:pPr>
          </w:p>
        </w:tc>
        <w:tc>
          <w:tcPr>
            <w:tcW w:w="2031" w:type="dxa"/>
            <w:shd w:val="clear" w:color="auto" w:fill="99CDDD"/>
            <w:vAlign w:val="center"/>
          </w:tcPr>
          <w:p w14:paraId="643BB81E" w14:textId="2ABE6ED5" w:rsidR="000958EA" w:rsidRPr="00A864A5" w:rsidRDefault="000958EA" w:rsidP="004C056B">
            <w:pPr>
              <w:spacing w:before="60" w:after="60" w:line="240" w:lineRule="auto"/>
              <w:jc w:val="center"/>
              <w:rPr>
                <w:rFonts w:cs="Arial"/>
                <w:b/>
                <w:color w:val="000000"/>
                <w:szCs w:val="22"/>
                <w:lang w:val="en-NZ"/>
              </w:rPr>
            </w:pPr>
            <w:r w:rsidRPr="00A864A5">
              <w:rPr>
                <w:rFonts w:cs="Arial"/>
                <w:b/>
                <w:color w:val="000000"/>
                <w:szCs w:val="22"/>
                <w:lang w:val="en-NZ"/>
              </w:rPr>
              <w:t>Option One –</w:t>
            </w:r>
            <w:r>
              <w:rPr>
                <w:rFonts w:cs="Arial"/>
                <w:b/>
                <w:color w:val="000000"/>
                <w:szCs w:val="22"/>
                <w:lang w:val="en-NZ"/>
              </w:rPr>
              <w:t xml:space="preserve"> </w:t>
            </w:r>
            <w:r w:rsidRPr="00A864A5">
              <w:rPr>
                <w:rFonts w:cs="Arial"/>
                <w:b/>
                <w:color w:val="000000"/>
                <w:szCs w:val="22"/>
                <w:lang w:val="en-NZ"/>
              </w:rPr>
              <w:t>Counterfactual</w:t>
            </w:r>
          </w:p>
        </w:tc>
        <w:tc>
          <w:tcPr>
            <w:tcW w:w="1984" w:type="dxa"/>
            <w:shd w:val="clear" w:color="auto" w:fill="99CDDD"/>
            <w:vAlign w:val="center"/>
          </w:tcPr>
          <w:p w14:paraId="5E28BF3F" w14:textId="6A8CAE20" w:rsidR="000958EA" w:rsidRPr="00A864A5" w:rsidRDefault="000958EA" w:rsidP="000958EA">
            <w:pPr>
              <w:spacing w:before="60" w:after="60" w:line="276" w:lineRule="auto"/>
              <w:jc w:val="center"/>
              <w:rPr>
                <w:rFonts w:cs="Arial"/>
                <w:b/>
                <w:color w:val="000000"/>
                <w:szCs w:val="22"/>
                <w:lang w:val="en-NZ"/>
              </w:rPr>
            </w:pPr>
            <w:r w:rsidRPr="00A864A5">
              <w:rPr>
                <w:rFonts w:cs="Arial"/>
                <w:b/>
                <w:color w:val="000000"/>
                <w:szCs w:val="22"/>
                <w:lang w:val="en-NZ"/>
              </w:rPr>
              <w:t>Option Two</w:t>
            </w:r>
            <w:r>
              <w:rPr>
                <w:rFonts w:cs="Arial"/>
                <w:b/>
                <w:color w:val="000000"/>
                <w:szCs w:val="22"/>
                <w:lang w:val="en-NZ"/>
              </w:rPr>
              <w:t xml:space="preserve"> </w:t>
            </w:r>
            <w:r w:rsidR="00B1655A">
              <w:rPr>
                <w:rFonts w:cs="Arial"/>
                <w:b/>
                <w:color w:val="000000"/>
                <w:szCs w:val="22"/>
                <w:lang w:val="en-NZ"/>
              </w:rPr>
              <w:t>–</w:t>
            </w:r>
            <w:r>
              <w:rPr>
                <w:rFonts w:cs="Arial"/>
                <w:b/>
                <w:color w:val="000000"/>
                <w:szCs w:val="22"/>
                <w:lang w:val="en-NZ"/>
              </w:rPr>
              <w:t xml:space="preserve"> </w:t>
            </w:r>
            <w:r w:rsidR="00B1655A">
              <w:rPr>
                <w:rFonts w:cs="Arial"/>
                <w:b/>
                <w:color w:val="000000"/>
                <w:szCs w:val="22"/>
                <w:lang w:val="en-NZ"/>
              </w:rPr>
              <w:t>Current system</w:t>
            </w:r>
          </w:p>
        </w:tc>
        <w:tc>
          <w:tcPr>
            <w:tcW w:w="1985" w:type="dxa"/>
            <w:shd w:val="clear" w:color="auto" w:fill="99CDDD"/>
            <w:vAlign w:val="center"/>
          </w:tcPr>
          <w:p w14:paraId="62135168" w14:textId="1D898416" w:rsidR="000958EA" w:rsidRPr="00A864A5" w:rsidRDefault="000958EA" w:rsidP="004C056B">
            <w:pPr>
              <w:spacing w:before="60" w:after="60" w:line="276" w:lineRule="auto"/>
              <w:jc w:val="center"/>
              <w:rPr>
                <w:rFonts w:cs="Arial"/>
                <w:b/>
                <w:color w:val="000000"/>
                <w:szCs w:val="22"/>
                <w:lang w:val="en-NZ"/>
              </w:rPr>
            </w:pPr>
            <w:r>
              <w:rPr>
                <w:rFonts w:cs="Arial"/>
                <w:b/>
                <w:color w:val="000000"/>
                <w:szCs w:val="22"/>
                <w:lang w:val="en-NZ"/>
              </w:rPr>
              <w:t xml:space="preserve">Option Three </w:t>
            </w:r>
            <w:r w:rsidRPr="00A864A5">
              <w:rPr>
                <w:rFonts w:cs="Arial"/>
                <w:b/>
                <w:color w:val="000000"/>
                <w:szCs w:val="22"/>
                <w:lang w:val="en-NZ"/>
              </w:rPr>
              <w:t xml:space="preserve">– </w:t>
            </w:r>
            <w:r>
              <w:rPr>
                <w:rFonts w:cs="Arial"/>
                <w:b/>
                <w:color w:val="000000"/>
                <w:szCs w:val="22"/>
                <w:lang w:val="en-NZ"/>
              </w:rPr>
              <w:t>Licensing</w:t>
            </w:r>
          </w:p>
        </w:tc>
        <w:tc>
          <w:tcPr>
            <w:tcW w:w="2268" w:type="dxa"/>
            <w:shd w:val="clear" w:color="auto" w:fill="99CDDD"/>
            <w:vAlign w:val="center"/>
          </w:tcPr>
          <w:p w14:paraId="1A26DBF3" w14:textId="4E161A41" w:rsidR="000958EA" w:rsidRPr="00A864A5" w:rsidRDefault="000958EA" w:rsidP="004C056B">
            <w:pPr>
              <w:spacing w:before="60" w:after="60" w:line="276" w:lineRule="auto"/>
              <w:jc w:val="center"/>
              <w:rPr>
                <w:rFonts w:cs="Arial"/>
                <w:b/>
                <w:color w:val="000000"/>
                <w:szCs w:val="22"/>
                <w:lang w:val="en-NZ"/>
              </w:rPr>
            </w:pPr>
            <w:r w:rsidRPr="00A864A5">
              <w:rPr>
                <w:rFonts w:cs="Arial"/>
                <w:b/>
                <w:color w:val="000000"/>
                <w:szCs w:val="22"/>
                <w:lang w:val="en-NZ"/>
              </w:rPr>
              <w:t xml:space="preserve">Option </w:t>
            </w:r>
            <w:r w:rsidR="0075032C">
              <w:rPr>
                <w:rFonts w:cs="Arial"/>
                <w:b/>
                <w:color w:val="000000"/>
                <w:szCs w:val="22"/>
                <w:lang w:val="en-NZ"/>
              </w:rPr>
              <w:t>Four</w:t>
            </w:r>
            <w:r>
              <w:rPr>
                <w:rFonts w:cs="Arial"/>
                <w:b/>
                <w:color w:val="000000"/>
                <w:szCs w:val="22"/>
                <w:lang w:val="en-NZ"/>
              </w:rPr>
              <w:t xml:space="preserve"> – Legalisation without regulation</w:t>
            </w:r>
          </w:p>
        </w:tc>
      </w:tr>
      <w:tr w:rsidR="00E66F86" w:rsidRPr="00A864A5" w14:paraId="4A261D77" w14:textId="77777777" w:rsidTr="00A269FA">
        <w:trPr>
          <w:trHeight w:val="615"/>
        </w:trPr>
        <w:tc>
          <w:tcPr>
            <w:tcW w:w="1542" w:type="dxa"/>
            <w:shd w:val="clear" w:color="auto" w:fill="99CDDD"/>
            <w:vAlign w:val="center"/>
          </w:tcPr>
          <w:p w14:paraId="4655FB2E" w14:textId="27CB125D" w:rsidR="00E66F86" w:rsidRDefault="00E66F86" w:rsidP="004C056B">
            <w:pPr>
              <w:spacing w:before="60" w:after="60" w:line="240" w:lineRule="auto"/>
              <w:jc w:val="center"/>
              <w:rPr>
                <w:rFonts w:cs="Arial"/>
                <w:b/>
                <w:color w:val="000000"/>
                <w:szCs w:val="22"/>
                <w:lang w:val="en-NZ"/>
              </w:rPr>
            </w:pPr>
            <w:r>
              <w:rPr>
                <w:rFonts w:cs="Arial"/>
                <w:b/>
                <w:color w:val="000000"/>
                <w:szCs w:val="22"/>
                <w:lang w:val="en-NZ"/>
              </w:rPr>
              <w:t>Harm reduction</w:t>
            </w:r>
          </w:p>
        </w:tc>
        <w:tc>
          <w:tcPr>
            <w:tcW w:w="2031" w:type="dxa"/>
            <w:shd w:val="clear" w:color="auto" w:fill="auto"/>
          </w:tcPr>
          <w:p w14:paraId="6DCE8D6C" w14:textId="77777777" w:rsidR="00E66F86" w:rsidRDefault="00E66F86" w:rsidP="00E63221">
            <w:pPr>
              <w:pStyle w:val="TableText"/>
              <w:spacing w:line="276" w:lineRule="auto"/>
              <w:jc w:val="center"/>
              <w:rPr>
                <w:bCs/>
                <w:lang w:val="en-NZ"/>
              </w:rPr>
            </w:pPr>
            <w:r>
              <w:rPr>
                <w:bCs/>
                <w:lang w:val="en-NZ"/>
              </w:rPr>
              <w:t>0</w:t>
            </w:r>
          </w:p>
          <w:p w14:paraId="6B91DC04" w14:textId="551D8808" w:rsidR="00E66F86" w:rsidRDefault="00E66F86" w:rsidP="00E63221">
            <w:pPr>
              <w:pStyle w:val="TableText"/>
              <w:spacing w:line="276" w:lineRule="auto"/>
              <w:jc w:val="center"/>
              <w:rPr>
                <w:bCs/>
                <w:lang w:val="en-NZ"/>
              </w:rPr>
            </w:pPr>
            <w:r>
              <w:rPr>
                <w:bCs/>
                <w:lang w:val="en-NZ"/>
              </w:rPr>
              <w:t>Some harm reduced</w:t>
            </w:r>
            <w:r w:rsidR="00BB7D5B">
              <w:rPr>
                <w:bCs/>
                <w:lang w:val="en-NZ"/>
              </w:rPr>
              <w:t>, no quality control for advice</w:t>
            </w:r>
          </w:p>
        </w:tc>
        <w:tc>
          <w:tcPr>
            <w:tcW w:w="1984" w:type="dxa"/>
          </w:tcPr>
          <w:p w14:paraId="3C55CEF0" w14:textId="77777777" w:rsidR="00E66F86" w:rsidRDefault="0023478D" w:rsidP="00E63221">
            <w:pPr>
              <w:pStyle w:val="TableText"/>
              <w:spacing w:line="276" w:lineRule="auto"/>
              <w:jc w:val="center"/>
              <w:rPr>
                <w:lang w:val="en-NZ"/>
              </w:rPr>
            </w:pPr>
            <w:r>
              <w:rPr>
                <w:lang w:val="en-NZ"/>
              </w:rPr>
              <w:t>+</w:t>
            </w:r>
          </w:p>
          <w:p w14:paraId="55B26A28" w14:textId="1AAF8F53" w:rsidR="0023478D" w:rsidRDefault="0023478D" w:rsidP="00E63221">
            <w:pPr>
              <w:pStyle w:val="TableText"/>
              <w:spacing w:line="276" w:lineRule="auto"/>
              <w:jc w:val="center"/>
              <w:rPr>
                <w:lang w:val="en-NZ"/>
              </w:rPr>
            </w:pPr>
            <w:r>
              <w:rPr>
                <w:lang w:val="en-NZ"/>
              </w:rPr>
              <w:t>More harm reduced, but some risk of bad advice</w:t>
            </w:r>
          </w:p>
        </w:tc>
        <w:tc>
          <w:tcPr>
            <w:tcW w:w="1985" w:type="dxa"/>
            <w:shd w:val="clear" w:color="auto" w:fill="auto"/>
          </w:tcPr>
          <w:p w14:paraId="0D459944" w14:textId="77777777" w:rsidR="00E66F86" w:rsidRDefault="0023478D" w:rsidP="00E63221">
            <w:pPr>
              <w:pStyle w:val="TableText"/>
              <w:spacing w:line="276" w:lineRule="auto"/>
              <w:jc w:val="center"/>
              <w:rPr>
                <w:lang w:val="en-NZ"/>
              </w:rPr>
            </w:pPr>
            <w:r>
              <w:rPr>
                <w:lang w:val="en-NZ"/>
              </w:rPr>
              <w:t>++</w:t>
            </w:r>
          </w:p>
          <w:p w14:paraId="389F5F2B" w14:textId="6C9A63E7" w:rsidR="0023478D" w:rsidRDefault="0023478D" w:rsidP="00E63221">
            <w:pPr>
              <w:pStyle w:val="TableText"/>
              <w:spacing w:line="276" w:lineRule="auto"/>
              <w:jc w:val="center"/>
              <w:rPr>
                <w:lang w:val="en-NZ"/>
              </w:rPr>
            </w:pPr>
            <w:r>
              <w:rPr>
                <w:lang w:val="en-NZ"/>
              </w:rPr>
              <w:t xml:space="preserve">More harm reduced, </w:t>
            </w:r>
            <w:r w:rsidR="00BB7D5B">
              <w:rPr>
                <w:lang w:val="en-NZ"/>
              </w:rPr>
              <w:t>more assurance of quality advice</w:t>
            </w:r>
          </w:p>
        </w:tc>
        <w:tc>
          <w:tcPr>
            <w:tcW w:w="2268" w:type="dxa"/>
            <w:shd w:val="clear" w:color="auto" w:fill="auto"/>
          </w:tcPr>
          <w:p w14:paraId="2AB5164C" w14:textId="77777777" w:rsidR="00E66F86" w:rsidRDefault="00BB7D5B" w:rsidP="00E63221">
            <w:pPr>
              <w:pStyle w:val="TableText"/>
              <w:spacing w:line="276" w:lineRule="auto"/>
              <w:jc w:val="center"/>
              <w:rPr>
                <w:lang w:val="en-NZ"/>
              </w:rPr>
            </w:pPr>
            <w:r>
              <w:rPr>
                <w:lang w:val="en-NZ"/>
              </w:rPr>
              <w:t>0</w:t>
            </w:r>
          </w:p>
          <w:p w14:paraId="5512B7E8" w14:textId="450B7DDF" w:rsidR="00C41872" w:rsidRDefault="00C41872" w:rsidP="00E63221">
            <w:pPr>
              <w:pStyle w:val="TableText"/>
              <w:spacing w:line="276" w:lineRule="auto"/>
              <w:jc w:val="center"/>
              <w:rPr>
                <w:lang w:val="en-NZ"/>
              </w:rPr>
            </w:pPr>
            <w:r>
              <w:rPr>
                <w:lang w:val="en-NZ"/>
              </w:rPr>
              <w:t>More advice provided, but significant risk of bad advice</w:t>
            </w:r>
          </w:p>
        </w:tc>
      </w:tr>
      <w:tr w:rsidR="000958EA" w:rsidRPr="00A864A5" w14:paraId="43A4983D" w14:textId="5E17C019" w:rsidTr="00A269FA">
        <w:trPr>
          <w:trHeight w:val="615"/>
        </w:trPr>
        <w:tc>
          <w:tcPr>
            <w:tcW w:w="1542" w:type="dxa"/>
            <w:shd w:val="clear" w:color="auto" w:fill="99CDDD"/>
            <w:vAlign w:val="center"/>
          </w:tcPr>
          <w:p w14:paraId="62A9F0E1" w14:textId="2644EC41" w:rsidR="000958EA" w:rsidRPr="00A864A5" w:rsidRDefault="000958EA" w:rsidP="004C056B">
            <w:pPr>
              <w:spacing w:before="60" w:after="60" w:line="240" w:lineRule="auto"/>
              <w:jc w:val="center"/>
              <w:rPr>
                <w:rFonts w:cs="Arial"/>
                <w:b/>
                <w:color w:val="000000"/>
                <w:szCs w:val="22"/>
                <w:lang w:val="en-NZ"/>
              </w:rPr>
            </w:pPr>
            <w:r>
              <w:rPr>
                <w:rFonts w:cs="Arial"/>
                <w:b/>
                <w:color w:val="000000"/>
                <w:szCs w:val="22"/>
                <w:lang w:val="en-NZ"/>
              </w:rPr>
              <w:t>Safety and quality</w:t>
            </w:r>
          </w:p>
        </w:tc>
        <w:tc>
          <w:tcPr>
            <w:tcW w:w="2031" w:type="dxa"/>
            <w:shd w:val="clear" w:color="auto" w:fill="auto"/>
          </w:tcPr>
          <w:p w14:paraId="0EB97AB8" w14:textId="61BBA34D" w:rsidR="000958EA" w:rsidRDefault="000958EA" w:rsidP="00E63221">
            <w:pPr>
              <w:pStyle w:val="TableText"/>
              <w:spacing w:line="276" w:lineRule="auto"/>
              <w:jc w:val="center"/>
              <w:rPr>
                <w:bCs/>
                <w:lang w:val="en-NZ"/>
              </w:rPr>
            </w:pPr>
            <w:r>
              <w:rPr>
                <w:bCs/>
                <w:lang w:val="en-NZ"/>
              </w:rPr>
              <w:t>0</w:t>
            </w:r>
          </w:p>
          <w:p w14:paraId="2C8AD330" w14:textId="0CED3612" w:rsidR="000958EA" w:rsidRPr="00A864A5" w:rsidRDefault="000958EA" w:rsidP="00E63221">
            <w:pPr>
              <w:pStyle w:val="TableText"/>
              <w:spacing w:line="276" w:lineRule="auto"/>
              <w:jc w:val="center"/>
              <w:rPr>
                <w:bCs/>
                <w:lang w:val="en-NZ"/>
              </w:rPr>
            </w:pPr>
            <w:r>
              <w:rPr>
                <w:bCs/>
                <w:lang w:val="en-NZ"/>
              </w:rPr>
              <w:t>No oversight or control except through general drug law</w:t>
            </w:r>
          </w:p>
        </w:tc>
        <w:tc>
          <w:tcPr>
            <w:tcW w:w="1984" w:type="dxa"/>
          </w:tcPr>
          <w:p w14:paraId="2B0B0442" w14:textId="77777777" w:rsidR="000958EA" w:rsidRDefault="00B9204C" w:rsidP="00E63221">
            <w:pPr>
              <w:pStyle w:val="TableText"/>
              <w:spacing w:line="276" w:lineRule="auto"/>
              <w:jc w:val="center"/>
              <w:rPr>
                <w:lang w:val="en-NZ"/>
              </w:rPr>
            </w:pPr>
            <w:r>
              <w:rPr>
                <w:lang w:val="en-NZ"/>
              </w:rPr>
              <w:t xml:space="preserve">+ </w:t>
            </w:r>
          </w:p>
          <w:p w14:paraId="1A6DCE35" w14:textId="034130D0" w:rsidR="00B9204C" w:rsidRDefault="00B9204C" w:rsidP="00E63221">
            <w:pPr>
              <w:pStyle w:val="TableText"/>
              <w:spacing w:line="276" w:lineRule="auto"/>
              <w:jc w:val="center"/>
              <w:rPr>
                <w:lang w:val="en-NZ"/>
              </w:rPr>
            </w:pPr>
            <w:r>
              <w:rPr>
                <w:lang w:val="en-NZ"/>
              </w:rPr>
              <w:t>Potential for oversight, but risk of inconsistency</w:t>
            </w:r>
            <w:r w:rsidR="00445598">
              <w:rPr>
                <w:lang w:val="en-NZ"/>
              </w:rPr>
              <w:t xml:space="preserve"> or low oversight</w:t>
            </w:r>
          </w:p>
        </w:tc>
        <w:tc>
          <w:tcPr>
            <w:tcW w:w="1985" w:type="dxa"/>
            <w:shd w:val="clear" w:color="auto" w:fill="auto"/>
          </w:tcPr>
          <w:p w14:paraId="62E66D47" w14:textId="3C8A2302" w:rsidR="000958EA" w:rsidRDefault="000958EA" w:rsidP="00E63221">
            <w:pPr>
              <w:pStyle w:val="TableText"/>
              <w:spacing w:line="276" w:lineRule="auto"/>
              <w:jc w:val="center"/>
              <w:rPr>
                <w:lang w:val="en-NZ"/>
              </w:rPr>
            </w:pPr>
            <w:r>
              <w:rPr>
                <w:lang w:val="en-NZ"/>
              </w:rPr>
              <w:t>++</w:t>
            </w:r>
          </w:p>
          <w:p w14:paraId="64D49E0B" w14:textId="1346E303" w:rsidR="000958EA" w:rsidRPr="008E56F8" w:rsidRDefault="000958EA" w:rsidP="00E63221">
            <w:pPr>
              <w:pStyle w:val="TableText"/>
              <w:spacing w:line="276" w:lineRule="auto"/>
              <w:jc w:val="center"/>
              <w:rPr>
                <w:lang w:val="en-NZ"/>
              </w:rPr>
            </w:pPr>
            <w:r>
              <w:rPr>
                <w:lang w:val="en-NZ"/>
              </w:rPr>
              <w:t>Enables oversight through license requirements</w:t>
            </w:r>
          </w:p>
        </w:tc>
        <w:tc>
          <w:tcPr>
            <w:tcW w:w="2268" w:type="dxa"/>
            <w:shd w:val="clear" w:color="auto" w:fill="auto"/>
          </w:tcPr>
          <w:p w14:paraId="3A2DF9EE" w14:textId="7D3DBF6F" w:rsidR="000958EA" w:rsidRDefault="000958EA" w:rsidP="00E63221">
            <w:pPr>
              <w:pStyle w:val="TableText"/>
              <w:spacing w:line="276" w:lineRule="auto"/>
              <w:jc w:val="center"/>
              <w:rPr>
                <w:lang w:val="en-NZ"/>
              </w:rPr>
            </w:pPr>
            <w:r>
              <w:rPr>
                <w:lang w:val="en-NZ"/>
              </w:rPr>
              <w:t>-</w:t>
            </w:r>
          </w:p>
          <w:p w14:paraId="4BC00262" w14:textId="217FAD74" w:rsidR="000958EA" w:rsidRPr="00A864A5" w:rsidRDefault="000958EA" w:rsidP="00E63221">
            <w:pPr>
              <w:pStyle w:val="TableText"/>
              <w:spacing w:line="276" w:lineRule="auto"/>
              <w:jc w:val="center"/>
              <w:rPr>
                <w:lang w:val="en-NZ"/>
              </w:rPr>
            </w:pPr>
            <w:r>
              <w:rPr>
                <w:lang w:val="en-NZ"/>
              </w:rPr>
              <w:t>No oversight or control</w:t>
            </w:r>
          </w:p>
        </w:tc>
      </w:tr>
      <w:tr w:rsidR="000958EA" w:rsidRPr="00A864A5" w14:paraId="0F4EE0FC" w14:textId="18C473D3" w:rsidTr="00A269FA">
        <w:trPr>
          <w:trHeight w:val="378"/>
        </w:trPr>
        <w:tc>
          <w:tcPr>
            <w:tcW w:w="1542" w:type="dxa"/>
            <w:shd w:val="clear" w:color="auto" w:fill="99CDDD"/>
            <w:vAlign w:val="center"/>
          </w:tcPr>
          <w:p w14:paraId="1C714609" w14:textId="4A4F458E" w:rsidR="000958EA" w:rsidRPr="00A864A5" w:rsidRDefault="000958EA" w:rsidP="004C056B">
            <w:pPr>
              <w:spacing w:before="60" w:after="60" w:line="240" w:lineRule="auto"/>
              <w:jc w:val="center"/>
              <w:rPr>
                <w:rFonts w:cs="Arial"/>
                <w:b/>
                <w:color w:val="000000"/>
                <w:szCs w:val="22"/>
                <w:lang w:val="en-NZ"/>
              </w:rPr>
            </w:pPr>
            <w:r>
              <w:rPr>
                <w:rFonts w:cs="Arial"/>
                <w:b/>
                <w:color w:val="000000"/>
                <w:szCs w:val="22"/>
                <w:lang w:val="en-NZ"/>
              </w:rPr>
              <w:t>Equitable access</w:t>
            </w:r>
          </w:p>
        </w:tc>
        <w:tc>
          <w:tcPr>
            <w:tcW w:w="2031" w:type="dxa"/>
            <w:shd w:val="clear" w:color="auto" w:fill="auto"/>
          </w:tcPr>
          <w:p w14:paraId="2F9961B4" w14:textId="77777777" w:rsidR="000958EA" w:rsidRDefault="000958EA" w:rsidP="00E63221">
            <w:pPr>
              <w:pStyle w:val="TableText"/>
              <w:spacing w:line="276" w:lineRule="auto"/>
              <w:jc w:val="center"/>
              <w:rPr>
                <w:bCs/>
                <w:lang w:val="en-NZ"/>
              </w:rPr>
            </w:pPr>
            <w:r w:rsidRPr="00A864A5">
              <w:rPr>
                <w:bCs/>
                <w:lang w:val="en-NZ"/>
              </w:rPr>
              <w:t>0</w:t>
            </w:r>
          </w:p>
          <w:p w14:paraId="409893FF" w14:textId="5FE4DC94" w:rsidR="000958EA" w:rsidRPr="00A864A5" w:rsidRDefault="000958EA" w:rsidP="00E63221">
            <w:pPr>
              <w:pStyle w:val="TableText"/>
              <w:spacing w:line="276" w:lineRule="auto"/>
              <w:jc w:val="center"/>
              <w:rPr>
                <w:bCs/>
                <w:lang w:val="en-NZ"/>
              </w:rPr>
            </w:pPr>
            <w:r>
              <w:rPr>
                <w:bCs/>
                <w:lang w:val="en-NZ"/>
              </w:rPr>
              <w:t>Access restricted due to legal issues</w:t>
            </w:r>
          </w:p>
        </w:tc>
        <w:tc>
          <w:tcPr>
            <w:tcW w:w="1984" w:type="dxa"/>
          </w:tcPr>
          <w:p w14:paraId="3FB36E33" w14:textId="77777777" w:rsidR="000958EA" w:rsidRDefault="009563F2" w:rsidP="00E63221">
            <w:pPr>
              <w:pStyle w:val="TableText"/>
              <w:spacing w:line="276" w:lineRule="auto"/>
              <w:jc w:val="center"/>
              <w:rPr>
                <w:lang w:val="en-NZ"/>
              </w:rPr>
            </w:pPr>
            <w:r>
              <w:rPr>
                <w:lang w:val="en-NZ"/>
              </w:rPr>
              <w:t>+</w:t>
            </w:r>
          </w:p>
          <w:p w14:paraId="2BFF1DF0" w14:textId="6197612F" w:rsidR="009563F2" w:rsidRDefault="009563F2" w:rsidP="00E63221">
            <w:pPr>
              <w:pStyle w:val="TableText"/>
              <w:spacing w:line="276" w:lineRule="auto"/>
              <w:jc w:val="center"/>
              <w:rPr>
                <w:lang w:val="en-NZ"/>
              </w:rPr>
            </w:pPr>
            <w:r>
              <w:rPr>
                <w:lang w:val="en-NZ"/>
              </w:rPr>
              <w:t>Access improved, potential for equity improvement</w:t>
            </w:r>
          </w:p>
        </w:tc>
        <w:tc>
          <w:tcPr>
            <w:tcW w:w="1985" w:type="dxa"/>
            <w:shd w:val="clear" w:color="auto" w:fill="auto"/>
          </w:tcPr>
          <w:p w14:paraId="33A20B9E" w14:textId="75D29DDD" w:rsidR="000958EA" w:rsidRDefault="000958EA" w:rsidP="00E63221">
            <w:pPr>
              <w:pStyle w:val="TableText"/>
              <w:spacing w:line="276" w:lineRule="auto"/>
              <w:jc w:val="center"/>
              <w:rPr>
                <w:lang w:val="en-NZ"/>
              </w:rPr>
            </w:pPr>
            <w:r>
              <w:rPr>
                <w:lang w:val="en-NZ"/>
              </w:rPr>
              <w:t>+</w:t>
            </w:r>
          </w:p>
          <w:p w14:paraId="3872777A" w14:textId="610891BD" w:rsidR="000958EA" w:rsidRPr="00A864A5" w:rsidRDefault="000958EA" w:rsidP="00E63221">
            <w:pPr>
              <w:pStyle w:val="TableText"/>
              <w:spacing w:line="276" w:lineRule="auto"/>
              <w:jc w:val="center"/>
              <w:rPr>
                <w:lang w:val="en-NZ"/>
              </w:rPr>
            </w:pPr>
            <w:r>
              <w:rPr>
                <w:lang w:val="en-NZ"/>
              </w:rPr>
              <w:t xml:space="preserve">Access improved, </w:t>
            </w:r>
            <w:r w:rsidR="009563F2">
              <w:rPr>
                <w:lang w:val="en-NZ"/>
              </w:rPr>
              <w:t>potential for</w:t>
            </w:r>
            <w:r>
              <w:rPr>
                <w:lang w:val="en-NZ"/>
              </w:rPr>
              <w:t xml:space="preserve"> equity improvement</w:t>
            </w:r>
          </w:p>
        </w:tc>
        <w:tc>
          <w:tcPr>
            <w:tcW w:w="2268" w:type="dxa"/>
            <w:shd w:val="clear" w:color="auto" w:fill="auto"/>
          </w:tcPr>
          <w:p w14:paraId="7BF1FE9D" w14:textId="77777777" w:rsidR="000958EA" w:rsidRDefault="000958EA" w:rsidP="00E63221">
            <w:pPr>
              <w:pStyle w:val="TableText"/>
              <w:spacing w:line="276" w:lineRule="auto"/>
              <w:jc w:val="center"/>
              <w:rPr>
                <w:lang w:val="en-NZ"/>
              </w:rPr>
            </w:pPr>
            <w:r>
              <w:rPr>
                <w:lang w:val="en-NZ"/>
              </w:rPr>
              <w:t>++</w:t>
            </w:r>
          </w:p>
          <w:p w14:paraId="1A5E54FF" w14:textId="1F986E18" w:rsidR="000958EA" w:rsidRPr="00A864A5" w:rsidRDefault="000958EA" w:rsidP="00E63221">
            <w:pPr>
              <w:pStyle w:val="TableText"/>
              <w:spacing w:line="276" w:lineRule="auto"/>
              <w:jc w:val="center"/>
              <w:rPr>
                <w:lang w:val="en-NZ"/>
              </w:rPr>
            </w:pPr>
            <w:r>
              <w:rPr>
                <w:lang w:val="en-NZ"/>
              </w:rPr>
              <w:t>Access significantly improved, no clear equity impact</w:t>
            </w:r>
          </w:p>
        </w:tc>
      </w:tr>
      <w:tr w:rsidR="000958EA" w:rsidRPr="00A864A5" w14:paraId="1CB11B40" w14:textId="1E6DE429" w:rsidTr="00A269FA">
        <w:trPr>
          <w:trHeight w:val="395"/>
        </w:trPr>
        <w:tc>
          <w:tcPr>
            <w:tcW w:w="1542" w:type="dxa"/>
            <w:shd w:val="clear" w:color="auto" w:fill="99CDDD"/>
            <w:vAlign w:val="center"/>
          </w:tcPr>
          <w:p w14:paraId="6019EF4C" w14:textId="25AF2D3A" w:rsidR="000958EA" w:rsidRPr="00A864A5" w:rsidRDefault="000958EA" w:rsidP="004C056B">
            <w:pPr>
              <w:spacing w:before="60" w:after="60" w:line="240" w:lineRule="auto"/>
              <w:jc w:val="center"/>
              <w:rPr>
                <w:rFonts w:cs="Arial"/>
                <w:b/>
                <w:color w:val="000000"/>
                <w:szCs w:val="22"/>
                <w:lang w:val="en-NZ"/>
              </w:rPr>
            </w:pPr>
            <w:r>
              <w:rPr>
                <w:rFonts w:cs="Arial"/>
                <w:b/>
                <w:color w:val="000000"/>
                <w:szCs w:val="22"/>
                <w:lang w:val="en-NZ"/>
              </w:rPr>
              <w:t>Practicality and flexibility</w:t>
            </w:r>
          </w:p>
        </w:tc>
        <w:tc>
          <w:tcPr>
            <w:tcW w:w="2031" w:type="dxa"/>
            <w:shd w:val="clear" w:color="auto" w:fill="auto"/>
          </w:tcPr>
          <w:p w14:paraId="46659BBD" w14:textId="77777777" w:rsidR="000958EA" w:rsidRDefault="000958EA" w:rsidP="00E63221">
            <w:pPr>
              <w:pStyle w:val="TableText"/>
              <w:spacing w:line="276" w:lineRule="auto"/>
              <w:jc w:val="center"/>
              <w:rPr>
                <w:bCs/>
                <w:lang w:val="en-NZ"/>
              </w:rPr>
            </w:pPr>
            <w:r w:rsidRPr="00A864A5">
              <w:rPr>
                <w:bCs/>
                <w:lang w:val="en-NZ"/>
              </w:rPr>
              <w:t>0</w:t>
            </w:r>
          </w:p>
          <w:p w14:paraId="5DFE28F3" w14:textId="01BDB9EC" w:rsidR="000958EA" w:rsidRPr="00A864A5" w:rsidRDefault="000958EA" w:rsidP="00E63221">
            <w:pPr>
              <w:pStyle w:val="TableText"/>
              <w:spacing w:line="276" w:lineRule="auto"/>
              <w:jc w:val="center"/>
              <w:rPr>
                <w:bCs/>
                <w:lang w:val="en-NZ"/>
              </w:rPr>
            </w:pPr>
            <w:r>
              <w:rPr>
                <w:bCs/>
                <w:lang w:val="en-NZ"/>
              </w:rPr>
              <w:t>Legal barriers but no compliance requirements</w:t>
            </w:r>
          </w:p>
        </w:tc>
        <w:tc>
          <w:tcPr>
            <w:tcW w:w="1984" w:type="dxa"/>
          </w:tcPr>
          <w:p w14:paraId="1635BD88" w14:textId="77777777" w:rsidR="000958EA" w:rsidRDefault="009563F2" w:rsidP="00E63221">
            <w:pPr>
              <w:pStyle w:val="TableText"/>
              <w:spacing w:line="276" w:lineRule="auto"/>
              <w:jc w:val="center"/>
              <w:rPr>
                <w:lang w:val="en-NZ"/>
              </w:rPr>
            </w:pPr>
            <w:r>
              <w:rPr>
                <w:lang w:val="en-NZ"/>
              </w:rPr>
              <w:t>+</w:t>
            </w:r>
          </w:p>
          <w:p w14:paraId="0F31BB4E" w14:textId="0B6397B0" w:rsidR="009563F2" w:rsidRDefault="00155623" w:rsidP="00E63221">
            <w:pPr>
              <w:pStyle w:val="TableText"/>
              <w:spacing w:line="276" w:lineRule="auto"/>
              <w:jc w:val="center"/>
              <w:rPr>
                <w:lang w:val="en-NZ"/>
              </w:rPr>
            </w:pPr>
            <w:r>
              <w:rPr>
                <w:lang w:val="en-NZ"/>
              </w:rPr>
              <w:t>Legal barriers removed, potential for compliance requirements</w:t>
            </w:r>
          </w:p>
        </w:tc>
        <w:tc>
          <w:tcPr>
            <w:tcW w:w="1985" w:type="dxa"/>
            <w:shd w:val="clear" w:color="auto" w:fill="auto"/>
          </w:tcPr>
          <w:p w14:paraId="6377DFDE" w14:textId="43AAEC22" w:rsidR="000958EA" w:rsidRDefault="000958EA" w:rsidP="00E63221">
            <w:pPr>
              <w:pStyle w:val="TableText"/>
              <w:spacing w:line="276" w:lineRule="auto"/>
              <w:jc w:val="center"/>
              <w:rPr>
                <w:lang w:val="en-NZ"/>
              </w:rPr>
            </w:pPr>
            <w:r>
              <w:rPr>
                <w:lang w:val="en-NZ"/>
              </w:rPr>
              <w:t>0</w:t>
            </w:r>
          </w:p>
          <w:p w14:paraId="7A75D328" w14:textId="320097C0" w:rsidR="000958EA" w:rsidRPr="00A864A5" w:rsidRDefault="000958EA" w:rsidP="00E63221">
            <w:pPr>
              <w:pStyle w:val="TableText"/>
              <w:spacing w:line="276" w:lineRule="auto"/>
              <w:jc w:val="center"/>
              <w:rPr>
                <w:lang w:val="en-NZ"/>
              </w:rPr>
            </w:pPr>
            <w:r>
              <w:rPr>
                <w:lang w:val="en-NZ"/>
              </w:rPr>
              <w:t>Legal barriers removed but compliance requirements introduced</w:t>
            </w:r>
          </w:p>
        </w:tc>
        <w:tc>
          <w:tcPr>
            <w:tcW w:w="2268" w:type="dxa"/>
            <w:shd w:val="clear" w:color="auto" w:fill="auto"/>
          </w:tcPr>
          <w:p w14:paraId="070B27F9" w14:textId="5B9EFC31" w:rsidR="000958EA" w:rsidRDefault="000958EA" w:rsidP="00E63221">
            <w:pPr>
              <w:pStyle w:val="TableText"/>
              <w:spacing w:line="276" w:lineRule="auto"/>
              <w:jc w:val="center"/>
              <w:rPr>
                <w:lang w:val="en-NZ"/>
              </w:rPr>
            </w:pPr>
            <w:r>
              <w:rPr>
                <w:lang w:val="en-NZ"/>
              </w:rPr>
              <w:t>++</w:t>
            </w:r>
          </w:p>
          <w:p w14:paraId="1532A06B" w14:textId="5B5572D1" w:rsidR="000958EA" w:rsidRPr="00A864A5" w:rsidRDefault="000958EA" w:rsidP="00E63221">
            <w:pPr>
              <w:pStyle w:val="TableText"/>
              <w:spacing w:line="276" w:lineRule="auto"/>
              <w:jc w:val="center"/>
              <w:rPr>
                <w:lang w:val="en-NZ"/>
              </w:rPr>
            </w:pPr>
            <w:r>
              <w:rPr>
                <w:lang w:val="en-NZ"/>
              </w:rPr>
              <w:t>No legal barriers or compliance requirements</w:t>
            </w:r>
          </w:p>
        </w:tc>
      </w:tr>
      <w:tr w:rsidR="000958EA" w:rsidRPr="00A864A5" w14:paraId="610535B6" w14:textId="2D3454BD" w:rsidTr="00A269FA">
        <w:trPr>
          <w:trHeight w:val="584"/>
        </w:trPr>
        <w:tc>
          <w:tcPr>
            <w:tcW w:w="1542" w:type="dxa"/>
            <w:shd w:val="clear" w:color="auto" w:fill="99CDDD"/>
            <w:vAlign w:val="center"/>
          </w:tcPr>
          <w:p w14:paraId="4CEBFF80" w14:textId="77777777" w:rsidR="000958EA" w:rsidRPr="00A864A5" w:rsidRDefault="000958EA" w:rsidP="004C056B">
            <w:pPr>
              <w:spacing w:before="60" w:after="60" w:line="240" w:lineRule="auto"/>
              <w:jc w:val="center"/>
              <w:rPr>
                <w:rFonts w:cs="Arial"/>
                <w:b/>
                <w:color w:val="000000"/>
                <w:szCs w:val="22"/>
                <w:lang w:val="en-NZ"/>
              </w:rPr>
            </w:pPr>
            <w:r w:rsidRPr="00A864A5">
              <w:rPr>
                <w:rFonts w:cs="Arial"/>
                <w:b/>
                <w:color w:val="000000"/>
                <w:szCs w:val="22"/>
                <w:lang w:val="en-NZ"/>
              </w:rPr>
              <w:t>Overall assessment</w:t>
            </w:r>
          </w:p>
        </w:tc>
        <w:tc>
          <w:tcPr>
            <w:tcW w:w="2031" w:type="dxa"/>
            <w:shd w:val="clear" w:color="auto" w:fill="auto"/>
          </w:tcPr>
          <w:p w14:paraId="14B5A9EB" w14:textId="6FF952BF" w:rsidR="000958EA" w:rsidRPr="00A864A5" w:rsidRDefault="00666E64" w:rsidP="00E63221">
            <w:pPr>
              <w:pStyle w:val="TableText"/>
              <w:spacing w:line="276" w:lineRule="auto"/>
              <w:jc w:val="center"/>
              <w:rPr>
                <w:lang w:val="en-NZ"/>
              </w:rPr>
            </w:pPr>
            <w:r>
              <w:rPr>
                <w:lang w:val="en-NZ"/>
              </w:rPr>
              <w:t>Restricts providers with no clear benefit</w:t>
            </w:r>
          </w:p>
        </w:tc>
        <w:tc>
          <w:tcPr>
            <w:tcW w:w="1984" w:type="dxa"/>
          </w:tcPr>
          <w:p w14:paraId="038C8C48" w14:textId="6DC4B5D6" w:rsidR="000958EA" w:rsidRDefault="00445598" w:rsidP="00E63221">
            <w:pPr>
              <w:pStyle w:val="TableText"/>
              <w:spacing w:line="276" w:lineRule="auto"/>
              <w:jc w:val="center"/>
              <w:rPr>
                <w:lang w:val="en-NZ"/>
              </w:rPr>
            </w:pPr>
            <w:r>
              <w:rPr>
                <w:lang w:val="en-NZ"/>
              </w:rPr>
              <w:t xml:space="preserve">Similar to option 3 but likely to be inconsistent </w:t>
            </w:r>
          </w:p>
        </w:tc>
        <w:tc>
          <w:tcPr>
            <w:tcW w:w="1985" w:type="dxa"/>
            <w:shd w:val="clear" w:color="auto" w:fill="auto"/>
          </w:tcPr>
          <w:p w14:paraId="18445CBD" w14:textId="11C9BE0C" w:rsidR="000958EA" w:rsidRPr="00A864A5" w:rsidRDefault="000958EA" w:rsidP="00E63221">
            <w:pPr>
              <w:pStyle w:val="TableText"/>
              <w:spacing w:line="276" w:lineRule="auto"/>
              <w:jc w:val="center"/>
              <w:rPr>
                <w:lang w:val="en-NZ"/>
              </w:rPr>
            </w:pPr>
            <w:r>
              <w:rPr>
                <w:lang w:val="en-NZ"/>
              </w:rPr>
              <w:t>Preferred option as it balances access with quality</w:t>
            </w:r>
          </w:p>
        </w:tc>
        <w:tc>
          <w:tcPr>
            <w:tcW w:w="2268" w:type="dxa"/>
            <w:shd w:val="clear" w:color="auto" w:fill="auto"/>
          </w:tcPr>
          <w:p w14:paraId="11A67343" w14:textId="5D6BEFC2" w:rsidR="000958EA" w:rsidRPr="00A864A5" w:rsidRDefault="000958EA" w:rsidP="00E63221">
            <w:pPr>
              <w:pStyle w:val="TableText"/>
              <w:spacing w:line="276" w:lineRule="auto"/>
              <w:jc w:val="center"/>
              <w:rPr>
                <w:lang w:val="en-NZ"/>
              </w:rPr>
            </w:pPr>
            <w:r>
              <w:rPr>
                <w:lang w:val="en-NZ"/>
              </w:rPr>
              <w:t>Benefits outweighed by risk</w:t>
            </w:r>
            <w:r w:rsidR="00C41872">
              <w:rPr>
                <w:lang w:val="en-NZ"/>
              </w:rPr>
              <w:t xml:space="preserve"> of bad advice</w:t>
            </w:r>
          </w:p>
        </w:tc>
      </w:tr>
    </w:tbl>
    <w:p w14:paraId="1FEA8154" w14:textId="1DED5E64" w:rsidR="00D71CE0" w:rsidRPr="00A864A5" w:rsidRDefault="00D71CE0" w:rsidP="00D71CE0">
      <w:pPr>
        <w:pStyle w:val="spacer"/>
        <w:rPr>
          <w:sz w:val="8"/>
          <w:szCs w:val="14"/>
          <w:lang w:val="en-NZ"/>
        </w:rPr>
      </w:pPr>
    </w:p>
    <w:p w14:paraId="156E57E7" w14:textId="0A2CEADA" w:rsidR="00D71CE0" w:rsidRDefault="00846C56" w:rsidP="00846C56">
      <w:pPr>
        <w:pStyle w:val="Heading3"/>
        <w:rPr>
          <w:noProof/>
          <w:lang w:val="en-NZ" w:eastAsia="en-NZ"/>
        </w:rPr>
      </w:pPr>
      <w:r w:rsidRPr="00A864A5">
        <w:rPr>
          <w:noProof/>
          <w:lang w:val="en-NZ" w:eastAsia="en-NZ"/>
        </w:rPr>
        <w:t>Conclusions</w:t>
      </w:r>
    </w:p>
    <w:p w14:paraId="3055F48D" w14:textId="678214F9" w:rsidR="00A8495F" w:rsidRDefault="002F25C8" w:rsidP="0094743B">
      <w:pPr>
        <w:rPr>
          <w:lang w:val="en-NZ" w:eastAsia="en-NZ"/>
        </w:rPr>
      </w:pPr>
      <w:r>
        <w:rPr>
          <w:lang w:val="en-NZ" w:eastAsia="en-NZ"/>
        </w:rPr>
        <w:t xml:space="preserve">Option </w:t>
      </w:r>
      <w:r w:rsidR="00A8495F">
        <w:rPr>
          <w:lang w:val="en-NZ" w:eastAsia="en-NZ"/>
        </w:rPr>
        <w:t>t</w:t>
      </w:r>
      <w:r w:rsidR="00D822C1">
        <w:rPr>
          <w:lang w:val="en-NZ" w:eastAsia="en-NZ"/>
        </w:rPr>
        <w:t>hree</w:t>
      </w:r>
      <w:r>
        <w:rPr>
          <w:lang w:val="en-NZ" w:eastAsia="en-NZ"/>
        </w:rPr>
        <w:t xml:space="preserve"> (licensing) is the preferred option as it improves access to drug checking w</w:t>
      </w:r>
      <w:r w:rsidR="000C1687">
        <w:rPr>
          <w:lang w:val="en-NZ" w:eastAsia="en-NZ"/>
        </w:rPr>
        <w:t xml:space="preserve">hile </w:t>
      </w:r>
      <w:r w:rsidR="002C773C">
        <w:rPr>
          <w:lang w:val="en-NZ" w:eastAsia="en-NZ"/>
        </w:rPr>
        <w:t>providing</w:t>
      </w:r>
      <w:r>
        <w:rPr>
          <w:lang w:val="en-NZ" w:eastAsia="en-NZ"/>
        </w:rPr>
        <w:t xml:space="preserve"> assurance that the services will be of appropriate quality. </w:t>
      </w:r>
      <w:r w:rsidR="00DE26A7">
        <w:rPr>
          <w:lang w:val="en-NZ" w:eastAsia="en-NZ"/>
        </w:rPr>
        <w:t xml:space="preserve">It therefore has the most potential to reduce drug harm. </w:t>
      </w:r>
    </w:p>
    <w:p w14:paraId="1D6778EF" w14:textId="6A980C1D" w:rsidR="00D822C1" w:rsidRDefault="00D822C1" w:rsidP="0094743B">
      <w:pPr>
        <w:rPr>
          <w:lang w:val="en-NZ" w:eastAsia="en-NZ"/>
        </w:rPr>
      </w:pPr>
      <w:r>
        <w:rPr>
          <w:lang w:val="en-NZ" w:eastAsia="en-NZ"/>
        </w:rPr>
        <w:t xml:space="preserve">Option two is broadly similar to </w:t>
      </w:r>
      <w:r w:rsidR="004902DA">
        <w:rPr>
          <w:lang w:val="en-NZ" w:eastAsia="en-NZ"/>
        </w:rPr>
        <w:t xml:space="preserve">option three, except that the </w:t>
      </w:r>
      <w:r w:rsidR="00980292">
        <w:rPr>
          <w:lang w:val="en-NZ" w:eastAsia="en-NZ"/>
        </w:rPr>
        <w:t xml:space="preserve">Director-General has a very high level of discretion. </w:t>
      </w:r>
      <w:r w:rsidR="00925822">
        <w:rPr>
          <w:lang w:val="en-NZ" w:eastAsia="en-NZ"/>
        </w:rPr>
        <w:t xml:space="preserve">This has risks and benefits </w:t>
      </w:r>
      <w:r w:rsidR="002C773C">
        <w:rPr>
          <w:lang w:val="en-NZ" w:eastAsia="en-NZ"/>
        </w:rPr>
        <w:t>but</w:t>
      </w:r>
      <w:r w:rsidR="00925822">
        <w:rPr>
          <w:lang w:val="en-NZ" w:eastAsia="en-NZ"/>
        </w:rPr>
        <w:t xml:space="preserve"> is likely to result in providers being treated inconsistently and potentially </w:t>
      </w:r>
      <w:r w:rsidR="00B02A29">
        <w:rPr>
          <w:lang w:val="en-NZ" w:eastAsia="en-NZ"/>
        </w:rPr>
        <w:t>inequitably</w:t>
      </w:r>
      <w:r w:rsidR="00925822">
        <w:rPr>
          <w:lang w:val="en-NZ" w:eastAsia="en-NZ"/>
        </w:rPr>
        <w:t>.</w:t>
      </w:r>
      <w:r w:rsidR="006918DE">
        <w:rPr>
          <w:lang w:val="en-NZ" w:eastAsia="en-NZ"/>
        </w:rPr>
        <w:t xml:space="preserve"> This in turn creates risk of </w:t>
      </w:r>
      <w:r w:rsidR="001D3F14">
        <w:rPr>
          <w:lang w:val="en-NZ" w:eastAsia="en-NZ"/>
        </w:rPr>
        <w:t xml:space="preserve">potentially harmful </w:t>
      </w:r>
      <w:proofErr w:type="gramStart"/>
      <w:r w:rsidR="006918DE">
        <w:rPr>
          <w:lang w:val="en-NZ" w:eastAsia="en-NZ"/>
        </w:rPr>
        <w:t>low quality</w:t>
      </w:r>
      <w:proofErr w:type="gramEnd"/>
      <w:r w:rsidR="006918DE">
        <w:rPr>
          <w:lang w:val="en-NZ" w:eastAsia="en-NZ"/>
        </w:rPr>
        <w:t xml:space="preserve"> </w:t>
      </w:r>
      <w:r w:rsidR="0067654E">
        <w:rPr>
          <w:lang w:val="en-NZ" w:eastAsia="en-NZ"/>
        </w:rPr>
        <w:t xml:space="preserve">services, and risk of high quality services not being appointed. </w:t>
      </w:r>
      <w:r w:rsidR="00925822">
        <w:rPr>
          <w:lang w:val="en-NZ" w:eastAsia="en-NZ"/>
        </w:rPr>
        <w:t xml:space="preserve">If it is not possible to develop option three in the time available, option two is </w:t>
      </w:r>
      <w:r w:rsidR="00B02A29">
        <w:rPr>
          <w:lang w:val="en-NZ" w:eastAsia="en-NZ"/>
        </w:rPr>
        <w:t xml:space="preserve">the preferred </w:t>
      </w:r>
      <w:r w:rsidR="00925822">
        <w:rPr>
          <w:lang w:val="en-NZ" w:eastAsia="en-NZ"/>
        </w:rPr>
        <w:t xml:space="preserve">fallback option. </w:t>
      </w:r>
    </w:p>
    <w:p w14:paraId="783A7280" w14:textId="71711A13" w:rsidR="0094743B" w:rsidRDefault="001174B6" w:rsidP="0094743B">
      <w:pPr>
        <w:rPr>
          <w:lang w:val="en-NZ" w:eastAsia="en-NZ"/>
        </w:rPr>
      </w:pPr>
      <w:r>
        <w:rPr>
          <w:lang w:val="en-NZ" w:eastAsia="en-NZ"/>
        </w:rPr>
        <w:lastRenderedPageBreak/>
        <w:t xml:space="preserve">Option </w:t>
      </w:r>
      <w:r w:rsidR="00D822C1">
        <w:rPr>
          <w:lang w:val="en-NZ" w:eastAsia="en-NZ"/>
        </w:rPr>
        <w:t>four</w:t>
      </w:r>
      <w:r>
        <w:rPr>
          <w:lang w:val="en-NZ" w:eastAsia="en-NZ"/>
        </w:rPr>
        <w:t xml:space="preserve"> has significant advantages in improving access and removing compliance costs for the Crown and providers, but </w:t>
      </w:r>
      <w:r w:rsidR="008142ED">
        <w:rPr>
          <w:lang w:val="en-NZ" w:eastAsia="en-NZ"/>
        </w:rPr>
        <w:t>it is likely to enable</w:t>
      </w:r>
      <w:r w:rsidR="001036C0">
        <w:rPr>
          <w:lang w:val="en-NZ" w:eastAsia="en-NZ"/>
        </w:rPr>
        <w:t xml:space="preserve"> low</w:t>
      </w:r>
      <w:r w:rsidR="009E24C2">
        <w:rPr>
          <w:lang w:val="en-NZ" w:eastAsia="en-NZ"/>
        </w:rPr>
        <w:t>-</w:t>
      </w:r>
      <w:r w:rsidR="001036C0">
        <w:rPr>
          <w:lang w:val="en-NZ" w:eastAsia="en-NZ"/>
        </w:rPr>
        <w:t xml:space="preserve">quality services, which could in turn contribute to drug-related harm. </w:t>
      </w:r>
    </w:p>
    <w:p w14:paraId="58ACFE9B" w14:textId="66A0F50F" w:rsidR="00097119" w:rsidRPr="00A864A5" w:rsidRDefault="004625C9" w:rsidP="00570E3F">
      <w:pPr>
        <w:pStyle w:val="Heading3"/>
        <w:rPr>
          <w:lang w:val="en-NZ"/>
        </w:rPr>
      </w:pPr>
      <w:bookmarkStart w:id="11" w:name="_Hlk53565460"/>
      <w:r w:rsidRPr="00A864A5">
        <w:rPr>
          <w:lang w:val="en-NZ"/>
        </w:rPr>
        <w:t xml:space="preserve">Summarise the </w:t>
      </w:r>
      <w:r w:rsidR="00F01ED1" w:rsidRPr="00A864A5">
        <w:rPr>
          <w:lang w:val="en-NZ"/>
        </w:rPr>
        <w:t>costs and benefits</w:t>
      </w:r>
      <w:r w:rsidRPr="00A864A5">
        <w:rPr>
          <w:lang w:val="en-NZ"/>
        </w:rPr>
        <w:t xml:space="preserve"> of your preferred option</w:t>
      </w:r>
    </w:p>
    <w:tbl>
      <w:tblPr>
        <w:tblpPr w:leftFromText="180" w:rightFromText="180" w:vertAnchor="text" w:horzAnchor="margin" w:tblpY="92"/>
        <w:tblOverlap w:val="never"/>
        <w:tblW w:w="896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3114"/>
        <w:gridCol w:w="3297"/>
        <w:gridCol w:w="2556"/>
      </w:tblGrid>
      <w:tr w:rsidR="00556893" w:rsidRPr="00A864A5" w14:paraId="2E37727D" w14:textId="77777777" w:rsidTr="0040497A">
        <w:trPr>
          <w:trHeight w:val="762"/>
        </w:trPr>
        <w:tc>
          <w:tcPr>
            <w:tcW w:w="3114" w:type="dxa"/>
            <w:shd w:val="clear" w:color="auto" w:fill="99CDDD"/>
          </w:tcPr>
          <w:bookmarkEnd w:id="11"/>
          <w:p w14:paraId="1A38F21B" w14:textId="0444A17E" w:rsidR="00556893" w:rsidRPr="00A864A5" w:rsidRDefault="00556893" w:rsidP="00556893">
            <w:pPr>
              <w:pStyle w:val="TableText"/>
              <w:keepNext/>
              <w:rPr>
                <w:rFonts w:eastAsia="Calibri"/>
                <w:color w:val="000000"/>
                <w:sz w:val="22"/>
                <w:lang w:val="en-NZ"/>
              </w:rPr>
            </w:pPr>
            <w:r w:rsidRPr="00A864A5">
              <w:rPr>
                <w:rFonts w:eastAsia="Calibri"/>
                <w:b/>
                <w:color w:val="000000"/>
                <w:sz w:val="22"/>
                <w:lang w:val="en-NZ"/>
              </w:rPr>
              <w:t xml:space="preserve">Affected </w:t>
            </w:r>
            <w:r w:rsidR="00954259" w:rsidRPr="00A864A5">
              <w:rPr>
                <w:rFonts w:eastAsia="Calibri"/>
                <w:b/>
                <w:color w:val="000000"/>
                <w:sz w:val="22"/>
                <w:lang w:val="en-NZ"/>
              </w:rPr>
              <w:t>groups</w:t>
            </w:r>
            <w:r w:rsidRPr="00A864A5">
              <w:rPr>
                <w:rFonts w:eastAsia="Calibri"/>
                <w:color w:val="000000"/>
                <w:sz w:val="22"/>
                <w:lang w:val="en-NZ"/>
              </w:rPr>
              <w:t xml:space="preserve"> </w:t>
            </w:r>
            <w:r w:rsidRPr="00A864A5">
              <w:rPr>
                <w:rFonts w:eastAsia="Calibri"/>
                <w:i/>
                <w:color w:val="000000"/>
                <w:sz w:val="22"/>
                <w:lang w:val="en-NZ"/>
              </w:rPr>
              <w:t>(identify)</w:t>
            </w:r>
          </w:p>
        </w:tc>
        <w:tc>
          <w:tcPr>
            <w:tcW w:w="3297" w:type="dxa"/>
            <w:shd w:val="clear" w:color="auto" w:fill="99CDDD"/>
          </w:tcPr>
          <w:p w14:paraId="15ACBB32" w14:textId="095E493F" w:rsidR="00556893" w:rsidRPr="00A864A5" w:rsidRDefault="00556893" w:rsidP="00556893">
            <w:pPr>
              <w:pStyle w:val="TableText"/>
              <w:keepNext/>
              <w:rPr>
                <w:rFonts w:eastAsia="Calibri"/>
                <w:color w:val="000000"/>
                <w:sz w:val="22"/>
                <w:lang w:val="en-NZ"/>
              </w:rPr>
            </w:pPr>
            <w:r w:rsidRPr="00A864A5">
              <w:rPr>
                <w:rFonts w:eastAsia="Calibri"/>
                <w:b/>
                <w:color w:val="000000"/>
                <w:sz w:val="22"/>
                <w:lang w:val="en-NZ"/>
              </w:rPr>
              <w:t>Comment</w:t>
            </w:r>
            <w:r w:rsidRPr="00A864A5">
              <w:rPr>
                <w:rFonts w:eastAsia="Calibri"/>
                <w:color w:val="000000"/>
                <w:sz w:val="22"/>
                <w:lang w:val="en-NZ"/>
              </w:rPr>
              <w:t>: nature of cost or benefit (e</w:t>
            </w:r>
            <w:r w:rsidR="00D052EF" w:rsidRPr="00A864A5">
              <w:rPr>
                <w:rFonts w:eastAsia="Calibri"/>
                <w:color w:val="000000"/>
                <w:sz w:val="22"/>
                <w:lang w:val="en-NZ"/>
              </w:rPr>
              <w:t>.</w:t>
            </w:r>
            <w:r w:rsidRPr="00A864A5">
              <w:rPr>
                <w:rFonts w:eastAsia="Calibri"/>
                <w:color w:val="000000"/>
                <w:sz w:val="22"/>
                <w:lang w:val="en-NZ"/>
              </w:rPr>
              <w:t>g</w:t>
            </w:r>
            <w:r w:rsidR="00D052EF" w:rsidRPr="00A864A5">
              <w:rPr>
                <w:rFonts w:eastAsia="Calibri"/>
                <w:color w:val="000000"/>
                <w:sz w:val="22"/>
                <w:lang w:val="en-NZ"/>
              </w:rPr>
              <w:t>.</w:t>
            </w:r>
            <w:r w:rsidRPr="00A864A5">
              <w:rPr>
                <w:rFonts w:eastAsia="Calibri"/>
                <w:color w:val="000000"/>
                <w:sz w:val="22"/>
                <w:lang w:val="en-NZ"/>
              </w:rPr>
              <w:t xml:space="preserve"> ongoing, one-off), evidence and assumption (e</w:t>
            </w:r>
            <w:r w:rsidR="00D052EF" w:rsidRPr="00A864A5">
              <w:rPr>
                <w:rFonts w:eastAsia="Calibri"/>
                <w:color w:val="000000"/>
                <w:sz w:val="22"/>
                <w:lang w:val="en-NZ"/>
              </w:rPr>
              <w:t>.</w:t>
            </w:r>
            <w:r w:rsidRPr="00A864A5">
              <w:rPr>
                <w:rFonts w:eastAsia="Calibri"/>
                <w:color w:val="000000"/>
                <w:sz w:val="22"/>
                <w:lang w:val="en-NZ"/>
              </w:rPr>
              <w:t>g</w:t>
            </w:r>
            <w:r w:rsidR="00D052EF" w:rsidRPr="00A864A5">
              <w:rPr>
                <w:rFonts w:eastAsia="Calibri"/>
                <w:color w:val="000000"/>
                <w:sz w:val="22"/>
                <w:lang w:val="en-NZ"/>
              </w:rPr>
              <w:t>.</w:t>
            </w:r>
            <w:r w:rsidRPr="00A864A5">
              <w:rPr>
                <w:rFonts w:eastAsia="Calibri"/>
                <w:color w:val="000000"/>
                <w:sz w:val="22"/>
                <w:lang w:val="en-NZ"/>
              </w:rPr>
              <w:t xml:space="preserve"> compliance rates), risks</w:t>
            </w:r>
          </w:p>
        </w:tc>
        <w:tc>
          <w:tcPr>
            <w:tcW w:w="2556" w:type="dxa"/>
            <w:shd w:val="clear" w:color="auto" w:fill="99CDDD"/>
          </w:tcPr>
          <w:p w14:paraId="1E962849" w14:textId="77777777" w:rsidR="00556893" w:rsidRPr="00A864A5" w:rsidRDefault="00556893" w:rsidP="00556893">
            <w:pPr>
              <w:pStyle w:val="TableText"/>
              <w:keepNext/>
              <w:rPr>
                <w:rFonts w:eastAsia="Calibri"/>
                <w:b/>
                <w:color w:val="000000"/>
                <w:sz w:val="22"/>
                <w:lang w:val="en-NZ"/>
              </w:rPr>
            </w:pPr>
            <w:r w:rsidRPr="00A864A5">
              <w:rPr>
                <w:rFonts w:eastAsia="Calibri"/>
                <w:b/>
                <w:color w:val="000000"/>
                <w:sz w:val="22"/>
                <w:lang w:val="en-NZ"/>
              </w:rPr>
              <w:t>Impact</w:t>
            </w:r>
          </w:p>
          <w:p w14:paraId="01943810" w14:textId="1EB07ACE" w:rsidR="00556893" w:rsidRPr="00A864A5" w:rsidRDefault="00556893" w:rsidP="00556893">
            <w:pPr>
              <w:pStyle w:val="TableText"/>
              <w:keepNext/>
              <w:rPr>
                <w:rFonts w:eastAsia="Calibri"/>
                <w:i/>
                <w:color w:val="000000"/>
                <w:sz w:val="22"/>
                <w:lang w:val="en-NZ"/>
              </w:rPr>
            </w:pPr>
            <w:r w:rsidRPr="00A864A5">
              <w:rPr>
                <w:rFonts w:eastAsia="Calibri"/>
                <w:i/>
                <w:color w:val="000000"/>
                <w:sz w:val="22"/>
                <w:lang w:val="en-NZ"/>
              </w:rPr>
              <w:t>$m present value where appropriate, for monetised impacts; high, medium or low for non-monetised impacts</w:t>
            </w:r>
          </w:p>
        </w:tc>
      </w:tr>
      <w:tr w:rsidR="00556893" w:rsidRPr="00A864A5" w14:paraId="71B28631" w14:textId="77777777" w:rsidTr="00556893">
        <w:trPr>
          <w:trHeight w:val="263"/>
        </w:trPr>
        <w:tc>
          <w:tcPr>
            <w:tcW w:w="8967" w:type="dxa"/>
            <w:gridSpan w:val="3"/>
            <w:shd w:val="clear" w:color="auto" w:fill="99CDDD"/>
          </w:tcPr>
          <w:p w14:paraId="1C408171" w14:textId="5307E816" w:rsidR="00556893" w:rsidRPr="00A864A5" w:rsidRDefault="00275103" w:rsidP="00556893">
            <w:pPr>
              <w:keepNext/>
              <w:spacing w:before="40" w:after="20" w:line="240" w:lineRule="auto"/>
              <w:rPr>
                <w:rFonts w:ascii="Arial Narrow" w:eastAsia="Calibri" w:hAnsi="Arial Narrow"/>
                <w:b/>
                <w:bCs/>
                <w:szCs w:val="22"/>
                <w:lang w:val="en-NZ"/>
              </w:rPr>
            </w:pPr>
            <w:r>
              <w:rPr>
                <w:rFonts w:eastAsia="Calibri"/>
                <w:b/>
                <w:bCs/>
                <w:color w:val="000000"/>
                <w:szCs w:val="22"/>
                <w:lang w:val="en-NZ"/>
              </w:rPr>
              <w:t>Additional c</w:t>
            </w:r>
            <w:r w:rsidR="00556893" w:rsidRPr="00A864A5">
              <w:rPr>
                <w:rFonts w:eastAsia="Calibri"/>
                <w:b/>
                <w:bCs/>
                <w:color w:val="000000"/>
                <w:szCs w:val="22"/>
                <w:lang w:val="en-NZ"/>
              </w:rPr>
              <w:t xml:space="preserve">osts of </w:t>
            </w:r>
            <w:r w:rsidR="00363B61" w:rsidRPr="00A864A5">
              <w:rPr>
                <w:rFonts w:eastAsia="Calibri"/>
                <w:b/>
                <w:bCs/>
                <w:color w:val="000000"/>
                <w:szCs w:val="22"/>
                <w:lang w:val="en-NZ"/>
              </w:rPr>
              <w:t>the preferred</w:t>
            </w:r>
            <w:r w:rsidR="00556893" w:rsidRPr="00A864A5">
              <w:rPr>
                <w:rFonts w:eastAsia="Calibri"/>
                <w:b/>
                <w:bCs/>
                <w:color w:val="000000"/>
                <w:szCs w:val="22"/>
                <w:lang w:val="en-NZ"/>
              </w:rPr>
              <w:t xml:space="preserve"> </w:t>
            </w:r>
            <w:r w:rsidR="00363B61" w:rsidRPr="00A864A5">
              <w:rPr>
                <w:rFonts w:eastAsia="Calibri"/>
                <w:b/>
                <w:bCs/>
                <w:color w:val="000000"/>
                <w:szCs w:val="22"/>
                <w:lang w:val="en-NZ"/>
              </w:rPr>
              <w:t>option</w:t>
            </w:r>
            <w:r w:rsidR="00556893" w:rsidRPr="00A864A5">
              <w:rPr>
                <w:rFonts w:eastAsia="Calibri"/>
                <w:b/>
                <w:bCs/>
                <w:color w:val="000000"/>
                <w:szCs w:val="22"/>
                <w:lang w:val="en-NZ"/>
              </w:rPr>
              <w:t xml:space="preserve"> compared to </w:t>
            </w:r>
            <w:r>
              <w:rPr>
                <w:rFonts w:eastAsia="Calibri"/>
                <w:b/>
                <w:bCs/>
                <w:color w:val="000000"/>
                <w:szCs w:val="22"/>
                <w:lang w:val="en-NZ"/>
              </w:rPr>
              <w:t>taking no action</w:t>
            </w:r>
          </w:p>
        </w:tc>
      </w:tr>
      <w:tr w:rsidR="00556893" w:rsidRPr="00A864A5" w14:paraId="5CEF06A5" w14:textId="77777777" w:rsidTr="0040497A">
        <w:trPr>
          <w:trHeight w:val="380"/>
        </w:trPr>
        <w:tc>
          <w:tcPr>
            <w:tcW w:w="3114" w:type="dxa"/>
            <w:shd w:val="clear" w:color="auto" w:fill="auto"/>
          </w:tcPr>
          <w:p w14:paraId="68D30434" w14:textId="53C1075B" w:rsidR="00556893" w:rsidRPr="00A864A5" w:rsidRDefault="00556893" w:rsidP="00556893">
            <w:pPr>
              <w:pStyle w:val="TableText"/>
              <w:keepNext/>
              <w:rPr>
                <w:rFonts w:eastAsia="Calibri"/>
                <w:sz w:val="22"/>
                <w:lang w:val="en-NZ"/>
              </w:rPr>
            </w:pPr>
            <w:r w:rsidRPr="00A864A5">
              <w:rPr>
                <w:rFonts w:eastAsia="Calibri"/>
                <w:sz w:val="22"/>
                <w:lang w:val="en-NZ"/>
              </w:rPr>
              <w:t xml:space="preserve">Regulated </w:t>
            </w:r>
            <w:r w:rsidR="00954259" w:rsidRPr="00A864A5">
              <w:rPr>
                <w:rFonts w:eastAsia="Calibri"/>
                <w:sz w:val="22"/>
                <w:lang w:val="en-NZ"/>
              </w:rPr>
              <w:t>groups</w:t>
            </w:r>
            <w:r w:rsidR="00F95781">
              <w:rPr>
                <w:rFonts w:eastAsia="Calibri"/>
                <w:sz w:val="22"/>
                <w:lang w:val="en-NZ"/>
              </w:rPr>
              <w:t xml:space="preserve"> – drug checking service providers</w:t>
            </w:r>
          </w:p>
        </w:tc>
        <w:tc>
          <w:tcPr>
            <w:tcW w:w="3297" w:type="dxa"/>
            <w:shd w:val="clear" w:color="auto" w:fill="auto"/>
          </w:tcPr>
          <w:p w14:paraId="68493E46" w14:textId="77777777" w:rsidR="00556893" w:rsidRDefault="00C15104" w:rsidP="00556893">
            <w:pPr>
              <w:pStyle w:val="TableText"/>
              <w:keepNext/>
              <w:rPr>
                <w:rFonts w:eastAsia="Calibri"/>
                <w:sz w:val="22"/>
                <w:lang w:val="en-NZ"/>
              </w:rPr>
            </w:pPr>
            <w:r>
              <w:rPr>
                <w:rFonts w:eastAsia="Calibri"/>
                <w:sz w:val="22"/>
                <w:lang w:val="en-NZ"/>
              </w:rPr>
              <w:t xml:space="preserve">Compliance costs mostly of time – reporting requirements, application etc. </w:t>
            </w:r>
          </w:p>
          <w:p w14:paraId="02552938" w14:textId="37B47135" w:rsidR="00C15104" w:rsidRPr="00A864A5" w:rsidRDefault="00C15104" w:rsidP="00556893">
            <w:pPr>
              <w:pStyle w:val="TableText"/>
              <w:keepNext/>
              <w:rPr>
                <w:rFonts w:eastAsia="Calibri"/>
                <w:sz w:val="22"/>
                <w:lang w:val="en-NZ"/>
              </w:rPr>
            </w:pPr>
            <w:r>
              <w:rPr>
                <w:rFonts w:eastAsia="Calibri"/>
                <w:sz w:val="22"/>
                <w:lang w:val="en-NZ"/>
              </w:rPr>
              <w:t>No</w:t>
            </w:r>
            <w:r w:rsidR="00386F87">
              <w:rPr>
                <w:rFonts w:eastAsia="Calibri"/>
                <w:sz w:val="22"/>
                <w:lang w:val="en-NZ"/>
              </w:rPr>
              <w:t xml:space="preserve"> or low</w:t>
            </w:r>
            <w:r>
              <w:rPr>
                <w:rFonts w:eastAsia="Calibri"/>
                <w:sz w:val="22"/>
                <w:lang w:val="en-NZ"/>
              </w:rPr>
              <w:t xml:space="preserve"> licensing fees proposed</w:t>
            </w:r>
          </w:p>
        </w:tc>
        <w:tc>
          <w:tcPr>
            <w:tcW w:w="2556" w:type="dxa"/>
            <w:shd w:val="clear" w:color="auto" w:fill="auto"/>
          </w:tcPr>
          <w:p w14:paraId="181AF328" w14:textId="4CE77D6D" w:rsidR="00556893" w:rsidRPr="00A864A5" w:rsidRDefault="009254B9" w:rsidP="00556893">
            <w:pPr>
              <w:pStyle w:val="TableText"/>
              <w:keepNext/>
              <w:rPr>
                <w:rFonts w:eastAsia="Calibri"/>
                <w:sz w:val="22"/>
                <w:lang w:val="en-NZ"/>
              </w:rPr>
            </w:pPr>
            <w:r>
              <w:rPr>
                <w:rFonts w:eastAsia="Calibri"/>
                <w:sz w:val="22"/>
                <w:lang w:val="en-NZ"/>
              </w:rPr>
              <w:t>Medium non-monetised</w:t>
            </w:r>
          </w:p>
        </w:tc>
      </w:tr>
      <w:tr w:rsidR="006D17FA" w:rsidRPr="00A864A5" w14:paraId="63E49A0F" w14:textId="77777777" w:rsidTr="0040497A">
        <w:trPr>
          <w:trHeight w:val="380"/>
        </w:trPr>
        <w:tc>
          <w:tcPr>
            <w:tcW w:w="3114" w:type="dxa"/>
            <w:shd w:val="clear" w:color="auto" w:fill="auto"/>
          </w:tcPr>
          <w:p w14:paraId="447305A9" w14:textId="06FF0260" w:rsidR="006D17FA" w:rsidRPr="00A864A5" w:rsidRDefault="006D17FA" w:rsidP="00556893">
            <w:pPr>
              <w:pStyle w:val="TableText"/>
              <w:keepNext/>
              <w:rPr>
                <w:rFonts w:eastAsia="Calibri"/>
                <w:sz w:val="22"/>
                <w:lang w:val="en-NZ"/>
              </w:rPr>
            </w:pPr>
            <w:r w:rsidRPr="00A864A5">
              <w:rPr>
                <w:rFonts w:eastAsia="Calibri"/>
                <w:sz w:val="22"/>
                <w:lang w:val="en-NZ"/>
              </w:rPr>
              <w:t>Regulator</w:t>
            </w:r>
            <w:r w:rsidR="00F95781">
              <w:rPr>
                <w:rFonts w:eastAsia="Calibri"/>
                <w:sz w:val="22"/>
                <w:lang w:val="en-NZ"/>
              </w:rPr>
              <w:t xml:space="preserve"> – Ministry of Health</w:t>
            </w:r>
          </w:p>
        </w:tc>
        <w:tc>
          <w:tcPr>
            <w:tcW w:w="3297" w:type="dxa"/>
            <w:shd w:val="clear" w:color="auto" w:fill="auto"/>
          </w:tcPr>
          <w:p w14:paraId="0BACFCD0" w14:textId="0DDFAE52" w:rsidR="006D17FA" w:rsidRPr="00A864A5" w:rsidRDefault="00C15104" w:rsidP="00556893">
            <w:pPr>
              <w:pStyle w:val="TableText"/>
              <w:keepNext/>
              <w:rPr>
                <w:rFonts w:eastAsia="Calibri"/>
                <w:sz w:val="22"/>
                <w:lang w:val="en-NZ"/>
              </w:rPr>
            </w:pPr>
            <w:r>
              <w:rPr>
                <w:rFonts w:eastAsia="Calibri"/>
                <w:sz w:val="22"/>
                <w:lang w:val="en-NZ"/>
              </w:rPr>
              <w:t xml:space="preserve">Costs of administering licensing system, investigating complaints </w:t>
            </w:r>
            <w:r w:rsidR="007F4832">
              <w:rPr>
                <w:rFonts w:eastAsia="Calibri"/>
                <w:sz w:val="22"/>
                <w:lang w:val="en-NZ"/>
              </w:rPr>
              <w:t xml:space="preserve">and unlicensed providers, </w:t>
            </w:r>
            <w:r>
              <w:rPr>
                <w:rFonts w:eastAsia="Calibri"/>
                <w:sz w:val="22"/>
                <w:lang w:val="en-NZ"/>
              </w:rPr>
              <w:t>and monitoring licensed providers</w:t>
            </w:r>
          </w:p>
        </w:tc>
        <w:tc>
          <w:tcPr>
            <w:tcW w:w="2556" w:type="dxa"/>
            <w:shd w:val="clear" w:color="auto" w:fill="auto"/>
          </w:tcPr>
          <w:p w14:paraId="066B77EE" w14:textId="3FE072A7" w:rsidR="006D17FA" w:rsidRPr="00A864A5" w:rsidRDefault="009754C1" w:rsidP="00556893">
            <w:pPr>
              <w:pStyle w:val="TableText"/>
              <w:keepNext/>
              <w:rPr>
                <w:rFonts w:eastAsia="Calibri"/>
                <w:sz w:val="22"/>
                <w:lang w:val="en-NZ"/>
              </w:rPr>
            </w:pPr>
            <w:r>
              <w:rPr>
                <w:rFonts w:eastAsia="Calibri"/>
                <w:sz w:val="22"/>
                <w:lang w:val="en-NZ"/>
              </w:rPr>
              <w:t xml:space="preserve">Estimated </w:t>
            </w:r>
            <w:r w:rsidR="00FE6A27">
              <w:rPr>
                <w:rFonts w:eastAsia="Calibri"/>
                <w:sz w:val="22"/>
                <w:lang w:val="en-NZ"/>
              </w:rPr>
              <w:t xml:space="preserve">$0.5-1.0 m per annum </w:t>
            </w:r>
          </w:p>
        </w:tc>
      </w:tr>
      <w:tr w:rsidR="00556893" w:rsidRPr="00A864A5" w14:paraId="2EB47F8B" w14:textId="77777777" w:rsidTr="0040497A">
        <w:trPr>
          <w:trHeight w:val="263"/>
        </w:trPr>
        <w:tc>
          <w:tcPr>
            <w:tcW w:w="3114" w:type="dxa"/>
            <w:shd w:val="clear" w:color="auto" w:fill="auto"/>
          </w:tcPr>
          <w:p w14:paraId="574E5004" w14:textId="5CCB5035" w:rsidR="00556893" w:rsidRPr="00A864A5" w:rsidRDefault="00556893" w:rsidP="00556893">
            <w:pPr>
              <w:pStyle w:val="TableText"/>
              <w:keepNext/>
              <w:rPr>
                <w:rFonts w:eastAsia="Calibri" w:cs="Arial"/>
                <w:color w:val="000000"/>
                <w:sz w:val="22"/>
                <w:lang w:val="en-NZ"/>
              </w:rPr>
            </w:pPr>
            <w:r w:rsidRPr="00A864A5">
              <w:rPr>
                <w:rFonts w:eastAsia="Calibri"/>
                <w:color w:val="000000"/>
                <w:sz w:val="22"/>
                <w:lang w:val="en-NZ"/>
              </w:rPr>
              <w:t xml:space="preserve">Other </w:t>
            </w:r>
            <w:r w:rsidR="00954259" w:rsidRPr="00A864A5">
              <w:rPr>
                <w:rFonts w:eastAsia="Calibri"/>
                <w:color w:val="000000"/>
                <w:sz w:val="22"/>
                <w:lang w:val="en-NZ"/>
              </w:rPr>
              <w:t>groups</w:t>
            </w:r>
            <w:r w:rsidR="00F95781">
              <w:rPr>
                <w:rFonts w:eastAsia="Calibri"/>
                <w:color w:val="000000"/>
                <w:sz w:val="22"/>
                <w:lang w:val="en-NZ"/>
              </w:rPr>
              <w:t xml:space="preserve"> </w:t>
            </w:r>
            <w:r w:rsidR="009754C1">
              <w:rPr>
                <w:rFonts w:eastAsia="Calibri"/>
                <w:color w:val="000000"/>
                <w:sz w:val="22"/>
                <w:lang w:val="en-NZ"/>
              </w:rPr>
              <w:t>–</w:t>
            </w:r>
            <w:r w:rsidR="00F95781">
              <w:rPr>
                <w:rFonts w:eastAsia="Calibri"/>
                <w:color w:val="000000"/>
                <w:sz w:val="22"/>
                <w:lang w:val="en-NZ"/>
              </w:rPr>
              <w:t xml:space="preserve"> </w:t>
            </w:r>
            <w:r w:rsidR="009754C1">
              <w:rPr>
                <w:rFonts w:eastAsia="Calibri"/>
                <w:color w:val="000000"/>
                <w:sz w:val="22"/>
                <w:lang w:val="en-NZ"/>
              </w:rPr>
              <w:t>consumers of illicit drugs, music festival hosts</w:t>
            </w:r>
          </w:p>
        </w:tc>
        <w:tc>
          <w:tcPr>
            <w:tcW w:w="3297" w:type="dxa"/>
            <w:shd w:val="clear" w:color="auto" w:fill="auto"/>
          </w:tcPr>
          <w:p w14:paraId="72608FE1" w14:textId="08335BB7" w:rsidR="00556893" w:rsidRPr="00A864A5" w:rsidRDefault="007F4832" w:rsidP="00556893">
            <w:pPr>
              <w:pStyle w:val="TableText"/>
              <w:keepNext/>
              <w:rPr>
                <w:rFonts w:eastAsia="Calibri"/>
                <w:sz w:val="22"/>
                <w:lang w:val="en-NZ"/>
              </w:rPr>
            </w:pPr>
            <w:r>
              <w:rPr>
                <w:rFonts w:eastAsia="Calibri"/>
                <w:sz w:val="22"/>
                <w:lang w:val="en-NZ"/>
              </w:rPr>
              <w:t>Providers may pass costs onto hosts</w:t>
            </w:r>
            <w:r w:rsidR="009754C1">
              <w:rPr>
                <w:rFonts w:eastAsia="Calibri"/>
                <w:sz w:val="22"/>
                <w:lang w:val="en-NZ"/>
              </w:rPr>
              <w:t>, who may pass them onto ticket holders</w:t>
            </w:r>
          </w:p>
        </w:tc>
        <w:tc>
          <w:tcPr>
            <w:tcW w:w="2556" w:type="dxa"/>
            <w:shd w:val="clear" w:color="auto" w:fill="auto"/>
          </w:tcPr>
          <w:p w14:paraId="7D7C9030" w14:textId="4B74C968" w:rsidR="00556893" w:rsidRPr="00A864A5" w:rsidRDefault="009754C1" w:rsidP="00556893">
            <w:pPr>
              <w:pStyle w:val="TableText"/>
              <w:keepNext/>
              <w:rPr>
                <w:rFonts w:eastAsia="Calibri"/>
                <w:sz w:val="22"/>
                <w:lang w:val="en-NZ"/>
              </w:rPr>
            </w:pPr>
            <w:r>
              <w:rPr>
                <w:rFonts w:eastAsia="Calibri"/>
                <w:sz w:val="22"/>
                <w:lang w:val="en-NZ"/>
              </w:rPr>
              <w:t xml:space="preserve">Approximately </w:t>
            </w:r>
            <w:r w:rsidR="00652F63">
              <w:rPr>
                <w:rFonts w:eastAsia="Calibri"/>
                <w:sz w:val="22"/>
                <w:lang w:val="en-NZ"/>
              </w:rPr>
              <w:t>$2 per ticket</w:t>
            </w:r>
            <w:r w:rsidR="008E76DB">
              <w:rPr>
                <w:rFonts w:eastAsia="Calibri"/>
                <w:sz w:val="22"/>
                <w:lang w:val="en-NZ"/>
              </w:rPr>
              <w:t xml:space="preserve"> for events</w:t>
            </w:r>
            <w:r w:rsidR="0083691D">
              <w:rPr>
                <w:rStyle w:val="FootnoteReference"/>
                <w:rFonts w:eastAsia="Calibri"/>
                <w:lang w:val="en-NZ"/>
              </w:rPr>
              <w:footnoteReference w:id="3"/>
            </w:r>
          </w:p>
        </w:tc>
      </w:tr>
      <w:tr w:rsidR="00556893" w:rsidRPr="00A864A5" w14:paraId="120FE376" w14:textId="77777777" w:rsidTr="0040497A">
        <w:trPr>
          <w:trHeight w:val="263"/>
        </w:trPr>
        <w:tc>
          <w:tcPr>
            <w:tcW w:w="3114" w:type="dxa"/>
            <w:shd w:val="clear" w:color="auto" w:fill="auto"/>
          </w:tcPr>
          <w:p w14:paraId="5D8DC5F2" w14:textId="39486658" w:rsidR="00556893" w:rsidRPr="00A864A5" w:rsidRDefault="00556893" w:rsidP="00556893">
            <w:pPr>
              <w:pStyle w:val="TableText"/>
              <w:keepNext/>
              <w:rPr>
                <w:rFonts w:eastAsia="Calibri"/>
                <w:b/>
                <w:sz w:val="22"/>
                <w:lang w:val="en-NZ"/>
              </w:rPr>
            </w:pPr>
            <w:r w:rsidRPr="00A864A5">
              <w:rPr>
                <w:rFonts w:eastAsia="Calibri"/>
                <w:b/>
                <w:sz w:val="22"/>
                <w:lang w:val="en-NZ"/>
              </w:rPr>
              <w:t xml:space="preserve">Total </w:t>
            </w:r>
            <w:r w:rsidR="00363B61" w:rsidRPr="00A864A5">
              <w:rPr>
                <w:rFonts w:eastAsia="Calibri"/>
                <w:b/>
                <w:sz w:val="22"/>
                <w:lang w:val="en-NZ"/>
              </w:rPr>
              <w:t>m</w:t>
            </w:r>
            <w:r w:rsidRPr="00A864A5">
              <w:rPr>
                <w:rFonts w:eastAsia="Calibri"/>
                <w:b/>
                <w:sz w:val="22"/>
                <w:lang w:val="en-NZ"/>
              </w:rPr>
              <w:t xml:space="preserve">onetised </w:t>
            </w:r>
            <w:r w:rsidR="00363B61" w:rsidRPr="00A864A5">
              <w:rPr>
                <w:rFonts w:eastAsia="Calibri"/>
                <w:b/>
                <w:sz w:val="22"/>
                <w:lang w:val="en-NZ"/>
              </w:rPr>
              <w:t>c</w:t>
            </w:r>
            <w:r w:rsidRPr="00A864A5">
              <w:rPr>
                <w:rFonts w:eastAsia="Calibri"/>
                <w:b/>
                <w:sz w:val="22"/>
                <w:lang w:val="en-NZ"/>
              </w:rPr>
              <w:t>ost</w:t>
            </w:r>
            <w:r w:rsidR="00363B61" w:rsidRPr="00A864A5">
              <w:rPr>
                <w:rFonts w:eastAsia="Calibri"/>
                <w:b/>
                <w:sz w:val="22"/>
                <w:lang w:val="en-NZ"/>
              </w:rPr>
              <w:t>s</w:t>
            </w:r>
          </w:p>
        </w:tc>
        <w:tc>
          <w:tcPr>
            <w:tcW w:w="3297" w:type="dxa"/>
            <w:shd w:val="clear" w:color="auto" w:fill="auto"/>
          </w:tcPr>
          <w:p w14:paraId="22EFB593" w14:textId="77777777" w:rsidR="00556893" w:rsidRPr="00A864A5" w:rsidRDefault="00556893" w:rsidP="00556893">
            <w:pPr>
              <w:pStyle w:val="TableText"/>
              <w:keepNext/>
              <w:rPr>
                <w:rFonts w:eastAsia="Calibri"/>
                <w:i/>
                <w:sz w:val="22"/>
                <w:lang w:val="en-NZ"/>
              </w:rPr>
            </w:pPr>
          </w:p>
        </w:tc>
        <w:tc>
          <w:tcPr>
            <w:tcW w:w="2556" w:type="dxa"/>
            <w:shd w:val="clear" w:color="auto" w:fill="auto"/>
          </w:tcPr>
          <w:p w14:paraId="61158804" w14:textId="27DF29B8" w:rsidR="00556893" w:rsidRPr="00A864A5" w:rsidRDefault="00E22F09" w:rsidP="00556893">
            <w:pPr>
              <w:pStyle w:val="TableText"/>
              <w:keepNext/>
              <w:rPr>
                <w:rFonts w:eastAsia="Calibri"/>
                <w:sz w:val="22"/>
                <w:lang w:val="en-NZ"/>
              </w:rPr>
            </w:pPr>
            <w:r>
              <w:rPr>
                <w:rFonts w:eastAsia="Calibri"/>
                <w:sz w:val="22"/>
                <w:lang w:val="en-NZ"/>
              </w:rPr>
              <w:t>$0.5-1.0m per annum</w:t>
            </w:r>
            <w:r w:rsidR="00386F87">
              <w:rPr>
                <w:rFonts w:eastAsia="Calibri"/>
                <w:sz w:val="22"/>
                <w:lang w:val="en-NZ"/>
              </w:rPr>
              <w:t xml:space="preserve"> + $2 per ticket per event</w:t>
            </w:r>
          </w:p>
        </w:tc>
      </w:tr>
      <w:tr w:rsidR="00FB21EF" w:rsidRPr="00A864A5" w14:paraId="29DD3727" w14:textId="77777777" w:rsidTr="0040497A">
        <w:trPr>
          <w:trHeight w:val="263"/>
        </w:trPr>
        <w:tc>
          <w:tcPr>
            <w:tcW w:w="3114" w:type="dxa"/>
            <w:shd w:val="clear" w:color="auto" w:fill="auto"/>
          </w:tcPr>
          <w:p w14:paraId="0695EFD3" w14:textId="77777777" w:rsidR="00FB21EF" w:rsidRPr="00A864A5" w:rsidRDefault="00FB21EF" w:rsidP="00FB21EF">
            <w:pPr>
              <w:pStyle w:val="TableText"/>
              <w:keepNext/>
              <w:rPr>
                <w:rFonts w:eastAsia="Calibri"/>
                <w:b/>
                <w:sz w:val="22"/>
                <w:lang w:val="en-NZ"/>
              </w:rPr>
            </w:pPr>
            <w:r w:rsidRPr="00A864A5">
              <w:rPr>
                <w:rFonts w:eastAsia="Calibri"/>
                <w:b/>
                <w:sz w:val="22"/>
                <w:lang w:val="en-NZ"/>
              </w:rPr>
              <w:t xml:space="preserve">Non-monetised costs </w:t>
            </w:r>
          </w:p>
        </w:tc>
        <w:tc>
          <w:tcPr>
            <w:tcW w:w="3297" w:type="dxa"/>
            <w:shd w:val="clear" w:color="auto" w:fill="auto"/>
          </w:tcPr>
          <w:p w14:paraId="411E2FD8" w14:textId="77777777" w:rsidR="00FB21EF" w:rsidRPr="00A864A5" w:rsidRDefault="00FB21EF" w:rsidP="00FB21EF">
            <w:pPr>
              <w:pStyle w:val="TableText"/>
              <w:keepNext/>
              <w:rPr>
                <w:rFonts w:eastAsia="Calibri"/>
                <w:i/>
                <w:sz w:val="22"/>
                <w:lang w:val="en-NZ"/>
              </w:rPr>
            </w:pPr>
          </w:p>
        </w:tc>
        <w:tc>
          <w:tcPr>
            <w:tcW w:w="2556" w:type="dxa"/>
            <w:shd w:val="clear" w:color="auto" w:fill="auto"/>
          </w:tcPr>
          <w:p w14:paraId="3E1E422B" w14:textId="3F74379B" w:rsidR="00FB21EF" w:rsidRPr="00E22F09" w:rsidRDefault="00E22F09" w:rsidP="00FB21EF">
            <w:pPr>
              <w:pStyle w:val="TableText"/>
              <w:keepNext/>
              <w:rPr>
                <w:rFonts w:eastAsia="Calibri"/>
                <w:iCs/>
                <w:sz w:val="22"/>
                <w:lang w:val="en-NZ"/>
              </w:rPr>
            </w:pPr>
            <w:r>
              <w:rPr>
                <w:rFonts w:eastAsia="Calibri"/>
                <w:iCs/>
                <w:sz w:val="22"/>
                <w:lang w:val="en-NZ"/>
              </w:rPr>
              <w:t>Medium</w:t>
            </w:r>
          </w:p>
        </w:tc>
      </w:tr>
      <w:tr w:rsidR="00FB21EF" w:rsidRPr="00A864A5" w14:paraId="6B593367" w14:textId="77777777" w:rsidTr="00556893">
        <w:trPr>
          <w:trHeight w:val="263"/>
        </w:trPr>
        <w:tc>
          <w:tcPr>
            <w:tcW w:w="8967" w:type="dxa"/>
            <w:gridSpan w:val="3"/>
            <w:shd w:val="clear" w:color="auto" w:fill="99CDDD"/>
          </w:tcPr>
          <w:p w14:paraId="26998A3E" w14:textId="7F360627" w:rsidR="00FB21EF" w:rsidRPr="00A864A5" w:rsidRDefault="00FB21EF" w:rsidP="00FB21EF">
            <w:pPr>
              <w:spacing w:before="40" w:after="20" w:line="240" w:lineRule="auto"/>
              <w:rPr>
                <w:rFonts w:ascii="Arial Narrow" w:eastAsia="Calibri" w:hAnsi="Arial Narrow"/>
                <w:b/>
                <w:bCs/>
                <w:szCs w:val="22"/>
                <w:lang w:val="en-NZ"/>
              </w:rPr>
            </w:pPr>
            <w:r>
              <w:rPr>
                <w:rFonts w:eastAsia="Calibri"/>
                <w:b/>
                <w:bCs/>
                <w:color w:val="000000"/>
                <w:szCs w:val="22"/>
                <w:lang w:val="en-NZ"/>
              </w:rPr>
              <w:t>Additional b</w:t>
            </w:r>
            <w:r w:rsidRPr="00A864A5">
              <w:rPr>
                <w:rFonts w:eastAsia="Calibri"/>
                <w:b/>
                <w:bCs/>
                <w:color w:val="000000"/>
                <w:szCs w:val="22"/>
                <w:lang w:val="en-NZ"/>
              </w:rPr>
              <w:t xml:space="preserve">enefits of the preferred option compared to </w:t>
            </w:r>
            <w:r>
              <w:rPr>
                <w:rFonts w:eastAsia="Calibri"/>
                <w:b/>
                <w:bCs/>
                <w:color w:val="000000"/>
                <w:szCs w:val="22"/>
                <w:lang w:val="en-NZ"/>
              </w:rPr>
              <w:t>taking no action</w:t>
            </w:r>
          </w:p>
        </w:tc>
      </w:tr>
      <w:tr w:rsidR="00B23C4C" w:rsidRPr="00A864A5" w14:paraId="42F7BD29" w14:textId="77777777" w:rsidTr="0040497A">
        <w:trPr>
          <w:trHeight w:val="381"/>
        </w:trPr>
        <w:tc>
          <w:tcPr>
            <w:tcW w:w="3114" w:type="dxa"/>
            <w:shd w:val="clear" w:color="auto" w:fill="auto"/>
          </w:tcPr>
          <w:p w14:paraId="5815F02D" w14:textId="468F2981" w:rsidR="00B23C4C" w:rsidRPr="00A864A5" w:rsidRDefault="00B23C4C" w:rsidP="00B23C4C">
            <w:pPr>
              <w:pStyle w:val="TableText"/>
              <w:rPr>
                <w:rFonts w:eastAsia="Calibri"/>
                <w:sz w:val="22"/>
                <w:lang w:val="en-NZ"/>
              </w:rPr>
            </w:pPr>
            <w:r w:rsidRPr="00A864A5">
              <w:rPr>
                <w:rFonts w:eastAsia="Calibri"/>
                <w:sz w:val="22"/>
                <w:lang w:val="en-NZ"/>
              </w:rPr>
              <w:t>Regulated groups</w:t>
            </w:r>
            <w:r>
              <w:rPr>
                <w:rFonts w:eastAsia="Calibri"/>
                <w:sz w:val="22"/>
                <w:lang w:val="en-NZ"/>
              </w:rPr>
              <w:t xml:space="preserve"> – drug checking service providers</w:t>
            </w:r>
          </w:p>
        </w:tc>
        <w:tc>
          <w:tcPr>
            <w:tcW w:w="3297" w:type="dxa"/>
            <w:shd w:val="clear" w:color="auto" w:fill="auto"/>
          </w:tcPr>
          <w:p w14:paraId="5CABCEA1" w14:textId="626BA809" w:rsidR="00B23C4C" w:rsidRPr="00A864A5" w:rsidRDefault="00B23C4C" w:rsidP="00B23C4C">
            <w:pPr>
              <w:pStyle w:val="TableText"/>
              <w:rPr>
                <w:rFonts w:eastAsia="Calibri"/>
                <w:sz w:val="22"/>
                <w:lang w:val="en-NZ"/>
              </w:rPr>
            </w:pPr>
            <w:r>
              <w:rPr>
                <w:rFonts w:eastAsia="Calibri"/>
                <w:sz w:val="22"/>
                <w:lang w:val="en-NZ"/>
              </w:rPr>
              <w:t>Legal certainty will make their work easier and should make it easier to raise money</w:t>
            </w:r>
          </w:p>
        </w:tc>
        <w:tc>
          <w:tcPr>
            <w:tcW w:w="2556" w:type="dxa"/>
            <w:shd w:val="clear" w:color="auto" w:fill="auto"/>
          </w:tcPr>
          <w:p w14:paraId="4622DFFD" w14:textId="05022993" w:rsidR="00B23C4C" w:rsidRPr="00A864A5" w:rsidRDefault="00B23C4C" w:rsidP="00B23C4C">
            <w:pPr>
              <w:pStyle w:val="TableText"/>
              <w:rPr>
                <w:rFonts w:eastAsia="Calibri"/>
                <w:sz w:val="22"/>
                <w:lang w:val="en-NZ"/>
              </w:rPr>
            </w:pPr>
            <w:r>
              <w:rPr>
                <w:rFonts w:eastAsia="Calibri"/>
                <w:sz w:val="22"/>
                <w:lang w:val="en-NZ"/>
              </w:rPr>
              <w:t>High</w:t>
            </w:r>
          </w:p>
        </w:tc>
      </w:tr>
      <w:tr w:rsidR="00B23C4C" w:rsidRPr="00A864A5" w14:paraId="4C7C04C2" w14:textId="77777777" w:rsidTr="0040497A">
        <w:trPr>
          <w:trHeight w:val="381"/>
        </w:trPr>
        <w:tc>
          <w:tcPr>
            <w:tcW w:w="3114" w:type="dxa"/>
            <w:shd w:val="clear" w:color="auto" w:fill="auto"/>
          </w:tcPr>
          <w:p w14:paraId="0AF6E2C5" w14:textId="6C83A49C" w:rsidR="00B23C4C" w:rsidRPr="00A864A5" w:rsidRDefault="00B23C4C" w:rsidP="00B23C4C">
            <w:pPr>
              <w:pStyle w:val="TableText"/>
              <w:rPr>
                <w:rFonts w:eastAsia="Calibri"/>
                <w:sz w:val="22"/>
                <w:lang w:val="en-NZ"/>
              </w:rPr>
            </w:pPr>
            <w:r w:rsidRPr="00A864A5">
              <w:rPr>
                <w:rFonts w:eastAsia="Calibri"/>
                <w:sz w:val="22"/>
                <w:lang w:val="en-NZ"/>
              </w:rPr>
              <w:t>Regulator</w:t>
            </w:r>
            <w:r>
              <w:rPr>
                <w:rFonts w:eastAsia="Calibri"/>
                <w:sz w:val="22"/>
                <w:lang w:val="en-NZ"/>
              </w:rPr>
              <w:t xml:space="preserve"> – Ministry of Health</w:t>
            </w:r>
          </w:p>
        </w:tc>
        <w:tc>
          <w:tcPr>
            <w:tcW w:w="3297" w:type="dxa"/>
            <w:shd w:val="clear" w:color="auto" w:fill="auto"/>
          </w:tcPr>
          <w:p w14:paraId="3C664F72" w14:textId="35560766" w:rsidR="00B23C4C" w:rsidRPr="00A864A5" w:rsidRDefault="00B23C4C" w:rsidP="00B23C4C">
            <w:pPr>
              <w:pStyle w:val="TableText"/>
              <w:rPr>
                <w:rFonts w:eastAsia="Calibri"/>
                <w:sz w:val="22"/>
                <w:lang w:val="en-NZ"/>
              </w:rPr>
            </w:pPr>
            <w:r>
              <w:rPr>
                <w:rFonts w:eastAsia="Calibri"/>
                <w:sz w:val="22"/>
                <w:lang w:val="en-NZ"/>
              </w:rPr>
              <w:t>Assurance that good quality services are being delivered</w:t>
            </w:r>
          </w:p>
        </w:tc>
        <w:tc>
          <w:tcPr>
            <w:tcW w:w="2556" w:type="dxa"/>
            <w:shd w:val="clear" w:color="auto" w:fill="auto"/>
          </w:tcPr>
          <w:p w14:paraId="3C02A4E0" w14:textId="5669520E" w:rsidR="00B23C4C" w:rsidRPr="00A864A5" w:rsidRDefault="00B23C4C" w:rsidP="00B23C4C">
            <w:pPr>
              <w:pStyle w:val="TableText"/>
              <w:rPr>
                <w:rFonts w:eastAsia="Calibri"/>
                <w:sz w:val="22"/>
                <w:lang w:val="en-NZ"/>
              </w:rPr>
            </w:pPr>
            <w:r>
              <w:rPr>
                <w:rFonts w:eastAsia="Calibri"/>
                <w:sz w:val="22"/>
                <w:lang w:val="en-NZ"/>
              </w:rPr>
              <w:t>Medium</w:t>
            </w:r>
          </w:p>
        </w:tc>
      </w:tr>
      <w:tr w:rsidR="00B23C4C" w:rsidRPr="00A864A5" w14:paraId="6729003C" w14:textId="77777777" w:rsidTr="0040497A">
        <w:trPr>
          <w:trHeight w:val="263"/>
        </w:trPr>
        <w:tc>
          <w:tcPr>
            <w:tcW w:w="3114" w:type="dxa"/>
            <w:shd w:val="clear" w:color="auto" w:fill="auto"/>
          </w:tcPr>
          <w:p w14:paraId="59BC8D76" w14:textId="0B5E799C" w:rsidR="00B23C4C" w:rsidRPr="00A864A5" w:rsidRDefault="00B23C4C" w:rsidP="00B23C4C">
            <w:pPr>
              <w:pStyle w:val="TableText"/>
              <w:rPr>
                <w:rFonts w:eastAsia="Calibri"/>
                <w:sz w:val="22"/>
                <w:lang w:val="en-NZ"/>
              </w:rPr>
            </w:pPr>
            <w:r w:rsidRPr="00A864A5">
              <w:rPr>
                <w:rFonts w:eastAsia="Calibri"/>
                <w:color w:val="000000"/>
                <w:sz w:val="22"/>
                <w:lang w:val="en-NZ"/>
              </w:rPr>
              <w:t>Other groups</w:t>
            </w:r>
          </w:p>
        </w:tc>
        <w:tc>
          <w:tcPr>
            <w:tcW w:w="3297" w:type="dxa"/>
            <w:shd w:val="clear" w:color="auto" w:fill="auto"/>
          </w:tcPr>
          <w:p w14:paraId="209B3AED" w14:textId="211DBF28" w:rsidR="00B23C4C" w:rsidRDefault="00B23C4C" w:rsidP="00B23C4C">
            <w:pPr>
              <w:pStyle w:val="TableText"/>
              <w:rPr>
                <w:rFonts w:eastAsia="Calibri"/>
                <w:sz w:val="22"/>
                <w:lang w:val="en-NZ"/>
              </w:rPr>
            </w:pPr>
            <w:r>
              <w:rPr>
                <w:rFonts w:eastAsia="Calibri"/>
                <w:sz w:val="22"/>
                <w:lang w:val="en-NZ"/>
              </w:rPr>
              <w:t>Consumers of illegal drugs will benefit from knowing what they are consuming, being able to avoid dangerous drugs, and generally being able to reduce risk and harm</w:t>
            </w:r>
          </w:p>
          <w:p w14:paraId="65945EC0" w14:textId="240DA53D" w:rsidR="00B23C4C" w:rsidRDefault="00B23C4C" w:rsidP="00B23C4C">
            <w:pPr>
              <w:pStyle w:val="TableText"/>
              <w:rPr>
                <w:rFonts w:eastAsia="Calibri"/>
                <w:sz w:val="22"/>
                <w:lang w:val="en-NZ"/>
              </w:rPr>
            </w:pPr>
            <w:r>
              <w:rPr>
                <w:rFonts w:eastAsia="Calibri"/>
                <w:sz w:val="22"/>
                <w:lang w:val="en-NZ"/>
              </w:rPr>
              <w:lastRenderedPageBreak/>
              <w:t xml:space="preserve">Health system </w:t>
            </w:r>
            <w:r w:rsidR="00BF4731">
              <w:rPr>
                <w:rFonts w:eastAsia="Calibri"/>
                <w:sz w:val="22"/>
                <w:lang w:val="en-NZ"/>
              </w:rPr>
              <w:t xml:space="preserve">and wider society </w:t>
            </w:r>
            <w:r>
              <w:rPr>
                <w:rFonts w:eastAsia="Calibri"/>
                <w:sz w:val="22"/>
                <w:lang w:val="en-NZ"/>
              </w:rPr>
              <w:t xml:space="preserve">will benefit from fewer drug related health events </w:t>
            </w:r>
          </w:p>
          <w:p w14:paraId="3403F597" w14:textId="77777777" w:rsidR="00B23C4C" w:rsidRDefault="00B23C4C" w:rsidP="00B23C4C">
            <w:pPr>
              <w:pStyle w:val="TableText"/>
              <w:rPr>
                <w:rFonts w:eastAsia="Calibri"/>
                <w:sz w:val="22"/>
                <w:lang w:val="en-NZ"/>
              </w:rPr>
            </w:pPr>
            <w:r>
              <w:rPr>
                <w:rFonts w:eastAsia="Calibri"/>
                <w:sz w:val="22"/>
                <w:lang w:val="en-NZ"/>
              </w:rPr>
              <w:t>Drug checking hosts will benefit from fewer drug related incidents</w:t>
            </w:r>
          </w:p>
          <w:p w14:paraId="318BDF01" w14:textId="6B737F18" w:rsidR="00B23C4C" w:rsidRPr="00A864A5" w:rsidRDefault="00B23C4C" w:rsidP="00B23C4C">
            <w:pPr>
              <w:pStyle w:val="TableText"/>
              <w:rPr>
                <w:rFonts w:eastAsia="Calibri"/>
                <w:sz w:val="22"/>
                <w:lang w:val="en-NZ"/>
              </w:rPr>
            </w:pPr>
            <w:r>
              <w:rPr>
                <w:rFonts w:eastAsia="Calibri"/>
                <w:sz w:val="22"/>
                <w:lang w:val="en-NZ"/>
              </w:rPr>
              <w:t>Police will benefit from information derived from drug checking tests</w:t>
            </w:r>
          </w:p>
        </w:tc>
        <w:tc>
          <w:tcPr>
            <w:tcW w:w="2556" w:type="dxa"/>
            <w:shd w:val="clear" w:color="auto" w:fill="auto"/>
          </w:tcPr>
          <w:p w14:paraId="77E23988" w14:textId="77777777" w:rsidR="00B23C4C" w:rsidRDefault="00B23C4C" w:rsidP="00B23C4C">
            <w:pPr>
              <w:pStyle w:val="TableText"/>
              <w:rPr>
                <w:rFonts w:eastAsia="Calibri"/>
                <w:sz w:val="22"/>
                <w:lang w:val="en-NZ"/>
              </w:rPr>
            </w:pPr>
            <w:r>
              <w:rPr>
                <w:rFonts w:eastAsia="Calibri"/>
                <w:sz w:val="22"/>
                <w:lang w:val="en-NZ"/>
              </w:rPr>
              <w:lastRenderedPageBreak/>
              <w:t>High</w:t>
            </w:r>
          </w:p>
          <w:p w14:paraId="1680AEDF" w14:textId="77777777" w:rsidR="00B23C4C" w:rsidRDefault="00B23C4C" w:rsidP="00B23C4C">
            <w:pPr>
              <w:pStyle w:val="TableText"/>
              <w:rPr>
                <w:rFonts w:eastAsia="Calibri"/>
                <w:sz w:val="22"/>
                <w:lang w:val="en-NZ"/>
              </w:rPr>
            </w:pPr>
          </w:p>
          <w:p w14:paraId="5023B8F8" w14:textId="0D3B12C3" w:rsidR="00B23C4C" w:rsidRDefault="00B23C4C" w:rsidP="00B23C4C">
            <w:pPr>
              <w:pStyle w:val="TableText"/>
              <w:rPr>
                <w:rFonts w:eastAsia="Calibri"/>
                <w:sz w:val="22"/>
                <w:lang w:val="en-NZ"/>
              </w:rPr>
            </w:pPr>
          </w:p>
          <w:p w14:paraId="2E4B8348" w14:textId="21F81CBA" w:rsidR="00B23C4C" w:rsidRDefault="00B23C4C" w:rsidP="00B23C4C">
            <w:pPr>
              <w:pStyle w:val="TableText"/>
              <w:rPr>
                <w:rFonts w:eastAsia="Calibri"/>
                <w:sz w:val="22"/>
                <w:lang w:val="en-NZ"/>
              </w:rPr>
            </w:pPr>
          </w:p>
          <w:p w14:paraId="4672CE8E" w14:textId="77777777" w:rsidR="00B23C4C" w:rsidRDefault="00B23C4C" w:rsidP="00B23C4C">
            <w:pPr>
              <w:pStyle w:val="TableText"/>
              <w:rPr>
                <w:rFonts w:eastAsia="Calibri"/>
                <w:sz w:val="22"/>
                <w:lang w:val="en-NZ"/>
              </w:rPr>
            </w:pPr>
          </w:p>
          <w:p w14:paraId="49FDB093" w14:textId="506CD803" w:rsidR="00B23C4C" w:rsidRDefault="00B23C4C" w:rsidP="00B23C4C">
            <w:pPr>
              <w:pStyle w:val="TableText"/>
              <w:rPr>
                <w:rFonts w:eastAsia="Calibri"/>
                <w:sz w:val="22"/>
                <w:lang w:val="en-NZ"/>
              </w:rPr>
            </w:pPr>
            <w:r>
              <w:rPr>
                <w:rFonts w:eastAsia="Calibri"/>
                <w:sz w:val="22"/>
                <w:lang w:val="en-NZ"/>
              </w:rPr>
              <w:lastRenderedPageBreak/>
              <w:t>Unknown but probably medium</w:t>
            </w:r>
          </w:p>
          <w:p w14:paraId="21A59144" w14:textId="77777777" w:rsidR="00B23C4C" w:rsidRDefault="00B23C4C" w:rsidP="00B23C4C">
            <w:pPr>
              <w:pStyle w:val="TableText"/>
              <w:rPr>
                <w:rFonts w:eastAsia="Calibri"/>
                <w:sz w:val="22"/>
                <w:lang w:val="en-NZ"/>
              </w:rPr>
            </w:pPr>
          </w:p>
          <w:p w14:paraId="0D906870" w14:textId="77777777" w:rsidR="00B23C4C" w:rsidRDefault="00B23C4C" w:rsidP="00B23C4C">
            <w:pPr>
              <w:pStyle w:val="TableText"/>
              <w:rPr>
                <w:rFonts w:eastAsia="Calibri"/>
                <w:sz w:val="22"/>
                <w:lang w:val="en-NZ"/>
              </w:rPr>
            </w:pPr>
            <w:r>
              <w:rPr>
                <w:rFonts w:eastAsia="Calibri"/>
                <w:sz w:val="22"/>
                <w:lang w:val="en-NZ"/>
              </w:rPr>
              <w:t>High</w:t>
            </w:r>
          </w:p>
          <w:p w14:paraId="2FAB78D2" w14:textId="77777777" w:rsidR="00B23C4C" w:rsidRDefault="00B23C4C" w:rsidP="00B23C4C">
            <w:pPr>
              <w:pStyle w:val="TableText"/>
              <w:rPr>
                <w:rFonts w:eastAsia="Calibri"/>
                <w:sz w:val="22"/>
                <w:lang w:val="en-NZ"/>
              </w:rPr>
            </w:pPr>
          </w:p>
          <w:p w14:paraId="18F023ED" w14:textId="77777777" w:rsidR="00B23C4C" w:rsidRDefault="00B23C4C" w:rsidP="00B23C4C">
            <w:pPr>
              <w:pStyle w:val="TableText"/>
              <w:rPr>
                <w:rFonts w:eastAsia="Calibri"/>
                <w:sz w:val="22"/>
                <w:lang w:val="en-NZ"/>
              </w:rPr>
            </w:pPr>
          </w:p>
          <w:p w14:paraId="5DF6FBDC" w14:textId="5F2D811B" w:rsidR="00B23C4C" w:rsidRPr="00A864A5" w:rsidRDefault="00B23C4C" w:rsidP="00B23C4C">
            <w:pPr>
              <w:pStyle w:val="TableText"/>
              <w:rPr>
                <w:rFonts w:eastAsia="Calibri"/>
                <w:sz w:val="22"/>
                <w:lang w:val="en-NZ"/>
              </w:rPr>
            </w:pPr>
            <w:r>
              <w:rPr>
                <w:rFonts w:eastAsia="Calibri"/>
                <w:sz w:val="22"/>
                <w:lang w:val="en-NZ"/>
              </w:rPr>
              <w:t>Medium</w:t>
            </w:r>
          </w:p>
        </w:tc>
      </w:tr>
      <w:tr w:rsidR="00B23C4C" w:rsidRPr="00A864A5" w14:paraId="6B967F63" w14:textId="77777777" w:rsidTr="0040497A">
        <w:trPr>
          <w:trHeight w:val="263"/>
        </w:trPr>
        <w:tc>
          <w:tcPr>
            <w:tcW w:w="3114" w:type="dxa"/>
            <w:shd w:val="clear" w:color="auto" w:fill="auto"/>
          </w:tcPr>
          <w:p w14:paraId="2AFAEB6B" w14:textId="298B09B9" w:rsidR="00B23C4C" w:rsidRPr="00A864A5" w:rsidRDefault="00B23C4C" w:rsidP="00B23C4C">
            <w:pPr>
              <w:pStyle w:val="TableText"/>
              <w:rPr>
                <w:rFonts w:eastAsia="Calibri"/>
                <w:b/>
                <w:sz w:val="22"/>
                <w:lang w:val="en-NZ"/>
              </w:rPr>
            </w:pPr>
            <w:r w:rsidRPr="00A864A5">
              <w:rPr>
                <w:rFonts w:eastAsia="Calibri"/>
                <w:b/>
                <w:sz w:val="22"/>
                <w:lang w:val="en-NZ"/>
              </w:rPr>
              <w:lastRenderedPageBreak/>
              <w:t>Total monetised benefits</w:t>
            </w:r>
          </w:p>
        </w:tc>
        <w:tc>
          <w:tcPr>
            <w:tcW w:w="3297" w:type="dxa"/>
            <w:shd w:val="clear" w:color="auto" w:fill="auto"/>
          </w:tcPr>
          <w:p w14:paraId="772637BE" w14:textId="77777777" w:rsidR="00B23C4C" w:rsidRPr="00A864A5" w:rsidRDefault="00B23C4C" w:rsidP="00B23C4C">
            <w:pPr>
              <w:pStyle w:val="TableText"/>
              <w:rPr>
                <w:rFonts w:eastAsia="Calibri"/>
                <w:sz w:val="22"/>
                <w:lang w:val="en-NZ"/>
              </w:rPr>
            </w:pPr>
          </w:p>
        </w:tc>
        <w:tc>
          <w:tcPr>
            <w:tcW w:w="2556" w:type="dxa"/>
            <w:shd w:val="clear" w:color="auto" w:fill="auto"/>
          </w:tcPr>
          <w:p w14:paraId="103565FE" w14:textId="77777777" w:rsidR="00B23C4C" w:rsidRPr="00A864A5" w:rsidRDefault="00B23C4C" w:rsidP="00B23C4C">
            <w:pPr>
              <w:pStyle w:val="TableText"/>
              <w:rPr>
                <w:rFonts w:eastAsia="Calibri"/>
                <w:sz w:val="22"/>
                <w:lang w:val="en-NZ"/>
              </w:rPr>
            </w:pPr>
          </w:p>
        </w:tc>
      </w:tr>
      <w:tr w:rsidR="00B23C4C" w:rsidRPr="00A864A5" w14:paraId="245A55D9" w14:textId="77777777" w:rsidTr="00FB21EF">
        <w:trPr>
          <w:trHeight w:val="187"/>
        </w:trPr>
        <w:tc>
          <w:tcPr>
            <w:tcW w:w="3114" w:type="dxa"/>
            <w:shd w:val="clear" w:color="auto" w:fill="auto"/>
          </w:tcPr>
          <w:p w14:paraId="07A1E910" w14:textId="77777777" w:rsidR="00B23C4C" w:rsidRPr="00A864A5" w:rsidRDefault="00B23C4C" w:rsidP="00B23C4C">
            <w:pPr>
              <w:pStyle w:val="TableText"/>
              <w:rPr>
                <w:rFonts w:eastAsia="Calibri"/>
                <w:b/>
                <w:sz w:val="22"/>
                <w:lang w:val="en-NZ"/>
              </w:rPr>
            </w:pPr>
            <w:r w:rsidRPr="00A864A5">
              <w:rPr>
                <w:rFonts w:eastAsia="Calibri"/>
                <w:b/>
                <w:sz w:val="22"/>
                <w:lang w:val="en-NZ"/>
              </w:rPr>
              <w:t>Non-monetised benefits</w:t>
            </w:r>
          </w:p>
        </w:tc>
        <w:tc>
          <w:tcPr>
            <w:tcW w:w="3297" w:type="dxa"/>
            <w:shd w:val="clear" w:color="auto" w:fill="auto"/>
          </w:tcPr>
          <w:p w14:paraId="6976B419" w14:textId="77777777" w:rsidR="00B23C4C" w:rsidRPr="00A864A5" w:rsidRDefault="00B23C4C" w:rsidP="00B23C4C">
            <w:pPr>
              <w:pStyle w:val="TableText"/>
              <w:rPr>
                <w:rFonts w:eastAsia="Calibri"/>
                <w:sz w:val="22"/>
                <w:lang w:val="en-NZ"/>
              </w:rPr>
            </w:pPr>
          </w:p>
        </w:tc>
        <w:tc>
          <w:tcPr>
            <w:tcW w:w="2556" w:type="dxa"/>
            <w:shd w:val="clear" w:color="auto" w:fill="auto"/>
          </w:tcPr>
          <w:p w14:paraId="09E80026" w14:textId="33174E21" w:rsidR="00B23C4C" w:rsidRPr="008E76DB" w:rsidRDefault="00B23C4C" w:rsidP="00B23C4C">
            <w:pPr>
              <w:pStyle w:val="TableText"/>
              <w:rPr>
                <w:rFonts w:eastAsia="Calibri"/>
                <w:iCs/>
                <w:sz w:val="22"/>
                <w:lang w:val="en-NZ"/>
              </w:rPr>
            </w:pPr>
            <w:r>
              <w:rPr>
                <w:rFonts w:eastAsia="Calibri"/>
                <w:iCs/>
                <w:sz w:val="22"/>
                <w:lang w:val="en-NZ"/>
              </w:rPr>
              <w:t>Medium-high</w:t>
            </w:r>
          </w:p>
        </w:tc>
      </w:tr>
    </w:tbl>
    <w:tbl>
      <w:tblPr>
        <w:tblW w:w="4948"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8956"/>
      </w:tblGrid>
      <w:tr w:rsidR="00556893" w:rsidRPr="00A864A5" w14:paraId="037C141B" w14:textId="77777777" w:rsidTr="00954259">
        <w:tc>
          <w:tcPr>
            <w:tcW w:w="5000" w:type="pct"/>
            <w:tcBorders>
              <w:left w:val="single" w:sz="8" w:space="0" w:color="99CDDD"/>
              <w:bottom w:val="single" w:sz="4" w:space="0" w:color="DDDDDD"/>
              <w:right w:val="single" w:sz="8" w:space="0" w:color="99CDDD"/>
            </w:tcBorders>
            <w:shd w:val="clear" w:color="auto" w:fill="99CDDD"/>
            <w:hideMark/>
          </w:tcPr>
          <w:p w14:paraId="28F96A9F" w14:textId="7C8376AA" w:rsidR="00556893" w:rsidRPr="00A864A5" w:rsidRDefault="00D052EF" w:rsidP="00FF135D">
            <w:pPr>
              <w:pStyle w:val="TableHeadings"/>
              <w:rPr>
                <w:color w:val="002060"/>
                <w:szCs w:val="22"/>
                <w:lang w:val="en-NZ"/>
              </w:rPr>
            </w:pPr>
            <w:r w:rsidRPr="00A864A5">
              <w:rPr>
                <w:szCs w:val="22"/>
                <w:lang w:val="en-NZ"/>
              </w:rPr>
              <w:t>Further comments</w:t>
            </w:r>
          </w:p>
        </w:tc>
      </w:tr>
      <w:tr w:rsidR="00556893" w:rsidRPr="00A864A5" w14:paraId="1B95B42E" w14:textId="77777777" w:rsidTr="00FB21EF">
        <w:trPr>
          <w:trHeight w:val="1048"/>
        </w:trPr>
        <w:tc>
          <w:tcPr>
            <w:tcW w:w="5000" w:type="pct"/>
            <w:tcBorders>
              <w:top w:val="nil"/>
              <w:left w:val="single" w:sz="8" w:space="0" w:color="99CDDD"/>
              <w:bottom w:val="single" w:sz="8" w:space="0" w:color="99CDDD"/>
              <w:right w:val="single" w:sz="4" w:space="0" w:color="99CDDD"/>
            </w:tcBorders>
            <w:shd w:val="clear" w:color="auto" w:fill="auto"/>
          </w:tcPr>
          <w:p w14:paraId="0C560973" w14:textId="4A2DD83F" w:rsidR="00AE12DD" w:rsidRDefault="000D0A53" w:rsidP="00FF135D">
            <w:pPr>
              <w:spacing w:after="180"/>
              <w:rPr>
                <w:rFonts w:cs="Arial"/>
                <w:iCs/>
                <w:color w:val="000000"/>
                <w:szCs w:val="22"/>
                <w:lang w:val="en-NZ"/>
              </w:rPr>
            </w:pPr>
            <w:r>
              <w:rPr>
                <w:rFonts w:cs="Arial"/>
                <w:iCs/>
                <w:color w:val="000000"/>
                <w:szCs w:val="22"/>
                <w:lang w:val="en-NZ"/>
              </w:rPr>
              <w:t xml:space="preserve">The key benefit of drug checking is the </w:t>
            </w:r>
            <w:r w:rsidR="00DD6599">
              <w:rPr>
                <w:rFonts w:cs="Arial"/>
                <w:iCs/>
                <w:color w:val="000000"/>
                <w:szCs w:val="22"/>
                <w:lang w:val="en-NZ"/>
              </w:rPr>
              <w:t>reduction</w:t>
            </w:r>
            <w:r>
              <w:rPr>
                <w:rFonts w:cs="Arial"/>
                <w:iCs/>
                <w:color w:val="000000"/>
                <w:szCs w:val="22"/>
                <w:lang w:val="en-NZ"/>
              </w:rPr>
              <w:t xml:space="preserve"> of harm from some types of illicit drugs, particularly those which are being sold as something else (for example synthetic cathinones being sold as MDMA). </w:t>
            </w:r>
            <w:r w:rsidR="00AE12DD">
              <w:rPr>
                <w:rFonts w:cs="Arial"/>
                <w:iCs/>
                <w:color w:val="000000"/>
                <w:szCs w:val="22"/>
                <w:lang w:val="en-NZ"/>
              </w:rPr>
              <w:t xml:space="preserve">One study in the United Kingdom showed a 95% reduction in drug-related hospitalisations from one festival after drug checking was introduced. </w:t>
            </w:r>
          </w:p>
          <w:p w14:paraId="2CB0F437" w14:textId="506C7103" w:rsidR="00556893" w:rsidRPr="00A864A5" w:rsidRDefault="0080263E" w:rsidP="00FF135D">
            <w:pPr>
              <w:spacing w:after="180"/>
              <w:rPr>
                <w:rFonts w:cs="Arial"/>
                <w:iCs/>
                <w:color w:val="000000"/>
                <w:szCs w:val="22"/>
                <w:lang w:val="en-NZ"/>
              </w:rPr>
            </w:pPr>
            <w:r>
              <w:rPr>
                <w:rFonts w:cs="Arial"/>
                <w:iCs/>
                <w:color w:val="000000"/>
                <w:szCs w:val="22"/>
                <w:lang w:val="en-NZ"/>
              </w:rPr>
              <w:t>New Zealand does not collect</w:t>
            </w:r>
            <w:r w:rsidR="000D0A53">
              <w:rPr>
                <w:rFonts w:cs="Arial"/>
                <w:iCs/>
                <w:color w:val="000000"/>
                <w:szCs w:val="22"/>
                <w:lang w:val="en-NZ"/>
              </w:rPr>
              <w:t xml:space="preserve"> data on harm from </w:t>
            </w:r>
            <w:r>
              <w:rPr>
                <w:rFonts w:cs="Arial"/>
                <w:iCs/>
                <w:color w:val="000000"/>
                <w:szCs w:val="22"/>
                <w:lang w:val="en-NZ"/>
              </w:rPr>
              <w:t>specific</w:t>
            </w:r>
            <w:r w:rsidR="000D0A53">
              <w:rPr>
                <w:rFonts w:cs="Arial"/>
                <w:iCs/>
                <w:color w:val="000000"/>
                <w:szCs w:val="22"/>
                <w:lang w:val="en-NZ"/>
              </w:rPr>
              <w:t xml:space="preserve"> drugs</w:t>
            </w:r>
            <w:r>
              <w:rPr>
                <w:rFonts w:cs="Arial"/>
                <w:iCs/>
                <w:color w:val="000000"/>
                <w:szCs w:val="22"/>
                <w:lang w:val="en-NZ"/>
              </w:rPr>
              <w:t>,</w:t>
            </w:r>
            <w:r w:rsidR="000D0A53">
              <w:rPr>
                <w:rFonts w:cs="Arial"/>
                <w:iCs/>
                <w:color w:val="000000"/>
                <w:szCs w:val="22"/>
                <w:lang w:val="en-NZ"/>
              </w:rPr>
              <w:t xml:space="preserve"> so </w:t>
            </w:r>
            <w:r>
              <w:rPr>
                <w:rFonts w:cs="Arial"/>
                <w:iCs/>
                <w:color w:val="000000"/>
                <w:szCs w:val="22"/>
                <w:lang w:val="en-NZ"/>
              </w:rPr>
              <w:t xml:space="preserve">it is not possible to </w:t>
            </w:r>
            <w:r w:rsidR="00190CA3">
              <w:rPr>
                <w:rFonts w:cs="Arial"/>
                <w:iCs/>
                <w:color w:val="000000"/>
                <w:szCs w:val="22"/>
                <w:lang w:val="en-NZ"/>
              </w:rPr>
              <w:t xml:space="preserve">meaningfully </w:t>
            </w:r>
            <w:r>
              <w:rPr>
                <w:rFonts w:cs="Arial"/>
                <w:iCs/>
                <w:color w:val="000000"/>
                <w:szCs w:val="22"/>
                <w:lang w:val="en-NZ"/>
              </w:rPr>
              <w:t>estimate</w:t>
            </w:r>
            <w:r w:rsidR="000D0A53">
              <w:rPr>
                <w:rFonts w:cs="Arial"/>
                <w:iCs/>
                <w:color w:val="000000"/>
                <w:szCs w:val="22"/>
                <w:lang w:val="en-NZ"/>
              </w:rPr>
              <w:t xml:space="preserve"> how much harm could be prevented. </w:t>
            </w:r>
          </w:p>
        </w:tc>
      </w:tr>
    </w:tbl>
    <w:p w14:paraId="75F637CC" w14:textId="7F309C24" w:rsidR="00A0728D" w:rsidRPr="00A864A5" w:rsidRDefault="00417B4A" w:rsidP="00556893">
      <w:pPr>
        <w:pStyle w:val="Heading2"/>
        <w:rPr>
          <w:lang w:val="en-NZ"/>
        </w:rPr>
      </w:pPr>
      <w:r w:rsidRPr="00A864A5">
        <w:rPr>
          <w:lang w:val="en-NZ"/>
        </w:rPr>
        <w:t xml:space="preserve">Section </w:t>
      </w:r>
      <w:r w:rsidR="00D62B30" w:rsidRPr="00A864A5">
        <w:rPr>
          <w:lang w:val="en-NZ"/>
        </w:rPr>
        <w:t>3</w:t>
      </w:r>
      <w:r w:rsidRPr="00A864A5">
        <w:rPr>
          <w:lang w:val="en-NZ"/>
        </w:rPr>
        <w:t>: Implement</w:t>
      </w:r>
      <w:r w:rsidR="00A0728D" w:rsidRPr="00A864A5">
        <w:rPr>
          <w:lang w:val="en-NZ"/>
        </w:rPr>
        <w:t xml:space="preserve">ing the </w:t>
      </w:r>
      <w:r w:rsidR="008D22EF" w:rsidRPr="00A864A5">
        <w:rPr>
          <w:lang w:val="en-NZ"/>
        </w:rPr>
        <w:t>preferred option</w:t>
      </w:r>
    </w:p>
    <w:p w14:paraId="77D8CE5A" w14:textId="5DE0FD0F" w:rsidR="006B5794" w:rsidRPr="00A864A5" w:rsidRDefault="00A16B89" w:rsidP="006B5794">
      <w:pPr>
        <w:pStyle w:val="Heading3"/>
        <w:rPr>
          <w:lang w:val="en-NZ"/>
        </w:rPr>
      </w:pPr>
      <w:r w:rsidRPr="00A864A5">
        <w:rPr>
          <w:lang w:val="en-NZ"/>
        </w:rPr>
        <w:t>How will it be implemented?</w:t>
      </w:r>
    </w:p>
    <w:p w14:paraId="69CFC03F" w14:textId="303922D5" w:rsidR="00A063BE" w:rsidRDefault="00235CE1" w:rsidP="00CB3AC3">
      <w:pPr>
        <w:rPr>
          <w:lang w:val="en-NZ"/>
        </w:rPr>
      </w:pPr>
      <w:r>
        <w:rPr>
          <w:lang w:val="en-NZ"/>
        </w:rPr>
        <w:t xml:space="preserve">The licence system will be operated </w:t>
      </w:r>
      <w:r w:rsidR="00914C4E">
        <w:rPr>
          <w:lang w:val="en-NZ"/>
        </w:rPr>
        <w:t xml:space="preserve">within the Ministry of Health. </w:t>
      </w:r>
      <w:r w:rsidR="00443E86">
        <w:rPr>
          <w:lang w:val="en-NZ"/>
        </w:rPr>
        <w:t xml:space="preserve">It is expected that the number of licence applications will be low, so </w:t>
      </w:r>
      <w:r w:rsidR="00866216">
        <w:rPr>
          <w:lang w:val="en-NZ"/>
        </w:rPr>
        <w:t>a</w:t>
      </w:r>
      <w:r w:rsidR="00914C4E">
        <w:rPr>
          <w:lang w:val="en-NZ"/>
        </w:rPr>
        <w:t xml:space="preserve">ssessment of licence applications </w:t>
      </w:r>
      <w:r w:rsidR="00866216">
        <w:rPr>
          <w:lang w:val="en-NZ"/>
        </w:rPr>
        <w:t>can</w:t>
      </w:r>
      <w:r w:rsidR="00914C4E">
        <w:rPr>
          <w:lang w:val="en-NZ"/>
        </w:rPr>
        <w:t xml:space="preserve"> be carried out by an ad hoc committee</w:t>
      </w:r>
      <w:r w:rsidR="00A063BE">
        <w:rPr>
          <w:lang w:val="en-NZ"/>
        </w:rPr>
        <w:t xml:space="preserve"> </w:t>
      </w:r>
      <w:r w:rsidR="00BB0A3B">
        <w:rPr>
          <w:lang w:val="en-NZ"/>
        </w:rPr>
        <w:t xml:space="preserve">of Ministry </w:t>
      </w:r>
      <w:r w:rsidR="00D2773C">
        <w:rPr>
          <w:lang w:val="en-NZ"/>
        </w:rPr>
        <w:t>with</w:t>
      </w:r>
      <w:r w:rsidR="0082314E">
        <w:rPr>
          <w:lang w:val="en-NZ"/>
        </w:rPr>
        <w:t xml:space="preserve"> dedicated</w:t>
      </w:r>
      <w:r w:rsidR="001B06F2">
        <w:rPr>
          <w:lang w:val="en-NZ"/>
        </w:rPr>
        <w:t xml:space="preserve"> analyst and administrative</w:t>
      </w:r>
      <w:r w:rsidR="00594916">
        <w:rPr>
          <w:lang w:val="en-NZ"/>
        </w:rPr>
        <w:t xml:space="preserve"> support</w:t>
      </w:r>
      <w:r w:rsidR="00443E86">
        <w:rPr>
          <w:lang w:val="en-NZ"/>
        </w:rPr>
        <w:t>.</w:t>
      </w:r>
      <w:r w:rsidR="00866216">
        <w:rPr>
          <w:lang w:val="en-NZ"/>
        </w:rPr>
        <w:t xml:space="preserve"> </w:t>
      </w:r>
    </w:p>
    <w:p w14:paraId="6E253A46" w14:textId="2217F8D7" w:rsidR="006B5794" w:rsidRDefault="00866216" w:rsidP="00CB3AC3">
      <w:pPr>
        <w:rPr>
          <w:lang w:val="en-NZ"/>
        </w:rPr>
      </w:pPr>
      <w:r>
        <w:rPr>
          <w:lang w:val="en-NZ"/>
        </w:rPr>
        <w:t xml:space="preserve">Committee membership will be tailored to </w:t>
      </w:r>
      <w:r w:rsidR="00375C8F">
        <w:rPr>
          <w:lang w:val="en-NZ"/>
        </w:rPr>
        <w:t>the proposed services; for example</w:t>
      </w:r>
      <w:r w:rsidR="009E24C2">
        <w:rPr>
          <w:lang w:val="en-NZ"/>
        </w:rPr>
        <w:t>,</w:t>
      </w:r>
      <w:r w:rsidR="00375C8F">
        <w:rPr>
          <w:lang w:val="en-NZ"/>
        </w:rPr>
        <w:t xml:space="preserve"> an application from a kaupapa Māori provider would be assessed by a committee with kaupapa Māori expertise. </w:t>
      </w:r>
      <w:r w:rsidR="00541B0B">
        <w:rPr>
          <w:lang w:val="en-NZ"/>
        </w:rPr>
        <w:t xml:space="preserve">There is potential to appoint </w:t>
      </w:r>
      <w:r w:rsidR="00252043">
        <w:rPr>
          <w:lang w:val="en-NZ"/>
        </w:rPr>
        <w:t xml:space="preserve">committee members who are not Ministry of Health staff, for example if necessary expertise cannot be found within the Ministry. </w:t>
      </w:r>
    </w:p>
    <w:p w14:paraId="5594B43F" w14:textId="0FC5256C" w:rsidR="001D0419" w:rsidRDefault="00BD1516" w:rsidP="00693198">
      <w:pPr>
        <w:rPr>
          <w:lang w:val="en-NZ"/>
        </w:rPr>
      </w:pPr>
      <w:r>
        <w:rPr>
          <w:lang w:val="en-NZ"/>
        </w:rPr>
        <w:t xml:space="preserve">Due to the costs of drug checking technology, </w:t>
      </w:r>
      <w:r w:rsidR="00693198">
        <w:rPr>
          <w:lang w:val="en-NZ"/>
        </w:rPr>
        <w:t xml:space="preserve">drug checking is unlikely to be profitable for providers. </w:t>
      </w:r>
      <w:r w:rsidR="000C5448">
        <w:rPr>
          <w:lang w:val="en-NZ"/>
        </w:rPr>
        <w:t xml:space="preserve">Because of this, there will </w:t>
      </w:r>
      <w:r w:rsidR="00307B91">
        <w:rPr>
          <w:lang w:val="en-NZ"/>
        </w:rPr>
        <w:t xml:space="preserve">either </w:t>
      </w:r>
      <w:r w:rsidR="000C5448">
        <w:rPr>
          <w:lang w:val="en-NZ"/>
        </w:rPr>
        <w:t>be no licence fees</w:t>
      </w:r>
      <w:r w:rsidR="00307B91">
        <w:rPr>
          <w:lang w:val="en-NZ"/>
        </w:rPr>
        <w:t xml:space="preserve">, or </w:t>
      </w:r>
      <w:r w:rsidR="00724768">
        <w:rPr>
          <w:lang w:val="en-NZ"/>
        </w:rPr>
        <w:t xml:space="preserve">low fees. </w:t>
      </w:r>
      <w:r w:rsidR="000C5448">
        <w:rPr>
          <w:lang w:val="en-NZ"/>
        </w:rPr>
        <w:t xml:space="preserve"> </w:t>
      </w:r>
    </w:p>
    <w:p w14:paraId="621B6C1C" w14:textId="77777777" w:rsidR="003F21AB" w:rsidRDefault="00EB5B9E" w:rsidP="00EB5B9E">
      <w:pPr>
        <w:rPr>
          <w:lang w:val="en-NZ"/>
        </w:rPr>
      </w:pPr>
      <w:r>
        <w:rPr>
          <w:lang w:val="en-NZ"/>
        </w:rPr>
        <w:t>The licensing system is still under development. It is expected to have t</w:t>
      </w:r>
      <w:r w:rsidR="00F3225E">
        <w:rPr>
          <w:lang w:val="en-NZ"/>
        </w:rPr>
        <w:t>hree</w:t>
      </w:r>
      <w:r>
        <w:rPr>
          <w:lang w:val="en-NZ"/>
        </w:rPr>
        <w:t xml:space="preserve"> stages</w:t>
      </w:r>
      <w:r w:rsidR="00D9547B">
        <w:rPr>
          <w:lang w:val="en-NZ"/>
        </w:rPr>
        <w:t xml:space="preserve">: </w:t>
      </w:r>
    </w:p>
    <w:p w14:paraId="34DEDBA1" w14:textId="77777777" w:rsidR="003F21AB" w:rsidRDefault="00D9547B" w:rsidP="003F21AB">
      <w:pPr>
        <w:pStyle w:val="ListParagraph"/>
        <w:numPr>
          <w:ilvl w:val="0"/>
          <w:numId w:val="36"/>
        </w:numPr>
        <w:rPr>
          <w:lang w:val="en-NZ"/>
        </w:rPr>
      </w:pPr>
      <w:r w:rsidRPr="003F21AB">
        <w:rPr>
          <w:lang w:val="en-NZ"/>
        </w:rPr>
        <w:t>document review by one person</w:t>
      </w:r>
    </w:p>
    <w:p w14:paraId="72BF55E7" w14:textId="77777777" w:rsidR="003F21AB" w:rsidRDefault="00D9547B" w:rsidP="003F21AB">
      <w:pPr>
        <w:pStyle w:val="ListParagraph"/>
        <w:numPr>
          <w:ilvl w:val="0"/>
          <w:numId w:val="36"/>
        </w:numPr>
        <w:rPr>
          <w:lang w:val="en-NZ"/>
        </w:rPr>
      </w:pPr>
      <w:r w:rsidRPr="003F21AB">
        <w:rPr>
          <w:lang w:val="en-NZ"/>
        </w:rPr>
        <w:t xml:space="preserve">consideration </w:t>
      </w:r>
      <w:r w:rsidR="00F3225E" w:rsidRPr="003F21AB">
        <w:rPr>
          <w:lang w:val="en-NZ"/>
        </w:rPr>
        <w:t xml:space="preserve">and recommendation </w:t>
      </w:r>
      <w:r w:rsidRPr="003F21AB">
        <w:rPr>
          <w:lang w:val="en-NZ"/>
        </w:rPr>
        <w:t>by the committee</w:t>
      </w:r>
    </w:p>
    <w:p w14:paraId="4F99335B" w14:textId="77777777" w:rsidR="003F21AB" w:rsidRDefault="009E24C2" w:rsidP="003F21AB">
      <w:pPr>
        <w:pStyle w:val="ListParagraph"/>
        <w:numPr>
          <w:ilvl w:val="0"/>
          <w:numId w:val="36"/>
        </w:numPr>
        <w:rPr>
          <w:lang w:val="en-NZ"/>
        </w:rPr>
      </w:pPr>
      <w:r w:rsidRPr="003F21AB">
        <w:rPr>
          <w:lang w:val="en-NZ"/>
        </w:rPr>
        <w:t>decision by the Director-General of Health</w:t>
      </w:r>
      <w:r w:rsidR="00D9547B" w:rsidRPr="003F21AB">
        <w:rPr>
          <w:lang w:val="en-NZ"/>
        </w:rPr>
        <w:t xml:space="preserve">. </w:t>
      </w:r>
    </w:p>
    <w:p w14:paraId="1D44AD73" w14:textId="314F7070" w:rsidR="00093F0E" w:rsidRPr="003F21AB" w:rsidRDefault="00C56BDA" w:rsidP="003F21AB">
      <w:pPr>
        <w:rPr>
          <w:lang w:val="en-NZ"/>
        </w:rPr>
      </w:pPr>
      <w:r w:rsidRPr="003F21AB">
        <w:rPr>
          <w:lang w:val="en-NZ"/>
        </w:rPr>
        <w:t xml:space="preserve">There is potential for either </w:t>
      </w:r>
      <w:r w:rsidR="00F3225E" w:rsidRPr="003F21AB">
        <w:rPr>
          <w:lang w:val="en-NZ"/>
        </w:rPr>
        <w:t xml:space="preserve">the first or second </w:t>
      </w:r>
      <w:r w:rsidRPr="003F21AB">
        <w:rPr>
          <w:lang w:val="en-NZ"/>
        </w:rPr>
        <w:t xml:space="preserve">stage to include </w:t>
      </w:r>
      <w:r w:rsidR="00EB370C" w:rsidRPr="003F21AB">
        <w:rPr>
          <w:lang w:val="en-NZ"/>
        </w:rPr>
        <w:t xml:space="preserve">discussion with the applicant, for example to resolve concerns or unanswered questions, or to </w:t>
      </w:r>
      <w:r w:rsidR="00093F0E" w:rsidRPr="003F21AB">
        <w:rPr>
          <w:lang w:val="en-NZ"/>
        </w:rPr>
        <w:t xml:space="preserve">confirm the applicant’s understanding of harm reduction principles. The </w:t>
      </w:r>
      <w:r w:rsidR="00F3225E" w:rsidRPr="003F21AB">
        <w:rPr>
          <w:lang w:val="en-NZ"/>
        </w:rPr>
        <w:t>multi</w:t>
      </w:r>
      <w:r w:rsidR="009E24C2" w:rsidRPr="003F21AB">
        <w:rPr>
          <w:lang w:val="en-NZ"/>
        </w:rPr>
        <w:t>-</w:t>
      </w:r>
      <w:r w:rsidR="00093F0E" w:rsidRPr="003F21AB">
        <w:rPr>
          <w:lang w:val="en-NZ"/>
        </w:rPr>
        <w:t>stage process should eliminate candidate</w:t>
      </w:r>
      <w:r w:rsidR="009E24C2" w:rsidRPr="003F21AB">
        <w:rPr>
          <w:lang w:val="en-NZ"/>
        </w:rPr>
        <w:t>s who clearly do not meet the required standards</w:t>
      </w:r>
      <w:r w:rsidR="00930FFC" w:rsidRPr="003F21AB">
        <w:rPr>
          <w:lang w:val="en-NZ"/>
        </w:rPr>
        <w:t xml:space="preserve"> in the first stage</w:t>
      </w:r>
      <w:r w:rsidR="00093F0E" w:rsidRPr="003F21AB">
        <w:rPr>
          <w:lang w:val="en-NZ"/>
        </w:rPr>
        <w:t xml:space="preserve">. </w:t>
      </w:r>
    </w:p>
    <w:p w14:paraId="1FC20E8E" w14:textId="51C70EDE" w:rsidR="00D55369" w:rsidRPr="00745A9F" w:rsidRDefault="00344D7C" w:rsidP="00745A9F">
      <w:pPr>
        <w:rPr>
          <w:lang w:val="en-NZ"/>
        </w:rPr>
      </w:pPr>
      <w:r>
        <w:rPr>
          <w:lang w:val="en-NZ"/>
        </w:rPr>
        <w:lastRenderedPageBreak/>
        <w:t>The Ministry will work with providers appointed under the current system to ensure a smooth transition. It is likely that it w</w:t>
      </w:r>
      <w:r w:rsidR="00D91EA7">
        <w:rPr>
          <w:lang w:val="en-NZ"/>
        </w:rPr>
        <w:t xml:space="preserve">ill not be possible to grant licences until after the current system expires. </w:t>
      </w:r>
      <w:r w:rsidR="00024603">
        <w:rPr>
          <w:lang w:val="en-NZ"/>
        </w:rPr>
        <w:t>To address this problem, t</w:t>
      </w:r>
      <w:r w:rsidR="00D91EA7">
        <w:rPr>
          <w:lang w:val="en-NZ"/>
        </w:rPr>
        <w:t xml:space="preserve">here will be a provision in the new Bill to allow the Director-General of Health to extend </w:t>
      </w:r>
      <w:r w:rsidR="003A1072">
        <w:rPr>
          <w:lang w:val="en-NZ"/>
        </w:rPr>
        <w:t xml:space="preserve">or renew </w:t>
      </w:r>
      <w:r w:rsidR="00D91EA7">
        <w:rPr>
          <w:lang w:val="en-NZ"/>
        </w:rPr>
        <w:t xml:space="preserve">appointments under the current system. </w:t>
      </w:r>
      <w:r w:rsidR="00D55369" w:rsidRPr="00042335">
        <w:br w:type="page"/>
      </w:r>
    </w:p>
    <w:p w14:paraId="5AA39C72" w14:textId="57252B37" w:rsidR="006B5794" w:rsidRPr="00A864A5" w:rsidRDefault="00A16B89" w:rsidP="006B5794">
      <w:pPr>
        <w:pStyle w:val="Heading3"/>
        <w:rPr>
          <w:lang w:val="en-NZ"/>
        </w:rPr>
      </w:pPr>
      <w:r w:rsidRPr="00A864A5">
        <w:rPr>
          <w:lang w:val="en-NZ"/>
        </w:rPr>
        <w:lastRenderedPageBreak/>
        <w:t>Monitoring, Evaluation, and Review</w:t>
      </w:r>
    </w:p>
    <w:p w14:paraId="7BA5528E" w14:textId="1C122B14" w:rsidR="00E11CD5" w:rsidRDefault="00745A9F" w:rsidP="001F494A">
      <w:pPr>
        <w:pStyle w:val="Heading4"/>
      </w:pPr>
      <w:r>
        <w:t>Reporting requirements</w:t>
      </w:r>
    </w:p>
    <w:p w14:paraId="75869394" w14:textId="0DCD9C05" w:rsidR="00745A9F" w:rsidRDefault="00745A9F" w:rsidP="00745A9F">
      <w:pPr>
        <w:rPr>
          <w:lang w:val="en-NZ"/>
        </w:rPr>
      </w:pPr>
      <w:r>
        <w:rPr>
          <w:lang w:val="en-NZ"/>
        </w:rPr>
        <w:t xml:space="preserve">All licence-holders will be required to </w:t>
      </w:r>
      <w:r w:rsidR="00086DE9">
        <w:rPr>
          <w:lang w:val="en-NZ"/>
        </w:rPr>
        <w:t xml:space="preserve">report data, </w:t>
      </w:r>
      <w:r w:rsidR="000A1CEC">
        <w:rPr>
          <w:lang w:val="en-NZ"/>
        </w:rPr>
        <w:t>such as</w:t>
      </w:r>
      <w:r w:rsidR="00086DE9">
        <w:rPr>
          <w:lang w:val="en-NZ"/>
        </w:rPr>
        <w:t>:</w:t>
      </w:r>
    </w:p>
    <w:p w14:paraId="1F0B5145" w14:textId="7AB9E22A" w:rsidR="006301D6" w:rsidRDefault="006301D6" w:rsidP="00086DE9">
      <w:pPr>
        <w:pStyle w:val="ListParagraph"/>
        <w:numPr>
          <w:ilvl w:val="0"/>
          <w:numId w:val="32"/>
        </w:numPr>
        <w:rPr>
          <w:lang w:val="en-NZ"/>
        </w:rPr>
      </w:pPr>
      <w:r>
        <w:rPr>
          <w:lang w:val="en-NZ"/>
        </w:rPr>
        <w:t>number of clinics held</w:t>
      </w:r>
    </w:p>
    <w:p w14:paraId="01F2C9EE" w14:textId="77777777" w:rsidR="006301D6" w:rsidRDefault="006301D6" w:rsidP="006301D6">
      <w:pPr>
        <w:pStyle w:val="ListParagraph"/>
        <w:numPr>
          <w:ilvl w:val="0"/>
          <w:numId w:val="32"/>
        </w:numPr>
        <w:rPr>
          <w:lang w:val="en-NZ"/>
        </w:rPr>
      </w:pPr>
      <w:r>
        <w:rPr>
          <w:lang w:val="en-NZ"/>
        </w:rPr>
        <w:t>number of clients served</w:t>
      </w:r>
    </w:p>
    <w:p w14:paraId="4A7D6E16" w14:textId="2023F8C5" w:rsidR="00086DE9" w:rsidRDefault="00086DE9" w:rsidP="00086DE9">
      <w:pPr>
        <w:pStyle w:val="ListParagraph"/>
        <w:numPr>
          <w:ilvl w:val="0"/>
          <w:numId w:val="32"/>
        </w:numPr>
        <w:rPr>
          <w:lang w:val="en-NZ"/>
        </w:rPr>
      </w:pPr>
      <w:r>
        <w:rPr>
          <w:lang w:val="en-NZ"/>
        </w:rPr>
        <w:t>number of tests carried out</w:t>
      </w:r>
    </w:p>
    <w:p w14:paraId="6A91D0AB" w14:textId="7426199F" w:rsidR="00CB399E" w:rsidRDefault="00CB399E" w:rsidP="00086DE9">
      <w:pPr>
        <w:pStyle w:val="ListParagraph"/>
        <w:numPr>
          <w:ilvl w:val="0"/>
          <w:numId w:val="32"/>
        </w:numPr>
        <w:rPr>
          <w:lang w:val="en-NZ"/>
        </w:rPr>
      </w:pPr>
      <w:r>
        <w:rPr>
          <w:lang w:val="en-NZ"/>
        </w:rPr>
        <w:t>test results</w:t>
      </w:r>
    </w:p>
    <w:p w14:paraId="1DF0CB2B" w14:textId="77777777" w:rsidR="00E24131" w:rsidRDefault="00E627FC" w:rsidP="00E24131">
      <w:pPr>
        <w:pStyle w:val="ListParagraph"/>
        <w:numPr>
          <w:ilvl w:val="0"/>
          <w:numId w:val="32"/>
        </w:numPr>
        <w:rPr>
          <w:lang w:val="en-NZ"/>
        </w:rPr>
      </w:pPr>
      <w:r>
        <w:rPr>
          <w:lang w:val="en-NZ"/>
        </w:rPr>
        <w:t>clients’ stated intentions</w:t>
      </w:r>
      <w:r w:rsidR="00CB399E">
        <w:rPr>
          <w:lang w:val="en-NZ"/>
        </w:rPr>
        <w:t xml:space="preserve"> after receiving test results</w:t>
      </w:r>
      <w:r>
        <w:rPr>
          <w:lang w:val="en-NZ"/>
        </w:rPr>
        <w:t xml:space="preserve"> (eg whether or not they intended to take the tested substance, and if so whether they would change how they took it)</w:t>
      </w:r>
    </w:p>
    <w:p w14:paraId="6E7FB1F8" w14:textId="7506B8E9" w:rsidR="00151C6F" w:rsidRPr="00E24131" w:rsidRDefault="00742401" w:rsidP="00E24131">
      <w:pPr>
        <w:pStyle w:val="ListParagraph"/>
        <w:numPr>
          <w:ilvl w:val="0"/>
          <w:numId w:val="32"/>
        </w:numPr>
        <w:rPr>
          <w:lang w:val="en-NZ"/>
        </w:rPr>
      </w:pPr>
      <w:r w:rsidRPr="00E24131">
        <w:rPr>
          <w:lang w:val="en-NZ"/>
        </w:rPr>
        <w:t>amount of drugs/substances surrendered</w:t>
      </w:r>
      <w:r w:rsidR="006301D6" w:rsidRPr="00E24131">
        <w:rPr>
          <w:lang w:val="en-NZ"/>
        </w:rPr>
        <w:t xml:space="preserve">, and what was done with </w:t>
      </w:r>
      <w:r w:rsidR="00E05143" w:rsidRPr="00E24131">
        <w:rPr>
          <w:lang w:val="en-NZ"/>
        </w:rPr>
        <w:t>them</w:t>
      </w:r>
    </w:p>
    <w:p w14:paraId="702CCF33" w14:textId="2B993EF7" w:rsidR="0037173D" w:rsidRPr="006301D6" w:rsidRDefault="0010679D" w:rsidP="006301D6">
      <w:pPr>
        <w:rPr>
          <w:lang w:val="en-NZ"/>
        </w:rPr>
      </w:pPr>
      <w:r>
        <w:rPr>
          <w:lang w:val="en-NZ"/>
        </w:rPr>
        <w:t xml:space="preserve">Most of this data is already collected by KYS. </w:t>
      </w:r>
      <w:r w:rsidR="00EA63E8">
        <w:rPr>
          <w:lang w:val="en-NZ"/>
        </w:rPr>
        <w:t>This data will assist evaluation of drug checking services</w:t>
      </w:r>
      <w:r w:rsidR="00FF40DC">
        <w:rPr>
          <w:lang w:val="en-NZ"/>
        </w:rPr>
        <w:t>, including</w:t>
      </w:r>
      <w:r w:rsidR="00E05143">
        <w:rPr>
          <w:lang w:val="en-NZ"/>
        </w:rPr>
        <w:t xml:space="preserve"> their</w:t>
      </w:r>
      <w:r w:rsidR="00FF40DC">
        <w:rPr>
          <w:lang w:val="en-NZ"/>
        </w:rPr>
        <w:t xml:space="preserve"> impact on clients’ drug consumption choices</w:t>
      </w:r>
      <w:r w:rsidR="00EA63E8">
        <w:rPr>
          <w:lang w:val="en-NZ"/>
        </w:rPr>
        <w:t>.</w:t>
      </w:r>
    </w:p>
    <w:p w14:paraId="7ACB5EAC" w14:textId="0361E2AA" w:rsidR="00FD738E" w:rsidRDefault="00B825E0" w:rsidP="001F494A">
      <w:pPr>
        <w:pStyle w:val="Heading4"/>
      </w:pPr>
      <w:r>
        <w:t>Monitoring provisions</w:t>
      </w:r>
    </w:p>
    <w:p w14:paraId="5D413FE4" w14:textId="3A604F8E" w:rsidR="00B825E0" w:rsidRDefault="00B825E0" w:rsidP="00B825E0">
      <w:pPr>
        <w:rPr>
          <w:lang w:val="en-NZ"/>
        </w:rPr>
      </w:pPr>
      <w:r>
        <w:rPr>
          <w:lang w:val="en-NZ"/>
        </w:rPr>
        <w:t xml:space="preserve">Monitoring drug checking services </w:t>
      </w:r>
      <w:r w:rsidR="008A5B86">
        <w:rPr>
          <w:lang w:val="en-NZ"/>
        </w:rPr>
        <w:t>will need to be carried out by appropriate</w:t>
      </w:r>
      <w:r w:rsidR="0056074B">
        <w:rPr>
          <w:lang w:val="en-NZ"/>
        </w:rPr>
        <w:t xml:space="preserve"> qualified individuals in a manner that does not </w:t>
      </w:r>
      <w:r w:rsidR="00E52F72">
        <w:rPr>
          <w:lang w:val="en-NZ"/>
        </w:rPr>
        <w:t>deter clients from using the service</w:t>
      </w:r>
      <w:r w:rsidR="002D2EED">
        <w:rPr>
          <w:lang w:val="en-NZ"/>
        </w:rPr>
        <w:t>, or place</w:t>
      </w:r>
      <w:r w:rsidR="00E52F72">
        <w:rPr>
          <w:lang w:val="en-NZ"/>
        </w:rPr>
        <w:t xml:space="preserve"> </w:t>
      </w:r>
      <w:r w:rsidR="00242BCF">
        <w:rPr>
          <w:lang w:val="en-NZ"/>
        </w:rPr>
        <w:t xml:space="preserve">an </w:t>
      </w:r>
      <w:r w:rsidR="00364453">
        <w:rPr>
          <w:lang w:val="en-NZ"/>
        </w:rPr>
        <w:t>undue</w:t>
      </w:r>
      <w:r w:rsidR="00242BCF">
        <w:rPr>
          <w:lang w:val="en-NZ"/>
        </w:rPr>
        <w:t xml:space="preserve"> burden on providers</w:t>
      </w:r>
      <w:r w:rsidR="0033386C">
        <w:rPr>
          <w:lang w:val="en-NZ"/>
        </w:rPr>
        <w:t xml:space="preserve">. </w:t>
      </w:r>
    </w:p>
    <w:p w14:paraId="45FDCFBE" w14:textId="54434B4D" w:rsidR="008644AC" w:rsidRDefault="00AA1014" w:rsidP="00B825E0">
      <w:pPr>
        <w:rPr>
          <w:lang w:val="en-NZ"/>
        </w:rPr>
      </w:pPr>
      <w:r>
        <w:rPr>
          <w:lang w:val="en-NZ"/>
        </w:rPr>
        <w:t xml:space="preserve">Licence holders </w:t>
      </w:r>
      <w:r w:rsidR="00AC2AAF">
        <w:rPr>
          <w:lang w:val="en-NZ"/>
        </w:rPr>
        <w:t>will</w:t>
      </w:r>
      <w:r>
        <w:rPr>
          <w:lang w:val="en-NZ"/>
        </w:rPr>
        <w:t xml:space="preserve"> be required to allow officials</w:t>
      </w:r>
      <w:r w:rsidR="00F54F76">
        <w:rPr>
          <w:lang w:val="en-NZ"/>
        </w:rPr>
        <w:t xml:space="preserve"> from the Ministry of Health or a delegated agent</w:t>
      </w:r>
      <w:r>
        <w:rPr>
          <w:lang w:val="en-NZ"/>
        </w:rPr>
        <w:t xml:space="preserve"> to attend </w:t>
      </w:r>
      <w:r w:rsidR="00ED3244">
        <w:rPr>
          <w:lang w:val="en-NZ"/>
        </w:rPr>
        <w:t>drug checking clinics</w:t>
      </w:r>
      <w:r w:rsidR="009C6D44">
        <w:rPr>
          <w:lang w:val="en-NZ"/>
        </w:rPr>
        <w:t>, from time to time with prior agreement</w:t>
      </w:r>
      <w:r w:rsidR="00ED3244">
        <w:rPr>
          <w:lang w:val="en-NZ"/>
        </w:rPr>
        <w:t xml:space="preserve">. Officials </w:t>
      </w:r>
      <w:r w:rsidR="00AC2AAF">
        <w:rPr>
          <w:lang w:val="en-NZ"/>
        </w:rPr>
        <w:t>must</w:t>
      </w:r>
      <w:r w:rsidR="00ED3244">
        <w:rPr>
          <w:lang w:val="en-NZ"/>
        </w:rPr>
        <w:t xml:space="preserve"> also make every effort to </w:t>
      </w:r>
      <w:r w:rsidR="00CD7436">
        <w:rPr>
          <w:lang w:val="en-NZ"/>
        </w:rPr>
        <w:t>avoid disrupting clinic operations, and abid</w:t>
      </w:r>
      <w:r w:rsidR="000F0C6C">
        <w:rPr>
          <w:lang w:val="en-NZ"/>
        </w:rPr>
        <w:t>e</w:t>
      </w:r>
      <w:r w:rsidR="00CD7436">
        <w:rPr>
          <w:lang w:val="en-NZ"/>
        </w:rPr>
        <w:t xml:space="preserve"> by any reasonable conditions set by the provider. </w:t>
      </w:r>
      <w:r w:rsidR="00132440">
        <w:rPr>
          <w:lang w:val="en-NZ"/>
        </w:rPr>
        <w:t xml:space="preserve">Work is required on how to ensure access to clinics held at ticketed festivals, for example whether hosts will be required to let officials into the festival. </w:t>
      </w:r>
    </w:p>
    <w:p w14:paraId="4C5E8A96" w14:textId="704E230E" w:rsidR="00CD7436" w:rsidRDefault="00F30771" w:rsidP="00B825E0">
      <w:pPr>
        <w:rPr>
          <w:lang w:val="en-NZ"/>
        </w:rPr>
      </w:pPr>
      <w:r>
        <w:rPr>
          <w:lang w:val="en-NZ"/>
        </w:rPr>
        <w:t xml:space="preserve">License holders must make their training materials and similar </w:t>
      </w:r>
      <w:r w:rsidR="002E23E9">
        <w:rPr>
          <w:lang w:val="en-NZ"/>
        </w:rPr>
        <w:t xml:space="preserve">documents available to the Ministry of Health on request. Review of these documents </w:t>
      </w:r>
      <w:r w:rsidR="00B029B3">
        <w:rPr>
          <w:lang w:val="en-NZ"/>
        </w:rPr>
        <w:t>will</w:t>
      </w:r>
      <w:r w:rsidR="002E23E9">
        <w:rPr>
          <w:lang w:val="en-NZ"/>
        </w:rPr>
        <w:t xml:space="preserve"> be part of the licence application and renewals processes. </w:t>
      </w:r>
    </w:p>
    <w:p w14:paraId="1086FA05" w14:textId="5604E688" w:rsidR="004339C3" w:rsidRDefault="00670141" w:rsidP="00B825E0">
      <w:pPr>
        <w:rPr>
          <w:lang w:val="en-NZ"/>
        </w:rPr>
      </w:pPr>
      <w:r>
        <w:rPr>
          <w:lang w:val="en-NZ"/>
        </w:rPr>
        <w:t xml:space="preserve">There </w:t>
      </w:r>
      <w:r w:rsidR="0064390D">
        <w:rPr>
          <w:lang w:val="en-NZ"/>
        </w:rPr>
        <w:t>will</w:t>
      </w:r>
      <w:r>
        <w:rPr>
          <w:lang w:val="en-NZ"/>
        </w:rPr>
        <w:t xml:space="preserve"> be a complaints pathway</w:t>
      </w:r>
      <w:r w:rsidR="008260F9">
        <w:rPr>
          <w:lang w:val="en-NZ"/>
        </w:rPr>
        <w:t>,</w:t>
      </w:r>
      <w:r>
        <w:rPr>
          <w:lang w:val="en-NZ"/>
        </w:rPr>
        <w:t xml:space="preserve"> </w:t>
      </w:r>
      <w:r w:rsidR="008260F9">
        <w:rPr>
          <w:lang w:val="en-NZ"/>
        </w:rPr>
        <w:t xml:space="preserve">run by the Ministry of Health, </w:t>
      </w:r>
      <w:r w:rsidR="0064390D">
        <w:rPr>
          <w:lang w:val="en-NZ"/>
        </w:rPr>
        <w:t>to address reports of inappropriate behaviour by</w:t>
      </w:r>
      <w:r>
        <w:rPr>
          <w:lang w:val="en-NZ"/>
        </w:rPr>
        <w:t xml:space="preserve"> drug checking ser</w:t>
      </w:r>
      <w:r w:rsidR="0064390D">
        <w:rPr>
          <w:lang w:val="en-NZ"/>
        </w:rPr>
        <w:t xml:space="preserve">vice providers. </w:t>
      </w:r>
    </w:p>
    <w:p w14:paraId="685C9583" w14:textId="3F1C5A33" w:rsidR="0033386C" w:rsidRDefault="00634FFC" w:rsidP="001F494A">
      <w:pPr>
        <w:pStyle w:val="Heading4"/>
      </w:pPr>
      <w:r>
        <w:t xml:space="preserve">Evaluation and </w:t>
      </w:r>
      <w:r w:rsidR="0064390D">
        <w:t>Review</w:t>
      </w:r>
    </w:p>
    <w:p w14:paraId="46278D3A" w14:textId="3D712174" w:rsidR="00AC2AAF" w:rsidRDefault="001039A0" w:rsidP="0064405E">
      <w:pPr>
        <w:rPr>
          <w:lang w:val="en-NZ"/>
        </w:rPr>
      </w:pPr>
      <w:r>
        <w:rPr>
          <w:lang w:val="en-NZ"/>
        </w:rPr>
        <w:t xml:space="preserve">The new system should be reviewed after it has been in full operation for </w:t>
      </w:r>
      <w:r w:rsidR="004066F6">
        <w:rPr>
          <w:lang w:val="en-NZ"/>
        </w:rPr>
        <w:t>five</w:t>
      </w:r>
      <w:r>
        <w:rPr>
          <w:lang w:val="en-NZ"/>
        </w:rPr>
        <w:t xml:space="preserve"> years</w:t>
      </w:r>
      <w:r w:rsidR="0008277D">
        <w:rPr>
          <w:lang w:val="en-NZ"/>
        </w:rPr>
        <w:t xml:space="preserve">, with a focus on </w:t>
      </w:r>
      <w:r w:rsidR="009316EC">
        <w:rPr>
          <w:lang w:val="en-NZ"/>
        </w:rPr>
        <w:t xml:space="preserve">utilisation of services, impact on client decisions, and (if possible) impact on drug harm. </w:t>
      </w:r>
      <w:r>
        <w:rPr>
          <w:lang w:val="en-NZ"/>
        </w:rPr>
        <w:t xml:space="preserve">The review could be carried out by the Ministry of Health or an external agency such as the Office of the Auditor General. </w:t>
      </w:r>
      <w:r w:rsidR="00AB7A86">
        <w:rPr>
          <w:lang w:val="en-NZ"/>
        </w:rPr>
        <w:t xml:space="preserve">We recommend that this not be specified in the legislation, to allow for flexibility. </w:t>
      </w:r>
    </w:p>
    <w:p w14:paraId="52EA0616" w14:textId="37E750BD" w:rsidR="00FD738E" w:rsidRDefault="00FD738E" w:rsidP="0064405E">
      <w:pPr>
        <w:rPr>
          <w:lang w:val="en-NZ"/>
        </w:rPr>
      </w:pPr>
    </w:p>
    <w:sectPr w:rsidR="00FD738E" w:rsidSect="0005691A">
      <w:headerReference w:type="even" r:id="rId11"/>
      <w:headerReference w:type="default" r:id="rId12"/>
      <w:footerReference w:type="even" r:id="rId13"/>
      <w:footerReference w:type="default" r:id="rId14"/>
      <w:pgSz w:w="11906" w:h="16838"/>
      <w:pgMar w:top="1134"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253E" w14:textId="77777777" w:rsidR="00C954A8" w:rsidRDefault="00C954A8">
      <w:pPr>
        <w:spacing w:after="0" w:line="240" w:lineRule="auto"/>
      </w:pPr>
      <w:r>
        <w:separator/>
      </w:r>
    </w:p>
    <w:p w14:paraId="4C696D93" w14:textId="77777777" w:rsidR="00C954A8" w:rsidRDefault="00C954A8"/>
  </w:endnote>
  <w:endnote w:type="continuationSeparator" w:id="0">
    <w:p w14:paraId="4D55D7F3" w14:textId="77777777" w:rsidR="00C954A8" w:rsidRDefault="00C954A8">
      <w:pPr>
        <w:spacing w:after="0" w:line="240" w:lineRule="auto"/>
      </w:pPr>
      <w:r>
        <w:continuationSeparator/>
      </w:r>
    </w:p>
    <w:p w14:paraId="714A72BF" w14:textId="77777777" w:rsidR="00C954A8" w:rsidRDefault="00C95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69A0" w14:textId="77777777" w:rsidR="004B6F7D" w:rsidRDefault="004B6F7D" w:rsidP="00743278">
    <w:pPr>
      <w:pStyle w:val="Footer"/>
    </w:pPr>
  </w:p>
  <w:p w14:paraId="6E40FA9B" w14:textId="77777777" w:rsidR="006777C4" w:rsidRDefault="006777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386A" w14:textId="255318C8" w:rsidR="003A2BB1" w:rsidRDefault="003A2BB1" w:rsidP="00743278">
    <w:pPr>
      <w:pStyle w:val="Footer"/>
      <w:rPr>
        <w:sz w:val="14"/>
      </w:rPr>
    </w:pPr>
  </w:p>
  <w:p w14:paraId="3F4886C0" w14:textId="45CB59B0" w:rsidR="004B6F7D" w:rsidRPr="00743278" w:rsidRDefault="00743278" w:rsidP="00743278">
    <w:pPr>
      <w:pStyle w:val="Footer"/>
    </w:pPr>
    <w:r>
      <w:rPr>
        <w:sz w:val="14"/>
      </w:rPr>
      <w:tab/>
    </w:r>
    <w:r w:rsidR="000132F6">
      <w:t>Regulatory</w:t>
    </w:r>
    <w:r w:rsidR="0092176D">
      <w:t xml:space="preserve"> I</w:t>
    </w:r>
    <w:r>
      <w:t xml:space="preserve">mpact Statement </w:t>
    </w:r>
    <w:r w:rsidRPr="009435C4">
      <w:t xml:space="preserve">| </w:t>
    </w:r>
    <w:r w:rsidRPr="009435C4">
      <w:fldChar w:fldCharType="begin"/>
    </w:r>
    <w:r w:rsidRPr="009435C4">
      <w:instrText xml:space="preserve"> PAGE </w:instrText>
    </w:r>
    <w:r w:rsidRPr="009435C4">
      <w:fldChar w:fldCharType="separate"/>
    </w:r>
    <w:r w:rsidR="00BF4DAE">
      <w:t>11</w:t>
    </w:r>
    <w:r w:rsidRPr="009435C4">
      <w:fldChar w:fldCharType="end"/>
    </w:r>
  </w:p>
  <w:p w14:paraId="25B99CB4" w14:textId="77777777" w:rsidR="006777C4" w:rsidRDefault="006777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E9035" w14:textId="77777777" w:rsidR="00C954A8" w:rsidRDefault="00C954A8">
      <w:pPr>
        <w:spacing w:after="0" w:line="240" w:lineRule="auto"/>
      </w:pPr>
      <w:r>
        <w:separator/>
      </w:r>
    </w:p>
    <w:p w14:paraId="0E0F480E" w14:textId="77777777" w:rsidR="00C954A8" w:rsidRDefault="00C954A8"/>
  </w:footnote>
  <w:footnote w:type="continuationSeparator" w:id="0">
    <w:p w14:paraId="2AA498FD" w14:textId="77777777" w:rsidR="00C954A8" w:rsidRDefault="00C954A8">
      <w:pPr>
        <w:spacing w:after="0" w:line="240" w:lineRule="auto"/>
      </w:pPr>
      <w:r>
        <w:continuationSeparator/>
      </w:r>
    </w:p>
    <w:p w14:paraId="078DE6C6" w14:textId="77777777" w:rsidR="00C954A8" w:rsidRDefault="00C954A8"/>
  </w:footnote>
  <w:footnote w:id="1">
    <w:p w14:paraId="48FCDA27" w14:textId="54A9A175" w:rsidR="0087211D" w:rsidRPr="0087211D" w:rsidRDefault="0087211D" w:rsidP="00525B8B">
      <w:pPr>
        <w:pStyle w:val="FootnoteText"/>
        <w:rPr>
          <w:lang w:val="en-NZ"/>
        </w:rPr>
      </w:pPr>
      <w:r>
        <w:rPr>
          <w:rStyle w:val="FootnoteReference"/>
        </w:rPr>
        <w:footnoteRef/>
      </w:r>
      <w:r>
        <w:t xml:space="preserve"> </w:t>
      </w:r>
      <w:r w:rsidR="003357CF">
        <w:t xml:space="preserve">Measham, ‘Drug safety testing, disposals and dealing in an English field: Exploring the operational and behavioural outcomes of the UK’s first onsite “drug checking” service’, </w:t>
      </w:r>
      <w:r w:rsidR="003357CF" w:rsidRPr="00170BCB">
        <w:rPr>
          <w:i/>
          <w:iCs/>
        </w:rPr>
        <w:t>International Journal of Drug Policy</w:t>
      </w:r>
      <w:r w:rsidR="003357CF">
        <w:t xml:space="preserve">, 67 (2019), page 106, </w:t>
      </w:r>
      <w:r w:rsidR="003357CF" w:rsidRPr="00E852CE">
        <w:t>https://doi.org/10.1016/j.drugpo.2018.11.001</w:t>
      </w:r>
    </w:p>
  </w:footnote>
  <w:footnote w:id="2">
    <w:p w14:paraId="591644A5" w14:textId="7F010B02" w:rsidR="00195696" w:rsidRPr="00195696" w:rsidRDefault="00195696">
      <w:pPr>
        <w:pStyle w:val="FootnoteText"/>
        <w:rPr>
          <w:lang w:val="en-NZ"/>
        </w:rPr>
      </w:pPr>
      <w:r>
        <w:rPr>
          <w:rStyle w:val="FootnoteReference"/>
        </w:rPr>
        <w:footnoteRef/>
      </w:r>
      <w:r>
        <w:t xml:space="preserve"> </w:t>
      </w:r>
      <w:r>
        <w:rPr>
          <w:lang w:val="en-NZ"/>
        </w:rPr>
        <w:t xml:space="preserve">Data from KnowYourStuffNZ public reporting. </w:t>
      </w:r>
      <w:r w:rsidR="000C545C">
        <w:rPr>
          <w:lang w:val="en-NZ"/>
        </w:rPr>
        <w:t xml:space="preserve">The percentage of supposed MDMA which was actually cathinones has varied between locations. </w:t>
      </w:r>
      <w:r w:rsidR="006E42E1">
        <w:rPr>
          <w:lang w:val="en-NZ"/>
        </w:rPr>
        <w:t xml:space="preserve">KYS will prepare a report on testing numbers and results at the end of the festival season. </w:t>
      </w:r>
    </w:p>
  </w:footnote>
  <w:footnote w:id="3">
    <w:p w14:paraId="5A5F7811" w14:textId="4BBA8E91" w:rsidR="0083691D" w:rsidRPr="0083691D" w:rsidRDefault="0083691D">
      <w:pPr>
        <w:pStyle w:val="FootnoteText"/>
        <w:rPr>
          <w:lang w:val="en-NZ"/>
        </w:rPr>
      </w:pPr>
      <w:r>
        <w:rPr>
          <w:rStyle w:val="FootnoteReference"/>
        </w:rPr>
        <w:footnoteRef/>
      </w:r>
      <w:r>
        <w:t xml:space="preserve"> </w:t>
      </w:r>
      <w:r>
        <w:rPr>
          <w:lang w:val="en-NZ"/>
        </w:rPr>
        <w:t xml:space="preserve">Estimate from KYS of average amount </w:t>
      </w:r>
      <w:r w:rsidR="005161AE">
        <w:rPr>
          <w:lang w:val="en-NZ"/>
        </w:rPr>
        <w:t xml:space="preserve">currently </w:t>
      </w:r>
      <w:r>
        <w:rPr>
          <w:lang w:val="en-NZ"/>
        </w:rPr>
        <w:t>required for cost recovery</w:t>
      </w:r>
      <w:r w:rsidR="00957DAA">
        <w:rPr>
          <w:lang w:val="en-NZ"/>
        </w:rPr>
        <w:t xml:space="preserve"> for their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1076" w14:textId="31B427BB" w:rsidR="004B6F7D" w:rsidRDefault="004B6F7D">
    <w:pPr>
      <w:pStyle w:val="Header"/>
    </w:pPr>
  </w:p>
  <w:p w14:paraId="5B68D6FF" w14:textId="77777777" w:rsidR="006777C4" w:rsidRDefault="006777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215B" w14:textId="6764FB09" w:rsidR="004B6F7D" w:rsidRPr="00EB1B21" w:rsidRDefault="004B6F7D" w:rsidP="004B6F7D">
    <w:pPr>
      <w:tabs>
        <w:tab w:val="center" w:pos="4253"/>
      </w:tabs>
      <w:rPr>
        <w:b/>
      </w:rPr>
    </w:pPr>
    <w:r>
      <w:tab/>
    </w:r>
  </w:p>
  <w:p w14:paraId="60EA4F3F" w14:textId="77777777" w:rsidR="006777C4" w:rsidRDefault="006777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6D0"/>
    <w:multiLevelType w:val="hybridMultilevel"/>
    <w:tmpl w:val="D3F85A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B92AF1"/>
    <w:multiLevelType w:val="hybridMultilevel"/>
    <w:tmpl w:val="15802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A82164"/>
    <w:multiLevelType w:val="hybridMultilevel"/>
    <w:tmpl w:val="49522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38C214B"/>
    <w:multiLevelType w:val="hybridMultilevel"/>
    <w:tmpl w:val="DEEEFA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6445218"/>
    <w:multiLevelType w:val="hybridMultilevel"/>
    <w:tmpl w:val="D82220C4"/>
    <w:lvl w:ilvl="0" w:tplc="D7F2EB5C">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DFD273A"/>
    <w:multiLevelType w:val="hybridMultilevel"/>
    <w:tmpl w:val="4F388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B8763B"/>
    <w:multiLevelType w:val="hybridMultilevel"/>
    <w:tmpl w:val="FD16E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DF19B5"/>
    <w:multiLevelType w:val="hybridMultilevel"/>
    <w:tmpl w:val="B8AC30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C8F18F6"/>
    <w:multiLevelType w:val="hybridMultilevel"/>
    <w:tmpl w:val="A5346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3EB0AAB"/>
    <w:multiLevelType w:val="hybridMultilevel"/>
    <w:tmpl w:val="0BEEF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4D05334"/>
    <w:multiLevelType w:val="hybridMultilevel"/>
    <w:tmpl w:val="5AB2E830"/>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1" w15:restartNumberingAfterBreak="0">
    <w:nsid w:val="3539082D"/>
    <w:multiLevelType w:val="hybridMultilevel"/>
    <w:tmpl w:val="B30C4CCA"/>
    <w:lvl w:ilvl="0" w:tplc="6C0C79D2">
      <w:start w:val="1"/>
      <w:numFmt w:val="bullet"/>
      <w:pStyle w:val="Ta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973755"/>
    <w:multiLevelType w:val="hybridMultilevel"/>
    <w:tmpl w:val="CFBAC5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DE62FAC"/>
    <w:multiLevelType w:val="hybridMultilevel"/>
    <w:tmpl w:val="4FE80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FB47731"/>
    <w:multiLevelType w:val="hybridMultilevel"/>
    <w:tmpl w:val="C82A6B0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6" w15:restartNumberingAfterBreak="0">
    <w:nsid w:val="510E56C1"/>
    <w:multiLevelType w:val="hybridMultilevel"/>
    <w:tmpl w:val="FB64F5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13774C8"/>
    <w:multiLevelType w:val="hybridMultilevel"/>
    <w:tmpl w:val="DA9C14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3E12988"/>
    <w:multiLevelType w:val="hybridMultilevel"/>
    <w:tmpl w:val="E0C0E7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48410C0"/>
    <w:multiLevelType w:val="multilevel"/>
    <w:tmpl w:val="80D62336"/>
    <w:lvl w:ilvl="0">
      <w:start w:val="1"/>
      <w:numFmt w:val="decimal"/>
      <w:pStyle w:val="BodyText-Numbered"/>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54BB5301"/>
    <w:multiLevelType w:val="hybridMultilevel"/>
    <w:tmpl w:val="03BC97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341435"/>
    <w:multiLevelType w:val="hybridMultilevel"/>
    <w:tmpl w:val="DE700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4F5F0E"/>
    <w:multiLevelType w:val="hybridMultilevel"/>
    <w:tmpl w:val="E76C9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F71A17"/>
    <w:multiLevelType w:val="hybridMultilevel"/>
    <w:tmpl w:val="1902DF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3114054"/>
    <w:multiLevelType w:val="hybridMultilevel"/>
    <w:tmpl w:val="19D8F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E67E35"/>
    <w:multiLevelType w:val="hybridMultilevel"/>
    <w:tmpl w:val="FAAE77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A062730"/>
    <w:multiLevelType w:val="hybridMultilevel"/>
    <w:tmpl w:val="18827D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79011B4"/>
    <w:multiLevelType w:val="hybridMultilevel"/>
    <w:tmpl w:val="CC36A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11"/>
  </w:num>
  <w:num w:numId="5">
    <w:abstractNumId w:val="0"/>
  </w:num>
  <w:num w:numId="6">
    <w:abstractNumId w:val="6"/>
  </w:num>
  <w:num w:numId="7">
    <w:abstractNumId w:val="7"/>
  </w:num>
  <w:num w:numId="8">
    <w:abstractNumId w:val="27"/>
  </w:num>
  <w:num w:numId="9">
    <w:abstractNumId w:val="17"/>
  </w:num>
  <w:num w:numId="10">
    <w:abstractNumId w:val="26"/>
  </w:num>
  <w:num w:numId="11">
    <w:abstractNumId w:val="2"/>
  </w:num>
  <w:num w:numId="12">
    <w:abstractNumId w:val="13"/>
  </w:num>
  <w:num w:numId="13">
    <w:abstractNumId w:val="12"/>
  </w:num>
  <w:num w:numId="14">
    <w:abstractNumId w:val="24"/>
  </w:num>
  <w:num w:numId="15">
    <w:abstractNumId w:val="12"/>
  </w:num>
  <w:num w:numId="16">
    <w:abstractNumId w:val="2"/>
  </w:num>
  <w:num w:numId="17">
    <w:abstractNumId w:val="3"/>
  </w:num>
  <w:num w:numId="18">
    <w:abstractNumId w:val="18"/>
  </w:num>
  <w:num w:numId="19">
    <w:abstractNumId w:val="12"/>
  </w:num>
  <w:num w:numId="20">
    <w:abstractNumId w:val="12"/>
  </w:num>
  <w:num w:numId="21">
    <w:abstractNumId w:val="12"/>
  </w:num>
  <w:num w:numId="22">
    <w:abstractNumId w:val="12"/>
  </w:num>
  <w:num w:numId="23">
    <w:abstractNumId w:val="1"/>
  </w:num>
  <w:num w:numId="24">
    <w:abstractNumId w:val="28"/>
  </w:num>
  <w:num w:numId="25">
    <w:abstractNumId w:val="20"/>
  </w:num>
  <w:num w:numId="26">
    <w:abstractNumId w:val="4"/>
  </w:num>
  <w:num w:numId="27">
    <w:abstractNumId w:val="8"/>
  </w:num>
  <w:num w:numId="28">
    <w:abstractNumId w:val="25"/>
  </w:num>
  <w:num w:numId="29">
    <w:abstractNumId w:val="10"/>
  </w:num>
  <w:num w:numId="30">
    <w:abstractNumId w:val="15"/>
  </w:num>
  <w:num w:numId="31">
    <w:abstractNumId w:val="22"/>
  </w:num>
  <w:num w:numId="32">
    <w:abstractNumId w:val="14"/>
  </w:num>
  <w:num w:numId="33">
    <w:abstractNumId w:val="5"/>
  </w:num>
  <w:num w:numId="34">
    <w:abstractNumId w:val="23"/>
  </w:num>
  <w:num w:numId="35">
    <w:abstractNumId w:val="9"/>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09"/>
    <w:rsid w:val="000007BA"/>
    <w:rsid w:val="0000201A"/>
    <w:rsid w:val="00002FDA"/>
    <w:rsid w:val="0000328A"/>
    <w:rsid w:val="000045CB"/>
    <w:rsid w:val="00007303"/>
    <w:rsid w:val="00007F37"/>
    <w:rsid w:val="00007FD3"/>
    <w:rsid w:val="00012998"/>
    <w:rsid w:val="000132F6"/>
    <w:rsid w:val="00014FB7"/>
    <w:rsid w:val="00015A24"/>
    <w:rsid w:val="00016817"/>
    <w:rsid w:val="00020F57"/>
    <w:rsid w:val="00020F75"/>
    <w:rsid w:val="000210ED"/>
    <w:rsid w:val="00021380"/>
    <w:rsid w:val="000215DD"/>
    <w:rsid w:val="00024303"/>
    <w:rsid w:val="00024603"/>
    <w:rsid w:val="00024979"/>
    <w:rsid w:val="00024F41"/>
    <w:rsid w:val="00030190"/>
    <w:rsid w:val="00030E2F"/>
    <w:rsid w:val="00032D5E"/>
    <w:rsid w:val="0003372A"/>
    <w:rsid w:val="00033E23"/>
    <w:rsid w:val="00034615"/>
    <w:rsid w:val="000351BA"/>
    <w:rsid w:val="00036604"/>
    <w:rsid w:val="000367A6"/>
    <w:rsid w:val="00037F29"/>
    <w:rsid w:val="0004008F"/>
    <w:rsid w:val="00040FB1"/>
    <w:rsid w:val="00041DC3"/>
    <w:rsid w:val="00042335"/>
    <w:rsid w:val="00045A0A"/>
    <w:rsid w:val="00046A04"/>
    <w:rsid w:val="00051193"/>
    <w:rsid w:val="000524A6"/>
    <w:rsid w:val="00052545"/>
    <w:rsid w:val="000548CE"/>
    <w:rsid w:val="00055362"/>
    <w:rsid w:val="0005691A"/>
    <w:rsid w:val="000570D9"/>
    <w:rsid w:val="00057FD0"/>
    <w:rsid w:val="000626D7"/>
    <w:rsid w:val="00063943"/>
    <w:rsid w:val="00063BD0"/>
    <w:rsid w:val="00065CD6"/>
    <w:rsid w:val="0007168A"/>
    <w:rsid w:val="00071BC0"/>
    <w:rsid w:val="00072AC9"/>
    <w:rsid w:val="00072C3E"/>
    <w:rsid w:val="0007474B"/>
    <w:rsid w:val="00074FAA"/>
    <w:rsid w:val="0007502B"/>
    <w:rsid w:val="000752E3"/>
    <w:rsid w:val="00075F4B"/>
    <w:rsid w:val="00076368"/>
    <w:rsid w:val="00077AFF"/>
    <w:rsid w:val="00080FED"/>
    <w:rsid w:val="0008277D"/>
    <w:rsid w:val="0008397A"/>
    <w:rsid w:val="00084B29"/>
    <w:rsid w:val="00086DE9"/>
    <w:rsid w:val="0008719D"/>
    <w:rsid w:val="00093E9C"/>
    <w:rsid w:val="00093F0E"/>
    <w:rsid w:val="000958EA"/>
    <w:rsid w:val="00095A16"/>
    <w:rsid w:val="00097119"/>
    <w:rsid w:val="00097FD2"/>
    <w:rsid w:val="000A1CEC"/>
    <w:rsid w:val="000A252D"/>
    <w:rsid w:val="000A2B04"/>
    <w:rsid w:val="000A738C"/>
    <w:rsid w:val="000B0902"/>
    <w:rsid w:val="000B1174"/>
    <w:rsid w:val="000B2320"/>
    <w:rsid w:val="000B32C4"/>
    <w:rsid w:val="000B348E"/>
    <w:rsid w:val="000B34FF"/>
    <w:rsid w:val="000B3EBB"/>
    <w:rsid w:val="000B4C8F"/>
    <w:rsid w:val="000B59D9"/>
    <w:rsid w:val="000B5AB4"/>
    <w:rsid w:val="000B688F"/>
    <w:rsid w:val="000B6A61"/>
    <w:rsid w:val="000B6B23"/>
    <w:rsid w:val="000B7AB6"/>
    <w:rsid w:val="000C1687"/>
    <w:rsid w:val="000C1F3E"/>
    <w:rsid w:val="000C268D"/>
    <w:rsid w:val="000C299F"/>
    <w:rsid w:val="000C29FA"/>
    <w:rsid w:val="000C356C"/>
    <w:rsid w:val="000C4659"/>
    <w:rsid w:val="000C5448"/>
    <w:rsid w:val="000C545C"/>
    <w:rsid w:val="000C6B82"/>
    <w:rsid w:val="000C7053"/>
    <w:rsid w:val="000D0A53"/>
    <w:rsid w:val="000D2BA6"/>
    <w:rsid w:val="000D34D3"/>
    <w:rsid w:val="000D41E4"/>
    <w:rsid w:val="000D5C4D"/>
    <w:rsid w:val="000D71EA"/>
    <w:rsid w:val="000D7FE5"/>
    <w:rsid w:val="000E00AF"/>
    <w:rsid w:val="000E093C"/>
    <w:rsid w:val="000E267A"/>
    <w:rsid w:val="000E35FF"/>
    <w:rsid w:val="000E6B9B"/>
    <w:rsid w:val="000F0C6C"/>
    <w:rsid w:val="000F107F"/>
    <w:rsid w:val="000F42E4"/>
    <w:rsid w:val="000F4791"/>
    <w:rsid w:val="000F5D1D"/>
    <w:rsid w:val="000F62E0"/>
    <w:rsid w:val="000F6B2E"/>
    <w:rsid w:val="000F720E"/>
    <w:rsid w:val="000F7691"/>
    <w:rsid w:val="00100361"/>
    <w:rsid w:val="00101110"/>
    <w:rsid w:val="00101FE6"/>
    <w:rsid w:val="001036C0"/>
    <w:rsid w:val="001039A0"/>
    <w:rsid w:val="00103B2F"/>
    <w:rsid w:val="0010467F"/>
    <w:rsid w:val="001046E6"/>
    <w:rsid w:val="001049D4"/>
    <w:rsid w:val="00105D66"/>
    <w:rsid w:val="0010679D"/>
    <w:rsid w:val="0010717D"/>
    <w:rsid w:val="001129AB"/>
    <w:rsid w:val="00115D40"/>
    <w:rsid w:val="001163EB"/>
    <w:rsid w:val="001174B6"/>
    <w:rsid w:val="00117BBF"/>
    <w:rsid w:val="0012023A"/>
    <w:rsid w:val="00120AC9"/>
    <w:rsid w:val="00121239"/>
    <w:rsid w:val="00121A94"/>
    <w:rsid w:val="001220BD"/>
    <w:rsid w:val="00122459"/>
    <w:rsid w:val="001234B2"/>
    <w:rsid w:val="001248B4"/>
    <w:rsid w:val="00124FA4"/>
    <w:rsid w:val="00132393"/>
    <w:rsid w:val="00132440"/>
    <w:rsid w:val="0013264B"/>
    <w:rsid w:val="00135B24"/>
    <w:rsid w:val="00135D99"/>
    <w:rsid w:val="00136004"/>
    <w:rsid w:val="00136946"/>
    <w:rsid w:val="001402E8"/>
    <w:rsid w:val="001403F9"/>
    <w:rsid w:val="00144719"/>
    <w:rsid w:val="00146B87"/>
    <w:rsid w:val="0015101E"/>
    <w:rsid w:val="00151C6F"/>
    <w:rsid w:val="001538A0"/>
    <w:rsid w:val="00153E84"/>
    <w:rsid w:val="00155623"/>
    <w:rsid w:val="001611C5"/>
    <w:rsid w:val="0016134E"/>
    <w:rsid w:val="001620F6"/>
    <w:rsid w:val="00164445"/>
    <w:rsid w:val="00164FE5"/>
    <w:rsid w:val="00167308"/>
    <w:rsid w:val="00167871"/>
    <w:rsid w:val="0017116F"/>
    <w:rsid w:val="00173E94"/>
    <w:rsid w:val="00173FAE"/>
    <w:rsid w:val="001757E4"/>
    <w:rsid w:val="00175B52"/>
    <w:rsid w:val="0017774D"/>
    <w:rsid w:val="001779D0"/>
    <w:rsid w:val="001802E8"/>
    <w:rsid w:val="00180D25"/>
    <w:rsid w:val="0018122C"/>
    <w:rsid w:val="001817F4"/>
    <w:rsid w:val="00182FAD"/>
    <w:rsid w:val="001837C1"/>
    <w:rsid w:val="00183A48"/>
    <w:rsid w:val="00184B7B"/>
    <w:rsid w:val="00185356"/>
    <w:rsid w:val="00185A12"/>
    <w:rsid w:val="00187DFE"/>
    <w:rsid w:val="00190CA3"/>
    <w:rsid w:val="00190F33"/>
    <w:rsid w:val="00192AB7"/>
    <w:rsid w:val="00193917"/>
    <w:rsid w:val="00193CBE"/>
    <w:rsid w:val="00195103"/>
    <w:rsid w:val="00195696"/>
    <w:rsid w:val="001967D5"/>
    <w:rsid w:val="001969AE"/>
    <w:rsid w:val="00197226"/>
    <w:rsid w:val="00197B5A"/>
    <w:rsid w:val="001A31B5"/>
    <w:rsid w:val="001A3CEA"/>
    <w:rsid w:val="001A6552"/>
    <w:rsid w:val="001A673A"/>
    <w:rsid w:val="001B0028"/>
    <w:rsid w:val="001B06F2"/>
    <w:rsid w:val="001B20A2"/>
    <w:rsid w:val="001B422D"/>
    <w:rsid w:val="001B6C68"/>
    <w:rsid w:val="001C2E4B"/>
    <w:rsid w:val="001C333B"/>
    <w:rsid w:val="001C4A9C"/>
    <w:rsid w:val="001C6453"/>
    <w:rsid w:val="001C66CD"/>
    <w:rsid w:val="001D0419"/>
    <w:rsid w:val="001D0802"/>
    <w:rsid w:val="001D0AA6"/>
    <w:rsid w:val="001D1874"/>
    <w:rsid w:val="001D2CB4"/>
    <w:rsid w:val="001D2FA0"/>
    <w:rsid w:val="001D3488"/>
    <w:rsid w:val="001D349C"/>
    <w:rsid w:val="001D3F14"/>
    <w:rsid w:val="001D42FE"/>
    <w:rsid w:val="001D4BA9"/>
    <w:rsid w:val="001D4DEC"/>
    <w:rsid w:val="001D64B7"/>
    <w:rsid w:val="001D7B9B"/>
    <w:rsid w:val="001E0EE4"/>
    <w:rsid w:val="001E166B"/>
    <w:rsid w:val="001E34C4"/>
    <w:rsid w:val="001E359A"/>
    <w:rsid w:val="001E3A2C"/>
    <w:rsid w:val="001E570D"/>
    <w:rsid w:val="001E6987"/>
    <w:rsid w:val="001E7D01"/>
    <w:rsid w:val="001F1010"/>
    <w:rsid w:val="001F29E6"/>
    <w:rsid w:val="001F2EA7"/>
    <w:rsid w:val="001F3729"/>
    <w:rsid w:val="001F494A"/>
    <w:rsid w:val="001F5152"/>
    <w:rsid w:val="001F6FBD"/>
    <w:rsid w:val="00200DA1"/>
    <w:rsid w:val="002013FA"/>
    <w:rsid w:val="00201A38"/>
    <w:rsid w:val="0020237E"/>
    <w:rsid w:val="00202CAB"/>
    <w:rsid w:val="002060EC"/>
    <w:rsid w:val="0020703A"/>
    <w:rsid w:val="00207697"/>
    <w:rsid w:val="00210C3D"/>
    <w:rsid w:val="002112EA"/>
    <w:rsid w:val="002120C0"/>
    <w:rsid w:val="00212395"/>
    <w:rsid w:val="00212A84"/>
    <w:rsid w:val="00215688"/>
    <w:rsid w:val="002167FC"/>
    <w:rsid w:val="00216981"/>
    <w:rsid w:val="00216F65"/>
    <w:rsid w:val="002174F8"/>
    <w:rsid w:val="00221782"/>
    <w:rsid w:val="00221C0F"/>
    <w:rsid w:val="00221FDE"/>
    <w:rsid w:val="00222441"/>
    <w:rsid w:val="00225105"/>
    <w:rsid w:val="002254E4"/>
    <w:rsid w:val="0022557C"/>
    <w:rsid w:val="00231673"/>
    <w:rsid w:val="002316E5"/>
    <w:rsid w:val="0023241A"/>
    <w:rsid w:val="0023478D"/>
    <w:rsid w:val="00235CE1"/>
    <w:rsid w:val="00236FBD"/>
    <w:rsid w:val="00237B1E"/>
    <w:rsid w:val="00240393"/>
    <w:rsid w:val="002428A4"/>
    <w:rsid w:val="00242BCF"/>
    <w:rsid w:val="0024413D"/>
    <w:rsid w:val="00244B27"/>
    <w:rsid w:val="00246BD4"/>
    <w:rsid w:val="002477C0"/>
    <w:rsid w:val="00247E49"/>
    <w:rsid w:val="00250B86"/>
    <w:rsid w:val="00250F16"/>
    <w:rsid w:val="00250F5C"/>
    <w:rsid w:val="00251EA6"/>
    <w:rsid w:val="00252043"/>
    <w:rsid w:val="002546A9"/>
    <w:rsid w:val="002549D5"/>
    <w:rsid w:val="0025568C"/>
    <w:rsid w:val="00256A4A"/>
    <w:rsid w:val="00257D50"/>
    <w:rsid w:val="0026259E"/>
    <w:rsid w:val="0026379C"/>
    <w:rsid w:val="0026379E"/>
    <w:rsid w:val="00263D08"/>
    <w:rsid w:val="002663F5"/>
    <w:rsid w:val="0026691B"/>
    <w:rsid w:val="002702EC"/>
    <w:rsid w:val="002715B1"/>
    <w:rsid w:val="00271AD7"/>
    <w:rsid w:val="00272421"/>
    <w:rsid w:val="00273014"/>
    <w:rsid w:val="00274F53"/>
    <w:rsid w:val="00275103"/>
    <w:rsid w:val="00275528"/>
    <w:rsid w:val="0027622D"/>
    <w:rsid w:val="0027640A"/>
    <w:rsid w:val="00281606"/>
    <w:rsid w:val="00282154"/>
    <w:rsid w:val="0028277C"/>
    <w:rsid w:val="0028538B"/>
    <w:rsid w:val="0028573F"/>
    <w:rsid w:val="00291243"/>
    <w:rsid w:val="0029186D"/>
    <w:rsid w:val="00292978"/>
    <w:rsid w:val="00293D8D"/>
    <w:rsid w:val="0029421E"/>
    <w:rsid w:val="00294646"/>
    <w:rsid w:val="00295393"/>
    <w:rsid w:val="0029653F"/>
    <w:rsid w:val="002A090E"/>
    <w:rsid w:val="002A23C6"/>
    <w:rsid w:val="002A24F6"/>
    <w:rsid w:val="002A2C43"/>
    <w:rsid w:val="002A4073"/>
    <w:rsid w:val="002A58FD"/>
    <w:rsid w:val="002A7820"/>
    <w:rsid w:val="002B1665"/>
    <w:rsid w:val="002B1751"/>
    <w:rsid w:val="002B27D8"/>
    <w:rsid w:val="002B2A9C"/>
    <w:rsid w:val="002B426E"/>
    <w:rsid w:val="002B69D2"/>
    <w:rsid w:val="002B6AA8"/>
    <w:rsid w:val="002C0703"/>
    <w:rsid w:val="002C1E3F"/>
    <w:rsid w:val="002C22CA"/>
    <w:rsid w:val="002C28C1"/>
    <w:rsid w:val="002C30FA"/>
    <w:rsid w:val="002C3926"/>
    <w:rsid w:val="002C773C"/>
    <w:rsid w:val="002D2932"/>
    <w:rsid w:val="002D2EED"/>
    <w:rsid w:val="002D36D8"/>
    <w:rsid w:val="002D4857"/>
    <w:rsid w:val="002D4BB0"/>
    <w:rsid w:val="002D5018"/>
    <w:rsid w:val="002D52C3"/>
    <w:rsid w:val="002E06CC"/>
    <w:rsid w:val="002E140F"/>
    <w:rsid w:val="002E1635"/>
    <w:rsid w:val="002E23E9"/>
    <w:rsid w:val="002E3773"/>
    <w:rsid w:val="002E487F"/>
    <w:rsid w:val="002F026C"/>
    <w:rsid w:val="002F25C8"/>
    <w:rsid w:val="002F456E"/>
    <w:rsid w:val="002F4D59"/>
    <w:rsid w:val="002F5FE0"/>
    <w:rsid w:val="002F669B"/>
    <w:rsid w:val="002F6E9F"/>
    <w:rsid w:val="002F7B32"/>
    <w:rsid w:val="003012DF"/>
    <w:rsid w:val="0030464E"/>
    <w:rsid w:val="00307B91"/>
    <w:rsid w:val="00310035"/>
    <w:rsid w:val="00310839"/>
    <w:rsid w:val="0031248B"/>
    <w:rsid w:val="00314476"/>
    <w:rsid w:val="00315A06"/>
    <w:rsid w:val="00317F29"/>
    <w:rsid w:val="00322A94"/>
    <w:rsid w:val="00323168"/>
    <w:rsid w:val="0032407D"/>
    <w:rsid w:val="00324917"/>
    <w:rsid w:val="0032495B"/>
    <w:rsid w:val="00324E1E"/>
    <w:rsid w:val="003300FA"/>
    <w:rsid w:val="0033045D"/>
    <w:rsid w:val="0033231A"/>
    <w:rsid w:val="0033386C"/>
    <w:rsid w:val="003357CF"/>
    <w:rsid w:val="003374AB"/>
    <w:rsid w:val="00340D40"/>
    <w:rsid w:val="00341836"/>
    <w:rsid w:val="00341BA8"/>
    <w:rsid w:val="00341FDD"/>
    <w:rsid w:val="003423D8"/>
    <w:rsid w:val="00343C1C"/>
    <w:rsid w:val="00344D7C"/>
    <w:rsid w:val="003454D5"/>
    <w:rsid w:val="003460AB"/>
    <w:rsid w:val="00346116"/>
    <w:rsid w:val="00346B30"/>
    <w:rsid w:val="00347BA1"/>
    <w:rsid w:val="003539B4"/>
    <w:rsid w:val="00353EE8"/>
    <w:rsid w:val="00354F55"/>
    <w:rsid w:val="00357558"/>
    <w:rsid w:val="003575FF"/>
    <w:rsid w:val="00357A87"/>
    <w:rsid w:val="00357E71"/>
    <w:rsid w:val="00360BA0"/>
    <w:rsid w:val="00362E94"/>
    <w:rsid w:val="00362EF3"/>
    <w:rsid w:val="00363468"/>
    <w:rsid w:val="00363B61"/>
    <w:rsid w:val="0036411C"/>
    <w:rsid w:val="00364410"/>
    <w:rsid w:val="00364453"/>
    <w:rsid w:val="00364C4C"/>
    <w:rsid w:val="003659DA"/>
    <w:rsid w:val="0036646F"/>
    <w:rsid w:val="00366AD9"/>
    <w:rsid w:val="00366C7E"/>
    <w:rsid w:val="00367CF2"/>
    <w:rsid w:val="003708FC"/>
    <w:rsid w:val="00371517"/>
    <w:rsid w:val="0037173D"/>
    <w:rsid w:val="00371FF7"/>
    <w:rsid w:val="00373CD5"/>
    <w:rsid w:val="00374F75"/>
    <w:rsid w:val="0037517E"/>
    <w:rsid w:val="00375C8F"/>
    <w:rsid w:val="00375EAE"/>
    <w:rsid w:val="00382F76"/>
    <w:rsid w:val="00383ECC"/>
    <w:rsid w:val="00384E9B"/>
    <w:rsid w:val="0038684D"/>
    <w:rsid w:val="00386B98"/>
    <w:rsid w:val="00386F87"/>
    <w:rsid w:val="00390DC2"/>
    <w:rsid w:val="00393444"/>
    <w:rsid w:val="0039577B"/>
    <w:rsid w:val="003958A0"/>
    <w:rsid w:val="00395A90"/>
    <w:rsid w:val="00396973"/>
    <w:rsid w:val="00397C8D"/>
    <w:rsid w:val="003A1072"/>
    <w:rsid w:val="003A1C32"/>
    <w:rsid w:val="003A2BB1"/>
    <w:rsid w:val="003A3B58"/>
    <w:rsid w:val="003A4A66"/>
    <w:rsid w:val="003B48D2"/>
    <w:rsid w:val="003B5464"/>
    <w:rsid w:val="003B6412"/>
    <w:rsid w:val="003B77EA"/>
    <w:rsid w:val="003B7835"/>
    <w:rsid w:val="003C3183"/>
    <w:rsid w:val="003C3B8C"/>
    <w:rsid w:val="003C48E9"/>
    <w:rsid w:val="003C54E9"/>
    <w:rsid w:val="003C61B5"/>
    <w:rsid w:val="003D4DA7"/>
    <w:rsid w:val="003D5F14"/>
    <w:rsid w:val="003D6D1C"/>
    <w:rsid w:val="003E0BAF"/>
    <w:rsid w:val="003E20E0"/>
    <w:rsid w:val="003E36B7"/>
    <w:rsid w:val="003E521A"/>
    <w:rsid w:val="003F1164"/>
    <w:rsid w:val="003F1C16"/>
    <w:rsid w:val="003F21AB"/>
    <w:rsid w:val="003F2D3B"/>
    <w:rsid w:val="003F2F6F"/>
    <w:rsid w:val="003F3813"/>
    <w:rsid w:val="003F4EE0"/>
    <w:rsid w:val="003F6B02"/>
    <w:rsid w:val="003F7F54"/>
    <w:rsid w:val="003F7FCF"/>
    <w:rsid w:val="0040040F"/>
    <w:rsid w:val="00400783"/>
    <w:rsid w:val="00400E95"/>
    <w:rsid w:val="00401E3C"/>
    <w:rsid w:val="0040297B"/>
    <w:rsid w:val="0040497A"/>
    <w:rsid w:val="0040531E"/>
    <w:rsid w:val="004057FB"/>
    <w:rsid w:val="00405E5B"/>
    <w:rsid w:val="004066F6"/>
    <w:rsid w:val="00406EC7"/>
    <w:rsid w:val="00407C4B"/>
    <w:rsid w:val="0041056D"/>
    <w:rsid w:val="00410B50"/>
    <w:rsid w:val="0041278D"/>
    <w:rsid w:val="00413FD8"/>
    <w:rsid w:val="00414763"/>
    <w:rsid w:val="0041785C"/>
    <w:rsid w:val="00417987"/>
    <w:rsid w:val="004179F5"/>
    <w:rsid w:val="00417B4A"/>
    <w:rsid w:val="00422C20"/>
    <w:rsid w:val="0042454E"/>
    <w:rsid w:val="004269BF"/>
    <w:rsid w:val="00430835"/>
    <w:rsid w:val="004310CE"/>
    <w:rsid w:val="00431113"/>
    <w:rsid w:val="00431CA7"/>
    <w:rsid w:val="004326D5"/>
    <w:rsid w:val="0043361C"/>
    <w:rsid w:val="004336D7"/>
    <w:rsid w:val="004339C3"/>
    <w:rsid w:val="00434211"/>
    <w:rsid w:val="00434D8E"/>
    <w:rsid w:val="004402CE"/>
    <w:rsid w:val="00441E5A"/>
    <w:rsid w:val="00443E86"/>
    <w:rsid w:val="00445598"/>
    <w:rsid w:val="00447453"/>
    <w:rsid w:val="00451C79"/>
    <w:rsid w:val="004541FF"/>
    <w:rsid w:val="004570FF"/>
    <w:rsid w:val="0045743E"/>
    <w:rsid w:val="0045795D"/>
    <w:rsid w:val="00457DEA"/>
    <w:rsid w:val="00460CD2"/>
    <w:rsid w:val="004625C9"/>
    <w:rsid w:val="004628FF"/>
    <w:rsid w:val="00467AB7"/>
    <w:rsid w:val="00470357"/>
    <w:rsid w:val="00470495"/>
    <w:rsid w:val="0047518A"/>
    <w:rsid w:val="00480746"/>
    <w:rsid w:val="0048373A"/>
    <w:rsid w:val="00483FF3"/>
    <w:rsid w:val="00484A6C"/>
    <w:rsid w:val="00485451"/>
    <w:rsid w:val="00487FAD"/>
    <w:rsid w:val="004902DA"/>
    <w:rsid w:val="00491EB5"/>
    <w:rsid w:val="00491FAD"/>
    <w:rsid w:val="0049234F"/>
    <w:rsid w:val="004932CF"/>
    <w:rsid w:val="004938DA"/>
    <w:rsid w:val="00493957"/>
    <w:rsid w:val="00493A40"/>
    <w:rsid w:val="0049423F"/>
    <w:rsid w:val="0049467D"/>
    <w:rsid w:val="00494B03"/>
    <w:rsid w:val="00495A45"/>
    <w:rsid w:val="00496B0A"/>
    <w:rsid w:val="004A11FC"/>
    <w:rsid w:val="004A1A62"/>
    <w:rsid w:val="004A1AE3"/>
    <w:rsid w:val="004A2600"/>
    <w:rsid w:val="004A2714"/>
    <w:rsid w:val="004A4084"/>
    <w:rsid w:val="004A6E33"/>
    <w:rsid w:val="004B07E6"/>
    <w:rsid w:val="004B0A19"/>
    <w:rsid w:val="004B20C1"/>
    <w:rsid w:val="004B38F2"/>
    <w:rsid w:val="004B4C9E"/>
    <w:rsid w:val="004B6F7D"/>
    <w:rsid w:val="004B7BD3"/>
    <w:rsid w:val="004B7DBC"/>
    <w:rsid w:val="004C056B"/>
    <w:rsid w:val="004C12D0"/>
    <w:rsid w:val="004C1DD4"/>
    <w:rsid w:val="004C36F2"/>
    <w:rsid w:val="004C3F82"/>
    <w:rsid w:val="004C4603"/>
    <w:rsid w:val="004C6060"/>
    <w:rsid w:val="004D000C"/>
    <w:rsid w:val="004D1722"/>
    <w:rsid w:val="004D21C0"/>
    <w:rsid w:val="004D309C"/>
    <w:rsid w:val="004D59F0"/>
    <w:rsid w:val="004D5AF6"/>
    <w:rsid w:val="004D5F17"/>
    <w:rsid w:val="004D6281"/>
    <w:rsid w:val="004E0A37"/>
    <w:rsid w:val="004E0C78"/>
    <w:rsid w:val="004E1A06"/>
    <w:rsid w:val="004E1A3B"/>
    <w:rsid w:val="004E41E5"/>
    <w:rsid w:val="004E4C46"/>
    <w:rsid w:val="004E786B"/>
    <w:rsid w:val="004F1CEE"/>
    <w:rsid w:val="004F28FD"/>
    <w:rsid w:val="004F3DA8"/>
    <w:rsid w:val="004F4399"/>
    <w:rsid w:val="004F5B65"/>
    <w:rsid w:val="004F611F"/>
    <w:rsid w:val="004F6631"/>
    <w:rsid w:val="00501053"/>
    <w:rsid w:val="00503BB6"/>
    <w:rsid w:val="0050418B"/>
    <w:rsid w:val="00504CB9"/>
    <w:rsid w:val="00505A19"/>
    <w:rsid w:val="00505B2B"/>
    <w:rsid w:val="005064C6"/>
    <w:rsid w:val="005068F2"/>
    <w:rsid w:val="00507617"/>
    <w:rsid w:val="0051057F"/>
    <w:rsid w:val="005116D6"/>
    <w:rsid w:val="005124C5"/>
    <w:rsid w:val="00514770"/>
    <w:rsid w:val="005161AE"/>
    <w:rsid w:val="0051653D"/>
    <w:rsid w:val="005167FA"/>
    <w:rsid w:val="00517BA2"/>
    <w:rsid w:val="00520AFE"/>
    <w:rsid w:val="00521403"/>
    <w:rsid w:val="00523D6A"/>
    <w:rsid w:val="005258E4"/>
    <w:rsid w:val="00525B8B"/>
    <w:rsid w:val="00530722"/>
    <w:rsid w:val="005345B4"/>
    <w:rsid w:val="00537B28"/>
    <w:rsid w:val="00537B60"/>
    <w:rsid w:val="00537EFE"/>
    <w:rsid w:val="00541194"/>
    <w:rsid w:val="00541B0B"/>
    <w:rsid w:val="00541C00"/>
    <w:rsid w:val="00541D53"/>
    <w:rsid w:val="005422C7"/>
    <w:rsid w:val="00542BB5"/>
    <w:rsid w:val="00543026"/>
    <w:rsid w:val="00543648"/>
    <w:rsid w:val="0054404F"/>
    <w:rsid w:val="00545493"/>
    <w:rsid w:val="00546076"/>
    <w:rsid w:val="005472B5"/>
    <w:rsid w:val="00547570"/>
    <w:rsid w:val="00551751"/>
    <w:rsid w:val="00551945"/>
    <w:rsid w:val="00551D35"/>
    <w:rsid w:val="00552B06"/>
    <w:rsid w:val="00553C18"/>
    <w:rsid w:val="00554046"/>
    <w:rsid w:val="00555E18"/>
    <w:rsid w:val="00556893"/>
    <w:rsid w:val="0056074B"/>
    <w:rsid w:val="00560B8C"/>
    <w:rsid w:val="00560F96"/>
    <w:rsid w:val="00560FED"/>
    <w:rsid w:val="00562D9E"/>
    <w:rsid w:val="00563F58"/>
    <w:rsid w:val="00564321"/>
    <w:rsid w:val="005644C0"/>
    <w:rsid w:val="0056545E"/>
    <w:rsid w:val="0056599D"/>
    <w:rsid w:val="00565FA5"/>
    <w:rsid w:val="00566BF2"/>
    <w:rsid w:val="00567740"/>
    <w:rsid w:val="00567A6E"/>
    <w:rsid w:val="00570089"/>
    <w:rsid w:val="00570E3F"/>
    <w:rsid w:val="005710E5"/>
    <w:rsid w:val="005727B3"/>
    <w:rsid w:val="00574F41"/>
    <w:rsid w:val="00575FF9"/>
    <w:rsid w:val="005763BD"/>
    <w:rsid w:val="00577A4E"/>
    <w:rsid w:val="00577DCD"/>
    <w:rsid w:val="00580558"/>
    <w:rsid w:val="005837B0"/>
    <w:rsid w:val="005843AC"/>
    <w:rsid w:val="005855FE"/>
    <w:rsid w:val="00586823"/>
    <w:rsid w:val="005874EB"/>
    <w:rsid w:val="0059232C"/>
    <w:rsid w:val="00593B97"/>
    <w:rsid w:val="00594916"/>
    <w:rsid w:val="0059611B"/>
    <w:rsid w:val="005A08A7"/>
    <w:rsid w:val="005A0B65"/>
    <w:rsid w:val="005A2E71"/>
    <w:rsid w:val="005A6B48"/>
    <w:rsid w:val="005A7388"/>
    <w:rsid w:val="005B137A"/>
    <w:rsid w:val="005B27FB"/>
    <w:rsid w:val="005B4553"/>
    <w:rsid w:val="005B576D"/>
    <w:rsid w:val="005B5FC4"/>
    <w:rsid w:val="005B5FE5"/>
    <w:rsid w:val="005C028F"/>
    <w:rsid w:val="005C0414"/>
    <w:rsid w:val="005C1D93"/>
    <w:rsid w:val="005C2079"/>
    <w:rsid w:val="005C3EF5"/>
    <w:rsid w:val="005C6F4F"/>
    <w:rsid w:val="005C76D8"/>
    <w:rsid w:val="005D14FF"/>
    <w:rsid w:val="005D166E"/>
    <w:rsid w:val="005D16A6"/>
    <w:rsid w:val="005E03B1"/>
    <w:rsid w:val="005E24C2"/>
    <w:rsid w:val="005E2D35"/>
    <w:rsid w:val="005E4FAB"/>
    <w:rsid w:val="005E6109"/>
    <w:rsid w:val="005F0907"/>
    <w:rsid w:val="005F0C07"/>
    <w:rsid w:val="005F10DB"/>
    <w:rsid w:val="005F1382"/>
    <w:rsid w:val="005F2D50"/>
    <w:rsid w:val="005F3068"/>
    <w:rsid w:val="005F4E4B"/>
    <w:rsid w:val="005F509B"/>
    <w:rsid w:val="005F51DE"/>
    <w:rsid w:val="005F6EBA"/>
    <w:rsid w:val="0060071B"/>
    <w:rsid w:val="00604710"/>
    <w:rsid w:val="00605092"/>
    <w:rsid w:val="00607FB4"/>
    <w:rsid w:val="00610083"/>
    <w:rsid w:val="00612259"/>
    <w:rsid w:val="0061305A"/>
    <w:rsid w:val="006137EB"/>
    <w:rsid w:val="0061384A"/>
    <w:rsid w:val="006145B7"/>
    <w:rsid w:val="00614897"/>
    <w:rsid w:val="006172F1"/>
    <w:rsid w:val="006208FA"/>
    <w:rsid w:val="00621507"/>
    <w:rsid w:val="006247CD"/>
    <w:rsid w:val="00624F07"/>
    <w:rsid w:val="0062657E"/>
    <w:rsid w:val="006267AE"/>
    <w:rsid w:val="00626FBA"/>
    <w:rsid w:val="006278DF"/>
    <w:rsid w:val="006301D6"/>
    <w:rsid w:val="00633B20"/>
    <w:rsid w:val="00634BE6"/>
    <w:rsid w:val="00634FFC"/>
    <w:rsid w:val="006354F8"/>
    <w:rsid w:val="006356D0"/>
    <w:rsid w:val="00635AB9"/>
    <w:rsid w:val="00635DBE"/>
    <w:rsid w:val="00636019"/>
    <w:rsid w:val="00636CC0"/>
    <w:rsid w:val="00637874"/>
    <w:rsid w:val="00637F44"/>
    <w:rsid w:val="0064063B"/>
    <w:rsid w:val="00640AA3"/>
    <w:rsid w:val="00640F82"/>
    <w:rsid w:val="00642209"/>
    <w:rsid w:val="00642FDE"/>
    <w:rsid w:val="0064390D"/>
    <w:rsid w:val="0064405E"/>
    <w:rsid w:val="0065070E"/>
    <w:rsid w:val="00652F63"/>
    <w:rsid w:val="00653211"/>
    <w:rsid w:val="006538C7"/>
    <w:rsid w:val="00654CEA"/>
    <w:rsid w:val="00654F0F"/>
    <w:rsid w:val="00656925"/>
    <w:rsid w:val="00661BD6"/>
    <w:rsid w:val="00661C39"/>
    <w:rsid w:val="006623A0"/>
    <w:rsid w:val="00663BAA"/>
    <w:rsid w:val="00666E64"/>
    <w:rsid w:val="00667B7D"/>
    <w:rsid w:val="00670141"/>
    <w:rsid w:val="006755E1"/>
    <w:rsid w:val="0067654E"/>
    <w:rsid w:val="00676730"/>
    <w:rsid w:val="006767B7"/>
    <w:rsid w:val="00676A65"/>
    <w:rsid w:val="00677563"/>
    <w:rsid w:val="006777C4"/>
    <w:rsid w:val="00677BBB"/>
    <w:rsid w:val="006823E6"/>
    <w:rsid w:val="00682CBE"/>
    <w:rsid w:val="00686BA4"/>
    <w:rsid w:val="00687118"/>
    <w:rsid w:val="0069090E"/>
    <w:rsid w:val="006918DE"/>
    <w:rsid w:val="00693198"/>
    <w:rsid w:val="00693232"/>
    <w:rsid w:val="00695CF3"/>
    <w:rsid w:val="006961F1"/>
    <w:rsid w:val="0069774F"/>
    <w:rsid w:val="006A1D20"/>
    <w:rsid w:val="006A2452"/>
    <w:rsid w:val="006A3D8B"/>
    <w:rsid w:val="006A55EB"/>
    <w:rsid w:val="006A5CC7"/>
    <w:rsid w:val="006A6437"/>
    <w:rsid w:val="006A6B3A"/>
    <w:rsid w:val="006B5794"/>
    <w:rsid w:val="006B5EAA"/>
    <w:rsid w:val="006B67CE"/>
    <w:rsid w:val="006B7932"/>
    <w:rsid w:val="006C1313"/>
    <w:rsid w:val="006C4739"/>
    <w:rsid w:val="006C547D"/>
    <w:rsid w:val="006C684F"/>
    <w:rsid w:val="006C75CE"/>
    <w:rsid w:val="006D05B2"/>
    <w:rsid w:val="006D0A1B"/>
    <w:rsid w:val="006D12A5"/>
    <w:rsid w:val="006D17FA"/>
    <w:rsid w:val="006E0042"/>
    <w:rsid w:val="006E1F3D"/>
    <w:rsid w:val="006E342D"/>
    <w:rsid w:val="006E390D"/>
    <w:rsid w:val="006E42E1"/>
    <w:rsid w:val="006E7CF5"/>
    <w:rsid w:val="006F1A67"/>
    <w:rsid w:val="006F2415"/>
    <w:rsid w:val="006F3E62"/>
    <w:rsid w:val="006F49ED"/>
    <w:rsid w:val="006F5626"/>
    <w:rsid w:val="006F6B0C"/>
    <w:rsid w:val="00702710"/>
    <w:rsid w:val="007037C4"/>
    <w:rsid w:val="00703C45"/>
    <w:rsid w:val="00704BE7"/>
    <w:rsid w:val="00710899"/>
    <w:rsid w:val="00712A72"/>
    <w:rsid w:val="00716DD7"/>
    <w:rsid w:val="00721CE1"/>
    <w:rsid w:val="00722D5C"/>
    <w:rsid w:val="007233C5"/>
    <w:rsid w:val="00723C46"/>
    <w:rsid w:val="00723DF3"/>
    <w:rsid w:val="007245C5"/>
    <w:rsid w:val="0072468E"/>
    <w:rsid w:val="00724768"/>
    <w:rsid w:val="007271F7"/>
    <w:rsid w:val="0072799F"/>
    <w:rsid w:val="00730034"/>
    <w:rsid w:val="00731277"/>
    <w:rsid w:val="00731FAE"/>
    <w:rsid w:val="007325A8"/>
    <w:rsid w:val="00735B75"/>
    <w:rsid w:val="00736325"/>
    <w:rsid w:val="0073765C"/>
    <w:rsid w:val="00740536"/>
    <w:rsid w:val="00742401"/>
    <w:rsid w:val="00743278"/>
    <w:rsid w:val="007441E0"/>
    <w:rsid w:val="00744481"/>
    <w:rsid w:val="00745A36"/>
    <w:rsid w:val="00745A9F"/>
    <w:rsid w:val="00747062"/>
    <w:rsid w:val="00747960"/>
    <w:rsid w:val="0075032C"/>
    <w:rsid w:val="00754C5D"/>
    <w:rsid w:val="00755099"/>
    <w:rsid w:val="0075541E"/>
    <w:rsid w:val="007568AB"/>
    <w:rsid w:val="00756A96"/>
    <w:rsid w:val="00757A4C"/>
    <w:rsid w:val="00760A40"/>
    <w:rsid w:val="00761786"/>
    <w:rsid w:val="00762CE0"/>
    <w:rsid w:val="00764164"/>
    <w:rsid w:val="007646A2"/>
    <w:rsid w:val="0076571C"/>
    <w:rsid w:val="00767AC1"/>
    <w:rsid w:val="00773638"/>
    <w:rsid w:val="00775ACA"/>
    <w:rsid w:val="00776E61"/>
    <w:rsid w:val="007771C0"/>
    <w:rsid w:val="007805A3"/>
    <w:rsid w:val="0078143F"/>
    <w:rsid w:val="00782B12"/>
    <w:rsid w:val="00785E00"/>
    <w:rsid w:val="007870B4"/>
    <w:rsid w:val="0079435C"/>
    <w:rsid w:val="00797587"/>
    <w:rsid w:val="007A0C90"/>
    <w:rsid w:val="007A145E"/>
    <w:rsid w:val="007A1E05"/>
    <w:rsid w:val="007A20DD"/>
    <w:rsid w:val="007A2192"/>
    <w:rsid w:val="007A390D"/>
    <w:rsid w:val="007A3B35"/>
    <w:rsid w:val="007A7736"/>
    <w:rsid w:val="007B024A"/>
    <w:rsid w:val="007B0612"/>
    <w:rsid w:val="007B090A"/>
    <w:rsid w:val="007B1E67"/>
    <w:rsid w:val="007B2F10"/>
    <w:rsid w:val="007B4CEA"/>
    <w:rsid w:val="007B4F92"/>
    <w:rsid w:val="007B6683"/>
    <w:rsid w:val="007C3025"/>
    <w:rsid w:val="007C4F54"/>
    <w:rsid w:val="007C6348"/>
    <w:rsid w:val="007C6EA0"/>
    <w:rsid w:val="007D2EC1"/>
    <w:rsid w:val="007D51FF"/>
    <w:rsid w:val="007D7743"/>
    <w:rsid w:val="007D78A1"/>
    <w:rsid w:val="007D7A5C"/>
    <w:rsid w:val="007D7EDC"/>
    <w:rsid w:val="007E0815"/>
    <w:rsid w:val="007E249D"/>
    <w:rsid w:val="007E77D5"/>
    <w:rsid w:val="007F2441"/>
    <w:rsid w:val="007F4832"/>
    <w:rsid w:val="007F4F7A"/>
    <w:rsid w:val="007F6004"/>
    <w:rsid w:val="007F63A6"/>
    <w:rsid w:val="007F6633"/>
    <w:rsid w:val="007F6C8D"/>
    <w:rsid w:val="00800893"/>
    <w:rsid w:val="00800DDA"/>
    <w:rsid w:val="0080263E"/>
    <w:rsid w:val="00803509"/>
    <w:rsid w:val="008042ED"/>
    <w:rsid w:val="00804E26"/>
    <w:rsid w:val="00805B9E"/>
    <w:rsid w:val="00805DB4"/>
    <w:rsid w:val="008064C0"/>
    <w:rsid w:val="008113B9"/>
    <w:rsid w:val="00812CAB"/>
    <w:rsid w:val="00813CB5"/>
    <w:rsid w:val="00813D4E"/>
    <w:rsid w:val="00813D59"/>
    <w:rsid w:val="008142ED"/>
    <w:rsid w:val="00814740"/>
    <w:rsid w:val="00815193"/>
    <w:rsid w:val="008155BF"/>
    <w:rsid w:val="00816332"/>
    <w:rsid w:val="00816BEC"/>
    <w:rsid w:val="00817D48"/>
    <w:rsid w:val="00817EF6"/>
    <w:rsid w:val="0082068B"/>
    <w:rsid w:val="00820C0D"/>
    <w:rsid w:val="00821749"/>
    <w:rsid w:val="0082314E"/>
    <w:rsid w:val="0082413D"/>
    <w:rsid w:val="008246BA"/>
    <w:rsid w:val="008260F9"/>
    <w:rsid w:val="008261A8"/>
    <w:rsid w:val="00826978"/>
    <w:rsid w:val="008270D9"/>
    <w:rsid w:val="00827491"/>
    <w:rsid w:val="00827AA2"/>
    <w:rsid w:val="00832330"/>
    <w:rsid w:val="00832392"/>
    <w:rsid w:val="00832767"/>
    <w:rsid w:val="0083317D"/>
    <w:rsid w:val="00834F0D"/>
    <w:rsid w:val="00835BC6"/>
    <w:rsid w:val="00836306"/>
    <w:rsid w:val="0083691D"/>
    <w:rsid w:val="008371D5"/>
    <w:rsid w:val="008402B6"/>
    <w:rsid w:val="00841FC6"/>
    <w:rsid w:val="00844B6D"/>
    <w:rsid w:val="00844F3B"/>
    <w:rsid w:val="00846C56"/>
    <w:rsid w:val="00847A9E"/>
    <w:rsid w:val="00850067"/>
    <w:rsid w:val="00850EFB"/>
    <w:rsid w:val="0085212E"/>
    <w:rsid w:val="00853E6C"/>
    <w:rsid w:val="0085441F"/>
    <w:rsid w:val="00855502"/>
    <w:rsid w:val="008558D8"/>
    <w:rsid w:val="00855BBA"/>
    <w:rsid w:val="00856E71"/>
    <w:rsid w:val="008600E9"/>
    <w:rsid w:val="008603C7"/>
    <w:rsid w:val="008609AD"/>
    <w:rsid w:val="0086184A"/>
    <w:rsid w:val="00862289"/>
    <w:rsid w:val="0086254E"/>
    <w:rsid w:val="008629C9"/>
    <w:rsid w:val="008633E3"/>
    <w:rsid w:val="008644AC"/>
    <w:rsid w:val="00864742"/>
    <w:rsid w:val="00864D58"/>
    <w:rsid w:val="00864F85"/>
    <w:rsid w:val="008655FB"/>
    <w:rsid w:val="00866216"/>
    <w:rsid w:val="0086789E"/>
    <w:rsid w:val="00871575"/>
    <w:rsid w:val="0087211D"/>
    <w:rsid w:val="00873548"/>
    <w:rsid w:val="00873FCF"/>
    <w:rsid w:val="008755F4"/>
    <w:rsid w:val="00875DF6"/>
    <w:rsid w:val="00875ED6"/>
    <w:rsid w:val="008810DD"/>
    <w:rsid w:val="00881A01"/>
    <w:rsid w:val="00881CA9"/>
    <w:rsid w:val="00882849"/>
    <w:rsid w:val="00882A34"/>
    <w:rsid w:val="00883145"/>
    <w:rsid w:val="00883A80"/>
    <w:rsid w:val="008841AF"/>
    <w:rsid w:val="00890436"/>
    <w:rsid w:val="00891580"/>
    <w:rsid w:val="00892409"/>
    <w:rsid w:val="008932F2"/>
    <w:rsid w:val="008935BA"/>
    <w:rsid w:val="008936EF"/>
    <w:rsid w:val="00895C80"/>
    <w:rsid w:val="0089735D"/>
    <w:rsid w:val="00897826"/>
    <w:rsid w:val="00897F4F"/>
    <w:rsid w:val="008A0B4F"/>
    <w:rsid w:val="008A1FFA"/>
    <w:rsid w:val="008A5003"/>
    <w:rsid w:val="008A504D"/>
    <w:rsid w:val="008A5B86"/>
    <w:rsid w:val="008A638F"/>
    <w:rsid w:val="008A643B"/>
    <w:rsid w:val="008A6B5E"/>
    <w:rsid w:val="008B28B9"/>
    <w:rsid w:val="008B34D8"/>
    <w:rsid w:val="008B5599"/>
    <w:rsid w:val="008C1879"/>
    <w:rsid w:val="008C2163"/>
    <w:rsid w:val="008C421D"/>
    <w:rsid w:val="008C42C6"/>
    <w:rsid w:val="008C53FE"/>
    <w:rsid w:val="008C69EC"/>
    <w:rsid w:val="008D051A"/>
    <w:rsid w:val="008D1BAE"/>
    <w:rsid w:val="008D22EF"/>
    <w:rsid w:val="008D265C"/>
    <w:rsid w:val="008D4BEA"/>
    <w:rsid w:val="008D4FF3"/>
    <w:rsid w:val="008D7434"/>
    <w:rsid w:val="008E526E"/>
    <w:rsid w:val="008E56F8"/>
    <w:rsid w:val="008E615E"/>
    <w:rsid w:val="008E61AB"/>
    <w:rsid w:val="008E61F8"/>
    <w:rsid w:val="008E7187"/>
    <w:rsid w:val="008E76DB"/>
    <w:rsid w:val="008E7A15"/>
    <w:rsid w:val="008E7A7C"/>
    <w:rsid w:val="008F02B0"/>
    <w:rsid w:val="008F3364"/>
    <w:rsid w:val="008F3BBC"/>
    <w:rsid w:val="008F3D7F"/>
    <w:rsid w:val="008F670F"/>
    <w:rsid w:val="008F6E88"/>
    <w:rsid w:val="009024B6"/>
    <w:rsid w:val="009031DD"/>
    <w:rsid w:val="009037EA"/>
    <w:rsid w:val="009051F0"/>
    <w:rsid w:val="00905E9B"/>
    <w:rsid w:val="009063AA"/>
    <w:rsid w:val="0090696D"/>
    <w:rsid w:val="00907568"/>
    <w:rsid w:val="00907C49"/>
    <w:rsid w:val="00907E5A"/>
    <w:rsid w:val="0091075B"/>
    <w:rsid w:val="00911FD0"/>
    <w:rsid w:val="00912598"/>
    <w:rsid w:val="009125FB"/>
    <w:rsid w:val="009131B4"/>
    <w:rsid w:val="00913334"/>
    <w:rsid w:val="009140EC"/>
    <w:rsid w:val="00914C4E"/>
    <w:rsid w:val="00914E7A"/>
    <w:rsid w:val="00920842"/>
    <w:rsid w:val="0092176D"/>
    <w:rsid w:val="009238FE"/>
    <w:rsid w:val="009254B9"/>
    <w:rsid w:val="00925822"/>
    <w:rsid w:val="0092590A"/>
    <w:rsid w:val="00927B77"/>
    <w:rsid w:val="00927FA5"/>
    <w:rsid w:val="00930FFC"/>
    <w:rsid w:val="009316EC"/>
    <w:rsid w:val="0093249B"/>
    <w:rsid w:val="00932544"/>
    <w:rsid w:val="00936937"/>
    <w:rsid w:val="009410E3"/>
    <w:rsid w:val="00941993"/>
    <w:rsid w:val="00941FCC"/>
    <w:rsid w:val="009435C4"/>
    <w:rsid w:val="009438E4"/>
    <w:rsid w:val="0094584C"/>
    <w:rsid w:val="00945C9C"/>
    <w:rsid w:val="0094743B"/>
    <w:rsid w:val="009476AF"/>
    <w:rsid w:val="009506F6"/>
    <w:rsid w:val="00954259"/>
    <w:rsid w:val="009563F2"/>
    <w:rsid w:val="00956684"/>
    <w:rsid w:val="00957149"/>
    <w:rsid w:val="0095797B"/>
    <w:rsid w:val="00957A1D"/>
    <w:rsid w:val="00957DAA"/>
    <w:rsid w:val="009609C7"/>
    <w:rsid w:val="00960E72"/>
    <w:rsid w:val="00962946"/>
    <w:rsid w:val="00964E59"/>
    <w:rsid w:val="00966DDB"/>
    <w:rsid w:val="00970321"/>
    <w:rsid w:val="00970B59"/>
    <w:rsid w:val="00971284"/>
    <w:rsid w:val="00971A61"/>
    <w:rsid w:val="0097236D"/>
    <w:rsid w:val="009754C1"/>
    <w:rsid w:val="00975D61"/>
    <w:rsid w:val="00977687"/>
    <w:rsid w:val="0097793E"/>
    <w:rsid w:val="00980292"/>
    <w:rsid w:val="00980AD8"/>
    <w:rsid w:val="0098210E"/>
    <w:rsid w:val="0098254D"/>
    <w:rsid w:val="00982D03"/>
    <w:rsid w:val="00984692"/>
    <w:rsid w:val="00984A4A"/>
    <w:rsid w:val="00987CAB"/>
    <w:rsid w:val="00991E5D"/>
    <w:rsid w:val="009927C0"/>
    <w:rsid w:val="00993DD9"/>
    <w:rsid w:val="009953C9"/>
    <w:rsid w:val="00995E9A"/>
    <w:rsid w:val="00996453"/>
    <w:rsid w:val="00997542"/>
    <w:rsid w:val="009A1225"/>
    <w:rsid w:val="009A1323"/>
    <w:rsid w:val="009A331F"/>
    <w:rsid w:val="009A36BD"/>
    <w:rsid w:val="009A5CE8"/>
    <w:rsid w:val="009A7A45"/>
    <w:rsid w:val="009A7C7D"/>
    <w:rsid w:val="009B0796"/>
    <w:rsid w:val="009B385A"/>
    <w:rsid w:val="009B4E3B"/>
    <w:rsid w:val="009B55E4"/>
    <w:rsid w:val="009B70DE"/>
    <w:rsid w:val="009B7BEC"/>
    <w:rsid w:val="009C1F99"/>
    <w:rsid w:val="009C2397"/>
    <w:rsid w:val="009C2E53"/>
    <w:rsid w:val="009C4129"/>
    <w:rsid w:val="009C4983"/>
    <w:rsid w:val="009C5E33"/>
    <w:rsid w:val="009C6559"/>
    <w:rsid w:val="009C67CF"/>
    <w:rsid w:val="009C6D44"/>
    <w:rsid w:val="009D0A3A"/>
    <w:rsid w:val="009D3DD9"/>
    <w:rsid w:val="009D5831"/>
    <w:rsid w:val="009D6E9C"/>
    <w:rsid w:val="009E0186"/>
    <w:rsid w:val="009E0634"/>
    <w:rsid w:val="009E0716"/>
    <w:rsid w:val="009E1A63"/>
    <w:rsid w:val="009E24C2"/>
    <w:rsid w:val="009E2CE8"/>
    <w:rsid w:val="009E6303"/>
    <w:rsid w:val="009F36BA"/>
    <w:rsid w:val="009F3DFA"/>
    <w:rsid w:val="009F5C66"/>
    <w:rsid w:val="009F6501"/>
    <w:rsid w:val="009F7B9C"/>
    <w:rsid w:val="00A00E1E"/>
    <w:rsid w:val="00A01D69"/>
    <w:rsid w:val="00A02270"/>
    <w:rsid w:val="00A03CE3"/>
    <w:rsid w:val="00A03E72"/>
    <w:rsid w:val="00A04A98"/>
    <w:rsid w:val="00A04AAF"/>
    <w:rsid w:val="00A04C57"/>
    <w:rsid w:val="00A063BE"/>
    <w:rsid w:val="00A0728D"/>
    <w:rsid w:val="00A11438"/>
    <w:rsid w:val="00A12ED9"/>
    <w:rsid w:val="00A137FB"/>
    <w:rsid w:val="00A14658"/>
    <w:rsid w:val="00A14EDD"/>
    <w:rsid w:val="00A16654"/>
    <w:rsid w:val="00A16B89"/>
    <w:rsid w:val="00A1735C"/>
    <w:rsid w:val="00A200A7"/>
    <w:rsid w:val="00A20BA4"/>
    <w:rsid w:val="00A211D4"/>
    <w:rsid w:val="00A21330"/>
    <w:rsid w:val="00A2144A"/>
    <w:rsid w:val="00A2158D"/>
    <w:rsid w:val="00A269FA"/>
    <w:rsid w:val="00A27611"/>
    <w:rsid w:val="00A3269D"/>
    <w:rsid w:val="00A32D98"/>
    <w:rsid w:val="00A32F64"/>
    <w:rsid w:val="00A34928"/>
    <w:rsid w:val="00A355C6"/>
    <w:rsid w:val="00A36767"/>
    <w:rsid w:val="00A37877"/>
    <w:rsid w:val="00A413DC"/>
    <w:rsid w:val="00A428E6"/>
    <w:rsid w:val="00A434B3"/>
    <w:rsid w:val="00A44B01"/>
    <w:rsid w:val="00A50A9F"/>
    <w:rsid w:val="00A50DF2"/>
    <w:rsid w:val="00A51158"/>
    <w:rsid w:val="00A51594"/>
    <w:rsid w:val="00A51C0D"/>
    <w:rsid w:val="00A52C7F"/>
    <w:rsid w:val="00A60FE7"/>
    <w:rsid w:val="00A61552"/>
    <w:rsid w:val="00A61CEF"/>
    <w:rsid w:val="00A64507"/>
    <w:rsid w:val="00A64D47"/>
    <w:rsid w:val="00A64E8E"/>
    <w:rsid w:val="00A66D40"/>
    <w:rsid w:val="00A67C86"/>
    <w:rsid w:val="00A67F2C"/>
    <w:rsid w:val="00A74E0B"/>
    <w:rsid w:val="00A75181"/>
    <w:rsid w:val="00A76BC5"/>
    <w:rsid w:val="00A77B0A"/>
    <w:rsid w:val="00A805DF"/>
    <w:rsid w:val="00A81B1C"/>
    <w:rsid w:val="00A825FC"/>
    <w:rsid w:val="00A83219"/>
    <w:rsid w:val="00A8334C"/>
    <w:rsid w:val="00A8495F"/>
    <w:rsid w:val="00A84AE1"/>
    <w:rsid w:val="00A84DFE"/>
    <w:rsid w:val="00A856F1"/>
    <w:rsid w:val="00A864A5"/>
    <w:rsid w:val="00A8677E"/>
    <w:rsid w:val="00A90B3F"/>
    <w:rsid w:val="00A91104"/>
    <w:rsid w:val="00A9187F"/>
    <w:rsid w:val="00A931AA"/>
    <w:rsid w:val="00A97F00"/>
    <w:rsid w:val="00AA0F7D"/>
    <w:rsid w:val="00AA1014"/>
    <w:rsid w:val="00AA1AA7"/>
    <w:rsid w:val="00AA1FB7"/>
    <w:rsid w:val="00AA27C3"/>
    <w:rsid w:val="00AA497A"/>
    <w:rsid w:val="00AA5A3C"/>
    <w:rsid w:val="00AA5B21"/>
    <w:rsid w:val="00AA6A54"/>
    <w:rsid w:val="00AB108D"/>
    <w:rsid w:val="00AB1278"/>
    <w:rsid w:val="00AB1D82"/>
    <w:rsid w:val="00AB4DAA"/>
    <w:rsid w:val="00AB680D"/>
    <w:rsid w:val="00AB7A86"/>
    <w:rsid w:val="00AC2AAF"/>
    <w:rsid w:val="00AC3CA9"/>
    <w:rsid w:val="00AC60E5"/>
    <w:rsid w:val="00AC645F"/>
    <w:rsid w:val="00AC6E2D"/>
    <w:rsid w:val="00AD254D"/>
    <w:rsid w:val="00AD4078"/>
    <w:rsid w:val="00AD4328"/>
    <w:rsid w:val="00AE1218"/>
    <w:rsid w:val="00AE12DD"/>
    <w:rsid w:val="00AE1763"/>
    <w:rsid w:val="00AE4AE0"/>
    <w:rsid w:val="00AE50F5"/>
    <w:rsid w:val="00AE6881"/>
    <w:rsid w:val="00AE7E8A"/>
    <w:rsid w:val="00AF14E8"/>
    <w:rsid w:val="00AF2098"/>
    <w:rsid w:val="00AF289C"/>
    <w:rsid w:val="00AF5BE6"/>
    <w:rsid w:val="00AF6E79"/>
    <w:rsid w:val="00AF79BD"/>
    <w:rsid w:val="00AF79E9"/>
    <w:rsid w:val="00B00103"/>
    <w:rsid w:val="00B0088B"/>
    <w:rsid w:val="00B0165A"/>
    <w:rsid w:val="00B018B0"/>
    <w:rsid w:val="00B01C63"/>
    <w:rsid w:val="00B0284E"/>
    <w:rsid w:val="00B029B3"/>
    <w:rsid w:val="00B02A29"/>
    <w:rsid w:val="00B05E5E"/>
    <w:rsid w:val="00B05FDA"/>
    <w:rsid w:val="00B061CF"/>
    <w:rsid w:val="00B071D2"/>
    <w:rsid w:val="00B11EA4"/>
    <w:rsid w:val="00B121E3"/>
    <w:rsid w:val="00B12BE8"/>
    <w:rsid w:val="00B1304E"/>
    <w:rsid w:val="00B14184"/>
    <w:rsid w:val="00B1563E"/>
    <w:rsid w:val="00B15688"/>
    <w:rsid w:val="00B15C8A"/>
    <w:rsid w:val="00B1655A"/>
    <w:rsid w:val="00B1658B"/>
    <w:rsid w:val="00B17D6D"/>
    <w:rsid w:val="00B201E1"/>
    <w:rsid w:val="00B21735"/>
    <w:rsid w:val="00B2239E"/>
    <w:rsid w:val="00B23C4C"/>
    <w:rsid w:val="00B26053"/>
    <w:rsid w:val="00B27096"/>
    <w:rsid w:val="00B277FA"/>
    <w:rsid w:val="00B27F90"/>
    <w:rsid w:val="00B30A80"/>
    <w:rsid w:val="00B30DD4"/>
    <w:rsid w:val="00B36406"/>
    <w:rsid w:val="00B364E4"/>
    <w:rsid w:val="00B365D4"/>
    <w:rsid w:val="00B51056"/>
    <w:rsid w:val="00B53653"/>
    <w:rsid w:val="00B53BA2"/>
    <w:rsid w:val="00B53D0C"/>
    <w:rsid w:val="00B54A68"/>
    <w:rsid w:val="00B56273"/>
    <w:rsid w:val="00B566F4"/>
    <w:rsid w:val="00B62F40"/>
    <w:rsid w:val="00B63CBC"/>
    <w:rsid w:val="00B65426"/>
    <w:rsid w:val="00B6693F"/>
    <w:rsid w:val="00B6704D"/>
    <w:rsid w:val="00B6752E"/>
    <w:rsid w:val="00B67886"/>
    <w:rsid w:val="00B72858"/>
    <w:rsid w:val="00B72C42"/>
    <w:rsid w:val="00B73053"/>
    <w:rsid w:val="00B748BF"/>
    <w:rsid w:val="00B74BD4"/>
    <w:rsid w:val="00B76D96"/>
    <w:rsid w:val="00B80582"/>
    <w:rsid w:val="00B8103A"/>
    <w:rsid w:val="00B825E0"/>
    <w:rsid w:val="00B82AE6"/>
    <w:rsid w:val="00B8476D"/>
    <w:rsid w:val="00B8492F"/>
    <w:rsid w:val="00B853A7"/>
    <w:rsid w:val="00B861BA"/>
    <w:rsid w:val="00B8646F"/>
    <w:rsid w:val="00B86B75"/>
    <w:rsid w:val="00B87AED"/>
    <w:rsid w:val="00B90CEC"/>
    <w:rsid w:val="00B9204C"/>
    <w:rsid w:val="00B92C38"/>
    <w:rsid w:val="00B92D3C"/>
    <w:rsid w:val="00B96276"/>
    <w:rsid w:val="00B96523"/>
    <w:rsid w:val="00B9743A"/>
    <w:rsid w:val="00BA1480"/>
    <w:rsid w:val="00BA31F4"/>
    <w:rsid w:val="00BA43F6"/>
    <w:rsid w:val="00BA4EC1"/>
    <w:rsid w:val="00BA7788"/>
    <w:rsid w:val="00BA7837"/>
    <w:rsid w:val="00BB04B4"/>
    <w:rsid w:val="00BB0A3B"/>
    <w:rsid w:val="00BB2021"/>
    <w:rsid w:val="00BB2FBD"/>
    <w:rsid w:val="00BB4209"/>
    <w:rsid w:val="00BB479D"/>
    <w:rsid w:val="00BB6854"/>
    <w:rsid w:val="00BB6E76"/>
    <w:rsid w:val="00BB746A"/>
    <w:rsid w:val="00BB7D5B"/>
    <w:rsid w:val="00BB7FE6"/>
    <w:rsid w:val="00BC0C92"/>
    <w:rsid w:val="00BC0D68"/>
    <w:rsid w:val="00BC180F"/>
    <w:rsid w:val="00BC189F"/>
    <w:rsid w:val="00BC2B1B"/>
    <w:rsid w:val="00BC30C5"/>
    <w:rsid w:val="00BC3EA0"/>
    <w:rsid w:val="00BC429A"/>
    <w:rsid w:val="00BC5069"/>
    <w:rsid w:val="00BC62FF"/>
    <w:rsid w:val="00BD1516"/>
    <w:rsid w:val="00BD1743"/>
    <w:rsid w:val="00BD1FC8"/>
    <w:rsid w:val="00BD3870"/>
    <w:rsid w:val="00BD3CF9"/>
    <w:rsid w:val="00BD5AD4"/>
    <w:rsid w:val="00BE046C"/>
    <w:rsid w:val="00BE1BC0"/>
    <w:rsid w:val="00BE250E"/>
    <w:rsid w:val="00BE3133"/>
    <w:rsid w:val="00BE36E3"/>
    <w:rsid w:val="00BE38BB"/>
    <w:rsid w:val="00BE50B3"/>
    <w:rsid w:val="00BF0172"/>
    <w:rsid w:val="00BF0698"/>
    <w:rsid w:val="00BF1286"/>
    <w:rsid w:val="00BF4731"/>
    <w:rsid w:val="00BF4DAE"/>
    <w:rsid w:val="00BF586C"/>
    <w:rsid w:val="00BF5F05"/>
    <w:rsid w:val="00BF7672"/>
    <w:rsid w:val="00C00551"/>
    <w:rsid w:val="00C019C2"/>
    <w:rsid w:val="00C0296F"/>
    <w:rsid w:val="00C046D2"/>
    <w:rsid w:val="00C0497D"/>
    <w:rsid w:val="00C07BCA"/>
    <w:rsid w:val="00C07C5D"/>
    <w:rsid w:val="00C102C9"/>
    <w:rsid w:val="00C10990"/>
    <w:rsid w:val="00C11942"/>
    <w:rsid w:val="00C11B3B"/>
    <w:rsid w:val="00C130F5"/>
    <w:rsid w:val="00C15104"/>
    <w:rsid w:val="00C174B9"/>
    <w:rsid w:val="00C17661"/>
    <w:rsid w:val="00C22386"/>
    <w:rsid w:val="00C267C2"/>
    <w:rsid w:val="00C27170"/>
    <w:rsid w:val="00C279F5"/>
    <w:rsid w:val="00C31924"/>
    <w:rsid w:val="00C3263C"/>
    <w:rsid w:val="00C3349A"/>
    <w:rsid w:val="00C334C7"/>
    <w:rsid w:val="00C341DB"/>
    <w:rsid w:val="00C35633"/>
    <w:rsid w:val="00C36B2A"/>
    <w:rsid w:val="00C37DA9"/>
    <w:rsid w:val="00C41872"/>
    <w:rsid w:val="00C42CAD"/>
    <w:rsid w:val="00C436FC"/>
    <w:rsid w:val="00C4588C"/>
    <w:rsid w:val="00C45EDF"/>
    <w:rsid w:val="00C50147"/>
    <w:rsid w:val="00C517F9"/>
    <w:rsid w:val="00C52225"/>
    <w:rsid w:val="00C52D29"/>
    <w:rsid w:val="00C53005"/>
    <w:rsid w:val="00C55C20"/>
    <w:rsid w:val="00C56BDA"/>
    <w:rsid w:val="00C57F48"/>
    <w:rsid w:val="00C6168F"/>
    <w:rsid w:val="00C61B88"/>
    <w:rsid w:val="00C62569"/>
    <w:rsid w:val="00C63290"/>
    <w:rsid w:val="00C64A8D"/>
    <w:rsid w:val="00C65149"/>
    <w:rsid w:val="00C6596F"/>
    <w:rsid w:val="00C67A48"/>
    <w:rsid w:val="00C71268"/>
    <w:rsid w:val="00C736E5"/>
    <w:rsid w:val="00C73803"/>
    <w:rsid w:val="00C73A07"/>
    <w:rsid w:val="00C74254"/>
    <w:rsid w:val="00C745BD"/>
    <w:rsid w:val="00C763BC"/>
    <w:rsid w:val="00C81209"/>
    <w:rsid w:val="00C8665B"/>
    <w:rsid w:val="00C904EE"/>
    <w:rsid w:val="00C931B2"/>
    <w:rsid w:val="00C93549"/>
    <w:rsid w:val="00C9461F"/>
    <w:rsid w:val="00C954A8"/>
    <w:rsid w:val="00C965B4"/>
    <w:rsid w:val="00C96C4C"/>
    <w:rsid w:val="00CA0F7D"/>
    <w:rsid w:val="00CA38B4"/>
    <w:rsid w:val="00CA4E90"/>
    <w:rsid w:val="00CB1A78"/>
    <w:rsid w:val="00CB244C"/>
    <w:rsid w:val="00CB399E"/>
    <w:rsid w:val="00CB3AC3"/>
    <w:rsid w:val="00CB4D4C"/>
    <w:rsid w:val="00CB5EE2"/>
    <w:rsid w:val="00CB6231"/>
    <w:rsid w:val="00CB73AD"/>
    <w:rsid w:val="00CB792C"/>
    <w:rsid w:val="00CC2F41"/>
    <w:rsid w:val="00CC4E68"/>
    <w:rsid w:val="00CC50A8"/>
    <w:rsid w:val="00CC5443"/>
    <w:rsid w:val="00CC57C4"/>
    <w:rsid w:val="00CC726A"/>
    <w:rsid w:val="00CC77AA"/>
    <w:rsid w:val="00CD3472"/>
    <w:rsid w:val="00CD3984"/>
    <w:rsid w:val="00CD5424"/>
    <w:rsid w:val="00CD5B1F"/>
    <w:rsid w:val="00CD5DD5"/>
    <w:rsid w:val="00CD7436"/>
    <w:rsid w:val="00CE1CBD"/>
    <w:rsid w:val="00CE1F5C"/>
    <w:rsid w:val="00CE3900"/>
    <w:rsid w:val="00CE4BE1"/>
    <w:rsid w:val="00CE53AE"/>
    <w:rsid w:val="00CE5474"/>
    <w:rsid w:val="00CE7B55"/>
    <w:rsid w:val="00CF22E7"/>
    <w:rsid w:val="00CF31FA"/>
    <w:rsid w:val="00CF3981"/>
    <w:rsid w:val="00CF5569"/>
    <w:rsid w:val="00CF55A9"/>
    <w:rsid w:val="00CF598A"/>
    <w:rsid w:val="00CF5F92"/>
    <w:rsid w:val="00CF6D07"/>
    <w:rsid w:val="00CF6EA8"/>
    <w:rsid w:val="00D0281D"/>
    <w:rsid w:val="00D02EE6"/>
    <w:rsid w:val="00D052EF"/>
    <w:rsid w:val="00D0750C"/>
    <w:rsid w:val="00D079F1"/>
    <w:rsid w:val="00D11A1A"/>
    <w:rsid w:val="00D13426"/>
    <w:rsid w:val="00D14B99"/>
    <w:rsid w:val="00D158E8"/>
    <w:rsid w:val="00D164A2"/>
    <w:rsid w:val="00D171A6"/>
    <w:rsid w:val="00D174BE"/>
    <w:rsid w:val="00D274A2"/>
    <w:rsid w:val="00D2773C"/>
    <w:rsid w:val="00D278AA"/>
    <w:rsid w:val="00D30F43"/>
    <w:rsid w:val="00D32240"/>
    <w:rsid w:val="00D33EC0"/>
    <w:rsid w:val="00D3565C"/>
    <w:rsid w:val="00D414E8"/>
    <w:rsid w:val="00D421D2"/>
    <w:rsid w:val="00D4525C"/>
    <w:rsid w:val="00D4627C"/>
    <w:rsid w:val="00D46C63"/>
    <w:rsid w:val="00D47124"/>
    <w:rsid w:val="00D4721E"/>
    <w:rsid w:val="00D479EF"/>
    <w:rsid w:val="00D47CF9"/>
    <w:rsid w:val="00D47E19"/>
    <w:rsid w:val="00D500F2"/>
    <w:rsid w:val="00D50DCB"/>
    <w:rsid w:val="00D51610"/>
    <w:rsid w:val="00D54457"/>
    <w:rsid w:val="00D55369"/>
    <w:rsid w:val="00D5555C"/>
    <w:rsid w:val="00D55AFE"/>
    <w:rsid w:val="00D55BE0"/>
    <w:rsid w:val="00D56656"/>
    <w:rsid w:val="00D57943"/>
    <w:rsid w:val="00D619CC"/>
    <w:rsid w:val="00D62B30"/>
    <w:rsid w:val="00D70710"/>
    <w:rsid w:val="00D709F0"/>
    <w:rsid w:val="00D71CE0"/>
    <w:rsid w:val="00D72A78"/>
    <w:rsid w:val="00D734B2"/>
    <w:rsid w:val="00D7657B"/>
    <w:rsid w:val="00D76D2A"/>
    <w:rsid w:val="00D76FF7"/>
    <w:rsid w:val="00D774E4"/>
    <w:rsid w:val="00D80CAF"/>
    <w:rsid w:val="00D821E3"/>
    <w:rsid w:val="00D822C1"/>
    <w:rsid w:val="00D8413B"/>
    <w:rsid w:val="00D85885"/>
    <w:rsid w:val="00D87B59"/>
    <w:rsid w:val="00D90DE0"/>
    <w:rsid w:val="00D91EA7"/>
    <w:rsid w:val="00D92028"/>
    <w:rsid w:val="00D923B2"/>
    <w:rsid w:val="00D93DCB"/>
    <w:rsid w:val="00D941CF"/>
    <w:rsid w:val="00D9547B"/>
    <w:rsid w:val="00D9660A"/>
    <w:rsid w:val="00D96EB2"/>
    <w:rsid w:val="00D9772C"/>
    <w:rsid w:val="00DA1AE6"/>
    <w:rsid w:val="00DA2762"/>
    <w:rsid w:val="00DA4AF6"/>
    <w:rsid w:val="00DA658C"/>
    <w:rsid w:val="00DB0DC9"/>
    <w:rsid w:val="00DC018D"/>
    <w:rsid w:val="00DC341E"/>
    <w:rsid w:val="00DC40C5"/>
    <w:rsid w:val="00DC46F1"/>
    <w:rsid w:val="00DC4949"/>
    <w:rsid w:val="00DC5864"/>
    <w:rsid w:val="00DC6D12"/>
    <w:rsid w:val="00DD1AE4"/>
    <w:rsid w:val="00DD1BB4"/>
    <w:rsid w:val="00DD2C30"/>
    <w:rsid w:val="00DD5499"/>
    <w:rsid w:val="00DD6599"/>
    <w:rsid w:val="00DD7587"/>
    <w:rsid w:val="00DD7964"/>
    <w:rsid w:val="00DE0913"/>
    <w:rsid w:val="00DE0A47"/>
    <w:rsid w:val="00DE14CD"/>
    <w:rsid w:val="00DE26A7"/>
    <w:rsid w:val="00DE3833"/>
    <w:rsid w:val="00DE454F"/>
    <w:rsid w:val="00DE499B"/>
    <w:rsid w:val="00DE4BF0"/>
    <w:rsid w:val="00DE5EFF"/>
    <w:rsid w:val="00DE63FC"/>
    <w:rsid w:val="00DE64FE"/>
    <w:rsid w:val="00DE74C8"/>
    <w:rsid w:val="00DF0840"/>
    <w:rsid w:val="00DF0CC4"/>
    <w:rsid w:val="00DF216D"/>
    <w:rsid w:val="00DF2E7B"/>
    <w:rsid w:val="00DF3341"/>
    <w:rsid w:val="00DF4A6C"/>
    <w:rsid w:val="00DF537C"/>
    <w:rsid w:val="00DF6A6C"/>
    <w:rsid w:val="00E02778"/>
    <w:rsid w:val="00E05143"/>
    <w:rsid w:val="00E06DFB"/>
    <w:rsid w:val="00E07F7B"/>
    <w:rsid w:val="00E1176B"/>
    <w:rsid w:val="00E11CD5"/>
    <w:rsid w:val="00E12A2C"/>
    <w:rsid w:val="00E13086"/>
    <w:rsid w:val="00E14F01"/>
    <w:rsid w:val="00E16BDB"/>
    <w:rsid w:val="00E17042"/>
    <w:rsid w:val="00E20381"/>
    <w:rsid w:val="00E21BBC"/>
    <w:rsid w:val="00E22913"/>
    <w:rsid w:val="00E22F09"/>
    <w:rsid w:val="00E23D42"/>
    <w:rsid w:val="00E2407B"/>
    <w:rsid w:val="00E24131"/>
    <w:rsid w:val="00E2610D"/>
    <w:rsid w:val="00E33620"/>
    <w:rsid w:val="00E33E87"/>
    <w:rsid w:val="00E36F8C"/>
    <w:rsid w:val="00E409A0"/>
    <w:rsid w:val="00E40DBB"/>
    <w:rsid w:val="00E427A8"/>
    <w:rsid w:val="00E44A1E"/>
    <w:rsid w:val="00E44ECE"/>
    <w:rsid w:val="00E45B4B"/>
    <w:rsid w:val="00E50144"/>
    <w:rsid w:val="00E502B1"/>
    <w:rsid w:val="00E50DD0"/>
    <w:rsid w:val="00E52B84"/>
    <w:rsid w:val="00E52F72"/>
    <w:rsid w:val="00E5441F"/>
    <w:rsid w:val="00E5626D"/>
    <w:rsid w:val="00E57278"/>
    <w:rsid w:val="00E5740E"/>
    <w:rsid w:val="00E5794F"/>
    <w:rsid w:val="00E57F6B"/>
    <w:rsid w:val="00E62312"/>
    <w:rsid w:val="00E627FC"/>
    <w:rsid w:val="00E62A4F"/>
    <w:rsid w:val="00E63221"/>
    <w:rsid w:val="00E652BF"/>
    <w:rsid w:val="00E655B8"/>
    <w:rsid w:val="00E658E9"/>
    <w:rsid w:val="00E6617F"/>
    <w:rsid w:val="00E66B32"/>
    <w:rsid w:val="00E66F86"/>
    <w:rsid w:val="00E70B80"/>
    <w:rsid w:val="00E71205"/>
    <w:rsid w:val="00E74DB6"/>
    <w:rsid w:val="00E76E63"/>
    <w:rsid w:val="00E8143E"/>
    <w:rsid w:val="00E82324"/>
    <w:rsid w:val="00E841AD"/>
    <w:rsid w:val="00E84E17"/>
    <w:rsid w:val="00E84E57"/>
    <w:rsid w:val="00E853DB"/>
    <w:rsid w:val="00E87B2C"/>
    <w:rsid w:val="00E945B7"/>
    <w:rsid w:val="00E95B47"/>
    <w:rsid w:val="00E96170"/>
    <w:rsid w:val="00EA03B8"/>
    <w:rsid w:val="00EA101B"/>
    <w:rsid w:val="00EA25FD"/>
    <w:rsid w:val="00EA2721"/>
    <w:rsid w:val="00EA2E0C"/>
    <w:rsid w:val="00EA41E0"/>
    <w:rsid w:val="00EA47B5"/>
    <w:rsid w:val="00EA5CE4"/>
    <w:rsid w:val="00EA63E8"/>
    <w:rsid w:val="00EA6998"/>
    <w:rsid w:val="00EA75F6"/>
    <w:rsid w:val="00EA7B4C"/>
    <w:rsid w:val="00EA7ED8"/>
    <w:rsid w:val="00EB2157"/>
    <w:rsid w:val="00EB23E0"/>
    <w:rsid w:val="00EB2434"/>
    <w:rsid w:val="00EB370C"/>
    <w:rsid w:val="00EB3953"/>
    <w:rsid w:val="00EB43C0"/>
    <w:rsid w:val="00EB5B9E"/>
    <w:rsid w:val="00EB5C0B"/>
    <w:rsid w:val="00EB6DF2"/>
    <w:rsid w:val="00EB770E"/>
    <w:rsid w:val="00EB7A89"/>
    <w:rsid w:val="00EC1D80"/>
    <w:rsid w:val="00EC214F"/>
    <w:rsid w:val="00EC3AC8"/>
    <w:rsid w:val="00EC4C48"/>
    <w:rsid w:val="00EC4F57"/>
    <w:rsid w:val="00EC5ACD"/>
    <w:rsid w:val="00EC7C72"/>
    <w:rsid w:val="00EC7E6B"/>
    <w:rsid w:val="00ED083B"/>
    <w:rsid w:val="00ED18C4"/>
    <w:rsid w:val="00ED2E63"/>
    <w:rsid w:val="00ED3244"/>
    <w:rsid w:val="00ED69FB"/>
    <w:rsid w:val="00EE03E6"/>
    <w:rsid w:val="00EE1F61"/>
    <w:rsid w:val="00EE1FD3"/>
    <w:rsid w:val="00EE2CAF"/>
    <w:rsid w:val="00EE3214"/>
    <w:rsid w:val="00EE48AE"/>
    <w:rsid w:val="00EE4B58"/>
    <w:rsid w:val="00EE7D24"/>
    <w:rsid w:val="00EF0938"/>
    <w:rsid w:val="00EF1A94"/>
    <w:rsid w:val="00EF21DC"/>
    <w:rsid w:val="00EF4EE8"/>
    <w:rsid w:val="00EF50FD"/>
    <w:rsid w:val="00EF6919"/>
    <w:rsid w:val="00EF79AB"/>
    <w:rsid w:val="00F00A9D"/>
    <w:rsid w:val="00F00CEA"/>
    <w:rsid w:val="00F01663"/>
    <w:rsid w:val="00F01ED1"/>
    <w:rsid w:val="00F02E63"/>
    <w:rsid w:val="00F05A65"/>
    <w:rsid w:val="00F05AD9"/>
    <w:rsid w:val="00F06632"/>
    <w:rsid w:val="00F13F2D"/>
    <w:rsid w:val="00F15365"/>
    <w:rsid w:val="00F16C50"/>
    <w:rsid w:val="00F17352"/>
    <w:rsid w:val="00F203B9"/>
    <w:rsid w:val="00F22444"/>
    <w:rsid w:val="00F2296D"/>
    <w:rsid w:val="00F23703"/>
    <w:rsid w:val="00F25D11"/>
    <w:rsid w:val="00F26EC0"/>
    <w:rsid w:val="00F273D9"/>
    <w:rsid w:val="00F3024B"/>
    <w:rsid w:val="00F30771"/>
    <w:rsid w:val="00F31430"/>
    <w:rsid w:val="00F315FD"/>
    <w:rsid w:val="00F321A6"/>
    <w:rsid w:val="00F3225E"/>
    <w:rsid w:val="00F33D6C"/>
    <w:rsid w:val="00F35CA9"/>
    <w:rsid w:val="00F37083"/>
    <w:rsid w:val="00F37185"/>
    <w:rsid w:val="00F37D1B"/>
    <w:rsid w:val="00F402DF"/>
    <w:rsid w:val="00F40E6D"/>
    <w:rsid w:val="00F41280"/>
    <w:rsid w:val="00F42D05"/>
    <w:rsid w:val="00F42D87"/>
    <w:rsid w:val="00F4684A"/>
    <w:rsid w:val="00F54F76"/>
    <w:rsid w:val="00F54F95"/>
    <w:rsid w:val="00F564B3"/>
    <w:rsid w:val="00F56C3A"/>
    <w:rsid w:val="00F5746E"/>
    <w:rsid w:val="00F57F6F"/>
    <w:rsid w:val="00F6185A"/>
    <w:rsid w:val="00F627CD"/>
    <w:rsid w:val="00F637B2"/>
    <w:rsid w:val="00F642E7"/>
    <w:rsid w:val="00F64DC6"/>
    <w:rsid w:val="00F706D2"/>
    <w:rsid w:val="00F70F22"/>
    <w:rsid w:val="00F72E1C"/>
    <w:rsid w:val="00F72E9B"/>
    <w:rsid w:val="00F737AD"/>
    <w:rsid w:val="00F7742E"/>
    <w:rsid w:val="00F778FC"/>
    <w:rsid w:val="00F811EF"/>
    <w:rsid w:val="00F81C73"/>
    <w:rsid w:val="00F850E8"/>
    <w:rsid w:val="00F8530C"/>
    <w:rsid w:val="00F86F11"/>
    <w:rsid w:val="00F87AEB"/>
    <w:rsid w:val="00F87DF0"/>
    <w:rsid w:val="00F90A32"/>
    <w:rsid w:val="00F912E1"/>
    <w:rsid w:val="00F91B9E"/>
    <w:rsid w:val="00F91FDE"/>
    <w:rsid w:val="00F92E9F"/>
    <w:rsid w:val="00F93A0A"/>
    <w:rsid w:val="00F945D8"/>
    <w:rsid w:val="00F95781"/>
    <w:rsid w:val="00F96D2B"/>
    <w:rsid w:val="00F971C4"/>
    <w:rsid w:val="00FA1A5E"/>
    <w:rsid w:val="00FA5286"/>
    <w:rsid w:val="00FA52E3"/>
    <w:rsid w:val="00FA60B6"/>
    <w:rsid w:val="00FA7EFC"/>
    <w:rsid w:val="00FB1871"/>
    <w:rsid w:val="00FB21EF"/>
    <w:rsid w:val="00FB41AE"/>
    <w:rsid w:val="00FB44FC"/>
    <w:rsid w:val="00FB7E30"/>
    <w:rsid w:val="00FC0747"/>
    <w:rsid w:val="00FC1558"/>
    <w:rsid w:val="00FC17F6"/>
    <w:rsid w:val="00FC2134"/>
    <w:rsid w:val="00FC27A3"/>
    <w:rsid w:val="00FC328C"/>
    <w:rsid w:val="00FC5765"/>
    <w:rsid w:val="00FC6EAB"/>
    <w:rsid w:val="00FC7A54"/>
    <w:rsid w:val="00FD020E"/>
    <w:rsid w:val="00FD1402"/>
    <w:rsid w:val="00FD738E"/>
    <w:rsid w:val="00FE1068"/>
    <w:rsid w:val="00FE1832"/>
    <w:rsid w:val="00FE292F"/>
    <w:rsid w:val="00FE3199"/>
    <w:rsid w:val="00FE411D"/>
    <w:rsid w:val="00FE6A27"/>
    <w:rsid w:val="00FE755B"/>
    <w:rsid w:val="00FE7CEA"/>
    <w:rsid w:val="00FF0347"/>
    <w:rsid w:val="00FF060F"/>
    <w:rsid w:val="00FF1C4D"/>
    <w:rsid w:val="00FF32FC"/>
    <w:rsid w:val="00FF3C1F"/>
    <w:rsid w:val="00FF3D2E"/>
    <w:rsid w:val="00FF40DC"/>
    <w:rsid w:val="00FF481F"/>
    <w:rsid w:val="00FF4C8E"/>
    <w:rsid w:val="00FF4EF5"/>
    <w:rsid w:val="00FF7E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6E221"/>
  <w15:chartTrackingRefBased/>
  <w15:docId w15:val="{1C0024DC-A97E-4D45-995C-4F5F40C3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5C"/>
    <w:pPr>
      <w:spacing w:after="24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BC3EA0"/>
    <w:p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346B30"/>
    <w:pPr>
      <w:keepNext/>
      <w:spacing w:before="120" w:after="120" w:line="240" w:lineRule="auto"/>
      <w:outlineLvl w:val="1"/>
    </w:pPr>
    <w:rPr>
      <w:rFonts w:ascii="Arial Bold" w:hAnsi="Arial Bold"/>
      <w:b/>
      <w:color w:val="0082AB"/>
      <w:spacing w:val="20"/>
      <w:w w:val="90"/>
      <w:sz w:val="32"/>
      <w:szCs w:val="24"/>
    </w:rPr>
  </w:style>
  <w:style w:type="paragraph" w:styleId="Heading3">
    <w:name w:val="heading 3"/>
    <w:basedOn w:val="Heading2"/>
    <w:next w:val="Normal"/>
    <w:link w:val="Heading3Char"/>
    <w:qFormat/>
    <w:rsid w:val="00BC3EA0"/>
    <w:pPr>
      <w:spacing w:before="200"/>
      <w:outlineLvl w:val="2"/>
    </w:pPr>
    <w:rPr>
      <w:sz w:val="24"/>
      <w:szCs w:val="22"/>
    </w:rPr>
  </w:style>
  <w:style w:type="paragraph" w:styleId="Heading4">
    <w:name w:val="heading 4"/>
    <w:basedOn w:val="Normal"/>
    <w:next w:val="Normal"/>
    <w:link w:val="Heading4Char"/>
    <w:qFormat/>
    <w:rsid w:val="001F494A"/>
    <w:pPr>
      <w:spacing w:before="120" w:after="200" w:line="240" w:lineRule="auto"/>
      <w:outlineLvl w:val="3"/>
    </w:pPr>
    <w:rPr>
      <w:b/>
      <w:bCs/>
      <w:color w:val="335087"/>
      <w:szCs w:val="22"/>
      <w:lang w:val="en-NZ"/>
    </w:rPr>
  </w:style>
  <w:style w:type="paragraph" w:styleId="Heading5">
    <w:name w:val="heading 5"/>
    <w:basedOn w:val="Normal"/>
    <w:next w:val="Normal"/>
    <w:link w:val="Heading5Char"/>
    <w:rsid w:val="00BC3EA0"/>
    <w:pPr>
      <w:keepNext/>
      <w:widowControl w:val="0"/>
      <w:spacing w:before="80" w:after="12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743278"/>
    <w:pPr>
      <w:tabs>
        <w:tab w:val="decimal" w:pos="9070"/>
        <w:tab w:val="right" w:pos="14002"/>
      </w:tabs>
      <w:spacing w:after="0" w:line="240" w:lineRule="auto"/>
    </w:pPr>
    <w:rPr>
      <w:noProof/>
      <w:color w:val="0082AB"/>
      <w:spacing w:val="6"/>
      <w:sz w:val="16"/>
      <w:szCs w:val="16"/>
    </w:rPr>
  </w:style>
  <w:style w:type="character" w:customStyle="1" w:styleId="FooterChar">
    <w:name w:val="Footer Char"/>
    <w:link w:val="Footer"/>
    <w:rsid w:val="00743278"/>
    <w:rPr>
      <w:rFonts w:ascii="Arial" w:eastAsia="Times New Roman" w:hAnsi="Arial"/>
      <w:noProof/>
      <w:color w:val="0082AB"/>
      <w:spacing w:val="6"/>
      <w:sz w:val="16"/>
      <w:szCs w:val="16"/>
      <w:lang w:val="en-GB" w:eastAsia="en-GB"/>
    </w:rPr>
  </w:style>
  <w:style w:type="table" w:styleId="TableGrid">
    <w:name w:val="Table Grid"/>
    <w:basedOn w:val="TableNormal"/>
    <w:rsid w:val="00BC3EA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basedOn w:val="Normal"/>
    <w:uiPriority w:val="34"/>
    <w:qFormat/>
    <w:rsid w:val="00D278AA"/>
    <w:pPr>
      <w:ind w:left="720"/>
      <w:contextualSpacing/>
    </w:pPr>
  </w:style>
  <w:style w:type="character" w:styleId="Hyperlink">
    <w:name w:val="Hyperlink"/>
    <w:uiPriority w:val="99"/>
    <w:rsid w:val="00537EFE"/>
    <w:rPr>
      <w:color w:val="0082AB"/>
      <w:u w:val="single"/>
    </w:rPr>
  </w:style>
  <w:style w:type="character" w:styleId="CommentReference">
    <w:name w:val="annotation reference"/>
    <w:semiHidden/>
    <w:rsid w:val="00BC3EA0"/>
    <w:rPr>
      <w:sz w:val="16"/>
      <w:szCs w:val="16"/>
    </w:rPr>
  </w:style>
  <w:style w:type="paragraph" w:styleId="CommentText">
    <w:name w:val="annotation text"/>
    <w:basedOn w:val="Normal"/>
    <w:link w:val="CommentTextChar"/>
    <w:semiHidden/>
    <w:rsid w:val="00BC3EA0"/>
    <w:rPr>
      <w:sz w:val="20"/>
    </w:rPr>
  </w:style>
  <w:style w:type="character" w:customStyle="1" w:styleId="CommentTextChar">
    <w:name w:val="Comment Text Char"/>
    <w:link w:val="CommentText"/>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1"/>
      </w:numPr>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 w:val="22"/>
      <w:lang w:val="en-GB"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rsid w:val="00BC3EA0"/>
    <w:pPr>
      <w:tabs>
        <w:tab w:val="center" w:pos="4153"/>
        <w:tab w:val="right" w:pos="8306"/>
      </w:tabs>
    </w:pPr>
  </w:style>
  <w:style w:type="character" w:customStyle="1" w:styleId="HeaderChar">
    <w:name w:val="Header Char"/>
    <w:link w:val="Header"/>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2"/>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3"/>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style>
  <w:style w:type="paragraph" w:customStyle="1" w:styleId="Evenfooter-wide">
    <w:name w:val="Even footer-wide"/>
    <w:basedOn w:val="EvenFooter"/>
    <w:rsid w:val="00BC3EA0"/>
  </w:style>
  <w:style w:type="character" w:styleId="FootnoteReference">
    <w:name w:val="footnote reference"/>
    <w:semiHidden/>
    <w:rsid w:val="00BC3EA0"/>
    <w:rPr>
      <w:rFonts w:ascii="Arial" w:hAnsi="Arial"/>
      <w:color w:val="auto"/>
      <w:position w:val="8"/>
      <w:sz w:val="16"/>
    </w:rPr>
  </w:style>
  <w:style w:type="paragraph" w:styleId="FootnoteText">
    <w:name w:val="footnote text"/>
    <w:basedOn w:val="Normal"/>
    <w:link w:val="FootnoteTextChar"/>
    <w:semiHidden/>
    <w:rsid w:val="00525B8B"/>
    <w:pPr>
      <w:tabs>
        <w:tab w:val="left" w:pos="425"/>
      </w:tabs>
      <w:spacing w:after="60" w:line="240" w:lineRule="auto"/>
    </w:pPr>
    <w:rPr>
      <w:sz w:val="18"/>
    </w:rPr>
  </w:style>
  <w:style w:type="character" w:customStyle="1" w:styleId="FootnoteTextChar">
    <w:name w:val="Footnote Text Char"/>
    <w:link w:val="FootnoteText"/>
    <w:semiHidden/>
    <w:rsid w:val="00525B8B"/>
    <w:rPr>
      <w:rFonts w:ascii="Arial" w:eastAsia="Times New Roman" w:hAnsi="Arial"/>
      <w:sz w:val="18"/>
      <w:lang w:val="en-GB" w:eastAsia="en-GB"/>
    </w:rPr>
  </w:style>
  <w:style w:type="character" w:customStyle="1" w:styleId="Heading1Char">
    <w:name w:val="Heading 1 Char"/>
    <w:link w:val="Heading1"/>
    <w:rsid w:val="00BC3EA0"/>
    <w:rPr>
      <w:rFonts w:ascii="Arial" w:eastAsia="Times New Roman" w:hAnsi="Arial" w:cs="Times New Roman"/>
      <w:b/>
      <w:color w:val="002469"/>
      <w:spacing w:val="20"/>
      <w:w w:val="90"/>
      <w:sz w:val="44"/>
      <w:szCs w:val="44"/>
      <w:lang w:val="en-GB" w:eastAsia="en-GB"/>
    </w:rPr>
  </w:style>
  <w:style w:type="character" w:customStyle="1" w:styleId="Heading2Char">
    <w:name w:val="Heading 2 Char"/>
    <w:link w:val="Heading2"/>
    <w:rsid w:val="00346B30"/>
    <w:rPr>
      <w:rFonts w:ascii="Arial Bold" w:eastAsia="Times New Roman" w:hAnsi="Arial Bold"/>
      <w:b/>
      <w:color w:val="0082AB"/>
      <w:spacing w:val="20"/>
      <w:w w:val="90"/>
      <w:sz w:val="32"/>
      <w:szCs w:val="24"/>
      <w:lang w:val="en-GB" w:eastAsia="en-GB"/>
    </w:rPr>
  </w:style>
  <w:style w:type="character" w:customStyle="1" w:styleId="Heading3Char">
    <w:name w:val="Heading 3 Char"/>
    <w:link w:val="Heading3"/>
    <w:rsid w:val="00BC3EA0"/>
    <w:rPr>
      <w:rFonts w:ascii="Arial" w:eastAsia="Times New Roman" w:hAnsi="Arial" w:cs="Times New Roman"/>
      <w:b/>
      <w:color w:val="335087"/>
      <w:spacing w:val="20"/>
      <w:w w:val="90"/>
      <w:sz w:val="24"/>
      <w:lang w:val="en-GB" w:eastAsia="en-GB"/>
    </w:rPr>
  </w:style>
  <w:style w:type="character" w:customStyle="1" w:styleId="Heading4Char">
    <w:name w:val="Heading 4 Char"/>
    <w:link w:val="Heading4"/>
    <w:rsid w:val="001F494A"/>
    <w:rPr>
      <w:rFonts w:ascii="Arial" w:eastAsia="Times New Roman" w:hAnsi="Arial"/>
      <w:b/>
      <w:bCs/>
      <w:color w:val="335087"/>
      <w:sz w:val="22"/>
      <w:szCs w:val="22"/>
      <w:lang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BC3EA0"/>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BC3EA0"/>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 w:type="paragraph" w:customStyle="1" w:styleId="Tablebullet">
    <w:name w:val="Table bullet"/>
    <w:basedOn w:val="Normal"/>
    <w:qFormat/>
    <w:rsid w:val="00B56273"/>
    <w:pPr>
      <w:numPr>
        <w:numId w:val="4"/>
      </w:numPr>
      <w:autoSpaceDE w:val="0"/>
      <w:autoSpaceDN w:val="0"/>
      <w:adjustRightInd w:val="0"/>
      <w:spacing w:before="60" w:after="60"/>
    </w:pPr>
    <w:rPr>
      <w:rFonts w:cs="GillSans"/>
      <w:szCs w:val="22"/>
      <w:lang w:eastAsia="en-AU"/>
    </w:rPr>
  </w:style>
  <w:style w:type="table" w:styleId="GridTable4-Accent1">
    <w:name w:val="Grid Table 4 Accent 1"/>
    <w:basedOn w:val="TableNormal"/>
    <w:uiPriority w:val="49"/>
    <w:rsid w:val="00C935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ings">
    <w:name w:val="Table Headings"/>
    <w:basedOn w:val="Normal"/>
    <w:qFormat/>
    <w:rsid w:val="00C93549"/>
    <w:pPr>
      <w:spacing w:before="60" w:after="60"/>
    </w:pPr>
    <w:rPr>
      <w:rFonts w:cs="Arial"/>
      <w:b/>
      <w:color w:val="000000"/>
    </w:rPr>
  </w:style>
  <w:style w:type="character" w:customStyle="1" w:styleId="UnresolvedMention1">
    <w:name w:val="Unresolved Mention1"/>
    <w:basedOn w:val="DefaultParagraphFont"/>
    <w:uiPriority w:val="99"/>
    <w:semiHidden/>
    <w:unhideWhenUsed/>
    <w:rsid w:val="00E52B84"/>
    <w:rPr>
      <w:color w:val="605E5C"/>
      <w:shd w:val="clear" w:color="auto" w:fill="E1DFDD"/>
    </w:rPr>
  </w:style>
  <w:style w:type="character" w:styleId="UnresolvedMention">
    <w:name w:val="Unresolved Mention"/>
    <w:basedOn w:val="DefaultParagraphFont"/>
    <w:uiPriority w:val="99"/>
    <w:semiHidden/>
    <w:unhideWhenUsed/>
    <w:rsid w:val="00447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6763">
      <w:bodyDiv w:val="1"/>
      <w:marLeft w:val="0"/>
      <w:marRight w:val="0"/>
      <w:marTop w:val="0"/>
      <w:marBottom w:val="0"/>
      <w:divBdr>
        <w:top w:val="none" w:sz="0" w:space="0" w:color="auto"/>
        <w:left w:val="none" w:sz="0" w:space="0" w:color="auto"/>
        <w:bottom w:val="none" w:sz="0" w:space="0" w:color="auto"/>
        <w:right w:val="none" w:sz="0" w:space="0" w:color="auto"/>
      </w:divBdr>
    </w:div>
    <w:div w:id="1232036928">
      <w:bodyDiv w:val="1"/>
      <w:marLeft w:val="0"/>
      <w:marRight w:val="0"/>
      <w:marTop w:val="0"/>
      <w:marBottom w:val="0"/>
      <w:divBdr>
        <w:top w:val="none" w:sz="0" w:space="0" w:color="auto"/>
        <w:left w:val="none" w:sz="0" w:space="0" w:color="auto"/>
        <w:bottom w:val="none" w:sz="0" w:space="0" w:color="auto"/>
        <w:right w:val="none" w:sz="0" w:space="0" w:color="auto"/>
      </w:divBdr>
    </w:div>
    <w:div w:id="1701081625">
      <w:bodyDiv w:val="1"/>
      <w:marLeft w:val="0"/>
      <w:marRight w:val="0"/>
      <w:marTop w:val="0"/>
      <w:marBottom w:val="0"/>
      <w:divBdr>
        <w:top w:val="none" w:sz="0" w:space="0" w:color="auto"/>
        <w:left w:val="none" w:sz="0" w:space="0" w:color="auto"/>
        <w:bottom w:val="none" w:sz="0" w:space="0" w:color="auto"/>
        <w:right w:val="none" w:sz="0" w:space="0" w:color="auto"/>
      </w:divBdr>
    </w:div>
    <w:div w:id="19009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2" ma:contentTypeDescription="Create a new document." ma:contentTypeScope="" ma:versionID="76732180c5ca7fd834a4b1eca5bcecec">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e2f27c896ccaf5f32ead17b69a5f006d"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84448-5A97-467E-988C-97EDDB0846E7}">
  <ds:schemaRefs>
    <ds:schemaRef ds:uri="http://schemas.microsoft.com/sharepoint/v3/contenttype/forms"/>
  </ds:schemaRefs>
</ds:datastoreItem>
</file>

<file path=customXml/itemProps2.xml><?xml version="1.0" encoding="utf-8"?>
<ds:datastoreItem xmlns:ds="http://schemas.openxmlformats.org/officeDocument/2006/customXml" ds:itemID="{82E2223F-9101-49A4-87FB-2AF1C6F27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E408F-F02D-413C-BECF-E8BE26D80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1BD0D-AB7F-4B16-AB73-33C81179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5830</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Regulatory Impact Assessment - Full Impact Statement Template</vt:lpstr>
    </vt:vector>
  </TitlesOfParts>
  <Company>NZ Government</Company>
  <LinksUpToDate>false</LinksUpToDate>
  <CharactersWithSpaces>38984</CharactersWithSpaces>
  <SharedDoc>false</SharedDoc>
  <HLinks>
    <vt:vector size="54" baseType="variant">
      <vt:variant>
        <vt:i4>2687029</vt:i4>
      </vt:variant>
      <vt:variant>
        <vt:i4>24</vt:i4>
      </vt:variant>
      <vt:variant>
        <vt:i4>0</vt:i4>
      </vt:variant>
      <vt:variant>
        <vt:i4>5</vt:i4>
      </vt:variant>
      <vt:variant>
        <vt:lpwstr>http://www.treasury.govt.nz/regulation/expectations</vt:lpwstr>
      </vt:variant>
      <vt:variant>
        <vt:lpwstr/>
      </vt:variant>
      <vt:variant>
        <vt:i4>2687029</vt:i4>
      </vt:variant>
      <vt:variant>
        <vt:i4>21</vt:i4>
      </vt:variant>
      <vt:variant>
        <vt:i4>0</vt:i4>
      </vt:variant>
      <vt:variant>
        <vt:i4>5</vt:i4>
      </vt:variant>
      <vt:variant>
        <vt:lpwstr>http://www.treasury.govt.nz/regulation/expectations</vt:lpwstr>
      </vt:variant>
      <vt:variant>
        <vt:lpwstr/>
      </vt:variant>
      <vt:variant>
        <vt:i4>8257662</vt:i4>
      </vt:variant>
      <vt:variant>
        <vt:i4>18</vt:i4>
      </vt:variant>
      <vt:variant>
        <vt:i4>0</vt:i4>
      </vt:variant>
      <vt:variant>
        <vt:i4>5</vt:i4>
      </vt:variant>
      <vt:variant>
        <vt:lpwstr>http://www.treasury.govt.nz/publications/guidance/planning/costbenefitanalysis</vt:lpwstr>
      </vt:variant>
      <vt:variant>
        <vt:lpwstr/>
      </vt:variant>
      <vt:variant>
        <vt:i4>2949239</vt:i4>
      </vt:variant>
      <vt:variant>
        <vt:i4>15</vt:i4>
      </vt:variant>
      <vt:variant>
        <vt:i4>0</vt:i4>
      </vt:variant>
      <vt:variant>
        <vt:i4>5</vt:i4>
      </vt:variant>
      <vt:variant>
        <vt:lpwstr>http://www.treasury.govt.nz/publications/guidance/planning/costbenefitanalysis/x/x-guide-oct15.pdf</vt:lpwstr>
      </vt:variant>
      <vt:variant>
        <vt:lpwstr/>
      </vt:variant>
      <vt:variant>
        <vt:i4>2687029</vt:i4>
      </vt:variant>
      <vt:variant>
        <vt:i4>12</vt:i4>
      </vt:variant>
      <vt:variant>
        <vt:i4>0</vt:i4>
      </vt:variant>
      <vt:variant>
        <vt:i4>5</vt:i4>
      </vt:variant>
      <vt:variant>
        <vt:lpwstr>http://www.treasury.govt.nz/regulation/expectations</vt:lpwstr>
      </vt:variant>
      <vt:variant>
        <vt:lpwstr/>
      </vt:variant>
      <vt:variant>
        <vt:i4>4128805</vt:i4>
      </vt:variant>
      <vt:variant>
        <vt:i4>9</vt:i4>
      </vt:variant>
      <vt:variant>
        <vt:i4>0</vt:i4>
      </vt:variant>
      <vt:variant>
        <vt:i4>5</vt:i4>
      </vt:variant>
      <vt:variant>
        <vt:lpwstr>http://www.treasury.govt.nz/regulation/regulatoryproposal/ria/handbook</vt:lpwstr>
      </vt:variant>
      <vt:variant>
        <vt:lpwstr/>
      </vt:variant>
      <vt:variant>
        <vt:i4>2687029</vt:i4>
      </vt:variant>
      <vt:variant>
        <vt:i4>6</vt:i4>
      </vt:variant>
      <vt:variant>
        <vt:i4>0</vt:i4>
      </vt:variant>
      <vt:variant>
        <vt:i4>5</vt:i4>
      </vt:variant>
      <vt:variant>
        <vt:lpwstr>http://www.treasury.govt.nz/regulation/expectations</vt:lpwstr>
      </vt:variant>
      <vt:variant>
        <vt:lpwstr/>
      </vt:variant>
      <vt:variant>
        <vt:i4>4128805</vt:i4>
      </vt:variant>
      <vt:variant>
        <vt:i4>3</vt:i4>
      </vt:variant>
      <vt:variant>
        <vt:i4>0</vt:i4>
      </vt:variant>
      <vt:variant>
        <vt:i4>5</vt:i4>
      </vt:variant>
      <vt:variant>
        <vt:lpwstr>http://www.treasury.govt.nz/regulation/regulatoryproposal/ria/handbook</vt:lpwstr>
      </vt:variant>
      <vt:variant>
        <vt:lpwstr/>
      </vt:variant>
      <vt:variant>
        <vt:i4>3801155</vt:i4>
      </vt:variant>
      <vt:variant>
        <vt:i4>0</vt:i4>
      </vt:variant>
      <vt:variant>
        <vt:i4>0</vt:i4>
      </vt:variant>
      <vt:variant>
        <vt:i4>5</vt:i4>
      </vt:variant>
      <vt:variant>
        <vt:lpwstr>mailto:ria@treasury.govt.nz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Assessment - Full Impact Statement Template</dc:title>
  <dc:subject/>
  <dc:creator>Ministry of Health</dc:creator>
  <cp:keywords/>
  <dc:description/>
  <cp:lastModifiedBy>Chris Rawson</cp:lastModifiedBy>
  <cp:revision>3</cp:revision>
  <cp:lastPrinted>2021-03-14T19:46:00Z</cp:lastPrinted>
  <dcterms:created xsi:type="dcterms:W3CDTF">2021-04-22T21:01:00Z</dcterms:created>
  <dcterms:modified xsi:type="dcterms:W3CDTF">2021-04-22T21:49:00Z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ecurityClassification">
    <vt:lpwstr>IN-CONFIDENCE</vt:lpwstr>
  </property>
  <property fmtid="{D5CDD505-2E9C-101B-9397-08002B2CF9AE}" pid="3" name="TsyDisplayedSecurityClassification">
    <vt:lpwstr>IN-CONFIDENCE</vt:lpwstr>
  </property>
  <property fmtid="{D5CDD505-2E9C-101B-9397-08002B2CF9AE}" pid="4" name="TsySeemailSecurityClassification">
    <vt:lpwstr> [IN-CONFIDENCE]</vt:lpwstr>
  </property>
  <property fmtid="{D5CDD505-2E9C-101B-9397-08002B2CF9AE}" pid="5" name="TsyDocNum">
    <vt:i4>4333481</vt:i4>
  </property>
  <property fmtid="{D5CDD505-2E9C-101B-9397-08002B2CF9AE}" pid="6" name="TsyDocVer">
    <vt:i4>1</vt:i4>
  </property>
  <property fmtid="{D5CDD505-2E9C-101B-9397-08002B2CF9AE}" pid="7" name="TsyDisplayedDocNumVer">
    <vt:lpwstr>Treasury:4333481v1</vt:lpwstr>
  </property>
  <property fmtid="{D5CDD505-2E9C-101B-9397-08002B2CF9AE}" pid="8" name="TsyFileNo">
    <vt:lpwstr>SH-11-2-7-2</vt:lpwstr>
  </property>
  <property fmtid="{D5CDD505-2E9C-101B-9397-08002B2CF9AE}" pid="9" name="TsyDescription">
    <vt:lpwstr>Regulatory Impact Statement Template-Aug2020</vt:lpwstr>
  </property>
  <property fmtid="{D5CDD505-2E9C-101B-9397-08002B2CF9AE}" pid="10" name="TsyTrNum">
    <vt:lpwstr> </vt:lpwstr>
  </property>
  <property fmtid="{D5CDD505-2E9C-101B-9397-08002B2CF9AE}" pid="11" name="TsyOiaNum">
    <vt:lpwstr> </vt:lpwstr>
  </property>
  <property fmtid="{D5CDD505-2E9C-101B-9397-08002B2CF9AE}" pid="12" name="TsyManagerUsername">
    <vt:lpwstr> </vt:lpwstr>
  </property>
  <property fmtid="{D5CDD505-2E9C-101B-9397-08002B2CF9AE}" pid="13" name="TsyManagerFullname">
    <vt:lpwstr> </vt:lpwstr>
  </property>
  <property fmtid="{D5CDD505-2E9C-101B-9397-08002B2CF9AE}" pid="14" name="TsyAuthorUsername">
    <vt:lpwstr>HAYSMITHB</vt:lpwstr>
  </property>
  <property fmtid="{D5CDD505-2E9C-101B-9397-08002B2CF9AE}" pid="15" name="TsyAuthorFullname">
    <vt:lpwstr>Benjamin Hay-Smith [TSY]</vt:lpwstr>
  </property>
  <property fmtid="{D5CDD505-2E9C-101B-9397-08002B2CF9AE}" pid="16" name="TsyUpdateFooter">
    <vt:bool>true</vt:bool>
  </property>
  <property fmtid="{D5CDD505-2E9C-101B-9397-08002B2CF9AE}" pid="17" name="ContentTypeId">
    <vt:lpwstr>0x01010057E63277EAE8FE41A17FB20E69B6ACA0</vt:lpwstr>
  </property>
</Properties>
</file>