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A3D68" w14:textId="77777777" w:rsidR="00743B79" w:rsidRPr="003B11EB" w:rsidRDefault="00743B79" w:rsidP="00743B79">
      <w:pPr>
        <w:pStyle w:val="Heading3"/>
        <w:rPr>
          <w:rStyle w:val="Heading2Char"/>
        </w:rPr>
      </w:pPr>
      <w:bookmarkStart w:id="0" w:name="_Toc68871126"/>
      <w:r w:rsidRPr="00625E23">
        <w:t xml:space="preserve">[Added April 2021] </w:t>
      </w:r>
      <w:r w:rsidRPr="003B11EB">
        <w:rPr>
          <w:rStyle w:val="Heading2Char"/>
        </w:rPr>
        <w:t>Deaths reported to the Director of Mental Health</w:t>
      </w:r>
      <w:bookmarkEnd w:id="0"/>
    </w:p>
    <w:p w14:paraId="1D529E8B" w14:textId="77777777" w:rsidR="00743B79" w:rsidRDefault="00743B79" w:rsidP="00743B79">
      <w:r>
        <w:t>Section 132 of the Mental Health (Compulsory Assessment and Treatment) Act 1992 requires the Director of Mental Health to be notified within 14 days of the death of any person or special patient under the Mental Health Act. Such a notification must identify the apparent cause of death.</w:t>
      </w:r>
    </w:p>
    <w:p w14:paraId="0598F339" w14:textId="77777777" w:rsidR="00743B79" w:rsidRDefault="00743B79" w:rsidP="00743B79"/>
    <w:p w14:paraId="57B77213" w14:textId="77777777" w:rsidR="00743B79" w:rsidRDefault="00743B79" w:rsidP="00743B79">
      <w:r>
        <w:t xml:space="preserve">In New Zealand, a coroner only officially classifies a death as suicide after completing their inquiry. Only those deaths that the coroner decides are “intentionally self-inflicted” will receive a final verdict of suicide. A coronial inquiry is unlikely to occur within a calendar year of an event occurring; for this reason, when a death appears to be </w:t>
      </w:r>
      <w:proofErr w:type="gramStart"/>
      <w:r>
        <w:t>self-inflicted</w:t>
      </w:r>
      <w:proofErr w:type="gramEnd"/>
      <w:r>
        <w:t xml:space="preserve"> but the coroner has not yet established the person’s intent, it is called a ‘suspected suicide’.</w:t>
      </w:r>
    </w:p>
    <w:p w14:paraId="33A02EBA" w14:textId="77777777" w:rsidR="00743B79" w:rsidRDefault="00743B79" w:rsidP="00743B79"/>
    <w:p w14:paraId="232D57A9" w14:textId="77777777" w:rsidR="00743B79" w:rsidRDefault="00743B79" w:rsidP="00743B79">
      <w:r>
        <w:t>In 2018, the Director of Mental Health received 58 death notifications related to people under the Mental Health Act (see Table 1). Of these, 19 related to people who were reported to have died by suspected suicide. The remaining 39 reportedly died by other means, including natural causes and illnesses unrelated to mental health status.</w:t>
      </w:r>
    </w:p>
    <w:p w14:paraId="1D88A9D1" w14:textId="77777777" w:rsidR="00743B79" w:rsidRDefault="00743B79" w:rsidP="00743B79">
      <w:r>
        <w:t>In 2019, the Director of Mental Health received 48 death notifications related to people under the Mental Health Act (see Table 2). Of these, 17 related to people who were reported to have died by suspected suicide. The remaining 31 reportedly died by other means, including natural causes and illnesses unrelated to mental health status.</w:t>
      </w:r>
    </w:p>
    <w:p w14:paraId="1EE76BFA" w14:textId="77777777" w:rsidR="00743B79" w:rsidRDefault="00743B79" w:rsidP="00743B79">
      <w:pPr>
        <w:ind w:left="-426"/>
      </w:pPr>
    </w:p>
    <w:p w14:paraId="2F262060" w14:textId="77777777" w:rsidR="00743B79" w:rsidRPr="00852F2E" w:rsidRDefault="00743B79" w:rsidP="00743B79">
      <w:pPr>
        <w:pStyle w:val="Table"/>
        <w:rPr>
          <w:i/>
          <w:iCs/>
        </w:rPr>
      </w:pPr>
      <w:bookmarkStart w:id="1" w:name="_Toc69306798"/>
      <w:r w:rsidRPr="763EB660">
        <w:t xml:space="preserve">Table </w:t>
      </w:r>
      <w:r>
        <w:t>A5</w:t>
      </w:r>
      <w:r w:rsidRPr="763EB660">
        <w:t>: Outcomes of reportable death notifications under section 132 of the Mental Health Act, 1 January to 31 December 2018</w:t>
      </w:r>
      <w:bookmarkEnd w:id="1"/>
    </w:p>
    <w:tbl>
      <w:tblPr>
        <w:tblStyle w:val="TableGrid"/>
        <w:tblW w:w="4679" w:type="dxa"/>
        <w:tblBorders>
          <w:left w:val="none" w:sz="0" w:space="0" w:color="auto"/>
          <w:right w:val="none" w:sz="0" w:space="0" w:color="auto"/>
          <w:insideV w:val="none" w:sz="0" w:space="0" w:color="auto"/>
        </w:tblBorders>
        <w:tblLook w:val="04A0" w:firstRow="1" w:lastRow="0" w:firstColumn="1" w:lastColumn="0" w:noHBand="0" w:noVBand="1"/>
      </w:tblPr>
      <w:tblGrid>
        <w:gridCol w:w="2750"/>
        <w:gridCol w:w="1929"/>
      </w:tblGrid>
      <w:tr w:rsidR="00743B79" w:rsidRPr="007525EC" w14:paraId="2AA3488A" w14:textId="77777777" w:rsidTr="00526446">
        <w:trPr>
          <w:trHeight w:val="469"/>
        </w:trPr>
        <w:tc>
          <w:tcPr>
            <w:tcW w:w="2750" w:type="dxa"/>
            <w:vAlign w:val="center"/>
          </w:tcPr>
          <w:p w14:paraId="64B4D272" w14:textId="77777777" w:rsidR="00743B79" w:rsidRPr="007525EC" w:rsidRDefault="00743B79" w:rsidP="00526446">
            <w:pPr>
              <w:pStyle w:val="TableText"/>
              <w:rPr>
                <w:b/>
                <w:bCs/>
              </w:rPr>
            </w:pPr>
            <w:r w:rsidRPr="007525EC">
              <w:rPr>
                <w:b/>
                <w:bCs/>
              </w:rPr>
              <w:t>Reportable death outcome</w:t>
            </w:r>
          </w:p>
        </w:tc>
        <w:tc>
          <w:tcPr>
            <w:tcW w:w="1929" w:type="dxa"/>
            <w:vAlign w:val="center"/>
          </w:tcPr>
          <w:p w14:paraId="07FA5BE0" w14:textId="77777777" w:rsidR="00743B79" w:rsidRPr="007525EC" w:rsidRDefault="00743B79" w:rsidP="00526446">
            <w:pPr>
              <w:pStyle w:val="TableText"/>
              <w:rPr>
                <w:b/>
                <w:bCs/>
              </w:rPr>
            </w:pPr>
            <w:r w:rsidRPr="007525EC">
              <w:rPr>
                <w:b/>
                <w:bCs/>
              </w:rPr>
              <w:t>Number of deaths</w:t>
            </w:r>
          </w:p>
        </w:tc>
      </w:tr>
      <w:tr w:rsidR="00743B79" w:rsidRPr="00884730" w14:paraId="278AE03E" w14:textId="77777777" w:rsidTr="00526446">
        <w:trPr>
          <w:trHeight w:val="469"/>
        </w:trPr>
        <w:tc>
          <w:tcPr>
            <w:tcW w:w="2750" w:type="dxa"/>
            <w:vAlign w:val="center"/>
          </w:tcPr>
          <w:p w14:paraId="55229765" w14:textId="77777777" w:rsidR="00743B79" w:rsidRPr="00D86A22" w:rsidRDefault="00743B79" w:rsidP="00526446">
            <w:pPr>
              <w:pStyle w:val="TableText"/>
            </w:pPr>
            <w:r w:rsidRPr="00D86A22">
              <w:t>Suspected suicide</w:t>
            </w:r>
          </w:p>
        </w:tc>
        <w:tc>
          <w:tcPr>
            <w:tcW w:w="1929" w:type="dxa"/>
            <w:vAlign w:val="center"/>
          </w:tcPr>
          <w:p w14:paraId="2B16DF8D" w14:textId="77777777" w:rsidR="00743B79" w:rsidRPr="00D86A22" w:rsidRDefault="00743B79" w:rsidP="00526446">
            <w:pPr>
              <w:pStyle w:val="TableText"/>
            </w:pPr>
            <w:r w:rsidRPr="00D86A22">
              <w:t>19</w:t>
            </w:r>
          </w:p>
        </w:tc>
      </w:tr>
      <w:tr w:rsidR="00743B79" w:rsidRPr="00884730" w14:paraId="38EC0136" w14:textId="77777777" w:rsidTr="00526446">
        <w:trPr>
          <w:trHeight w:val="469"/>
        </w:trPr>
        <w:tc>
          <w:tcPr>
            <w:tcW w:w="2750" w:type="dxa"/>
            <w:vAlign w:val="center"/>
          </w:tcPr>
          <w:p w14:paraId="15C970F5" w14:textId="77777777" w:rsidR="00743B79" w:rsidRPr="00D86A22" w:rsidRDefault="00743B79" w:rsidP="00526446">
            <w:pPr>
              <w:pStyle w:val="TableText"/>
            </w:pPr>
            <w:r w:rsidRPr="00D86A22">
              <w:t>Other deaths</w:t>
            </w:r>
          </w:p>
        </w:tc>
        <w:tc>
          <w:tcPr>
            <w:tcW w:w="1929" w:type="dxa"/>
            <w:vAlign w:val="center"/>
          </w:tcPr>
          <w:p w14:paraId="6BFF36F3" w14:textId="77777777" w:rsidR="00743B79" w:rsidRPr="00D86A22" w:rsidRDefault="00743B79" w:rsidP="00526446">
            <w:pPr>
              <w:pStyle w:val="TableText"/>
            </w:pPr>
            <w:r w:rsidRPr="00D86A22">
              <w:t>39</w:t>
            </w:r>
          </w:p>
        </w:tc>
      </w:tr>
      <w:tr w:rsidR="00743B79" w:rsidRPr="007525EC" w14:paraId="376CEE1E" w14:textId="77777777" w:rsidTr="00526446">
        <w:trPr>
          <w:trHeight w:val="469"/>
        </w:trPr>
        <w:tc>
          <w:tcPr>
            <w:tcW w:w="2750" w:type="dxa"/>
            <w:vAlign w:val="center"/>
          </w:tcPr>
          <w:p w14:paraId="50F7550D" w14:textId="77777777" w:rsidR="00743B79" w:rsidRPr="007525EC" w:rsidRDefault="00743B79" w:rsidP="00526446">
            <w:pPr>
              <w:pStyle w:val="TableText"/>
              <w:rPr>
                <w:b/>
                <w:bCs/>
              </w:rPr>
            </w:pPr>
            <w:r w:rsidRPr="007525EC">
              <w:rPr>
                <w:b/>
                <w:bCs/>
              </w:rPr>
              <w:t>Total</w:t>
            </w:r>
          </w:p>
        </w:tc>
        <w:tc>
          <w:tcPr>
            <w:tcW w:w="1929" w:type="dxa"/>
            <w:vAlign w:val="center"/>
          </w:tcPr>
          <w:p w14:paraId="3B86A4CC" w14:textId="77777777" w:rsidR="00743B79" w:rsidRPr="007525EC" w:rsidRDefault="00743B79" w:rsidP="00526446">
            <w:pPr>
              <w:pStyle w:val="TableText"/>
              <w:rPr>
                <w:b/>
                <w:bCs/>
              </w:rPr>
            </w:pPr>
            <w:r w:rsidRPr="007525EC">
              <w:rPr>
                <w:b/>
                <w:bCs/>
              </w:rPr>
              <w:t>58</w:t>
            </w:r>
          </w:p>
        </w:tc>
      </w:tr>
    </w:tbl>
    <w:p w14:paraId="68F7BDBA" w14:textId="77777777" w:rsidR="00743B79" w:rsidRPr="00D86A22" w:rsidRDefault="00743B79" w:rsidP="00743B79">
      <w:pPr>
        <w:rPr>
          <w:sz w:val="18"/>
          <w:szCs w:val="16"/>
        </w:rPr>
      </w:pPr>
      <w:r w:rsidRPr="00D86A22">
        <w:rPr>
          <w:sz w:val="18"/>
          <w:szCs w:val="16"/>
        </w:rPr>
        <w:t>Source: Office of the Director of Mental Health and Addiction Services records.</w:t>
      </w:r>
    </w:p>
    <w:p w14:paraId="033677B1" w14:textId="77777777" w:rsidR="00743B79" w:rsidRDefault="00743B79" w:rsidP="00743B79"/>
    <w:p w14:paraId="5B9A8316" w14:textId="77777777" w:rsidR="00743B79" w:rsidRPr="00852F2E" w:rsidRDefault="00743B79" w:rsidP="00743B79">
      <w:pPr>
        <w:pStyle w:val="Table"/>
        <w:rPr>
          <w:rFonts w:cstheme="minorHAnsi"/>
          <w:i/>
          <w:iCs/>
          <w:sz w:val="36"/>
          <w:szCs w:val="36"/>
        </w:rPr>
      </w:pPr>
      <w:bookmarkStart w:id="2" w:name="_Toc69306799"/>
      <w:r w:rsidRPr="00852F2E">
        <w:t xml:space="preserve">Table </w:t>
      </w:r>
      <w:r>
        <w:t>A6</w:t>
      </w:r>
      <w:r w:rsidRPr="00852F2E">
        <w:t>: Outcomes of reportable death notifications under section 132 of the Mental Health Act, 1 January to 31 December 2019</w:t>
      </w:r>
      <w:bookmarkEnd w:id="2"/>
    </w:p>
    <w:tbl>
      <w:tblPr>
        <w:tblStyle w:val="TableGrid"/>
        <w:tblW w:w="4679" w:type="dxa"/>
        <w:tblBorders>
          <w:left w:val="none" w:sz="0" w:space="0" w:color="auto"/>
          <w:right w:val="none" w:sz="0" w:space="0" w:color="auto"/>
          <w:insideV w:val="none" w:sz="0" w:space="0" w:color="auto"/>
        </w:tblBorders>
        <w:tblLook w:val="04A0" w:firstRow="1" w:lastRow="0" w:firstColumn="1" w:lastColumn="0" w:noHBand="0" w:noVBand="1"/>
      </w:tblPr>
      <w:tblGrid>
        <w:gridCol w:w="2750"/>
        <w:gridCol w:w="1929"/>
      </w:tblGrid>
      <w:tr w:rsidR="00743B79" w:rsidRPr="007525EC" w14:paraId="58D44A83" w14:textId="77777777" w:rsidTr="00526446">
        <w:trPr>
          <w:trHeight w:val="109"/>
        </w:trPr>
        <w:tc>
          <w:tcPr>
            <w:tcW w:w="2750" w:type="dxa"/>
            <w:vAlign w:val="center"/>
          </w:tcPr>
          <w:p w14:paraId="51A3CF44" w14:textId="77777777" w:rsidR="00743B79" w:rsidRPr="007525EC" w:rsidRDefault="00743B79" w:rsidP="00526446">
            <w:pPr>
              <w:pStyle w:val="TableText"/>
              <w:rPr>
                <w:b/>
                <w:bCs/>
                <w:i/>
                <w:iCs/>
              </w:rPr>
            </w:pPr>
            <w:r w:rsidRPr="007525EC">
              <w:rPr>
                <w:b/>
                <w:bCs/>
              </w:rPr>
              <w:t>Reportable death outcome</w:t>
            </w:r>
          </w:p>
        </w:tc>
        <w:tc>
          <w:tcPr>
            <w:tcW w:w="1929" w:type="dxa"/>
            <w:vAlign w:val="bottom"/>
          </w:tcPr>
          <w:p w14:paraId="1453403E" w14:textId="77777777" w:rsidR="00743B79" w:rsidRPr="007525EC" w:rsidRDefault="00743B79" w:rsidP="00526446">
            <w:pPr>
              <w:pStyle w:val="TableText"/>
              <w:rPr>
                <w:b/>
                <w:bCs/>
                <w:i/>
                <w:iCs/>
              </w:rPr>
            </w:pPr>
            <w:r w:rsidRPr="007525EC">
              <w:rPr>
                <w:b/>
                <w:bCs/>
              </w:rPr>
              <w:t>Number of deaths</w:t>
            </w:r>
          </w:p>
        </w:tc>
      </w:tr>
      <w:tr w:rsidR="00743B79" w:rsidRPr="00884730" w14:paraId="238AC377" w14:textId="77777777" w:rsidTr="00526446">
        <w:trPr>
          <w:trHeight w:val="384"/>
        </w:trPr>
        <w:tc>
          <w:tcPr>
            <w:tcW w:w="2750" w:type="dxa"/>
            <w:vAlign w:val="center"/>
          </w:tcPr>
          <w:p w14:paraId="633B6213" w14:textId="77777777" w:rsidR="00743B79" w:rsidRPr="00D86A22" w:rsidRDefault="00743B79" w:rsidP="00526446">
            <w:pPr>
              <w:pStyle w:val="TableText"/>
              <w:rPr>
                <w:i/>
                <w:iCs/>
              </w:rPr>
            </w:pPr>
            <w:r w:rsidRPr="00D86A22">
              <w:t>Suspected suicide</w:t>
            </w:r>
          </w:p>
        </w:tc>
        <w:tc>
          <w:tcPr>
            <w:tcW w:w="1929" w:type="dxa"/>
            <w:vAlign w:val="center"/>
          </w:tcPr>
          <w:p w14:paraId="782E4E9D" w14:textId="77777777" w:rsidR="00743B79" w:rsidRPr="00D86A22" w:rsidRDefault="00743B79" w:rsidP="00526446">
            <w:pPr>
              <w:pStyle w:val="TableText"/>
              <w:rPr>
                <w:i/>
                <w:iCs/>
              </w:rPr>
            </w:pPr>
            <w:r w:rsidRPr="00D86A22">
              <w:t>17</w:t>
            </w:r>
          </w:p>
        </w:tc>
      </w:tr>
      <w:tr w:rsidR="00743B79" w:rsidRPr="00884730" w14:paraId="39BCD9EE" w14:textId="77777777" w:rsidTr="00526446">
        <w:trPr>
          <w:trHeight w:val="384"/>
        </w:trPr>
        <w:tc>
          <w:tcPr>
            <w:tcW w:w="2750" w:type="dxa"/>
            <w:vAlign w:val="center"/>
          </w:tcPr>
          <w:p w14:paraId="1D796B66" w14:textId="77777777" w:rsidR="00743B79" w:rsidRPr="00D86A22" w:rsidRDefault="00743B79" w:rsidP="00526446">
            <w:pPr>
              <w:pStyle w:val="TableText"/>
              <w:rPr>
                <w:i/>
                <w:iCs/>
              </w:rPr>
            </w:pPr>
            <w:r w:rsidRPr="00D86A22">
              <w:t>Other deaths</w:t>
            </w:r>
          </w:p>
        </w:tc>
        <w:tc>
          <w:tcPr>
            <w:tcW w:w="1929" w:type="dxa"/>
            <w:vAlign w:val="center"/>
          </w:tcPr>
          <w:p w14:paraId="5619E040" w14:textId="77777777" w:rsidR="00743B79" w:rsidRPr="00D86A22" w:rsidRDefault="00743B79" w:rsidP="00526446">
            <w:pPr>
              <w:pStyle w:val="TableText"/>
              <w:rPr>
                <w:i/>
                <w:iCs/>
              </w:rPr>
            </w:pPr>
            <w:r w:rsidRPr="00D86A22">
              <w:t>31</w:t>
            </w:r>
          </w:p>
        </w:tc>
      </w:tr>
      <w:tr w:rsidR="00743B79" w:rsidRPr="007525EC" w14:paraId="695940F9" w14:textId="77777777" w:rsidTr="00526446">
        <w:trPr>
          <w:trHeight w:val="512"/>
        </w:trPr>
        <w:tc>
          <w:tcPr>
            <w:tcW w:w="2750" w:type="dxa"/>
            <w:vAlign w:val="center"/>
          </w:tcPr>
          <w:p w14:paraId="1D0161C5" w14:textId="77777777" w:rsidR="00743B79" w:rsidRPr="007525EC" w:rsidRDefault="00743B79" w:rsidP="00526446">
            <w:pPr>
              <w:pStyle w:val="TableText"/>
              <w:rPr>
                <w:b/>
                <w:bCs/>
                <w:szCs w:val="18"/>
              </w:rPr>
            </w:pPr>
            <w:r w:rsidRPr="007525EC">
              <w:rPr>
                <w:b/>
                <w:bCs/>
                <w:szCs w:val="18"/>
              </w:rPr>
              <w:t>Total</w:t>
            </w:r>
          </w:p>
        </w:tc>
        <w:tc>
          <w:tcPr>
            <w:tcW w:w="1929" w:type="dxa"/>
            <w:vAlign w:val="center"/>
          </w:tcPr>
          <w:p w14:paraId="59108208" w14:textId="77777777" w:rsidR="00743B79" w:rsidRPr="007525EC" w:rsidRDefault="00743B79" w:rsidP="00526446">
            <w:pPr>
              <w:pStyle w:val="TableText"/>
              <w:rPr>
                <w:b/>
                <w:bCs/>
                <w:szCs w:val="18"/>
              </w:rPr>
            </w:pPr>
            <w:r w:rsidRPr="007525EC">
              <w:rPr>
                <w:b/>
                <w:bCs/>
                <w:szCs w:val="18"/>
              </w:rPr>
              <w:t>48</w:t>
            </w:r>
          </w:p>
        </w:tc>
      </w:tr>
    </w:tbl>
    <w:p w14:paraId="201E8905" w14:textId="77777777" w:rsidR="00743B79" w:rsidRPr="00D86A22" w:rsidRDefault="00743B79" w:rsidP="00743B79">
      <w:pPr>
        <w:rPr>
          <w:sz w:val="18"/>
          <w:szCs w:val="16"/>
        </w:rPr>
      </w:pPr>
      <w:r w:rsidRPr="00D86A22">
        <w:rPr>
          <w:sz w:val="18"/>
          <w:szCs w:val="16"/>
        </w:rPr>
        <w:t>Source: Office of the Director of Mental Health and Addiction Services records.</w:t>
      </w:r>
    </w:p>
    <w:p w14:paraId="4E7B4242" w14:textId="77777777" w:rsidR="00743B79" w:rsidRDefault="00743B79" w:rsidP="00743B79">
      <w:pPr>
        <w:pStyle w:val="Heading3"/>
        <w:ind w:left="-426"/>
      </w:pPr>
      <w:r>
        <w:lastRenderedPageBreak/>
        <w:t>Deaths reported to the Director of Addiction Services</w:t>
      </w:r>
    </w:p>
    <w:p w14:paraId="69A9B5B7" w14:textId="77777777" w:rsidR="00743B79" w:rsidRDefault="00743B79" w:rsidP="00743B79">
      <w:pPr>
        <w:ind w:left="-426"/>
      </w:pPr>
      <w:r>
        <w:t>For deaths relating to substance use and addiction, the Substance Addiction (Compulsory Assessment and Treatment) Act 2017 makes no provision for DHBs or approved providers to report deaths of patients. Nonetheless, the Office of the Director of Mental Health and Addiction Services encourages services to report adverse events to the Director of Addiction Services.</w:t>
      </w:r>
    </w:p>
    <w:p w14:paraId="2EAD2238" w14:textId="77777777" w:rsidR="00743B79" w:rsidRDefault="00743B79" w:rsidP="00743B79">
      <w:pPr>
        <w:ind w:left="-426"/>
      </w:pPr>
    </w:p>
    <w:p w14:paraId="43069808" w14:textId="77777777" w:rsidR="00743B79" w:rsidRPr="00DE62FD" w:rsidRDefault="00743B79" w:rsidP="00743B79">
      <w:pPr>
        <w:ind w:left="-426"/>
      </w:pPr>
      <w:r>
        <w:t>The Substance Addiction Act came into force on 21 February 2018, no deaths of people occurred during 2018 or 2019 while they were subject to that Act.</w:t>
      </w:r>
    </w:p>
    <w:p w14:paraId="6F035501" w14:textId="77777777" w:rsidR="00743B79" w:rsidRPr="00200234" w:rsidRDefault="00743B79" w:rsidP="00743B79"/>
    <w:p w14:paraId="6DE0E8FE" w14:textId="77777777" w:rsidR="00743B79" w:rsidRDefault="00743B79" w:rsidP="00743B79"/>
    <w:p w14:paraId="68574C2F" w14:textId="77777777" w:rsidR="00743B79" w:rsidRPr="00200234" w:rsidRDefault="00743B79" w:rsidP="00743B79"/>
    <w:p w14:paraId="26AFDD13" w14:textId="77777777" w:rsidR="002C2E4E" w:rsidRPr="00743B79" w:rsidRDefault="002C2E4E" w:rsidP="00743B79">
      <w:bookmarkStart w:id="3" w:name="_GoBack"/>
      <w:bookmarkEnd w:id="3"/>
    </w:p>
    <w:sectPr w:rsidR="002C2E4E" w:rsidRPr="00743B79" w:rsidSect="003309CA">
      <w:headerReference w:type="default" r:id="rId10"/>
      <w:footerReference w:type="even" r:id="rId11"/>
      <w:footerReference w:type="default" r:id="rId12"/>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BF5A" w14:textId="77777777" w:rsidR="00EE5777" w:rsidRDefault="00EE5777">
      <w:r>
        <w:separator/>
      </w:r>
    </w:p>
  </w:endnote>
  <w:endnote w:type="continuationSeparator" w:id="0">
    <w:p w14:paraId="040D680D" w14:textId="77777777" w:rsidR="00EE5777" w:rsidRDefault="00EE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8E6888" w14:paraId="4A0D9011" w14:textId="77777777" w:rsidTr="00D662F8">
      <w:trPr>
        <w:cantSplit/>
      </w:trPr>
      <w:tc>
        <w:tcPr>
          <w:tcW w:w="675" w:type="dxa"/>
          <w:vAlign w:val="center"/>
        </w:tcPr>
        <w:p w14:paraId="6C5D3F59" w14:textId="77777777" w:rsidR="008E6888" w:rsidRPr="00931466" w:rsidRDefault="00625E2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505438A2" w14:textId="77777777" w:rsidR="008E6888" w:rsidRDefault="00625E23" w:rsidP="000D58DD">
          <w:pPr>
            <w:pStyle w:val="RectoFooter"/>
            <w:jc w:val="left"/>
          </w:pPr>
          <w:r w:rsidRPr="00C872F3">
            <w:t>OFFICE OF THE DIRECTOR OF MENTAL HEALTH AND ADDICTION SERVICES ANNUAL REPORT 2018 AND 2019</w:t>
          </w:r>
        </w:p>
      </w:tc>
    </w:tr>
  </w:tbl>
  <w:p w14:paraId="055CC7A0" w14:textId="77777777" w:rsidR="008E6888" w:rsidRPr="00571223" w:rsidRDefault="00743B79"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E6888" w14:paraId="066637AE" w14:textId="77777777" w:rsidTr="00D662F8">
      <w:trPr>
        <w:cantSplit/>
      </w:trPr>
      <w:tc>
        <w:tcPr>
          <w:tcW w:w="8080" w:type="dxa"/>
          <w:vAlign w:val="center"/>
        </w:tcPr>
        <w:p w14:paraId="199F9E53" w14:textId="77777777" w:rsidR="008E6888" w:rsidRDefault="00625E23" w:rsidP="00931466">
          <w:pPr>
            <w:pStyle w:val="RectoFooter"/>
          </w:pPr>
          <w:r w:rsidRPr="00C872F3">
            <w:t>OFFICE OF THE DIRECTOR OF MENTAL HEALTH AND ADDICTION SERVICES ANNUAL REPORT 2018 AND 2019</w:t>
          </w:r>
        </w:p>
      </w:tc>
      <w:tc>
        <w:tcPr>
          <w:tcW w:w="709" w:type="dxa"/>
          <w:vAlign w:val="center"/>
        </w:tcPr>
        <w:p w14:paraId="1B898955" w14:textId="77777777" w:rsidR="008E6888" w:rsidRPr="00931466" w:rsidRDefault="00625E2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w:t>
          </w:r>
          <w:r w:rsidRPr="00931466">
            <w:rPr>
              <w:rStyle w:val="PageNumber"/>
            </w:rPr>
            <w:fldChar w:fldCharType="end"/>
          </w:r>
        </w:p>
      </w:tc>
    </w:tr>
  </w:tbl>
  <w:p w14:paraId="1A72D1B9" w14:textId="77777777" w:rsidR="008E6888" w:rsidRPr="00581EB8" w:rsidRDefault="00743B7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3D167" w14:textId="77777777" w:rsidR="00EE5777" w:rsidRDefault="00EE5777">
      <w:r>
        <w:separator/>
      </w:r>
    </w:p>
  </w:footnote>
  <w:footnote w:type="continuationSeparator" w:id="0">
    <w:p w14:paraId="279E90CE" w14:textId="77777777" w:rsidR="00EE5777" w:rsidRDefault="00EE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BDCA" w14:textId="77777777" w:rsidR="008E6888" w:rsidRDefault="00743B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23"/>
    <w:rsid w:val="002C2E4E"/>
    <w:rsid w:val="005445E9"/>
    <w:rsid w:val="00625E23"/>
    <w:rsid w:val="00743B79"/>
    <w:rsid w:val="008908C4"/>
    <w:rsid w:val="00EE5777"/>
    <w:rsid w:val="00F173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9BD6"/>
  <w15:chartTrackingRefBased/>
  <w15:docId w15:val="{52051661-7211-4BD6-BB9A-BBCF04F7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23"/>
    <w:pPr>
      <w:spacing w:after="0" w:line="240" w:lineRule="auto"/>
    </w:pPr>
    <w:rPr>
      <w:rFonts w:ascii="Segoe UI" w:eastAsia="Times New Roman" w:hAnsi="Segoe UI" w:cs="Times New Roman"/>
      <w:sz w:val="21"/>
      <w:szCs w:val="20"/>
      <w:lang w:eastAsia="en-GB"/>
    </w:rPr>
  </w:style>
  <w:style w:type="paragraph" w:styleId="Heading2">
    <w:name w:val="heading 2"/>
    <w:basedOn w:val="Normal"/>
    <w:next w:val="Normal"/>
    <w:link w:val="Heading2Char"/>
    <w:uiPriority w:val="1"/>
    <w:qFormat/>
    <w:rsid w:val="00625E23"/>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625E23"/>
    <w:pPr>
      <w:keepNext/>
      <w:spacing w:before="360" w:after="180"/>
      <w:outlineLvl w:val="2"/>
    </w:pPr>
    <w:rPr>
      <w:color w:val="0A6AB4"/>
      <w:spacing w:val="-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5E23"/>
    <w:rPr>
      <w:rFonts w:ascii="Segoe UI" w:eastAsia="Times New Roman" w:hAnsi="Segoe UI" w:cs="Times New Roman"/>
      <w:b/>
      <w:color w:val="0A6AB4"/>
      <w:spacing w:val="-5"/>
      <w:sz w:val="48"/>
      <w:szCs w:val="20"/>
      <w:lang w:eastAsia="en-GB"/>
    </w:rPr>
  </w:style>
  <w:style w:type="character" w:customStyle="1" w:styleId="Heading3Char">
    <w:name w:val="Heading 3 Char"/>
    <w:basedOn w:val="DefaultParagraphFont"/>
    <w:link w:val="Heading3"/>
    <w:uiPriority w:val="1"/>
    <w:rsid w:val="00625E23"/>
    <w:rPr>
      <w:rFonts w:ascii="Segoe UI" w:eastAsia="Times New Roman" w:hAnsi="Segoe UI" w:cs="Times New Roman"/>
      <w:color w:val="0A6AB4"/>
      <w:spacing w:val="-5"/>
      <w:sz w:val="36"/>
      <w:szCs w:val="20"/>
      <w:lang w:eastAsia="en-GB"/>
    </w:rPr>
  </w:style>
  <w:style w:type="paragraph" w:styleId="Footer">
    <w:name w:val="footer"/>
    <w:basedOn w:val="Normal"/>
    <w:link w:val="FooterChar"/>
    <w:qFormat/>
    <w:rsid w:val="00625E23"/>
  </w:style>
  <w:style w:type="character" w:customStyle="1" w:styleId="FooterChar">
    <w:name w:val="Footer Char"/>
    <w:basedOn w:val="DefaultParagraphFont"/>
    <w:link w:val="Footer"/>
    <w:rsid w:val="00625E23"/>
    <w:rPr>
      <w:rFonts w:ascii="Segoe UI" w:eastAsia="Times New Roman" w:hAnsi="Segoe UI" w:cs="Times New Roman"/>
      <w:sz w:val="21"/>
      <w:szCs w:val="20"/>
      <w:lang w:eastAsia="en-GB"/>
    </w:rPr>
  </w:style>
  <w:style w:type="character" w:styleId="PageNumber">
    <w:name w:val="page number"/>
    <w:rsid w:val="00625E23"/>
    <w:rPr>
      <w:rFonts w:ascii="Segoe UI" w:hAnsi="Segoe UI"/>
      <w:b/>
      <w:sz w:val="22"/>
    </w:rPr>
  </w:style>
  <w:style w:type="paragraph" w:customStyle="1" w:styleId="VersoFooter">
    <w:name w:val="Verso Footer"/>
    <w:basedOn w:val="Footer"/>
    <w:rsid w:val="00625E23"/>
    <w:rPr>
      <w:sz w:val="15"/>
    </w:rPr>
  </w:style>
  <w:style w:type="paragraph" w:customStyle="1" w:styleId="RectoFooter">
    <w:name w:val="Recto Footer"/>
    <w:basedOn w:val="Footer"/>
    <w:rsid w:val="00625E23"/>
    <w:pPr>
      <w:jc w:val="right"/>
    </w:pPr>
    <w:rPr>
      <w:caps/>
      <w:sz w:val="15"/>
    </w:rPr>
  </w:style>
  <w:style w:type="paragraph" w:customStyle="1" w:styleId="Table">
    <w:name w:val="Table"/>
    <w:basedOn w:val="Normal"/>
    <w:qFormat/>
    <w:rsid w:val="00625E23"/>
    <w:pPr>
      <w:keepNext/>
      <w:spacing w:before="120" w:after="120"/>
    </w:pPr>
    <w:rPr>
      <w:b/>
      <w:sz w:val="20"/>
    </w:rPr>
  </w:style>
  <w:style w:type="table" w:styleId="TableGrid">
    <w:name w:val="Table Grid"/>
    <w:basedOn w:val="TableNormal"/>
    <w:uiPriority w:val="39"/>
    <w:rsid w:val="00625E2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5E23"/>
    <w:pPr>
      <w:spacing w:after="200"/>
    </w:pPr>
    <w:rPr>
      <w:i/>
      <w:iCs/>
      <w:color w:val="44546A" w:themeColor="text2"/>
      <w:sz w:val="18"/>
      <w:szCs w:val="18"/>
    </w:rPr>
  </w:style>
  <w:style w:type="paragraph" w:customStyle="1" w:styleId="TableText">
    <w:name w:val="TableText"/>
    <w:basedOn w:val="Normal"/>
    <w:uiPriority w:val="99"/>
    <w:qFormat/>
    <w:rsid w:val="00743B79"/>
    <w:pPr>
      <w:spacing w:before="60" w:after="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f6be51dd87b8d2de43eac7a5d74f7ccd">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7f9e0312c3654c5a33ad48199053b36e"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E6CB-2F97-406A-B0BD-CE4F14D7D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1B14F-C3D4-4518-A312-0DB9B59541CC}">
  <ds:schemaRefs>
    <ds:schemaRef ds:uri="http://schemas.microsoft.com/sharepoint/v3/contenttype/forms"/>
  </ds:schemaRefs>
</ds:datastoreItem>
</file>

<file path=customXml/itemProps3.xml><?xml version="1.0" encoding="utf-8"?>
<ds:datastoreItem xmlns:ds="http://schemas.openxmlformats.org/officeDocument/2006/customXml" ds:itemID="{4C70CBBD-B2FE-4F5A-8361-DD41D184106E}">
  <ds:schemaRefs>
    <ds:schemaRef ds:uri="http://purl.org/dc/dcmitype/"/>
    <ds:schemaRef ds:uri="http://schemas.microsoft.com/office/infopath/2007/PartnerControls"/>
    <ds:schemaRef ds:uri="http://purl.org/dc/terms/"/>
    <ds:schemaRef ds:uri="d59ea6e6-a59c-44b8-a0cc-c20c48781dd0"/>
    <ds:schemaRef ds:uri="http://schemas.microsoft.com/office/2006/documentManagement/types"/>
    <ds:schemaRef ds:uri="http://purl.org/dc/elements/1.1/"/>
    <ds:schemaRef ds:uri="417601d8-b133-4bfa-a841-9972946f34d2"/>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38290F-B4EC-4EFD-B366-B0482343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Ministry of Health</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Jones1</dc:creator>
  <cp:keywords/>
  <dc:description/>
  <cp:lastModifiedBy>Kirsty Jones1</cp:lastModifiedBy>
  <cp:revision>4</cp:revision>
  <dcterms:created xsi:type="dcterms:W3CDTF">2021-04-14T00:15:00Z</dcterms:created>
  <dcterms:modified xsi:type="dcterms:W3CDTF">2021-04-14T03:33:00Z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