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9FBD" w14:textId="11156BAB" w:rsidR="00896135" w:rsidRDefault="00896135" w:rsidP="00896135"/>
    <w:p w14:paraId="3541AE7C" w14:textId="77777777" w:rsidR="00794CDD" w:rsidRDefault="00794CDD" w:rsidP="00F56F20">
      <w:pPr>
        <w:pStyle w:val="Title"/>
        <w:ind w:right="1984"/>
      </w:pPr>
    </w:p>
    <w:p w14:paraId="3FD5CB8F" w14:textId="77777777" w:rsidR="00794CDD" w:rsidRDefault="00794CDD" w:rsidP="00F56F20">
      <w:pPr>
        <w:pStyle w:val="Title"/>
        <w:ind w:right="1984"/>
      </w:pPr>
    </w:p>
    <w:p w14:paraId="78DE59CD" w14:textId="77777777" w:rsidR="00794CDD" w:rsidRDefault="00794CDD" w:rsidP="00F56F20">
      <w:pPr>
        <w:pStyle w:val="Title"/>
        <w:ind w:right="1984"/>
      </w:pPr>
    </w:p>
    <w:p w14:paraId="68473C6F" w14:textId="77777777" w:rsidR="00794CDD" w:rsidRDefault="00794CDD" w:rsidP="00794CDD">
      <w:pPr>
        <w:pStyle w:val="Title"/>
        <w:ind w:right="1275"/>
      </w:pPr>
    </w:p>
    <w:p w14:paraId="124B4F56" w14:textId="77777777" w:rsidR="00794CDD" w:rsidRDefault="00794CDD" w:rsidP="00794CDD">
      <w:pPr>
        <w:pStyle w:val="Title"/>
        <w:ind w:right="1275"/>
      </w:pPr>
    </w:p>
    <w:p w14:paraId="3DF74513" w14:textId="77777777" w:rsidR="009668DA" w:rsidRDefault="009668DA" w:rsidP="009668DA">
      <w:pPr>
        <w:pStyle w:val="Title"/>
        <w:ind w:right="1275"/>
      </w:pPr>
      <w:r>
        <w:t>Smokefree Environments and Regulated Products Act 1990</w:t>
      </w:r>
    </w:p>
    <w:p w14:paraId="400DF27F" w14:textId="76FAF1A0" w:rsidR="00896135" w:rsidRPr="00926083" w:rsidRDefault="009668DA" w:rsidP="009668DA">
      <w:pPr>
        <w:pStyle w:val="Title"/>
        <w:ind w:right="1275"/>
      </w:pPr>
      <w:r>
        <w:t xml:space="preserve">Proposals for regulations </w:t>
      </w:r>
    </w:p>
    <w:p w14:paraId="50BA4C67" w14:textId="220B9549" w:rsidR="00F56F20" w:rsidRDefault="009668DA" w:rsidP="00896135">
      <w:pPr>
        <w:pStyle w:val="Year"/>
      </w:pPr>
      <w:r w:rsidRPr="009668DA">
        <w:t>Public consultation document</w:t>
      </w:r>
    </w:p>
    <w:p w14:paraId="702B8F32" w14:textId="77777777" w:rsidR="009668DA" w:rsidRDefault="009668DA" w:rsidP="00896135">
      <w:pPr>
        <w:pStyle w:val="Year"/>
      </w:pPr>
    </w:p>
    <w:p w14:paraId="5617A400" w14:textId="5F5F56B2" w:rsidR="00896135" w:rsidRDefault="00F56F20" w:rsidP="00896135">
      <w:pPr>
        <w:pStyle w:val="Year"/>
      </w:pPr>
      <w:r w:rsidRPr="00F56F20">
        <w:t xml:space="preserve">Issued </w:t>
      </w:r>
      <w:r w:rsidR="00896135">
        <w:t>202</w:t>
      </w:r>
      <w:r w:rsidR="00E42875">
        <w:t>1</w:t>
      </w:r>
    </w:p>
    <w:p w14:paraId="63FB7149" w14:textId="77777777" w:rsidR="00896135" w:rsidRPr="00C201A0" w:rsidRDefault="00896135" w:rsidP="00896135">
      <w:pPr>
        <w:pStyle w:val="Subhead"/>
        <w:sectPr w:rsidR="00896135" w:rsidRPr="00C201A0" w:rsidSect="00794CDD">
          <w:headerReference w:type="default" r:id="rId11"/>
          <w:pgSz w:w="11907" w:h="16834" w:code="9"/>
          <w:pgMar w:top="1418" w:right="1701" w:bottom="1134" w:left="1843" w:header="567" w:footer="851" w:gutter="0"/>
          <w:pgNumType w:start="1"/>
          <w:cols w:space="720"/>
        </w:sectPr>
      </w:pPr>
    </w:p>
    <w:p w14:paraId="4035DCD4" w14:textId="77777777" w:rsidR="00896135" w:rsidRPr="00A053D0" w:rsidRDefault="00896135" w:rsidP="00896135">
      <w:pPr>
        <w:rPr>
          <w:rFonts w:ascii="Calibri" w:hAnsi="Calibri" w:cs="Calibri"/>
          <w:b/>
          <w:spacing w:val="10"/>
          <w:sz w:val="36"/>
          <w:szCs w:val="36"/>
        </w:rPr>
      </w:pPr>
    </w:p>
    <w:p w14:paraId="6D658CA7" w14:textId="77777777" w:rsidR="00896135" w:rsidRPr="00A053D0" w:rsidRDefault="00896135" w:rsidP="00896135">
      <w:pPr>
        <w:rPr>
          <w:rFonts w:ascii="Calibri" w:hAnsi="Calibri" w:cs="Calibri"/>
          <w:b/>
          <w:spacing w:val="10"/>
          <w:sz w:val="36"/>
          <w:szCs w:val="36"/>
        </w:rPr>
      </w:pPr>
    </w:p>
    <w:p w14:paraId="50D19AF6" w14:textId="561F36D9" w:rsidR="00F56F20" w:rsidRDefault="00F56F20" w:rsidP="00E42875">
      <w:pPr>
        <w:pStyle w:val="Imprint"/>
        <w:spacing w:after="0"/>
        <w:rPr>
          <w:rFonts w:cs="Segoe UI"/>
          <w:color w:val="000000" w:themeColor="text1"/>
        </w:rPr>
      </w:pPr>
      <w:r>
        <w:rPr>
          <w:rFonts w:cs="Segoe UI"/>
          <w:color w:val="000000" w:themeColor="text1"/>
        </w:rPr>
        <w:t>Citation: Ministry of Health. 202</w:t>
      </w:r>
      <w:r w:rsidR="00E42875">
        <w:rPr>
          <w:rFonts w:cs="Segoe UI"/>
          <w:color w:val="000000" w:themeColor="text1"/>
        </w:rPr>
        <w:t>1</w:t>
      </w:r>
      <w:r>
        <w:rPr>
          <w:rFonts w:cs="Segoe UI"/>
          <w:color w:val="000000" w:themeColor="text1"/>
        </w:rPr>
        <w:t xml:space="preserve">. </w:t>
      </w:r>
      <w:r w:rsidR="009668DA" w:rsidRPr="009668DA">
        <w:rPr>
          <w:rFonts w:cs="Segoe UI"/>
          <w:i/>
          <w:color w:val="000000" w:themeColor="text1"/>
        </w:rPr>
        <w:t>Smokefree Environments and Regulated Products Act 1990</w:t>
      </w:r>
      <w:r w:rsidR="00E42875">
        <w:rPr>
          <w:rFonts w:cs="Segoe UI"/>
          <w:i/>
          <w:color w:val="000000" w:themeColor="text1"/>
        </w:rPr>
        <w:t xml:space="preserve"> </w:t>
      </w:r>
      <w:r w:rsidR="009668DA" w:rsidRPr="009668DA">
        <w:rPr>
          <w:rFonts w:cs="Segoe UI"/>
          <w:i/>
          <w:color w:val="000000" w:themeColor="text1"/>
        </w:rPr>
        <w:t>Proposals for regulations</w:t>
      </w:r>
      <w:r w:rsidR="009668DA">
        <w:rPr>
          <w:rFonts w:cs="Segoe UI"/>
          <w:i/>
          <w:color w:val="000000" w:themeColor="text1"/>
        </w:rPr>
        <w:t xml:space="preserve"> – Public Consultation Document</w:t>
      </w:r>
      <w:r>
        <w:rPr>
          <w:rFonts w:cs="Segoe UI"/>
          <w:color w:val="000000" w:themeColor="text1"/>
        </w:rPr>
        <w:t>. Wellington: Ministry of Health.</w:t>
      </w:r>
    </w:p>
    <w:p w14:paraId="0688096A" w14:textId="77777777" w:rsidR="00E42875" w:rsidRPr="00E42875" w:rsidRDefault="00E42875" w:rsidP="00E42875"/>
    <w:p w14:paraId="1432AE28" w14:textId="675F026C" w:rsidR="00F56F20" w:rsidRDefault="00F56F20" w:rsidP="00F56F20">
      <w:pPr>
        <w:pStyle w:val="Imprint"/>
        <w:rPr>
          <w:color w:val="000000" w:themeColor="text1"/>
        </w:rPr>
      </w:pPr>
      <w:r>
        <w:rPr>
          <w:color w:val="000000" w:themeColor="text1"/>
        </w:rPr>
        <w:t xml:space="preserve">Published in </w:t>
      </w:r>
      <w:r w:rsidR="00E42875" w:rsidRPr="00E42875">
        <w:rPr>
          <w:color w:val="000000" w:themeColor="text1"/>
        </w:rPr>
        <w:t>January</w:t>
      </w:r>
      <w:r w:rsidRPr="00E42875">
        <w:rPr>
          <w:color w:val="000000" w:themeColor="text1"/>
        </w:rPr>
        <w:t xml:space="preserve"> 202</w:t>
      </w:r>
      <w:r w:rsidR="00E42875">
        <w:rPr>
          <w:color w:val="000000" w:themeColor="text1"/>
        </w:rPr>
        <w:t>1</w:t>
      </w:r>
      <w:r>
        <w:rPr>
          <w:color w:val="000000" w:themeColor="text1"/>
        </w:rPr>
        <w:t xml:space="preserve"> by the Ministry of Health</w:t>
      </w:r>
      <w:r>
        <w:rPr>
          <w:color w:val="000000" w:themeColor="text1"/>
        </w:rPr>
        <w:br/>
        <w:t>PO Box 5013, Wellington 6140, New Zealand</w:t>
      </w:r>
    </w:p>
    <w:p w14:paraId="4E39D545" w14:textId="2B1E0FDC" w:rsidR="00F56F20" w:rsidRDefault="00F56F20" w:rsidP="00E42875">
      <w:pPr>
        <w:pStyle w:val="Imprint"/>
        <w:spacing w:after="0"/>
        <w:rPr>
          <w:color w:val="000000" w:themeColor="text1"/>
        </w:rPr>
      </w:pPr>
      <w:r w:rsidRPr="00E42875">
        <w:rPr>
          <w:color w:val="000000" w:themeColor="text1"/>
        </w:rPr>
        <w:t xml:space="preserve">ISBN </w:t>
      </w:r>
      <w:r w:rsidR="00E42875" w:rsidRPr="00E42875">
        <w:rPr>
          <w:color w:val="000000" w:themeColor="text1"/>
        </w:rPr>
        <w:t xml:space="preserve">978-1-99-002975-2 </w:t>
      </w:r>
      <w:r w:rsidRPr="00E42875">
        <w:rPr>
          <w:color w:val="000000" w:themeColor="text1"/>
        </w:rPr>
        <w:t>(online)</w:t>
      </w:r>
      <w:r w:rsidRPr="00E42875">
        <w:rPr>
          <w:color w:val="000000" w:themeColor="text1"/>
        </w:rPr>
        <w:br/>
        <w:t xml:space="preserve">HP </w:t>
      </w:r>
      <w:r w:rsidR="00E42875">
        <w:rPr>
          <w:color w:val="000000" w:themeColor="text1"/>
        </w:rPr>
        <w:t>7544</w:t>
      </w:r>
    </w:p>
    <w:p w14:paraId="29814AE5" w14:textId="77777777" w:rsidR="00E42875" w:rsidRPr="00E42875" w:rsidRDefault="00E42875" w:rsidP="00E42875">
      <w:pPr>
        <w:rPr>
          <w:highlight w:val="yellow"/>
        </w:rPr>
      </w:pPr>
    </w:p>
    <w:p w14:paraId="1BB79F18" w14:textId="77777777" w:rsidR="00F56F20" w:rsidRDefault="00F56F20" w:rsidP="00F56F20">
      <w:pPr>
        <w:rPr>
          <w:color w:val="000000" w:themeColor="text1"/>
        </w:rPr>
      </w:pPr>
      <w:r>
        <w:rPr>
          <w:noProof/>
          <w:color w:val="000000" w:themeColor="text1"/>
          <w:lang w:eastAsia="en-NZ"/>
        </w:rPr>
        <w:drawing>
          <wp:inline distT="0" distB="0" distL="0" distR="0" wp14:anchorId="1DB8D236" wp14:editId="5665334A">
            <wp:extent cx="1409700" cy="581025"/>
            <wp:effectExtent l="0" t="0" r="0" b="9525"/>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ealth logo"/>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p>
    <w:p w14:paraId="6E5F2C30" w14:textId="77777777" w:rsidR="00F56F20" w:rsidRDefault="00F56F20" w:rsidP="00F56F20">
      <w:pPr>
        <w:pStyle w:val="Imprint"/>
        <w:spacing w:before="240" w:after="480"/>
        <w:rPr>
          <w:color w:val="000000" w:themeColor="text1"/>
        </w:rPr>
      </w:pPr>
      <w:r>
        <w:rPr>
          <w:color w:val="000000" w:themeColor="text1"/>
        </w:rP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F56F20" w14:paraId="1C7DB5EC" w14:textId="77777777" w:rsidTr="00247883">
        <w:trPr>
          <w:cantSplit/>
        </w:trPr>
        <w:tc>
          <w:tcPr>
            <w:tcW w:w="1526" w:type="dxa"/>
            <w:hideMark/>
          </w:tcPr>
          <w:p w14:paraId="542F30C9" w14:textId="77777777" w:rsidR="00F56F20" w:rsidRDefault="00F56F20" w:rsidP="00247883">
            <w:pPr>
              <w:spacing w:line="264" w:lineRule="auto"/>
              <w:rPr>
                <w:rFonts w:cs="Segoe UI"/>
                <w:color w:val="000000" w:themeColor="text1"/>
                <w:sz w:val="15"/>
                <w:szCs w:val="15"/>
              </w:rPr>
            </w:pPr>
            <w:r>
              <w:rPr>
                <w:rFonts w:cs="Segoe UI"/>
                <w:b/>
                <w:noProof/>
                <w:color w:val="000000" w:themeColor="text1"/>
                <w:sz w:val="15"/>
                <w:szCs w:val="15"/>
                <w:lang w:eastAsia="en-NZ"/>
              </w:rPr>
              <w:drawing>
                <wp:inline distT="0" distB="0" distL="0" distR="0" wp14:anchorId="036D7747" wp14:editId="198586A8">
                  <wp:extent cx="809625" cy="285750"/>
                  <wp:effectExtent l="0" t="0" r="9525"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hideMark/>
          </w:tcPr>
          <w:p w14:paraId="316F78E5" w14:textId="77777777" w:rsidR="00F56F20" w:rsidRDefault="00F56F20" w:rsidP="00247883">
            <w:pPr>
              <w:rPr>
                <w:rFonts w:cs="Segoe UI"/>
                <w:color w:val="000000" w:themeColor="text1"/>
                <w:sz w:val="15"/>
                <w:szCs w:val="15"/>
              </w:rPr>
            </w:pPr>
            <w:r>
              <w:rPr>
                <w:rFonts w:cs="Segoe UI"/>
                <w:color w:val="000000" w:themeColor="text1"/>
                <w:sz w:val="15"/>
                <w:szCs w:val="15"/>
              </w:rPr>
              <w:t xml:space="preserve">This work is licensed under the Creative Commons Attribution 4.0 International licence. In essence, </w:t>
            </w:r>
            <w:r>
              <w:rPr>
                <w:rFonts w:cs="Segoe UI"/>
                <w:bCs/>
                <w:color w:val="000000" w:themeColor="text1"/>
                <w:sz w:val="15"/>
                <w:szCs w:val="15"/>
              </w:rPr>
              <w:t xml:space="preserve">you are free to: </w:t>
            </w:r>
            <w:r>
              <w:rPr>
                <w:rFonts w:cs="Segoe UI"/>
                <w:color w:val="000000" w:themeColor="text1"/>
                <w:sz w:val="15"/>
                <w:szCs w:val="15"/>
              </w:rPr>
              <w:t xml:space="preserve">share ie, copy and redistribute the material in any medium or format; adapt ie, remix, transform and build upon the material. </w:t>
            </w:r>
            <w:r>
              <w:rPr>
                <w:rFonts w:cs="Segoe UI"/>
                <w:bCs/>
                <w:color w:val="000000" w:themeColor="text1"/>
                <w:sz w:val="15"/>
                <w:szCs w:val="15"/>
              </w:rPr>
              <w:t>You must give appropriate credit, provide a link to the licence and indicate if changes were made.</w:t>
            </w:r>
          </w:p>
        </w:tc>
      </w:tr>
    </w:tbl>
    <w:p w14:paraId="62E8945D" w14:textId="77777777" w:rsidR="00896135" w:rsidRPr="001F45A7" w:rsidRDefault="00896135" w:rsidP="00896135"/>
    <w:p w14:paraId="0F90A96D" w14:textId="77777777" w:rsidR="00896135" w:rsidRDefault="00896135" w:rsidP="00896135">
      <w:pPr>
        <w:jc w:val="center"/>
        <w:sectPr w:rsidR="00896135" w:rsidSect="00794CDD">
          <w:headerReference w:type="default" r:id="rId14"/>
          <w:footerReference w:type="even" r:id="rId15"/>
          <w:footerReference w:type="default" r:id="rId16"/>
          <w:pgSz w:w="11907" w:h="16834" w:code="9"/>
          <w:pgMar w:top="1418" w:right="1701" w:bottom="1134" w:left="1843" w:header="0" w:footer="0" w:gutter="0"/>
          <w:cols w:space="720"/>
          <w:vAlign w:val="bottom"/>
        </w:sectPr>
      </w:pPr>
    </w:p>
    <w:p w14:paraId="3BC074D1" w14:textId="77777777" w:rsidR="00896135" w:rsidRDefault="00896135" w:rsidP="00896135">
      <w:pPr>
        <w:pStyle w:val="IntroHead"/>
      </w:pPr>
      <w:bookmarkStart w:id="0" w:name="_Toc405792991"/>
      <w:bookmarkStart w:id="1" w:name="_Toc405793224"/>
      <w:r>
        <w:lastRenderedPageBreak/>
        <w:t>Contents</w:t>
      </w:r>
      <w:bookmarkEnd w:id="0"/>
      <w:bookmarkEnd w:id="1"/>
    </w:p>
    <w:p w14:paraId="68DFA413" w14:textId="37A69CCE" w:rsidR="00140DE2" w:rsidRPr="008F484C" w:rsidRDefault="00794CDD">
      <w:pPr>
        <w:pStyle w:val="TOC1"/>
        <w:rPr>
          <w:rFonts w:asciiTheme="minorHAnsi" w:eastAsiaTheme="minorEastAsia" w:hAnsiTheme="minorHAnsi" w:cstheme="minorBidi"/>
          <w:noProof/>
          <w:sz w:val="22"/>
          <w:szCs w:val="22"/>
          <w:lang w:val="en-AU" w:eastAsia="en-AU"/>
        </w:rPr>
      </w:pPr>
      <w:r w:rsidRPr="008F484C">
        <w:rPr>
          <w:b/>
        </w:rPr>
        <w:fldChar w:fldCharType="begin"/>
      </w:r>
      <w:r w:rsidRPr="008F484C">
        <w:rPr>
          <w:b/>
        </w:rPr>
        <w:instrText xml:space="preserve"> TOC \o "1-3" \h \z \u </w:instrText>
      </w:r>
      <w:r w:rsidRPr="008F484C">
        <w:rPr>
          <w:b/>
        </w:rPr>
        <w:fldChar w:fldCharType="separate"/>
      </w:r>
      <w:hyperlink w:anchor="_Toc58869319" w:history="1">
        <w:r w:rsidR="00140DE2" w:rsidRPr="008F484C">
          <w:rPr>
            <w:rStyle w:val="Hyperlink"/>
            <w:noProof/>
          </w:rPr>
          <w:t>Introduction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_Toc58869319 \h </w:instrText>
        </w:r>
        <w:r w:rsidR="00140DE2" w:rsidRPr="008F484C">
          <w:rPr>
            <w:noProof/>
            <w:webHidden/>
          </w:rPr>
        </w:r>
        <w:r w:rsidR="00140DE2" w:rsidRPr="008F484C">
          <w:rPr>
            <w:noProof/>
            <w:webHidden/>
          </w:rPr>
          <w:fldChar w:fldCharType="separate"/>
        </w:r>
        <w:r w:rsidR="00C91D32">
          <w:rPr>
            <w:noProof/>
            <w:webHidden/>
          </w:rPr>
          <w:t>1</w:t>
        </w:r>
        <w:r w:rsidR="00140DE2" w:rsidRPr="008F484C">
          <w:rPr>
            <w:noProof/>
            <w:webHidden/>
          </w:rPr>
          <w:fldChar w:fldCharType="end"/>
        </w:r>
      </w:hyperlink>
    </w:p>
    <w:p w14:paraId="66A6526E" w14:textId="436ED7ED" w:rsidR="00140DE2" w:rsidRPr="008F484C" w:rsidRDefault="00526A93">
      <w:pPr>
        <w:pStyle w:val="TOC2"/>
        <w:rPr>
          <w:rFonts w:asciiTheme="minorHAnsi" w:eastAsiaTheme="minorEastAsia" w:hAnsiTheme="minorHAnsi" w:cstheme="minorBidi"/>
          <w:noProof/>
          <w:szCs w:val="22"/>
          <w:lang w:val="en-AU" w:eastAsia="en-AU"/>
        </w:rPr>
      </w:pPr>
      <w:hyperlink w:anchor="_Toc58869320" w:history="1">
        <w:r w:rsidR="00140DE2" w:rsidRPr="008F484C">
          <w:rPr>
            <w:rStyle w:val="Hyperlink"/>
            <w:rFonts w:eastAsiaTheme="majorEastAsia"/>
            <w:noProof/>
          </w:rPr>
          <w:t>Background</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_Toc58869320 \h </w:instrText>
        </w:r>
        <w:r w:rsidR="00140DE2" w:rsidRPr="008F484C">
          <w:rPr>
            <w:noProof/>
            <w:webHidden/>
          </w:rPr>
        </w:r>
        <w:r w:rsidR="00140DE2" w:rsidRPr="008F484C">
          <w:rPr>
            <w:noProof/>
            <w:webHidden/>
          </w:rPr>
          <w:fldChar w:fldCharType="separate"/>
        </w:r>
        <w:r w:rsidR="00C91D32">
          <w:rPr>
            <w:noProof/>
            <w:webHidden/>
          </w:rPr>
          <w:t>1</w:t>
        </w:r>
        <w:r w:rsidR="00140DE2" w:rsidRPr="008F484C">
          <w:rPr>
            <w:noProof/>
            <w:webHidden/>
          </w:rPr>
          <w:fldChar w:fldCharType="end"/>
        </w:r>
      </w:hyperlink>
    </w:p>
    <w:p w14:paraId="15B52486" w14:textId="58D9A64A" w:rsidR="00140DE2" w:rsidRPr="008F484C" w:rsidRDefault="00526A93">
      <w:pPr>
        <w:pStyle w:val="TOC2"/>
        <w:rPr>
          <w:rFonts w:asciiTheme="minorHAnsi" w:eastAsiaTheme="minorEastAsia" w:hAnsiTheme="minorHAnsi" w:cstheme="minorBidi"/>
          <w:noProof/>
          <w:szCs w:val="22"/>
          <w:lang w:val="en-AU" w:eastAsia="en-AU"/>
        </w:rPr>
      </w:pPr>
      <w:hyperlink w:anchor="_Toc58869321" w:history="1">
        <w:r w:rsidR="00140DE2" w:rsidRPr="008F484C">
          <w:rPr>
            <w:rStyle w:val="Hyperlink"/>
            <w:rFonts w:eastAsiaTheme="majorEastAsia"/>
            <w:noProof/>
          </w:rPr>
          <w:t>New Smokefree legislation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_Toc58869321 \h </w:instrText>
        </w:r>
        <w:r w:rsidR="00140DE2" w:rsidRPr="008F484C">
          <w:rPr>
            <w:noProof/>
            <w:webHidden/>
          </w:rPr>
        </w:r>
        <w:r w:rsidR="00140DE2" w:rsidRPr="008F484C">
          <w:rPr>
            <w:noProof/>
            <w:webHidden/>
          </w:rPr>
          <w:fldChar w:fldCharType="separate"/>
        </w:r>
        <w:r w:rsidR="00C91D32">
          <w:rPr>
            <w:noProof/>
            <w:webHidden/>
          </w:rPr>
          <w:t>1</w:t>
        </w:r>
        <w:r w:rsidR="00140DE2" w:rsidRPr="008F484C">
          <w:rPr>
            <w:noProof/>
            <w:webHidden/>
          </w:rPr>
          <w:fldChar w:fldCharType="end"/>
        </w:r>
      </w:hyperlink>
    </w:p>
    <w:p w14:paraId="6146E4FF" w14:textId="4FCBEFC5" w:rsidR="00140DE2" w:rsidRPr="008F484C" w:rsidRDefault="00526A93">
      <w:pPr>
        <w:pStyle w:val="TOC2"/>
        <w:rPr>
          <w:rFonts w:asciiTheme="minorHAnsi" w:eastAsiaTheme="minorEastAsia" w:hAnsiTheme="minorHAnsi" w:cstheme="minorBidi"/>
          <w:noProof/>
          <w:szCs w:val="22"/>
          <w:lang w:val="en-AU" w:eastAsia="en-AU"/>
        </w:rPr>
      </w:pPr>
      <w:hyperlink w:anchor="_Toc58869322" w:history="1">
        <w:r w:rsidR="00140DE2" w:rsidRPr="008F484C">
          <w:rPr>
            <w:rStyle w:val="Hyperlink"/>
            <w:rFonts w:eastAsiaTheme="majorEastAsia"/>
            <w:noProof/>
          </w:rPr>
          <w:t>The purpose of this consultation document</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_Toc58869322 \h </w:instrText>
        </w:r>
        <w:r w:rsidR="00140DE2" w:rsidRPr="008F484C">
          <w:rPr>
            <w:noProof/>
            <w:webHidden/>
          </w:rPr>
        </w:r>
        <w:r w:rsidR="00140DE2" w:rsidRPr="008F484C">
          <w:rPr>
            <w:noProof/>
            <w:webHidden/>
          </w:rPr>
          <w:fldChar w:fldCharType="separate"/>
        </w:r>
        <w:r w:rsidR="00C91D32">
          <w:rPr>
            <w:noProof/>
            <w:webHidden/>
          </w:rPr>
          <w:t>2</w:t>
        </w:r>
        <w:r w:rsidR="00140DE2" w:rsidRPr="008F484C">
          <w:rPr>
            <w:noProof/>
            <w:webHidden/>
          </w:rPr>
          <w:fldChar w:fldCharType="end"/>
        </w:r>
      </w:hyperlink>
    </w:p>
    <w:p w14:paraId="77CBECF1" w14:textId="4DFB311F" w:rsidR="00140DE2" w:rsidRPr="008F484C" w:rsidRDefault="00526A93">
      <w:pPr>
        <w:pStyle w:val="TOC2"/>
        <w:rPr>
          <w:rFonts w:asciiTheme="minorHAnsi" w:eastAsiaTheme="minorEastAsia" w:hAnsiTheme="minorHAnsi" w:cstheme="minorBidi"/>
          <w:noProof/>
          <w:szCs w:val="22"/>
          <w:lang w:val="en-AU" w:eastAsia="en-AU"/>
        </w:rPr>
      </w:pPr>
      <w:hyperlink w:anchor="_Toc58869323" w:history="1">
        <w:r w:rsidR="00140DE2" w:rsidRPr="008F484C">
          <w:rPr>
            <w:rStyle w:val="Hyperlink"/>
            <w:rFonts w:eastAsiaTheme="majorEastAsia"/>
            <w:noProof/>
          </w:rPr>
          <w:t>The layout of this consultation document</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_Toc58869323 \h </w:instrText>
        </w:r>
        <w:r w:rsidR="00140DE2" w:rsidRPr="008F484C">
          <w:rPr>
            <w:noProof/>
            <w:webHidden/>
          </w:rPr>
        </w:r>
        <w:r w:rsidR="00140DE2" w:rsidRPr="008F484C">
          <w:rPr>
            <w:noProof/>
            <w:webHidden/>
          </w:rPr>
          <w:fldChar w:fldCharType="separate"/>
        </w:r>
        <w:r w:rsidR="00C91D32">
          <w:rPr>
            <w:noProof/>
            <w:webHidden/>
          </w:rPr>
          <w:t>3</w:t>
        </w:r>
        <w:r w:rsidR="00140DE2" w:rsidRPr="008F484C">
          <w:rPr>
            <w:noProof/>
            <w:webHidden/>
          </w:rPr>
          <w:fldChar w:fldCharType="end"/>
        </w:r>
      </w:hyperlink>
    </w:p>
    <w:p w14:paraId="654DBF60" w14:textId="466FCA53" w:rsidR="00140DE2" w:rsidRPr="008F484C" w:rsidRDefault="00526A93">
      <w:pPr>
        <w:pStyle w:val="TOC2"/>
        <w:rPr>
          <w:rFonts w:asciiTheme="minorHAnsi" w:eastAsiaTheme="minorEastAsia" w:hAnsiTheme="minorHAnsi" w:cstheme="minorBidi"/>
          <w:noProof/>
          <w:szCs w:val="22"/>
          <w:lang w:val="en-AU" w:eastAsia="en-AU"/>
        </w:rPr>
      </w:pPr>
      <w:hyperlink w:anchor="_Toc58869324" w:history="1">
        <w:r w:rsidR="00140DE2" w:rsidRPr="008F484C">
          <w:rPr>
            <w:rStyle w:val="Hyperlink"/>
            <w:rFonts w:eastAsiaTheme="majorEastAsia"/>
            <w:noProof/>
          </w:rPr>
          <w:t>How to provide feedback</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_Toc58869324 \h </w:instrText>
        </w:r>
        <w:r w:rsidR="00140DE2" w:rsidRPr="008F484C">
          <w:rPr>
            <w:noProof/>
            <w:webHidden/>
          </w:rPr>
        </w:r>
        <w:r w:rsidR="00140DE2" w:rsidRPr="008F484C">
          <w:rPr>
            <w:noProof/>
            <w:webHidden/>
          </w:rPr>
          <w:fldChar w:fldCharType="separate"/>
        </w:r>
        <w:r w:rsidR="00C91D32">
          <w:rPr>
            <w:noProof/>
            <w:webHidden/>
          </w:rPr>
          <w:t>3</w:t>
        </w:r>
        <w:r w:rsidR="00140DE2" w:rsidRPr="008F484C">
          <w:rPr>
            <w:noProof/>
            <w:webHidden/>
          </w:rPr>
          <w:fldChar w:fldCharType="end"/>
        </w:r>
      </w:hyperlink>
    </w:p>
    <w:p w14:paraId="72B3C061" w14:textId="3E4E55E6" w:rsidR="00140DE2" w:rsidRPr="008F484C" w:rsidRDefault="00526A93">
      <w:pPr>
        <w:pStyle w:val="TOC2"/>
        <w:rPr>
          <w:rFonts w:asciiTheme="minorHAnsi" w:eastAsiaTheme="minorEastAsia" w:hAnsiTheme="minorHAnsi" w:cstheme="minorBidi"/>
          <w:noProof/>
          <w:szCs w:val="22"/>
          <w:lang w:val="en-AU" w:eastAsia="en-AU"/>
        </w:rPr>
      </w:pPr>
      <w:hyperlink w:anchor="_Toc58869325" w:history="1">
        <w:r w:rsidR="00140DE2" w:rsidRPr="008F484C">
          <w:rPr>
            <w:rStyle w:val="Hyperlink"/>
            <w:noProof/>
          </w:rPr>
          <w:t>Protection from commercial and other vested interests of the tobacco industry</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_Toc58869325 \h </w:instrText>
        </w:r>
        <w:r w:rsidR="00140DE2" w:rsidRPr="008F484C">
          <w:rPr>
            <w:noProof/>
            <w:webHidden/>
          </w:rPr>
        </w:r>
        <w:r w:rsidR="00140DE2" w:rsidRPr="008F484C">
          <w:rPr>
            <w:noProof/>
            <w:webHidden/>
          </w:rPr>
          <w:fldChar w:fldCharType="separate"/>
        </w:r>
        <w:r w:rsidR="00C91D32">
          <w:rPr>
            <w:noProof/>
            <w:webHidden/>
          </w:rPr>
          <w:t>4</w:t>
        </w:r>
        <w:r w:rsidR="00140DE2" w:rsidRPr="008F484C">
          <w:rPr>
            <w:noProof/>
            <w:webHidden/>
          </w:rPr>
          <w:fldChar w:fldCharType="end"/>
        </w:r>
      </w:hyperlink>
    </w:p>
    <w:p w14:paraId="74E848C3" w14:textId="291346B7"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26" w:history="1">
        <w:r w:rsidR="00140DE2" w:rsidRPr="008F484C">
          <w:rPr>
            <w:rStyle w:val="Hyperlink"/>
            <w:noProof/>
          </w:rPr>
          <w:t>Regulatory proposal 1: Defining an internal area</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_Toc58869326 \h </w:instrText>
        </w:r>
        <w:r w:rsidR="00140DE2" w:rsidRPr="008F484C">
          <w:rPr>
            <w:noProof/>
            <w:webHidden/>
          </w:rPr>
        </w:r>
        <w:r w:rsidR="00140DE2" w:rsidRPr="008F484C">
          <w:rPr>
            <w:noProof/>
            <w:webHidden/>
          </w:rPr>
          <w:fldChar w:fldCharType="separate"/>
        </w:r>
        <w:r w:rsidR="00C91D32">
          <w:rPr>
            <w:noProof/>
            <w:webHidden/>
          </w:rPr>
          <w:t>5</w:t>
        </w:r>
        <w:r w:rsidR="00140DE2" w:rsidRPr="008F484C">
          <w:rPr>
            <w:noProof/>
            <w:webHidden/>
          </w:rPr>
          <w:fldChar w:fldCharType="end"/>
        </w:r>
      </w:hyperlink>
    </w:p>
    <w:p w14:paraId="0E3C670A" w14:textId="2514605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27"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_Toc58869327 \h </w:instrText>
        </w:r>
        <w:r w:rsidR="00140DE2" w:rsidRPr="008F484C">
          <w:rPr>
            <w:noProof/>
            <w:webHidden/>
          </w:rPr>
        </w:r>
        <w:r w:rsidR="00140DE2" w:rsidRPr="008F484C">
          <w:rPr>
            <w:noProof/>
            <w:webHidden/>
          </w:rPr>
          <w:fldChar w:fldCharType="separate"/>
        </w:r>
        <w:r w:rsidR="00C91D32">
          <w:rPr>
            <w:noProof/>
            <w:webHidden/>
          </w:rPr>
          <w:t>5</w:t>
        </w:r>
        <w:r w:rsidR="00140DE2" w:rsidRPr="008F484C">
          <w:rPr>
            <w:noProof/>
            <w:webHidden/>
          </w:rPr>
          <w:fldChar w:fldCharType="end"/>
        </w:r>
      </w:hyperlink>
    </w:p>
    <w:p w14:paraId="3E49AA66" w14:textId="66AB3DB2"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28"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_Toc58869328 \h </w:instrText>
        </w:r>
        <w:r w:rsidR="00140DE2" w:rsidRPr="008F484C">
          <w:rPr>
            <w:noProof/>
            <w:webHidden/>
          </w:rPr>
        </w:r>
        <w:r w:rsidR="00140DE2" w:rsidRPr="008F484C">
          <w:rPr>
            <w:noProof/>
            <w:webHidden/>
          </w:rPr>
          <w:fldChar w:fldCharType="separate"/>
        </w:r>
        <w:r w:rsidR="00C91D32">
          <w:rPr>
            <w:noProof/>
            <w:webHidden/>
          </w:rPr>
          <w:t>5</w:t>
        </w:r>
        <w:r w:rsidR="00140DE2" w:rsidRPr="008F484C">
          <w:rPr>
            <w:noProof/>
            <w:webHidden/>
          </w:rPr>
          <w:fldChar w:fldCharType="end"/>
        </w:r>
      </w:hyperlink>
    </w:p>
    <w:p w14:paraId="2B1AD4A3" w14:textId="6750BAAE"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29"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_Toc58869329 \h </w:instrText>
        </w:r>
        <w:r w:rsidR="00140DE2" w:rsidRPr="008F484C">
          <w:rPr>
            <w:noProof/>
            <w:webHidden/>
          </w:rPr>
        </w:r>
        <w:r w:rsidR="00140DE2" w:rsidRPr="008F484C">
          <w:rPr>
            <w:noProof/>
            <w:webHidden/>
          </w:rPr>
          <w:fldChar w:fldCharType="separate"/>
        </w:r>
        <w:r w:rsidR="00C91D32">
          <w:rPr>
            <w:noProof/>
            <w:webHidden/>
          </w:rPr>
          <w:t>6</w:t>
        </w:r>
        <w:r w:rsidR="00140DE2" w:rsidRPr="008F484C">
          <w:rPr>
            <w:noProof/>
            <w:webHidden/>
          </w:rPr>
          <w:fldChar w:fldCharType="end"/>
        </w:r>
      </w:hyperlink>
    </w:p>
    <w:p w14:paraId="3F5C32ED" w14:textId="4192B3AA"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30" w:history="1">
        <w:r w:rsidR="00140DE2" w:rsidRPr="008F484C">
          <w:rPr>
            <w:rStyle w:val="Hyperlink"/>
            <w:noProof/>
          </w:rPr>
          <w:t>Regulatory proposal 2: Specialist vape retailer approvals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_Toc58869330 \h </w:instrText>
        </w:r>
        <w:r w:rsidR="00140DE2" w:rsidRPr="008F484C">
          <w:rPr>
            <w:noProof/>
            <w:webHidden/>
          </w:rPr>
        </w:r>
        <w:r w:rsidR="00140DE2" w:rsidRPr="008F484C">
          <w:rPr>
            <w:noProof/>
            <w:webHidden/>
          </w:rPr>
          <w:fldChar w:fldCharType="separate"/>
        </w:r>
        <w:r w:rsidR="00C91D32">
          <w:rPr>
            <w:noProof/>
            <w:webHidden/>
          </w:rPr>
          <w:t>7</w:t>
        </w:r>
        <w:r w:rsidR="00140DE2" w:rsidRPr="008F484C">
          <w:rPr>
            <w:noProof/>
            <w:webHidden/>
          </w:rPr>
          <w:fldChar w:fldCharType="end"/>
        </w:r>
      </w:hyperlink>
    </w:p>
    <w:p w14:paraId="4F1A9366" w14:textId="7FD42FF5"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1"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_Toc58869331 \h </w:instrText>
        </w:r>
        <w:r w:rsidR="00140DE2" w:rsidRPr="008F484C">
          <w:rPr>
            <w:noProof/>
            <w:webHidden/>
          </w:rPr>
        </w:r>
        <w:r w:rsidR="00140DE2" w:rsidRPr="008F484C">
          <w:rPr>
            <w:noProof/>
            <w:webHidden/>
          </w:rPr>
          <w:fldChar w:fldCharType="separate"/>
        </w:r>
        <w:r w:rsidR="00C91D32">
          <w:rPr>
            <w:noProof/>
            <w:webHidden/>
          </w:rPr>
          <w:t>7</w:t>
        </w:r>
        <w:r w:rsidR="00140DE2" w:rsidRPr="008F484C">
          <w:rPr>
            <w:noProof/>
            <w:webHidden/>
          </w:rPr>
          <w:fldChar w:fldCharType="end"/>
        </w:r>
      </w:hyperlink>
    </w:p>
    <w:p w14:paraId="4995A012" w14:textId="721BAAB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2"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_Toc58869332 \h </w:instrText>
        </w:r>
        <w:r w:rsidR="00140DE2" w:rsidRPr="008F484C">
          <w:rPr>
            <w:noProof/>
            <w:webHidden/>
          </w:rPr>
        </w:r>
        <w:r w:rsidR="00140DE2" w:rsidRPr="008F484C">
          <w:rPr>
            <w:noProof/>
            <w:webHidden/>
          </w:rPr>
          <w:fldChar w:fldCharType="separate"/>
        </w:r>
        <w:r w:rsidR="00C91D32">
          <w:rPr>
            <w:noProof/>
            <w:webHidden/>
          </w:rPr>
          <w:t>7</w:t>
        </w:r>
        <w:r w:rsidR="00140DE2" w:rsidRPr="008F484C">
          <w:rPr>
            <w:noProof/>
            <w:webHidden/>
          </w:rPr>
          <w:fldChar w:fldCharType="end"/>
        </w:r>
      </w:hyperlink>
    </w:p>
    <w:p w14:paraId="0C2AC196" w14:textId="2A4237C1"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3"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_Toc58869333 \h </w:instrText>
        </w:r>
        <w:r w:rsidR="00140DE2" w:rsidRPr="008F484C">
          <w:rPr>
            <w:noProof/>
            <w:webHidden/>
          </w:rPr>
        </w:r>
        <w:r w:rsidR="00140DE2" w:rsidRPr="008F484C">
          <w:rPr>
            <w:noProof/>
            <w:webHidden/>
          </w:rPr>
          <w:fldChar w:fldCharType="separate"/>
        </w:r>
        <w:r w:rsidR="00C91D32">
          <w:rPr>
            <w:noProof/>
            <w:webHidden/>
          </w:rPr>
          <w:t>8</w:t>
        </w:r>
        <w:r w:rsidR="00140DE2" w:rsidRPr="008F484C">
          <w:rPr>
            <w:noProof/>
            <w:webHidden/>
          </w:rPr>
          <w:fldChar w:fldCharType="end"/>
        </w:r>
      </w:hyperlink>
    </w:p>
    <w:p w14:paraId="5F51524F" w14:textId="46763F57"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34" w:history="1">
        <w:r w:rsidR="00140DE2" w:rsidRPr="008F484C">
          <w:rPr>
            <w:rStyle w:val="Hyperlink"/>
            <w:noProof/>
          </w:rPr>
          <w:t>Regulatory proposal 3: Promotion, information and advice</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_Toc58869334 \h </w:instrText>
        </w:r>
        <w:r w:rsidR="00140DE2" w:rsidRPr="008F484C">
          <w:rPr>
            <w:noProof/>
            <w:webHidden/>
          </w:rPr>
        </w:r>
        <w:r w:rsidR="00140DE2" w:rsidRPr="008F484C">
          <w:rPr>
            <w:noProof/>
            <w:webHidden/>
          </w:rPr>
          <w:fldChar w:fldCharType="separate"/>
        </w:r>
        <w:r w:rsidR="00C91D32">
          <w:rPr>
            <w:noProof/>
            <w:webHidden/>
          </w:rPr>
          <w:t>9</w:t>
        </w:r>
        <w:r w:rsidR="00140DE2" w:rsidRPr="008F484C">
          <w:rPr>
            <w:noProof/>
            <w:webHidden/>
          </w:rPr>
          <w:fldChar w:fldCharType="end"/>
        </w:r>
      </w:hyperlink>
    </w:p>
    <w:p w14:paraId="4DCF9117" w14:textId="68CBD507" w:rsidR="00140DE2" w:rsidRPr="008F484C" w:rsidRDefault="00526A93">
      <w:pPr>
        <w:pStyle w:val="TOC2"/>
        <w:rPr>
          <w:rFonts w:asciiTheme="minorHAnsi" w:eastAsiaTheme="minorEastAsia" w:hAnsiTheme="minorHAnsi" w:cstheme="minorBidi"/>
          <w:noProof/>
          <w:szCs w:val="22"/>
          <w:lang w:val="en-AU" w:eastAsia="en-AU"/>
        </w:rPr>
      </w:pPr>
      <w:hyperlink w:anchor="_Toc58869335" w:history="1">
        <w:r w:rsidR="00140DE2" w:rsidRPr="008F484C">
          <w:rPr>
            <w:rStyle w:val="Hyperlink"/>
            <w:noProof/>
          </w:rPr>
          <w:t>3.1 Display of vaping products in retail settings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_Toc58869335 \h </w:instrText>
        </w:r>
        <w:r w:rsidR="00140DE2" w:rsidRPr="008F484C">
          <w:rPr>
            <w:noProof/>
            <w:webHidden/>
          </w:rPr>
        </w:r>
        <w:r w:rsidR="00140DE2" w:rsidRPr="008F484C">
          <w:rPr>
            <w:noProof/>
            <w:webHidden/>
          </w:rPr>
          <w:fldChar w:fldCharType="separate"/>
        </w:r>
        <w:r w:rsidR="00C91D32">
          <w:rPr>
            <w:noProof/>
            <w:webHidden/>
          </w:rPr>
          <w:t>9</w:t>
        </w:r>
        <w:r w:rsidR="00140DE2" w:rsidRPr="008F484C">
          <w:rPr>
            <w:noProof/>
            <w:webHidden/>
          </w:rPr>
          <w:fldChar w:fldCharType="end"/>
        </w:r>
      </w:hyperlink>
    </w:p>
    <w:p w14:paraId="2EFE0AE1" w14:textId="3196C9BF"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6"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_Toc58869336 \h </w:instrText>
        </w:r>
        <w:r w:rsidR="00140DE2" w:rsidRPr="008F484C">
          <w:rPr>
            <w:noProof/>
            <w:webHidden/>
          </w:rPr>
        </w:r>
        <w:r w:rsidR="00140DE2" w:rsidRPr="008F484C">
          <w:rPr>
            <w:noProof/>
            <w:webHidden/>
          </w:rPr>
          <w:fldChar w:fldCharType="separate"/>
        </w:r>
        <w:r w:rsidR="00C91D32">
          <w:rPr>
            <w:noProof/>
            <w:webHidden/>
          </w:rPr>
          <w:t>9</w:t>
        </w:r>
        <w:r w:rsidR="00140DE2" w:rsidRPr="008F484C">
          <w:rPr>
            <w:noProof/>
            <w:webHidden/>
          </w:rPr>
          <w:fldChar w:fldCharType="end"/>
        </w:r>
      </w:hyperlink>
    </w:p>
    <w:p w14:paraId="62F42650" w14:textId="55EBB686"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7"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_Toc58869337 \h </w:instrText>
        </w:r>
        <w:r w:rsidR="00140DE2" w:rsidRPr="008F484C">
          <w:rPr>
            <w:noProof/>
            <w:webHidden/>
          </w:rPr>
        </w:r>
        <w:r w:rsidR="00140DE2" w:rsidRPr="008F484C">
          <w:rPr>
            <w:noProof/>
            <w:webHidden/>
          </w:rPr>
          <w:fldChar w:fldCharType="separate"/>
        </w:r>
        <w:r w:rsidR="00C91D32">
          <w:rPr>
            <w:noProof/>
            <w:webHidden/>
          </w:rPr>
          <w:t>10</w:t>
        </w:r>
        <w:r w:rsidR="00140DE2" w:rsidRPr="008F484C">
          <w:rPr>
            <w:noProof/>
            <w:webHidden/>
          </w:rPr>
          <w:fldChar w:fldCharType="end"/>
        </w:r>
      </w:hyperlink>
    </w:p>
    <w:p w14:paraId="4B6EBD54" w14:textId="1EF2266C"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38" w:history="1">
        <w:r w:rsidR="00140DE2" w:rsidRPr="008F484C">
          <w:rPr>
            <w:rStyle w:val="Hyperlink"/>
            <w:noProof/>
          </w:rPr>
          <w:t>Consultation question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_Toc58869338 \h </w:instrText>
        </w:r>
        <w:r w:rsidR="00140DE2" w:rsidRPr="008F484C">
          <w:rPr>
            <w:noProof/>
            <w:webHidden/>
          </w:rPr>
        </w:r>
        <w:r w:rsidR="00140DE2" w:rsidRPr="008F484C">
          <w:rPr>
            <w:noProof/>
            <w:webHidden/>
          </w:rPr>
          <w:fldChar w:fldCharType="separate"/>
        </w:r>
        <w:r w:rsidR="00C91D32">
          <w:rPr>
            <w:noProof/>
            <w:webHidden/>
          </w:rPr>
          <w:t>10</w:t>
        </w:r>
        <w:r w:rsidR="00140DE2" w:rsidRPr="008F484C">
          <w:rPr>
            <w:noProof/>
            <w:webHidden/>
          </w:rPr>
          <w:fldChar w:fldCharType="end"/>
        </w:r>
      </w:hyperlink>
    </w:p>
    <w:p w14:paraId="7262196D" w14:textId="29EA2D18" w:rsidR="00140DE2" w:rsidRPr="008F484C" w:rsidRDefault="00526A93">
      <w:pPr>
        <w:pStyle w:val="TOC2"/>
        <w:rPr>
          <w:rFonts w:asciiTheme="minorHAnsi" w:eastAsiaTheme="minorEastAsia" w:hAnsiTheme="minorHAnsi" w:cstheme="minorBidi"/>
          <w:noProof/>
          <w:szCs w:val="22"/>
          <w:lang w:val="en-AU" w:eastAsia="en-AU"/>
        </w:rPr>
      </w:pPr>
      <w:hyperlink w:anchor="_Toc58869339" w:history="1">
        <w:r w:rsidR="00140DE2" w:rsidRPr="008F484C">
          <w:rPr>
            <w:rStyle w:val="Hyperlink"/>
            <w:noProof/>
          </w:rPr>
          <w:t>3.2 Price lists given to retailers for tobacco only</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_Toc58869339 \h </w:instrText>
        </w:r>
        <w:r w:rsidR="00140DE2" w:rsidRPr="008F484C">
          <w:rPr>
            <w:noProof/>
            <w:webHidden/>
          </w:rPr>
        </w:r>
        <w:r w:rsidR="00140DE2" w:rsidRPr="008F484C">
          <w:rPr>
            <w:noProof/>
            <w:webHidden/>
          </w:rPr>
          <w:fldChar w:fldCharType="separate"/>
        </w:r>
        <w:r w:rsidR="00C91D32">
          <w:rPr>
            <w:noProof/>
            <w:webHidden/>
          </w:rPr>
          <w:t>11</w:t>
        </w:r>
        <w:r w:rsidR="00140DE2" w:rsidRPr="008F484C">
          <w:rPr>
            <w:noProof/>
            <w:webHidden/>
          </w:rPr>
          <w:fldChar w:fldCharType="end"/>
        </w:r>
      </w:hyperlink>
    </w:p>
    <w:p w14:paraId="3876699A" w14:textId="3CA006D8"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0"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_Toc58869340 \h </w:instrText>
        </w:r>
        <w:r w:rsidR="00140DE2" w:rsidRPr="008F484C">
          <w:rPr>
            <w:noProof/>
            <w:webHidden/>
          </w:rPr>
        </w:r>
        <w:r w:rsidR="00140DE2" w:rsidRPr="008F484C">
          <w:rPr>
            <w:noProof/>
            <w:webHidden/>
          </w:rPr>
          <w:fldChar w:fldCharType="separate"/>
        </w:r>
        <w:r w:rsidR="00C91D32">
          <w:rPr>
            <w:noProof/>
            <w:webHidden/>
          </w:rPr>
          <w:t>11</w:t>
        </w:r>
        <w:r w:rsidR="00140DE2" w:rsidRPr="008F484C">
          <w:rPr>
            <w:noProof/>
            <w:webHidden/>
          </w:rPr>
          <w:fldChar w:fldCharType="end"/>
        </w:r>
      </w:hyperlink>
    </w:p>
    <w:p w14:paraId="31BE0E4A" w14:textId="65707E55"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1"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_Toc58869341 \h </w:instrText>
        </w:r>
        <w:r w:rsidR="00140DE2" w:rsidRPr="008F484C">
          <w:rPr>
            <w:noProof/>
            <w:webHidden/>
          </w:rPr>
        </w:r>
        <w:r w:rsidR="00140DE2" w:rsidRPr="008F484C">
          <w:rPr>
            <w:noProof/>
            <w:webHidden/>
          </w:rPr>
          <w:fldChar w:fldCharType="separate"/>
        </w:r>
        <w:r w:rsidR="00C91D32">
          <w:rPr>
            <w:noProof/>
            <w:webHidden/>
          </w:rPr>
          <w:t>11</w:t>
        </w:r>
        <w:r w:rsidR="00140DE2" w:rsidRPr="008F484C">
          <w:rPr>
            <w:noProof/>
            <w:webHidden/>
          </w:rPr>
          <w:fldChar w:fldCharType="end"/>
        </w:r>
      </w:hyperlink>
    </w:p>
    <w:p w14:paraId="63370273" w14:textId="751C247C"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2"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_Toc58869342 \h </w:instrText>
        </w:r>
        <w:r w:rsidR="00140DE2" w:rsidRPr="008F484C">
          <w:rPr>
            <w:noProof/>
            <w:webHidden/>
          </w:rPr>
        </w:r>
        <w:r w:rsidR="00140DE2" w:rsidRPr="008F484C">
          <w:rPr>
            <w:noProof/>
            <w:webHidden/>
          </w:rPr>
          <w:fldChar w:fldCharType="separate"/>
        </w:r>
        <w:r w:rsidR="00C91D32">
          <w:rPr>
            <w:noProof/>
            <w:webHidden/>
          </w:rPr>
          <w:t>11</w:t>
        </w:r>
        <w:r w:rsidR="00140DE2" w:rsidRPr="008F484C">
          <w:rPr>
            <w:noProof/>
            <w:webHidden/>
          </w:rPr>
          <w:fldChar w:fldCharType="end"/>
        </w:r>
      </w:hyperlink>
    </w:p>
    <w:p w14:paraId="5065E040" w14:textId="3B56EE34" w:rsidR="00140DE2" w:rsidRPr="008F484C" w:rsidRDefault="00526A93">
      <w:pPr>
        <w:pStyle w:val="TOC2"/>
        <w:rPr>
          <w:rFonts w:asciiTheme="minorHAnsi" w:eastAsiaTheme="minorEastAsia" w:hAnsiTheme="minorHAnsi" w:cstheme="minorBidi"/>
          <w:noProof/>
          <w:szCs w:val="22"/>
          <w:lang w:val="en-AU" w:eastAsia="en-AU"/>
        </w:rPr>
      </w:pPr>
      <w:hyperlink w:anchor="_Toc58869343" w:history="1">
        <w:r w:rsidR="00140DE2" w:rsidRPr="008F484C">
          <w:rPr>
            <w:rStyle w:val="Hyperlink"/>
            <w:noProof/>
          </w:rPr>
          <w:t>3.3 Public health messages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_Toc58869343 \h </w:instrText>
        </w:r>
        <w:r w:rsidR="00140DE2" w:rsidRPr="008F484C">
          <w:rPr>
            <w:noProof/>
            <w:webHidden/>
          </w:rPr>
        </w:r>
        <w:r w:rsidR="00140DE2" w:rsidRPr="008F484C">
          <w:rPr>
            <w:noProof/>
            <w:webHidden/>
          </w:rPr>
          <w:fldChar w:fldCharType="separate"/>
        </w:r>
        <w:r w:rsidR="00C91D32">
          <w:rPr>
            <w:noProof/>
            <w:webHidden/>
          </w:rPr>
          <w:t>12</w:t>
        </w:r>
        <w:r w:rsidR="00140DE2" w:rsidRPr="008F484C">
          <w:rPr>
            <w:noProof/>
            <w:webHidden/>
          </w:rPr>
          <w:fldChar w:fldCharType="end"/>
        </w:r>
      </w:hyperlink>
    </w:p>
    <w:p w14:paraId="6F58D55B" w14:textId="55DB0D6D"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4" w:history="1">
        <w:r w:rsidR="00140DE2" w:rsidRPr="008F484C">
          <w:rPr>
            <w:rStyle w:val="Hyperlink"/>
            <w:noProof/>
          </w:rPr>
          <w:t>Description</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_Toc58869344 \h </w:instrText>
        </w:r>
        <w:r w:rsidR="00140DE2" w:rsidRPr="008F484C">
          <w:rPr>
            <w:noProof/>
            <w:webHidden/>
          </w:rPr>
        </w:r>
        <w:r w:rsidR="00140DE2" w:rsidRPr="008F484C">
          <w:rPr>
            <w:noProof/>
            <w:webHidden/>
          </w:rPr>
          <w:fldChar w:fldCharType="separate"/>
        </w:r>
        <w:r w:rsidR="00C91D32">
          <w:rPr>
            <w:noProof/>
            <w:webHidden/>
          </w:rPr>
          <w:t>12</w:t>
        </w:r>
        <w:r w:rsidR="00140DE2" w:rsidRPr="008F484C">
          <w:rPr>
            <w:noProof/>
            <w:webHidden/>
          </w:rPr>
          <w:fldChar w:fldCharType="end"/>
        </w:r>
      </w:hyperlink>
    </w:p>
    <w:p w14:paraId="3DFE09A8" w14:textId="228F1117"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5"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_Toc58869345 \h </w:instrText>
        </w:r>
        <w:r w:rsidR="00140DE2" w:rsidRPr="008F484C">
          <w:rPr>
            <w:noProof/>
            <w:webHidden/>
          </w:rPr>
        </w:r>
        <w:r w:rsidR="00140DE2" w:rsidRPr="008F484C">
          <w:rPr>
            <w:noProof/>
            <w:webHidden/>
          </w:rPr>
          <w:fldChar w:fldCharType="separate"/>
        </w:r>
        <w:r w:rsidR="00C91D32">
          <w:rPr>
            <w:noProof/>
            <w:webHidden/>
          </w:rPr>
          <w:t>12</w:t>
        </w:r>
        <w:r w:rsidR="00140DE2" w:rsidRPr="008F484C">
          <w:rPr>
            <w:noProof/>
            <w:webHidden/>
          </w:rPr>
          <w:fldChar w:fldCharType="end"/>
        </w:r>
      </w:hyperlink>
    </w:p>
    <w:p w14:paraId="55C546C6" w14:textId="46C2A30B"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6" w:history="1">
        <w:r w:rsidR="00140DE2" w:rsidRPr="008F484C">
          <w:rPr>
            <w:rStyle w:val="Hyperlink"/>
            <w:noProof/>
          </w:rPr>
          <w:t>Consultation question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_Toc58869346 \h </w:instrText>
        </w:r>
        <w:r w:rsidR="00140DE2" w:rsidRPr="008F484C">
          <w:rPr>
            <w:noProof/>
            <w:webHidden/>
          </w:rPr>
        </w:r>
        <w:r w:rsidR="00140DE2" w:rsidRPr="008F484C">
          <w:rPr>
            <w:noProof/>
            <w:webHidden/>
          </w:rPr>
          <w:fldChar w:fldCharType="separate"/>
        </w:r>
        <w:r w:rsidR="00C91D32">
          <w:rPr>
            <w:noProof/>
            <w:webHidden/>
          </w:rPr>
          <w:t>12</w:t>
        </w:r>
        <w:r w:rsidR="00140DE2" w:rsidRPr="008F484C">
          <w:rPr>
            <w:noProof/>
            <w:webHidden/>
          </w:rPr>
          <w:fldChar w:fldCharType="end"/>
        </w:r>
      </w:hyperlink>
    </w:p>
    <w:p w14:paraId="0C39047B" w14:textId="727CF80B" w:rsidR="00140DE2" w:rsidRPr="008F484C" w:rsidRDefault="00526A93">
      <w:pPr>
        <w:pStyle w:val="TOC2"/>
        <w:rPr>
          <w:rFonts w:asciiTheme="minorHAnsi" w:eastAsiaTheme="minorEastAsia" w:hAnsiTheme="minorHAnsi" w:cstheme="minorBidi"/>
          <w:noProof/>
          <w:szCs w:val="22"/>
          <w:lang w:val="en-AU" w:eastAsia="en-AU"/>
        </w:rPr>
      </w:pPr>
      <w:hyperlink w:anchor="_Toc58869347" w:history="1">
        <w:r w:rsidR="00140DE2" w:rsidRPr="008F484C">
          <w:rPr>
            <w:rStyle w:val="Hyperlink"/>
            <w:noProof/>
          </w:rPr>
          <w:t>3.4 Vaping product information in retail settings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_Toc58869347 \h </w:instrText>
        </w:r>
        <w:r w:rsidR="00140DE2" w:rsidRPr="008F484C">
          <w:rPr>
            <w:noProof/>
            <w:webHidden/>
          </w:rPr>
        </w:r>
        <w:r w:rsidR="00140DE2" w:rsidRPr="008F484C">
          <w:rPr>
            <w:noProof/>
            <w:webHidden/>
          </w:rPr>
          <w:fldChar w:fldCharType="separate"/>
        </w:r>
        <w:r w:rsidR="00C91D32">
          <w:rPr>
            <w:noProof/>
            <w:webHidden/>
          </w:rPr>
          <w:t>13</w:t>
        </w:r>
        <w:r w:rsidR="00140DE2" w:rsidRPr="008F484C">
          <w:rPr>
            <w:noProof/>
            <w:webHidden/>
          </w:rPr>
          <w:fldChar w:fldCharType="end"/>
        </w:r>
      </w:hyperlink>
    </w:p>
    <w:p w14:paraId="026DA167" w14:textId="4A082A72"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8" w:history="1">
        <w:r w:rsidR="00140DE2" w:rsidRPr="008F484C">
          <w:rPr>
            <w:rStyle w:val="Hyperlink"/>
            <w:noProof/>
          </w:rPr>
          <w:t>Description</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_Toc58869348 \h </w:instrText>
        </w:r>
        <w:r w:rsidR="00140DE2" w:rsidRPr="008F484C">
          <w:rPr>
            <w:noProof/>
            <w:webHidden/>
          </w:rPr>
        </w:r>
        <w:r w:rsidR="00140DE2" w:rsidRPr="008F484C">
          <w:rPr>
            <w:noProof/>
            <w:webHidden/>
          </w:rPr>
          <w:fldChar w:fldCharType="separate"/>
        </w:r>
        <w:r w:rsidR="00C91D32">
          <w:rPr>
            <w:noProof/>
            <w:webHidden/>
          </w:rPr>
          <w:t>13</w:t>
        </w:r>
        <w:r w:rsidR="00140DE2" w:rsidRPr="008F484C">
          <w:rPr>
            <w:noProof/>
            <w:webHidden/>
          </w:rPr>
          <w:fldChar w:fldCharType="end"/>
        </w:r>
      </w:hyperlink>
    </w:p>
    <w:p w14:paraId="42D5A12B" w14:textId="64347846"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49"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_Toc58869349 \h </w:instrText>
        </w:r>
        <w:r w:rsidR="00140DE2" w:rsidRPr="008F484C">
          <w:rPr>
            <w:noProof/>
            <w:webHidden/>
          </w:rPr>
        </w:r>
        <w:r w:rsidR="00140DE2" w:rsidRPr="008F484C">
          <w:rPr>
            <w:noProof/>
            <w:webHidden/>
          </w:rPr>
          <w:fldChar w:fldCharType="separate"/>
        </w:r>
        <w:r w:rsidR="00C91D32">
          <w:rPr>
            <w:noProof/>
            <w:webHidden/>
          </w:rPr>
          <w:t>13</w:t>
        </w:r>
        <w:r w:rsidR="00140DE2" w:rsidRPr="008F484C">
          <w:rPr>
            <w:noProof/>
            <w:webHidden/>
          </w:rPr>
          <w:fldChar w:fldCharType="end"/>
        </w:r>
      </w:hyperlink>
    </w:p>
    <w:p w14:paraId="1894C3AB" w14:textId="5F0EB027"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0"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_Toc58869350 \h </w:instrText>
        </w:r>
        <w:r w:rsidR="00140DE2" w:rsidRPr="008F484C">
          <w:rPr>
            <w:noProof/>
            <w:webHidden/>
          </w:rPr>
        </w:r>
        <w:r w:rsidR="00140DE2" w:rsidRPr="008F484C">
          <w:rPr>
            <w:noProof/>
            <w:webHidden/>
          </w:rPr>
          <w:fldChar w:fldCharType="separate"/>
        </w:r>
        <w:r w:rsidR="00C91D32">
          <w:rPr>
            <w:noProof/>
            <w:webHidden/>
          </w:rPr>
          <w:t>15</w:t>
        </w:r>
        <w:r w:rsidR="00140DE2" w:rsidRPr="008F484C">
          <w:rPr>
            <w:noProof/>
            <w:webHidden/>
          </w:rPr>
          <w:fldChar w:fldCharType="end"/>
        </w:r>
      </w:hyperlink>
    </w:p>
    <w:p w14:paraId="1E2347D2" w14:textId="06426449" w:rsidR="00140DE2" w:rsidRPr="008F484C" w:rsidRDefault="00526A93">
      <w:pPr>
        <w:pStyle w:val="TOC2"/>
        <w:rPr>
          <w:rFonts w:asciiTheme="minorHAnsi" w:eastAsiaTheme="minorEastAsia" w:hAnsiTheme="minorHAnsi" w:cstheme="minorBidi"/>
          <w:noProof/>
          <w:szCs w:val="22"/>
          <w:lang w:val="en-AU" w:eastAsia="en-AU"/>
        </w:rPr>
      </w:pPr>
      <w:hyperlink w:anchor="_Toc58869351" w:history="1">
        <w:r w:rsidR="00140DE2" w:rsidRPr="008F484C">
          <w:rPr>
            <w:rStyle w:val="Hyperlink"/>
            <w:noProof/>
          </w:rPr>
          <w:t>3.5 Product availability notices in retail premises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_Toc58869351 \h </w:instrText>
        </w:r>
        <w:r w:rsidR="00140DE2" w:rsidRPr="008F484C">
          <w:rPr>
            <w:noProof/>
            <w:webHidden/>
          </w:rPr>
        </w:r>
        <w:r w:rsidR="00140DE2" w:rsidRPr="008F484C">
          <w:rPr>
            <w:noProof/>
            <w:webHidden/>
          </w:rPr>
          <w:fldChar w:fldCharType="separate"/>
        </w:r>
        <w:r w:rsidR="00C91D32">
          <w:rPr>
            <w:noProof/>
            <w:webHidden/>
          </w:rPr>
          <w:t>16</w:t>
        </w:r>
        <w:r w:rsidR="00140DE2" w:rsidRPr="008F484C">
          <w:rPr>
            <w:noProof/>
            <w:webHidden/>
          </w:rPr>
          <w:fldChar w:fldCharType="end"/>
        </w:r>
      </w:hyperlink>
    </w:p>
    <w:p w14:paraId="4A870ED1" w14:textId="7D32375A"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2"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_Toc58869352 \h </w:instrText>
        </w:r>
        <w:r w:rsidR="00140DE2" w:rsidRPr="008F484C">
          <w:rPr>
            <w:noProof/>
            <w:webHidden/>
          </w:rPr>
        </w:r>
        <w:r w:rsidR="00140DE2" w:rsidRPr="008F484C">
          <w:rPr>
            <w:noProof/>
            <w:webHidden/>
          </w:rPr>
          <w:fldChar w:fldCharType="separate"/>
        </w:r>
        <w:r w:rsidR="00C91D32">
          <w:rPr>
            <w:noProof/>
            <w:webHidden/>
          </w:rPr>
          <w:t>16</w:t>
        </w:r>
        <w:r w:rsidR="00140DE2" w:rsidRPr="008F484C">
          <w:rPr>
            <w:noProof/>
            <w:webHidden/>
          </w:rPr>
          <w:fldChar w:fldCharType="end"/>
        </w:r>
      </w:hyperlink>
    </w:p>
    <w:p w14:paraId="3A50455D" w14:textId="482ABC4D"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3"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_Toc58869353 \h </w:instrText>
        </w:r>
        <w:r w:rsidR="00140DE2" w:rsidRPr="008F484C">
          <w:rPr>
            <w:noProof/>
            <w:webHidden/>
          </w:rPr>
        </w:r>
        <w:r w:rsidR="00140DE2" w:rsidRPr="008F484C">
          <w:rPr>
            <w:noProof/>
            <w:webHidden/>
          </w:rPr>
          <w:fldChar w:fldCharType="separate"/>
        </w:r>
        <w:r w:rsidR="00C91D32">
          <w:rPr>
            <w:noProof/>
            <w:webHidden/>
          </w:rPr>
          <w:t>16</w:t>
        </w:r>
        <w:r w:rsidR="00140DE2" w:rsidRPr="008F484C">
          <w:rPr>
            <w:noProof/>
            <w:webHidden/>
          </w:rPr>
          <w:fldChar w:fldCharType="end"/>
        </w:r>
      </w:hyperlink>
    </w:p>
    <w:p w14:paraId="3481C7AB" w14:textId="0D5E215E"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4" w:history="1">
        <w:r w:rsidR="00140DE2" w:rsidRPr="008F484C">
          <w:rPr>
            <w:rStyle w:val="Hyperlink"/>
            <w:noProof/>
          </w:rPr>
          <w:t>Consultation question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_Toc58869354 \h </w:instrText>
        </w:r>
        <w:r w:rsidR="00140DE2" w:rsidRPr="008F484C">
          <w:rPr>
            <w:noProof/>
            <w:webHidden/>
          </w:rPr>
        </w:r>
        <w:r w:rsidR="00140DE2" w:rsidRPr="008F484C">
          <w:rPr>
            <w:noProof/>
            <w:webHidden/>
          </w:rPr>
          <w:fldChar w:fldCharType="separate"/>
        </w:r>
        <w:r w:rsidR="00C91D32">
          <w:rPr>
            <w:noProof/>
            <w:webHidden/>
          </w:rPr>
          <w:t>17</w:t>
        </w:r>
        <w:r w:rsidR="00140DE2" w:rsidRPr="008F484C">
          <w:rPr>
            <w:noProof/>
            <w:webHidden/>
          </w:rPr>
          <w:fldChar w:fldCharType="end"/>
        </w:r>
      </w:hyperlink>
    </w:p>
    <w:p w14:paraId="71D5BE83" w14:textId="07E131FC" w:rsidR="00140DE2" w:rsidRPr="008F484C" w:rsidRDefault="00526A93">
      <w:pPr>
        <w:pStyle w:val="TOC2"/>
        <w:rPr>
          <w:rFonts w:asciiTheme="minorHAnsi" w:eastAsiaTheme="minorEastAsia" w:hAnsiTheme="minorHAnsi" w:cstheme="minorBidi"/>
          <w:noProof/>
          <w:szCs w:val="22"/>
          <w:lang w:val="en-AU" w:eastAsia="en-AU"/>
        </w:rPr>
      </w:pPr>
      <w:hyperlink w:anchor="_Toc58869355" w:history="1">
        <w:r w:rsidR="00140DE2" w:rsidRPr="008F484C">
          <w:rPr>
            <w:rStyle w:val="Hyperlink"/>
            <w:noProof/>
          </w:rPr>
          <w:t>3.6 Point-of-sale information on purchase age</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_Toc58869355 \h </w:instrText>
        </w:r>
        <w:r w:rsidR="00140DE2" w:rsidRPr="008F484C">
          <w:rPr>
            <w:noProof/>
            <w:webHidden/>
          </w:rPr>
        </w:r>
        <w:r w:rsidR="00140DE2" w:rsidRPr="008F484C">
          <w:rPr>
            <w:noProof/>
            <w:webHidden/>
          </w:rPr>
          <w:fldChar w:fldCharType="separate"/>
        </w:r>
        <w:r w:rsidR="00C91D32">
          <w:rPr>
            <w:noProof/>
            <w:webHidden/>
          </w:rPr>
          <w:t>18</w:t>
        </w:r>
        <w:r w:rsidR="00140DE2" w:rsidRPr="008F484C">
          <w:rPr>
            <w:noProof/>
            <w:webHidden/>
          </w:rPr>
          <w:fldChar w:fldCharType="end"/>
        </w:r>
      </w:hyperlink>
    </w:p>
    <w:p w14:paraId="2FFAAE2A" w14:textId="7A7C66AD"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6"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_Toc58869356 \h </w:instrText>
        </w:r>
        <w:r w:rsidR="00140DE2" w:rsidRPr="008F484C">
          <w:rPr>
            <w:noProof/>
            <w:webHidden/>
          </w:rPr>
        </w:r>
        <w:r w:rsidR="00140DE2" w:rsidRPr="008F484C">
          <w:rPr>
            <w:noProof/>
            <w:webHidden/>
          </w:rPr>
          <w:fldChar w:fldCharType="separate"/>
        </w:r>
        <w:r w:rsidR="00C91D32">
          <w:rPr>
            <w:noProof/>
            <w:webHidden/>
          </w:rPr>
          <w:t>18</w:t>
        </w:r>
        <w:r w:rsidR="00140DE2" w:rsidRPr="008F484C">
          <w:rPr>
            <w:noProof/>
            <w:webHidden/>
          </w:rPr>
          <w:fldChar w:fldCharType="end"/>
        </w:r>
      </w:hyperlink>
    </w:p>
    <w:p w14:paraId="3EF83D6D" w14:textId="5A94C7E7"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7"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_Toc58869357 \h </w:instrText>
        </w:r>
        <w:r w:rsidR="00140DE2" w:rsidRPr="008F484C">
          <w:rPr>
            <w:noProof/>
            <w:webHidden/>
          </w:rPr>
        </w:r>
        <w:r w:rsidR="00140DE2" w:rsidRPr="008F484C">
          <w:rPr>
            <w:noProof/>
            <w:webHidden/>
          </w:rPr>
          <w:fldChar w:fldCharType="separate"/>
        </w:r>
        <w:r w:rsidR="00C91D32">
          <w:rPr>
            <w:noProof/>
            <w:webHidden/>
          </w:rPr>
          <w:t>18</w:t>
        </w:r>
        <w:r w:rsidR="00140DE2" w:rsidRPr="008F484C">
          <w:rPr>
            <w:noProof/>
            <w:webHidden/>
          </w:rPr>
          <w:fldChar w:fldCharType="end"/>
        </w:r>
      </w:hyperlink>
    </w:p>
    <w:p w14:paraId="545952F7" w14:textId="769F34B4"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58"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_Toc58869358 \h </w:instrText>
        </w:r>
        <w:r w:rsidR="00140DE2" w:rsidRPr="008F484C">
          <w:rPr>
            <w:noProof/>
            <w:webHidden/>
          </w:rPr>
        </w:r>
        <w:r w:rsidR="00140DE2" w:rsidRPr="008F484C">
          <w:rPr>
            <w:noProof/>
            <w:webHidden/>
          </w:rPr>
          <w:fldChar w:fldCharType="separate"/>
        </w:r>
        <w:r w:rsidR="00C91D32">
          <w:rPr>
            <w:noProof/>
            <w:webHidden/>
          </w:rPr>
          <w:t>18</w:t>
        </w:r>
        <w:r w:rsidR="00140DE2" w:rsidRPr="008F484C">
          <w:rPr>
            <w:noProof/>
            <w:webHidden/>
          </w:rPr>
          <w:fldChar w:fldCharType="end"/>
        </w:r>
      </w:hyperlink>
    </w:p>
    <w:p w14:paraId="01D0BBCE" w14:textId="60DA7857" w:rsidR="00140DE2" w:rsidRPr="008F484C" w:rsidRDefault="00526A93">
      <w:pPr>
        <w:pStyle w:val="TOC2"/>
        <w:rPr>
          <w:rFonts w:asciiTheme="minorHAnsi" w:eastAsiaTheme="minorEastAsia" w:hAnsiTheme="minorHAnsi" w:cstheme="minorBidi"/>
          <w:noProof/>
          <w:szCs w:val="22"/>
          <w:lang w:val="en-AU" w:eastAsia="en-AU"/>
        </w:rPr>
      </w:pPr>
      <w:hyperlink w:anchor="_Toc58869359" w:history="1">
        <w:r w:rsidR="00140DE2" w:rsidRPr="008F484C">
          <w:rPr>
            <w:rStyle w:val="Hyperlink"/>
            <w:noProof/>
          </w:rPr>
          <w:t>3.7 Suitably qualified health workers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_Toc58869359 \h </w:instrText>
        </w:r>
        <w:r w:rsidR="00140DE2" w:rsidRPr="008F484C">
          <w:rPr>
            <w:noProof/>
            <w:webHidden/>
          </w:rPr>
        </w:r>
        <w:r w:rsidR="00140DE2" w:rsidRPr="008F484C">
          <w:rPr>
            <w:noProof/>
            <w:webHidden/>
          </w:rPr>
          <w:fldChar w:fldCharType="separate"/>
        </w:r>
        <w:r w:rsidR="00C91D32">
          <w:rPr>
            <w:noProof/>
            <w:webHidden/>
          </w:rPr>
          <w:t>19</w:t>
        </w:r>
        <w:r w:rsidR="00140DE2" w:rsidRPr="008F484C">
          <w:rPr>
            <w:noProof/>
            <w:webHidden/>
          </w:rPr>
          <w:fldChar w:fldCharType="end"/>
        </w:r>
      </w:hyperlink>
    </w:p>
    <w:p w14:paraId="3FC17ACB" w14:textId="2B09A28F"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0"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_Toc58869360 \h </w:instrText>
        </w:r>
        <w:r w:rsidR="00140DE2" w:rsidRPr="008F484C">
          <w:rPr>
            <w:noProof/>
            <w:webHidden/>
          </w:rPr>
        </w:r>
        <w:r w:rsidR="00140DE2" w:rsidRPr="008F484C">
          <w:rPr>
            <w:noProof/>
            <w:webHidden/>
          </w:rPr>
          <w:fldChar w:fldCharType="separate"/>
        </w:r>
        <w:r w:rsidR="00C91D32">
          <w:rPr>
            <w:noProof/>
            <w:webHidden/>
          </w:rPr>
          <w:t>19</w:t>
        </w:r>
        <w:r w:rsidR="00140DE2" w:rsidRPr="008F484C">
          <w:rPr>
            <w:noProof/>
            <w:webHidden/>
          </w:rPr>
          <w:fldChar w:fldCharType="end"/>
        </w:r>
      </w:hyperlink>
    </w:p>
    <w:p w14:paraId="7C9096FC" w14:textId="50FD0372"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1"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_Toc58869361 \h </w:instrText>
        </w:r>
        <w:r w:rsidR="00140DE2" w:rsidRPr="008F484C">
          <w:rPr>
            <w:noProof/>
            <w:webHidden/>
          </w:rPr>
        </w:r>
        <w:r w:rsidR="00140DE2" w:rsidRPr="008F484C">
          <w:rPr>
            <w:noProof/>
            <w:webHidden/>
          </w:rPr>
          <w:fldChar w:fldCharType="separate"/>
        </w:r>
        <w:r w:rsidR="00C91D32">
          <w:rPr>
            <w:noProof/>
            <w:webHidden/>
          </w:rPr>
          <w:t>19</w:t>
        </w:r>
        <w:r w:rsidR="00140DE2" w:rsidRPr="008F484C">
          <w:rPr>
            <w:noProof/>
            <w:webHidden/>
          </w:rPr>
          <w:fldChar w:fldCharType="end"/>
        </w:r>
      </w:hyperlink>
    </w:p>
    <w:p w14:paraId="51FD3F33" w14:textId="03FE6C6C"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2" w:history="1">
        <w:r w:rsidR="00140DE2" w:rsidRPr="008F484C">
          <w:rPr>
            <w:rStyle w:val="Hyperlink"/>
            <w:noProof/>
          </w:rPr>
          <w:t>Consultation question</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_Toc58869362 \h </w:instrText>
        </w:r>
        <w:r w:rsidR="00140DE2" w:rsidRPr="008F484C">
          <w:rPr>
            <w:noProof/>
            <w:webHidden/>
          </w:rPr>
        </w:r>
        <w:r w:rsidR="00140DE2" w:rsidRPr="008F484C">
          <w:rPr>
            <w:noProof/>
            <w:webHidden/>
          </w:rPr>
          <w:fldChar w:fldCharType="separate"/>
        </w:r>
        <w:r w:rsidR="00C91D32">
          <w:rPr>
            <w:noProof/>
            <w:webHidden/>
          </w:rPr>
          <w:t>19</w:t>
        </w:r>
        <w:r w:rsidR="00140DE2" w:rsidRPr="008F484C">
          <w:rPr>
            <w:noProof/>
            <w:webHidden/>
          </w:rPr>
          <w:fldChar w:fldCharType="end"/>
        </w:r>
      </w:hyperlink>
    </w:p>
    <w:p w14:paraId="7B6E78E4" w14:textId="48247B25"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63" w:history="1">
        <w:r w:rsidR="00140DE2" w:rsidRPr="008F484C">
          <w:rPr>
            <w:rStyle w:val="Hyperlink"/>
            <w:noProof/>
          </w:rPr>
          <w:t>Regulatory proposal 4: Packaging</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_Toc58869363 \h </w:instrText>
        </w:r>
        <w:r w:rsidR="00140DE2" w:rsidRPr="008F484C">
          <w:rPr>
            <w:noProof/>
            <w:webHidden/>
          </w:rPr>
        </w:r>
        <w:r w:rsidR="00140DE2" w:rsidRPr="008F484C">
          <w:rPr>
            <w:noProof/>
            <w:webHidden/>
          </w:rPr>
          <w:fldChar w:fldCharType="separate"/>
        </w:r>
        <w:r w:rsidR="00C91D32">
          <w:rPr>
            <w:noProof/>
            <w:webHidden/>
          </w:rPr>
          <w:t>20</w:t>
        </w:r>
        <w:r w:rsidR="00140DE2" w:rsidRPr="008F484C">
          <w:rPr>
            <w:noProof/>
            <w:webHidden/>
          </w:rPr>
          <w:fldChar w:fldCharType="end"/>
        </w:r>
      </w:hyperlink>
    </w:p>
    <w:p w14:paraId="5820BC36" w14:textId="065CE721"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4" w:history="1">
        <w:r w:rsidR="00140DE2" w:rsidRPr="008F484C">
          <w:rPr>
            <w:rStyle w:val="Hyperlink"/>
            <w:noProof/>
          </w:rPr>
          <w:t>Description</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_Toc58869364 \h </w:instrText>
        </w:r>
        <w:r w:rsidR="00140DE2" w:rsidRPr="008F484C">
          <w:rPr>
            <w:noProof/>
            <w:webHidden/>
          </w:rPr>
        </w:r>
        <w:r w:rsidR="00140DE2" w:rsidRPr="008F484C">
          <w:rPr>
            <w:noProof/>
            <w:webHidden/>
          </w:rPr>
          <w:fldChar w:fldCharType="separate"/>
        </w:r>
        <w:r w:rsidR="00C91D32">
          <w:rPr>
            <w:noProof/>
            <w:webHidden/>
          </w:rPr>
          <w:t>20</w:t>
        </w:r>
        <w:r w:rsidR="00140DE2" w:rsidRPr="008F484C">
          <w:rPr>
            <w:noProof/>
            <w:webHidden/>
          </w:rPr>
          <w:fldChar w:fldCharType="end"/>
        </w:r>
      </w:hyperlink>
    </w:p>
    <w:p w14:paraId="7AE14758" w14:textId="0036B7BD"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5"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_Toc58869365 \h </w:instrText>
        </w:r>
        <w:r w:rsidR="00140DE2" w:rsidRPr="008F484C">
          <w:rPr>
            <w:noProof/>
            <w:webHidden/>
          </w:rPr>
        </w:r>
        <w:r w:rsidR="00140DE2" w:rsidRPr="008F484C">
          <w:rPr>
            <w:noProof/>
            <w:webHidden/>
          </w:rPr>
          <w:fldChar w:fldCharType="separate"/>
        </w:r>
        <w:r w:rsidR="00C91D32">
          <w:rPr>
            <w:noProof/>
            <w:webHidden/>
          </w:rPr>
          <w:t>20</w:t>
        </w:r>
        <w:r w:rsidR="00140DE2" w:rsidRPr="008F484C">
          <w:rPr>
            <w:noProof/>
            <w:webHidden/>
          </w:rPr>
          <w:fldChar w:fldCharType="end"/>
        </w:r>
      </w:hyperlink>
    </w:p>
    <w:p w14:paraId="2F7AF21B" w14:textId="298086CB"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6" w:history="1">
        <w:r w:rsidR="00140DE2" w:rsidRPr="008F484C">
          <w:rPr>
            <w:rStyle w:val="Hyperlink"/>
            <w:noProof/>
          </w:rPr>
          <w:t>Timeframes for implementing proposed changes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_Toc58869366 \h </w:instrText>
        </w:r>
        <w:r w:rsidR="00140DE2" w:rsidRPr="008F484C">
          <w:rPr>
            <w:noProof/>
            <w:webHidden/>
          </w:rPr>
        </w:r>
        <w:r w:rsidR="00140DE2" w:rsidRPr="008F484C">
          <w:rPr>
            <w:noProof/>
            <w:webHidden/>
          </w:rPr>
          <w:fldChar w:fldCharType="separate"/>
        </w:r>
        <w:r w:rsidR="00C91D32">
          <w:rPr>
            <w:noProof/>
            <w:webHidden/>
          </w:rPr>
          <w:t>24</w:t>
        </w:r>
        <w:r w:rsidR="00140DE2" w:rsidRPr="008F484C">
          <w:rPr>
            <w:noProof/>
            <w:webHidden/>
          </w:rPr>
          <w:fldChar w:fldCharType="end"/>
        </w:r>
      </w:hyperlink>
    </w:p>
    <w:p w14:paraId="1AA6C875" w14:textId="5846FACB"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67"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_Toc58869367 \h </w:instrText>
        </w:r>
        <w:r w:rsidR="00140DE2" w:rsidRPr="008F484C">
          <w:rPr>
            <w:noProof/>
            <w:webHidden/>
          </w:rPr>
        </w:r>
        <w:r w:rsidR="00140DE2" w:rsidRPr="008F484C">
          <w:rPr>
            <w:noProof/>
            <w:webHidden/>
          </w:rPr>
          <w:fldChar w:fldCharType="separate"/>
        </w:r>
        <w:r w:rsidR="00C91D32">
          <w:rPr>
            <w:noProof/>
            <w:webHidden/>
          </w:rPr>
          <w:t>24</w:t>
        </w:r>
        <w:r w:rsidR="00140DE2" w:rsidRPr="008F484C">
          <w:rPr>
            <w:noProof/>
            <w:webHidden/>
          </w:rPr>
          <w:fldChar w:fldCharType="end"/>
        </w:r>
      </w:hyperlink>
    </w:p>
    <w:p w14:paraId="0B64F165" w14:textId="2445B192"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68" w:history="1">
        <w:r w:rsidR="00140DE2" w:rsidRPr="008F484C">
          <w:rPr>
            <w:rStyle w:val="Hyperlink"/>
            <w:noProof/>
          </w:rPr>
          <w:t>Regulatory proposal 5: Product notification and safety</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_Toc58869368 \h </w:instrText>
        </w:r>
        <w:r w:rsidR="00140DE2" w:rsidRPr="008F484C">
          <w:rPr>
            <w:noProof/>
            <w:webHidden/>
          </w:rPr>
        </w:r>
        <w:r w:rsidR="00140DE2" w:rsidRPr="008F484C">
          <w:rPr>
            <w:noProof/>
            <w:webHidden/>
          </w:rPr>
          <w:fldChar w:fldCharType="separate"/>
        </w:r>
        <w:r w:rsidR="00C91D32">
          <w:rPr>
            <w:noProof/>
            <w:webHidden/>
          </w:rPr>
          <w:t>25</w:t>
        </w:r>
        <w:r w:rsidR="00140DE2" w:rsidRPr="008F484C">
          <w:rPr>
            <w:noProof/>
            <w:webHidden/>
          </w:rPr>
          <w:fldChar w:fldCharType="end"/>
        </w:r>
      </w:hyperlink>
    </w:p>
    <w:p w14:paraId="3A8D6EB5" w14:textId="16553365" w:rsidR="00140DE2" w:rsidRPr="008F484C" w:rsidRDefault="00526A93">
      <w:pPr>
        <w:pStyle w:val="TOC2"/>
        <w:rPr>
          <w:rFonts w:asciiTheme="minorHAnsi" w:eastAsiaTheme="minorEastAsia" w:hAnsiTheme="minorHAnsi" w:cstheme="minorBidi"/>
          <w:noProof/>
          <w:szCs w:val="22"/>
          <w:lang w:val="en-AU" w:eastAsia="en-AU"/>
        </w:rPr>
      </w:pPr>
      <w:hyperlink w:anchor="_Toc58869369" w:history="1">
        <w:r w:rsidR="00140DE2" w:rsidRPr="008F484C">
          <w:rPr>
            <w:rStyle w:val="Hyperlink"/>
            <w:noProof/>
          </w:rPr>
          <w:t>5.1 Product notification requirements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_Toc58869369 \h </w:instrText>
        </w:r>
        <w:r w:rsidR="00140DE2" w:rsidRPr="008F484C">
          <w:rPr>
            <w:noProof/>
            <w:webHidden/>
          </w:rPr>
        </w:r>
        <w:r w:rsidR="00140DE2" w:rsidRPr="008F484C">
          <w:rPr>
            <w:noProof/>
            <w:webHidden/>
          </w:rPr>
          <w:fldChar w:fldCharType="separate"/>
        </w:r>
        <w:r w:rsidR="00C91D32">
          <w:rPr>
            <w:noProof/>
            <w:webHidden/>
          </w:rPr>
          <w:t>25</w:t>
        </w:r>
        <w:r w:rsidR="00140DE2" w:rsidRPr="008F484C">
          <w:rPr>
            <w:noProof/>
            <w:webHidden/>
          </w:rPr>
          <w:fldChar w:fldCharType="end"/>
        </w:r>
      </w:hyperlink>
    </w:p>
    <w:p w14:paraId="5EDCE660" w14:textId="143D984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0" w:history="1">
        <w:r w:rsidR="00140DE2" w:rsidRPr="008F484C">
          <w:rPr>
            <w:rStyle w:val="Hyperlink"/>
            <w:noProof/>
          </w:rPr>
          <w:t>Description</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_Toc58869370 \h </w:instrText>
        </w:r>
        <w:r w:rsidR="00140DE2" w:rsidRPr="008F484C">
          <w:rPr>
            <w:noProof/>
            <w:webHidden/>
          </w:rPr>
        </w:r>
        <w:r w:rsidR="00140DE2" w:rsidRPr="008F484C">
          <w:rPr>
            <w:noProof/>
            <w:webHidden/>
          </w:rPr>
          <w:fldChar w:fldCharType="separate"/>
        </w:r>
        <w:r w:rsidR="00C91D32">
          <w:rPr>
            <w:noProof/>
            <w:webHidden/>
          </w:rPr>
          <w:t>25</w:t>
        </w:r>
        <w:r w:rsidR="00140DE2" w:rsidRPr="008F484C">
          <w:rPr>
            <w:noProof/>
            <w:webHidden/>
          </w:rPr>
          <w:fldChar w:fldCharType="end"/>
        </w:r>
      </w:hyperlink>
    </w:p>
    <w:p w14:paraId="5B7EDBCC" w14:textId="08C334DF"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1"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_Toc58869371 \h </w:instrText>
        </w:r>
        <w:r w:rsidR="00140DE2" w:rsidRPr="008F484C">
          <w:rPr>
            <w:noProof/>
            <w:webHidden/>
          </w:rPr>
        </w:r>
        <w:r w:rsidR="00140DE2" w:rsidRPr="008F484C">
          <w:rPr>
            <w:noProof/>
            <w:webHidden/>
          </w:rPr>
          <w:fldChar w:fldCharType="separate"/>
        </w:r>
        <w:r w:rsidR="00C91D32">
          <w:rPr>
            <w:noProof/>
            <w:webHidden/>
          </w:rPr>
          <w:t>25</w:t>
        </w:r>
        <w:r w:rsidR="00140DE2" w:rsidRPr="008F484C">
          <w:rPr>
            <w:noProof/>
            <w:webHidden/>
          </w:rPr>
          <w:fldChar w:fldCharType="end"/>
        </w:r>
      </w:hyperlink>
    </w:p>
    <w:p w14:paraId="2CC302AB" w14:textId="204F4C5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2"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_Toc58869372 \h </w:instrText>
        </w:r>
        <w:r w:rsidR="00140DE2" w:rsidRPr="008F484C">
          <w:rPr>
            <w:noProof/>
            <w:webHidden/>
          </w:rPr>
        </w:r>
        <w:r w:rsidR="00140DE2" w:rsidRPr="008F484C">
          <w:rPr>
            <w:noProof/>
            <w:webHidden/>
          </w:rPr>
          <w:fldChar w:fldCharType="separate"/>
        </w:r>
        <w:r w:rsidR="00C91D32">
          <w:rPr>
            <w:noProof/>
            <w:webHidden/>
          </w:rPr>
          <w:t>25</w:t>
        </w:r>
        <w:r w:rsidR="00140DE2" w:rsidRPr="008F484C">
          <w:rPr>
            <w:noProof/>
            <w:webHidden/>
          </w:rPr>
          <w:fldChar w:fldCharType="end"/>
        </w:r>
      </w:hyperlink>
    </w:p>
    <w:p w14:paraId="504A20A1" w14:textId="3EEACA04"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3"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_Toc58869373 \h </w:instrText>
        </w:r>
        <w:r w:rsidR="00140DE2" w:rsidRPr="008F484C">
          <w:rPr>
            <w:noProof/>
            <w:webHidden/>
          </w:rPr>
        </w:r>
        <w:r w:rsidR="00140DE2" w:rsidRPr="008F484C">
          <w:rPr>
            <w:noProof/>
            <w:webHidden/>
          </w:rPr>
          <w:fldChar w:fldCharType="separate"/>
        </w:r>
        <w:r w:rsidR="00C91D32">
          <w:rPr>
            <w:noProof/>
            <w:webHidden/>
          </w:rPr>
          <w:t>26</w:t>
        </w:r>
        <w:r w:rsidR="00140DE2" w:rsidRPr="008F484C">
          <w:rPr>
            <w:noProof/>
            <w:webHidden/>
          </w:rPr>
          <w:fldChar w:fldCharType="end"/>
        </w:r>
      </w:hyperlink>
    </w:p>
    <w:p w14:paraId="46D29768" w14:textId="5F68285C" w:rsidR="00140DE2" w:rsidRPr="008F484C" w:rsidRDefault="00526A93">
      <w:pPr>
        <w:pStyle w:val="TOC2"/>
        <w:rPr>
          <w:rFonts w:asciiTheme="minorHAnsi" w:eastAsiaTheme="minorEastAsia" w:hAnsiTheme="minorHAnsi" w:cstheme="minorBidi"/>
          <w:noProof/>
          <w:szCs w:val="22"/>
          <w:lang w:val="en-AU" w:eastAsia="en-AU"/>
        </w:rPr>
      </w:pPr>
      <w:hyperlink w:anchor="_Toc58869374" w:history="1">
        <w:r w:rsidR="00140DE2" w:rsidRPr="008F484C">
          <w:rPr>
            <w:rStyle w:val="Hyperlink"/>
            <w:noProof/>
          </w:rPr>
          <w:t>5.2 Product safety requirements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_Toc58869374 \h </w:instrText>
        </w:r>
        <w:r w:rsidR="00140DE2" w:rsidRPr="008F484C">
          <w:rPr>
            <w:noProof/>
            <w:webHidden/>
          </w:rPr>
        </w:r>
        <w:r w:rsidR="00140DE2" w:rsidRPr="008F484C">
          <w:rPr>
            <w:noProof/>
            <w:webHidden/>
          </w:rPr>
          <w:fldChar w:fldCharType="separate"/>
        </w:r>
        <w:r w:rsidR="00C91D32">
          <w:rPr>
            <w:noProof/>
            <w:webHidden/>
          </w:rPr>
          <w:t>27</w:t>
        </w:r>
        <w:r w:rsidR="00140DE2" w:rsidRPr="008F484C">
          <w:rPr>
            <w:noProof/>
            <w:webHidden/>
          </w:rPr>
          <w:fldChar w:fldCharType="end"/>
        </w:r>
      </w:hyperlink>
    </w:p>
    <w:p w14:paraId="18073F3C" w14:textId="0FF1C7BF"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5"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_Toc58869375 \h </w:instrText>
        </w:r>
        <w:r w:rsidR="00140DE2" w:rsidRPr="008F484C">
          <w:rPr>
            <w:noProof/>
            <w:webHidden/>
          </w:rPr>
        </w:r>
        <w:r w:rsidR="00140DE2" w:rsidRPr="008F484C">
          <w:rPr>
            <w:noProof/>
            <w:webHidden/>
          </w:rPr>
          <w:fldChar w:fldCharType="separate"/>
        </w:r>
        <w:r w:rsidR="00C91D32">
          <w:rPr>
            <w:noProof/>
            <w:webHidden/>
          </w:rPr>
          <w:t>27</w:t>
        </w:r>
        <w:r w:rsidR="00140DE2" w:rsidRPr="008F484C">
          <w:rPr>
            <w:noProof/>
            <w:webHidden/>
          </w:rPr>
          <w:fldChar w:fldCharType="end"/>
        </w:r>
      </w:hyperlink>
    </w:p>
    <w:p w14:paraId="69119B17" w14:textId="19031A2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6"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_Toc58869376 \h </w:instrText>
        </w:r>
        <w:r w:rsidR="00140DE2" w:rsidRPr="008F484C">
          <w:rPr>
            <w:noProof/>
            <w:webHidden/>
          </w:rPr>
        </w:r>
        <w:r w:rsidR="00140DE2" w:rsidRPr="008F484C">
          <w:rPr>
            <w:noProof/>
            <w:webHidden/>
          </w:rPr>
          <w:fldChar w:fldCharType="separate"/>
        </w:r>
        <w:r w:rsidR="00C91D32">
          <w:rPr>
            <w:noProof/>
            <w:webHidden/>
          </w:rPr>
          <w:t>27</w:t>
        </w:r>
        <w:r w:rsidR="00140DE2" w:rsidRPr="008F484C">
          <w:rPr>
            <w:noProof/>
            <w:webHidden/>
          </w:rPr>
          <w:fldChar w:fldCharType="end"/>
        </w:r>
      </w:hyperlink>
    </w:p>
    <w:p w14:paraId="6377A755" w14:textId="5CA52717"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7"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_Toc58869377 \h </w:instrText>
        </w:r>
        <w:r w:rsidR="00140DE2" w:rsidRPr="008F484C">
          <w:rPr>
            <w:noProof/>
            <w:webHidden/>
          </w:rPr>
        </w:r>
        <w:r w:rsidR="00140DE2" w:rsidRPr="008F484C">
          <w:rPr>
            <w:noProof/>
            <w:webHidden/>
          </w:rPr>
          <w:fldChar w:fldCharType="separate"/>
        </w:r>
        <w:r w:rsidR="00C91D32">
          <w:rPr>
            <w:noProof/>
            <w:webHidden/>
          </w:rPr>
          <w:t>28</w:t>
        </w:r>
        <w:r w:rsidR="00140DE2" w:rsidRPr="008F484C">
          <w:rPr>
            <w:noProof/>
            <w:webHidden/>
          </w:rPr>
          <w:fldChar w:fldCharType="end"/>
        </w:r>
      </w:hyperlink>
    </w:p>
    <w:p w14:paraId="005B49E4" w14:textId="22620C72"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78" w:history="1">
        <w:r w:rsidR="00140DE2" w:rsidRPr="008F484C">
          <w:rPr>
            <w:rStyle w:val="Hyperlink"/>
            <w:noProof/>
          </w:rPr>
          <w:t>Regulatory proposal 6: Annual reporting and returns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_Toc58869378 \h </w:instrText>
        </w:r>
        <w:r w:rsidR="00140DE2" w:rsidRPr="008F484C">
          <w:rPr>
            <w:noProof/>
            <w:webHidden/>
          </w:rPr>
        </w:r>
        <w:r w:rsidR="00140DE2" w:rsidRPr="008F484C">
          <w:rPr>
            <w:noProof/>
            <w:webHidden/>
          </w:rPr>
          <w:fldChar w:fldCharType="separate"/>
        </w:r>
        <w:r w:rsidR="00C91D32">
          <w:rPr>
            <w:noProof/>
            <w:webHidden/>
          </w:rPr>
          <w:t>29</w:t>
        </w:r>
        <w:r w:rsidR="00140DE2" w:rsidRPr="008F484C">
          <w:rPr>
            <w:noProof/>
            <w:webHidden/>
          </w:rPr>
          <w:fldChar w:fldCharType="end"/>
        </w:r>
      </w:hyperlink>
    </w:p>
    <w:p w14:paraId="492E536B" w14:textId="3ACF3F3A"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79" w:history="1">
        <w:r w:rsidR="00140DE2" w:rsidRPr="008F484C">
          <w:rPr>
            <w:rStyle w:val="Hyperlink"/>
            <w:noProof/>
          </w:rPr>
          <w:t>Description</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_Toc58869379 \h </w:instrText>
        </w:r>
        <w:r w:rsidR="00140DE2" w:rsidRPr="008F484C">
          <w:rPr>
            <w:noProof/>
            <w:webHidden/>
          </w:rPr>
        </w:r>
        <w:r w:rsidR="00140DE2" w:rsidRPr="008F484C">
          <w:rPr>
            <w:noProof/>
            <w:webHidden/>
          </w:rPr>
          <w:fldChar w:fldCharType="separate"/>
        </w:r>
        <w:r w:rsidR="00C91D32">
          <w:rPr>
            <w:noProof/>
            <w:webHidden/>
          </w:rPr>
          <w:t>29</w:t>
        </w:r>
        <w:r w:rsidR="00140DE2" w:rsidRPr="008F484C">
          <w:rPr>
            <w:noProof/>
            <w:webHidden/>
          </w:rPr>
          <w:fldChar w:fldCharType="end"/>
        </w:r>
      </w:hyperlink>
    </w:p>
    <w:p w14:paraId="1143146E" w14:textId="5413714E"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0" w:history="1">
        <w:r w:rsidR="00140DE2" w:rsidRPr="008F484C">
          <w:rPr>
            <w:rStyle w:val="Hyperlink"/>
            <w:noProof/>
          </w:rPr>
          <w:t>Proposal</w:t>
        </w:r>
        <w:r w:rsidR="00140DE2" w:rsidRPr="008F484C">
          <w:rPr>
            <w:noProof/>
            <w:webHidden/>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_Toc58869380 \h </w:instrText>
        </w:r>
        <w:r w:rsidR="00140DE2" w:rsidRPr="008F484C">
          <w:rPr>
            <w:noProof/>
            <w:webHidden/>
          </w:rPr>
        </w:r>
        <w:r w:rsidR="00140DE2" w:rsidRPr="008F484C">
          <w:rPr>
            <w:noProof/>
            <w:webHidden/>
          </w:rPr>
          <w:fldChar w:fldCharType="separate"/>
        </w:r>
        <w:r w:rsidR="00C91D32">
          <w:rPr>
            <w:noProof/>
            <w:webHidden/>
          </w:rPr>
          <w:t>29</w:t>
        </w:r>
        <w:r w:rsidR="00140DE2" w:rsidRPr="008F484C">
          <w:rPr>
            <w:noProof/>
            <w:webHidden/>
          </w:rPr>
          <w:fldChar w:fldCharType="end"/>
        </w:r>
      </w:hyperlink>
    </w:p>
    <w:p w14:paraId="557378AE" w14:textId="47F31F70"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1"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_Toc58869381 \h </w:instrText>
        </w:r>
        <w:r w:rsidR="00140DE2" w:rsidRPr="008F484C">
          <w:rPr>
            <w:noProof/>
            <w:webHidden/>
          </w:rPr>
        </w:r>
        <w:r w:rsidR="00140DE2" w:rsidRPr="008F484C">
          <w:rPr>
            <w:noProof/>
            <w:webHidden/>
          </w:rPr>
          <w:fldChar w:fldCharType="separate"/>
        </w:r>
        <w:r w:rsidR="00C91D32">
          <w:rPr>
            <w:noProof/>
            <w:webHidden/>
          </w:rPr>
          <w:t>30</w:t>
        </w:r>
        <w:r w:rsidR="00140DE2" w:rsidRPr="008F484C">
          <w:rPr>
            <w:noProof/>
            <w:webHidden/>
          </w:rPr>
          <w:fldChar w:fldCharType="end"/>
        </w:r>
      </w:hyperlink>
    </w:p>
    <w:p w14:paraId="49E9984E" w14:textId="767DEBCF" w:rsidR="00140DE2" w:rsidRPr="008F484C" w:rsidRDefault="00526A93">
      <w:pPr>
        <w:pStyle w:val="TOC1"/>
        <w:rPr>
          <w:rFonts w:asciiTheme="minorHAnsi" w:eastAsiaTheme="minorEastAsia" w:hAnsiTheme="minorHAnsi" w:cstheme="minorBidi"/>
          <w:noProof/>
          <w:sz w:val="22"/>
          <w:szCs w:val="22"/>
          <w:lang w:val="en-AU" w:eastAsia="en-AU"/>
        </w:rPr>
      </w:pPr>
      <w:hyperlink w:anchor="_Toc58869382" w:history="1">
        <w:r w:rsidR="00140DE2" w:rsidRPr="008F484C">
          <w:rPr>
            <w:rStyle w:val="Hyperlink"/>
            <w:noProof/>
          </w:rPr>
          <w:t>Regulatory proposal 7: Fees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_Toc58869382 \h </w:instrText>
        </w:r>
        <w:r w:rsidR="00140DE2" w:rsidRPr="008F484C">
          <w:rPr>
            <w:noProof/>
            <w:webHidden/>
          </w:rPr>
        </w:r>
        <w:r w:rsidR="00140DE2" w:rsidRPr="008F484C">
          <w:rPr>
            <w:noProof/>
            <w:webHidden/>
          </w:rPr>
          <w:fldChar w:fldCharType="separate"/>
        </w:r>
        <w:r w:rsidR="00C91D32">
          <w:rPr>
            <w:noProof/>
            <w:webHidden/>
          </w:rPr>
          <w:t>31</w:t>
        </w:r>
        <w:r w:rsidR="00140DE2" w:rsidRPr="008F484C">
          <w:rPr>
            <w:noProof/>
            <w:webHidden/>
          </w:rPr>
          <w:fldChar w:fldCharType="end"/>
        </w:r>
      </w:hyperlink>
    </w:p>
    <w:p w14:paraId="2184D429" w14:textId="55770922"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3" w:history="1">
        <w:r w:rsidR="00140DE2" w:rsidRPr="008F484C">
          <w:rPr>
            <w:rStyle w:val="Hyperlink"/>
            <w:noProof/>
          </w:rPr>
          <w:t>Description</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_Toc58869383 \h </w:instrText>
        </w:r>
        <w:r w:rsidR="00140DE2" w:rsidRPr="008F484C">
          <w:rPr>
            <w:noProof/>
            <w:webHidden/>
          </w:rPr>
        </w:r>
        <w:r w:rsidR="00140DE2" w:rsidRPr="008F484C">
          <w:rPr>
            <w:noProof/>
            <w:webHidden/>
          </w:rPr>
          <w:fldChar w:fldCharType="separate"/>
        </w:r>
        <w:r w:rsidR="00C91D32">
          <w:rPr>
            <w:noProof/>
            <w:webHidden/>
          </w:rPr>
          <w:t>31</w:t>
        </w:r>
        <w:r w:rsidR="00140DE2" w:rsidRPr="008F484C">
          <w:rPr>
            <w:noProof/>
            <w:webHidden/>
          </w:rPr>
          <w:fldChar w:fldCharType="end"/>
        </w:r>
      </w:hyperlink>
    </w:p>
    <w:p w14:paraId="7FCBEAFA" w14:textId="514C1A2F"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4" w:history="1">
        <w:r w:rsidR="00140DE2" w:rsidRPr="008F484C">
          <w:rPr>
            <w:rStyle w:val="Hyperlink"/>
            <w:noProof/>
          </w:rPr>
          <w:t>Proposal</w:t>
        </w:r>
        <w:r w:rsidR="00140DE2" w:rsidRPr="008F484C">
          <w:rPr>
            <w:rStyle w:val="Hyperlink"/>
            <w:noProof/>
          </w:rPr>
          <w:tab/>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_Toc58869384 \h </w:instrText>
        </w:r>
        <w:r w:rsidR="00140DE2" w:rsidRPr="008F484C">
          <w:rPr>
            <w:noProof/>
            <w:webHidden/>
          </w:rPr>
        </w:r>
        <w:r w:rsidR="00140DE2" w:rsidRPr="008F484C">
          <w:rPr>
            <w:noProof/>
            <w:webHidden/>
          </w:rPr>
          <w:fldChar w:fldCharType="separate"/>
        </w:r>
        <w:r w:rsidR="00C91D32">
          <w:rPr>
            <w:noProof/>
            <w:webHidden/>
          </w:rPr>
          <w:t>31</w:t>
        </w:r>
        <w:r w:rsidR="00140DE2" w:rsidRPr="008F484C">
          <w:rPr>
            <w:noProof/>
            <w:webHidden/>
          </w:rPr>
          <w:fldChar w:fldCharType="end"/>
        </w:r>
      </w:hyperlink>
    </w:p>
    <w:p w14:paraId="4D0280F7" w14:textId="4E6809DC"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5"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_Toc58869385 \h </w:instrText>
        </w:r>
        <w:r w:rsidR="00140DE2" w:rsidRPr="008F484C">
          <w:rPr>
            <w:noProof/>
            <w:webHidden/>
          </w:rPr>
        </w:r>
        <w:r w:rsidR="00140DE2" w:rsidRPr="008F484C">
          <w:rPr>
            <w:noProof/>
            <w:webHidden/>
          </w:rPr>
          <w:fldChar w:fldCharType="separate"/>
        </w:r>
        <w:r w:rsidR="00C91D32">
          <w:rPr>
            <w:noProof/>
            <w:webHidden/>
          </w:rPr>
          <w:t>34</w:t>
        </w:r>
        <w:r w:rsidR="00140DE2" w:rsidRPr="008F484C">
          <w:rPr>
            <w:noProof/>
            <w:webHidden/>
          </w:rPr>
          <w:fldChar w:fldCharType="end"/>
        </w:r>
      </w:hyperlink>
    </w:p>
    <w:p w14:paraId="741A5F37" w14:textId="60B55FA5" w:rsidR="00140DE2" w:rsidRPr="008F484C" w:rsidRDefault="00526A93">
      <w:pPr>
        <w:pStyle w:val="TOC3"/>
        <w:rPr>
          <w:rFonts w:asciiTheme="minorHAnsi" w:eastAsiaTheme="minorEastAsia" w:hAnsiTheme="minorHAnsi" w:cstheme="minorBidi"/>
          <w:noProof/>
          <w:sz w:val="22"/>
          <w:szCs w:val="22"/>
          <w:lang w:val="en-AU" w:eastAsia="en-AU"/>
        </w:rPr>
      </w:pPr>
      <w:hyperlink w:anchor="_Toc58869386" w:history="1">
        <w:r w:rsidR="00140DE2" w:rsidRPr="008F484C">
          <w:rPr>
            <w:rStyle w:val="Hyperlink"/>
            <w:noProof/>
          </w:rPr>
          <w:t>Consultation questions</w:t>
        </w:r>
        <w:r w:rsidR="00140DE2" w:rsidRPr="008F484C">
          <w:rPr>
            <w:noProof/>
            <w:webHidden/>
          </w:rPr>
          <w:tab/>
        </w:r>
        <w:r w:rsidR="00140DE2" w:rsidRPr="008F484C">
          <w:rPr>
            <w:noProof/>
            <w:webHidden/>
          </w:rPr>
          <w:fldChar w:fldCharType="begin"/>
        </w:r>
        <w:r w:rsidR="00140DE2" w:rsidRPr="008F484C">
          <w:rPr>
            <w:noProof/>
            <w:webHidden/>
          </w:rPr>
          <w:instrText xml:space="preserve"> PAGEREF _Toc58869386 \h </w:instrText>
        </w:r>
        <w:r w:rsidR="00140DE2" w:rsidRPr="008F484C">
          <w:rPr>
            <w:noProof/>
            <w:webHidden/>
          </w:rPr>
        </w:r>
        <w:r w:rsidR="00140DE2" w:rsidRPr="008F484C">
          <w:rPr>
            <w:noProof/>
            <w:webHidden/>
          </w:rPr>
          <w:fldChar w:fldCharType="separate"/>
        </w:r>
        <w:r w:rsidR="00C91D32">
          <w:rPr>
            <w:noProof/>
            <w:webHidden/>
          </w:rPr>
          <w:t>34</w:t>
        </w:r>
        <w:r w:rsidR="00140DE2" w:rsidRPr="008F484C">
          <w:rPr>
            <w:noProof/>
            <w:webHidden/>
          </w:rPr>
          <w:fldChar w:fldCharType="end"/>
        </w:r>
      </w:hyperlink>
    </w:p>
    <w:p w14:paraId="575FFC7D" w14:textId="0C77BECE" w:rsidR="00794CDD" w:rsidRDefault="00794CDD" w:rsidP="00794CDD">
      <w:r w:rsidRPr="008F484C">
        <w:rPr>
          <w:rFonts w:ascii="Segoe UI Semibold" w:hAnsi="Segoe UI Semibold"/>
          <w:b/>
          <w:sz w:val="24"/>
        </w:rPr>
        <w:fldChar w:fldCharType="end"/>
      </w:r>
      <w:r>
        <w:t xml:space="preserve"> </w:t>
      </w:r>
    </w:p>
    <w:p w14:paraId="548D54D2" w14:textId="61EF322F" w:rsidR="00896135" w:rsidRDefault="00896135" w:rsidP="00896135"/>
    <w:p w14:paraId="02189CE2" w14:textId="72332526" w:rsidR="00896135" w:rsidRDefault="00896135" w:rsidP="00896135">
      <w:pPr>
        <w:sectPr w:rsidR="00896135" w:rsidSect="00794CDD">
          <w:headerReference w:type="even" r:id="rId17"/>
          <w:headerReference w:type="default" r:id="rId18"/>
          <w:footerReference w:type="even" r:id="rId19"/>
          <w:footerReference w:type="default" r:id="rId20"/>
          <w:pgSz w:w="11907" w:h="16840" w:code="9"/>
          <w:pgMar w:top="1418" w:right="1701" w:bottom="1134" w:left="1843" w:header="284" w:footer="425" w:gutter="0"/>
          <w:pgNumType w:fmt="lowerRoman"/>
          <w:cols w:space="720"/>
        </w:sectPr>
      </w:pPr>
    </w:p>
    <w:p w14:paraId="76E36DC3" w14:textId="77777777" w:rsidR="009668DA" w:rsidRPr="009668DA" w:rsidRDefault="009668DA" w:rsidP="009668DA">
      <w:pPr>
        <w:pStyle w:val="Heading1"/>
      </w:pPr>
      <w:bookmarkStart w:id="2" w:name="_Toc56000568"/>
      <w:bookmarkStart w:id="3" w:name="_Toc58869319"/>
      <w:bookmarkStart w:id="4" w:name="_Toc54863548"/>
      <w:r w:rsidRPr="009668DA">
        <w:lastRenderedPageBreak/>
        <w:t>Introduction</w:t>
      </w:r>
      <w:bookmarkEnd w:id="2"/>
      <w:bookmarkEnd w:id="3"/>
    </w:p>
    <w:p w14:paraId="0DF6DA4A" w14:textId="77777777" w:rsidR="009668DA" w:rsidRPr="001369FC" w:rsidRDefault="009668DA" w:rsidP="009668DA">
      <w:pPr>
        <w:pStyle w:val="Heading2"/>
        <w:rPr>
          <w:rFonts w:eastAsiaTheme="majorEastAsia"/>
        </w:rPr>
      </w:pPr>
      <w:bookmarkStart w:id="5" w:name="_Toc56000569"/>
      <w:bookmarkStart w:id="6" w:name="_Toc58869320"/>
      <w:bookmarkStart w:id="7" w:name="_Hlk51147203"/>
      <w:r w:rsidRPr="001369FC">
        <w:rPr>
          <w:rFonts w:eastAsiaTheme="majorEastAsia"/>
        </w:rPr>
        <w:t>Background</w:t>
      </w:r>
      <w:bookmarkEnd w:id="5"/>
      <w:bookmarkEnd w:id="6"/>
    </w:p>
    <w:bookmarkEnd w:id="7"/>
    <w:p w14:paraId="5220F384" w14:textId="3D2A88B1" w:rsidR="009668DA" w:rsidRPr="001369FC" w:rsidRDefault="009668DA" w:rsidP="009668DA">
      <w:pPr>
        <w:rPr>
          <w:rFonts w:cs="Segoe UI"/>
        </w:rPr>
      </w:pPr>
      <w:r w:rsidRPr="001369FC">
        <w:rPr>
          <w:rFonts w:cs="Segoe UI"/>
        </w:rPr>
        <w:t xml:space="preserve">Smoking rates have declined over recent decades. However, </w:t>
      </w:r>
      <w:r w:rsidR="00512022">
        <w:rPr>
          <w:rFonts w:cs="Segoe UI"/>
        </w:rPr>
        <w:t xml:space="preserve">around 4,500 </w:t>
      </w:r>
      <w:r w:rsidRPr="001369FC">
        <w:rPr>
          <w:rFonts w:cs="Segoe UI"/>
        </w:rPr>
        <w:t>New Zealanders still die prematurely each year from smoking-related illnesses. In 2019/20, 11.6 percent of adults were daily smokers, with Māori and Pacific people</w:t>
      </w:r>
      <w:r w:rsidR="00512022">
        <w:rPr>
          <w:rFonts w:cs="Segoe UI"/>
        </w:rPr>
        <w:t>s</w:t>
      </w:r>
      <w:r w:rsidRPr="001369FC">
        <w:rPr>
          <w:rFonts w:cs="Segoe UI"/>
        </w:rPr>
        <w:t xml:space="preserve"> being more likely to smoke daily than the rest of the population (28.7 percent and 18.3 percent, respectively).</w:t>
      </w:r>
    </w:p>
    <w:p w14:paraId="552AF65A" w14:textId="77777777" w:rsidR="009668DA" w:rsidRPr="001369FC" w:rsidRDefault="009668DA" w:rsidP="009668DA">
      <w:pPr>
        <w:rPr>
          <w:rFonts w:cs="Segoe UI"/>
        </w:rPr>
      </w:pPr>
    </w:p>
    <w:p w14:paraId="6C39CE02" w14:textId="77777777" w:rsidR="009668DA" w:rsidRPr="001369FC" w:rsidRDefault="009668DA" w:rsidP="009668DA">
      <w:pPr>
        <w:rPr>
          <w:rFonts w:cs="Segoe UI"/>
        </w:rPr>
      </w:pPr>
      <w:r w:rsidRPr="001369FC">
        <w:rPr>
          <w:rFonts w:cs="Segoe UI"/>
        </w:rPr>
        <w:t xml:space="preserve">Vaping has been increasing in New Zealand, a pattern seen in other countries. In 2019/20, 23.9 percent of New Zealanders had ever tried vaping, up from 16.2 percent in 2015/16. People aged 15 to 24 years old (49.6 percent) were more likely to report ever vaping than 25 to 34-year olds (37.4 percent), 35 to 44-year olds (22 percent), 45 to 54-year olds (21.3 percent), 55 to 64-year olds (11.0 percent), and people aged 65 to 74 years (5.1 percent). </w:t>
      </w:r>
    </w:p>
    <w:p w14:paraId="00A1117A" w14:textId="77777777" w:rsidR="009668DA" w:rsidRPr="001369FC" w:rsidRDefault="009668DA" w:rsidP="009668DA">
      <w:pPr>
        <w:rPr>
          <w:rFonts w:cs="Segoe UI"/>
        </w:rPr>
      </w:pPr>
    </w:p>
    <w:p w14:paraId="3E28146A" w14:textId="23CAC1D9" w:rsidR="009668DA" w:rsidRPr="001369FC" w:rsidRDefault="009668DA" w:rsidP="009668DA">
      <w:pPr>
        <w:rPr>
          <w:rFonts w:cs="Segoe UI"/>
        </w:rPr>
      </w:pPr>
      <w:r w:rsidRPr="001369FC">
        <w:rPr>
          <w:rFonts w:cs="Segoe UI"/>
        </w:rPr>
        <w:t xml:space="preserve"> </w:t>
      </w:r>
      <w:r w:rsidR="00512022">
        <w:rPr>
          <w:rFonts w:cs="Segoe UI"/>
        </w:rPr>
        <w:t xml:space="preserve">Heavy </w:t>
      </w:r>
      <w:r w:rsidRPr="001369FC">
        <w:rPr>
          <w:rFonts w:cs="Segoe UI"/>
        </w:rPr>
        <w:t xml:space="preserve">use of vaping products is, however, low with 3.5 percent of New Zealanders vaping daily in 2019/20. </w:t>
      </w:r>
    </w:p>
    <w:p w14:paraId="22A40EF6" w14:textId="77777777" w:rsidR="009668DA" w:rsidRPr="001369FC" w:rsidRDefault="009668DA" w:rsidP="009668DA">
      <w:pPr>
        <w:rPr>
          <w:rFonts w:cs="Segoe UI"/>
        </w:rPr>
      </w:pPr>
    </w:p>
    <w:p w14:paraId="0ADEBA41" w14:textId="77777777" w:rsidR="009668DA" w:rsidRPr="001369FC" w:rsidRDefault="009668DA" w:rsidP="009668DA">
      <w:pPr>
        <w:rPr>
          <w:rFonts w:cs="Segoe UI"/>
        </w:rPr>
      </w:pPr>
      <w:r w:rsidRPr="001369FC">
        <w:rPr>
          <w:rFonts w:cs="Segoe UI"/>
        </w:rPr>
        <w:t>In 2018, 38 percent of young people (14 to 15-year olds) tried vaping – a 9 percent increase from 2016. Like adults, repeated use of vaping products amongst young people is low (1.9 percent vape daily, 8 percent vape at least monthly) and vaping status aligns closely with smoking status (current smokers had the highest vaping rates, never smokers had the lowest).</w:t>
      </w:r>
    </w:p>
    <w:p w14:paraId="1D9BFCA6" w14:textId="77777777" w:rsidR="009668DA" w:rsidRPr="001369FC" w:rsidRDefault="009668DA" w:rsidP="009668DA">
      <w:pPr>
        <w:rPr>
          <w:rFonts w:cs="Segoe UI"/>
        </w:rPr>
      </w:pPr>
    </w:p>
    <w:p w14:paraId="04382627" w14:textId="77777777" w:rsidR="009668DA" w:rsidRPr="001369FC" w:rsidRDefault="009668DA" w:rsidP="009668DA">
      <w:pPr>
        <w:rPr>
          <w:rFonts w:cs="Segoe UI"/>
        </w:rPr>
      </w:pPr>
      <w:r w:rsidRPr="001369FC">
        <w:rPr>
          <w:rFonts w:cs="Segoe UI"/>
        </w:rPr>
        <w:t xml:space="preserve">In 2019, the Youth19 </w:t>
      </w:r>
      <w:proofErr w:type="spellStart"/>
      <w:r w:rsidRPr="001369FC">
        <w:rPr>
          <w:rFonts w:cs="Segoe UI"/>
        </w:rPr>
        <w:t>Rangatahi</w:t>
      </w:r>
      <w:proofErr w:type="spellEnd"/>
      <w:r w:rsidRPr="001369FC">
        <w:rPr>
          <w:rFonts w:cs="Segoe UI"/>
        </w:rPr>
        <w:t xml:space="preserve"> Smart Survey (Youth 19) found that 38 percent of students (year 9-13 students) have tried vaping – 65 percent of students who ever vaped and 48 percent of regular vapers (those who vaped at least monthly) had never smoked cigarettes. The survey did not report on daily vaping.</w:t>
      </w:r>
    </w:p>
    <w:p w14:paraId="791C6255" w14:textId="77777777" w:rsidR="009668DA" w:rsidRPr="001369FC" w:rsidRDefault="009668DA" w:rsidP="009668DA">
      <w:pPr>
        <w:pStyle w:val="Heading2"/>
        <w:rPr>
          <w:rFonts w:eastAsiaTheme="majorEastAsia"/>
        </w:rPr>
      </w:pPr>
      <w:bookmarkStart w:id="8" w:name="_Toc58869321"/>
      <w:r w:rsidRPr="001369FC">
        <w:rPr>
          <w:rFonts w:eastAsiaTheme="majorEastAsia"/>
        </w:rPr>
        <w:t>New Smokefree legislation</w:t>
      </w:r>
      <w:bookmarkEnd w:id="8"/>
    </w:p>
    <w:p w14:paraId="50F5519C" w14:textId="788F122C" w:rsidR="009668DA" w:rsidRPr="001369FC" w:rsidRDefault="009668DA" w:rsidP="009668DA">
      <w:pPr>
        <w:rPr>
          <w:szCs w:val="21"/>
        </w:rPr>
      </w:pPr>
      <w:r w:rsidRPr="001369FC">
        <w:rPr>
          <w:szCs w:val="21"/>
        </w:rPr>
        <w:t>In a commitment to better support smokers to switch to less harmful products, and to protect children and young people from the risks associated with these products, the Government agreed in November 2018 to introduce new legislation that would improve the regulation of vaping products in New Zealand.</w:t>
      </w:r>
    </w:p>
    <w:p w14:paraId="23B912E7" w14:textId="77777777" w:rsidR="009668DA" w:rsidRPr="001369FC" w:rsidRDefault="009668DA" w:rsidP="009668DA">
      <w:pPr>
        <w:rPr>
          <w:szCs w:val="21"/>
        </w:rPr>
      </w:pPr>
    </w:p>
    <w:p w14:paraId="6E48BBE4" w14:textId="77777777" w:rsidR="009668DA" w:rsidRPr="001369FC" w:rsidRDefault="009668DA" w:rsidP="009668DA">
      <w:pPr>
        <w:rPr>
          <w:szCs w:val="21"/>
        </w:rPr>
      </w:pPr>
      <w:r w:rsidRPr="001369FC">
        <w:rPr>
          <w:szCs w:val="21"/>
        </w:rPr>
        <w:t xml:space="preserve">The Smokefree Environments and Regulated Products (Vaping) Amendment Act 2020 came into force on 11 November 2020. This means that </w:t>
      </w:r>
      <w:r w:rsidRPr="001369FC">
        <w:rPr>
          <w:b/>
          <w:szCs w:val="21"/>
        </w:rPr>
        <w:t>vaping products</w:t>
      </w:r>
      <w:r w:rsidRPr="001369FC">
        <w:rPr>
          <w:szCs w:val="21"/>
        </w:rPr>
        <w:t xml:space="preserve">, in addition to </w:t>
      </w:r>
      <w:r w:rsidRPr="001369FC">
        <w:rPr>
          <w:b/>
          <w:szCs w:val="21"/>
        </w:rPr>
        <w:t>tobacco products</w:t>
      </w:r>
      <w:r w:rsidRPr="001369FC">
        <w:rPr>
          <w:szCs w:val="21"/>
        </w:rPr>
        <w:t xml:space="preserve"> and </w:t>
      </w:r>
      <w:r w:rsidRPr="001369FC">
        <w:rPr>
          <w:b/>
          <w:szCs w:val="21"/>
        </w:rPr>
        <w:t>herbal smoking products</w:t>
      </w:r>
      <w:r w:rsidRPr="001369FC">
        <w:rPr>
          <w:szCs w:val="21"/>
        </w:rPr>
        <w:t>, are now regulated under the Smokefree Environments and Regulated Products Act 1990 (the Act)</w:t>
      </w:r>
      <w:r w:rsidRPr="001369FC">
        <w:rPr>
          <w:rStyle w:val="FootnoteReference"/>
          <w:szCs w:val="21"/>
        </w:rPr>
        <w:footnoteReference w:id="1"/>
      </w:r>
      <w:r w:rsidRPr="001369FC">
        <w:rPr>
          <w:szCs w:val="21"/>
        </w:rPr>
        <w:t>.</w:t>
      </w:r>
    </w:p>
    <w:p w14:paraId="222452BD" w14:textId="77777777" w:rsidR="009668DA" w:rsidRPr="001369FC" w:rsidRDefault="009668DA" w:rsidP="009668DA">
      <w:pPr>
        <w:rPr>
          <w:szCs w:val="21"/>
        </w:rPr>
      </w:pPr>
    </w:p>
    <w:p w14:paraId="775CFB15" w14:textId="0E16F792" w:rsidR="009668DA" w:rsidRPr="001369FC" w:rsidRDefault="009668DA" w:rsidP="009668DA">
      <w:pPr>
        <w:rPr>
          <w:szCs w:val="21"/>
        </w:rPr>
      </w:pPr>
      <w:r w:rsidRPr="001369FC">
        <w:rPr>
          <w:szCs w:val="21"/>
        </w:rPr>
        <w:t>The amended Act:</w:t>
      </w:r>
    </w:p>
    <w:p w14:paraId="45194C24"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lastRenderedPageBreak/>
        <w:t>extends current prohibitions on smoking to vaping, by prohibiting vaping in indoor workplaces, early childhood centres and schools</w:t>
      </w:r>
    </w:p>
    <w:p w14:paraId="768AD020"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enables a person who sells or proposes to sell vaping products from retail premises to apply to be a specialist vape retailer and exempts people from the prohibition on vaping within their approved retail premises</w:t>
      </w:r>
    </w:p>
    <w:p w14:paraId="465F4DAA"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allows vaping in work vehicles with the consent of users and in dedicated ventilated rooms in hospital care institutions, residential disability institutions, and rest homes</w:t>
      </w:r>
    </w:p>
    <w:p w14:paraId="51335E47"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largely extends the existing prohibition on advertising and sponsorship to vaping products</w:t>
      </w:r>
    </w:p>
    <w:p w14:paraId="3AB4BCBC"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prohibits the sale of vaping products to those under the age of 18 years</w:t>
      </w:r>
    </w:p>
    <w:p w14:paraId="42B94433"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prohibits vaping in cars carrying children and young people under the age of 18 years from 28 November 2021</w:t>
      </w:r>
    </w:p>
    <w:p w14:paraId="587A3271"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enables product safety requirements for vaping products and smokeless tobacco products (collectively, notifiable products) to be set in regulations</w:t>
      </w:r>
    </w:p>
    <w:p w14:paraId="62EDF1B0"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requires notification of notifiable products before they can be offered for sale in New Zealand</w:t>
      </w:r>
    </w:p>
    <w:p w14:paraId="5D5DE891"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sets out processes for issuing health warnings and recalls of potentially harmful notifiable products</w:t>
      </w:r>
    </w:p>
    <w:p w14:paraId="76AFF7A3"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limits the sale of flavoured vaping liquids to tobacco, menthol and mint by retailers other than approved specialist vape retailers</w:t>
      </w:r>
    </w:p>
    <w:p w14:paraId="57BC16CF"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requires manufacturers and importers of vaping products and specialist vape retailers to provide annual reports and returns to the Ministry of Health</w:t>
      </w:r>
    </w:p>
    <w:p w14:paraId="65C3E0EF" w14:textId="77777777" w:rsidR="009668DA" w:rsidRPr="001369FC" w:rsidRDefault="009668DA" w:rsidP="00DB0C46">
      <w:pPr>
        <w:pStyle w:val="ListNumber"/>
        <w:spacing w:before="90" w:after="90"/>
        <w:ind w:left="357" w:hanging="357"/>
        <w:contextualSpacing w:val="0"/>
        <w:rPr>
          <w:sz w:val="21"/>
          <w:szCs w:val="21"/>
        </w:rPr>
      </w:pPr>
      <w:r w:rsidRPr="001369FC">
        <w:rPr>
          <w:sz w:val="21"/>
          <w:szCs w:val="21"/>
        </w:rPr>
        <w:t>extends the powers of enforcement officers to all regulated products.</w:t>
      </w:r>
    </w:p>
    <w:p w14:paraId="26991395" w14:textId="4E847633" w:rsidR="009668DA" w:rsidRPr="00C70B9E" w:rsidRDefault="009668DA" w:rsidP="009668DA">
      <w:pPr>
        <w:rPr>
          <w:szCs w:val="21"/>
        </w:rPr>
      </w:pPr>
      <w:r w:rsidRPr="001369FC">
        <w:rPr>
          <w:szCs w:val="21"/>
        </w:rPr>
        <w:t xml:space="preserve">Regulations are needed to implement the amended Act. These relate mainly to the regulation of vaping and smokeless tobacco products, but one issue applies to all regulated products </w:t>
      </w:r>
      <w:r w:rsidRPr="009536AF">
        <w:rPr>
          <w:szCs w:val="21"/>
        </w:rPr>
        <w:t>(ie</w:t>
      </w:r>
      <w:r w:rsidRPr="001369FC">
        <w:rPr>
          <w:szCs w:val="21"/>
        </w:rPr>
        <w:t xml:space="preserve">, the definition of an internal area) and a further issue applies to tobacco products but not vaping products </w:t>
      </w:r>
      <w:r w:rsidRPr="009536AF">
        <w:rPr>
          <w:szCs w:val="21"/>
        </w:rPr>
        <w:t>(i</w:t>
      </w:r>
      <w:r w:rsidR="009536AF">
        <w:rPr>
          <w:szCs w:val="21"/>
        </w:rPr>
        <w:t>e,</w:t>
      </w:r>
      <w:r w:rsidRPr="001369FC">
        <w:rPr>
          <w:szCs w:val="21"/>
        </w:rPr>
        <w:t xml:space="preserve"> manufacturers price lists).</w:t>
      </w:r>
    </w:p>
    <w:p w14:paraId="5990FE0A" w14:textId="77777777" w:rsidR="009668DA" w:rsidRPr="009668DA" w:rsidRDefault="009668DA" w:rsidP="009668DA">
      <w:pPr>
        <w:pStyle w:val="Heading2"/>
        <w:rPr>
          <w:rFonts w:eastAsiaTheme="majorEastAsia"/>
        </w:rPr>
      </w:pPr>
      <w:bookmarkStart w:id="9" w:name="_Toc56000570"/>
      <w:bookmarkStart w:id="10" w:name="_Toc58869322"/>
      <w:r w:rsidRPr="009668DA">
        <w:rPr>
          <w:rFonts w:eastAsiaTheme="majorEastAsia"/>
        </w:rPr>
        <w:t>The purpose of this consultation document</w:t>
      </w:r>
      <w:bookmarkEnd w:id="9"/>
      <w:bookmarkEnd w:id="10"/>
    </w:p>
    <w:p w14:paraId="2A6EA757" w14:textId="77777777" w:rsidR="009668DA" w:rsidRPr="00980607" w:rsidRDefault="009668DA" w:rsidP="009668DA">
      <w:r w:rsidRPr="00980607">
        <w:t xml:space="preserve">The Ministry of Health is seeking your views on </w:t>
      </w:r>
      <w:r>
        <w:t xml:space="preserve">a number of </w:t>
      </w:r>
      <w:r w:rsidRPr="00980607">
        <w:t xml:space="preserve">regulatory proposals that will provide the operational detail to help achieve the intent of the </w:t>
      </w:r>
      <w:r>
        <w:t xml:space="preserve">new provisions of the </w:t>
      </w:r>
      <w:r w:rsidRPr="00980607">
        <w:t>Act</w:t>
      </w:r>
      <w:r>
        <w:t>. That intent is to</w:t>
      </w:r>
      <w:r w:rsidRPr="00980607">
        <w:t>:</w:t>
      </w:r>
    </w:p>
    <w:p w14:paraId="7216890C" w14:textId="77777777" w:rsidR="009668DA" w:rsidRPr="00555AB0" w:rsidRDefault="009668DA" w:rsidP="00A70089">
      <w:pPr>
        <w:pStyle w:val="ListNumber"/>
        <w:numPr>
          <w:ilvl w:val="0"/>
          <w:numId w:val="36"/>
        </w:numPr>
        <w:tabs>
          <w:tab w:val="clear" w:pos="2629"/>
        </w:tabs>
        <w:spacing w:before="90" w:after="90"/>
        <w:ind w:left="426" w:hanging="426"/>
        <w:contextualSpacing w:val="0"/>
        <w:rPr>
          <w:sz w:val="21"/>
          <w:szCs w:val="21"/>
        </w:rPr>
      </w:pPr>
      <w:r w:rsidRPr="00555AB0">
        <w:rPr>
          <w:sz w:val="21"/>
          <w:szCs w:val="21"/>
        </w:rPr>
        <w:t>better support smokers to switch to regulated products that are less harmful than smoking</w:t>
      </w:r>
    </w:p>
    <w:p w14:paraId="65948665" w14:textId="77777777" w:rsidR="009668DA" w:rsidRPr="00C70B9E" w:rsidRDefault="009668DA" w:rsidP="00555AB0">
      <w:pPr>
        <w:pStyle w:val="ListNumber"/>
        <w:spacing w:before="90" w:after="90"/>
        <w:ind w:left="426" w:hanging="426"/>
        <w:contextualSpacing w:val="0"/>
        <w:rPr>
          <w:sz w:val="21"/>
          <w:szCs w:val="21"/>
        </w:rPr>
      </w:pPr>
      <w:r w:rsidRPr="00C70B9E">
        <w:rPr>
          <w:sz w:val="21"/>
          <w:szCs w:val="21"/>
        </w:rPr>
        <w:t>protect children, young people and non-smokers from the risks associated with vaping and smokeless tobacco products.</w:t>
      </w:r>
    </w:p>
    <w:p w14:paraId="0DF4C668" w14:textId="77777777" w:rsidR="009668DA" w:rsidRPr="00980607" w:rsidRDefault="009668DA" w:rsidP="009668DA">
      <w:r w:rsidRPr="00980607">
        <w:t xml:space="preserve">The Act </w:t>
      </w:r>
      <w:r>
        <w:t>has a number of</w:t>
      </w:r>
      <w:r w:rsidRPr="00980607">
        <w:t xml:space="preserve"> regulation-making powers but</w:t>
      </w:r>
      <w:r>
        <w:t>, at this stage,</w:t>
      </w:r>
      <w:r w:rsidRPr="00980607">
        <w:t xml:space="preserve"> we </w:t>
      </w:r>
      <w:r>
        <w:t>do not propose to make all of the regulations that are possible under the Act.</w:t>
      </w:r>
      <w:r w:rsidRPr="00980607">
        <w:t xml:space="preserve"> We will monitor and review the regulations regular</w:t>
      </w:r>
      <w:r>
        <w:t>ly</w:t>
      </w:r>
      <w:r w:rsidRPr="00980607">
        <w:t xml:space="preserve"> to ensure the intent of the Act is being </w:t>
      </w:r>
      <w:r>
        <w:t>achieved adequately</w:t>
      </w:r>
      <w:r w:rsidRPr="00980607">
        <w:t>.</w:t>
      </w:r>
    </w:p>
    <w:p w14:paraId="026C44F9" w14:textId="77777777" w:rsidR="009668DA" w:rsidRPr="00DE7654" w:rsidRDefault="009668DA" w:rsidP="009668DA">
      <w:r>
        <w:lastRenderedPageBreak/>
        <w:t xml:space="preserve">The regulations must be workable for those they impact. </w:t>
      </w:r>
      <w:r w:rsidRPr="00980607">
        <w:t>Your feedback on the regulatory proposals is important because it will help shape the final regulations</w:t>
      </w:r>
      <w:r>
        <w:t>.</w:t>
      </w:r>
    </w:p>
    <w:p w14:paraId="0E9EB8FC" w14:textId="77777777" w:rsidR="009668DA" w:rsidRPr="00C178C3" w:rsidRDefault="009668DA" w:rsidP="009668DA">
      <w:pPr>
        <w:pStyle w:val="Heading2"/>
        <w:rPr>
          <w:rFonts w:eastAsiaTheme="majorEastAsia"/>
        </w:rPr>
      </w:pPr>
      <w:bookmarkStart w:id="11" w:name="_Toc56000571"/>
      <w:bookmarkStart w:id="12" w:name="_Toc58869323"/>
      <w:r w:rsidRPr="00B01568">
        <w:rPr>
          <w:rFonts w:eastAsiaTheme="majorEastAsia"/>
        </w:rPr>
        <w:t>The layout of this consultation document</w:t>
      </w:r>
      <w:bookmarkEnd w:id="11"/>
      <w:bookmarkEnd w:id="12"/>
    </w:p>
    <w:p w14:paraId="7A2B5BAF" w14:textId="77777777" w:rsidR="009668DA" w:rsidRPr="00C70B9E" w:rsidRDefault="009668DA" w:rsidP="009668DA">
      <w:pPr>
        <w:rPr>
          <w:szCs w:val="21"/>
        </w:rPr>
      </w:pPr>
      <w:r w:rsidRPr="00C70B9E">
        <w:rPr>
          <w:szCs w:val="21"/>
        </w:rPr>
        <w:t>This consultation document consists of the following sections, reflecting the content of the Act:</w:t>
      </w:r>
    </w:p>
    <w:p w14:paraId="6C694BFF" w14:textId="77777777" w:rsidR="009668DA" w:rsidRPr="00C70B9E" w:rsidRDefault="009668DA" w:rsidP="00DB0C46">
      <w:pPr>
        <w:pStyle w:val="ListNumber"/>
        <w:numPr>
          <w:ilvl w:val="0"/>
          <w:numId w:val="8"/>
        </w:numPr>
        <w:spacing w:before="90" w:after="90"/>
        <w:ind w:left="357" w:hanging="357"/>
        <w:contextualSpacing w:val="0"/>
        <w:rPr>
          <w:sz w:val="21"/>
          <w:szCs w:val="21"/>
        </w:rPr>
      </w:pPr>
      <w:r w:rsidRPr="00C70B9E">
        <w:rPr>
          <w:b/>
          <w:sz w:val="21"/>
          <w:szCs w:val="21"/>
        </w:rPr>
        <w:t>Defining an internal area</w:t>
      </w:r>
      <w:r w:rsidRPr="00C70B9E">
        <w:rPr>
          <w:sz w:val="21"/>
          <w:szCs w:val="21"/>
        </w:rPr>
        <w:t xml:space="preserve"> (see Part 1 of the Act: Smoking and vaping prohibited in workplaces and public areas)</w:t>
      </w:r>
    </w:p>
    <w:p w14:paraId="1E95668E"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 xml:space="preserve">Specialist vape retailer approvals </w:t>
      </w:r>
      <w:r w:rsidRPr="00C70B9E">
        <w:rPr>
          <w:sz w:val="21"/>
          <w:szCs w:val="21"/>
        </w:rPr>
        <w:t>(see Part 1 of the Act: Smoking and vaping prohibited in workplaces and public areas)</w:t>
      </w:r>
    </w:p>
    <w:p w14:paraId="648C253C"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Promotion, information and advice</w:t>
      </w:r>
      <w:r w:rsidRPr="00C70B9E">
        <w:rPr>
          <w:sz w:val="21"/>
          <w:szCs w:val="21"/>
        </w:rPr>
        <w:t xml:space="preserve"> (see Part 2 of the Act: Restrictions on advertising, promotion, sale, and distribution of regulated products)</w:t>
      </w:r>
    </w:p>
    <w:p w14:paraId="6F7D4BDB"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 xml:space="preserve">Packaging </w:t>
      </w:r>
      <w:r w:rsidRPr="00C70B9E">
        <w:rPr>
          <w:sz w:val="21"/>
          <w:szCs w:val="21"/>
        </w:rPr>
        <w:t>(see Part 3 of the Act: Packaging, labelling, and constituents of regulated products)</w:t>
      </w:r>
    </w:p>
    <w:p w14:paraId="34D40154"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 xml:space="preserve">Product notification and safety </w:t>
      </w:r>
      <w:r w:rsidRPr="00C70B9E">
        <w:rPr>
          <w:sz w:val="21"/>
          <w:szCs w:val="21"/>
        </w:rPr>
        <w:t>(see Part 4 of the Act: Regulated products that must be notified)</w:t>
      </w:r>
    </w:p>
    <w:p w14:paraId="4443B53A"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Annual reporting and returns</w:t>
      </w:r>
      <w:r w:rsidRPr="00C70B9E">
        <w:rPr>
          <w:sz w:val="21"/>
          <w:szCs w:val="21"/>
        </w:rPr>
        <w:t xml:space="preserve"> (see Part 5 of the Act: Regulations, enforcement, and other matters)</w:t>
      </w:r>
    </w:p>
    <w:p w14:paraId="748C575F" w14:textId="77777777" w:rsidR="009668DA" w:rsidRPr="00C70B9E" w:rsidRDefault="009668DA" w:rsidP="00DB0C46">
      <w:pPr>
        <w:pStyle w:val="ListNumber"/>
        <w:spacing w:before="90" w:after="90"/>
        <w:ind w:left="357" w:hanging="357"/>
        <w:contextualSpacing w:val="0"/>
        <w:rPr>
          <w:sz w:val="21"/>
          <w:szCs w:val="21"/>
        </w:rPr>
      </w:pPr>
      <w:r w:rsidRPr="00C70B9E">
        <w:rPr>
          <w:b/>
          <w:sz w:val="21"/>
          <w:szCs w:val="21"/>
        </w:rPr>
        <w:t>Fees</w:t>
      </w:r>
      <w:r w:rsidRPr="00C70B9E">
        <w:rPr>
          <w:sz w:val="21"/>
          <w:szCs w:val="21"/>
        </w:rPr>
        <w:t xml:space="preserve"> (see Part 5 of the Act: Regulations, enforcement, and other matters).</w:t>
      </w:r>
    </w:p>
    <w:p w14:paraId="4700C788" w14:textId="77777777" w:rsidR="009668DA" w:rsidRPr="00C70B9E" w:rsidRDefault="009668DA" w:rsidP="009668DA">
      <w:pPr>
        <w:rPr>
          <w:szCs w:val="21"/>
        </w:rPr>
      </w:pPr>
      <w:r w:rsidRPr="00C70B9E">
        <w:rPr>
          <w:szCs w:val="21"/>
        </w:rPr>
        <w:t>Each section describes the regulatory proposals and asks a number of questions that will inform and shape the development of final regulations.</w:t>
      </w:r>
    </w:p>
    <w:p w14:paraId="03F3752A" w14:textId="77777777" w:rsidR="009668DA" w:rsidRPr="00B01568" w:rsidRDefault="009668DA" w:rsidP="009668DA">
      <w:pPr>
        <w:pStyle w:val="Heading2"/>
        <w:rPr>
          <w:rFonts w:eastAsiaTheme="majorEastAsia"/>
        </w:rPr>
      </w:pPr>
      <w:bookmarkStart w:id="13" w:name="_Toc56000572"/>
      <w:bookmarkStart w:id="14" w:name="_Toc58869324"/>
      <w:r w:rsidRPr="00B01568">
        <w:rPr>
          <w:rFonts w:eastAsiaTheme="majorEastAsia"/>
        </w:rPr>
        <w:t>How to provide feedback</w:t>
      </w:r>
      <w:bookmarkEnd w:id="13"/>
      <w:bookmarkEnd w:id="14"/>
    </w:p>
    <w:p w14:paraId="2DE28E0C" w14:textId="77777777" w:rsidR="009668DA" w:rsidRPr="00980607" w:rsidRDefault="009668DA" w:rsidP="009668DA">
      <w:r w:rsidRPr="00980607">
        <w:t xml:space="preserve">You can provide feedback </w:t>
      </w:r>
      <w:r>
        <w:t>in one of two ways.</w:t>
      </w:r>
    </w:p>
    <w:p w14:paraId="67702844" w14:textId="26B893B1" w:rsidR="009668DA" w:rsidRPr="00C70B9E" w:rsidRDefault="009668DA" w:rsidP="00555AB0">
      <w:pPr>
        <w:pStyle w:val="ListNumber"/>
        <w:numPr>
          <w:ilvl w:val="0"/>
          <w:numId w:val="9"/>
        </w:numPr>
        <w:tabs>
          <w:tab w:val="clear" w:pos="2629"/>
        </w:tabs>
        <w:spacing w:before="160"/>
        <w:ind w:left="426" w:hanging="426"/>
        <w:rPr>
          <w:sz w:val="21"/>
          <w:szCs w:val="21"/>
        </w:rPr>
      </w:pPr>
      <w:r w:rsidRPr="00C70B9E">
        <w:rPr>
          <w:sz w:val="21"/>
          <w:szCs w:val="21"/>
        </w:rPr>
        <w:t xml:space="preserve">Use our online tool at </w:t>
      </w:r>
      <w:r w:rsidR="00551C6D" w:rsidRPr="00551C6D">
        <w:rPr>
          <w:b/>
          <w:sz w:val="21"/>
          <w:szCs w:val="21"/>
        </w:rPr>
        <w:t>https://consult.health.govt.nz/tobacco-control/vaping-regulations-consultation</w:t>
      </w:r>
      <w:bookmarkStart w:id="15" w:name="_GoBack"/>
      <w:bookmarkEnd w:id="15"/>
      <w:r w:rsidRPr="00C70B9E">
        <w:rPr>
          <w:sz w:val="21"/>
          <w:szCs w:val="21"/>
        </w:rPr>
        <w:t>. This is our preferred way to receive feedback.</w:t>
      </w:r>
    </w:p>
    <w:p w14:paraId="54C5A499" w14:textId="77777777" w:rsidR="009668DA" w:rsidRPr="00C70B9E" w:rsidRDefault="009668DA" w:rsidP="00157223">
      <w:pPr>
        <w:pStyle w:val="ListContinue"/>
        <w:ind w:left="426"/>
        <w:rPr>
          <w:sz w:val="21"/>
          <w:szCs w:val="21"/>
        </w:rPr>
      </w:pPr>
      <w:r w:rsidRPr="00C70B9E">
        <w:rPr>
          <w:sz w:val="21"/>
          <w:szCs w:val="21"/>
        </w:rPr>
        <w:t>Note: With the online tool, you can complete your submission over a number of sessions and save it as you go. If you select ‘Save and come back later’, you will receive an email with a unique link that will let you return to edit and submit your response. You can share this link with your colleagues if you need them to contribute to or review the submission. Once you have completed your submission, you will be sent a pdf copy for your records</w:t>
      </w:r>
    </w:p>
    <w:p w14:paraId="3D487100" w14:textId="5E8C6E21" w:rsidR="009668DA" w:rsidRPr="00C70B9E" w:rsidRDefault="009668DA" w:rsidP="00157223">
      <w:pPr>
        <w:pStyle w:val="ListNumber"/>
        <w:tabs>
          <w:tab w:val="clear" w:pos="2629"/>
          <w:tab w:val="num" w:pos="2977"/>
        </w:tabs>
        <w:ind w:left="426" w:hanging="426"/>
        <w:rPr>
          <w:sz w:val="21"/>
          <w:szCs w:val="21"/>
        </w:rPr>
      </w:pPr>
      <w:r w:rsidRPr="00C70B9E">
        <w:rPr>
          <w:sz w:val="21"/>
          <w:szCs w:val="21"/>
        </w:rPr>
        <w:t xml:space="preserve">Send an electronic submission to vaping@health.govt.nz using our downloadable Microsoft Word template from the Ministry of Health website at </w:t>
      </w:r>
      <w:hyperlink r:id="rId21" w:history="1">
        <w:r w:rsidRPr="00C70B9E">
          <w:rPr>
            <w:rStyle w:val="Hyperlink"/>
            <w:sz w:val="21"/>
            <w:szCs w:val="21"/>
          </w:rPr>
          <w:t>https://www.health.govt.nz/publication/vaping-regulations-consultation</w:t>
        </w:r>
      </w:hyperlink>
      <w:r w:rsidRPr="00C70B9E">
        <w:rPr>
          <w:sz w:val="21"/>
          <w:szCs w:val="21"/>
        </w:rPr>
        <w:t xml:space="preserve">. If you have any issues with the template, please email us at </w:t>
      </w:r>
      <w:hyperlink r:id="rId22" w:history="1">
        <w:r w:rsidRPr="00C70B9E">
          <w:rPr>
            <w:rFonts w:cs="Segoe UI"/>
            <w:sz w:val="21"/>
            <w:szCs w:val="21"/>
          </w:rPr>
          <w:t>vaping@health.govt.nz</w:t>
        </w:r>
      </w:hyperlink>
    </w:p>
    <w:p w14:paraId="1F23EAAA" w14:textId="31BC0681" w:rsidR="009668DA" w:rsidRPr="00C70B9E" w:rsidRDefault="009668DA" w:rsidP="009668DA">
      <w:pPr>
        <w:rPr>
          <w:szCs w:val="21"/>
        </w:rPr>
      </w:pPr>
      <w:r w:rsidRPr="00C70B9E">
        <w:rPr>
          <w:szCs w:val="21"/>
        </w:rPr>
        <w:lastRenderedPageBreak/>
        <w:t xml:space="preserve">The closing date for submissions is </w:t>
      </w:r>
      <w:r w:rsidR="00A758F1" w:rsidRPr="00D65087">
        <w:rPr>
          <w:szCs w:val="21"/>
        </w:rPr>
        <w:t>15 March</w:t>
      </w:r>
      <w:r w:rsidR="00974797" w:rsidRPr="00D65087">
        <w:rPr>
          <w:szCs w:val="21"/>
        </w:rPr>
        <w:t xml:space="preserve"> 2021</w:t>
      </w:r>
      <w:r w:rsidRPr="00C70B9E">
        <w:rPr>
          <w:szCs w:val="21"/>
        </w:rPr>
        <w:t xml:space="preserve"> at 5 pm. </w:t>
      </w:r>
    </w:p>
    <w:p w14:paraId="15343A87" w14:textId="77777777" w:rsidR="009668DA" w:rsidRPr="00C70B9E" w:rsidRDefault="009668DA" w:rsidP="009668DA">
      <w:pPr>
        <w:rPr>
          <w:szCs w:val="21"/>
        </w:rPr>
      </w:pPr>
    </w:p>
    <w:p w14:paraId="3FEE312F" w14:textId="0FB61401" w:rsidR="009668DA" w:rsidRPr="00C70B9E" w:rsidRDefault="009668DA" w:rsidP="009668DA">
      <w:pPr>
        <w:rPr>
          <w:szCs w:val="21"/>
        </w:rPr>
      </w:pPr>
      <w:r w:rsidRPr="00C70B9E">
        <w:rPr>
          <w:szCs w:val="21"/>
        </w:rPr>
        <w:t xml:space="preserve">Note that your submission may be requested under the Official Information Act 1982. If this happens, the Ministry of Health will normally release your submission to the person who asks for it. If you consider there are good reasons to withhold it, please clearly indicate these in your submission. </w:t>
      </w:r>
    </w:p>
    <w:p w14:paraId="572A1E5D" w14:textId="77777777" w:rsidR="009668DA" w:rsidRPr="00C70B9E" w:rsidRDefault="009668DA" w:rsidP="009668DA">
      <w:pPr>
        <w:rPr>
          <w:szCs w:val="21"/>
        </w:rPr>
      </w:pPr>
    </w:p>
    <w:p w14:paraId="2FE19F1C" w14:textId="124C0C11" w:rsidR="009668DA" w:rsidRPr="00C70B9E" w:rsidRDefault="009668DA" w:rsidP="009668DA">
      <w:pPr>
        <w:rPr>
          <w:szCs w:val="21"/>
        </w:rPr>
      </w:pPr>
      <w:r w:rsidRPr="00C70B9E">
        <w:rPr>
          <w:szCs w:val="21"/>
        </w:rPr>
        <w:t>We appreciate you taking the time to make a submission.</w:t>
      </w:r>
    </w:p>
    <w:p w14:paraId="0A77A1A6" w14:textId="77777777" w:rsidR="009668DA" w:rsidRDefault="009668DA" w:rsidP="009668DA"/>
    <w:p w14:paraId="7DA1B023" w14:textId="77777777" w:rsidR="009668DA" w:rsidRPr="00E05B22" w:rsidRDefault="009668DA" w:rsidP="009668DA">
      <w:pPr>
        <w:pStyle w:val="Heading2"/>
        <w:pBdr>
          <w:top w:val="single" w:sz="4" w:space="1" w:color="auto"/>
          <w:left w:val="single" w:sz="4" w:space="4" w:color="auto"/>
          <w:bottom w:val="single" w:sz="4" w:space="1" w:color="auto"/>
          <w:right w:val="single" w:sz="4" w:space="4" w:color="auto"/>
        </w:pBdr>
        <w:shd w:val="clear" w:color="auto" w:fill="E7E6E6" w:themeFill="background2"/>
        <w:spacing w:before="0" w:after="120"/>
        <w:rPr>
          <w:sz w:val="24"/>
          <w:szCs w:val="24"/>
        </w:rPr>
      </w:pPr>
      <w:bookmarkStart w:id="16" w:name="_Toc56000573"/>
      <w:bookmarkStart w:id="17" w:name="_Toc58869325"/>
      <w:r w:rsidRPr="00E05B22">
        <w:rPr>
          <w:sz w:val="24"/>
          <w:szCs w:val="24"/>
        </w:rPr>
        <w:t>Protection from commercial and other vested interests of the tobacco industry</w:t>
      </w:r>
      <w:bookmarkEnd w:id="16"/>
      <w:bookmarkEnd w:id="17"/>
    </w:p>
    <w:p w14:paraId="3EEF2D0B" w14:textId="77777777"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r w:rsidRPr="00E05B22">
        <w:rPr>
          <w:rFonts w:cs="Segoe UI"/>
        </w:rPr>
        <w:t>New Zealand has an obligation under Article 5.3 of the Framework Convention on Tobacco Control</w:t>
      </w:r>
      <w:r>
        <w:rPr>
          <w:rFonts w:cs="Segoe UI"/>
        </w:rPr>
        <w:t xml:space="preserve"> (FCTC)</w:t>
      </w:r>
      <w:r w:rsidRPr="00E05B22">
        <w:rPr>
          <w:rFonts w:cs="Segoe UI"/>
        </w:rPr>
        <w:t xml:space="preserve"> when </w:t>
      </w:r>
      <w:r>
        <w:rPr>
          <w:rFonts w:cs="Segoe UI"/>
        </w:rPr>
        <w:t>‘</w:t>
      </w:r>
      <w:r w:rsidRPr="00E05B22">
        <w:rPr>
          <w:rFonts w:cs="Segoe UI"/>
        </w:rPr>
        <w:t xml:space="preserve">setting and implementing public health policies with respect to tobacco control </w:t>
      </w:r>
      <w:r>
        <w:rPr>
          <w:rFonts w:cs="Segoe UI"/>
        </w:rPr>
        <w:t>…</w:t>
      </w:r>
      <w:r w:rsidRPr="00E05B22">
        <w:rPr>
          <w:rFonts w:cs="Segoe UI"/>
        </w:rPr>
        <w:t xml:space="preserve"> to protect these policies from the commercial and other vested interests of the tobacco industry</w:t>
      </w:r>
      <w:r>
        <w:rPr>
          <w:rFonts w:cs="Segoe UI"/>
        </w:rPr>
        <w:t>’</w:t>
      </w:r>
      <w:r w:rsidRPr="00E05B22">
        <w:rPr>
          <w:rFonts w:cs="Segoe UI"/>
        </w:rPr>
        <w:t xml:space="preserve">. </w:t>
      </w:r>
    </w:p>
    <w:p w14:paraId="789FE26C" w14:textId="77777777"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p>
    <w:p w14:paraId="28BE4ADD" w14:textId="36422540"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r w:rsidRPr="00E05B22">
        <w:rPr>
          <w:rFonts w:cs="Segoe UI"/>
        </w:rPr>
        <w:t xml:space="preserve">The internationally agreed Guidelines for Implementation of Article 5.3 recommend that parties to the treaty </w:t>
      </w:r>
      <w:r>
        <w:rPr>
          <w:rFonts w:cs="Segoe UI"/>
        </w:rPr>
        <w:t>‘</w:t>
      </w:r>
      <w:r w:rsidRPr="00E05B22">
        <w:rPr>
          <w:rFonts w:cs="Segoe UI"/>
        </w:rPr>
        <w:t xml:space="preserve">should interact with the tobacco industry only when and to the extent strictly necessary to enable them to effectively regulate the tobacco industry and tobacco products. </w:t>
      </w:r>
    </w:p>
    <w:p w14:paraId="274ABD0E" w14:textId="77777777"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p>
    <w:p w14:paraId="79438179" w14:textId="77777777"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r w:rsidRPr="00E05B22">
        <w:rPr>
          <w:rFonts w:cs="Segoe UI"/>
        </w:rPr>
        <w:t xml:space="preserve">While </w:t>
      </w:r>
      <w:r>
        <w:rPr>
          <w:rFonts w:cs="Segoe UI"/>
        </w:rPr>
        <w:t xml:space="preserve">this consultation document </w:t>
      </w:r>
      <w:r w:rsidRPr="00E05B22">
        <w:rPr>
          <w:rFonts w:cs="Segoe UI"/>
        </w:rPr>
        <w:t>largely focuse</w:t>
      </w:r>
      <w:r>
        <w:rPr>
          <w:rFonts w:cs="Segoe UI"/>
        </w:rPr>
        <w:t>s</w:t>
      </w:r>
      <w:r w:rsidRPr="00E05B22">
        <w:rPr>
          <w:rFonts w:cs="Segoe UI"/>
        </w:rPr>
        <w:t xml:space="preserve"> on the regulation of vaping products, some of </w:t>
      </w:r>
      <w:r>
        <w:rPr>
          <w:rFonts w:cs="Segoe UI"/>
        </w:rPr>
        <w:t>its</w:t>
      </w:r>
      <w:r w:rsidRPr="00E05B22">
        <w:rPr>
          <w:rFonts w:cs="Segoe UI"/>
        </w:rPr>
        <w:t xml:space="preserve"> proposals are relevan</w:t>
      </w:r>
      <w:r>
        <w:rPr>
          <w:rFonts w:cs="Segoe UI"/>
        </w:rPr>
        <w:t>t</w:t>
      </w:r>
      <w:r w:rsidRPr="00E05B22">
        <w:rPr>
          <w:rFonts w:cs="Segoe UI"/>
        </w:rPr>
        <w:t xml:space="preserve"> to the tobacco industry and we expect to receive feedback from companies</w:t>
      </w:r>
      <w:r>
        <w:rPr>
          <w:rFonts w:cs="Segoe UI"/>
        </w:rPr>
        <w:t xml:space="preserve"> in this industry</w:t>
      </w:r>
      <w:r w:rsidRPr="00E05B22">
        <w:rPr>
          <w:rFonts w:cs="Segoe UI"/>
        </w:rPr>
        <w:t>. We will consider all feedback when analysing submissions.</w:t>
      </w:r>
    </w:p>
    <w:p w14:paraId="2DCAF26C" w14:textId="77777777" w:rsidR="009668DA" w:rsidRPr="00E05B22"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p>
    <w:p w14:paraId="5DC2EFA0" w14:textId="77777777" w:rsidR="009668DA"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r w:rsidRPr="00E05B22">
        <w:rPr>
          <w:rFonts w:cs="Segoe UI"/>
        </w:rPr>
        <w:t>To help</w:t>
      </w:r>
      <w:r>
        <w:rPr>
          <w:rFonts w:cs="Segoe UI"/>
        </w:rPr>
        <w:t xml:space="preserve"> us</w:t>
      </w:r>
      <w:r w:rsidRPr="00E05B22">
        <w:rPr>
          <w:rFonts w:cs="Segoe UI"/>
        </w:rPr>
        <w:t xml:space="preserve"> meet our obligations under the FCTC and ensure transparency, all respondents are asked to disclose whether they have any direct or indirect links to, or receive funding from, the tobacco industry.</w:t>
      </w:r>
    </w:p>
    <w:p w14:paraId="1A6FB787" w14:textId="77777777" w:rsidR="009668DA" w:rsidRPr="00BA2A41" w:rsidRDefault="009668DA" w:rsidP="009668DA">
      <w:pPr>
        <w:pBdr>
          <w:top w:val="single" w:sz="4" w:space="1" w:color="auto"/>
          <w:left w:val="single" w:sz="4" w:space="4" w:color="auto"/>
          <w:bottom w:val="single" w:sz="4" w:space="1" w:color="auto"/>
          <w:right w:val="single" w:sz="4" w:space="4" w:color="auto"/>
        </w:pBdr>
        <w:shd w:val="clear" w:color="auto" w:fill="E7E6E6" w:themeFill="background2"/>
        <w:rPr>
          <w:rFonts w:cs="Segoe UI"/>
        </w:rPr>
      </w:pPr>
    </w:p>
    <w:p w14:paraId="4AE066D2" w14:textId="46256C08" w:rsidR="009668DA" w:rsidRDefault="009668DA" w:rsidP="009668DA">
      <w:pPr>
        <w:rPr>
          <w:rFonts w:cs="Segoe UI"/>
        </w:rPr>
      </w:pPr>
    </w:p>
    <w:p w14:paraId="69EA1D13" w14:textId="77777777" w:rsidR="00794CDD" w:rsidRDefault="00794CDD" w:rsidP="00F56F20">
      <w:pPr>
        <w:pStyle w:val="Heading1"/>
        <w:sectPr w:rsidR="00794CDD" w:rsidSect="009668DA">
          <w:headerReference w:type="default" r:id="rId23"/>
          <w:pgSz w:w="11907" w:h="16834" w:code="9"/>
          <w:pgMar w:top="1418" w:right="1701" w:bottom="1134" w:left="1843" w:header="284" w:footer="454" w:gutter="0"/>
          <w:pgNumType w:start="1"/>
          <w:cols w:space="720"/>
          <w:docGrid w:linePitch="286"/>
        </w:sectPr>
      </w:pPr>
    </w:p>
    <w:p w14:paraId="19F061A3" w14:textId="77777777" w:rsidR="009668DA" w:rsidRDefault="009668DA" w:rsidP="009668DA">
      <w:pPr>
        <w:pStyle w:val="Heading1"/>
      </w:pPr>
      <w:bookmarkStart w:id="18" w:name="_Toc56000574"/>
      <w:bookmarkStart w:id="19" w:name="_Toc58869326"/>
      <w:bookmarkStart w:id="20" w:name="_Toc54863549"/>
      <w:bookmarkEnd w:id="4"/>
      <w:r>
        <w:lastRenderedPageBreak/>
        <w:t>Regulatory proposal 1: Defining an internal area</w:t>
      </w:r>
      <w:bookmarkEnd w:id="18"/>
      <w:bookmarkEnd w:id="19"/>
    </w:p>
    <w:p w14:paraId="35DE712C" w14:textId="77777777" w:rsidR="009668DA" w:rsidRPr="00140DE2" w:rsidRDefault="009668DA" w:rsidP="00140DE2">
      <w:pPr>
        <w:pStyle w:val="Heading3"/>
      </w:pPr>
      <w:bookmarkStart w:id="21" w:name="_Toc50468922"/>
      <w:bookmarkStart w:id="22" w:name="_Toc50469039"/>
      <w:bookmarkStart w:id="23" w:name="_Toc50549942"/>
      <w:bookmarkStart w:id="24" w:name="_Toc58869327"/>
      <w:r w:rsidRPr="00140DE2">
        <w:t>Description</w:t>
      </w:r>
      <w:bookmarkEnd w:id="21"/>
      <w:bookmarkEnd w:id="22"/>
      <w:bookmarkEnd w:id="23"/>
      <w:bookmarkEnd w:id="24"/>
    </w:p>
    <w:p w14:paraId="31A87F59" w14:textId="77777777" w:rsidR="009668DA" w:rsidRDefault="009668DA" w:rsidP="009668DA">
      <w:r>
        <w:t>Under t</w:t>
      </w:r>
      <w:r w:rsidRPr="001646A7">
        <w:t>he Act</w:t>
      </w:r>
      <w:r>
        <w:t>,</w:t>
      </w:r>
      <w:r w:rsidRPr="001646A7">
        <w:t xml:space="preserve"> regulations </w:t>
      </w:r>
      <w:r>
        <w:t>can</w:t>
      </w:r>
      <w:r w:rsidRPr="001646A7">
        <w:t xml:space="preserve"> be made to define an internal area, which is </w:t>
      </w:r>
      <w:r>
        <w:t>an area</w:t>
      </w:r>
      <w:r w:rsidRPr="001646A7">
        <w:t xml:space="preserve"> where smoking and vaping are prohibited. In the absence of regulations,</w:t>
      </w:r>
      <w:r>
        <w:t xml:space="preserve"> section 2 of</w:t>
      </w:r>
      <w:r w:rsidRPr="001646A7">
        <w:t xml:space="preserve"> the Act maintains the existing definition of an internal area as</w:t>
      </w:r>
      <w:r>
        <w:t>:</w:t>
      </w:r>
    </w:p>
    <w:p w14:paraId="282A556C" w14:textId="77777777" w:rsidR="009668DA" w:rsidRPr="00B01568" w:rsidRDefault="009668DA" w:rsidP="009668DA">
      <w:pPr>
        <w:spacing w:before="120" w:after="120"/>
        <w:ind w:left="720"/>
        <w:rPr>
          <w:rFonts w:cs="Segoe UI"/>
        </w:rPr>
      </w:pPr>
      <w:r w:rsidRPr="00B01568">
        <w:rPr>
          <w:rFonts w:cs="Segoe UI"/>
        </w:rPr>
        <w:t xml:space="preserve">an area within or on the premises or vehicle that, when all its doors, windows and other </w:t>
      </w:r>
      <w:proofErr w:type="spellStart"/>
      <w:r w:rsidRPr="00B01568">
        <w:rPr>
          <w:rFonts w:cs="Segoe UI"/>
        </w:rPr>
        <w:t>closeable</w:t>
      </w:r>
      <w:proofErr w:type="spellEnd"/>
      <w:r w:rsidRPr="00B01568">
        <w:rPr>
          <w:rFonts w:cs="Segoe UI"/>
        </w:rPr>
        <w:t xml:space="preserve"> openings are closed, is completely or substantially enclosed by:</w:t>
      </w:r>
    </w:p>
    <w:p w14:paraId="7B1BCCC6" w14:textId="77777777" w:rsidR="009668DA" w:rsidRPr="00B01568" w:rsidRDefault="009668DA" w:rsidP="00DB0C46">
      <w:pPr>
        <w:pStyle w:val="ListNumber3"/>
        <w:spacing w:before="90" w:after="90" w:line="259" w:lineRule="auto"/>
        <w:ind w:left="1077" w:hanging="357"/>
        <w:contextualSpacing w:val="0"/>
      </w:pPr>
      <w:r w:rsidRPr="00B01568">
        <w:t>a ceiling, roof, or similar overhead surface, and</w:t>
      </w:r>
    </w:p>
    <w:p w14:paraId="748BBF23" w14:textId="77777777" w:rsidR="009668DA" w:rsidRPr="00B01568" w:rsidRDefault="009668DA" w:rsidP="00DB0C46">
      <w:pPr>
        <w:pStyle w:val="ListNumber3"/>
        <w:spacing w:before="90" w:after="90" w:line="259" w:lineRule="auto"/>
        <w:ind w:left="1077" w:hanging="357"/>
        <w:contextualSpacing w:val="0"/>
      </w:pPr>
      <w:r w:rsidRPr="00B01568">
        <w:t>walls, sides, screens, or other similar surfaces, and</w:t>
      </w:r>
    </w:p>
    <w:p w14:paraId="3030A19E" w14:textId="77777777" w:rsidR="009668DA" w:rsidRPr="00B01568" w:rsidRDefault="009668DA" w:rsidP="00DB0C46">
      <w:pPr>
        <w:pStyle w:val="ListNumber3"/>
        <w:spacing w:before="90" w:after="90" w:line="259" w:lineRule="auto"/>
        <w:ind w:left="1077" w:hanging="357"/>
        <w:contextualSpacing w:val="0"/>
      </w:pPr>
      <w:r w:rsidRPr="00B01568">
        <w:t>those openings.</w:t>
      </w:r>
    </w:p>
    <w:p w14:paraId="54B506A2" w14:textId="77777777" w:rsidR="009668DA" w:rsidRDefault="009668DA" w:rsidP="009668DA">
      <w:r>
        <w:t>Some have</w:t>
      </w:r>
      <w:r w:rsidRPr="001646A7">
        <w:t xml:space="preserve"> concerns that this test does not provide clarity for business owners or enforcement officers to determine whether a space within a premise is an open area (where smoking and vaping are permitted) or an internal area (where smoking and vaping are prohibited). </w:t>
      </w:r>
      <w:r>
        <w:t>In addition, when this issue has been</w:t>
      </w:r>
      <w:r w:rsidRPr="001646A7">
        <w:t xml:space="preserve"> tested in court</w:t>
      </w:r>
      <w:r>
        <w:t>, judgments</w:t>
      </w:r>
      <w:r w:rsidRPr="001646A7">
        <w:t xml:space="preserve"> have been inconsistent.</w:t>
      </w:r>
    </w:p>
    <w:p w14:paraId="1F662646" w14:textId="77777777" w:rsidR="009668DA" w:rsidRPr="00140DE2" w:rsidRDefault="009668DA" w:rsidP="00140DE2">
      <w:pPr>
        <w:pStyle w:val="Heading3"/>
      </w:pPr>
      <w:bookmarkStart w:id="25" w:name="_Toc50468923"/>
      <w:bookmarkStart w:id="26" w:name="_Toc50469040"/>
      <w:bookmarkStart w:id="27" w:name="_Toc50549943"/>
      <w:bookmarkStart w:id="28" w:name="_Toc58869328"/>
      <w:r w:rsidRPr="00140DE2">
        <w:t>Proposal</w:t>
      </w:r>
      <w:bookmarkEnd w:id="25"/>
      <w:bookmarkEnd w:id="26"/>
      <w:bookmarkEnd w:id="27"/>
      <w:bookmarkEnd w:id="28"/>
    </w:p>
    <w:p w14:paraId="2CD6FF48" w14:textId="77777777" w:rsidR="009668DA" w:rsidRPr="001646A7" w:rsidRDefault="009668DA" w:rsidP="009668DA">
      <w:pPr>
        <w:spacing w:before="120"/>
        <w:rPr>
          <w:rFonts w:eastAsiaTheme="minorHAnsi" w:cs="Segoe UI"/>
        </w:rPr>
      </w:pPr>
      <w:r w:rsidRPr="001646A7">
        <w:rPr>
          <w:rFonts w:eastAsiaTheme="minorHAnsi" w:cs="Segoe UI"/>
        </w:rPr>
        <w:t>We are seeking views on the following options for the definition of an internal area</w:t>
      </w:r>
      <w:r>
        <w:rPr>
          <w:rFonts w:eastAsiaTheme="minorHAnsi" w:cs="Segoe UI"/>
        </w:rPr>
        <w:t>.</w:t>
      </w:r>
    </w:p>
    <w:p w14:paraId="4F0C3B4E" w14:textId="77777777" w:rsidR="009668DA" w:rsidRPr="001646A7" w:rsidRDefault="009668DA" w:rsidP="009668DA">
      <w:pPr>
        <w:pStyle w:val="Bullet"/>
      </w:pPr>
      <w:r w:rsidRPr="00B01568">
        <w:rPr>
          <w:b/>
        </w:rPr>
        <w:t xml:space="preserve">Option a: </w:t>
      </w:r>
      <w:r>
        <w:t xml:space="preserve">Keep </w:t>
      </w:r>
      <w:r w:rsidRPr="001646A7">
        <w:t>the status quo, as outlined above.</w:t>
      </w:r>
    </w:p>
    <w:p w14:paraId="234C0A7C" w14:textId="77777777" w:rsidR="009668DA" w:rsidRPr="001646A7" w:rsidRDefault="009668DA" w:rsidP="009668DA">
      <w:pPr>
        <w:pStyle w:val="Bullet"/>
      </w:pPr>
      <w:r w:rsidRPr="00B01568">
        <w:rPr>
          <w:b/>
        </w:rPr>
        <w:t xml:space="preserve">Option b: </w:t>
      </w:r>
      <w:r>
        <w:t xml:space="preserve">Define it as </w:t>
      </w:r>
      <w:r w:rsidRPr="001646A7">
        <w:t xml:space="preserve">an area </w:t>
      </w:r>
      <w:r>
        <w:t xml:space="preserve">that </w:t>
      </w:r>
      <w:r w:rsidRPr="001646A7">
        <w:t>is completely or partially enclosed with a roof or overhead structure of any kind, whether permanent or temporary. This means that if an area has any roof or overhead structure, regardless of how much the roof or overhead structure encloses the area, it will meet the definition of an internal area.</w:t>
      </w:r>
    </w:p>
    <w:p w14:paraId="373B0725" w14:textId="77777777" w:rsidR="009668DA" w:rsidRPr="001646A7" w:rsidRDefault="009668DA" w:rsidP="009668DA">
      <w:pPr>
        <w:pStyle w:val="Bullet"/>
      </w:pPr>
      <w:r w:rsidRPr="00B01568">
        <w:rPr>
          <w:b/>
        </w:rPr>
        <w:t>Option c:</w:t>
      </w:r>
      <w:r w:rsidRPr="001646A7">
        <w:t xml:space="preserve"> </w:t>
      </w:r>
      <w:r>
        <w:t>P</w:t>
      </w:r>
      <w:r w:rsidRPr="001646A7">
        <w:t>rescrib</w:t>
      </w:r>
      <w:r>
        <w:t>e</w:t>
      </w:r>
      <w:r w:rsidRPr="001646A7">
        <w:t xml:space="preserve"> the maximum allowable percentage of the roof</w:t>
      </w:r>
      <w:r>
        <w:t xml:space="preserve"> or </w:t>
      </w:r>
      <w:r w:rsidRPr="001646A7">
        <w:t xml:space="preserve">wall coverage for any premise or structure. For example, a premise or structure </w:t>
      </w:r>
      <w:r>
        <w:t>c</w:t>
      </w:r>
      <w:r w:rsidRPr="001646A7">
        <w:t xml:space="preserve">ould be considered an internal area if the total area of the roof and walls </w:t>
      </w:r>
      <w:r>
        <w:t>covered</w:t>
      </w:r>
      <w:r w:rsidRPr="001646A7">
        <w:t xml:space="preserve"> more than 50 percent of the perimeter. </w:t>
      </w:r>
    </w:p>
    <w:p w14:paraId="6E8DF6F2" w14:textId="77777777" w:rsidR="009668DA" w:rsidRPr="001646A7" w:rsidRDefault="009668DA" w:rsidP="009668DA">
      <w:pPr>
        <w:pStyle w:val="Bullet"/>
      </w:pPr>
      <w:r w:rsidRPr="00B01568">
        <w:rPr>
          <w:b/>
        </w:rPr>
        <w:t xml:space="preserve">Option d: </w:t>
      </w:r>
      <w:r>
        <w:t>Include</w:t>
      </w:r>
      <w:r w:rsidRPr="001646A7">
        <w:t xml:space="preserve"> an assessment tool</w:t>
      </w:r>
      <w:r w:rsidRPr="00B75A57">
        <w:t xml:space="preserve"> </w:t>
      </w:r>
      <w:r w:rsidRPr="001646A7">
        <w:t>in regulations</w:t>
      </w:r>
      <w:r>
        <w:t xml:space="preserve"> that</w:t>
      </w:r>
      <w:r w:rsidRPr="001646A7">
        <w:t xml:space="preserve"> takes into account air quality, </w:t>
      </w:r>
      <w:r>
        <w:t>as a way of helping to</w:t>
      </w:r>
      <w:r w:rsidRPr="001646A7">
        <w:t xml:space="preserve"> determin</w:t>
      </w:r>
      <w:r>
        <w:t>e</w:t>
      </w:r>
      <w:r w:rsidRPr="001646A7">
        <w:t xml:space="preserve"> whether a space within a premise is an open area or an internal area. </w:t>
      </w:r>
    </w:p>
    <w:p w14:paraId="436C227E" w14:textId="77777777" w:rsidR="009668DA" w:rsidRDefault="009668DA" w:rsidP="009668DA">
      <w:pPr>
        <w:rPr>
          <w:b/>
        </w:rPr>
      </w:pPr>
    </w:p>
    <w:p w14:paraId="5747A051" w14:textId="4F9FE049" w:rsidR="009668DA" w:rsidRPr="001646A7" w:rsidRDefault="009668DA" w:rsidP="009668DA">
      <w:r w:rsidRPr="00DB567A">
        <w:rPr>
          <w:b/>
        </w:rPr>
        <w:t>Option b</w:t>
      </w:r>
      <w:r w:rsidRPr="001646A7">
        <w:t xml:space="preserve"> is the Ministry</w:t>
      </w:r>
      <w:r>
        <w:t xml:space="preserve"> of Health</w:t>
      </w:r>
      <w:r w:rsidRPr="001646A7">
        <w:t xml:space="preserve">’s preferred option </w:t>
      </w:r>
      <w:r>
        <w:t>because</w:t>
      </w:r>
      <w:r w:rsidRPr="001646A7">
        <w:t xml:space="preserve"> it is relatively simple to understand and administer. </w:t>
      </w:r>
    </w:p>
    <w:p w14:paraId="24123F0A" w14:textId="77777777" w:rsidR="00CF79C2" w:rsidRPr="00526576" w:rsidRDefault="00CF79C2" w:rsidP="00CF79C2">
      <w:pPr>
        <w:pStyle w:val="Heading3"/>
        <w:pBdr>
          <w:top w:val="single" w:sz="4" w:space="1" w:color="auto"/>
          <w:left w:val="single" w:sz="4" w:space="4" w:color="auto"/>
          <w:bottom w:val="single" w:sz="4" w:space="1" w:color="auto"/>
          <w:right w:val="single" w:sz="4" w:space="4" w:color="auto"/>
        </w:pBdr>
      </w:pPr>
      <w:bookmarkStart w:id="29" w:name="_Toc58869329"/>
      <w:r w:rsidRPr="00526576">
        <w:lastRenderedPageBreak/>
        <w:t>Consultation questions</w:t>
      </w:r>
      <w:bookmarkEnd w:id="29"/>
    </w:p>
    <w:p w14:paraId="6B09198E" w14:textId="77777777" w:rsidR="00CF79C2" w:rsidRPr="00C70B9E" w:rsidRDefault="00CF79C2"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Which option do you support for the definition of an internal area and why?</w:t>
      </w:r>
    </w:p>
    <w:p w14:paraId="57263BE5" w14:textId="77777777" w:rsidR="00CF79C2" w:rsidRPr="00C70B9E" w:rsidRDefault="00CF79C2"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If you support option c, or if option c were to proceed, would you support a 50 percent coverage threshold? If not, what threshold would you suggest and why?</w:t>
      </w:r>
    </w:p>
    <w:p w14:paraId="3B079A5B" w14:textId="24AE4BE5" w:rsidR="009668DA" w:rsidRDefault="009668DA" w:rsidP="009668DA"/>
    <w:p w14:paraId="3108FDCE" w14:textId="77777777" w:rsidR="00F56F20" w:rsidRDefault="00F56F20" w:rsidP="00F56F20">
      <w:pPr>
        <w:pStyle w:val="Heading1"/>
        <w:sectPr w:rsidR="00F56F20" w:rsidSect="00CF79C2">
          <w:pgSz w:w="11907" w:h="16834" w:code="9"/>
          <w:pgMar w:top="1418" w:right="1701" w:bottom="1134" w:left="1843" w:header="284" w:footer="567" w:gutter="0"/>
          <w:cols w:space="720"/>
          <w:docGrid w:linePitch="286"/>
        </w:sectPr>
      </w:pPr>
    </w:p>
    <w:p w14:paraId="2231DACE" w14:textId="77777777" w:rsidR="00CF79C2" w:rsidRDefault="00CF79C2" w:rsidP="00CF79C2">
      <w:pPr>
        <w:pStyle w:val="Heading1"/>
      </w:pPr>
      <w:bookmarkStart w:id="30" w:name="_Toc56000575"/>
      <w:bookmarkStart w:id="31" w:name="_Toc58869330"/>
      <w:bookmarkEnd w:id="20"/>
      <w:r>
        <w:lastRenderedPageBreak/>
        <w:t>Regulatory proposal 2: Specialist vape retailer approvals</w:t>
      </w:r>
      <w:bookmarkEnd w:id="30"/>
      <w:bookmarkEnd w:id="31"/>
    </w:p>
    <w:p w14:paraId="6DA3D29F" w14:textId="77777777" w:rsidR="00CF79C2" w:rsidRPr="00140DE2" w:rsidRDefault="00CF79C2" w:rsidP="00140DE2">
      <w:pPr>
        <w:pStyle w:val="Heading3"/>
      </w:pPr>
      <w:bookmarkStart w:id="32" w:name="_Toc50468925"/>
      <w:bookmarkStart w:id="33" w:name="_Toc50469042"/>
      <w:bookmarkStart w:id="34" w:name="_Toc50549945"/>
      <w:bookmarkStart w:id="35" w:name="_Toc58869331"/>
      <w:r w:rsidRPr="00140DE2">
        <w:t>Description</w:t>
      </w:r>
      <w:bookmarkEnd w:id="32"/>
      <w:bookmarkEnd w:id="33"/>
      <w:bookmarkEnd w:id="34"/>
      <w:bookmarkEnd w:id="35"/>
    </w:p>
    <w:p w14:paraId="40D40A09" w14:textId="77777777" w:rsidR="00CF79C2" w:rsidRPr="005A2DA7" w:rsidRDefault="00CF79C2" w:rsidP="00CF79C2">
      <w:r>
        <w:t xml:space="preserve">Under </w:t>
      </w:r>
      <w:r w:rsidRPr="005A2DA7">
        <w:t>section 14A</w:t>
      </w:r>
      <w:r>
        <w:t xml:space="preserve"> of the Act,</w:t>
      </w:r>
      <w:r w:rsidRPr="005A2DA7">
        <w:t xml:space="preserve"> the Director-General </w:t>
      </w:r>
      <w:r>
        <w:t xml:space="preserve">of Health (Director-General) </w:t>
      </w:r>
      <w:r w:rsidRPr="005A2DA7">
        <w:t>must not give a person approval to be a specialist vape retailer unless satisfied that:</w:t>
      </w:r>
    </w:p>
    <w:p w14:paraId="2191C0E1" w14:textId="77777777" w:rsidR="00CF79C2" w:rsidRPr="00C70B9E" w:rsidRDefault="00CF79C2" w:rsidP="00DB0C46">
      <w:pPr>
        <w:pStyle w:val="NormalIndent"/>
        <w:numPr>
          <w:ilvl w:val="0"/>
          <w:numId w:val="14"/>
        </w:numPr>
        <w:spacing w:before="90" w:after="90"/>
        <w:ind w:left="992" w:hanging="357"/>
        <w:rPr>
          <w:sz w:val="21"/>
          <w:szCs w:val="21"/>
        </w:rPr>
      </w:pPr>
      <w:r w:rsidRPr="00C70B9E">
        <w:rPr>
          <w:sz w:val="21"/>
          <w:szCs w:val="21"/>
        </w:rPr>
        <w:t>the retail premises in which the vaping products are or will be sold are a fixed permanent structure, and</w:t>
      </w:r>
    </w:p>
    <w:p w14:paraId="6FA147C2" w14:textId="77777777" w:rsidR="00CF79C2" w:rsidRPr="00C70B9E" w:rsidRDefault="00CF79C2" w:rsidP="00DB0C46">
      <w:pPr>
        <w:pStyle w:val="NormalIndent"/>
        <w:numPr>
          <w:ilvl w:val="0"/>
          <w:numId w:val="14"/>
        </w:numPr>
        <w:spacing w:before="90" w:after="90"/>
        <w:ind w:left="992" w:hanging="357"/>
        <w:rPr>
          <w:sz w:val="21"/>
          <w:szCs w:val="21"/>
        </w:rPr>
      </w:pPr>
      <w:r w:rsidRPr="00C70B9E">
        <w:rPr>
          <w:sz w:val="21"/>
          <w:szCs w:val="21"/>
        </w:rPr>
        <w:t>at least:</w:t>
      </w:r>
    </w:p>
    <w:p w14:paraId="194ADD62" w14:textId="77777777" w:rsidR="00CF79C2" w:rsidRPr="00C70B9E" w:rsidRDefault="00CF79C2" w:rsidP="00DB0C46">
      <w:pPr>
        <w:pStyle w:val="ListBullet"/>
        <w:numPr>
          <w:ilvl w:val="0"/>
          <w:numId w:val="13"/>
        </w:numPr>
        <w:spacing w:before="90" w:after="90"/>
        <w:ind w:left="1417" w:hanging="357"/>
        <w:contextualSpacing w:val="0"/>
        <w:rPr>
          <w:sz w:val="21"/>
          <w:szCs w:val="21"/>
        </w:rPr>
      </w:pPr>
      <w:r w:rsidRPr="00C70B9E">
        <w:rPr>
          <w:sz w:val="21"/>
          <w:szCs w:val="21"/>
        </w:rPr>
        <w:t>70 percent of the person’s total sales from the retail premises are or will be from the sale of vaping products, or</w:t>
      </w:r>
    </w:p>
    <w:p w14:paraId="681BAE79" w14:textId="77777777" w:rsidR="00CF79C2" w:rsidRPr="00C70B9E" w:rsidRDefault="00CF79C2" w:rsidP="00DB0C46">
      <w:pPr>
        <w:pStyle w:val="ListBullet"/>
        <w:numPr>
          <w:ilvl w:val="0"/>
          <w:numId w:val="13"/>
        </w:numPr>
        <w:spacing w:before="90" w:after="90"/>
        <w:ind w:left="1417" w:hanging="357"/>
        <w:contextualSpacing w:val="0"/>
        <w:rPr>
          <w:sz w:val="21"/>
          <w:szCs w:val="21"/>
        </w:rPr>
      </w:pPr>
      <w:r w:rsidRPr="00C70B9E">
        <w:rPr>
          <w:sz w:val="21"/>
          <w:szCs w:val="21"/>
        </w:rPr>
        <w:t>60 percent of the person’s total sales from the retail premises are or will be from the sale of vaping products and the Director-General is satisfied that the lower threshold is appropriate in the circumstances, and</w:t>
      </w:r>
    </w:p>
    <w:p w14:paraId="090148CD" w14:textId="77777777" w:rsidR="00CF79C2" w:rsidRPr="00C70B9E" w:rsidRDefault="00CF79C2" w:rsidP="00DB0C46">
      <w:pPr>
        <w:pStyle w:val="NormalIndent"/>
        <w:numPr>
          <w:ilvl w:val="0"/>
          <w:numId w:val="14"/>
        </w:numPr>
        <w:spacing w:before="90" w:after="90"/>
        <w:ind w:left="992" w:hanging="357"/>
        <w:rPr>
          <w:sz w:val="21"/>
          <w:szCs w:val="21"/>
        </w:rPr>
      </w:pPr>
      <w:r w:rsidRPr="00C70B9E">
        <w:rPr>
          <w:sz w:val="21"/>
          <w:szCs w:val="21"/>
        </w:rPr>
        <w:t>any requirements in regulations have been met.</w:t>
      </w:r>
    </w:p>
    <w:p w14:paraId="1152A915" w14:textId="77777777" w:rsidR="00CF79C2" w:rsidRPr="00C70B9E" w:rsidRDefault="00CF79C2" w:rsidP="00DB0C46">
      <w:pPr>
        <w:spacing w:before="90" w:after="90"/>
        <w:rPr>
          <w:szCs w:val="21"/>
        </w:rPr>
      </w:pPr>
      <w:r w:rsidRPr="00C70B9E">
        <w:rPr>
          <w:szCs w:val="21"/>
        </w:rPr>
        <w:t>Section 14A(4) states that, in determining whether the lower threshold is appropriate in the circumstances, the Director-General must, in accordance with regulations (if any), have regard to:</w:t>
      </w:r>
    </w:p>
    <w:p w14:paraId="2B2D3E7B" w14:textId="77777777" w:rsidR="00CF79C2" w:rsidRPr="00C70B9E" w:rsidRDefault="00CF79C2" w:rsidP="00DB0C46">
      <w:pPr>
        <w:pStyle w:val="NormalIndent"/>
        <w:numPr>
          <w:ilvl w:val="0"/>
          <w:numId w:val="15"/>
        </w:numPr>
        <w:spacing w:before="90" w:after="90"/>
        <w:ind w:left="966" w:hanging="322"/>
        <w:rPr>
          <w:sz w:val="21"/>
          <w:szCs w:val="21"/>
        </w:rPr>
      </w:pPr>
      <w:r w:rsidRPr="00C70B9E">
        <w:rPr>
          <w:sz w:val="21"/>
          <w:szCs w:val="21"/>
        </w:rPr>
        <w:t>the geographic location of the retail premises, and</w:t>
      </w:r>
    </w:p>
    <w:p w14:paraId="01C2C2D7" w14:textId="77777777" w:rsidR="00CF79C2" w:rsidRPr="00C70B9E" w:rsidRDefault="00CF79C2" w:rsidP="00DB0C46">
      <w:pPr>
        <w:pStyle w:val="NormalIndent"/>
        <w:numPr>
          <w:ilvl w:val="0"/>
          <w:numId w:val="15"/>
        </w:numPr>
        <w:spacing w:before="90" w:after="90"/>
        <w:ind w:left="992" w:hanging="357"/>
        <w:rPr>
          <w:sz w:val="21"/>
          <w:szCs w:val="21"/>
        </w:rPr>
      </w:pPr>
      <w:r w:rsidRPr="00C70B9E">
        <w:rPr>
          <w:sz w:val="21"/>
          <w:szCs w:val="21"/>
        </w:rPr>
        <w:t>the population in relation to which the retailer carries out their business, and</w:t>
      </w:r>
    </w:p>
    <w:p w14:paraId="27B95087" w14:textId="77777777" w:rsidR="00CF79C2" w:rsidRPr="00C70B9E" w:rsidRDefault="00CF79C2" w:rsidP="00DB0C46">
      <w:pPr>
        <w:pStyle w:val="NormalIndent"/>
        <w:numPr>
          <w:ilvl w:val="0"/>
          <w:numId w:val="15"/>
        </w:numPr>
        <w:spacing w:before="90" w:after="90"/>
        <w:ind w:left="992" w:hanging="357"/>
        <w:rPr>
          <w:sz w:val="21"/>
          <w:szCs w:val="21"/>
        </w:rPr>
      </w:pPr>
      <w:r w:rsidRPr="00C70B9E">
        <w:rPr>
          <w:sz w:val="21"/>
          <w:szCs w:val="21"/>
        </w:rPr>
        <w:t>any prescribed criteria.</w:t>
      </w:r>
    </w:p>
    <w:p w14:paraId="0E452B98" w14:textId="7DCAE0BA" w:rsidR="00CF79C2" w:rsidRPr="00140DE2" w:rsidRDefault="00CF79C2" w:rsidP="00140DE2">
      <w:pPr>
        <w:pStyle w:val="Heading3"/>
      </w:pPr>
      <w:bookmarkStart w:id="36" w:name="_Toc50468926"/>
      <w:bookmarkStart w:id="37" w:name="_Toc50469043"/>
      <w:bookmarkStart w:id="38" w:name="_Toc50549946"/>
      <w:bookmarkStart w:id="39" w:name="_Toc58869332"/>
      <w:r w:rsidRPr="00140DE2">
        <w:t>Proposal</w:t>
      </w:r>
      <w:bookmarkEnd w:id="36"/>
      <w:bookmarkEnd w:id="37"/>
      <w:bookmarkEnd w:id="38"/>
      <w:bookmarkEnd w:id="39"/>
    </w:p>
    <w:p w14:paraId="0EA60ED5" w14:textId="5D7FA1A7" w:rsidR="00CF79C2" w:rsidRDefault="00CF79C2" w:rsidP="00CF79C2">
      <w:r w:rsidRPr="005A2DA7">
        <w:t>The lower threshold of 60 percent may be appropriate in rural locations where smokers may have difficulty accessing the range of goods and services</w:t>
      </w:r>
      <w:r>
        <w:t xml:space="preserve"> that</w:t>
      </w:r>
      <w:r w:rsidRPr="005A2DA7">
        <w:t xml:space="preserve"> an approved specialist vape retailer</w:t>
      </w:r>
      <w:r w:rsidRPr="00D76DDB">
        <w:t xml:space="preserve"> </w:t>
      </w:r>
      <w:r>
        <w:t>can</w:t>
      </w:r>
      <w:r w:rsidRPr="005A2DA7">
        <w:t xml:space="preserve"> </w:t>
      </w:r>
      <w:r>
        <w:t>provide</w:t>
      </w:r>
      <w:r w:rsidRPr="005A2DA7">
        <w:t xml:space="preserve">. </w:t>
      </w:r>
      <w:r>
        <w:t>G</w:t>
      </w:r>
      <w:r w:rsidRPr="005A2DA7">
        <w:t>uidance for applicants</w:t>
      </w:r>
      <w:r>
        <w:t xml:space="preserve"> could set this out. </w:t>
      </w:r>
    </w:p>
    <w:p w14:paraId="04697E68" w14:textId="77777777" w:rsidR="00CF79C2" w:rsidRPr="005A2DA7" w:rsidRDefault="00CF79C2" w:rsidP="00CF79C2"/>
    <w:p w14:paraId="1393C617" w14:textId="77777777" w:rsidR="00CF79C2" w:rsidRDefault="00CF79C2" w:rsidP="00CF79C2">
      <w:r w:rsidRPr="005A2DA7">
        <w:t xml:space="preserve">We do not propose to make regulations at this stage, but </w:t>
      </w:r>
      <w:r>
        <w:t>we</w:t>
      </w:r>
      <w:r w:rsidRPr="005A2DA7">
        <w:t xml:space="preserve"> will ke</w:t>
      </w:r>
      <w:r>
        <w:t>ep this matter</w:t>
      </w:r>
      <w:r w:rsidRPr="005A2DA7">
        <w:t xml:space="preserve"> under review. </w:t>
      </w:r>
    </w:p>
    <w:p w14:paraId="37456CA3" w14:textId="77777777" w:rsidR="00CF79C2" w:rsidRDefault="00CF79C2" w:rsidP="00CF79C2">
      <w:pPr>
        <w:pStyle w:val="Heading3"/>
        <w:pBdr>
          <w:top w:val="single" w:sz="4" w:space="1" w:color="auto"/>
          <w:left w:val="single" w:sz="4" w:space="4" w:color="auto"/>
          <w:bottom w:val="single" w:sz="4" w:space="1" w:color="auto"/>
          <w:right w:val="single" w:sz="4" w:space="4" w:color="auto"/>
        </w:pBdr>
      </w:pPr>
      <w:bookmarkStart w:id="40" w:name="_Toc58869333"/>
      <w:bookmarkStart w:id="41" w:name="_Toc54863550"/>
      <w:r>
        <w:lastRenderedPageBreak/>
        <w:t>Consultation questions</w:t>
      </w:r>
      <w:bookmarkEnd w:id="40"/>
    </w:p>
    <w:p w14:paraId="7D657D35" w14:textId="77777777" w:rsidR="00CF79C2" w:rsidRPr="00C70B9E" w:rsidRDefault="00CF79C2"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agree that being in a rural location should be a factor in determining whether to approve an application to be a specialist vape retailer with the lower threshold of 60 percent of sales from vaping products?</w:t>
      </w:r>
    </w:p>
    <w:p w14:paraId="39814BD9" w14:textId="77777777" w:rsidR="00CF79C2" w:rsidRPr="00C70B9E" w:rsidRDefault="00CF79C2"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Are there any other criteria that should be considered when determining whether to approve an application to be a specialist vape retailer with the lower threshold of 60 percent of sales from vaping products?</w:t>
      </w:r>
    </w:p>
    <w:p w14:paraId="30478565" w14:textId="77777777" w:rsidR="00CF79C2" w:rsidRPr="00C70B9E" w:rsidRDefault="00CF79C2"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agree that regulations are not necessary at this stage? If not, what do you propose should be put in regulations?</w:t>
      </w:r>
    </w:p>
    <w:p w14:paraId="2FA884F7" w14:textId="6F01C1C2" w:rsidR="00CF79C2" w:rsidRDefault="00CF79C2" w:rsidP="00CF79C2"/>
    <w:bookmarkEnd w:id="41"/>
    <w:p w14:paraId="232BA891" w14:textId="77777777" w:rsidR="00CF79C2" w:rsidRDefault="00CF79C2" w:rsidP="00F56F20">
      <w:pPr>
        <w:sectPr w:rsidR="00CF79C2" w:rsidSect="00794CDD">
          <w:pgSz w:w="11907" w:h="16834" w:code="9"/>
          <w:pgMar w:top="1418" w:right="1701" w:bottom="1134" w:left="1843" w:header="284" w:footer="567" w:gutter="0"/>
          <w:cols w:space="720"/>
          <w:docGrid w:linePitch="286"/>
        </w:sectPr>
      </w:pPr>
    </w:p>
    <w:p w14:paraId="09604EDD" w14:textId="77777777" w:rsidR="00CF79C2" w:rsidRDefault="00CF79C2" w:rsidP="00CF79C2">
      <w:pPr>
        <w:pStyle w:val="Heading1"/>
      </w:pPr>
      <w:bookmarkStart w:id="42" w:name="_bookmark70"/>
      <w:bookmarkStart w:id="43" w:name="_Toc56000576"/>
      <w:bookmarkStart w:id="44" w:name="_Toc58869334"/>
      <w:bookmarkEnd w:id="42"/>
      <w:r>
        <w:lastRenderedPageBreak/>
        <w:t>Regulatory proposal 3: Promotion, information and advice</w:t>
      </w:r>
      <w:bookmarkEnd w:id="43"/>
      <w:bookmarkEnd w:id="44"/>
    </w:p>
    <w:p w14:paraId="3FE3C088" w14:textId="77777777" w:rsidR="00CF79C2" w:rsidRPr="00C70B9E" w:rsidRDefault="00CF79C2" w:rsidP="00CF79C2">
      <w:pPr>
        <w:rPr>
          <w:szCs w:val="21"/>
        </w:rPr>
      </w:pPr>
      <w:r w:rsidRPr="00C70B9E">
        <w:rPr>
          <w:szCs w:val="21"/>
        </w:rPr>
        <w:t xml:space="preserve">The Act prohibits the publication of a regulated product advertisement. </w:t>
      </w:r>
      <w:proofErr w:type="spellStart"/>
      <w:r w:rsidRPr="00C70B9E">
        <w:rPr>
          <w:szCs w:val="21"/>
        </w:rPr>
        <w:t>Its</w:t>
      </w:r>
      <w:proofErr w:type="spellEnd"/>
      <w:r w:rsidRPr="00C70B9E">
        <w:rPr>
          <w:szCs w:val="21"/>
        </w:rPr>
        <w:t xml:space="preserve"> very broad definition of ‘regulated product advertisement and advertising’ is that it: </w:t>
      </w:r>
    </w:p>
    <w:p w14:paraId="1F5DF79D" w14:textId="77777777" w:rsidR="00CF79C2" w:rsidRPr="00C70B9E" w:rsidRDefault="00CF79C2" w:rsidP="00DB0C46">
      <w:pPr>
        <w:pStyle w:val="NormalIndent"/>
        <w:spacing w:before="90" w:after="90"/>
        <w:ind w:left="1077" w:hanging="357"/>
        <w:rPr>
          <w:sz w:val="21"/>
          <w:szCs w:val="21"/>
        </w:rPr>
      </w:pPr>
      <w:r w:rsidRPr="00C70B9E">
        <w:rPr>
          <w:sz w:val="21"/>
          <w:szCs w:val="21"/>
        </w:rPr>
        <w:t xml:space="preserve">(a) </w:t>
      </w:r>
      <w:r w:rsidRPr="00C70B9E">
        <w:rPr>
          <w:sz w:val="21"/>
          <w:szCs w:val="21"/>
        </w:rPr>
        <w:tab/>
        <w:t>means any words, whether written, printed, or spoken (including on film, video recording, or other medium, or broadcast or telecast), and any pictorial representation, design, or device, used to:</w:t>
      </w:r>
    </w:p>
    <w:p w14:paraId="72F107DE" w14:textId="77777777" w:rsidR="00CF79C2" w:rsidRPr="00C70B9E" w:rsidRDefault="00CF79C2" w:rsidP="00DB0C46">
      <w:pPr>
        <w:pStyle w:val="NormalIndent2"/>
        <w:spacing w:before="90" w:after="90"/>
        <w:rPr>
          <w:sz w:val="21"/>
          <w:szCs w:val="21"/>
        </w:rPr>
      </w:pPr>
      <w:r w:rsidRPr="00C70B9E">
        <w:rPr>
          <w:sz w:val="21"/>
          <w:szCs w:val="21"/>
        </w:rPr>
        <w:t>(</w:t>
      </w:r>
      <w:proofErr w:type="spellStart"/>
      <w:r w:rsidRPr="00C70B9E">
        <w:rPr>
          <w:sz w:val="21"/>
          <w:szCs w:val="21"/>
        </w:rPr>
        <w:t>i</w:t>
      </w:r>
      <w:proofErr w:type="spellEnd"/>
      <w:r w:rsidRPr="00C70B9E">
        <w:rPr>
          <w:sz w:val="21"/>
          <w:szCs w:val="21"/>
        </w:rPr>
        <w:t>)</w:t>
      </w:r>
      <w:r w:rsidRPr="00C70B9E">
        <w:rPr>
          <w:sz w:val="21"/>
          <w:szCs w:val="21"/>
        </w:rPr>
        <w:tab/>
        <w:t>encourage the use of a regulated product; or</w:t>
      </w:r>
    </w:p>
    <w:p w14:paraId="23C7B494" w14:textId="77777777" w:rsidR="00CF79C2" w:rsidRPr="00C70B9E" w:rsidRDefault="00CF79C2" w:rsidP="00DB0C46">
      <w:pPr>
        <w:pStyle w:val="NormalIndent2"/>
        <w:spacing w:before="90" w:after="90"/>
        <w:rPr>
          <w:sz w:val="21"/>
          <w:szCs w:val="21"/>
        </w:rPr>
      </w:pPr>
      <w:r w:rsidRPr="00C70B9E">
        <w:rPr>
          <w:sz w:val="21"/>
          <w:szCs w:val="21"/>
        </w:rPr>
        <w:t>(ii)</w:t>
      </w:r>
      <w:r w:rsidRPr="00C70B9E">
        <w:rPr>
          <w:sz w:val="21"/>
          <w:szCs w:val="21"/>
        </w:rPr>
        <w:tab/>
        <w:t>notify the availability of a regulated product; or</w:t>
      </w:r>
    </w:p>
    <w:p w14:paraId="3F675F04" w14:textId="77777777" w:rsidR="00CF79C2" w:rsidRPr="00C70B9E" w:rsidRDefault="00CF79C2" w:rsidP="00DB0C46">
      <w:pPr>
        <w:pStyle w:val="NormalIndent2"/>
        <w:spacing w:before="90" w:after="90"/>
        <w:rPr>
          <w:sz w:val="21"/>
          <w:szCs w:val="21"/>
        </w:rPr>
      </w:pPr>
      <w:r w:rsidRPr="00C70B9E">
        <w:rPr>
          <w:sz w:val="21"/>
          <w:szCs w:val="21"/>
        </w:rPr>
        <w:t>(iii)</w:t>
      </w:r>
      <w:r w:rsidRPr="00C70B9E">
        <w:rPr>
          <w:sz w:val="21"/>
          <w:szCs w:val="21"/>
        </w:rPr>
        <w:tab/>
        <w:t>promote the sale of a regulated product; or</w:t>
      </w:r>
    </w:p>
    <w:p w14:paraId="7BB500B4" w14:textId="77777777" w:rsidR="00CF79C2" w:rsidRPr="00C70B9E" w:rsidRDefault="00CF79C2" w:rsidP="00DB0C46">
      <w:pPr>
        <w:pStyle w:val="NormalIndent2"/>
        <w:spacing w:before="90" w:after="90"/>
        <w:rPr>
          <w:sz w:val="21"/>
          <w:szCs w:val="21"/>
        </w:rPr>
      </w:pPr>
      <w:r w:rsidRPr="00C70B9E">
        <w:rPr>
          <w:sz w:val="21"/>
          <w:szCs w:val="21"/>
        </w:rPr>
        <w:t>(iv)</w:t>
      </w:r>
      <w:r w:rsidRPr="00C70B9E">
        <w:rPr>
          <w:sz w:val="21"/>
          <w:szCs w:val="21"/>
        </w:rPr>
        <w:tab/>
        <w:t>promote smoking or vaping behaviour; and</w:t>
      </w:r>
    </w:p>
    <w:p w14:paraId="69E8FAF0" w14:textId="77777777" w:rsidR="00CF79C2" w:rsidRPr="00C70B9E" w:rsidRDefault="00CF79C2" w:rsidP="00DB0C46">
      <w:pPr>
        <w:pStyle w:val="NormalIndent"/>
        <w:spacing w:before="90" w:after="90"/>
        <w:ind w:left="1077" w:hanging="357"/>
        <w:rPr>
          <w:sz w:val="21"/>
          <w:szCs w:val="21"/>
        </w:rPr>
      </w:pPr>
      <w:r w:rsidRPr="00C70B9E">
        <w:rPr>
          <w:sz w:val="21"/>
          <w:szCs w:val="21"/>
        </w:rPr>
        <w:t xml:space="preserve">(b) </w:t>
      </w:r>
      <w:r w:rsidRPr="00C70B9E">
        <w:rPr>
          <w:sz w:val="21"/>
          <w:szCs w:val="21"/>
        </w:rPr>
        <w:tab/>
        <w:t>includes:</w:t>
      </w:r>
    </w:p>
    <w:p w14:paraId="29EFCBA4" w14:textId="77777777" w:rsidR="00CF79C2" w:rsidRPr="00C70B9E" w:rsidRDefault="00CF79C2" w:rsidP="00DB0C46">
      <w:pPr>
        <w:pStyle w:val="NormalIndent2"/>
        <w:spacing w:before="90" w:after="90"/>
        <w:ind w:left="1434" w:hanging="357"/>
        <w:rPr>
          <w:sz w:val="21"/>
          <w:szCs w:val="21"/>
        </w:rPr>
      </w:pPr>
      <w:r w:rsidRPr="00C70B9E">
        <w:rPr>
          <w:sz w:val="21"/>
          <w:szCs w:val="21"/>
        </w:rPr>
        <w:t>(</w:t>
      </w:r>
      <w:proofErr w:type="spellStart"/>
      <w:r w:rsidRPr="00C70B9E">
        <w:rPr>
          <w:sz w:val="21"/>
          <w:szCs w:val="21"/>
        </w:rPr>
        <w:t>i</w:t>
      </w:r>
      <w:proofErr w:type="spellEnd"/>
      <w:r w:rsidRPr="00C70B9E">
        <w:rPr>
          <w:sz w:val="21"/>
          <w:szCs w:val="21"/>
        </w:rPr>
        <w:t>)</w:t>
      </w:r>
      <w:r w:rsidRPr="00C70B9E">
        <w:rPr>
          <w:sz w:val="21"/>
          <w:szCs w:val="21"/>
        </w:rPr>
        <w:tab/>
        <w:t>any trade circular, any label, and any advertisement in any trade journal; and</w:t>
      </w:r>
    </w:p>
    <w:p w14:paraId="6F640F1E" w14:textId="77777777" w:rsidR="00CF79C2" w:rsidRPr="00C70B9E" w:rsidRDefault="00CF79C2" w:rsidP="00DB0C46">
      <w:pPr>
        <w:pStyle w:val="NormalIndent2"/>
        <w:spacing w:before="90" w:after="90"/>
        <w:ind w:left="1434" w:hanging="357"/>
        <w:rPr>
          <w:sz w:val="21"/>
          <w:szCs w:val="21"/>
        </w:rPr>
      </w:pPr>
      <w:r w:rsidRPr="00C70B9E">
        <w:rPr>
          <w:sz w:val="21"/>
          <w:szCs w:val="21"/>
        </w:rPr>
        <w:t>(ii)</w:t>
      </w:r>
      <w:r w:rsidRPr="00C70B9E">
        <w:rPr>
          <w:sz w:val="21"/>
          <w:szCs w:val="21"/>
        </w:rPr>
        <w:tab/>
        <w:t>any depiction of a regulated product or a regulated product trade mark in a film, video recording, telecast, or other visual medium where in return for that depiction any money is paid, or any valuable thing is given, to any person; and</w:t>
      </w:r>
    </w:p>
    <w:p w14:paraId="6CA4E91B" w14:textId="77777777" w:rsidR="00CF79C2" w:rsidRPr="00C70B9E" w:rsidRDefault="00CF79C2" w:rsidP="00DB0C46">
      <w:pPr>
        <w:pStyle w:val="NormalIndent2"/>
        <w:spacing w:before="90" w:after="90"/>
        <w:ind w:left="1434" w:hanging="357"/>
        <w:rPr>
          <w:sz w:val="21"/>
          <w:szCs w:val="21"/>
        </w:rPr>
      </w:pPr>
      <w:r w:rsidRPr="00C70B9E">
        <w:rPr>
          <w:sz w:val="21"/>
          <w:szCs w:val="21"/>
        </w:rPr>
        <w:t>(iii)</w:t>
      </w:r>
      <w:r w:rsidRPr="00C70B9E">
        <w:rPr>
          <w:sz w:val="21"/>
          <w:szCs w:val="21"/>
        </w:rPr>
        <w:tab/>
        <w:t>the use of the company name of a regulated product manufacturer in any advertisement or promotion to the public where the company name or any part of it is used as, or is included in, a regulated product trade mark.</w:t>
      </w:r>
    </w:p>
    <w:p w14:paraId="24ED3E57" w14:textId="77777777" w:rsidR="00CF79C2" w:rsidRPr="00C70B9E" w:rsidRDefault="00CF79C2" w:rsidP="00CF79C2">
      <w:pPr>
        <w:pStyle w:val="References"/>
        <w:rPr>
          <w:rFonts w:cs="Segoe UI"/>
          <w:szCs w:val="21"/>
        </w:rPr>
      </w:pPr>
      <w:r w:rsidRPr="00C70B9E">
        <w:rPr>
          <w:rFonts w:cs="Segoe UI"/>
          <w:szCs w:val="21"/>
        </w:rPr>
        <w:t>Section 24 of the Act also sets out exemptions to this prohibition. We outline regulatory proposals for these provisions in sections 3.1 to 3.4 below.</w:t>
      </w:r>
    </w:p>
    <w:p w14:paraId="71363CCA" w14:textId="77777777" w:rsidR="007D1623" w:rsidRPr="007D1623" w:rsidRDefault="007D1623" w:rsidP="007D1623">
      <w:pPr>
        <w:pStyle w:val="Heading2"/>
      </w:pPr>
      <w:bookmarkStart w:id="45" w:name="_Toc56000577"/>
      <w:bookmarkStart w:id="46" w:name="_Toc58869335"/>
      <w:r w:rsidRPr="007D1623">
        <w:t>3.1 Display of vaping products in retail settings</w:t>
      </w:r>
      <w:bookmarkEnd w:id="45"/>
      <w:bookmarkEnd w:id="46"/>
    </w:p>
    <w:p w14:paraId="48C71448" w14:textId="77777777" w:rsidR="007D1623" w:rsidRPr="00256F52" w:rsidRDefault="007D1623" w:rsidP="007D1623">
      <w:pPr>
        <w:pStyle w:val="Heading3"/>
      </w:pPr>
      <w:bookmarkStart w:id="47" w:name="_Toc50468929"/>
      <w:bookmarkStart w:id="48" w:name="_Toc50469046"/>
      <w:bookmarkStart w:id="49" w:name="_Toc50549949"/>
      <w:bookmarkStart w:id="50" w:name="_Toc58869336"/>
      <w:r>
        <w:t>Description</w:t>
      </w:r>
      <w:bookmarkEnd w:id="47"/>
      <w:bookmarkEnd w:id="48"/>
      <w:bookmarkEnd w:id="49"/>
      <w:bookmarkEnd w:id="50"/>
    </w:p>
    <w:p w14:paraId="1861F496" w14:textId="4FFD5A04" w:rsidR="007D1623" w:rsidRDefault="007D1623" w:rsidP="007D1623">
      <w:r w:rsidRPr="001646A7">
        <w:t xml:space="preserve">The Act </w:t>
      </w:r>
      <w:r>
        <w:t xml:space="preserve">allows </w:t>
      </w:r>
      <w:r w:rsidRPr="001646A7">
        <w:t xml:space="preserve">the display of vaping products within any retail premises or any </w:t>
      </w:r>
      <w:r>
        <w:t>web</w:t>
      </w:r>
      <w:r w:rsidRPr="001646A7">
        <w:t>site, in accordance with any regulations that may be in force</w:t>
      </w:r>
      <w:r>
        <w:t xml:space="preserve"> </w:t>
      </w:r>
      <w:r w:rsidRPr="001646A7">
        <w:t>(section 24(1)(g)(</w:t>
      </w:r>
      <w:proofErr w:type="spellStart"/>
      <w:r w:rsidRPr="001646A7">
        <w:t>i</w:t>
      </w:r>
      <w:proofErr w:type="spellEnd"/>
      <w:r w:rsidRPr="001646A7">
        <w:t xml:space="preserve">)). </w:t>
      </w:r>
    </w:p>
    <w:p w14:paraId="457329CA" w14:textId="77777777" w:rsidR="007D1623" w:rsidRDefault="007D1623" w:rsidP="007D1623"/>
    <w:p w14:paraId="00F0DD96" w14:textId="77777777" w:rsidR="007D1623" w:rsidRPr="001646A7" w:rsidRDefault="007D1623" w:rsidP="007D1623">
      <w:r w:rsidRPr="001646A7">
        <w:lastRenderedPageBreak/>
        <w:t xml:space="preserve">In submissions to the Health Committee, some individuals and organisations raised concerns about the public visibility of vaping products. Some of these submitters made </w:t>
      </w:r>
      <w:r>
        <w:t xml:space="preserve">the following </w:t>
      </w:r>
      <w:r w:rsidRPr="001646A7">
        <w:t xml:space="preserve">suggestions </w:t>
      </w:r>
      <w:r>
        <w:t>that</w:t>
      </w:r>
      <w:r w:rsidRPr="001646A7">
        <w:t xml:space="preserve"> could be incorporated into regulations</w:t>
      </w:r>
      <w:r>
        <w:t>.</w:t>
      </w:r>
    </w:p>
    <w:p w14:paraId="337174B9" w14:textId="77777777" w:rsidR="007D1623" w:rsidRPr="00E04066" w:rsidRDefault="007D1623" w:rsidP="007D1623">
      <w:pPr>
        <w:pStyle w:val="Bullet"/>
      </w:pPr>
      <w:r>
        <w:t xml:space="preserve">Do not allow </w:t>
      </w:r>
      <w:r w:rsidRPr="00E04066">
        <w:t xml:space="preserve">vaping products </w:t>
      </w:r>
      <w:r>
        <w:t xml:space="preserve">to </w:t>
      </w:r>
      <w:r w:rsidRPr="00E04066">
        <w:t>be visible from outside any retail premise</w:t>
      </w:r>
      <w:r>
        <w:t>,</w:t>
      </w:r>
      <w:r w:rsidRPr="00E04066">
        <w:t xml:space="preserve"> </w:t>
      </w:r>
      <w:r>
        <w:t>as a way of</w:t>
      </w:r>
      <w:r w:rsidRPr="00E04066">
        <w:t xml:space="preserve"> protect</w:t>
      </w:r>
      <w:r>
        <w:t>ing</w:t>
      </w:r>
      <w:r w:rsidRPr="00E04066">
        <w:t xml:space="preserve"> children and young people from being attracted to the</w:t>
      </w:r>
      <w:r>
        <w:t>m.</w:t>
      </w:r>
    </w:p>
    <w:p w14:paraId="22979DA6" w14:textId="77777777" w:rsidR="007D1623" w:rsidRPr="00E04066" w:rsidRDefault="007D1623" w:rsidP="007D1623">
      <w:pPr>
        <w:pStyle w:val="Bullet"/>
      </w:pPr>
      <w:r>
        <w:t xml:space="preserve">Prohibit </w:t>
      </w:r>
      <w:r w:rsidRPr="00E04066">
        <w:t>window display</w:t>
      </w:r>
      <w:r>
        <w:t>s of vaping products,</w:t>
      </w:r>
      <w:r w:rsidRPr="00E04066">
        <w:t xml:space="preserve"> </w:t>
      </w:r>
      <w:r>
        <w:t>as a way of</w:t>
      </w:r>
      <w:r w:rsidRPr="00E04066">
        <w:t xml:space="preserve"> protect</w:t>
      </w:r>
      <w:r>
        <w:t>ing</w:t>
      </w:r>
      <w:r w:rsidRPr="00E04066">
        <w:t xml:space="preserve"> children and young people from being attracted to the</w:t>
      </w:r>
      <w:r>
        <w:t>m.</w:t>
      </w:r>
    </w:p>
    <w:p w14:paraId="2D87B060" w14:textId="77777777" w:rsidR="007D1623" w:rsidRDefault="007D1623" w:rsidP="007D1623">
      <w:pPr>
        <w:pStyle w:val="Bullet"/>
      </w:pPr>
      <w:r>
        <w:t xml:space="preserve">Put </w:t>
      </w:r>
      <w:r w:rsidRPr="00E04066">
        <w:t>constraints on how vaping products may be displayed within retail stores (other than</w:t>
      </w:r>
      <w:r w:rsidRPr="001646A7">
        <w:t xml:space="preserve"> approved specialist vape premises)</w:t>
      </w:r>
      <w:r>
        <w:t>.</w:t>
      </w:r>
      <w:r w:rsidRPr="001646A7">
        <w:t xml:space="preserve"> </w:t>
      </w:r>
      <w:r>
        <w:t>F</w:t>
      </w:r>
      <w:r w:rsidRPr="001646A7">
        <w:t xml:space="preserve">or example, prohibit them from being placed next to confectionery or limit large colourful displays </w:t>
      </w:r>
      <w:r>
        <w:t>that</w:t>
      </w:r>
      <w:r w:rsidRPr="001646A7">
        <w:t xml:space="preserve"> may be attractive to children and young people.</w:t>
      </w:r>
    </w:p>
    <w:p w14:paraId="49862482" w14:textId="77777777" w:rsidR="007D1623" w:rsidRPr="00256F52" w:rsidRDefault="007D1623" w:rsidP="007D1623">
      <w:pPr>
        <w:pStyle w:val="Heading3"/>
      </w:pPr>
      <w:bookmarkStart w:id="51" w:name="_Toc50468930"/>
      <w:bookmarkStart w:id="52" w:name="_Toc50469047"/>
      <w:bookmarkStart w:id="53" w:name="_Toc50549950"/>
      <w:bookmarkStart w:id="54" w:name="_Toc58869337"/>
      <w:r>
        <w:t>Proposal</w:t>
      </w:r>
      <w:bookmarkEnd w:id="51"/>
      <w:bookmarkEnd w:id="52"/>
      <w:bookmarkEnd w:id="53"/>
      <w:bookmarkEnd w:id="54"/>
    </w:p>
    <w:p w14:paraId="3A337850" w14:textId="6E16F828" w:rsidR="007D1623" w:rsidRDefault="007D1623" w:rsidP="007D1623">
      <w:bookmarkStart w:id="55" w:name="_Toc50468931"/>
      <w:bookmarkStart w:id="56" w:name="_Toc50469048"/>
      <w:bookmarkStart w:id="57" w:name="_Toc50549951"/>
      <w:r w:rsidRPr="00344CA9">
        <w:t xml:space="preserve">The Ministry of Health </w:t>
      </w:r>
      <w:r w:rsidRPr="00000629">
        <w:t>consider</w:t>
      </w:r>
      <w:r>
        <w:t>s that</w:t>
      </w:r>
      <w:r w:rsidRPr="00000629">
        <w:t xml:space="preserve"> existing displays of vaping products within retail premises or on websites (which are now required to be R18) </w:t>
      </w:r>
      <w:r>
        <w:t>are not</w:t>
      </w:r>
      <w:r w:rsidRPr="00000629">
        <w:t xml:space="preserve"> problematic</w:t>
      </w:r>
      <w:r>
        <w:t>. In forming this view, we</w:t>
      </w:r>
      <w:r w:rsidRPr="00000629">
        <w:t xml:space="preserve"> </w:t>
      </w:r>
      <w:r>
        <w:t xml:space="preserve">have </w:t>
      </w:r>
      <w:r w:rsidRPr="00000629">
        <w:t>tak</w:t>
      </w:r>
      <w:r>
        <w:t>en</w:t>
      </w:r>
      <w:r w:rsidRPr="00000629">
        <w:t xml:space="preserve"> account of the need to balance protections for children and young people with policies to make it easier for smokers to switch to a less harmful alternative.</w:t>
      </w:r>
      <w:bookmarkEnd w:id="55"/>
      <w:bookmarkEnd w:id="56"/>
      <w:bookmarkEnd w:id="57"/>
      <w:r w:rsidRPr="00000629">
        <w:t xml:space="preserve"> </w:t>
      </w:r>
    </w:p>
    <w:p w14:paraId="023B0534" w14:textId="77777777" w:rsidR="007D1623" w:rsidRPr="00000629" w:rsidRDefault="007D1623" w:rsidP="007D1623"/>
    <w:p w14:paraId="639B7891" w14:textId="77777777" w:rsidR="007D1623" w:rsidRPr="00000629" w:rsidRDefault="007D1623" w:rsidP="007D1623">
      <w:bookmarkStart w:id="58" w:name="_Toc50468932"/>
      <w:bookmarkStart w:id="59" w:name="_Toc50469049"/>
      <w:bookmarkStart w:id="60" w:name="_Toc50549952"/>
      <w:r w:rsidRPr="00000629">
        <w:t xml:space="preserve">We do not, at this stage, propose to make regulations to control the display of vaping products. </w:t>
      </w:r>
      <w:r>
        <w:t>We</w:t>
      </w:r>
      <w:r w:rsidRPr="00000629">
        <w:t xml:space="preserve"> will ke</w:t>
      </w:r>
      <w:r>
        <w:t>e</w:t>
      </w:r>
      <w:r w:rsidRPr="00000629">
        <w:t>p</w:t>
      </w:r>
      <w:r>
        <w:t xml:space="preserve"> this matter</w:t>
      </w:r>
      <w:r w:rsidRPr="00000629">
        <w:t xml:space="preserve"> under review.</w:t>
      </w:r>
      <w:bookmarkEnd w:id="58"/>
      <w:bookmarkEnd w:id="59"/>
      <w:bookmarkEnd w:id="60"/>
    </w:p>
    <w:p w14:paraId="5E6D34E8" w14:textId="77777777" w:rsidR="007D1623" w:rsidRPr="00526576" w:rsidRDefault="007D1623" w:rsidP="007D1623">
      <w:pPr>
        <w:pStyle w:val="Heading3"/>
        <w:pBdr>
          <w:top w:val="single" w:sz="4" w:space="1" w:color="auto"/>
          <w:left w:val="single" w:sz="4" w:space="4" w:color="auto"/>
          <w:bottom w:val="single" w:sz="4" w:space="1" w:color="auto"/>
          <w:right w:val="single" w:sz="4" w:space="4" w:color="auto"/>
        </w:pBdr>
      </w:pPr>
      <w:bookmarkStart w:id="61" w:name="_Toc58869338"/>
      <w:r w:rsidRPr="00526576">
        <w:t>Consultation question</w:t>
      </w:r>
      <w:bookmarkEnd w:id="61"/>
    </w:p>
    <w:p w14:paraId="1E938725" w14:textId="77777777" w:rsidR="007D1623" w:rsidRPr="00C70B9E" w:rsidRDefault="007D1623" w:rsidP="00555AB0">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agree that the display of vaping products should not be regulated at this stage? If you do not agree, what controls do you think should be put in place and why?</w:t>
      </w:r>
    </w:p>
    <w:p w14:paraId="1CB44845" w14:textId="4DA253A0" w:rsidR="007D1623" w:rsidRDefault="007D1623" w:rsidP="007D1623"/>
    <w:p w14:paraId="3B4E6367" w14:textId="3C7D554A" w:rsidR="007D1623" w:rsidRDefault="007D1623" w:rsidP="00CF79C2">
      <w:pPr>
        <w:pStyle w:val="References"/>
        <w:rPr>
          <w:noProof/>
        </w:rPr>
        <w:sectPr w:rsidR="007D1623" w:rsidSect="00794CDD">
          <w:pgSz w:w="11907" w:h="16834" w:code="9"/>
          <w:pgMar w:top="1418" w:right="1701" w:bottom="1134" w:left="1843" w:header="284" w:footer="567" w:gutter="0"/>
          <w:cols w:space="720"/>
          <w:docGrid w:linePitch="286"/>
        </w:sectPr>
      </w:pPr>
    </w:p>
    <w:p w14:paraId="2CF4DAB3" w14:textId="77777777" w:rsidR="007D1623" w:rsidRDefault="007D1623" w:rsidP="00247883">
      <w:pPr>
        <w:pStyle w:val="Heading2"/>
        <w:spacing w:before="0"/>
      </w:pPr>
      <w:bookmarkStart w:id="62" w:name="_Toc56000578"/>
      <w:bookmarkStart w:id="63" w:name="_Toc58869339"/>
      <w:bookmarkStart w:id="64" w:name="_Toc54863558"/>
      <w:r>
        <w:lastRenderedPageBreak/>
        <w:t xml:space="preserve">3.2 Price lists given to retailers for </w:t>
      </w:r>
      <w:r w:rsidRPr="00F75EE6">
        <w:t>tobacco</w:t>
      </w:r>
      <w:r>
        <w:t xml:space="preserve"> only</w:t>
      </w:r>
      <w:bookmarkEnd w:id="62"/>
      <w:bookmarkEnd w:id="63"/>
    </w:p>
    <w:p w14:paraId="4876DF3E" w14:textId="77777777" w:rsidR="007D1623" w:rsidRPr="00256F52" w:rsidRDefault="007D1623" w:rsidP="007D1623">
      <w:pPr>
        <w:pStyle w:val="Heading3"/>
      </w:pPr>
      <w:bookmarkStart w:id="65" w:name="_Toc50468934"/>
      <w:bookmarkStart w:id="66" w:name="_Toc50469051"/>
      <w:bookmarkStart w:id="67" w:name="_Toc50549954"/>
      <w:bookmarkStart w:id="68" w:name="_Toc58869340"/>
      <w:r>
        <w:t>Description</w:t>
      </w:r>
      <w:bookmarkEnd w:id="65"/>
      <w:bookmarkEnd w:id="66"/>
      <w:bookmarkEnd w:id="67"/>
      <w:bookmarkEnd w:id="68"/>
    </w:p>
    <w:p w14:paraId="135F1BAD" w14:textId="77777777" w:rsidR="007D1623" w:rsidRPr="001646A7" w:rsidRDefault="007D1623" w:rsidP="007D1623">
      <w:r>
        <w:t>S</w:t>
      </w:r>
      <w:r w:rsidRPr="00DB567A">
        <w:t>ection 24(a)</w:t>
      </w:r>
      <w:r>
        <w:t xml:space="preserve"> of the Act allows m</w:t>
      </w:r>
      <w:r w:rsidRPr="001646A7">
        <w:t>anufacturers</w:t>
      </w:r>
      <w:r>
        <w:t xml:space="preserve"> to provide their</w:t>
      </w:r>
      <w:r w:rsidRPr="001646A7">
        <w:t xml:space="preserve"> price lists</w:t>
      </w:r>
      <w:r>
        <w:t xml:space="preserve"> to retailers </w:t>
      </w:r>
      <w:r w:rsidRPr="001646A7">
        <w:t>if the price list:</w:t>
      </w:r>
    </w:p>
    <w:p w14:paraId="42B580A2" w14:textId="77777777" w:rsidR="007D1623" w:rsidRDefault="007D1623" w:rsidP="00DB0C46">
      <w:pPr>
        <w:numPr>
          <w:ilvl w:val="0"/>
          <w:numId w:val="16"/>
        </w:numPr>
        <w:spacing w:before="90" w:after="90" w:line="259" w:lineRule="auto"/>
        <w:ind w:left="993" w:hanging="426"/>
      </w:pPr>
      <w:r w:rsidRPr="00E04066">
        <w:t xml:space="preserve">complies with regulations </w:t>
      </w:r>
    </w:p>
    <w:p w14:paraId="481496F3" w14:textId="77777777" w:rsidR="007D1623" w:rsidRPr="00DB567A" w:rsidRDefault="007D1623" w:rsidP="00DB0C46">
      <w:pPr>
        <w:numPr>
          <w:ilvl w:val="0"/>
          <w:numId w:val="16"/>
        </w:numPr>
        <w:spacing w:before="90" w:after="90" w:line="259" w:lineRule="auto"/>
        <w:ind w:left="993" w:hanging="426"/>
      </w:pPr>
      <w:r w:rsidRPr="00DB567A">
        <w:t xml:space="preserve">includes the health messages required by or under </w:t>
      </w:r>
      <w:r>
        <w:t>P</w:t>
      </w:r>
      <w:r w:rsidRPr="00DB567A">
        <w:t>art 3.</w:t>
      </w:r>
    </w:p>
    <w:p w14:paraId="58EFC8C9" w14:textId="77777777" w:rsidR="007D1623" w:rsidRDefault="007D1623" w:rsidP="007D1623"/>
    <w:p w14:paraId="01F69F10" w14:textId="77777777" w:rsidR="007D1623" w:rsidRDefault="007D1623" w:rsidP="007D1623">
      <w:r w:rsidRPr="001646A7">
        <w:t xml:space="preserve">This </w:t>
      </w:r>
      <w:r>
        <w:t xml:space="preserve">provision can apply </w:t>
      </w:r>
      <w:r w:rsidRPr="001646A7">
        <w:t>to all regulated products</w:t>
      </w:r>
      <w:r>
        <w:t>.</w:t>
      </w:r>
      <w:r w:rsidRPr="001646A7">
        <w:t xml:space="preserve"> </w:t>
      </w:r>
      <w:r>
        <w:t>Its purpose</w:t>
      </w:r>
      <w:r w:rsidRPr="001646A7">
        <w:t xml:space="preserve"> is to prevent price lists from being used for promotional purposes (</w:t>
      </w:r>
      <w:proofErr w:type="spellStart"/>
      <w:r w:rsidRPr="001646A7">
        <w:t>eg</w:t>
      </w:r>
      <w:proofErr w:type="spellEnd"/>
      <w:r w:rsidRPr="001646A7">
        <w:t>, to provide information to retailers on volume incentive schemes and product promotions).</w:t>
      </w:r>
    </w:p>
    <w:p w14:paraId="6D40ECB2" w14:textId="77777777" w:rsidR="007D1623" w:rsidRPr="00256F52" w:rsidRDefault="007D1623" w:rsidP="007D1623">
      <w:pPr>
        <w:pStyle w:val="Heading3"/>
      </w:pPr>
      <w:bookmarkStart w:id="69" w:name="_Toc50468935"/>
      <w:bookmarkStart w:id="70" w:name="_Toc50469052"/>
      <w:bookmarkStart w:id="71" w:name="_Toc50549955"/>
      <w:bookmarkStart w:id="72" w:name="_Toc58869341"/>
      <w:r>
        <w:t>Proposal</w:t>
      </w:r>
      <w:bookmarkEnd w:id="69"/>
      <w:bookmarkEnd w:id="70"/>
      <w:bookmarkEnd w:id="71"/>
      <w:bookmarkEnd w:id="72"/>
    </w:p>
    <w:p w14:paraId="6EC5583B" w14:textId="77777777" w:rsidR="007D1623" w:rsidRPr="001646A7" w:rsidRDefault="007D1623" w:rsidP="007D1623">
      <w:r w:rsidRPr="001646A7">
        <w:t xml:space="preserve">We propose </w:t>
      </w:r>
      <w:r>
        <w:t>making</w:t>
      </w:r>
      <w:r w:rsidRPr="001646A7">
        <w:t xml:space="preserve"> regulations restricting the information </w:t>
      </w:r>
      <w:r>
        <w:t>that</w:t>
      </w:r>
      <w:r w:rsidRPr="001646A7">
        <w:t xml:space="preserve"> a manufacturer’s price list for tobacco products </w:t>
      </w:r>
      <w:r>
        <w:t xml:space="preserve">can include </w:t>
      </w:r>
      <w:r w:rsidRPr="001646A7">
        <w:t>to the:</w:t>
      </w:r>
    </w:p>
    <w:p w14:paraId="23D6D209" w14:textId="77777777" w:rsidR="007D1623" w:rsidRDefault="007D1623" w:rsidP="007D1623">
      <w:pPr>
        <w:pStyle w:val="Bullet"/>
      </w:pPr>
      <w:r w:rsidRPr="001646A7">
        <w:t>brand name</w:t>
      </w:r>
    </w:p>
    <w:p w14:paraId="03446DD4" w14:textId="77777777" w:rsidR="007D1623" w:rsidRDefault="007D1623" w:rsidP="007D1623">
      <w:pPr>
        <w:pStyle w:val="Bullet"/>
      </w:pPr>
      <w:r w:rsidRPr="00E04066">
        <w:t>brand variant</w:t>
      </w:r>
    </w:p>
    <w:p w14:paraId="73360739" w14:textId="77777777" w:rsidR="007D1623" w:rsidRDefault="007D1623" w:rsidP="007D1623">
      <w:pPr>
        <w:pStyle w:val="Bullet"/>
      </w:pPr>
      <w:r w:rsidRPr="00E04066">
        <w:t>quantity</w:t>
      </w:r>
    </w:p>
    <w:p w14:paraId="7AC01229" w14:textId="77777777" w:rsidR="007D1623" w:rsidRDefault="007D1623" w:rsidP="007D1623">
      <w:pPr>
        <w:pStyle w:val="Bullet"/>
      </w:pPr>
      <w:r w:rsidRPr="00E04066">
        <w:t>price</w:t>
      </w:r>
    </w:p>
    <w:p w14:paraId="3585BAC9" w14:textId="67A8EAF6" w:rsidR="007D1623" w:rsidRDefault="007D1623" w:rsidP="007D1623">
      <w:pPr>
        <w:pStyle w:val="Bullet"/>
      </w:pPr>
      <w:r w:rsidRPr="00E04066">
        <w:t>required health warning (which must be displayed on a price list for any regulated product).</w:t>
      </w:r>
    </w:p>
    <w:p w14:paraId="564ADED2" w14:textId="77777777" w:rsidR="007D1623" w:rsidRPr="00E04066" w:rsidRDefault="007D1623" w:rsidP="007D1623"/>
    <w:p w14:paraId="665B8FA7" w14:textId="77777777" w:rsidR="007D1623" w:rsidRDefault="007D1623" w:rsidP="007D1623">
      <w:r w:rsidRPr="001646A7">
        <w:t xml:space="preserve">We do not propose to </w:t>
      </w:r>
      <w:r w:rsidRPr="00D62B20">
        <w:t>regulate manufacturers’ price lists to retailers</w:t>
      </w:r>
      <w:r>
        <w:t xml:space="preserve"> </w:t>
      </w:r>
      <w:r w:rsidRPr="001646A7">
        <w:t xml:space="preserve">for vaping products </w:t>
      </w:r>
      <w:r>
        <w:t>because</w:t>
      </w:r>
      <w:r w:rsidRPr="001646A7">
        <w:t xml:space="preserve"> vaping products are exempt from many of the restrictions on promotion that apply to tobacco products. </w:t>
      </w:r>
    </w:p>
    <w:p w14:paraId="61A2E351" w14:textId="77777777" w:rsidR="007D1623" w:rsidRPr="005A2DA7" w:rsidRDefault="007D1623" w:rsidP="007D1623">
      <w:pPr>
        <w:pStyle w:val="Heading3"/>
        <w:pBdr>
          <w:top w:val="single" w:sz="4" w:space="1" w:color="auto"/>
          <w:left w:val="single" w:sz="4" w:space="4" w:color="auto"/>
          <w:bottom w:val="single" w:sz="4" w:space="1" w:color="auto"/>
          <w:right w:val="single" w:sz="4" w:space="4" w:color="auto"/>
        </w:pBdr>
      </w:pPr>
      <w:bookmarkStart w:id="73" w:name="_Toc58869342"/>
      <w:r w:rsidRPr="005A2DA7">
        <w:t>Consultation questions</w:t>
      </w:r>
      <w:bookmarkEnd w:id="73"/>
    </w:p>
    <w:p w14:paraId="40F7789C" w14:textId="77777777" w:rsidR="007D1623" w:rsidRPr="00C70B9E" w:rsidRDefault="007D162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support the proposal to restrict the information allowed on manufacturers’ price lists for tobacco products?</w:t>
      </w:r>
    </w:p>
    <w:p w14:paraId="70DADEDF" w14:textId="77777777" w:rsidR="007D1623" w:rsidRPr="00C70B9E" w:rsidRDefault="007D162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Is there any other information that you consider should be allowed on manufacturers’ price lists for tobacco products? If so, what do you propose?</w:t>
      </w:r>
    </w:p>
    <w:p w14:paraId="4260D68C" w14:textId="77777777" w:rsidR="007D1623" w:rsidRDefault="007D1623" w:rsidP="007D1623"/>
    <w:p w14:paraId="1813831E" w14:textId="77777777" w:rsidR="007D1623" w:rsidRPr="001646A7" w:rsidRDefault="007D1623" w:rsidP="00247883">
      <w:pPr>
        <w:pStyle w:val="Heading2"/>
        <w:spacing w:before="0"/>
      </w:pPr>
      <w:bookmarkStart w:id="74" w:name="_Toc56000579"/>
      <w:bookmarkStart w:id="75" w:name="_Toc58869343"/>
      <w:r>
        <w:lastRenderedPageBreak/>
        <w:t>3.</w:t>
      </w:r>
      <w:r w:rsidRPr="001646A7">
        <w:t>3 Public health messages</w:t>
      </w:r>
      <w:bookmarkEnd w:id="74"/>
      <w:bookmarkEnd w:id="75"/>
    </w:p>
    <w:p w14:paraId="3F99C999" w14:textId="77777777" w:rsidR="007D1623" w:rsidRPr="001646A7" w:rsidRDefault="007D1623" w:rsidP="007D1623">
      <w:pPr>
        <w:pStyle w:val="Heading3"/>
      </w:pPr>
      <w:bookmarkStart w:id="76" w:name="_Toc50468937"/>
      <w:bookmarkStart w:id="77" w:name="_Toc50469054"/>
      <w:bookmarkStart w:id="78" w:name="_Toc50549957"/>
      <w:bookmarkStart w:id="79" w:name="_Toc58869344"/>
      <w:r w:rsidRPr="001646A7">
        <w:t>Description</w:t>
      </w:r>
      <w:bookmarkEnd w:id="76"/>
      <w:bookmarkEnd w:id="77"/>
      <w:bookmarkEnd w:id="78"/>
      <w:bookmarkEnd w:id="79"/>
    </w:p>
    <w:p w14:paraId="09D7D92A" w14:textId="7F983809" w:rsidR="007D1623" w:rsidRDefault="007D1623" w:rsidP="007D1623">
      <w:r>
        <w:t>Under t</w:t>
      </w:r>
      <w:r w:rsidRPr="001646A7">
        <w:t>he Act</w:t>
      </w:r>
      <w:r>
        <w:t>,</w:t>
      </w:r>
      <w:r w:rsidRPr="003A042F">
        <w:t xml:space="preserve"> </w:t>
      </w:r>
      <w:r w:rsidRPr="001646A7">
        <w:t>a public service</w:t>
      </w:r>
      <w:r>
        <w:t>,</w:t>
      </w:r>
      <w:r w:rsidRPr="001646A7">
        <w:t xml:space="preserve"> or an individual or organisation that is funded (</w:t>
      </w:r>
      <w:r>
        <w:t>either</w:t>
      </w:r>
      <w:r w:rsidRPr="001646A7">
        <w:t xml:space="preserve"> wholly or partly and </w:t>
      </w:r>
      <w:r>
        <w:t>either</w:t>
      </w:r>
      <w:r w:rsidRPr="001646A7">
        <w:t xml:space="preserve"> directly or indirectly) by a public service</w:t>
      </w:r>
      <w:r>
        <w:t>, may publish</w:t>
      </w:r>
      <w:r w:rsidRPr="001646A7">
        <w:t xml:space="preserve"> a public health message issued by the Director-General </w:t>
      </w:r>
      <w:r>
        <w:t xml:space="preserve">of Health </w:t>
      </w:r>
      <w:r w:rsidRPr="001646A7">
        <w:t>for the purposes of th</w:t>
      </w:r>
      <w:r>
        <w:t>e</w:t>
      </w:r>
      <w:r w:rsidRPr="001646A7">
        <w:t xml:space="preserve"> Act or any of its </w:t>
      </w:r>
      <w:r>
        <w:t>p</w:t>
      </w:r>
      <w:r w:rsidRPr="001646A7">
        <w:t>arts (section 24(1)(</w:t>
      </w:r>
      <w:r>
        <w:t>f</w:t>
      </w:r>
      <w:r w:rsidRPr="001646A7">
        <w:t>)).</w:t>
      </w:r>
    </w:p>
    <w:p w14:paraId="0DAAB1A0" w14:textId="77777777" w:rsidR="007D1623" w:rsidRDefault="007D1623" w:rsidP="007D1623"/>
    <w:p w14:paraId="38B2C6EC" w14:textId="77777777" w:rsidR="007D1623" w:rsidRDefault="007D1623" w:rsidP="007D1623">
      <w:r w:rsidRPr="001A549E">
        <w:t>Th</w:t>
      </w:r>
      <w:r>
        <w:t>e intent of th</w:t>
      </w:r>
      <w:r w:rsidRPr="001A549E">
        <w:t>is provision is to enable public messaging to support the purposes of the Act</w:t>
      </w:r>
      <w:r>
        <w:t>.</w:t>
      </w:r>
      <w:r w:rsidRPr="001A549E">
        <w:t xml:space="preserve"> </w:t>
      </w:r>
      <w:r>
        <w:t>Such purposes</w:t>
      </w:r>
      <w:r w:rsidRPr="001A549E">
        <w:t xml:space="preserve"> include supporting smokers to switch to regulated products that are less harmful than smoking and discouraging non-smokers, especially children and young people, from taking up vaping or using smokeless tobacco products.</w:t>
      </w:r>
    </w:p>
    <w:p w14:paraId="3D861B15" w14:textId="77777777" w:rsidR="007D1623" w:rsidRPr="001646A7" w:rsidRDefault="007D1623" w:rsidP="007D1623">
      <w:pPr>
        <w:pStyle w:val="Heading3"/>
      </w:pPr>
      <w:bookmarkStart w:id="80" w:name="_Toc50468938"/>
      <w:bookmarkStart w:id="81" w:name="_Toc50469055"/>
      <w:bookmarkStart w:id="82" w:name="_Toc50549958"/>
      <w:bookmarkStart w:id="83" w:name="_Toc58869345"/>
      <w:r w:rsidRPr="001646A7">
        <w:t>Proposal</w:t>
      </w:r>
      <w:bookmarkEnd w:id="80"/>
      <w:bookmarkEnd w:id="81"/>
      <w:bookmarkEnd w:id="82"/>
      <w:bookmarkEnd w:id="83"/>
    </w:p>
    <w:p w14:paraId="5CC9DC2E" w14:textId="686D0071" w:rsidR="007D1623" w:rsidRDefault="007D1623" w:rsidP="007D1623">
      <w:r>
        <w:t xml:space="preserve">The Director-General of Health has issued the </w:t>
      </w:r>
      <w:r w:rsidRPr="001646A7">
        <w:t>Vaping Facts</w:t>
      </w:r>
      <w:r>
        <w:t xml:space="preserve"> website </w:t>
      </w:r>
      <w:r w:rsidRPr="001646A7">
        <w:t xml:space="preserve">as </w:t>
      </w:r>
      <w:r>
        <w:t>a</w:t>
      </w:r>
      <w:r w:rsidRPr="001646A7">
        <w:t xml:space="preserve"> public health message</w:t>
      </w:r>
      <w:r>
        <w:t xml:space="preserve"> under section 24(f) of the Act. This means that</w:t>
      </w:r>
      <w:r w:rsidRPr="001646A7">
        <w:t xml:space="preserve"> a public service or any individual or organisation that is publicly funded</w:t>
      </w:r>
      <w:r>
        <w:t xml:space="preserve"> can publish</w:t>
      </w:r>
      <w:r w:rsidRPr="001646A7">
        <w:t xml:space="preserve"> messaging consistent with Vaping Facts.</w:t>
      </w:r>
    </w:p>
    <w:p w14:paraId="38B6ED88" w14:textId="77777777" w:rsidR="007D1623" w:rsidRDefault="007D1623" w:rsidP="007D1623"/>
    <w:p w14:paraId="4710AB99" w14:textId="44C1205B" w:rsidR="007D1623" w:rsidRDefault="007D1623" w:rsidP="007D1623">
      <w:r>
        <w:rPr>
          <w:rFonts w:cs="Segoe UI"/>
        </w:rPr>
        <w:t xml:space="preserve">To view </w:t>
      </w:r>
      <w:r w:rsidRPr="001646A7">
        <w:t>Vaping Facts</w:t>
      </w:r>
      <w:r>
        <w:t>, go to:</w:t>
      </w:r>
      <w:r w:rsidRPr="001646A7">
        <w:t xml:space="preserve"> </w:t>
      </w:r>
      <w:hyperlink r:id="rId24" w:history="1">
        <w:r w:rsidRPr="007D1623">
          <w:rPr>
            <w:rStyle w:val="Hyperlink"/>
            <w:rFonts w:cs="Segoe UI"/>
          </w:rPr>
          <w:t>https://vapingfacts.health.nz/</w:t>
        </w:r>
        <w:r w:rsidRPr="007D1623">
          <w:rPr>
            <w:rStyle w:val="Hyperlink"/>
          </w:rPr>
          <w:t xml:space="preserve"> </w:t>
        </w:r>
      </w:hyperlink>
    </w:p>
    <w:p w14:paraId="6593F315" w14:textId="77777777" w:rsidR="007D1623" w:rsidRPr="001646A7" w:rsidRDefault="007D1623" w:rsidP="007D1623">
      <w:pPr>
        <w:pStyle w:val="Heading3"/>
        <w:pBdr>
          <w:top w:val="single" w:sz="4" w:space="1" w:color="auto"/>
          <w:left w:val="single" w:sz="4" w:space="4" w:color="auto"/>
          <w:bottom w:val="single" w:sz="4" w:space="1" w:color="auto"/>
          <w:right w:val="single" w:sz="4" w:space="4" w:color="auto"/>
        </w:pBdr>
      </w:pPr>
      <w:bookmarkStart w:id="84" w:name="_Toc58869346"/>
      <w:r w:rsidRPr="001646A7">
        <w:t>Consultation question</w:t>
      </w:r>
      <w:bookmarkEnd w:id="84"/>
    </w:p>
    <w:p w14:paraId="77E1590C" w14:textId="77777777" w:rsidR="007D1623" w:rsidRPr="00C70B9E" w:rsidRDefault="007D1623" w:rsidP="00555AB0">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consider that other information, beyond the information that Vaping Facts already outlines, should be designated as a public health message issued by the Director-General of Health for public services and any publicly funded individuals or organisations to use? If so, what do you propose?</w:t>
      </w:r>
    </w:p>
    <w:p w14:paraId="29D008F8" w14:textId="676F0D3F" w:rsidR="007D1623" w:rsidRDefault="007D1623" w:rsidP="007D1623">
      <w:pPr>
        <w:sectPr w:rsidR="007D1623" w:rsidSect="00794CDD">
          <w:pgSz w:w="11906" w:h="16838"/>
          <w:pgMar w:top="1418" w:right="1701" w:bottom="1134" w:left="1843" w:header="709" w:footer="850" w:gutter="0"/>
          <w:cols w:space="708"/>
          <w:docGrid w:linePitch="360"/>
        </w:sectPr>
      </w:pPr>
    </w:p>
    <w:p w14:paraId="6FF2B566" w14:textId="77777777" w:rsidR="007D1623" w:rsidRPr="006A1B6D" w:rsidRDefault="007D1623" w:rsidP="00247883">
      <w:pPr>
        <w:pStyle w:val="Heading2"/>
        <w:spacing w:before="0"/>
      </w:pPr>
      <w:bookmarkStart w:id="85" w:name="_Toc56000580"/>
      <w:bookmarkStart w:id="86" w:name="_Toc58869347"/>
      <w:r>
        <w:lastRenderedPageBreak/>
        <w:t xml:space="preserve">3.4 </w:t>
      </w:r>
      <w:r w:rsidRPr="006A1B6D">
        <w:t xml:space="preserve">Vaping product information </w:t>
      </w:r>
      <w:r>
        <w:t>in retail settings</w:t>
      </w:r>
      <w:bookmarkEnd w:id="85"/>
      <w:bookmarkEnd w:id="86"/>
    </w:p>
    <w:p w14:paraId="4D25FF64" w14:textId="77777777" w:rsidR="007D1623" w:rsidRPr="00256F52" w:rsidRDefault="007D1623" w:rsidP="007D1623">
      <w:pPr>
        <w:pStyle w:val="Heading3"/>
      </w:pPr>
      <w:bookmarkStart w:id="87" w:name="_Toc50468940"/>
      <w:bookmarkStart w:id="88" w:name="_Toc50469057"/>
      <w:bookmarkStart w:id="89" w:name="_Toc50549960"/>
      <w:bookmarkStart w:id="90" w:name="_Toc58869348"/>
      <w:r>
        <w:t>Description</w:t>
      </w:r>
      <w:bookmarkEnd w:id="87"/>
      <w:bookmarkEnd w:id="88"/>
      <w:bookmarkEnd w:id="89"/>
      <w:bookmarkEnd w:id="90"/>
    </w:p>
    <w:p w14:paraId="45C38A8D" w14:textId="730B302B" w:rsidR="007D1623" w:rsidRDefault="007D1623" w:rsidP="007D1623">
      <w:r w:rsidRPr="001646A7">
        <w:t xml:space="preserve">The Act </w:t>
      </w:r>
      <w:r>
        <w:t xml:space="preserve">allows for the provision of </w:t>
      </w:r>
      <w:r w:rsidRPr="005A2DA7">
        <w:t xml:space="preserve">information (in any medium) relating to vaping products within retail premises or on retailers’ </w:t>
      </w:r>
      <w:r>
        <w:t>websites</w:t>
      </w:r>
      <w:r w:rsidRPr="001646A7">
        <w:t>, in accordance with any regulations that may be in force (section 24(1)(g)(i</w:t>
      </w:r>
      <w:r>
        <w:t>i</w:t>
      </w:r>
      <w:r w:rsidRPr="001646A7">
        <w:t xml:space="preserve">)). </w:t>
      </w:r>
    </w:p>
    <w:p w14:paraId="0F43E007" w14:textId="77777777" w:rsidR="007D1623" w:rsidRDefault="007D1623" w:rsidP="007D1623"/>
    <w:p w14:paraId="79A71A49" w14:textId="77777777" w:rsidR="007D1623" w:rsidRDefault="007D1623" w:rsidP="007D1623">
      <w:r w:rsidRPr="005A2DA7">
        <w:t xml:space="preserve">In the absence of regulations, a retailer may provide information within their retail premises or on their </w:t>
      </w:r>
      <w:r>
        <w:t>website</w:t>
      </w:r>
      <w:r w:rsidRPr="005A2DA7">
        <w:t xml:space="preserve"> about vaping being a less harmful alternative to smoking (section 24(1)(g)(iii)).</w:t>
      </w:r>
    </w:p>
    <w:p w14:paraId="1AA86546" w14:textId="77777777" w:rsidR="007D1623" w:rsidRPr="00256F52" w:rsidRDefault="007D1623" w:rsidP="007D1623">
      <w:pPr>
        <w:pStyle w:val="Heading3"/>
      </w:pPr>
      <w:bookmarkStart w:id="91" w:name="_Toc50468941"/>
      <w:bookmarkStart w:id="92" w:name="_Toc50469058"/>
      <w:bookmarkStart w:id="93" w:name="_Toc50549961"/>
      <w:bookmarkStart w:id="94" w:name="_Toc58869349"/>
      <w:r>
        <w:t>Proposal</w:t>
      </w:r>
      <w:bookmarkEnd w:id="91"/>
      <w:bookmarkEnd w:id="92"/>
      <w:bookmarkEnd w:id="93"/>
      <w:bookmarkEnd w:id="94"/>
    </w:p>
    <w:p w14:paraId="4941E08E" w14:textId="77777777" w:rsidR="007D1623" w:rsidRPr="005A2DA7" w:rsidRDefault="007D1623" w:rsidP="007D1623">
      <w:r w:rsidRPr="005A2DA7">
        <w:t xml:space="preserve">We propose </w:t>
      </w:r>
      <w:r>
        <w:t>making</w:t>
      </w:r>
      <w:r w:rsidRPr="005A2DA7">
        <w:t xml:space="preserve"> regulations </w:t>
      </w:r>
      <w:r>
        <w:t xml:space="preserve">that </w:t>
      </w:r>
      <w:r w:rsidRPr="005A2DA7">
        <w:t xml:space="preserve">set out </w:t>
      </w:r>
      <w:r>
        <w:t xml:space="preserve">the following </w:t>
      </w:r>
      <w:r w:rsidRPr="005A2DA7">
        <w:t xml:space="preserve">authorised harm-reduction </w:t>
      </w:r>
      <w:r>
        <w:t>statements</w:t>
      </w:r>
      <w:r w:rsidRPr="005A2DA7">
        <w:t xml:space="preserve"> that may be displayed within retail premises or on retailers’ </w:t>
      </w:r>
      <w:r>
        <w:t>web</w:t>
      </w:r>
      <w:r w:rsidRPr="005A2DA7">
        <w:t>sites:</w:t>
      </w:r>
    </w:p>
    <w:p w14:paraId="7F509547" w14:textId="77777777" w:rsidR="007D1623" w:rsidRDefault="007D1623" w:rsidP="007D1623">
      <w:pPr>
        <w:pStyle w:val="Bullet"/>
      </w:pPr>
      <w:r w:rsidRPr="00E04066">
        <w:t>‘If you are a smoker, switching completely to vaping is a much less harmful option</w:t>
      </w:r>
      <w:r>
        <w:t>.</w:t>
      </w:r>
      <w:r w:rsidRPr="00E04066">
        <w:t>’</w:t>
      </w:r>
    </w:p>
    <w:p w14:paraId="517BC1FF" w14:textId="77777777" w:rsidR="007D1623" w:rsidRDefault="007D1623" w:rsidP="007D1623">
      <w:pPr>
        <w:pStyle w:val="Bullet"/>
      </w:pPr>
      <w:r w:rsidRPr="00B77027">
        <w:t>‘Switching completely from smoking to vaping will reduce harms to your health</w:t>
      </w:r>
      <w:r>
        <w:t>.</w:t>
      </w:r>
      <w:r w:rsidRPr="00B77027">
        <w:t>’</w:t>
      </w:r>
    </w:p>
    <w:p w14:paraId="13CE418F" w14:textId="77777777" w:rsidR="007D1623" w:rsidRPr="00B77027" w:rsidRDefault="007D1623" w:rsidP="007D1623">
      <w:pPr>
        <w:pStyle w:val="Bullet"/>
      </w:pPr>
      <w:r w:rsidRPr="00B77027">
        <w:t>‘Completely replacing your cigarette with a vape will reduce harms to your health</w:t>
      </w:r>
      <w:r>
        <w:t>.</w:t>
      </w:r>
      <w:r w:rsidRPr="00B77027">
        <w:t>’</w:t>
      </w:r>
    </w:p>
    <w:p w14:paraId="34AF950A" w14:textId="77777777" w:rsidR="007D1623" w:rsidRDefault="007D1623" w:rsidP="007D1623"/>
    <w:p w14:paraId="6AB5D055" w14:textId="39F63081" w:rsidR="007D1623" w:rsidRDefault="007D1623" w:rsidP="007D1623">
      <w:r w:rsidRPr="005A2DA7">
        <w:t xml:space="preserve">We also propose that the regulations </w:t>
      </w:r>
      <w:r>
        <w:t>restrict</w:t>
      </w:r>
      <w:r w:rsidRPr="005A2DA7" w:rsidDel="00CE3897">
        <w:t xml:space="preserve"> </w:t>
      </w:r>
      <w:r w:rsidRPr="005A2DA7">
        <w:t>the format to written information, and to a black</w:t>
      </w:r>
      <w:r>
        <w:t>-</w:t>
      </w:r>
      <w:r w:rsidRPr="005A2DA7">
        <w:t>and</w:t>
      </w:r>
      <w:r>
        <w:t>-</w:t>
      </w:r>
      <w:r w:rsidRPr="005A2DA7">
        <w:t>white sign in lettering no larger tha</w:t>
      </w:r>
      <w:r>
        <w:t>n</w:t>
      </w:r>
      <w:r w:rsidRPr="005A2DA7">
        <w:t xml:space="preserve"> the Helvetica 70</w:t>
      </w:r>
      <w:r>
        <w:t xml:space="preserve"> </w:t>
      </w:r>
      <w:proofErr w:type="spellStart"/>
      <w:r w:rsidRPr="005A2DA7">
        <w:t>pt</w:t>
      </w:r>
      <w:proofErr w:type="spellEnd"/>
      <w:r w:rsidRPr="005A2DA7">
        <w:t xml:space="preserve"> typeface (</w:t>
      </w:r>
      <w:r>
        <w:t>which</w:t>
      </w:r>
      <w:r w:rsidRPr="005A2DA7">
        <w:t xml:space="preserve"> is consistent with current requirements for notices about tobacco products). </w:t>
      </w:r>
      <w:r>
        <w:t>The reason for s</w:t>
      </w:r>
      <w:r w:rsidRPr="005A2DA7">
        <w:t>pecifying the format is t</w:t>
      </w:r>
      <w:r>
        <w:t xml:space="preserve">o ensure that </w:t>
      </w:r>
      <w:r w:rsidRPr="005A2DA7">
        <w:t>the information</w:t>
      </w:r>
      <w:r>
        <w:t xml:space="preserve"> does not cross over int</w:t>
      </w:r>
      <w:r w:rsidRPr="005A2DA7">
        <w:t xml:space="preserve">o advertising. </w:t>
      </w:r>
    </w:p>
    <w:p w14:paraId="5C062E5C" w14:textId="77777777" w:rsidR="007D1623" w:rsidRDefault="007D1623" w:rsidP="007D1623"/>
    <w:p w14:paraId="742D6552" w14:textId="77777777" w:rsidR="007D1623" w:rsidRDefault="007D1623" w:rsidP="007D1623">
      <w:r>
        <w:rPr>
          <w:rFonts w:cs="Segoe UI"/>
          <w:noProof/>
        </w:rPr>
        <w:drawing>
          <wp:inline distT="0" distB="0" distL="0" distR="0" wp14:anchorId="0C94FC32" wp14:editId="06E817D2">
            <wp:extent cx="3600000" cy="2546253"/>
            <wp:effectExtent l="0" t="0" r="635" b="6985"/>
            <wp:docPr id="1" name="Picture 1" descr="If you are a smoker, switching completely to vaping is a much less harmfu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ping%20Regulations%20-%20Consultation%20Document%20-%203.4%20Product%20Information%20-%20Mock-Up%20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0" cy="2546253"/>
                    </a:xfrm>
                    <a:prstGeom prst="rect">
                      <a:avLst/>
                    </a:prstGeom>
                  </pic:spPr>
                </pic:pic>
              </a:graphicData>
            </a:graphic>
          </wp:inline>
        </w:drawing>
      </w:r>
    </w:p>
    <w:p w14:paraId="06EDDA92" w14:textId="0651CC36" w:rsidR="00247883" w:rsidRDefault="00247883" w:rsidP="00247883">
      <w:r w:rsidRPr="00B84421">
        <w:rPr>
          <w:rFonts w:cs="Segoe UI"/>
          <w:noProof/>
          <w:highlight w:val="yellow"/>
        </w:rPr>
        <w:lastRenderedPageBreak/>
        <w:drawing>
          <wp:inline distT="0" distB="0" distL="0" distR="0" wp14:anchorId="5A9B2330" wp14:editId="5FD41FE3">
            <wp:extent cx="3600000" cy="2552803"/>
            <wp:effectExtent l="0" t="0" r="635" b="0"/>
            <wp:docPr id="5" name="Picture 5" descr="Switching completely from smoking to vaping will reduce harms to you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ping%20Regulations%20-%20Consultation%20Document%20-%203.4%20Product%20Information%20-%20Mock-Up%202.jpg"/>
                    <pic:cNvPicPr/>
                  </pic:nvPicPr>
                  <pic:blipFill rotWithShape="1">
                    <a:blip r:embed="rId26" cstate="print">
                      <a:extLst>
                        <a:ext uri="{28A0092B-C50C-407E-A947-70E740481C1C}">
                          <a14:useLocalDpi xmlns:a14="http://schemas.microsoft.com/office/drawing/2010/main" val="0"/>
                        </a:ext>
                      </a:extLst>
                    </a:blip>
                    <a:srcRect l="432" r="2731"/>
                    <a:stretch/>
                  </pic:blipFill>
                  <pic:spPr bwMode="auto">
                    <a:xfrm>
                      <a:off x="0" y="0"/>
                      <a:ext cx="3600000" cy="2552803"/>
                    </a:xfrm>
                    <a:prstGeom prst="rect">
                      <a:avLst/>
                    </a:prstGeom>
                    <a:ln>
                      <a:noFill/>
                    </a:ln>
                    <a:extLst>
                      <a:ext uri="{53640926-AAD7-44D8-BBD7-CCE9431645EC}">
                        <a14:shadowObscured xmlns:a14="http://schemas.microsoft.com/office/drawing/2010/main"/>
                      </a:ext>
                    </a:extLst>
                  </pic:spPr>
                </pic:pic>
              </a:graphicData>
            </a:graphic>
          </wp:inline>
        </w:drawing>
      </w:r>
    </w:p>
    <w:p w14:paraId="0B13D5F0" w14:textId="77777777" w:rsidR="00247883" w:rsidRDefault="00247883" w:rsidP="00247883"/>
    <w:p w14:paraId="6DE6B86D" w14:textId="6EADF9DD" w:rsidR="00247883" w:rsidRDefault="00247883" w:rsidP="00247883">
      <w:r>
        <w:rPr>
          <w:rFonts w:cs="Segoe UI"/>
          <w:noProof/>
        </w:rPr>
        <w:drawing>
          <wp:inline distT="0" distB="0" distL="0" distR="0" wp14:anchorId="3716B367" wp14:editId="0F9006D3">
            <wp:extent cx="3600000" cy="2548938"/>
            <wp:effectExtent l="0" t="0" r="635" b="3810"/>
            <wp:docPr id="3" name="Picture 3" descr="Completely replacing your cigarette with a vape will reduce harms to you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ping%20Regulations%20-%20Consultation%20Document%20-%203.4%20Product%20Information%20-%20Mock-Up%203.jpg"/>
                    <pic:cNvPicPr/>
                  </pic:nvPicPr>
                  <pic:blipFill rotWithShape="1">
                    <a:blip r:embed="rId27" cstate="print">
                      <a:extLst>
                        <a:ext uri="{28A0092B-C50C-407E-A947-70E740481C1C}">
                          <a14:useLocalDpi xmlns:a14="http://schemas.microsoft.com/office/drawing/2010/main" val="0"/>
                        </a:ext>
                      </a:extLst>
                    </a:blip>
                    <a:srcRect l="1458" r="3656"/>
                    <a:stretch/>
                  </pic:blipFill>
                  <pic:spPr bwMode="auto">
                    <a:xfrm>
                      <a:off x="0" y="0"/>
                      <a:ext cx="3600000" cy="2548938"/>
                    </a:xfrm>
                    <a:prstGeom prst="rect">
                      <a:avLst/>
                    </a:prstGeom>
                    <a:ln>
                      <a:noFill/>
                    </a:ln>
                    <a:extLst>
                      <a:ext uri="{53640926-AAD7-44D8-BBD7-CCE9431645EC}">
                        <a14:shadowObscured xmlns:a14="http://schemas.microsoft.com/office/drawing/2010/main"/>
                      </a:ext>
                    </a:extLst>
                  </pic:spPr>
                </pic:pic>
              </a:graphicData>
            </a:graphic>
          </wp:inline>
        </w:drawing>
      </w:r>
    </w:p>
    <w:p w14:paraId="23578C85" w14:textId="77777777" w:rsidR="00247883" w:rsidRDefault="00247883" w:rsidP="00247883"/>
    <w:p w14:paraId="473E1FF0" w14:textId="3B7B2594" w:rsidR="00247883" w:rsidRDefault="00247883" w:rsidP="00247883">
      <w:r w:rsidRPr="00AC2A6C">
        <w:t>The intention of these regulations is to</w:t>
      </w:r>
      <w:r>
        <w:t xml:space="preserve"> give</w:t>
      </w:r>
      <w:r w:rsidRPr="005A2DA7">
        <w:t xml:space="preserve"> smokers accurate information to support their transition from smoking to vaping</w:t>
      </w:r>
      <w:r>
        <w:t>.</w:t>
      </w:r>
    </w:p>
    <w:p w14:paraId="7E5D7FF2" w14:textId="77777777" w:rsidR="00247883" w:rsidRDefault="00247883" w:rsidP="00247883"/>
    <w:p w14:paraId="355C1B38" w14:textId="77777777" w:rsidR="00247883" w:rsidRPr="005A2DA7" w:rsidRDefault="00247883" w:rsidP="00247883">
      <w:r w:rsidRPr="005A2DA7">
        <w:t>This proposal does not impact oral communications within retail premises, provided they fall within the exemptions set out in section 27(3) of the Act</w:t>
      </w:r>
      <w:r>
        <w:t>.</w:t>
      </w:r>
      <w:r w:rsidRPr="005A2DA7">
        <w:t xml:space="preserve"> </w:t>
      </w:r>
      <w:r>
        <w:t>T</w:t>
      </w:r>
      <w:r w:rsidRPr="005A2DA7">
        <w:t>hat is</w:t>
      </w:r>
      <w:r>
        <w:t>, the oral communications must fall into one of these categories</w:t>
      </w:r>
      <w:r w:rsidRPr="005A2DA7">
        <w:t>:</w:t>
      </w:r>
    </w:p>
    <w:p w14:paraId="298D15CD" w14:textId="77777777" w:rsidR="00247883" w:rsidRPr="00C70B9E" w:rsidRDefault="00247883" w:rsidP="00DB0C46">
      <w:pPr>
        <w:pStyle w:val="NormalIndent"/>
        <w:numPr>
          <w:ilvl w:val="0"/>
          <w:numId w:val="17"/>
        </w:numPr>
        <w:spacing w:before="90" w:after="90"/>
        <w:ind w:left="992" w:hanging="357"/>
        <w:rPr>
          <w:sz w:val="21"/>
          <w:szCs w:val="21"/>
        </w:rPr>
      </w:pPr>
      <w:r w:rsidRPr="00C70B9E">
        <w:rPr>
          <w:sz w:val="21"/>
          <w:szCs w:val="21"/>
        </w:rPr>
        <w:t>communications made in response to a product request that do no more than identify the regulated products available for purchase and indicate their price</w:t>
      </w:r>
    </w:p>
    <w:p w14:paraId="248A26E0" w14:textId="77777777" w:rsidR="00247883" w:rsidRPr="00C70B9E" w:rsidRDefault="00247883" w:rsidP="00DB0C46">
      <w:pPr>
        <w:pStyle w:val="NormalIndent"/>
        <w:numPr>
          <w:ilvl w:val="0"/>
          <w:numId w:val="17"/>
        </w:numPr>
        <w:spacing w:before="90" w:after="90"/>
        <w:ind w:left="992" w:hanging="357"/>
        <w:rPr>
          <w:sz w:val="21"/>
          <w:szCs w:val="21"/>
        </w:rPr>
      </w:pPr>
      <w:r w:rsidRPr="00C70B9E">
        <w:rPr>
          <w:sz w:val="21"/>
          <w:szCs w:val="21"/>
        </w:rPr>
        <w:t>communications encouraging smokers to switch to a product that is less harmful than smoking</w:t>
      </w:r>
    </w:p>
    <w:p w14:paraId="63022B33" w14:textId="77777777" w:rsidR="00247883" w:rsidRPr="00C70B9E" w:rsidRDefault="00247883" w:rsidP="00DB0C46">
      <w:pPr>
        <w:pStyle w:val="NormalIndent"/>
        <w:numPr>
          <w:ilvl w:val="0"/>
          <w:numId w:val="17"/>
        </w:numPr>
        <w:spacing w:before="90" w:after="90"/>
        <w:ind w:left="992" w:hanging="357"/>
        <w:rPr>
          <w:sz w:val="21"/>
          <w:szCs w:val="21"/>
        </w:rPr>
      </w:pPr>
      <w:r w:rsidRPr="00C70B9E">
        <w:rPr>
          <w:sz w:val="21"/>
          <w:szCs w:val="21"/>
        </w:rPr>
        <w:t xml:space="preserve">any information by a specialist vape retailer to customers within their approved premises </w:t>
      </w:r>
    </w:p>
    <w:p w14:paraId="65403CD6" w14:textId="77777777" w:rsidR="00247883" w:rsidRPr="00C70B9E" w:rsidRDefault="00247883" w:rsidP="00DB0C46">
      <w:pPr>
        <w:pStyle w:val="NormalIndent"/>
        <w:numPr>
          <w:ilvl w:val="0"/>
          <w:numId w:val="17"/>
        </w:numPr>
        <w:spacing w:before="90" w:after="90"/>
        <w:ind w:left="992" w:hanging="357"/>
        <w:rPr>
          <w:sz w:val="21"/>
          <w:szCs w:val="21"/>
        </w:rPr>
      </w:pPr>
      <w:r w:rsidRPr="00C70B9E">
        <w:rPr>
          <w:sz w:val="21"/>
          <w:szCs w:val="21"/>
        </w:rPr>
        <w:t>information by a specialist vape retailer relating to the safe use of regulated products available for purchase in their approved premises.</w:t>
      </w:r>
    </w:p>
    <w:p w14:paraId="6C6ABA80" w14:textId="77777777" w:rsidR="00247883" w:rsidRPr="005A2DA7" w:rsidRDefault="00247883" w:rsidP="00247883">
      <w:r w:rsidRPr="005A2DA7">
        <w:t xml:space="preserve">The Act allows regulations to be made for </w:t>
      </w:r>
      <w:r>
        <w:t>(</w:t>
      </w:r>
      <w:r w:rsidRPr="005A2DA7">
        <w:t>c</w:t>
      </w:r>
      <w:r>
        <w:t>)</w:t>
      </w:r>
      <w:r w:rsidRPr="005A2DA7">
        <w:t xml:space="preserve"> and </w:t>
      </w:r>
      <w:r>
        <w:t>(</w:t>
      </w:r>
      <w:r w:rsidRPr="005A2DA7">
        <w:t>d</w:t>
      </w:r>
      <w:r>
        <w:t>)</w:t>
      </w:r>
      <w:r w:rsidRPr="005A2DA7">
        <w:t xml:space="preserve"> above</w:t>
      </w:r>
      <w:r>
        <w:t>.</w:t>
      </w:r>
      <w:r w:rsidRPr="005A2DA7">
        <w:t xml:space="preserve"> </w:t>
      </w:r>
      <w:r>
        <w:t>H</w:t>
      </w:r>
      <w:r w:rsidRPr="005A2DA7">
        <w:t xml:space="preserve">owever, the Ministry </w:t>
      </w:r>
      <w:r>
        <w:t xml:space="preserve">of Health </w:t>
      </w:r>
      <w:r w:rsidRPr="005A2DA7">
        <w:t>consider</w:t>
      </w:r>
      <w:r>
        <w:t>s</w:t>
      </w:r>
      <w:r w:rsidRPr="005A2DA7">
        <w:t xml:space="preserve"> </w:t>
      </w:r>
      <w:r>
        <w:t>doing so</w:t>
      </w:r>
      <w:r w:rsidRPr="005A2DA7">
        <w:t xml:space="preserve"> </w:t>
      </w:r>
      <w:r>
        <w:t>is un</w:t>
      </w:r>
      <w:r w:rsidRPr="005A2DA7">
        <w:t xml:space="preserve">necessary at this stage. </w:t>
      </w:r>
      <w:r>
        <w:t xml:space="preserve">We </w:t>
      </w:r>
      <w:r w:rsidRPr="005A2DA7">
        <w:t>will ke</w:t>
      </w:r>
      <w:r>
        <w:t>ep this matter</w:t>
      </w:r>
      <w:r w:rsidRPr="005A2DA7">
        <w:t xml:space="preserve"> under review.</w:t>
      </w:r>
    </w:p>
    <w:p w14:paraId="5581BBC2" w14:textId="77777777" w:rsidR="00247883" w:rsidRPr="00526576" w:rsidRDefault="00247883" w:rsidP="00247883">
      <w:pPr>
        <w:pStyle w:val="Heading3"/>
        <w:pBdr>
          <w:top w:val="single" w:sz="4" w:space="1" w:color="auto"/>
          <w:left w:val="single" w:sz="4" w:space="4" w:color="auto"/>
          <w:bottom w:val="single" w:sz="4" w:space="1" w:color="auto"/>
          <w:right w:val="single" w:sz="4" w:space="4" w:color="auto"/>
        </w:pBdr>
      </w:pPr>
      <w:bookmarkStart w:id="95" w:name="_Toc58869350"/>
      <w:r w:rsidRPr="00526576">
        <w:lastRenderedPageBreak/>
        <w:t>Consultation questions</w:t>
      </w:r>
      <w:bookmarkEnd w:id="95"/>
    </w:p>
    <w:p w14:paraId="6D0CD3AC"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support limiting information about vaping products in retail premises and on retailers’ websites to written authorised statements (other than permitted oral communications)? If not, what do you propose?</w:t>
      </w:r>
    </w:p>
    <w:p w14:paraId="2021514B"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support the proposed statements? If not, what do you propose?</w:t>
      </w:r>
    </w:p>
    <w:p w14:paraId="39385BA0"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support limiting the format of these notices so that they are consistent with tobacco product notices? If not, what do you propose?</w:t>
      </w:r>
    </w:p>
    <w:p w14:paraId="7CFF27D2" w14:textId="77777777" w:rsidR="00247883" w:rsidRDefault="00247883" w:rsidP="00247883">
      <w:pPr>
        <w:sectPr w:rsidR="00247883" w:rsidSect="00794CDD">
          <w:pgSz w:w="11906" w:h="16838"/>
          <w:pgMar w:top="1418" w:right="1701" w:bottom="1134" w:left="1843" w:header="709" w:footer="850" w:gutter="0"/>
          <w:cols w:space="708"/>
          <w:docGrid w:linePitch="360"/>
        </w:sectPr>
      </w:pPr>
    </w:p>
    <w:p w14:paraId="63A792B5" w14:textId="77777777" w:rsidR="00247883" w:rsidRDefault="00247883" w:rsidP="00247883">
      <w:pPr>
        <w:pStyle w:val="Heading2"/>
        <w:spacing w:before="0"/>
      </w:pPr>
      <w:bookmarkStart w:id="96" w:name="_Toc56000581"/>
      <w:bookmarkStart w:id="97" w:name="_Toc58869351"/>
      <w:r>
        <w:lastRenderedPageBreak/>
        <w:t>3.5 Product availability notices in retail premises</w:t>
      </w:r>
      <w:bookmarkEnd w:id="96"/>
      <w:bookmarkEnd w:id="97"/>
      <w:r>
        <w:t xml:space="preserve"> </w:t>
      </w:r>
    </w:p>
    <w:p w14:paraId="2EB4077E" w14:textId="77777777" w:rsidR="00247883" w:rsidRPr="00256F52" w:rsidRDefault="00247883" w:rsidP="00247883">
      <w:pPr>
        <w:pStyle w:val="Heading3"/>
      </w:pPr>
      <w:bookmarkStart w:id="98" w:name="_Toc50468943"/>
      <w:bookmarkStart w:id="99" w:name="_Toc50469060"/>
      <w:bookmarkStart w:id="100" w:name="_Toc50549963"/>
      <w:bookmarkStart w:id="101" w:name="_Toc58869352"/>
      <w:r>
        <w:t>Description</w:t>
      </w:r>
      <w:bookmarkEnd w:id="98"/>
      <w:bookmarkEnd w:id="99"/>
      <w:bookmarkEnd w:id="100"/>
      <w:bookmarkEnd w:id="101"/>
    </w:p>
    <w:p w14:paraId="4B90292A" w14:textId="77777777" w:rsidR="00247883" w:rsidRPr="005A2DA7" w:rsidRDefault="00247883" w:rsidP="00247883">
      <w:pPr>
        <w:spacing w:after="120"/>
        <w:rPr>
          <w:rFonts w:cs="Segoe UI"/>
        </w:rPr>
      </w:pPr>
      <w:r w:rsidRPr="005A2DA7">
        <w:rPr>
          <w:rFonts w:cs="Segoe UI"/>
        </w:rPr>
        <w:t xml:space="preserve">The Act (section 25(1)(b)) allows </w:t>
      </w:r>
      <w:r>
        <w:rPr>
          <w:rFonts w:cs="Segoe UI"/>
        </w:rPr>
        <w:t>retailers to</w:t>
      </w:r>
      <w:r w:rsidRPr="005A2DA7">
        <w:rPr>
          <w:rFonts w:cs="Segoe UI"/>
        </w:rPr>
        <w:t xml:space="preserve"> display a notice for the public inside </w:t>
      </w:r>
      <w:r>
        <w:rPr>
          <w:rFonts w:cs="Segoe UI"/>
        </w:rPr>
        <w:t>their</w:t>
      </w:r>
      <w:r w:rsidRPr="005A2DA7">
        <w:rPr>
          <w:rFonts w:cs="Segoe UI"/>
        </w:rPr>
        <w:t xml:space="preserve"> place of business that:</w:t>
      </w:r>
    </w:p>
    <w:p w14:paraId="74881987" w14:textId="77777777" w:rsidR="00247883" w:rsidRPr="005A2DA7" w:rsidRDefault="00247883" w:rsidP="00157223">
      <w:pPr>
        <w:pStyle w:val="ListNumber3"/>
        <w:numPr>
          <w:ilvl w:val="0"/>
          <w:numId w:val="18"/>
        </w:numPr>
        <w:spacing w:before="90" w:after="90" w:line="259" w:lineRule="auto"/>
        <w:ind w:left="426" w:hanging="426"/>
        <w:contextualSpacing w:val="0"/>
      </w:pPr>
      <w:r w:rsidRPr="005A2DA7">
        <w:t>does no more than indicate, using only printed or written words, the fact that regulated products in general are available for purchase in that place and the location or locations where they may be purchased, and</w:t>
      </w:r>
    </w:p>
    <w:p w14:paraId="2448581D" w14:textId="77777777" w:rsidR="00247883" w:rsidRDefault="00247883" w:rsidP="00157223">
      <w:pPr>
        <w:pStyle w:val="ListNumber3"/>
        <w:numPr>
          <w:ilvl w:val="0"/>
          <w:numId w:val="18"/>
        </w:numPr>
        <w:spacing w:before="90" w:after="90" w:line="259" w:lineRule="auto"/>
        <w:ind w:left="426" w:hanging="426"/>
        <w:contextualSpacing w:val="0"/>
      </w:pPr>
      <w:r w:rsidRPr="005A2DA7">
        <w:t>complies with any requirements in regulations.</w:t>
      </w:r>
    </w:p>
    <w:p w14:paraId="066924FC" w14:textId="229C020F" w:rsidR="00247883" w:rsidRDefault="00247883" w:rsidP="00247883">
      <w:r w:rsidRPr="005A2DA7">
        <w:t>Many retailers are likely to choose not to put up availability notices, as retail premises may display</w:t>
      </w:r>
      <w:r w:rsidRPr="008B1D2A">
        <w:t xml:space="preserve"> </w:t>
      </w:r>
      <w:r w:rsidRPr="005A2DA7">
        <w:t>vaping products. However, some may wish to put up such notices.</w:t>
      </w:r>
    </w:p>
    <w:p w14:paraId="5607C187" w14:textId="77777777" w:rsidR="00247883" w:rsidRDefault="00247883" w:rsidP="00247883"/>
    <w:p w14:paraId="0ABC7FDD" w14:textId="77777777" w:rsidR="00247883" w:rsidRDefault="00247883" w:rsidP="00247883">
      <w:r w:rsidRPr="005A2DA7">
        <w:t>Existing regulations under the Smokefree Environments</w:t>
      </w:r>
      <w:r>
        <w:t xml:space="preserve"> and Regulated Products</w:t>
      </w:r>
      <w:r w:rsidRPr="005A2DA7">
        <w:t xml:space="preserve"> Act 1990 detail the requirements for availability notices for tobacco products. </w:t>
      </w:r>
    </w:p>
    <w:p w14:paraId="7C81EA1E" w14:textId="77777777" w:rsidR="00247883" w:rsidRPr="00256F52" w:rsidRDefault="00247883" w:rsidP="00247883">
      <w:pPr>
        <w:pStyle w:val="Heading3"/>
      </w:pPr>
      <w:bookmarkStart w:id="102" w:name="_Toc50468944"/>
      <w:bookmarkStart w:id="103" w:name="_Toc50469061"/>
      <w:bookmarkStart w:id="104" w:name="_Toc50549964"/>
      <w:bookmarkStart w:id="105" w:name="_Toc58869353"/>
      <w:r>
        <w:t>Proposal</w:t>
      </w:r>
      <w:bookmarkEnd w:id="102"/>
      <w:bookmarkEnd w:id="103"/>
      <w:bookmarkEnd w:id="104"/>
      <w:bookmarkEnd w:id="105"/>
    </w:p>
    <w:p w14:paraId="1EFF80E1" w14:textId="77777777" w:rsidR="00247883" w:rsidRPr="005A2DA7" w:rsidRDefault="00247883" w:rsidP="00247883">
      <w:r w:rsidRPr="005A2DA7">
        <w:t xml:space="preserve">We propose </w:t>
      </w:r>
      <w:r>
        <w:t>aligning</w:t>
      </w:r>
      <w:r w:rsidRPr="005A2DA7">
        <w:t xml:space="preserve"> notices for vaping products with those for tobacco products, with amendments where necessary, </w:t>
      </w:r>
      <w:r>
        <w:t>by allowing:</w:t>
      </w:r>
    </w:p>
    <w:p w14:paraId="4AFFF481" w14:textId="77777777" w:rsidR="00247883" w:rsidRPr="00E04066" w:rsidRDefault="00247883" w:rsidP="00247883">
      <w:pPr>
        <w:pStyle w:val="Bullet"/>
      </w:pPr>
      <w:r w:rsidRPr="00E04066">
        <w:t xml:space="preserve">one A4 notice if the retailer’s place of business is less than 200 </w:t>
      </w:r>
      <w:r>
        <w:t>square metres in area</w:t>
      </w:r>
    </w:p>
    <w:p w14:paraId="5853DE9D" w14:textId="77777777" w:rsidR="00247883" w:rsidRPr="00E04066" w:rsidRDefault="00247883" w:rsidP="00247883">
      <w:pPr>
        <w:pStyle w:val="Bullet"/>
      </w:pPr>
      <w:r w:rsidRPr="00E04066">
        <w:t xml:space="preserve">no more than two </w:t>
      </w:r>
      <w:r>
        <w:t xml:space="preserve">A4 </w:t>
      </w:r>
      <w:r w:rsidRPr="00E04066">
        <w:t xml:space="preserve">notices if the retailer’s place of business is 200 </w:t>
      </w:r>
      <w:r>
        <w:t>square metres</w:t>
      </w:r>
      <w:r w:rsidRPr="00E04066">
        <w:t xml:space="preserve"> or more, but no more than 500 </w:t>
      </w:r>
      <w:r>
        <w:t>square metres</w:t>
      </w:r>
      <w:r w:rsidRPr="00E04066">
        <w:t xml:space="preserve"> </w:t>
      </w:r>
      <w:r>
        <w:t>in area</w:t>
      </w:r>
    </w:p>
    <w:p w14:paraId="24902080" w14:textId="77777777" w:rsidR="00247883" w:rsidRPr="00E04066" w:rsidRDefault="00247883" w:rsidP="00247883">
      <w:pPr>
        <w:pStyle w:val="Bullet"/>
      </w:pPr>
      <w:r w:rsidRPr="00E04066">
        <w:t>no more than three notices if the retailer’s place of business is more than 500</w:t>
      </w:r>
      <w:r>
        <w:t xml:space="preserve"> square metres in area.</w:t>
      </w:r>
    </w:p>
    <w:p w14:paraId="5E1348A9" w14:textId="77777777" w:rsidR="00247883" w:rsidRDefault="00247883" w:rsidP="00247883"/>
    <w:p w14:paraId="483BA4D1" w14:textId="31BDEBFE" w:rsidR="00247883" w:rsidRPr="005A2DA7" w:rsidRDefault="00247883" w:rsidP="00247883">
      <w:r w:rsidRPr="005A2DA7">
        <w:t>The notice must contain only:</w:t>
      </w:r>
    </w:p>
    <w:p w14:paraId="332EC95B" w14:textId="77777777" w:rsidR="00247883" w:rsidRDefault="00247883" w:rsidP="00247883">
      <w:pPr>
        <w:pStyle w:val="Bullet"/>
      </w:pPr>
      <w:bookmarkStart w:id="106" w:name="_Hlk34811016"/>
      <w:r w:rsidRPr="00E04066">
        <w:t>the brand, brand variant and price of the product written in black lettering that is no larger than the Helvetica 16</w:t>
      </w:r>
      <w:r>
        <w:t xml:space="preserve"> </w:t>
      </w:r>
      <w:proofErr w:type="spellStart"/>
      <w:r w:rsidRPr="00E04066">
        <w:t>pt</w:t>
      </w:r>
      <w:proofErr w:type="spellEnd"/>
      <w:r w:rsidRPr="0007493C">
        <w:t xml:space="preserve"> </w:t>
      </w:r>
      <w:r w:rsidRPr="00E04066">
        <w:t>typeface</w:t>
      </w:r>
    </w:p>
    <w:p w14:paraId="24EF8353" w14:textId="77777777" w:rsidR="00247883" w:rsidRDefault="00247883" w:rsidP="00247883">
      <w:pPr>
        <w:pStyle w:val="Bullet"/>
      </w:pPr>
      <w:r w:rsidRPr="0054769E">
        <w:t>the relevant health warning statements in lettering no larger than the Helvetica 70</w:t>
      </w:r>
      <w:r>
        <w:t xml:space="preserve"> </w:t>
      </w:r>
      <w:proofErr w:type="spellStart"/>
      <w:r w:rsidRPr="0054769E">
        <w:t>pt</w:t>
      </w:r>
      <w:proofErr w:type="spellEnd"/>
      <w:r w:rsidRPr="0007493C">
        <w:t xml:space="preserve"> </w:t>
      </w:r>
      <w:r w:rsidRPr="0054769E">
        <w:t>typeface</w:t>
      </w:r>
    </w:p>
    <w:p w14:paraId="138DC3C6" w14:textId="77777777" w:rsidR="00247883" w:rsidRPr="0054769E" w:rsidRDefault="00247883" w:rsidP="00247883">
      <w:pPr>
        <w:pStyle w:val="Bullet"/>
      </w:pPr>
      <w:r w:rsidRPr="0054769E">
        <w:t xml:space="preserve">the words </w:t>
      </w:r>
      <w:r>
        <w:t>‘</w:t>
      </w:r>
      <w:r w:rsidRPr="0054769E">
        <w:t>no sales to persons under the age of 18</w:t>
      </w:r>
      <w:r>
        <w:t>’</w:t>
      </w:r>
      <w:r w:rsidRPr="0054769E">
        <w:t xml:space="preserve"> in lettering no smaller than the Helvetica 40</w:t>
      </w:r>
      <w:r>
        <w:t xml:space="preserve"> </w:t>
      </w:r>
      <w:proofErr w:type="spellStart"/>
      <w:r w:rsidRPr="0054769E">
        <w:t>pt</w:t>
      </w:r>
      <w:proofErr w:type="spellEnd"/>
      <w:r w:rsidRPr="0007493C">
        <w:t xml:space="preserve"> </w:t>
      </w:r>
      <w:r w:rsidRPr="0054769E">
        <w:t xml:space="preserve">type face. </w:t>
      </w:r>
      <w:bookmarkEnd w:id="106"/>
    </w:p>
    <w:p w14:paraId="2E76053E" w14:textId="77777777" w:rsidR="00247883" w:rsidRDefault="00247883" w:rsidP="00247883"/>
    <w:p w14:paraId="00B3F7B0" w14:textId="77777777" w:rsidR="00247883" w:rsidRDefault="00247883" w:rsidP="00247883">
      <w:r>
        <w:rPr>
          <w:rFonts w:cs="Segoe UI"/>
          <w:noProof/>
          <w:color w:val="000000" w:themeColor="text1"/>
        </w:rPr>
        <w:lastRenderedPageBreak/>
        <w:drawing>
          <wp:inline distT="0" distB="0" distL="0" distR="0" wp14:anchorId="71FB504C" wp14:editId="283AD424">
            <wp:extent cx="3600000" cy="2546244"/>
            <wp:effectExtent l="0" t="0" r="635" b="6985"/>
            <wp:docPr id="7" name="Picture 7" descr="Vaping products available here. No sales to persons under the age of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ing%20Regulations%20-%20Consultation%20Document%20-%203.5%20Availability%20Notices%20-%20Mock-Up.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0" cy="2546244"/>
                    </a:xfrm>
                    <a:prstGeom prst="rect">
                      <a:avLst/>
                    </a:prstGeom>
                  </pic:spPr>
                </pic:pic>
              </a:graphicData>
            </a:graphic>
          </wp:inline>
        </w:drawing>
      </w:r>
    </w:p>
    <w:p w14:paraId="1331DE73" w14:textId="77777777" w:rsidR="00247883" w:rsidRDefault="00247883" w:rsidP="00247883"/>
    <w:p w14:paraId="7B2FAE80" w14:textId="77777777" w:rsidR="00247883" w:rsidRDefault="00247883" w:rsidP="00247883">
      <w:r w:rsidRPr="005A2DA7">
        <w:t xml:space="preserve">The intention of these regulations is to enable a business to indicate that a regulated product is available for purchase while </w:t>
      </w:r>
      <w:r>
        <w:t>ensuring that this does not cross over into advertising.</w:t>
      </w:r>
      <w:r w:rsidRPr="005A2DA7">
        <w:t xml:space="preserve"> </w:t>
      </w:r>
    </w:p>
    <w:p w14:paraId="6F467034" w14:textId="77777777" w:rsidR="00247883" w:rsidRPr="00526576" w:rsidRDefault="00247883" w:rsidP="00247883">
      <w:pPr>
        <w:pStyle w:val="Heading3"/>
        <w:pBdr>
          <w:top w:val="single" w:sz="4" w:space="1" w:color="auto"/>
          <w:left w:val="single" w:sz="4" w:space="4" w:color="auto"/>
          <w:bottom w:val="single" w:sz="4" w:space="1" w:color="auto"/>
          <w:right w:val="single" w:sz="4" w:space="4" w:color="auto"/>
        </w:pBdr>
      </w:pPr>
      <w:bookmarkStart w:id="107" w:name="_Toc58869354"/>
      <w:r w:rsidRPr="00526576">
        <w:t>Consultation question</w:t>
      </w:r>
      <w:bookmarkEnd w:id="107"/>
    </w:p>
    <w:p w14:paraId="7C4B5B52"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160"/>
        <w:ind w:left="357" w:hanging="357"/>
        <w:contextualSpacing w:val="0"/>
        <w:rPr>
          <w:sz w:val="21"/>
          <w:szCs w:val="21"/>
        </w:rPr>
      </w:pPr>
      <w:r w:rsidRPr="00C70B9E">
        <w:rPr>
          <w:sz w:val="21"/>
          <w:szCs w:val="21"/>
        </w:rPr>
        <w:t>Do you support the proposal to align availability notices for vaping products with those for tobacco products? If not, what do you propose?</w:t>
      </w:r>
    </w:p>
    <w:p w14:paraId="421FD780" w14:textId="2A5C07D9" w:rsidR="00247883" w:rsidRDefault="00247883" w:rsidP="00247883"/>
    <w:p w14:paraId="66308F34" w14:textId="46561AF5" w:rsidR="00247883" w:rsidRPr="00247883" w:rsidRDefault="00247883" w:rsidP="00247883">
      <w:pPr>
        <w:sectPr w:rsidR="00247883" w:rsidRPr="00247883" w:rsidSect="00794CDD">
          <w:pgSz w:w="11906" w:h="16838"/>
          <w:pgMar w:top="1418" w:right="1701" w:bottom="1134" w:left="1843" w:header="709" w:footer="850" w:gutter="0"/>
          <w:cols w:space="708"/>
          <w:docGrid w:linePitch="360"/>
        </w:sectPr>
      </w:pPr>
    </w:p>
    <w:p w14:paraId="723439C9" w14:textId="77777777" w:rsidR="00247883" w:rsidRDefault="00247883" w:rsidP="00247883">
      <w:pPr>
        <w:pStyle w:val="Heading2"/>
        <w:spacing w:before="0"/>
      </w:pPr>
      <w:bookmarkStart w:id="108" w:name="_Toc56000582"/>
      <w:bookmarkStart w:id="109" w:name="_Toc58869355"/>
      <w:r>
        <w:lastRenderedPageBreak/>
        <w:t>3.6 Point-of-sale information</w:t>
      </w:r>
      <w:r w:rsidRPr="0028742C">
        <w:t xml:space="preserve"> </w:t>
      </w:r>
      <w:r>
        <w:t>on purchase age</w:t>
      </w:r>
      <w:bookmarkEnd w:id="108"/>
      <w:bookmarkEnd w:id="109"/>
    </w:p>
    <w:p w14:paraId="5899BBCB" w14:textId="77777777" w:rsidR="00247883" w:rsidRPr="00256F52" w:rsidRDefault="00247883" w:rsidP="00247883">
      <w:pPr>
        <w:pStyle w:val="Heading3"/>
      </w:pPr>
      <w:bookmarkStart w:id="110" w:name="_Toc50549966"/>
      <w:bookmarkStart w:id="111" w:name="_Toc58869356"/>
      <w:r>
        <w:t>Description</w:t>
      </w:r>
      <w:bookmarkEnd w:id="110"/>
      <w:bookmarkEnd w:id="111"/>
      <w:r>
        <w:t xml:space="preserve"> </w:t>
      </w:r>
    </w:p>
    <w:p w14:paraId="1CC64A9E" w14:textId="77777777" w:rsidR="00247883" w:rsidRDefault="00247883" w:rsidP="00247883">
      <w:pPr>
        <w:spacing w:after="120"/>
        <w:rPr>
          <w:rFonts w:cs="Segoe UI"/>
        </w:rPr>
      </w:pPr>
      <w:r>
        <w:rPr>
          <w:rFonts w:cs="Segoe UI"/>
        </w:rPr>
        <w:t>Under t</w:t>
      </w:r>
      <w:r w:rsidRPr="005A2DA7">
        <w:rPr>
          <w:rFonts w:cs="Segoe UI"/>
        </w:rPr>
        <w:t>he Act</w:t>
      </w:r>
      <w:r>
        <w:rPr>
          <w:rFonts w:cs="Segoe UI"/>
        </w:rPr>
        <w:t>,</w:t>
      </w:r>
      <w:r w:rsidRPr="005A2DA7">
        <w:rPr>
          <w:rFonts w:cs="Segoe UI"/>
        </w:rPr>
        <w:t xml:space="preserve"> </w:t>
      </w:r>
      <w:r>
        <w:rPr>
          <w:rFonts w:cs="Segoe UI"/>
        </w:rPr>
        <w:t>regulations may be made requiring retailers to display R18 notices at each point-of-sale at the person’s place of business and on their websites.</w:t>
      </w:r>
    </w:p>
    <w:p w14:paraId="7E294A24" w14:textId="77777777" w:rsidR="00247883" w:rsidRDefault="00247883" w:rsidP="00247883">
      <w:pPr>
        <w:spacing w:after="120"/>
        <w:rPr>
          <w:rFonts w:cs="Segoe UI"/>
        </w:rPr>
      </w:pPr>
      <w:r>
        <w:rPr>
          <w:rFonts w:cs="Segoe UI"/>
        </w:rPr>
        <w:t>Tobacco products have no mandatory requirements for R18 notices at point-of-sale.</w:t>
      </w:r>
    </w:p>
    <w:p w14:paraId="110E3081" w14:textId="77777777" w:rsidR="00247883" w:rsidRPr="00256F52" w:rsidRDefault="00247883" w:rsidP="00247883">
      <w:pPr>
        <w:pStyle w:val="Heading3"/>
      </w:pPr>
      <w:bookmarkStart w:id="112" w:name="_Toc50549967"/>
      <w:bookmarkStart w:id="113" w:name="_Toc58869357"/>
      <w:r>
        <w:t>Proposal</w:t>
      </w:r>
      <w:bookmarkEnd w:id="112"/>
      <w:bookmarkEnd w:id="113"/>
    </w:p>
    <w:p w14:paraId="68678E37" w14:textId="23E191B4" w:rsidR="00247883" w:rsidRDefault="00247883" w:rsidP="00247883">
      <w:r w:rsidRPr="00903AE3">
        <w:t xml:space="preserve">We propose </w:t>
      </w:r>
      <w:r>
        <w:t>to have a mandatory requirement for retailers to display R18 notices at each point-of-sale for vaping products</w:t>
      </w:r>
      <w:r w:rsidRPr="005A2DA7">
        <w:t>.</w:t>
      </w:r>
      <w:r>
        <w:t xml:space="preserve"> This is because vaping products may be on display and accessible to children and young people under the age of 18 years.</w:t>
      </w:r>
    </w:p>
    <w:p w14:paraId="1F9F7943" w14:textId="77777777" w:rsidR="00247883" w:rsidRDefault="00247883" w:rsidP="00247883"/>
    <w:p w14:paraId="67C7CD83" w14:textId="77777777" w:rsidR="00247883" w:rsidRPr="005A2DA7" w:rsidRDefault="00247883" w:rsidP="00247883">
      <w:r w:rsidRPr="005A2DA7">
        <w:t xml:space="preserve">The notice must </w:t>
      </w:r>
      <w:r>
        <w:t xml:space="preserve">be white with black lettering and </w:t>
      </w:r>
      <w:r w:rsidRPr="005A2DA7">
        <w:t>contain only:</w:t>
      </w:r>
    </w:p>
    <w:p w14:paraId="77240C41" w14:textId="77777777" w:rsidR="00247883" w:rsidRPr="00E04066" w:rsidRDefault="00247883" w:rsidP="00247883">
      <w:pPr>
        <w:pStyle w:val="Bullet"/>
      </w:pPr>
      <w:r w:rsidRPr="00E04066">
        <w:t xml:space="preserve">the relevant health warning statements </w:t>
      </w:r>
    </w:p>
    <w:p w14:paraId="3CF70882" w14:textId="77777777" w:rsidR="00247883" w:rsidRDefault="00247883" w:rsidP="00247883">
      <w:pPr>
        <w:pStyle w:val="Bullet"/>
      </w:pPr>
      <w:r w:rsidRPr="007B5FFA">
        <w:rPr>
          <w:color w:val="000000" w:themeColor="text1"/>
        </w:rPr>
        <w:t>the words</w:t>
      </w:r>
      <w:r w:rsidRPr="007B5FFA">
        <w:t xml:space="preserve"> </w:t>
      </w:r>
      <w:r>
        <w:t>‘</w:t>
      </w:r>
      <w:r w:rsidRPr="007B5FFA">
        <w:t>no sales to persons under the age of 18</w:t>
      </w:r>
      <w:r>
        <w:t>’.</w:t>
      </w:r>
      <w:r w:rsidRPr="007B5FFA">
        <w:t xml:space="preserve"> </w:t>
      </w:r>
    </w:p>
    <w:p w14:paraId="6C0E3678" w14:textId="77777777" w:rsidR="00247883" w:rsidRDefault="00247883" w:rsidP="00247883">
      <w:pPr>
        <w:pStyle w:val="ListBullet"/>
        <w:numPr>
          <w:ilvl w:val="0"/>
          <w:numId w:val="0"/>
        </w:numPr>
        <w:ind w:left="357" w:hanging="357"/>
      </w:pPr>
    </w:p>
    <w:p w14:paraId="784C923A" w14:textId="77777777" w:rsidR="00247883" w:rsidRDefault="00247883" w:rsidP="00247883">
      <w:pPr>
        <w:pStyle w:val="ListBullet"/>
        <w:numPr>
          <w:ilvl w:val="0"/>
          <w:numId w:val="0"/>
        </w:numPr>
        <w:ind w:left="357" w:hanging="357"/>
      </w:pPr>
      <w:r>
        <w:rPr>
          <w:rFonts w:cs="Segoe UI"/>
          <w:noProof/>
        </w:rPr>
        <w:drawing>
          <wp:inline distT="0" distB="0" distL="0" distR="0" wp14:anchorId="0F0F4920" wp14:editId="1C3D6A2D">
            <wp:extent cx="3600000" cy="2546244"/>
            <wp:effectExtent l="0" t="0" r="635" b="6985"/>
            <wp:docPr id="8" name="Picture 8" descr="Vaping products may contain nicotine, which is a highly addictive substance. No sales to persons under the age of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ping%20Regulations%20-%20Consultation%20Document%20-%203.6%20Purchase%20Age%20Information%20(English)%20-%20Mock-Up.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0000" cy="2546244"/>
                    </a:xfrm>
                    <a:prstGeom prst="rect">
                      <a:avLst/>
                    </a:prstGeom>
                  </pic:spPr>
                </pic:pic>
              </a:graphicData>
            </a:graphic>
          </wp:inline>
        </w:drawing>
      </w:r>
    </w:p>
    <w:p w14:paraId="2C92A5FF" w14:textId="77777777" w:rsidR="00247883" w:rsidRDefault="00247883" w:rsidP="00247883">
      <w:pPr>
        <w:pStyle w:val="ListBullet"/>
        <w:numPr>
          <w:ilvl w:val="0"/>
          <w:numId w:val="0"/>
        </w:numPr>
        <w:ind w:left="357" w:hanging="357"/>
      </w:pPr>
    </w:p>
    <w:p w14:paraId="10F6E2E8" w14:textId="71D7230A" w:rsidR="00247883" w:rsidRDefault="00247883" w:rsidP="00247883">
      <w:pPr>
        <w:pStyle w:val="ListBullet"/>
        <w:numPr>
          <w:ilvl w:val="0"/>
          <w:numId w:val="0"/>
        </w:numPr>
        <w:ind w:left="357" w:hanging="357"/>
      </w:pPr>
    </w:p>
    <w:p w14:paraId="6A6BABC1" w14:textId="77777777" w:rsidR="00247883" w:rsidRPr="00526576" w:rsidRDefault="00247883" w:rsidP="00247883">
      <w:pPr>
        <w:pStyle w:val="Heading3"/>
        <w:pBdr>
          <w:top w:val="single" w:sz="4" w:space="1" w:color="auto"/>
          <w:left w:val="single" w:sz="4" w:space="4" w:color="auto"/>
          <w:bottom w:val="single" w:sz="4" w:space="1" w:color="auto"/>
          <w:right w:val="single" w:sz="4" w:space="4" w:color="auto"/>
        </w:pBdr>
      </w:pPr>
      <w:bookmarkStart w:id="114" w:name="_Toc58869358"/>
      <w:r w:rsidRPr="00526576">
        <w:t>Consultation questions</w:t>
      </w:r>
      <w:bookmarkEnd w:id="114"/>
    </w:p>
    <w:p w14:paraId="3FA90446"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agree there should be a requirement for retailers to display purchase age (R18) notices at each point-of-sale? If not, why not?</w:t>
      </w:r>
    </w:p>
    <w:p w14:paraId="5215C041" w14:textId="77777777" w:rsidR="00247883" w:rsidRPr="00C70B9E"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support the proposed wording and presentation requirements? If not, what do you propose?</w:t>
      </w:r>
    </w:p>
    <w:p w14:paraId="12281FFD" w14:textId="77777777" w:rsidR="00247883" w:rsidRDefault="00247883" w:rsidP="00247883">
      <w:pPr>
        <w:sectPr w:rsidR="00247883" w:rsidSect="00794CDD">
          <w:pgSz w:w="11906" w:h="16838"/>
          <w:pgMar w:top="1418" w:right="1701" w:bottom="1134" w:left="1843" w:header="709" w:footer="850" w:gutter="0"/>
          <w:cols w:space="708"/>
          <w:docGrid w:linePitch="360"/>
        </w:sectPr>
      </w:pPr>
    </w:p>
    <w:p w14:paraId="285FE2C9" w14:textId="77777777" w:rsidR="00247883" w:rsidRDefault="00247883" w:rsidP="00247883">
      <w:pPr>
        <w:pStyle w:val="Heading2"/>
        <w:spacing w:before="0"/>
      </w:pPr>
      <w:bookmarkStart w:id="115" w:name="_Toc56000583"/>
      <w:bookmarkStart w:id="116" w:name="_Toc58869359"/>
      <w:r>
        <w:lastRenderedPageBreak/>
        <w:t>3.7 Suitably qualified health workers</w:t>
      </w:r>
      <w:bookmarkEnd w:id="115"/>
      <w:bookmarkEnd w:id="116"/>
    </w:p>
    <w:p w14:paraId="018C0381" w14:textId="77777777" w:rsidR="00247883" w:rsidRPr="00256F52" w:rsidRDefault="00247883" w:rsidP="00247883">
      <w:pPr>
        <w:pStyle w:val="Heading3"/>
      </w:pPr>
      <w:bookmarkStart w:id="117" w:name="_Toc50468946"/>
      <w:bookmarkStart w:id="118" w:name="_Toc50469063"/>
      <w:bookmarkStart w:id="119" w:name="_Toc50549969"/>
      <w:bookmarkStart w:id="120" w:name="_Toc58869360"/>
      <w:r>
        <w:t>Description</w:t>
      </w:r>
      <w:bookmarkEnd w:id="117"/>
      <w:bookmarkEnd w:id="118"/>
      <w:bookmarkEnd w:id="119"/>
      <w:bookmarkEnd w:id="120"/>
    </w:p>
    <w:p w14:paraId="736F0E1A" w14:textId="77777777" w:rsidR="00247883" w:rsidRPr="005A2DA7" w:rsidRDefault="00247883" w:rsidP="00247883">
      <w:pPr>
        <w:spacing w:after="120"/>
        <w:rPr>
          <w:rFonts w:cs="Segoe UI"/>
        </w:rPr>
      </w:pPr>
      <w:r>
        <w:rPr>
          <w:rFonts w:cs="Segoe UI"/>
        </w:rPr>
        <w:t>Under t</w:t>
      </w:r>
      <w:r w:rsidRPr="005A2DA7">
        <w:rPr>
          <w:rFonts w:cs="Segoe UI"/>
        </w:rPr>
        <w:t>he Act</w:t>
      </w:r>
      <w:r>
        <w:rPr>
          <w:rFonts w:cs="Segoe UI"/>
        </w:rPr>
        <w:t>,</w:t>
      </w:r>
      <w:r w:rsidRPr="005A2DA7">
        <w:rPr>
          <w:rFonts w:cs="Segoe UI"/>
        </w:rPr>
        <w:t xml:space="preserve"> a ‘suitably quali</w:t>
      </w:r>
      <w:r>
        <w:rPr>
          <w:rFonts w:cs="Segoe UI"/>
        </w:rPr>
        <w:t>f</w:t>
      </w:r>
      <w:r w:rsidRPr="005A2DA7">
        <w:rPr>
          <w:rFonts w:cs="Segoe UI"/>
        </w:rPr>
        <w:t xml:space="preserve">ied health worker’ </w:t>
      </w:r>
      <w:r>
        <w:rPr>
          <w:rFonts w:cs="Segoe UI"/>
        </w:rPr>
        <w:t>can</w:t>
      </w:r>
      <w:r w:rsidRPr="005A2DA7">
        <w:rPr>
          <w:rFonts w:cs="Segoe UI"/>
        </w:rPr>
        <w:t xml:space="preserve"> provide any advice or messages to an individual or group for the purpose of supporting the individual or group to transition from smoking to vaping. A ‘suitabl</w:t>
      </w:r>
      <w:r>
        <w:rPr>
          <w:rFonts w:cs="Segoe UI"/>
        </w:rPr>
        <w:t>y</w:t>
      </w:r>
      <w:r w:rsidRPr="005A2DA7">
        <w:rPr>
          <w:rFonts w:cs="Segoe UI"/>
        </w:rPr>
        <w:t xml:space="preserve"> qualified health worker’ is defined</w:t>
      </w:r>
      <w:r>
        <w:rPr>
          <w:rFonts w:cs="Segoe UI"/>
        </w:rPr>
        <w:t xml:space="preserve"> in the Act</w:t>
      </w:r>
      <w:r>
        <w:t xml:space="preserve"> </w:t>
      </w:r>
      <w:r w:rsidRPr="00E04066">
        <w:t>(section 2(1))</w:t>
      </w:r>
      <w:r w:rsidRPr="005A2DA7">
        <w:rPr>
          <w:rFonts w:cs="Segoe UI"/>
        </w:rPr>
        <w:t xml:space="preserve"> as:</w:t>
      </w:r>
    </w:p>
    <w:p w14:paraId="067CFC07" w14:textId="77777777" w:rsidR="00247883" w:rsidRPr="00C70B9E" w:rsidRDefault="00247883" w:rsidP="00DB0C46">
      <w:pPr>
        <w:pStyle w:val="ListContinue"/>
        <w:numPr>
          <w:ilvl w:val="0"/>
          <w:numId w:val="19"/>
        </w:numPr>
        <w:spacing w:before="90" w:after="90"/>
        <w:ind w:left="993" w:hanging="357"/>
        <w:contextualSpacing w:val="0"/>
        <w:rPr>
          <w:sz w:val="21"/>
          <w:szCs w:val="21"/>
        </w:rPr>
      </w:pPr>
      <w:r w:rsidRPr="00C70B9E">
        <w:rPr>
          <w:sz w:val="21"/>
          <w:szCs w:val="21"/>
        </w:rPr>
        <w:t xml:space="preserve">a registered health practitioner, or </w:t>
      </w:r>
    </w:p>
    <w:p w14:paraId="03DD4BDF" w14:textId="77777777" w:rsidR="00247883" w:rsidRPr="00C70B9E" w:rsidRDefault="00247883" w:rsidP="00DB0C46">
      <w:pPr>
        <w:pStyle w:val="ListContinue"/>
        <w:numPr>
          <w:ilvl w:val="0"/>
          <w:numId w:val="19"/>
        </w:numPr>
        <w:spacing w:before="90" w:after="90"/>
        <w:ind w:left="993" w:hanging="357"/>
        <w:contextualSpacing w:val="0"/>
        <w:rPr>
          <w:sz w:val="21"/>
          <w:szCs w:val="21"/>
        </w:rPr>
      </w:pPr>
      <w:r w:rsidRPr="00C70B9E">
        <w:rPr>
          <w:sz w:val="21"/>
          <w:szCs w:val="21"/>
        </w:rPr>
        <w:t>a person who:</w:t>
      </w:r>
    </w:p>
    <w:p w14:paraId="5BB46DBF" w14:textId="77777777" w:rsidR="00247883" w:rsidRPr="00C70B9E" w:rsidRDefault="00247883" w:rsidP="00DB0C46">
      <w:pPr>
        <w:pStyle w:val="ListContinue2"/>
        <w:numPr>
          <w:ilvl w:val="0"/>
          <w:numId w:val="20"/>
        </w:numPr>
        <w:spacing w:before="90" w:after="90"/>
        <w:ind w:hanging="357"/>
        <w:contextualSpacing w:val="0"/>
        <w:rPr>
          <w:sz w:val="21"/>
          <w:szCs w:val="21"/>
        </w:rPr>
      </w:pPr>
      <w:r w:rsidRPr="00C70B9E">
        <w:rPr>
          <w:sz w:val="21"/>
          <w:szCs w:val="21"/>
        </w:rPr>
        <w:t xml:space="preserve">has completed the Stop Smoking Practitioners Programme certified by the New Zealand Qualifications Authority (the </w:t>
      </w:r>
      <w:r w:rsidRPr="00C70B9E">
        <w:rPr>
          <w:b/>
          <w:sz w:val="21"/>
          <w:szCs w:val="21"/>
        </w:rPr>
        <w:t>programme</w:t>
      </w:r>
      <w:r w:rsidRPr="00C70B9E">
        <w:rPr>
          <w:sz w:val="21"/>
          <w:szCs w:val="21"/>
        </w:rPr>
        <w:t>), or</w:t>
      </w:r>
    </w:p>
    <w:p w14:paraId="33E31A05" w14:textId="77777777" w:rsidR="00247883" w:rsidRPr="00C70B9E" w:rsidRDefault="00247883" w:rsidP="00DB0C46">
      <w:pPr>
        <w:pStyle w:val="ListContinue2"/>
        <w:numPr>
          <w:ilvl w:val="0"/>
          <w:numId w:val="20"/>
        </w:numPr>
        <w:spacing w:before="90" w:after="90"/>
        <w:ind w:hanging="357"/>
        <w:contextualSpacing w:val="0"/>
        <w:rPr>
          <w:sz w:val="21"/>
          <w:szCs w:val="21"/>
        </w:rPr>
      </w:pPr>
      <w:r w:rsidRPr="00C70B9E">
        <w:rPr>
          <w:sz w:val="21"/>
          <w:szCs w:val="21"/>
        </w:rPr>
        <w:t>is undertaking the programme and is being supervised by a person who has completed the programme, or</w:t>
      </w:r>
    </w:p>
    <w:p w14:paraId="2A69FF4B" w14:textId="77777777" w:rsidR="00247883" w:rsidRPr="00C70B9E" w:rsidRDefault="00247883" w:rsidP="00DB0C46">
      <w:pPr>
        <w:pStyle w:val="ListContinue2"/>
        <w:numPr>
          <w:ilvl w:val="0"/>
          <w:numId w:val="20"/>
        </w:numPr>
        <w:spacing w:before="90" w:after="90"/>
        <w:ind w:hanging="357"/>
        <w:contextualSpacing w:val="0"/>
        <w:rPr>
          <w:sz w:val="21"/>
          <w:szCs w:val="21"/>
        </w:rPr>
      </w:pPr>
      <w:r w:rsidRPr="00C70B9E">
        <w:rPr>
          <w:sz w:val="21"/>
          <w:szCs w:val="21"/>
        </w:rPr>
        <w:t>is a peer support worker and is being supervised by a person who has completed the programme, or</w:t>
      </w:r>
    </w:p>
    <w:p w14:paraId="3F73B30B" w14:textId="77777777" w:rsidR="00247883" w:rsidRPr="00C70B9E" w:rsidRDefault="00247883" w:rsidP="00DB0C46">
      <w:pPr>
        <w:pStyle w:val="ListContinue"/>
        <w:numPr>
          <w:ilvl w:val="0"/>
          <w:numId w:val="19"/>
        </w:numPr>
        <w:spacing w:before="90" w:after="90"/>
        <w:ind w:left="993" w:hanging="357"/>
        <w:contextualSpacing w:val="0"/>
        <w:rPr>
          <w:sz w:val="21"/>
          <w:szCs w:val="21"/>
        </w:rPr>
      </w:pPr>
      <w:r w:rsidRPr="00C70B9E">
        <w:rPr>
          <w:sz w:val="21"/>
          <w:szCs w:val="21"/>
        </w:rPr>
        <w:t xml:space="preserve">a person specified by the Director-General by notice in the </w:t>
      </w:r>
      <w:r w:rsidRPr="00C70B9E">
        <w:rPr>
          <w:i/>
          <w:sz w:val="21"/>
          <w:szCs w:val="21"/>
        </w:rPr>
        <w:t>Gazette</w:t>
      </w:r>
      <w:r w:rsidRPr="00C70B9E">
        <w:rPr>
          <w:sz w:val="21"/>
          <w:szCs w:val="21"/>
        </w:rPr>
        <w:t>.</w:t>
      </w:r>
    </w:p>
    <w:p w14:paraId="54A87BD2" w14:textId="77777777" w:rsidR="00247883" w:rsidRPr="00256F52" w:rsidRDefault="00247883" w:rsidP="00247883">
      <w:pPr>
        <w:pStyle w:val="Heading3"/>
      </w:pPr>
      <w:bookmarkStart w:id="121" w:name="_Toc50468947"/>
      <w:bookmarkStart w:id="122" w:name="_Toc50469064"/>
      <w:bookmarkStart w:id="123" w:name="_Toc50549970"/>
      <w:bookmarkStart w:id="124" w:name="_Toc58869361"/>
      <w:r>
        <w:t>Proposal</w:t>
      </w:r>
      <w:bookmarkEnd w:id="121"/>
      <w:bookmarkEnd w:id="122"/>
      <w:bookmarkEnd w:id="123"/>
      <w:bookmarkEnd w:id="124"/>
    </w:p>
    <w:p w14:paraId="5EA3046C" w14:textId="77777777" w:rsidR="00247883" w:rsidRDefault="00247883" w:rsidP="00247883">
      <w:r w:rsidRPr="00903AE3">
        <w:t>We do not propose adding any other category of person to the definition of ‘suitably qualified health worker’ at this stage.</w:t>
      </w:r>
      <w:r>
        <w:t xml:space="preserve"> We</w:t>
      </w:r>
      <w:r w:rsidRPr="005A2DA7">
        <w:t xml:space="preserve"> will ke</w:t>
      </w:r>
      <w:r>
        <w:t>ep this matter</w:t>
      </w:r>
      <w:r w:rsidRPr="005A2DA7">
        <w:t xml:space="preserve"> under review.</w:t>
      </w:r>
    </w:p>
    <w:p w14:paraId="2EED9AF9" w14:textId="77777777" w:rsidR="00247883" w:rsidRPr="00526576" w:rsidRDefault="00247883" w:rsidP="00247883">
      <w:pPr>
        <w:pStyle w:val="Heading3"/>
        <w:pBdr>
          <w:top w:val="single" w:sz="4" w:space="1" w:color="auto"/>
          <w:left w:val="single" w:sz="4" w:space="4" w:color="auto"/>
          <w:bottom w:val="single" w:sz="4" w:space="1" w:color="auto"/>
          <w:right w:val="single" w:sz="4" w:space="4" w:color="auto"/>
        </w:pBdr>
      </w:pPr>
      <w:bookmarkStart w:id="125" w:name="_Toc58869362"/>
      <w:r w:rsidRPr="00526576">
        <w:t>Consultation question</w:t>
      </w:r>
      <w:bookmarkEnd w:id="125"/>
    </w:p>
    <w:p w14:paraId="6C5EFFF9" w14:textId="77777777" w:rsidR="00247883" w:rsidRPr="00C70B9E" w:rsidRDefault="00247883" w:rsidP="00555AB0">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C70B9E">
        <w:rPr>
          <w:sz w:val="21"/>
          <w:szCs w:val="21"/>
        </w:rPr>
        <w:t>Do you agree that no additional category of person should be added to the definition of ‘suitably qualified health worker’? If you do not agree, which category do you think should be added and why?</w:t>
      </w:r>
    </w:p>
    <w:p w14:paraId="138ED22B" w14:textId="77777777" w:rsidR="00247883" w:rsidRDefault="00247883" w:rsidP="00247883"/>
    <w:p w14:paraId="35895FFD" w14:textId="77777777" w:rsidR="00247883" w:rsidRDefault="00247883" w:rsidP="00794CDD">
      <w:pPr>
        <w:pStyle w:val="Heading1"/>
        <w:sectPr w:rsidR="00247883" w:rsidSect="00794CDD">
          <w:pgSz w:w="11906" w:h="16838"/>
          <w:pgMar w:top="1418" w:right="1701" w:bottom="1134" w:left="1843" w:header="709" w:footer="850" w:gutter="0"/>
          <w:cols w:space="708"/>
          <w:docGrid w:linePitch="360"/>
        </w:sectPr>
      </w:pPr>
    </w:p>
    <w:p w14:paraId="18B56630" w14:textId="77777777" w:rsidR="00247883" w:rsidRDefault="00247883" w:rsidP="00247883">
      <w:pPr>
        <w:pStyle w:val="Heading1"/>
      </w:pPr>
      <w:bookmarkStart w:id="126" w:name="_Toc56000584"/>
      <w:bookmarkStart w:id="127" w:name="_Toc58869363"/>
      <w:bookmarkEnd w:id="64"/>
      <w:r>
        <w:lastRenderedPageBreak/>
        <w:t>Regulatory proposal 4: Packaging</w:t>
      </w:r>
      <w:bookmarkEnd w:id="126"/>
      <w:bookmarkEnd w:id="127"/>
      <w:r>
        <w:t xml:space="preserve"> </w:t>
      </w:r>
    </w:p>
    <w:p w14:paraId="021DF025" w14:textId="77777777" w:rsidR="00247883" w:rsidRPr="00256F52" w:rsidRDefault="00247883" w:rsidP="00247883">
      <w:pPr>
        <w:pStyle w:val="Heading3"/>
      </w:pPr>
      <w:bookmarkStart w:id="128" w:name="_Toc50468949"/>
      <w:bookmarkStart w:id="129" w:name="_Toc50469066"/>
      <w:bookmarkStart w:id="130" w:name="_Toc50549972"/>
      <w:bookmarkStart w:id="131" w:name="_Toc58869364"/>
      <w:r>
        <w:t>Description</w:t>
      </w:r>
      <w:bookmarkEnd w:id="128"/>
      <w:bookmarkEnd w:id="129"/>
      <w:bookmarkEnd w:id="130"/>
      <w:bookmarkEnd w:id="131"/>
    </w:p>
    <w:p w14:paraId="51927177" w14:textId="6E01CDA4" w:rsidR="00247883" w:rsidRDefault="00247883" w:rsidP="00247883">
      <w:r w:rsidRPr="005A2DA7">
        <w:t xml:space="preserve">The Act requires the packaging of a regulated product to comply with any requirements set out in regulations (section 50). </w:t>
      </w:r>
    </w:p>
    <w:p w14:paraId="563AFFD1" w14:textId="77777777" w:rsidR="00247883" w:rsidRDefault="00247883" w:rsidP="00247883"/>
    <w:p w14:paraId="7A17BAA5" w14:textId="77777777" w:rsidR="00247883" w:rsidRDefault="00247883" w:rsidP="00247883">
      <w:r w:rsidRPr="005A2DA7">
        <w:t>New Zealand has standardised packaging requirements in place for tobacco products, which include pictorial health warnings. The Ministry</w:t>
      </w:r>
      <w:r>
        <w:t xml:space="preserve"> of Health</w:t>
      </w:r>
      <w:r w:rsidRPr="005A2DA7">
        <w:t xml:space="preserve"> consider</w:t>
      </w:r>
      <w:r>
        <w:t>s</w:t>
      </w:r>
      <w:r w:rsidRPr="005A2DA7">
        <w:t xml:space="preserve"> the existing requirements for tobacco products </w:t>
      </w:r>
      <w:r>
        <w:t>are not</w:t>
      </w:r>
      <w:r w:rsidRPr="005A2DA7">
        <w:t xml:space="preserve"> appropriate for products that are not smoked. </w:t>
      </w:r>
    </w:p>
    <w:p w14:paraId="7B6049AB" w14:textId="77777777" w:rsidR="00247883" w:rsidRPr="00256F52" w:rsidRDefault="00247883" w:rsidP="00247883">
      <w:pPr>
        <w:pStyle w:val="Heading3"/>
      </w:pPr>
      <w:bookmarkStart w:id="132" w:name="_Toc50468950"/>
      <w:bookmarkStart w:id="133" w:name="_Toc50469067"/>
      <w:bookmarkStart w:id="134" w:name="_Toc50549973"/>
      <w:bookmarkStart w:id="135" w:name="_Toc58869365"/>
      <w:r>
        <w:t>Proposal</w:t>
      </w:r>
      <w:bookmarkEnd w:id="132"/>
      <w:bookmarkEnd w:id="133"/>
      <w:bookmarkEnd w:id="134"/>
      <w:bookmarkEnd w:id="135"/>
    </w:p>
    <w:p w14:paraId="37F71D88" w14:textId="77777777" w:rsidR="00247883" w:rsidRDefault="00247883" w:rsidP="00247883">
      <w:r w:rsidRPr="00AC2A6C">
        <w:t xml:space="preserve">We propose to set tailored requirements for vaping products and smokeless tobacco products </w:t>
      </w:r>
      <w:r>
        <w:t>that</w:t>
      </w:r>
      <w:r w:rsidRPr="00AC2A6C">
        <w:t xml:space="preserve"> acknowledge the relatively low risk </w:t>
      </w:r>
      <w:r>
        <w:t xml:space="preserve">of these products </w:t>
      </w:r>
      <w:r w:rsidRPr="00AC2A6C">
        <w:t xml:space="preserve">compared with smoked tobacco products. The Government has publicly indicated its intention to follow the United Kingdom packaging requirements, which are based on the European Union Tobacco Products Directive (TPD). </w:t>
      </w:r>
    </w:p>
    <w:p w14:paraId="1E34C05A" w14:textId="77777777" w:rsidR="00247883" w:rsidRPr="00D62B20" w:rsidRDefault="00247883" w:rsidP="00247883">
      <w:pPr>
        <w:spacing w:before="120"/>
        <w:rPr>
          <w:rFonts w:cs="Segoe UI"/>
        </w:rPr>
      </w:pPr>
      <w:r w:rsidRPr="00D62B20">
        <w:rPr>
          <w:rFonts w:cs="Segoe UI"/>
        </w:rPr>
        <w:t>A pictorial example is provided below:</w:t>
      </w:r>
    </w:p>
    <w:p w14:paraId="38F020B9" w14:textId="038C3EBE" w:rsidR="00247883" w:rsidRDefault="00555AB0" w:rsidP="00247883">
      <w:r w:rsidRPr="00EF5760">
        <w:rPr>
          <w:rFonts w:cs="Segoe UI"/>
          <w:b/>
          <w:noProof/>
          <w:highlight w:val="yellow"/>
          <w:lang w:eastAsia="en-NZ"/>
        </w:rPr>
        <w:drawing>
          <wp:anchor distT="0" distB="0" distL="114300" distR="114300" simplePos="0" relativeHeight="251659264" behindDoc="1" locked="0" layoutInCell="1" allowOverlap="1" wp14:anchorId="2E6D6D78" wp14:editId="30F6B50B">
            <wp:simplePos x="0" y="0"/>
            <wp:positionH relativeFrom="margin">
              <wp:posOffset>1270</wp:posOffset>
            </wp:positionH>
            <wp:positionV relativeFrom="paragraph">
              <wp:posOffset>128270</wp:posOffset>
            </wp:positionV>
            <wp:extent cx="1315720" cy="1869440"/>
            <wp:effectExtent l="0" t="0" r="0" b="0"/>
            <wp:wrapTopAndBottom/>
            <wp:docPr id="19" name="Picture 19" descr="Image of vaping product with a warning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t_Salts_Purple_Mojito_uk.png"/>
                    <pic:cNvPicPr/>
                  </pic:nvPicPr>
                  <pic:blipFill rotWithShape="1">
                    <a:blip r:embed="rId30" cstate="print">
                      <a:extLst>
                        <a:ext uri="{28A0092B-C50C-407E-A947-70E740481C1C}">
                          <a14:useLocalDpi xmlns:a14="http://schemas.microsoft.com/office/drawing/2010/main" val="0"/>
                        </a:ext>
                      </a:extLst>
                    </a:blip>
                    <a:srcRect l="20558" t="5983" r="17306" b="5800"/>
                    <a:stretch/>
                  </pic:blipFill>
                  <pic:spPr bwMode="auto">
                    <a:xfrm>
                      <a:off x="0" y="0"/>
                      <a:ext cx="1315720" cy="1869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468F6" w14:textId="65C2EB06" w:rsidR="00247883" w:rsidRPr="005A2DA7" w:rsidRDefault="00247883" w:rsidP="00247883">
      <w:r>
        <w:t>For the</w:t>
      </w:r>
      <w:r w:rsidRPr="005A2DA7">
        <w:t xml:space="preserve"> UK regulations</w:t>
      </w:r>
      <w:r>
        <w:t>, go to</w:t>
      </w:r>
      <w:r w:rsidRPr="005A2DA7">
        <w:t xml:space="preserve">: </w:t>
      </w:r>
      <w:hyperlink r:id="rId31" w:history="1">
        <w:r w:rsidRPr="00221195">
          <w:rPr>
            <w:rStyle w:val="Hyperlink"/>
          </w:rPr>
          <w:t>https://www.legislation.gov.uk/uksi/2016/507/contents/made</w:t>
        </w:r>
      </w:hyperlink>
      <w:r w:rsidRPr="005A2DA7">
        <w:t xml:space="preserve"> </w:t>
      </w:r>
    </w:p>
    <w:p w14:paraId="1E7CF8D1" w14:textId="77777777" w:rsidR="00247883" w:rsidRDefault="00247883" w:rsidP="00247883"/>
    <w:p w14:paraId="59C88DBB" w14:textId="01BF2F0F" w:rsidR="00247883" w:rsidRDefault="00247883" w:rsidP="00247883">
      <w:r>
        <w:t>For the</w:t>
      </w:r>
      <w:r w:rsidRPr="005A2DA7">
        <w:t xml:space="preserve"> TPD</w:t>
      </w:r>
      <w:r>
        <w:t>, go to</w:t>
      </w:r>
      <w:r w:rsidRPr="005A2DA7">
        <w:t xml:space="preserve">: </w:t>
      </w:r>
    </w:p>
    <w:p w14:paraId="71AB643B" w14:textId="2EF07516" w:rsidR="00247883" w:rsidRDefault="00526A93" w:rsidP="00247883">
      <w:hyperlink r:id="rId32" w:history="1">
        <w:r w:rsidR="00247883" w:rsidRPr="00221195">
          <w:rPr>
            <w:rStyle w:val="Hyperlink"/>
          </w:rPr>
          <w:t>https://ec.europa.eu/health//sites/health/files/tobacco/docs/dir_201440_en.pdf</w:t>
        </w:r>
      </w:hyperlink>
      <w:r w:rsidR="00247883" w:rsidRPr="005A2DA7">
        <w:t xml:space="preserve"> </w:t>
      </w:r>
    </w:p>
    <w:p w14:paraId="5731147B" w14:textId="77777777" w:rsidR="00247883" w:rsidRPr="005A2DA7" w:rsidRDefault="00247883" w:rsidP="00247883">
      <w:pPr>
        <w:pStyle w:val="Heading4"/>
      </w:pPr>
      <w:bookmarkStart w:id="136" w:name="_Toc50468951"/>
      <w:bookmarkStart w:id="137" w:name="_Toc50469068"/>
      <w:bookmarkStart w:id="138" w:name="_Toc50549974"/>
      <w:r w:rsidRPr="005A2DA7">
        <w:t>Packaging requirements for vaping products</w:t>
      </w:r>
      <w:bookmarkEnd w:id="136"/>
      <w:bookmarkEnd w:id="137"/>
      <w:bookmarkEnd w:id="138"/>
    </w:p>
    <w:p w14:paraId="10EBA600" w14:textId="14DD4002" w:rsidR="00247883" w:rsidRDefault="00247883" w:rsidP="00247883">
      <w:pPr>
        <w:rPr>
          <w:rFonts w:eastAsiaTheme="majorEastAsia" w:cs="Segoe UI"/>
          <w:color w:val="000000" w:themeColor="text1"/>
          <w:lang w:val="en-AU"/>
        </w:rPr>
      </w:pPr>
      <w:r w:rsidRPr="0095398C">
        <w:rPr>
          <w:b/>
        </w:rPr>
        <w:t>Health warning panel</w:t>
      </w:r>
      <w:r>
        <w:t>.</w:t>
      </w:r>
      <w:r>
        <w:rPr>
          <w:rFonts w:cs="Segoe UI"/>
        </w:rPr>
        <w:t xml:space="preserve"> </w:t>
      </w:r>
      <w:r w:rsidRPr="005A2DA7">
        <w:rPr>
          <w:rFonts w:cs="Segoe UI"/>
        </w:rPr>
        <w:t xml:space="preserve">We propose that any package of a vaping product that contains nicotine must carry the required health warning in English and </w:t>
      </w:r>
      <w:proofErr w:type="spellStart"/>
      <w:r>
        <w:rPr>
          <w:rFonts w:cs="Segoe UI"/>
        </w:rPr>
        <w:t>t</w:t>
      </w:r>
      <w:r w:rsidRPr="005A2DA7">
        <w:rPr>
          <w:rFonts w:cs="Segoe UI"/>
        </w:rPr>
        <w:t>e</w:t>
      </w:r>
      <w:proofErr w:type="spellEnd"/>
      <w:r w:rsidRPr="005A2DA7">
        <w:rPr>
          <w:rFonts w:cs="Segoe UI"/>
        </w:rPr>
        <w:t xml:space="preserve"> </w:t>
      </w:r>
      <w:proofErr w:type="spellStart"/>
      <w:r>
        <w:rPr>
          <w:rFonts w:cs="Segoe UI"/>
        </w:rPr>
        <w:t>r</w:t>
      </w:r>
      <w:r w:rsidRPr="005A2DA7">
        <w:rPr>
          <w:rFonts w:cs="Segoe UI"/>
        </w:rPr>
        <w:t>eo</w:t>
      </w:r>
      <w:proofErr w:type="spellEnd"/>
      <w:r w:rsidRPr="005A2DA7">
        <w:rPr>
          <w:rFonts w:cs="Segoe UI"/>
        </w:rPr>
        <w:t xml:space="preserve"> </w:t>
      </w:r>
      <w:r w:rsidRPr="005A2DA7">
        <w:rPr>
          <w:rFonts w:eastAsiaTheme="majorEastAsia" w:cs="Segoe UI"/>
          <w:color w:val="000000" w:themeColor="text1"/>
          <w:lang w:val="en-AU"/>
        </w:rPr>
        <w:t>Māori</w:t>
      </w:r>
      <w:r>
        <w:rPr>
          <w:rFonts w:eastAsiaTheme="majorEastAsia" w:cs="Segoe UI"/>
          <w:color w:val="000000" w:themeColor="text1"/>
          <w:lang w:val="en-AU"/>
        </w:rPr>
        <w:t>. That health warning</w:t>
      </w:r>
      <w:r w:rsidRPr="005A2DA7">
        <w:rPr>
          <w:rFonts w:eastAsiaTheme="majorEastAsia" w:cs="Segoe UI"/>
          <w:color w:val="000000" w:themeColor="text1"/>
          <w:lang w:val="en-AU"/>
        </w:rPr>
        <w:t xml:space="preserve"> is: </w:t>
      </w:r>
    </w:p>
    <w:p w14:paraId="06ED46BA" w14:textId="77777777" w:rsidR="00555AB0" w:rsidRPr="005A2DA7" w:rsidRDefault="00555AB0" w:rsidP="00247883">
      <w:pPr>
        <w:rPr>
          <w:rFonts w:eastAsiaTheme="majorEastAsia" w:cs="Segoe UI"/>
          <w:color w:val="000000" w:themeColor="text1"/>
          <w:lang w:val="en-AU"/>
        </w:rPr>
      </w:pPr>
    </w:p>
    <w:p w14:paraId="3B4C1662" w14:textId="77777777" w:rsidR="00247883" w:rsidRPr="00C70B9E" w:rsidRDefault="00247883" w:rsidP="00247883">
      <w:pPr>
        <w:pStyle w:val="NormalIndent"/>
        <w:spacing w:before="160"/>
        <w:rPr>
          <w:sz w:val="21"/>
          <w:szCs w:val="21"/>
        </w:rPr>
      </w:pPr>
      <w:r w:rsidRPr="00C70B9E">
        <w:rPr>
          <w:sz w:val="21"/>
          <w:szCs w:val="21"/>
        </w:rPr>
        <w:lastRenderedPageBreak/>
        <w:t>This product contains nicotine which is a highly addictive substance.</w:t>
      </w:r>
    </w:p>
    <w:p w14:paraId="710372E8" w14:textId="77777777" w:rsidR="00247883" w:rsidRPr="00C70B9E" w:rsidRDefault="00247883" w:rsidP="00247883">
      <w:pPr>
        <w:pStyle w:val="NormalIndent"/>
        <w:spacing w:before="160"/>
        <w:rPr>
          <w:sz w:val="21"/>
          <w:szCs w:val="21"/>
        </w:rPr>
      </w:pPr>
      <w:r w:rsidRPr="00C70B9E">
        <w:rPr>
          <w:iCs/>
          <w:sz w:val="21"/>
          <w:szCs w:val="21"/>
        </w:rPr>
        <w:t xml:space="preserve">He </w:t>
      </w:r>
      <w:proofErr w:type="spellStart"/>
      <w:r w:rsidRPr="00C70B9E">
        <w:rPr>
          <w:iCs/>
          <w:sz w:val="21"/>
          <w:szCs w:val="21"/>
        </w:rPr>
        <w:t>nikotīni</w:t>
      </w:r>
      <w:proofErr w:type="spellEnd"/>
      <w:r w:rsidRPr="00C70B9E">
        <w:rPr>
          <w:iCs/>
          <w:sz w:val="21"/>
          <w:szCs w:val="21"/>
        </w:rPr>
        <w:t xml:space="preserve"> </w:t>
      </w:r>
      <w:proofErr w:type="spellStart"/>
      <w:r w:rsidRPr="00C70B9E">
        <w:rPr>
          <w:iCs/>
          <w:sz w:val="21"/>
          <w:szCs w:val="21"/>
        </w:rPr>
        <w:t>kei</w:t>
      </w:r>
      <w:proofErr w:type="spellEnd"/>
      <w:r w:rsidRPr="00C70B9E">
        <w:rPr>
          <w:iCs/>
          <w:sz w:val="21"/>
          <w:szCs w:val="21"/>
        </w:rPr>
        <w:t xml:space="preserve"> roto </w:t>
      </w:r>
      <w:proofErr w:type="spellStart"/>
      <w:r w:rsidRPr="00C70B9E">
        <w:rPr>
          <w:iCs/>
          <w:sz w:val="21"/>
          <w:szCs w:val="21"/>
        </w:rPr>
        <w:t>i</w:t>
      </w:r>
      <w:proofErr w:type="spellEnd"/>
      <w:r w:rsidRPr="00C70B9E">
        <w:rPr>
          <w:iCs/>
          <w:sz w:val="21"/>
          <w:szCs w:val="21"/>
        </w:rPr>
        <w:t xml:space="preserve"> </w:t>
      </w:r>
      <w:proofErr w:type="spellStart"/>
      <w:r w:rsidRPr="00C70B9E">
        <w:rPr>
          <w:iCs/>
          <w:sz w:val="21"/>
          <w:szCs w:val="21"/>
        </w:rPr>
        <w:t>tēnei</w:t>
      </w:r>
      <w:proofErr w:type="spellEnd"/>
      <w:r w:rsidRPr="00C70B9E">
        <w:rPr>
          <w:iCs/>
          <w:sz w:val="21"/>
          <w:szCs w:val="21"/>
        </w:rPr>
        <w:t xml:space="preserve"> </w:t>
      </w:r>
      <w:proofErr w:type="spellStart"/>
      <w:r w:rsidRPr="00C70B9E">
        <w:rPr>
          <w:iCs/>
          <w:sz w:val="21"/>
          <w:szCs w:val="21"/>
        </w:rPr>
        <w:t>mea</w:t>
      </w:r>
      <w:proofErr w:type="spellEnd"/>
      <w:r w:rsidRPr="00C70B9E">
        <w:rPr>
          <w:iCs/>
          <w:sz w:val="21"/>
          <w:szCs w:val="21"/>
        </w:rPr>
        <w:t xml:space="preserve">, he </w:t>
      </w:r>
      <w:proofErr w:type="spellStart"/>
      <w:r w:rsidRPr="00C70B9E">
        <w:rPr>
          <w:iCs/>
          <w:sz w:val="21"/>
          <w:szCs w:val="21"/>
        </w:rPr>
        <w:t>matū</w:t>
      </w:r>
      <w:proofErr w:type="spellEnd"/>
      <w:r w:rsidRPr="00C70B9E">
        <w:rPr>
          <w:iCs/>
          <w:sz w:val="21"/>
          <w:szCs w:val="21"/>
        </w:rPr>
        <w:t xml:space="preserve"> </w:t>
      </w:r>
      <w:proofErr w:type="spellStart"/>
      <w:r w:rsidRPr="00C70B9E">
        <w:rPr>
          <w:iCs/>
          <w:sz w:val="21"/>
          <w:szCs w:val="21"/>
        </w:rPr>
        <w:t>tino</w:t>
      </w:r>
      <w:proofErr w:type="spellEnd"/>
      <w:r w:rsidRPr="00C70B9E">
        <w:rPr>
          <w:iCs/>
          <w:sz w:val="21"/>
          <w:szCs w:val="21"/>
        </w:rPr>
        <w:t xml:space="preserve"> </w:t>
      </w:r>
      <w:proofErr w:type="spellStart"/>
      <w:r w:rsidRPr="00C70B9E">
        <w:rPr>
          <w:iCs/>
          <w:sz w:val="21"/>
          <w:szCs w:val="21"/>
        </w:rPr>
        <w:t>whakawara</w:t>
      </w:r>
      <w:proofErr w:type="spellEnd"/>
      <w:r w:rsidRPr="00C70B9E">
        <w:rPr>
          <w:iCs/>
          <w:sz w:val="21"/>
          <w:szCs w:val="21"/>
        </w:rPr>
        <w:t>.</w:t>
      </w:r>
      <w:r w:rsidRPr="00C70B9E">
        <w:rPr>
          <w:sz w:val="21"/>
          <w:szCs w:val="21"/>
        </w:rPr>
        <w:t xml:space="preserve"> </w:t>
      </w:r>
    </w:p>
    <w:p w14:paraId="2C5C2F29" w14:textId="77777777" w:rsidR="00247883" w:rsidRPr="005A2DA7" w:rsidRDefault="00247883" w:rsidP="00247883">
      <w:pPr>
        <w:spacing w:after="120"/>
        <w:rPr>
          <w:rFonts w:cs="Segoe UI"/>
        </w:rPr>
      </w:pPr>
      <w:r w:rsidRPr="005A2DA7">
        <w:rPr>
          <w:rFonts w:cs="Segoe UI"/>
        </w:rPr>
        <w:t>We propose that the health warning must:</w:t>
      </w:r>
    </w:p>
    <w:p w14:paraId="6789FB8D" w14:textId="77777777" w:rsidR="00247883" w:rsidRDefault="00247883" w:rsidP="00247883">
      <w:pPr>
        <w:pStyle w:val="Bullet"/>
      </w:pPr>
      <w:r w:rsidRPr="005A2DA7">
        <w:t>appear on both the front and the back surfaces of the package</w:t>
      </w:r>
    </w:p>
    <w:p w14:paraId="33845140" w14:textId="77777777" w:rsidR="00247883" w:rsidRDefault="00247883" w:rsidP="00247883">
      <w:pPr>
        <w:pStyle w:val="Bullet"/>
      </w:pPr>
      <w:r w:rsidRPr="00E04066">
        <w:t>cover 32 percent of the area of each of those surfaces, calculated in relation to the area of the surface when the package is closed</w:t>
      </w:r>
    </w:p>
    <w:p w14:paraId="762DD5D8" w14:textId="77777777" w:rsidR="00247883" w:rsidRDefault="00247883" w:rsidP="00247883">
      <w:pPr>
        <w:pStyle w:val="Bullet"/>
      </w:pPr>
      <w:r w:rsidRPr="00E04066">
        <w:t>be in black Helvetica type</w:t>
      </w:r>
      <w:r>
        <w:t>face</w:t>
      </w:r>
      <w:r w:rsidRPr="00E04066">
        <w:t xml:space="preserve"> on a white background</w:t>
      </w:r>
    </w:p>
    <w:p w14:paraId="5771B841" w14:textId="77777777" w:rsidR="00247883" w:rsidRDefault="00247883" w:rsidP="00247883">
      <w:pPr>
        <w:pStyle w:val="Bullet"/>
      </w:pPr>
      <w:r w:rsidRPr="00E04066">
        <w:t xml:space="preserve">be in a font size </w:t>
      </w:r>
      <w:r>
        <w:t>that</w:t>
      </w:r>
      <w:r w:rsidRPr="00E04066">
        <w:t xml:space="preserve"> </w:t>
      </w:r>
      <w:r>
        <w:t>makes</w:t>
      </w:r>
      <w:r w:rsidRPr="00E04066">
        <w:t xml:space="preserve"> the text occup</w:t>
      </w:r>
      <w:r>
        <w:t>y</w:t>
      </w:r>
      <w:r w:rsidRPr="00E04066">
        <w:t xml:space="preserve"> the greatest possible proportion of the surface area reserved for it</w:t>
      </w:r>
    </w:p>
    <w:p w14:paraId="40B667F6" w14:textId="77777777" w:rsidR="00247883" w:rsidRDefault="00247883" w:rsidP="00247883">
      <w:pPr>
        <w:pStyle w:val="Bullet"/>
      </w:pPr>
      <w:r w:rsidRPr="00E04066">
        <w:t>appear at the centre of that area</w:t>
      </w:r>
    </w:p>
    <w:p w14:paraId="30BF13BF" w14:textId="77777777" w:rsidR="00247883" w:rsidRPr="00E04066" w:rsidRDefault="00247883" w:rsidP="00247883">
      <w:pPr>
        <w:pStyle w:val="Bullet"/>
      </w:pPr>
      <w:r w:rsidRPr="00E04066">
        <w:t>be parallel to the main text on the surface concerned.</w:t>
      </w:r>
    </w:p>
    <w:p w14:paraId="3E0EE118" w14:textId="77777777" w:rsidR="00247883" w:rsidRDefault="00247883" w:rsidP="00247883">
      <w:pPr>
        <w:rPr>
          <w:b/>
        </w:rPr>
      </w:pPr>
    </w:p>
    <w:p w14:paraId="2D6555E3" w14:textId="3B621D68" w:rsidR="00247883" w:rsidRPr="005A2DA7" w:rsidRDefault="00247883" w:rsidP="00247883">
      <w:pPr>
        <w:rPr>
          <w:rFonts w:cs="Segoe UI"/>
          <w:lang w:val="en"/>
        </w:rPr>
      </w:pPr>
      <w:r w:rsidRPr="0095398C">
        <w:rPr>
          <w:b/>
        </w:rPr>
        <w:t>Product presentation</w:t>
      </w:r>
      <w:r>
        <w:t>.</w:t>
      </w:r>
      <w:r>
        <w:rPr>
          <w:rFonts w:cs="Segoe UI"/>
          <w:color w:val="000000" w:themeColor="text1"/>
        </w:rPr>
        <w:t xml:space="preserve"> </w:t>
      </w:r>
      <w:r w:rsidRPr="005A2DA7">
        <w:rPr>
          <w:rFonts w:cs="Segoe UI"/>
          <w:color w:val="000000" w:themeColor="text1"/>
        </w:rPr>
        <w:t xml:space="preserve">In addition to the proposed health warning requirements, we propose that the </w:t>
      </w:r>
      <w:r w:rsidRPr="005A2DA7">
        <w:rPr>
          <w:rFonts w:cs="Segoe UI"/>
          <w:lang w:val="en"/>
        </w:rPr>
        <w:t>package of a vaping product may not include any element or feature that:</w:t>
      </w:r>
    </w:p>
    <w:p w14:paraId="239CB497"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specVanish/>
        </w:rPr>
      </w:pPr>
      <w:r w:rsidRPr="00555AB0">
        <w:rPr>
          <w:sz w:val="21"/>
          <w:szCs w:val="21"/>
          <w:specVanish/>
        </w:rPr>
        <w:t>promotes a vaping product or encourages its consumption by creating an erroneous impression about its characteristics, health effects, risks or emissions</w:t>
      </w:r>
    </w:p>
    <w:p w14:paraId="4DC8D780"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specVanish/>
        </w:rPr>
      </w:pPr>
      <w:r w:rsidRPr="00555AB0">
        <w:rPr>
          <w:sz w:val="21"/>
          <w:szCs w:val="21"/>
          <w:specVanish/>
        </w:rPr>
        <w:t>suggests that a particular vaping product:</w:t>
      </w:r>
    </w:p>
    <w:p w14:paraId="2D0030C1" w14:textId="77777777" w:rsidR="00247883" w:rsidRPr="00C70B9E" w:rsidRDefault="00247883" w:rsidP="00157223">
      <w:pPr>
        <w:pStyle w:val="ListNumber2"/>
        <w:spacing w:before="90" w:after="90"/>
        <w:ind w:left="851" w:hanging="425"/>
        <w:contextualSpacing w:val="0"/>
        <w:rPr>
          <w:color w:val="000000" w:themeColor="text1"/>
          <w:sz w:val="21"/>
          <w:szCs w:val="21"/>
        </w:rPr>
      </w:pPr>
      <w:r w:rsidRPr="00C70B9E">
        <w:rPr>
          <w:sz w:val="21"/>
          <w:szCs w:val="21"/>
          <w:lang w:val="en"/>
        </w:rPr>
        <w:t>is less harmful than other vaping products</w:t>
      </w:r>
    </w:p>
    <w:p w14:paraId="7B5B1B20" w14:textId="77777777" w:rsidR="00247883" w:rsidRPr="00C70B9E" w:rsidRDefault="00247883" w:rsidP="00157223">
      <w:pPr>
        <w:pStyle w:val="ListNumber2"/>
        <w:spacing w:before="90" w:after="90"/>
        <w:ind w:left="851" w:hanging="425"/>
        <w:contextualSpacing w:val="0"/>
        <w:rPr>
          <w:color w:val="000000" w:themeColor="text1"/>
          <w:sz w:val="21"/>
          <w:szCs w:val="21"/>
        </w:rPr>
      </w:pPr>
      <w:r w:rsidRPr="00C70B9E">
        <w:rPr>
          <w:sz w:val="21"/>
          <w:szCs w:val="21"/>
          <w:lang w:val="en"/>
        </w:rPr>
        <w:t xml:space="preserve">has </w:t>
      </w:r>
      <w:proofErr w:type="spellStart"/>
      <w:r w:rsidRPr="00C70B9E">
        <w:rPr>
          <w:sz w:val="21"/>
          <w:szCs w:val="21"/>
          <w:lang w:val="en"/>
        </w:rPr>
        <w:t>vitalising</w:t>
      </w:r>
      <w:proofErr w:type="spellEnd"/>
      <w:r w:rsidRPr="00C70B9E">
        <w:rPr>
          <w:sz w:val="21"/>
          <w:szCs w:val="21"/>
          <w:lang w:val="en"/>
        </w:rPr>
        <w:t xml:space="preserve">, </w:t>
      </w:r>
      <w:proofErr w:type="spellStart"/>
      <w:r w:rsidRPr="00C70B9E">
        <w:rPr>
          <w:sz w:val="21"/>
          <w:szCs w:val="21"/>
          <w:lang w:val="en"/>
        </w:rPr>
        <w:t>energising</w:t>
      </w:r>
      <w:proofErr w:type="spellEnd"/>
      <w:r w:rsidRPr="00C70B9E">
        <w:rPr>
          <w:sz w:val="21"/>
          <w:szCs w:val="21"/>
          <w:lang w:val="en"/>
        </w:rPr>
        <w:t>, healing, rejuvenating, natural or organic properties</w:t>
      </w:r>
    </w:p>
    <w:p w14:paraId="712C919C" w14:textId="77777777" w:rsidR="00247883" w:rsidRPr="00C70B9E" w:rsidRDefault="00247883" w:rsidP="00157223">
      <w:pPr>
        <w:pStyle w:val="ListNumber2"/>
        <w:spacing w:before="90" w:after="90"/>
        <w:ind w:left="851" w:hanging="425"/>
        <w:contextualSpacing w:val="0"/>
        <w:rPr>
          <w:color w:val="000000" w:themeColor="text1"/>
          <w:sz w:val="21"/>
          <w:szCs w:val="21"/>
        </w:rPr>
      </w:pPr>
      <w:r w:rsidRPr="00C70B9E">
        <w:rPr>
          <w:sz w:val="21"/>
          <w:szCs w:val="21"/>
          <w:lang w:val="en"/>
        </w:rPr>
        <w:t>has other health or lifestyle benefits</w:t>
      </w:r>
    </w:p>
    <w:p w14:paraId="55DAF898"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rPr>
      </w:pPr>
      <w:r w:rsidRPr="00555AB0">
        <w:rPr>
          <w:sz w:val="21"/>
          <w:szCs w:val="21"/>
          <w:specVanish/>
        </w:rPr>
        <w:t>refers to taste, smell or other additives (except flavourings) or the absence of any such thing</w:t>
      </w:r>
    </w:p>
    <w:p w14:paraId="4C7FC0DA"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rPr>
      </w:pPr>
      <w:r w:rsidRPr="00555AB0">
        <w:rPr>
          <w:sz w:val="21"/>
          <w:szCs w:val="21"/>
          <w:specVanish/>
        </w:rPr>
        <w:t>resembles a food or a cosmetic product</w:t>
      </w:r>
    </w:p>
    <w:p w14:paraId="5C1638AB"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rPr>
      </w:pPr>
      <w:r w:rsidRPr="00555AB0">
        <w:rPr>
          <w:sz w:val="21"/>
          <w:szCs w:val="21"/>
          <w:specVanish/>
        </w:rPr>
        <w:t>suggests that a particular vaping product has improved biodegradability or other environmental advantages</w:t>
      </w:r>
    </w:p>
    <w:p w14:paraId="5B88F147" w14:textId="77777777" w:rsidR="00247883" w:rsidRPr="00555AB0" w:rsidRDefault="00247883" w:rsidP="00A70089">
      <w:pPr>
        <w:pStyle w:val="ListNumber"/>
        <w:numPr>
          <w:ilvl w:val="0"/>
          <w:numId w:val="35"/>
        </w:numPr>
        <w:tabs>
          <w:tab w:val="clear" w:pos="2629"/>
          <w:tab w:val="num" w:pos="2835"/>
        </w:tabs>
        <w:spacing w:before="90" w:after="90"/>
        <w:ind w:left="426" w:hanging="426"/>
        <w:contextualSpacing w:val="0"/>
        <w:rPr>
          <w:sz w:val="21"/>
          <w:szCs w:val="21"/>
        </w:rPr>
      </w:pPr>
      <w:r w:rsidRPr="00555AB0">
        <w:rPr>
          <w:sz w:val="21"/>
          <w:szCs w:val="21"/>
        </w:rPr>
        <w:t xml:space="preserve">suggests economic advantage by including printed vouchers or offering discounts, free distribution, two-for-one or other similar offers. </w:t>
      </w:r>
    </w:p>
    <w:p w14:paraId="2F9D25FB" w14:textId="6CBC3FFF" w:rsidR="00247883" w:rsidRDefault="00247883" w:rsidP="00247883">
      <w:pPr>
        <w:rPr>
          <w:lang w:val="en"/>
        </w:rPr>
      </w:pPr>
      <w:r w:rsidRPr="005A2DA7">
        <w:rPr>
          <w:lang w:val="en"/>
        </w:rPr>
        <w:t xml:space="preserve">The elements and features referred to in </w:t>
      </w:r>
      <w:r>
        <w:rPr>
          <w:lang w:val="en"/>
        </w:rPr>
        <w:t xml:space="preserve">1 </w:t>
      </w:r>
      <w:r w:rsidRPr="005A2DA7">
        <w:rPr>
          <w:lang w:val="en"/>
        </w:rPr>
        <w:t xml:space="preserve">to </w:t>
      </w:r>
      <w:r>
        <w:rPr>
          <w:lang w:val="en"/>
        </w:rPr>
        <w:t>6 above</w:t>
      </w:r>
      <w:r w:rsidRPr="005A2DA7">
        <w:rPr>
          <w:lang w:val="en"/>
        </w:rPr>
        <w:t xml:space="preserve"> include (but are not limited to) text, symbols, names, </w:t>
      </w:r>
      <w:proofErr w:type="spellStart"/>
      <w:r w:rsidRPr="005A2DA7">
        <w:rPr>
          <w:lang w:val="en"/>
        </w:rPr>
        <w:t>trade</w:t>
      </w:r>
      <w:r>
        <w:rPr>
          <w:lang w:val="en"/>
        </w:rPr>
        <w:t xml:space="preserve"> </w:t>
      </w:r>
      <w:r w:rsidRPr="005A2DA7">
        <w:rPr>
          <w:lang w:val="en"/>
        </w:rPr>
        <w:t>marks</w:t>
      </w:r>
      <w:proofErr w:type="spellEnd"/>
      <w:r w:rsidRPr="005A2DA7">
        <w:rPr>
          <w:lang w:val="en"/>
        </w:rPr>
        <w:t xml:space="preserve">, </w:t>
      </w:r>
      <w:r>
        <w:rPr>
          <w:lang w:val="en"/>
        </w:rPr>
        <w:t xml:space="preserve">or </w:t>
      </w:r>
      <w:r w:rsidRPr="005A2DA7">
        <w:rPr>
          <w:lang w:val="en"/>
        </w:rPr>
        <w:t xml:space="preserve">figurative or other types of sign. </w:t>
      </w:r>
    </w:p>
    <w:p w14:paraId="0CEFFDF8" w14:textId="77777777" w:rsidR="00247883" w:rsidRDefault="00247883" w:rsidP="00247883">
      <w:pPr>
        <w:rPr>
          <w:lang w:val="en"/>
        </w:rPr>
      </w:pPr>
    </w:p>
    <w:p w14:paraId="3AC6EB52" w14:textId="6DEECEF5" w:rsidR="00247883" w:rsidRDefault="00247883" w:rsidP="00247883">
      <w:pPr>
        <w:rPr>
          <w:rFonts w:cs="Segoe UI"/>
        </w:rPr>
      </w:pPr>
      <w:r w:rsidRPr="00560566">
        <w:rPr>
          <w:b/>
        </w:rPr>
        <w:t>Product labelling</w:t>
      </w:r>
      <w:r w:rsidRPr="00560566">
        <w:rPr>
          <w:rFonts w:cs="Segoe UI"/>
          <w:b/>
        </w:rPr>
        <w:t>.</w:t>
      </w:r>
      <w:r w:rsidRPr="00116B07">
        <w:rPr>
          <w:rFonts w:cs="Segoe UI"/>
        </w:rPr>
        <w:t xml:space="preserve"> We propose that vaping substance containers must include specific information on their labels. </w:t>
      </w:r>
      <w:r>
        <w:rPr>
          <w:rFonts w:cs="Segoe UI"/>
        </w:rPr>
        <w:t>Appendix A sets out o</w:t>
      </w:r>
      <w:r w:rsidRPr="00116B07">
        <w:rPr>
          <w:rFonts w:cs="Segoe UI"/>
        </w:rPr>
        <w:t>ur full proposal for product safety requirements.</w:t>
      </w:r>
      <w:r>
        <w:rPr>
          <w:rFonts w:cs="Segoe UI"/>
        </w:rPr>
        <w:t xml:space="preserve"> </w:t>
      </w:r>
    </w:p>
    <w:p w14:paraId="7D869239" w14:textId="77777777" w:rsidR="00247883" w:rsidRPr="00E30B07" w:rsidRDefault="00247883" w:rsidP="00247883">
      <w:pPr>
        <w:rPr>
          <w:rFonts w:cs="Segoe UI"/>
          <w:b/>
        </w:rPr>
      </w:pPr>
    </w:p>
    <w:p w14:paraId="7C3E7A28" w14:textId="77777777" w:rsidR="00247883" w:rsidRPr="00D931D1" w:rsidRDefault="00247883" w:rsidP="00247883">
      <w:pPr>
        <w:rPr>
          <w:rFonts w:cs="Segoe UI"/>
        </w:rPr>
      </w:pPr>
      <w:r w:rsidRPr="00E30B07">
        <w:rPr>
          <w:b/>
        </w:rPr>
        <w:t>Safety messaging</w:t>
      </w:r>
      <w:r>
        <w:t xml:space="preserve">. </w:t>
      </w:r>
      <w:r w:rsidRPr="00D931D1">
        <w:rPr>
          <w:rFonts w:cs="Segoe UI"/>
        </w:rPr>
        <w:t>We propose that the label of vaping substance containers must include the following statements, or words with the same meaning:</w:t>
      </w:r>
    </w:p>
    <w:p w14:paraId="03E15AC7" w14:textId="77777777" w:rsidR="00247883" w:rsidRPr="00D931D1" w:rsidRDefault="00247883" w:rsidP="00247883">
      <w:pPr>
        <w:pStyle w:val="Bullet"/>
      </w:pPr>
      <w:r>
        <w:t xml:space="preserve">‘CAUTION: </w:t>
      </w:r>
      <w:r w:rsidRPr="00D931D1">
        <w:t>Keep out of reach of children or pets</w:t>
      </w:r>
      <w:r>
        <w:t>.’</w:t>
      </w:r>
    </w:p>
    <w:p w14:paraId="77643CB6" w14:textId="77777777" w:rsidR="00247883" w:rsidRPr="00D931D1" w:rsidRDefault="00247883" w:rsidP="00247883">
      <w:pPr>
        <w:pStyle w:val="Bullet"/>
      </w:pPr>
      <w:r>
        <w:t>‘</w:t>
      </w:r>
      <w:r w:rsidRPr="00D931D1">
        <w:t>Wash contact area thoroughly if skin, eye or mouth contact with the substance occurs</w:t>
      </w:r>
      <w:r>
        <w:t>.’</w:t>
      </w:r>
    </w:p>
    <w:p w14:paraId="5B7A09B4" w14:textId="77777777" w:rsidR="00247883" w:rsidRPr="00D931D1" w:rsidRDefault="00247883" w:rsidP="00247883">
      <w:pPr>
        <w:pStyle w:val="Bullet"/>
      </w:pPr>
      <w:r>
        <w:t>‘</w:t>
      </w:r>
      <w:r w:rsidRPr="00D931D1">
        <w:t>Do not swallow. If taken into the mouth, rinse mouth thoroughly</w:t>
      </w:r>
      <w:r>
        <w:t>.’</w:t>
      </w:r>
    </w:p>
    <w:p w14:paraId="73D31455" w14:textId="77777777" w:rsidR="00247883" w:rsidRPr="00D931D1" w:rsidRDefault="00247883" w:rsidP="00247883">
      <w:pPr>
        <w:pStyle w:val="Bullet"/>
      </w:pPr>
      <w:r>
        <w:t>‘</w:t>
      </w:r>
      <w:r w:rsidRPr="00D931D1">
        <w:t>Contact 0800 POISON (0800 764</w:t>
      </w:r>
      <w:r>
        <w:t xml:space="preserve"> </w:t>
      </w:r>
      <w:r w:rsidRPr="00D931D1">
        <w:t>766) for advice if swallowed</w:t>
      </w:r>
      <w:r>
        <w:t>.’</w:t>
      </w:r>
    </w:p>
    <w:p w14:paraId="03BFE7D6" w14:textId="77777777" w:rsidR="00247883" w:rsidRDefault="00247883" w:rsidP="00247883">
      <w:pPr>
        <w:pStyle w:val="Bullet"/>
      </w:pPr>
      <w:r>
        <w:lastRenderedPageBreak/>
        <w:t>‘</w:t>
      </w:r>
      <w:r w:rsidRPr="00D931D1">
        <w:t>Seek medical advice if you feel unwell after contact</w:t>
      </w:r>
      <w:r>
        <w:t xml:space="preserve"> with</w:t>
      </w:r>
      <w:r w:rsidRPr="00D931D1">
        <w:t xml:space="preserve"> the substance or us</w:t>
      </w:r>
      <w:r>
        <w:t>e of</w:t>
      </w:r>
      <w:r w:rsidRPr="00D931D1">
        <w:t xml:space="preserve"> this product.</w:t>
      </w:r>
      <w:r>
        <w:t>’</w:t>
      </w:r>
    </w:p>
    <w:p w14:paraId="742DA008" w14:textId="77777777" w:rsidR="00247883" w:rsidRPr="005A2DA7" w:rsidRDefault="00247883" w:rsidP="00247883">
      <w:pPr>
        <w:pStyle w:val="Heading4"/>
      </w:pPr>
      <w:bookmarkStart w:id="139" w:name="_Toc50468952"/>
      <w:bookmarkStart w:id="140" w:name="_Toc50469069"/>
      <w:bookmarkStart w:id="141" w:name="_Toc50549975"/>
      <w:r w:rsidRPr="005A2DA7">
        <w:t>Packaging requirements for smokeless tobacco products</w:t>
      </w:r>
      <w:bookmarkEnd w:id="139"/>
      <w:bookmarkEnd w:id="140"/>
      <w:bookmarkEnd w:id="141"/>
    </w:p>
    <w:p w14:paraId="156141F4" w14:textId="77777777" w:rsidR="00247883" w:rsidRPr="005A2DA7" w:rsidRDefault="00247883" w:rsidP="00247883">
      <w:pPr>
        <w:rPr>
          <w:rFonts w:eastAsiaTheme="majorEastAsia" w:cs="Segoe UI"/>
          <w:color w:val="000000" w:themeColor="text1"/>
          <w:lang w:val="en-AU"/>
        </w:rPr>
      </w:pPr>
      <w:r w:rsidRPr="00E30B07">
        <w:rPr>
          <w:b/>
        </w:rPr>
        <w:t>Health warning panel</w:t>
      </w:r>
      <w:r>
        <w:t xml:space="preserve">. </w:t>
      </w:r>
      <w:r w:rsidRPr="005A2DA7">
        <w:rPr>
          <w:rFonts w:cs="Segoe UI"/>
        </w:rPr>
        <w:t xml:space="preserve">We propose that any package of a smokeless tobacco product must carry the required health warning in English and </w:t>
      </w:r>
      <w:proofErr w:type="spellStart"/>
      <w:r>
        <w:rPr>
          <w:rFonts w:cs="Segoe UI"/>
        </w:rPr>
        <w:t>t</w:t>
      </w:r>
      <w:r w:rsidRPr="005A2DA7">
        <w:rPr>
          <w:rFonts w:cs="Segoe UI"/>
        </w:rPr>
        <w:t>e</w:t>
      </w:r>
      <w:proofErr w:type="spellEnd"/>
      <w:r w:rsidRPr="005A2DA7">
        <w:rPr>
          <w:rFonts w:cs="Segoe UI"/>
        </w:rPr>
        <w:t xml:space="preserve"> </w:t>
      </w:r>
      <w:proofErr w:type="spellStart"/>
      <w:r>
        <w:rPr>
          <w:rFonts w:cs="Segoe UI"/>
        </w:rPr>
        <w:t>r</w:t>
      </w:r>
      <w:r w:rsidRPr="005A2DA7">
        <w:rPr>
          <w:rFonts w:cs="Segoe UI"/>
        </w:rPr>
        <w:t>eo</w:t>
      </w:r>
      <w:proofErr w:type="spellEnd"/>
      <w:r w:rsidRPr="005A2DA7">
        <w:rPr>
          <w:rFonts w:cs="Segoe UI"/>
        </w:rPr>
        <w:t xml:space="preserve"> </w:t>
      </w:r>
      <w:r w:rsidRPr="005A2DA7">
        <w:rPr>
          <w:rFonts w:eastAsiaTheme="majorEastAsia" w:cs="Segoe UI"/>
          <w:color w:val="000000" w:themeColor="text1"/>
          <w:lang w:val="en-AU"/>
        </w:rPr>
        <w:t>Māori</w:t>
      </w:r>
      <w:r>
        <w:rPr>
          <w:rFonts w:eastAsiaTheme="majorEastAsia" w:cs="Segoe UI"/>
          <w:color w:val="000000" w:themeColor="text1"/>
          <w:lang w:val="en-AU"/>
        </w:rPr>
        <w:t>.</w:t>
      </w:r>
      <w:r w:rsidRPr="005A2DA7">
        <w:rPr>
          <w:rFonts w:eastAsiaTheme="majorEastAsia" w:cs="Segoe UI"/>
          <w:color w:val="000000" w:themeColor="text1"/>
          <w:lang w:val="en-AU"/>
        </w:rPr>
        <w:t xml:space="preserve"> </w:t>
      </w:r>
      <w:r>
        <w:rPr>
          <w:rFonts w:eastAsiaTheme="majorEastAsia" w:cs="Segoe UI"/>
          <w:color w:val="000000" w:themeColor="text1"/>
          <w:lang w:val="en-AU"/>
        </w:rPr>
        <w:t>T</w:t>
      </w:r>
      <w:r w:rsidRPr="005A2DA7">
        <w:rPr>
          <w:rFonts w:eastAsiaTheme="majorEastAsia" w:cs="Segoe UI"/>
          <w:color w:val="000000" w:themeColor="text1"/>
          <w:lang w:val="en-AU"/>
        </w:rPr>
        <w:t xml:space="preserve">hat </w:t>
      </w:r>
      <w:r>
        <w:rPr>
          <w:rFonts w:eastAsiaTheme="majorEastAsia" w:cs="Segoe UI"/>
          <w:color w:val="000000" w:themeColor="text1"/>
          <w:lang w:val="en-AU"/>
        </w:rPr>
        <w:t xml:space="preserve">warning </w:t>
      </w:r>
      <w:r w:rsidRPr="005A2DA7">
        <w:rPr>
          <w:rFonts w:eastAsiaTheme="majorEastAsia" w:cs="Segoe UI"/>
          <w:color w:val="000000" w:themeColor="text1"/>
          <w:lang w:val="en-AU"/>
        </w:rPr>
        <w:t>is:</w:t>
      </w:r>
    </w:p>
    <w:p w14:paraId="4F2BE89C" w14:textId="77777777" w:rsidR="00247883" w:rsidRPr="00C70B9E" w:rsidRDefault="00247883" w:rsidP="00247883">
      <w:pPr>
        <w:pStyle w:val="NormalIndent"/>
        <w:spacing w:before="160"/>
        <w:rPr>
          <w:sz w:val="21"/>
          <w:szCs w:val="21"/>
        </w:rPr>
      </w:pPr>
      <w:r w:rsidRPr="00C70B9E">
        <w:rPr>
          <w:sz w:val="21"/>
          <w:szCs w:val="21"/>
        </w:rPr>
        <w:t>This product damages your health and is addictive.</w:t>
      </w:r>
    </w:p>
    <w:p w14:paraId="628780A3" w14:textId="77777777" w:rsidR="00247883" w:rsidRPr="00C70B9E" w:rsidRDefault="00247883" w:rsidP="00247883">
      <w:pPr>
        <w:pStyle w:val="NormalIndent"/>
        <w:spacing w:before="160"/>
        <w:rPr>
          <w:iCs/>
          <w:sz w:val="21"/>
          <w:szCs w:val="21"/>
        </w:rPr>
      </w:pPr>
      <w:r w:rsidRPr="00C70B9E">
        <w:rPr>
          <w:iCs/>
          <w:sz w:val="21"/>
          <w:szCs w:val="21"/>
        </w:rPr>
        <w:t xml:space="preserve">Ka </w:t>
      </w:r>
      <w:proofErr w:type="spellStart"/>
      <w:r w:rsidRPr="00C70B9E">
        <w:rPr>
          <w:iCs/>
          <w:sz w:val="21"/>
          <w:szCs w:val="21"/>
        </w:rPr>
        <w:t>patu</w:t>
      </w:r>
      <w:proofErr w:type="spellEnd"/>
      <w:r w:rsidRPr="00C70B9E">
        <w:rPr>
          <w:iCs/>
          <w:sz w:val="21"/>
          <w:szCs w:val="21"/>
        </w:rPr>
        <w:t xml:space="preserve"> </w:t>
      </w:r>
      <w:proofErr w:type="spellStart"/>
      <w:r w:rsidRPr="00C70B9E">
        <w:rPr>
          <w:iCs/>
          <w:sz w:val="21"/>
          <w:szCs w:val="21"/>
        </w:rPr>
        <w:t>tēnei</w:t>
      </w:r>
      <w:proofErr w:type="spellEnd"/>
      <w:r w:rsidRPr="00C70B9E">
        <w:rPr>
          <w:iCs/>
          <w:sz w:val="21"/>
          <w:szCs w:val="21"/>
        </w:rPr>
        <w:t xml:space="preserve"> </w:t>
      </w:r>
      <w:proofErr w:type="spellStart"/>
      <w:r w:rsidRPr="00C70B9E">
        <w:rPr>
          <w:iCs/>
          <w:sz w:val="21"/>
          <w:szCs w:val="21"/>
        </w:rPr>
        <w:t>mea</w:t>
      </w:r>
      <w:proofErr w:type="spellEnd"/>
      <w:r w:rsidRPr="00C70B9E">
        <w:rPr>
          <w:iCs/>
          <w:sz w:val="21"/>
          <w:szCs w:val="21"/>
        </w:rPr>
        <w:t xml:space="preserve"> </w:t>
      </w:r>
      <w:proofErr w:type="spellStart"/>
      <w:r w:rsidRPr="00C70B9E">
        <w:rPr>
          <w:iCs/>
          <w:sz w:val="21"/>
          <w:szCs w:val="21"/>
        </w:rPr>
        <w:t>i</w:t>
      </w:r>
      <w:proofErr w:type="spellEnd"/>
      <w:r w:rsidRPr="00C70B9E">
        <w:rPr>
          <w:iCs/>
          <w:sz w:val="21"/>
          <w:szCs w:val="21"/>
        </w:rPr>
        <w:t xml:space="preserve"> </w:t>
      </w:r>
      <w:proofErr w:type="spellStart"/>
      <w:r w:rsidRPr="00C70B9E">
        <w:rPr>
          <w:iCs/>
          <w:sz w:val="21"/>
          <w:szCs w:val="21"/>
        </w:rPr>
        <w:t>tō</w:t>
      </w:r>
      <w:proofErr w:type="spellEnd"/>
      <w:r w:rsidRPr="00C70B9E">
        <w:rPr>
          <w:iCs/>
          <w:sz w:val="21"/>
          <w:szCs w:val="21"/>
        </w:rPr>
        <w:t xml:space="preserve"> </w:t>
      </w:r>
      <w:proofErr w:type="spellStart"/>
      <w:r w:rsidRPr="00C70B9E">
        <w:rPr>
          <w:iCs/>
          <w:sz w:val="21"/>
          <w:szCs w:val="21"/>
        </w:rPr>
        <w:t>hauora</w:t>
      </w:r>
      <w:proofErr w:type="spellEnd"/>
      <w:r w:rsidRPr="00C70B9E">
        <w:rPr>
          <w:iCs/>
          <w:sz w:val="21"/>
          <w:szCs w:val="21"/>
        </w:rPr>
        <w:t xml:space="preserve">, ka </w:t>
      </w:r>
      <w:proofErr w:type="spellStart"/>
      <w:r w:rsidRPr="00C70B9E">
        <w:rPr>
          <w:iCs/>
          <w:sz w:val="21"/>
          <w:szCs w:val="21"/>
        </w:rPr>
        <w:t>whakawara</w:t>
      </w:r>
      <w:proofErr w:type="spellEnd"/>
      <w:r w:rsidRPr="00C70B9E">
        <w:rPr>
          <w:iCs/>
          <w:sz w:val="21"/>
          <w:szCs w:val="21"/>
        </w:rPr>
        <w:t xml:space="preserve"> </w:t>
      </w:r>
      <w:proofErr w:type="spellStart"/>
      <w:r w:rsidRPr="00C70B9E">
        <w:rPr>
          <w:iCs/>
          <w:sz w:val="21"/>
          <w:szCs w:val="21"/>
        </w:rPr>
        <w:t>i</w:t>
      </w:r>
      <w:proofErr w:type="spellEnd"/>
      <w:r w:rsidRPr="00C70B9E">
        <w:rPr>
          <w:iCs/>
          <w:sz w:val="21"/>
          <w:szCs w:val="21"/>
        </w:rPr>
        <w:t xml:space="preserve"> a </w:t>
      </w:r>
      <w:proofErr w:type="spellStart"/>
      <w:r w:rsidRPr="00C70B9E">
        <w:rPr>
          <w:iCs/>
          <w:sz w:val="21"/>
          <w:szCs w:val="21"/>
        </w:rPr>
        <w:t>koe</w:t>
      </w:r>
      <w:proofErr w:type="spellEnd"/>
      <w:r w:rsidRPr="00C70B9E">
        <w:rPr>
          <w:iCs/>
          <w:sz w:val="21"/>
          <w:szCs w:val="21"/>
        </w:rPr>
        <w:t>.</w:t>
      </w:r>
    </w:p>
    <w:p w14:paraId="035ED080" w14:textId="77777777" w:rsidR="00247883" w:rsidRPr="005A2DA7" w:rsidRDefault="00247883" w:rsidP="00247883">
      <w:pPr>
        <w:spacing w:after="120"/>
        <w:jc w:val="both"/>
        <w:rPr>
          <w:rFonts w:cs="Segoe UI"/>
        </w:rPr>
      </w:pPr>
      <w:r w:rsidRPr="005A2DA7">
        <w:rPr>
          <w:rFonts w:cs="Segoe UI"/>
        </w:rPr>
        <w:t>We propose that th</w:t>
      </w:r>
      <w:r>
        <w:rPr>
          <w:rFonts w:cs="Segoe UI"/>
        </w:rPr>
        <w:t>e</w:t>
      </w:r>
      <w:r w:rsidRPr="005A2DA7">
        <w:rPr>
          <w:rFonts w:cs="Segoe UI"/>
        </w:rPr>
        <w:t xml:space="preserve"> health warning must:</w:t>
      </w:r>
    </w:p>
    <w:p w14:paraId="67716576"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appear on both the front and the back surfaces of the package</w:t>
      </w:r>
    </w:p>
    <w:p w14:paraId="044E4B18"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cover 32 percent of the area of each of those surfaces, calculated in relation to the area of the surface when the package is closed</w:t>
      </w:r>
    </w:p>
    <w:p w14:paraId="4AA3886C"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in black Helvetica typeface on a white background</w:t>
      </w:r>
    </w:p>
    <w:p w14:paraId="7EB5739E"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in a font size that makes the text occupy the greatest possible proportion of the surface area reserved for it</w:t>
      </w:r>
    </w:p>
    <w:p w14:paraId="1221732E"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appear at the centre of that area</w:t>
      </w:r>
    </w:p>
    <w:p w14:paraId="284C6C13"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parallel to the main text on the surface concerned</w:t>
      </w:r>
    </w:p>
    <w:p w14:paraId="16DAEFDE"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cover the entire area that is reserved for it and not be commented on or paraphrased</w:t>
      </w:r>
    </w:p>
    <w:p w14:paraId="6830DEC1"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 xml:space="preserve">be in both English and </w:t>
      </w:r>
      <w:proofErr w:type="spellStart"/>
      <w:r w:rsidRPr="00C70B9E">
        <w:rPr>
          <w:sz w:val="21"/>
          <w:szCs w:val="21"/>
        </w:rPr>
        <w:t>te</w:t>
      </w:r>
      <w:proofErr w:type="spellEnd"/>
      <w:r w:rsidRPr="00C70B9E">
        <w:rPr>
          <w:sz w:val="21"/>
          <w:szCs w:val="21"/>
        </w:rPr>
        <w:t xml:space="preserve"> </w:t>
      </w:r>
      <w:proofErr w:type="spellStart"/>
      <w:r w:rsidRPr="00C70B9E">
        <w:rPr>
          <w:sz w:val="21"/>
          <w:szCs w:val="21"/>
        </w:rPr>
        <w:t>reo</w:t>
      </w:r>
      <w:proofErr w:type="spellEnd"/>
      <w:r w:rsidRPr="00C70B9E">
        <w:rPr>
          <w:sz w:val="21"/>
          <w:szCs w:val="21"/>
        </w:rPr>
        <w:t xml:space="preserve"> Māori</w:t>
      </w:r>
    </w:p>
    <w:p w14:paraId="35DE7A6A"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fully visible</w:t>
      </w:r>
    </w:p>
    <w:p w14:paraId="330B085B"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indelible</w:t>
      </w:r>
    </w:p>
    <w:p w14:paraId="494C485A"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irremovably printed</w:t>
      </w:r>
    </w:p>
    <w:p w14:paraId="0E806E81"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printed on the package, or on a sticker attached to the package provided the sticker is irremovable</w:t>
      </w:r>
    </w:p>
    <w:p w14:paraId="701BFB1D" w14:textId="77777777" w:rsidR="00247883" w:rsidRPr="00C70B9E" w:rsidRDefault="00247883" w:rsidP="00157223">
      <w:pPr>
        <w:pStyle w:val="ListNumber"/>
        <w:numPr>
          <w:ilvl w:val="0"/>
          <w:numId w:val="7"/>
        </w:numPr>
        <w:tabs>
          <w:tab w:val="clear" w:pos="2629"/>
          <w:tab w:val="num" w:pos="2835"/>
        </w:tabs>
        <w:spacing w:before="90" w:after="90"/>
        <w:ind w:left="426" w:hanging="426"/>
        <w:contextualSpacing w:val="0"/>
        <w:rPr>
          <w:sz w:val="21"/>
          <w:szCs w:val="21"/>
        </w:rPr>
      </w:pPr>
      <w:r w:rsidRPr="00C70B9E">
        <w:rPr>
          <w:sz w:val="21"/>
          <w:szCs w:val="21"/>
        </w:rPr>
        <w:t>be surrounded by a black border of a width of 1 mm inside the area reserved for it</w:t>
      </w:r>
    </w:p>
    <w:p w14:paraId="7C7D86D6" w14:textId="277FE9A4" w:rsidR="00247883" w:rsidRPr="00C70B9E" w:rsidRDefault="00247883" w:rsidP="00157223">
      <w:pPr>
        <w:pStyle w:val="ListNumber"/>
        <w:numPr>
          <w:ilvl w:val="0"/>
          <w:numId w:val="7"/>
        </w:numPr>
        <w:tabs>
          <w:tab w:val="clear" w:pos="2629"/>
          <w:tab w:val="num" w:pos="2835"/>
        </w:tabs>
        <w:spacing w:before="90" w:after="0"/>
        <w:ind w:left="426" w:hanging="426"/>
        <w:contextualSpacing w:val="0"/>
        <w:rPr>
          <w:sz w:val="21"/>
          <w:szCs w:val="21"/>
        </w:rPr>
      </w:pPr>
      <w:r w:rsidRPr="00C70B9E">
        <w:rPr>
          <w:sz w:val="21"/>
          <w:szCs w:val="21"/>
        </w:rPr>
        <w:t>remain intact when the package is opened.</w:t>
      </w:r>
    </w:p>
    <w:p w14:paraId="7132FBF0" w14:textId="77777777" w:rsidR="00247883" w:rsidRPr="00C70B9E" w:rsidRDefault="00247883" w:rsidP="00247883">
      <w:pPr>
        <w:rPr>
          <w:szCs w:val="21"/>
        </w:rPr>
      </w:pPr>
    </w:p>
    <w:p w14:paraId="76AAB0F5" w14:textId="0B0868AC" w:rsidR="00247883" w:rsidRPr="00C70B9E" w:rsidRDefault="00247883" w:rsidP="00247883">
      <w:pPr>
        <w:rPr>
          <w:szCs w:val="21"/>
        </w:rPr>
      </w:pPr>
      <w:r w:rsidRPr="00C70B9E">
        <w:rPr>
          <w:szCs w:val="21"/>
        </w:rPr>
        <w:t>The health warning must not:</w:t>
      </w:r>
    </w:p>
    <w:p w14:paraId="0D539288" w14:textId="77777777" w:rsidR="00247883" w:rsidRPr="00555AB0" w:rsidRDefault="00247883" w:rsidP="00A70089">
      <w:pPr>
        <w:pStyle w:val="ListNumber"/>
        <w:numPr>
          <w:ilvl w:val="0"/>
          <w:numId w:val="37"/>
        </w:numPr>
        <w:tabs>
          <w:tab w:val="clear" w:pos="2629"/>
          <w:tab w:val="num" w:pos="709"/>
          <w:tab w:val="num" w:pos="2835"/>
        </w:tabs>
        <w:spacing w:before="90" w:after="90"/>
        <w:ind w:left="426" w:hanging="426"/>
        <w:contextualSpacing w:val="0"/>
        <w:rPr>
          <w:sz w:val="21"/>
          <w:szCs w:val="21"/>
        </w:rPr>
      </w:pPr>
      <w:r w:rsidRPr="00555AB0">
        <w:rPr>
          <w:sz w:val="21"/>
          <w:szCs w:val="21"/>
        </w:rPr>
        <w:t>be partially or totally hidden or interrupted by wrappers, jackets or boxes, except where a unit package is presented inside a carton</w:t>
      </w:r>
    </w:p>
    <w:p w14:paraId="5A2911B1" w14:textId="77777777" w:rsidR="00247883" w:rsidRPr="00555AB0" w:rsidRDefault="00247883" w:rsidP="00A70089">
      <w:pPr>
        <w:pStyle w:val="ListNumber"/>
        <w:numPr>
          <w:ilvl w:val="0"/>
          <w:numId w:val="37"/>
        </w:numPr>
        <w:tabs>
          <w:tab w:val="clear" w:pos="2629"/>
          <w:tab w:val="num" w:pos="709"/>
          <w:tab w:val="num" w:pos="2835"/>
        </w:tabs>
        <w:spacing w:before="90" w:after="90"/>
        <w:ind w:left="426" w:hanging="426"/>
        <w:contextualSpacing w:val="0"/>
        <w:rPr>
          <w:sz w:val="21"/>
          <w:szCs w:val="21"/>
        </w:rPr>
      </w:pPr>
      <w:r w:rsidRPr="00555AB0">
        <w:rPr>
          <w:sz w:val="21"/>
          <w:szCs w:val="21"/>
        </w:rPr>
        <w:t>be partially or totally hidden or interrupted by any other item, such as a price mark</w:t>
      </w:r>
    </w:p>
    <w:p w14:paraId="7498AC88" w14:textId="22BEF29B" w:rsidR="00247883" w:rsidRPr="00555AB0" w:rsidRDefault="00247883" w:rsidP="00A70089">
      <w:pPr>
        <w:pStyle w:val="ListNumber"/>
        <w:numPr>
          <w:ilvl w:val="0"/>
          <w:numId w:val="37"/>
        </w:numPr>
        <w:tabs>
          <w:tab w:val="clear" w:pos="2629"/>
          <w:tab w:val="num" w:pos="709"/>
          <w:tab w:val="num" w:pos="2835"/>
        </w:tabs>
        <w:spacing w:before="90" w:after="90"/>
        <w:ind w:left="426" w:hanging="426"/>
        <w:contextualSpacing w:val="0"/>
        <w:rPr>
          <w:sz w:val="21"/>
          <w:szCs w:val="21"/>
        </w:rPr>
      </w:pPr>
      <w:r w:rsidRPr="00555AB0">
        <w:rPr>
          <w:sz w:val="21"/>
          <w:szCs w:val="21"/>
        </w:rPr>
        <w:t>partially or totally hide or interrupt any marking that is required under any enactment.</w:t>
      </w:r>
    </w:p>
    <w:p w14:paraId="126DED24" w14:textId="77777777" w:rsidR="00247883" w:rsidRPr="00C70B9E" w:rsidRDefault="00247883" w:rsidP="00247883">
      <w:pPr>
        <w:rPr>
          <w:szCs w:val="21"/>
        </w:rPr>
      </w:pPr>
    </w:p>
    <w:p w14:paraId="201FD991" w14:textId="77777777" w:rsidR="00247883" w:rsidRPr="00C70B9E" w:rsidRDefault="00247883" w:rsidP="00247883">
      <w:pPr>
        <w:rPr>
          <w:rFonts w:cs="Segoe UI"/>
          <w:szCs w:val="21"/>
          <w:lang w:val="en"/>
        </w:rPr>
      </w:pPr>
      <w:r w:rsidRPr="00C70B9E">
        <w:rPr>
          <w:b/>
          <w:szCs w:val="21"/>
        </w:rPr>
        <w:t>Product presentation</w:t>
      </w:r>
      <w:r w:rsidRPr="00C70B9E">
        <w:rPr>
          <w:rFonts w:cs="Segoe UI"/>
          <w:b/>
          <w:color w:val="000000" w:themeColor="text1"/>
          <w:szCs w:val="21"/>
        </w:rPr>
        <w:t>.</w:t>
      </w:r>
      <w:r w:rsidRPr="00C70B9E">
        <w:rPr>
          <w:rFonts w:cs="Segoe UI"/>
          <w:color w:val="000000" w:themeColor="text1"/>
          <w:szCs w:val="21"/>
        </w:rPr>
        <w:t xml:space="preserve"> In addition to the proposed health warning requirements, we propose that the package</w:t>
      </w:r>
      <w:r w:rsidRPr="00C70B9E">
        <w:rPr>
          <w:rFonts w:cs="Segoe UI"/>
          <w:szCs w:val="21"/>
          <w:lang w:val="en"/>
        </w:rPr>
        <w:t xml:space="preserve"> of a smokeless tobacco product may not include any element or feature that:</w:t>
      </w:r>
    </w:p>
    <w:p w14:paraId="00EA4268" w14:textId="77777777" w:rsidR="00247883" w:rsidRPr="00555AB0" w:rsidRDefault="00247883" w:rsidP="00A70089">
      <w:pPr>
        <w:pStyle w:val="ListNumber"/>
        <w:numPr>
          <w:ilvl w:val="0"/>
          <w:numId w:val="38"/>
        </w:numPr>
        <w:tabs>
          <w:tab w:val="clear" w:pos="2629"/>
          <w:tab w:val="num" w:pos="993"/>
        </w:tabs>
        <w:spacing w:before="90" w:after="90"/>
        <w:ind w:left="426" w:hanging="426"/>
        <w:contextualSpacing w:val="0"/>
        <w:rPr>
          <w:sz w:val="21"/>
          <w:szCs w:val="21"/>
          <w:specVanish/>
        </w:rPr>
      </w:pPr>
      <w:r w:rsidRPr="00555AB0">
        <w:rPr>
          <w:sz w:val="21"/>
          <w:szCs w:val="21"/>
        </w:rPr>
        <w:t>promotes a tobacco product or encourages people to consume it by creating a false impression about its characteristics, health effects, risks or emissions</w:t>
      </w:r>
    </w:p>
    <w:p w14:paraId="36024222"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specVanish/>
        </w:rPr>
      </w:pPr>
      <w:r w:rsidRPr="00555AB0">
        <w:rPr>
          <w:sz w:val="21"/>
          <w:szCs w:val="21"/>
        </w:rPr>
        <w:lastRenderedPageBreak/>
        <w:t>includes any information about the nicotine, tar or carbon dioxide of a tobacco product</w:t>
      </w:r>
    </w:p>
    <w:p w14:paraId="0FAFEE98"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rPr>
      </w:pPr>
      <w:r w:rsidRPr="00555AB0">
        <w:rPr>
          <w:sz w:val="21"/>
          <w:szCs w:val="21"/>
        </w:rPr>
        <w:t>suggests that a particular tobacco product:</w:t>
      </w:r>
    </w:p>
    <w:p w14:paraId="6B60ECCC" w14:textId="77777777" w:rsidR="00247883" w:rsidRPr="00C70B9E" w:rsidRDefault="00247883" w:rsidP="00157223">
      <w:pPr>
        <w:pStyle w:val="ListNumber2"/>
        <w:numPr>
          <w:ilvl w:val="0"/>
          <w:numId w:val="22"/>
        </w:numPr>
        <w:spacing w:before="90" w:after="90"/>
        <w:ind w:left="851" w:hanging="425"/>
        <w:contextualSpacing w:val="0"/>
        <w:rPr>
          <w:color w:val="000000" w:themeColor="text1"/>
          <w:sz w:val="21"/>
          <w:szCs w:val="21"/>
        </w:rPr>
      </w:pPr>
      <w:r w:rsidRPr="00C70B9E">
        <w:rPr>
          <w:sz w:val="21"/>
          <w:szCs w:val="21"/>
          <w:lang w:val="en"/>
        </w:rPr>
        <w:t>is less harmful than others</w:t>
      </w:r>
    </w:p>
    <w:p w14:paraId="00693511" w14:textId="77777777" w:rsidR="00247883" w:rsidRPr="00C70B9E" w:rsidRDefault="00247883" w:rsidP="00157223">
      <w:pPr>
        <w:pStyle w:val="ListNumber2"/>
        <w:numPr>
          <w:ilvl w:val="0"/>
          <w:numId w:val="22"/>
        </w:numPr>
        <w:spacing w:before="90" w:after="90"/>
        <w:ind w:left="851" w:hanging="425"/>
        <w:contextualSpacing w:val="0"/>
        <w:rPr>
          <w:color w:val="000000" w:themeColor="text1"/>
          <w:sz w:val="21"/>
          <w:szCs w:val="21"/>
        </w:rPr>
      </w:pPr>
      <w:r w:rsidRPr="00C70B9E">
        <w:rPr>
          <w:sz w:val="21"/>
          <w:szCs w:val="21"/>
          <w:lang w:val="en"/>
        </w:rPr>
        <w:t>aims to reduce the effect of some harmful components of smoke</w:t>
      </w:r>
    </w:p>
    <w:p w14:paraId="5F257077" w14:textId="77777777" w:rsidR="00247883" w:rsidRPr="00C70B9E" w:rsidRDefault="00247883" w:rsidP="00157223">
      <w:pPr>
        <w:pStyle w:val="ListNumber2"/>
        <w:numPr>
          <w:ilvl w:val="0"/>
          <w:numId w:val="22"/>
        </w:numPr>
        <w:spacing w:before="90" w:after="90"/>
        <w:ind w:left="851" w:hanging="425"/>
        <w:contextualSpacing w:val="0"/>
        <w:rPr>
          <w:color w:val="000000" w:themeColor="text1"/>
          <w:sz w:val="21"/>
          <w:szCs w:val="21"/>
        </w:rPr>
      </w:pPr>
      <w:r w:rsidRPr="00C70B9E">
        <w:rPr>
          <w:sz w:val="21"/>
          <w:szCs w:val="21"/>
          <w:lang w:val="en"/>
        </w:rPr>
        <w:t xml:space="preserve">has </w:t>
      </w:r>
      <w:proofErr w:type="spellStart"/>
      <w:r w:rsidRPr="00C70B9E">
        <w:rPr>
          <w:sz w:val="21"/>
          <w:szCs w:val="21"/>
          <w:lang w:val="en"/>
        </w:rPr>
        <w:t>vitalising</w:t>
      </w:r>
      <w:proofErr w:type="spellEnd"/>
      <w:r w:rsidRPr="00C70B9E">
        <w:rPr>
          <w:sz w:val="21"/>
          <w:szCs w:val="21"/>
          <w:lang w:val="en"/>
        </w:rPr>
        <w:t xml:space="preserve">, </w:t>
      </w:r>
      <w:proofErr w:type="spellStart"/>
      <w:r w:rsidRPr="00C70B9E">
        <w:rPr>
          <w:sz w:val="21"/>
          <w:szCs w:val="21"/>
          <w:lang w:val="en"/>
        </w:rPr>
        <w:t>energising</w:t>
      </w:r>
      <w:proofErr w:type="spellEnd"/>
      <w:r w:rsidRPr="00C70B9E">
        <w:rPr>
          <w:sz w:val="21"/>
          <w:szCs w:val="21"/>
          <w:lang w:val="en"/>
        </w:rPr>
        <w:t>, healing, rejuvenating, natural or organic properties</w:t>
      </w:r>
    </w:p>
    <w:p w14:paraId="3A587447" w14:textId="77777777" w:rsidR="00247883" w:rsidRPr="00C70B9E" w:rsidRDefault="00247883" w:rsidP="00157223">
      <w:pPr>
        <w:pStyle w:val="ListNumber2"/>
        <w:numPr>
          <w:ilvl w:val="0"/>
          <w:numId w:val="22"/>
        </w:numPr>
        <w:spacing w:before="90" w:after="90"/>
        <w:ind w:left="851" w:hanging="425"/>
        <w:contextualSpacing w:val="0"/>
        <w:rPr>
          <w:color w:val="000000" w:themeColor="text1"/>
          <w:sz w:val="21"/>
          <w:szCs w:val="21"/>
        </w:rPr>
      </w:pPr>
      <w:r w:rsidRPr="00C70B9E">
        <w:rPr>
          <w:sz w:val="21"/>
          <w:szCs w:val="21"/>
          <w:lang w:val="en"/>
        </w:rPr>
        <w:t>has other health or lifestyle benefits</w:t>
      </w:r>
    </w:p>
    <w:p w14:paraId="6E7190FF"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rPr>
      </w:pPr>
      <w:r w:rsidRPr="00555AB0">
        <w:rPr>
          <w:sz w:val="21"/>
          <w:szCs w:val="21"/>
          <w:specVanish/>
        </w:rPr>
        <w:t>refers to taste, smell or any flavourings or other additives, or the absence of any such thing</w:t>
      </w:r>
    </w:p>
    <w:p w14:paraId="15D4723D"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rPr>
      </w:pPr>
      <w:r w:rsidRPr="00555AB0">
        <w:rPr>
          <w:sz w:val="21"/>
          <w:szCs w:val="21"/>
          <w:specVanish/>
        </w:rPr>
        <w:t>resembles a food or a cosmetic product</w:t>
      </w:r>
    </w:p>
    <w:p w14:paraId="122F3B58"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rPr>
      </w:pPr>
      <w:r w:rsidRPr="00555AB0">
        <w:rPr>
          <w:sz w:val="21"/>
          <w:szCs w:val="21"/>
          <w:specVanish/>
        </w:rPr>
        <w:t>suggests that a particular tobacco product has improved biodegradability or other environmental advantages</w:t>
      </w:r>
    </w:p>
    <w:p w14:paraId="390466C0" w14:textId="77777777" w:rsidR="00247883" w:rsidRPr="00555AB0" w:rsidRDefault="00247883" w:rsidP="00A70089">
      <w:pPr>
        <w:pStyle w:val="ListNumber"/>
        <w:numPr>
          <w:ilvl w:val="0"/>
          <w:numId w:val="37"/>
        </w:numPr>
        <w:tabs>
          <w:tab w:val="clear" w:pos="2629"/>
          <w:tab w:val="num" w:pos="709"/>
        </w:tabs>
        <w:spacing w:before="90" w:after="90"/>
        <w:ind w:left="426" w:hanging="426"/>
        <w:contextualSpacing w:val="0"/>
        <w:rPr>
          <w:sz w:val="21"/>
          <w:szCs w:val="21"/>
        </w:rPr>
      </w:pPr>
      <w:r w:rsidRPr="00555AB0">
        <w:rPr>
          <w:sz w:val="21"/>
          <w:szCs w:val="21"/>
        </w:rPr>
        <w:t xml:space="preserve">suggests economic advantage by including printed vouchers or offering discounts, free distribution, two-for-one or other similar offers. </w:t>
      </w:r>
    </w:p>
    <w:p w14:paraId="78E6AE09" w14:textId="77777777" w:rsidR="00247883" w:rsidRPr="00C70B9E" w:rsidRDefault="00247883" w:rsidP="00247883">
      <w:pPr>
        <w:rPr>
          <w:rFonts w:cs="Segoe UI"/>
          <w:color w:val="000000" w:themeColor="text1"/>
          <w:szCs w:val="21"/>
        </w:rPr>
      </w:pPr>
      <w:r w:rsidRPr="00C70B9E">
        <w:rPr>
          <w:rFonts w:cs="Segoe UI"/>
          <w:szCs w:val="21"/>
          <w:lang w:val="en"/>
        </w:rPr>
        <w:t xml:space="preserve">The elements and features referred to in 1 to 7 include (but are not limited to) text, symbols, names, </w:t>
      </w:r>
      <w:proofErr w:type="spellStart"/>
      <w:r w:rsidRPr="00C70B9E">
        <w:rPr>
          <w:rFonts w:cs="Segoe UI"/>
          <w:szCs w:val="21"/>
          <w:lang w:val="en"/>
        </w:rPr>
        <w:t>trade marks</w:t>
      </w:r>
      <w:proofErr w:type="spellEnd"/>
      <w:r w:rsidRPr="00C70B9E">
        <w:rPr>
          <w:rFonts w:cs="Segoe UI"/>
          <w:szCs w:val="21"/>
          <w:lang w:val="en"/>
        </w:rPr>
        <w:t xml:space="preserve">, or figurative or other types of sign. </w:t>
      </w:r>
    </w:p>
    <w:p w14:paraId="44AF8AC0" w14:textId="77777777" w:rsidR="00247883" w:rsidRPr="00C70B9E" w:rsidRDefault="00247883" w:rsidP="00247883">
      <w:pPr>
        <w:rPr>
          <w:szCs w:val="21"/>
        </w:rPr>
      </w:pPr>
    </w:p>
    <w:p w14:paraId="1D6ACEC7" w14:textId="77777777" w:rsidR="00247883" w:rsidRPr="00C70B9E" w:rsidRDefault="00247883" w:rsidP="00247883">
      <w:pPr>
        <w:rPr>
          <w:rFonts w:cs="Segoe UI"/>
          <w:szCs w:val="21"/>
        </w:rPr>
      </w:pPr>
      <w:bookmarkStart w:id="142" w:name="_Toc50468953"/>
      <w:bookmarkStart w:id="143" w:name="_Toc50469070"/>
      <w:bookmarkStart w:id="144" w:name="_Toc50549976"/>
      <w:bookmarkStart w:id="145" w:name="_Hlk49764301"/>
      <w:r w:rsidRPr="00C70B9E">
        <w:rPr>
          <w:b/>
          <w:szCs w:val="21"/>
        </w:rPr>
        <w:t>Packaging instructions</w:t>
      </w:r>
      <w:bookmarkEnd w:id="142"/>
      <w:bookmarkEnd w:id="143"/>
      <w:bookmarkEnd w:id="144"/>
      <w:r w:rsidRPr="00C70B9E">
        <w:rPr>
          <w:szCs w:val="21"/>
        </w:rPr>
        <w:t>.</w:t>
      </w:r>
      <w:r w:rsidRPr="00C70B9E">
        <w:rPr>
          <w:rFonts w:cs="Segoe UI"/>
          <w:szCs w:val="21"/>
        </w:rPr>
        <w:t xml:space="preserve"> We propose requiring that a notifiable product’s package includes enough information (whether on the package, container, label or package insert) to instruct the user about:</w:t>
      </w:r>
    </w:p>
    <w:p w14:paraId="258B78C5" w14:textId="77777777" w:rsidR="00247883" w:rsidRPr="00C70B9E" w:rsidRDefault="00247883" w:rsidP="00A70089">
      <w:pPr>
        <w:pStyle w:val="ListNumber"/>
        <w:numPr>
          <w:ilvl w:val="0"/>
          <w:numId w:val="26"/>
        </w:numPr>
        <w:spacing w:before="90" w:after="90"/>
        <w:ind w:left="426" w:hanging="426"/>
        <w:contextualSpacing w:val="0"/>
        <w:rPr>
          <w:sz w:val="21"/>
          <w:szCs w:val="21"/>
        </w:rPr>
      </w:pPr>
      <w:r w:rsidRPr="00C70B9E">
        <w:rPr>
          <w:sz w:val="21"/>
          <w:szCs w:val="21"/>
        </w:rPr>
        <w:t>correct use</w:t>
      </w:r>
    </w:p>
    <w:p w14:paraId="72A4D430" w14:textId="77777777" w:rsidR="00247883" w:rsidRPr="00C70B9E" w:rsidRDefault="00247883" w:rsidP="00A70089">
      <w:pPr>
        <w:pStyle w:val="ListNumber"/>
        <w:numPr>
          <w:ilvl w:val="0"/>
          <w:numId w:val="26"/>
        </w:numPr>
        <w:spacing w:before="90" w:after="90"/>
        <w:ind w:left="426" w:hanging="426"/>
        <w:contextualSpacing w:val="0"/>
        <w:rPr>
          <w:sz w:val="21"/>
          <w:szCs w:val="21"/>
        </w:rPr>
      </w:pPr>
      <w:r w:rsidRPr="00C70B9E">
        <w:rPr>
          <w:sz w:val="21"/>
          <w:szCs w:val="21"/>
        </w:rPr>
        <w:t>correct handling (including storage, refilling, recharging and disposal)</w:t>
      </w:r>
    </w:p>
    <w:p w14:paraId="386D1F3D" w14:textId="49ED7692" w:rsidR="00247883" w:rsidRPr="00C70B9E" w:rsidRDefault="00247883" w:rsidP="00A70089">
      <w:pPr>
        <w:pStyle w:val="ListNumber"/>
        <w:numPr>
          <w:ilvl w:val="0"/>
          <w:numId w:val="26"/>
        </w:numPr>
        <w:spacing w:before="90" w:after="0"/>
        <w:ind w:left="426" w:hanging="426"/>
        <w:contextualSpacing w:val="0"/>
        <w:rPr>
          <w:sz w:val="21"/>
          <w:szCs w:val="21"/>
        </w:rPr>
      </w:pPr>
      <w:r w:rsidRPr="00C70B9E">
        <w:rPr>
          <w:sz w:val="21"/>
          <w:szCs w:val="21"/>
        </w:rPr>
        <w:t>consequences of incorrect use or what handling precautions to take before and during use.</w:t>
      </w:r>
    </w:p>
    <w:p w14:paraId="35EA8C97" w14:textId="77777777" w:rsidR="00247883" w:rsidRPr="00C70B9E" w:rsidRDefault="00247883" w:rsidP="00247883">
      <w:pPr>
        <w:rPr>
          <w:szCs w:val="21"/>
        </w:rPr>
      </w:pPr>
    </w:p>
    <w:p w14:paraId="4D542CEB" w14:textId="022056A0" w:rsidR="00247883" w:rsidRPr="00C70B9E" w:rsidRDefault="00247883" w:rsidP="00247883">
      <w:pPr>
        <w:rPr>
          <w:szCs w:val="21"/>
        </w:rPr>
      </w:pPr>
      <w:bookmarkStart w:id="146" w:name="_Toc50468954"/>
      <w:bookmarkStart w:id="147" w:name="_Toc50469071"/>
      <w:bookmarkStart w:id="148" w:name="_Toc50549977"/>
      <w:r w:rsidRPr="00C70B9E">
        <w:rPr>
          <w:b/>
          <w:szCs w:val="21"/>
        </w:rPr>
        <w:t>Track and trace markings</w:t>
      </w:r>
      <w:bookmarkEnd w:id="146"/>
      <w:bookmarkEnd w:id="147"/>
      <w:bookmarkEnd w:id="148"/>
      <w:r w:rsidRPr="00C70B9E">
        <w:rPr>
          <w:szCs w:val="21"/>
        </w:rPr>
        <w:t>.</w:t>
      </w:r>
      <w:bookmarkEnd w:id="145"/>
      <w:r w:rsidRPr="00C70B9E">
        <w:rPr>
          <w:szCs w:val="21"/>
        </w:rPr>
        <w:t xml:space="preserve"> Since May 2019, the European Union (EU) has required track and trace markings on tobacco products produced in the EU (including those destined for export). The aim of this requirement is to minimise illicit trade and ensure duties have been paid.</w:t>
      </w:r>
    </w:p>
    <w:p w14:paraId="2DA7DC77" w14:textId="77777777" w:rsidR="00247883" w:rsidRPr="00C70B9E" w:rsidRDefault="00247883" w:rsidP="00247883">
      <w:pPr>
        <w:rPr>
          <w:szCs w:val="21"/>
        </w:rPr>
      </w:pPr>
    </w:p>
    <w:p w14:paraId="314C1155" w14:textId="1BC19EBF" w:rsidR="00247883" w:rsidRPr="00C70B9E" w:rsidRDefault="00247883" w:rsidP="00247883">
      <w:pPr>
        <w:rPr>
          <w:szCs w:val="21"/>
        </w:rPr>
      </w:pPr>
      <w:r w:rsidRPr="00C70B9E">
        <w:rPr>
          <w:szCs w:val="21"/>
        </w:rPr>
        <w:t>New Zealand’s regulations do not permit display of these track and trace markings. It is, therefore, unlawful to import, distribute or sell tobacco products displaying these markings.</w:t>
      </w:r>
    </w:p>
    <w:p w14:paraId="6DF3C3E0" w14:textId="77777777" w:rsidR="00247883" w:rsidRPr="00C70B9E" w:rsidRDefault="00247883" w:rsidP="00247883">
      <w:pPr>
        <w:rPr>
          <w:szCs w:val="21"/>
        </w:rPr>
      </w:pPr>
    </w:p>
    <w:p w14:paraId="4E41BB2D" w14:textId="3BAE54F2" w:rsidR="00247883" w:rsidRPr="00C70B9E" w:rsidRDefault="00247883" w:rsidP="00247883">
      <w:pPr>
        <w:rPr>
          <w:szCs w:val="21"/>
        </w:rPr>
      </w:pPr>
      <w:r w:rsidRPr="00C70B9E">
        <w:rPr>
          <w:szCs w:val="21"/>
        </w:rPr>
        <w:t>We propose amending the Smoke-free Environments Regulations 2017 to permit the display of track and trace markings on regulated products. The amendments should also require the marking to be displayed on an area of the tobacco package other than the mandatory health warning panel.</w:t>
      </w:r>
    </w:p>
    <w:p w14:paraId="29FDA966" w14:textId="77777777" w:rsidR="00247883" w:rsidRPr="00C70B9E" w:rsidRDefault="00247883" w:rsidP="00247883">
      <w:pPr>
        <w:rPr>
          <w:szCs w:val="21"/>
        </w:rPr>
      </w:pPr>
    </w:p>
    <w:p w14:paraId="4AB68A42" w14:textId="03586D99" w:rsidR="00247883" w:rsidRPr="00C70B9E" w:rsidRDefault="00247883" w:rsidP="00247883">
      <w:pPr>
        <w:rPr>
          <w:szCs w:val="21"/>
          <w:lang w:eastAsia="en-NZ"/>
        </w:rPr>
      </w:pPr>
      <w:bookmarkStart w:id="149" w:name="_Toc50468955"/>
      <w:bookmarkStart w:id="150" w:name="_Toc50469072"/>
      <w:bookmarkStart w:id="151" w:name="_Toc50549978"/>
      <w:r w:rsidRPr="00C70B9E">
        <w:rPr>
          <w:b/>
          <w:szCs w:val="21"/>
        </w:rPr>
        <w:t>Quantity of smokeless tobacco sticks in a package</w:t>
      </w:r>
      <w:bookmarkEnd w:id="149"/>
      <w:bookmarkEnd w:id="150"/>
      <w:bookmarkEnd w:id="151"/>
      <w:r w:rsidRPr="00C70B9E">
        <w:rPr>
          <w:szCs w:val="21"/>
        </w:rPr>
        <w:t>.</w:t>
      </w:r>
      <w:bookmarkStart w:id="152" w:name="_Toc50468956"/>
      <w:bookmarkStart w:id="153" w:name="_Toc50469073"/>
      <w:bookmarkStart w:id="154" w:name="_Toc50549979"/>
      <w:r w:rsidRPr="00C70B9E">
        <w:rPr>
          <w:szCs w:val="21"/>
          <w:lang w:eastAsia="en-NZ"/>
        </w:rPr>
        <w:t xml:space="preserve"> The Act allows regulations to specify the number of smokeless tobacco sticks to include in a package (section 53(1)(c)). The intention of this requirement is to prevent retailers from selling smokeless tobacco sticks in smaller quantities (</w:t>
      </w:r>
      <w:proofErr w:type="spellStart"/>
      <w:r w:rsidRPr="00C70B9E">
        <w:rPr>
          <w:szCs w:val="21"/>
          <w:lang w:eastAsia="en-NZ"/>
        </w:rPr>
        <w:t>eg</w:t>
      </w:r>
      <w:proofErr w:type="spellEnd"/>
      <w:r w:rsidRPr="00C70B9E">
        <w:rPr>
          <w:szCs w:val="21"/>
          <w:lang w:eastAsia="en-NZ"/>
        </w:rPr>
        <w:t>, selling a single smokeless tobacco stick).</w:t>
      </w:r>
      <w:bookmarkEnd w:id="152"/>
      <w:bookmarkEnd w:id="153"/>
      <w:bookmarkEnd w:id="154"/>
    </w:p>
    <w:p w14:paraId="72713B41" w14:textId="77777777" w:rsidR="00247883" w:rsidRPr="00C70B9E" w:rsidRDefault="00247883" w:rsidP="00247883">
      <w:pPr>
        <w:rPr>
          <w:szCs w:val="21"/>
          <w:lang w:eastAsia="en-NZ"/>
        </w:rPr>
      </w:pPr>
    </w:p>
    <w:p w14:paraId="57E2E8CE" w14:textId="77777777" w:rsidR="00247883" w:rsidRPr="00C70B9E" w:rsidRDefault="00247883" w:rsidP="00247883">
      <w:pPr>
        <w:rPr>
          <w:szCs w:val="21"/>
          <w:lang w:eastAsia="en-NZ"/>
        </w:rPr>
      </w:pPr>
      <w:bookmarkStart w:id="155" w:name="_Toc50468957"/>
      <w:bookmarkStart w:id="156" w:name="_Toc50469074"/>
      <w:bookmarkStart w:id="157" w:name="_Toc50549980"/>
      <w:r w:rsidRPr="00C70B9E">
        <w:rPr>
          <w:szCs w:val="21"/>
          <w:lang w:eastAsia="en-NZ"/>
        </w:rPr>
        <w:lastRenderedPageBreak/>
        <w:t>We propose that only 20 or 25 smokeless tobacco sticks should be permitted in a package. These quantities are consistent with existing requirements for cigarettes.</w:t>
      </w:r>
      <w:bookmarkEnd w:id="155"/>
      <w:bookmarkEnd w:id="156"/>
      <w:bookmarkEnd w:id="157"/>
    </w:p>
    <w:p w14:paraId="370A1714" w14:textId="77777777" w:rsidR="00247883" w:rsidRPr="00634AF7" w:rsidRDefault="00247883" w:rsidP="00247883">
      <w:pPr>
        <w:pStyle w:val="Heading3"/>
      </w:pPr>
      <w:bookmarkStart w:id="158" w:name="_Toc58869366"/>
      <w:r w:rsidRPr="00634AF7">
        <w:t>Timeframes for implementing proposed changes</w:t>
      </w:r>
      <w:bookmarkEnd w:id="158"/>
    </w:p>
    <w:p w14:paraId="192437DB" w14:textId="77777777" w:rsidR="00247883" w:rsidRPr="0097631E" w:rsidRDefault="00247883" w:rsidP="00247883">
      <w:pPr>
        <w:rPr>
          <w:lang w:eastAsia="en-NZ"/>
        </w:rPr>
      </w:pPr>
      <w:r w:rsidRPr="0097631E">
        <w:rPr>
          <w:lang w:eastAsia="en-NZ"/>
        </w:rPr>
        <w:t xml:space="preserve">Businesses will need time to implement any changes to packaging. When the standardised packaging requirements for tobacco products came into force in March 2018, businesses </w:t>
      </w:r>
      <w:r>
        <w:rPr>
          <w:lang w:eastAsia="en-NZ"/>
        </w:rPr>
        <w:t>had</w:t>
      </w:r>
      <w:r w:rsidRPr="0097631E">
        <w:rPr>
          <w:lang w:eastAsia="en-NZ"/>
        </w:rPr>
        <w:t>:</w:t>
      </w:r>
    </w:p>
    <w:p w14:paraId="1D7F7B04" w14:textId="77777777" w:rsidR="00247883" w:rsidRPr="00C70B9E" w:rsidRDefault="00247883" w:rsidP="00A70089">
      <w:pPr>
        <w:pStyle w:val="ListNumber"/>
        <w:numPr>
          <w:ilvl w:val="0"/>
          <w:numId w:val="27"/>
        </w:numPr>
        <w:spacing w:before="90" w:after="90"/>
        <w:ind w:left="426" w:hanging="426"/>
        <w:contextualSpacing w:val="0"/>
        <w:rPr>
          <w:sz w:val="21"/>
          <w:szCs w:val="21"/>
        </w:rPr>
      </w:pPr>
      <w:r w:rsidRPr="00C70B9E">
        <w:rPr>
          <w:sz w:val="21"/>
          <w:szCs w:val="21"/>
        </w:rPr>
        <w:t xml:space="preserve">nine months to comply from the time the regulations were made </w:t>
      </w:r>
    </w:p>
    <w:p w14:paraId="3E9F139B" w14:textId="77777777" w:rsidR="00247883" w:rsidRPr="00C70B9E" w:rsidRDefault="00247883" w:rsidP="00A70089">
      <w:pPr>
        <w:pStyle w:val="ListNumber"/>
        <w:numPr>
          <w:ilvl w:val="0"/>
          <w:numId w:val="27"/>
        </w:numPr>
        <w:spacing w:before="90" w:after="90"/>
        <w:ind w:left="426" w:hanging="426"/>
        <w:contextualSpacing w:val="0"/>
        <w:rPr>
          <w:sz w:val="21"/>
          <w:szCs w:val="21"/>
        </w:rPr>
      </w:pPr>
      <w:r w:rsidRPr="00C70B9E">
        <w:rPr>
          <w:sz w:val="21"/>
          <w:szCs w:val="21"/>
        </w:rPr>
        <w:t>a further six weeks to distribute old stock down the supply chain</w:t>
      </w:r>
    </w:p>
    <w:p w14:paraId="77C00243" w14:textId="77777777" w:rsidR="00247883" w:rsidRPr="00C70B9E" w:rsidRDefault="00247883" w:rsidP="00A70089">
      <w:pPr>
        <w:pStyle w:val="ListNumber"/>
        <w:numPr>
          <w:ilvl w:val="0"/>
          <w:numId w:val="27"/>
        </w:numPr>
        <w:spacing w:before="90" w:after="90"/>
        <w:ind w:left="426" w:hanging="426"/>
        <w:contextualSpacing w:val="0"/>
        <w:rPr>
          <w:rFonts w:eastAsia="Times New Roman"/>
          <w:color w:val="000000" w:themeColor="text1"/>
          <w:kern w:val="22"/>
          <w:sz w:val="21"/>
          <w:szCs w:val="21"/>
          <w:lang w:eastAsia="en-NZ"/>
        </w:rPr>
      </w:pPr>
      <w:r w:rsidRPr="00C70B9E">
        <w:rPr>
          <w:sz w:val="21"/>
          <w:szCs w:val="21"/>
        </w:rPr>
        <w:t>a further six weeks</w:t>
      </w:r>
      <w:r w:rsidRPr="00C70B9E">
        <w:rPr>
          <w:rFonts w:eastAsia="Times New Roman"/>
          <w:color w:val="000000" w:themeColor="text1"/>
          <w:kern w:val="22"/>
          <w:sz w:val="21"/>
          <w:szCs w:val="21"/>
          <w:lang w:eastAsia="en-NZ"/>
        </w:rPr>
        <w:t xml:space="preserve"> for retailers to sell through old stock.</w:t>
      </w:r>
    </w:p>
    <w:p w14:paraId="1C23C631" w14:textId="65DEF4E5" w:rsidR="00247883" w:rsidRPr="0097631E" w:rsidRDefault="00247883" w:rsidP="00247883">
      <w:pPr>
        <w:rPr>
          <w:lang w:eastAsia="en-NZ"/>
        </w:rPr>
      </w:pPr>
      <w:r w:rsidRPr="0097631E">
        <w:rPr>
          <w:lang w:eastAsia="en-NZ"/>
        </w:rPr>
        <w:t xml:space="preserve">We propose similar timeframes for </w:t>
      </w:r>
      <w:r>
        <w:rPr>
          <w:lang w:eastAsia="en-NZ"/>
        </w:rPr>
        <w:t xml:space="preserve">implementing the </w:t>
      </w:r>
      <w:r w:rsidRPr="0097631E">
        <w:rPr>
          <w:lang w:eastAsia="en-NZ"/>
        </w:rPr>
        <w:t>changes to requirements</w:t>
      </w:r>
      <w:r>
        <w:rPr>
          <w:lang w:eastAsia="en-NZ"/>
        </w:rPr>
        <w:t xml:space="preserve"> for </w:t>
      </w:r>
      <w:r w:rsidRPr="0097631E">
        <w:rPr>
          <w:lang w:eastAsia="en-NZ"/>
        </w:rPr>
        <w:t>packaging</w:t>
      </w:r>
      <w:r>
        <w:rPr>
          <w:lang w:eastAsia="en-NZ"/>
        </w:rPr>
        <w:t xml:space="preserve"> of vaping products and </w:t>
      </w:r>
      <w:r w:rsidRPr="0097631E">
        <w:rPr>
          <w:lang w:eastAsia="en-NZ"/>
        </w:rPr>
        <w:t>smokeless tobacco product</w:t>
      </w:r>
      <w:r>
        <w:rPr>
          <w:lang w:eastAsia="en-NZ"/>
        </w:rPr>
        <w:t>s</w:t>
      </w:r>
      <w:r w:rsidRPr="0097631E">
        <w:rPr>
          <w:lang w:eastAsia="en-NZ"/>
        </w:rPr>
        <w:t>.</w:t>
      </w:r>
    </w:p>
    <w:p w14:paraId="23771766" w14:textId="77777777" w:rsidR="00247883" w:rsidRPr="00526576" w:rsidRDefault="00247883" w:rsidP="00247883">
      <w:pPr>
        <w:pStyle w:val="Heading3"/>
        <w:pBdr>
          <w:top w:val="single" w:sz="4" w:space="1" w:color="auto"/>
          <w:left w:val="single" w:sz="4" w:space="4" w:color="auto"/>
          <w:bottom w:val="single" w:sz="4" w:space="1" w:color="auto"/>
          <w:right w:val="single" w:sz="4" w:space="4" w:color="auto"/>
        </w:pBdr>
      </w:pPr>
      <w:bookmarkStart w:id="159" w:name="_Toc58869367"/>
      <w:r w:rsidRPr="00526576">
        <w:t>Consultation questions</w:t>
      </w:r>
      <w:bookmarkEnd w:id="159"/>
    </w:p>
    <w:p w14:paraId="2AC9767A"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support the proposed wording of the health warning for vaping products? If not, what do you propose?</w:t>
      </w:r>
    </w:p>
    <w:p w14:paraId="0DD2F8AB"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proposed requirements for the health warning panel for vaping products? If not, what do you propose?</w:t>
      </w:r>
    </w:p>
    <w:p w14:paraId="719A837F"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support the proposed wording of the health warning for smokeless tobacco products? If not, what do you propose?</w:t>
      </w:r>
    </w:p>
    <w:p w14:paraId="4FB39500"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proposed requirements for the health warning panel for smokeless tobacco products? If not, what do you propose?</w:t>
      </w:r>
    </w:p>
    <w:p w14:paraId="3767F033"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proposals for product presentation for vaping products? If not, what do you propose?</w:t>
      </w:r>
    </w:p>
    <w:p w14:paraId="2976AE25"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safety messaging statements? If not, what changes to them do you suggest?</w:t>
      </w:r>
    </w:p>
    <w:p w14:paraId="49037E35"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proposals for product presentation for smokeless tobacco products? If not, what do you propose?</w:t>
      </w:r>
    </w:p>
    <w:p w14:paraId="260D9D02"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How much time do you think smokeless tobacco product manufacturers should have before they need to comply with new packaging requirements? Please give reasons.</w:t>
      </w:r>
    </w:p>
    <w:p w14:paraId="734D22D3"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the proposed instructions on and in the packaging? If not, what changes to them do you suggest?</w:t>
      </w:r>
    </w:p>
    <w:p w14:paraId="713DF555"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agree with allowing track and trace markings? If not, why not?</w:t>
      </w:r>
    </w:p>
    <w:p w14:paraId="70F9A14E"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support the proposal to restrict the quantity of smokeless tobacco sticks in a package to 20 or 25? If not, what do you propose?</w:t>
      </w:r>
    </w:p>
    <w:p w14:paraId="33AE2F0A"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How much time do you think manufacturers of vaping products and smokeless tobacco products should have before they need to comply with new packaging requirements? Please give reasons.</w:t>
      </w:r>
    </w:p>
    <w:p w14:paraId="3C4F564B" w14:textId="77777777" w:rsidR="00247883" w:rsidRDefault="00247883" w:rsidP="00247883">
      <w:r>
        <w:br w:type="page"/>
      </w:r>
    </w:p>
    <w:p w14:paraId="4AAE55E9" w14:textId="77777777" w:rsidR="00247883" w:rsidRPr="0054769E" w:rsidRDefault="00247883" w:rsidP="00247883">
      <w:pPr>
        <w:pStyle w:val="Heading1"/>
      </w:pPr>
      <w:bookmarkStart w:id="160" w:name="_Toc56000585"/>
      <w:bookmarkStart w:id="161" w:name="_Toc58869368"/>
      <w:r>
        <w:lastRenderedPageBreak/>
        <w:t>Regulatory proposal 5:</w:t>
      </w:r>
      <w:r w:rsidRPr="0054769E">
        <w:t xml:space="preserve"> Product notification and safety</w:t>
      </w:r>
      <w:bookmarkEnd w:id="160"/>
      <w:bookmarkEnd w:id="161"/>
    </w:p>
    <w:p w14:paraId="1D229D3E" w14:textId="77777777" w:rsidR="00247883" w:rsidRPr="0054769E" w:rsidRDefault="00247883" w:rsidP="00247883">
      <w:pPr>
        <w:pStyle w:val="Heading2"/>
      </w:pPr>
      <w:bookmarkStart w:id="162" w:name="_Toc56000586"/>
      <w:bookmarkStart w:id="163" w:name="_Toc58869369"/>
      <w:bookmarkStart w:id="164" w:name="_Toc50468959"/>
      <w:bookmarkStart w:id="165" w:name="_Toc50469076"/>
      <w:r w:rsidRPr="0054769E">
        <w:t>5.1 Product notification requirements</w:t>
      </w:r>
      <w:bookmarkEnd w:id="162"/>
      <w:bookmarkEnd w:id="163"/>
    </w:p>
    <w:p w14:paraId="53F725F2" w14:textId="77777777" w:rsidR="00247883" w:rsidRPr="0010052F" w:rsidRDefault="00247883" w:rsidP="0010052F">
      <w:pPr>
        <w:pStyle w:val="Heading3"/>
      </w:pPr>
      <w:bookmarkStart w:id="166" w:name="_Toc50549983"/>
      <w:bookmarkStart w:id="167" w:name="_Toc58869370"/>
      <w:r w:rsidRPr="0010052F">
        <w:t>Description</w:t>
      </w:r>
      <w:bookmarkEnd w:id="166"/>
      <w:bookmarkEnd w:id="167"/>
    </w:p>
    <w:p w14:paraId="4B778743" w14:textId="0E5DD7F7" w:rsidR="00247883" w:rsidRDefault="00247883" w:rsidP="00247883">
      <w:r w:rsidRPr="0054769E">
        <w:t xml:space="preserve">The Act requires manufacturers and importers (collectively, </w:t>
      </w:r>
      <w:r w:rsidRPr="0054769E">
        <w:rPr>
          <w:b/>
        </w:rPr>
        <w:t>notifiers</w:t>
      </w:r>
      <w:r w:rsidRPr="0054769E">
        <w:t>) to notify the Ministry of Health of their intention to sell vaping products or smokeless tobacco products (</w:t>
      </w:r>
      <w:r w:rsidRPr="0054769E">
        <w:rPr>
          <w:b/>
        </w:rPr>
        <w:t>notifiable products</w:t>
      </w:r>
      <w:r w:rsidRPr="0054769E">
        <w:t>) before a</w:t>
      </w:r>
      <w:r>
        <w:t>ny</w:t>
      </w:r>
      <w:r w:rsidRPr="0054769E">
        <w:t xml:space="preserve"> retailer </w:t>
      </w:r>
      <w:r>
        <w:t xml:space="preserve">sells them </w:t>
      </w:r>
      <w:r w:rsidRPr="0054769E">
        <w:t>in New Zealand.</w:t>
      </w:r>
    </w:p>
    <w:p w14:paraId="4132D5F4" w14:textId="77777777" w:rsidR="0010052F" w:rsidRPr="0054769E" w:rsidRDefault="0010052F" w:rsidP="00247883"/>
    <w:p w14:paraId="438CE0B8" w14:textId="77777777" w:rsidR="00247883" w:rsidRPr="0054769E" w:rsidRDefault="00247883" w:rsidP="00247883">
      <w:pPr>
        <w:rPr>
          <w:rFonts w:cs="Segoe UI"/>
        </w:rPr>
      </w:pPr>
      <w:r w:rsidRPr="0054769E">
        <w:t>Regulations are required to set out the</w:t>
      </w:r>
      <w:r>
        <w:t xml:space="preserve"> ‘</w:t>
      </w:r>
      <w:r w:rsidRPr="0054769E">
        <w:t>description of the product and its parts (including its ingredients)</w:t>
      </w:r>
      <w:r>
        <w:t xml:space="preserve">’ </w:t>
      </w:r>
      <w:r w:rsidRPr="001646A7">
        <w:t xml:space="preserve">(section </w:t>
      </w:r>
      <w:r>
        <w:t>63</w:t>
      </w:r>
      <w:r w:rsidRPr="001646A7">
        <w:t>(1)(</w:t>
      </w:r>
      <w:r>
        <w:t>b</w:t>
      </w:r>
      <w:r w:rsidRPr="001646A7">
        <w:t>)</w:t>
      </w:r>
      <w:r>
        <w:t>)</w:t>
      </w:r>
      <w:r w:rsidRPr="0054769E">
        <w:t>.</w:t>
      </w:r>
    </w:p>
    <w:p w14:paraId="0E95C259" w14:textId="77777777" w:rsidR="00247883" w:rsidRPr="0054769E" w:rsidRDefault="00247883" w:rsidP="00247883">
      <w:pPr>
        <w:pStyle w:val="Heading3"/>
      </w:pPr>
      <w:bookmarkStart w:id="168" w:name="_Toc50468966"/>
      <w:bookmarkStart w:id="169" w:name="_Toc50469083"/>
      <w:bookmarkStart w:id="170" w:name="_Toc50549984"/>
      <w:bookmarkStart w:id="171" w:name="_Toc58869371"/>
      <w:r w:rsidRPr="0054769E">
        <w:t>Proposal</w:t>
      </w:r>
      <w:bookmarkEnd w:id="168"/>
      <w:bookmarkEnd w:id="169"/>
      <w:bookmarkEnd w:id="170"/>
      <w:bookmarkEnd w:id="171"/>
    </w:p>
    <w:p w14:paraId="224D7918" w14:textId="77777777" w:rsidR="00247883" w:rsidRPr="0054769E" w:rsidRDefault="00247883" w:rsidP="00247883">
      <w:r w:rsidRPr="0054769E">
        <w:t>We propose to base New Zealand’s regulations on the EU</w:t>
      </w:r>
      <w:r>
        <w:t xml:space="preserve"> and </w:t>
      </w:r>
      <w:r w:rsidRPr="0054769E">
        <w:t xml:space="preserve">UK </w:t>
      </w:r>
      <w:r>
        <w:t>legislation and guidance</w:t>
      </w:r>
      <w:r w:rsidRPr="0054769E">
        <w:t>, as set out below.</w:t>
      </w:r>
    </w:p>
    <w:p w14:paraId="112B605E" w14:textId="77777777" w:rsidR="00247883" w:rsidRPr="0054769E" w:rsidRDefault="00247883" w:rsidP="00247883">
      <w:pPr>
        <w:pStyle w:val="Heading4"/>
      </w:pPr>
      <w:bookmarkStart w:id="172" w:name="_Toc50468967"/>
      <w:bookmarkStart w:id="173" w:name="_Toc50469084"/>
      <w:bookmarkStart w:id="174" w:name="_Toc50549985"/>
      <w:r w:rsidRPr="0054769E">
        <w:t xml:space="preserve">Notifier </w:t>
      </w:r>
      <w:r>
        <w:t>d</w:t>
      </w:r>
      <w:r w:rsidRPr="0054769E">
        <w:t>etails</w:t>
      </w:r>
      <w:bookmarkEnd w:id="172"/>
      <w:bookmarkEnd w:id="173"/>
      <w:bookmarkEnd w:id="174"/>
    </w:p>
    <w:p w14:paraId="481CB709" w14:textId="77777777" w:rsidR="00247883" w:rsidRPr="0054769E" w:rsidRDefault="00247883" w:rsidP="00247883">
      <w:r>
        <w:t>The regulations would require a</w:t>
      </w:r>
      <w:r w:rsidRPr="0054769E">
        <w:t xml:space="preserve"> notifier to provide the following details when they register on the Ministry of Health’s database:</w:t>
      </w:r>
    </w:p>
    <w:p w14:paraId="10A6B9A7" w14:textId="77777777" w:rsidR="00247883" w:rsidRPr="002C425C" w:rsidRDefault="00247883" w:rsidP="00A70089">
      <w:pPr>
        <w:pStyle w:val="ListNumber"/>
        <w:numPr>
          <w:ilvl w:val="0"/>
          <w:numId w:val="28"/>
        </w:numPr>
        <w:spacing w:before="90" w:after="90"/>
        <w:ind w:left="426" w:hanging="426"/>
        <w:contextualSpacing w:val="0"/>
        <w:rPr>
          <w:sz w:val="21"/>
          <w:szCs w:val="21"/>
        </w:rPr>
      </w:pPr>
      <w:r w:rsidRPr="002C425C">
        <w:rPr>
          <w:sz w:val="21"/>
          <w:szCs w:val="21"/>
        </w:rPr>
        <w:t>the notifier’s contact details (including name, business name, company number/NZBN, address, phone numbers and email addresses)</w:t>
      </w:r>
    </w:p>
    <w:p w14:paraId="672CE5ED" w14:textId="273EDCA8" w:rsidR="00247883" w:rsidRPr="002C425C" w:rsidRDefault="00247883" w:rsidP="00A70089">
      <w:pPr>
        <w:pStyle w:val="ListNumber"/>
        <w:numPr>
          <w:ilvl w:val="0"/>
          <w:numId w:val="28"/>
        </w:numPr>
        <w:spacing w:before="90" w:after="90"/>
        <w:ind w:left="426" w:hanging="426"/>
        <w:contextualSpacing w:val="0"/>
        <w:rPr>
          <w:sz w:val="21"/>
          <w:szCs w:val="21"/>
        </w:rPr>
      </w:pPr>
      <w:r w:rsidRPr="002C425C">
        <w:rPr>
          <w:sz w:val="21"/>
          <w:szCs w:val="21"/>
        </w:rPr>
        <w:t>a declaration that the notifier meets the current requirements of the Act (</w:t>
      </w:r>
      <w:proofErr w:type="spellStart"/>
      <w:r w:rsidRPr="002C425C">
        <w:rPr>
          <w:sz w:val="21"/>
          <w:szCs w:val="21"/>
        </w:rPr>
        <w:t>eg</w:t>
      </w:r>
      <w:proofErr w:type="spellEnd"/>
      <w:r w:rsidRPr="002C425C">
        <w:rPr>
          <w:sz w:val="21"/>
          <w:szCs w:val="21"/>
        </w:rPr>
        <w:t>, New Zealand resident, manufacturer or importer of regulated products for sale in New Zealand) and that the details provided are correct.</w:t>
      </w:r>
    </w:p>
    <w:p w14:paraId="75D4F2C8" w14:textId="77777777" w:rsidR="00D9548B" w:rsidRDefault="00D9548B" w:rsidP="00D9548B">
      <w:pPr>
        <w:pStyle w:val="Heading3"/>
        <w:pBdr>
          <w:top w:val="single" w:sz="4" w:space="1" w:color="auto"/>
          <w:left w:val="single" w:sz="4" w:space="1" w:color="auto"/>
          <w:bottom w:val="single" w:sz="4" w:space="1" w:color="auto"/>
          <w:right w:val="single" w:sz="4" w:space="1" w:color="auto"/>
        </w:pBdr>
      </w:pPr>
      <w:bookmarkStart w:id="175" w:name="_Toc58869372"/>
      <w:r>
        <w:t>Consultation questions</w:t>
      </w:r>
      <w:bookmarkEnd w:id="175"/>
    </w:p>
    <w:p w14:paraId="6624DB5F" w14:textId="77777777" w:rsidR="00D9548B" w:rsidRPr="002C425C" w:rsidRDefault="00D9548B" w:rsidP="00D9548B">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Do you agree that these are the right details for the Ministry of Health to collect for each notifier? If not, what changes would you make to the details collected?</w:t>
      </w:r>
    </w:p>
    <w:p w14:paraId="7D066EED" w14:textId="2F00AF8B" w:rsidR="00D9548B" w:rsidRPr="002C425C" w:rsidRDefault="00D9548B" w:rsidP="00D9548B">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Do you agree that the notifier should declare that they meet the current requirements of the Act? If not, what approach to enforcing the provisions of the Act do you suggest?</w:t>
      </w:r>
    </w:p>
    <w:p w14:paraId="089860C5" w14:textId="77777777" w:rsidR="00247883" w:rsidRPr="0054769E" w:rsidRDefault="00247883" w:rsidP="00247883">
      <w:pPr>
        <w:pStyle w:val="Heading4"/>
      </w:pPr>
      <w:bookmarkStart w:id="176" w:name="_Toc50468969"/>
      <w:bookmarkStart w:id="177" w:name="_Toc50469086"/>
      <w:bookmarkStart w:id="178" w:name="_Toc50549987"/>
      <w:r w:rsidRPr="0054769E">
        <w:lastRenderedPageBreak/>
        <w:t xml:space="preserve">Product </w:t>
      </w:r>
      <w:r>
        <w:t>d</w:t>
      </w:r>
      <w:r w:rsidRPr="0054769E">
        <w:t>etails</w:t>
      </w:r>
      <w:bookmarkEnd w:id="176"/>
      <w:bookmarkEnd w:id="177"/>
      <w:bookmarkEnd w:id="178"/>
    </w:p>
    <w:p w14:paraId="58C51FDC" w14:textId="77777777" w:rsidR="00247883" w:rsidRPr="002C425C" w:rsidRDefault="00247883" w:rsidP="00247883">
      <w:pPr>
        <w:rPr>
          <w:szCs w:val="21"/>
        </w:rPr>
      </w:pPr>
      <w:r w:rsidRPr="002C425C">
        <w:rPr>
          <w:szCs w:val="21"/>
        </w:rPr>
        <w:t>The regulations would require a notifier to provide the following information for each combination of product type, brand and variant as part of their notification:</w:t>
      </w:r>
    </w:p>
    <w:p w14:paraId="1D6420E7" w14:textId="77777777" w:rsidR="00247883" w:rsidRPr="002C425C" w:rsidRDefault="00247883" w:rsidP="00A70089">
      <w:pPr>
        <w:pStyle w:val="ListNumber"/>
        <w:numPr>
          <w:ilvl w:val="0"/>
          <w:numId w:val="29"/>
        </w:numPr>
        <w:tabs>
          <w:tab w:val="clear" w:pos="2629"/>
          <w:tab w:val="num" w:pos="2694"/>
        </w:tabs>
        <w:spacing w:before="90" w:after="90"/>
        <w:ind w:left="426" w:hanging="426"/>
        <w:contextualSpacing w:val="0"/>
        <w:rPr>
          <w:sz w:val="21"/>
          <w:szCs w:val="21"/>
        </w:rPr>
      </w:pPr>
      <w:r w:rsidRPr="002C425C">
        <w:rPr>
          <w:sz w:val="21"/>
          <w:szCs w:val="21"/>
        </w:rPr>
        <w:t>product type – that is, whether it is a device, a vaping substance, a kit (which may comprise devices, substances and components), a smokeless tobacco product or another type</w:t>
      </w:r>
    </w:p>
    <w:p w14:paraId="254EF990" w14:textId="77777777" w:rsidR="00247883" w:rsidRPr="002C425C" w:rsidRDefault="00247883" w:rsidP="00A70089">
      <w:pPr>
        <w:pStyle w:val="ListNumber"/>
        <w:numPr>
          <w:ilvl w:val="0"/>
          <w:numId w:val="29"/>
        </w:numPr>
        <w:tabs>
          <w:tab w:val="clear" w:pos="2629"/>
          <w:tab w:val="num" w:pos="2694"/>
        </w:tabs>
        <w:spacing w:before="90" w:after="90"/>
        <w:ind w:left="426" w:hanging="426"/>
        <w:contextualSpacing w:val="0"/>
        <w:rPr>
          <w:sz w:val="21"/>
          <w:szCs w:val="21"/>
        </w:rPr>
      </w:pPr>
      <w:r w:rsidRPr="002C425C">
        <w:rPr>
          <w:sz w:val="21"/>
          <w:szCs w:val="21"/>
        </w:rPr>
        <w:t>product brand, variant and Universal Product Code (UPC)</w:t>
      </w:r>
    </w:p>
    <w:p w14:paraId="61C8D344" w14:textId="77777777" w:rsidR="00247883" w:rsidRPr="002C425C" w:rsidRDefault="00247883" w:rsidP="00A70089">
      <w:pPr>
        <w:pStyle w:val="ListNumber"/>
        <w:numPr>
          <w:ilvl w:val="0"/>
          <w:numId w:val="29"/>
        </w:numPr>
        <w:tabs>
          <w:tab w:val="clear" w:pos="2629"/>
          <w:tab w:val="num" w:pos="2694"/>
        </w:tabs>
        <w:spacing w:before="90" w:after="90"/>
        <w:ind w:left="426" w:hanging="426"/>
        <w:contextualSpacing w:val="0"/>
        <w:rPr>
          <w:sz w:val="21"/>
          <w:szCs w:val="21"/>
        </w:rPr>
      </w:pPr>
      <w:r w:rsidRPr="002C425C">
        <w:rPr>
          <w:sz w:val="21"/>
          <w:szCs w:val="21"/>
        </w:rPr>
        <w:t>product details:</w:t>
      </w:r>
    </w:p>
    <w:p w14:paraId="705DBC41" w14:textId="77777777" w:rsidR="00247883" w:rsidRPr="002C425C" w:rsidRDefault="00247883" w:rsidP="00157223">
      <w:pPr>
        <w:pStyle w:val="ListNumber2"/>
        <w:numPr>
          <w:ilvl w:val="0"/>
          <w:numId w:val="23"/>
        </w:numPr>
        <w:tabs>
          <w:tab w:val="num" w:pos="2694"/>
        </w:tabs>
        <w:spacing w:before="90" w:after="90"/>
        <w:ind w:left="851" w:hanging="425"/>
        <w:contextualSpacing w:val="0"/>
        <w:rPr>
          <w:sz w:val="21"/>
          <w:szCs w:val="21"/>
        </w:rPr>
      </w:pPr>
      <w:r w:rsidRPr="002C425C">
        <w:rPr>
          <w:sz w:val="21"/>
          <w:szCs w:val="21"/>
        </w:rPr>
        <w:t>for devices and kits: a list of components (for a device, a component is a part that is individually replaceable)</w:t>
      </w:r>
    </w:p>
    <w:p w14:paraId="570C00AC" w14:textId="77777777" w:rsidR="00247883" w:rsidRPr="002C425C" w:rsidRDefault="00247883" w:rsidP="00157223">
      <w:pPr>
        <w:pStyle w:val="ListNumber2"/>
        <w:tabs>
          <w:tab w:val="num" w:pos="2694"/>
        </w:tabs>
        <w:spacing w:before="90" w:after="90"/>
        <w:ind w:left="851" w:hanging="425"/>
        <w:contextualSpacing w:val="0"/>
        <w:rPr>
          <w:sz w:val="21"/>
          <w:szCs w:val="21"/>
        </w:rPr>
      </w:pPr>
      <w:r w:rsidRPr="002C425C">
        <w:rPr>
          <w:sz w:val="21"/>
          <w:szCs w:val="21"/>
        </w:rPr>
        <w:t>for vaping substances:</w:t>
      </w:r>
    </w:p>
    <w:p w14:paraId="0282B874" w14:textId="77777777" w:rsidR="00247883" w:rsidRPr="002C425C" w:rsidRDefault="00247883" w:rsidP="00A70089">
      <w:pPr>
        <w:pStyle w:val="ListNumber3"/>
        <w:numPr>
          <w:ilvl w:val="0"/>
          <w:numId w:val="30"/>
        </w:numPr>
        <w:spacing w:before="90" w:after="90" w:line="259" w:lineRule="auto"/>
        <w:ind w:left="1276" w:hanging="425"/>
        <w:contextualSpacing w:val="0"/>
        <w:rPr>
          <w:szCs w:val="21"/>
        </w:rPr>
      </w:pPr>
      <w:r w:rsidRPr="002C425C">
        <w:rPr>
          <w:szCs w:val="21"/>
        </w:rPr>
        <w:t>ingredients and their amounts (including flavours) listed by Chemical Abstracts Service number or International Union of Pure and Applied Chemistry name</w:t>
      </w:r>
    </w:p>
    <w:p w14:paraId="6BEAF82E" w14:textId="77777777" w:rsidR="00247883" w:rsidRPr="002C425C" w:rsidRDefault="00247883" w:rsidP="00A70089">
      <w:pPr>
        <w:pStyle w:val="ListNumber3"/>
        <w:numPr>
          <w:ilvl w:val="0"/>
          <w:numId w:val="30"/>
        </w:numPr>
        <w:spacing w:before="90" w:after="90" w:line="259" w:lineRule="auto"/>
        <w:ind w:left="1276" w:hanging="425"/>
        <w:contextualSpacing w:val="0"/>
        <w:rPr>
          <w:szCs w:val="21"/>
        </w:rPr>
      </w:pPr>
      <w:r w:rsidRPr="002C425C">
        <w:rPr>
          <w:szCs w:val="21"/>
        </w:rPr>
        <w:t>nicotine strength, container volume and propylene glycol/vegetable glycerine ratio (as applicable)</w:t>
      </w:r>
    </w:p>
    <w:p w14:paraId="303FE5D7" w14:textId="77777777" w:rsidR="00247883" w:rsidRPr="002C425C" w:rsidRDefault="00247883" w:rsidP="00A70089">
      <w:pPr>
        <w:pStyle w:val="ListNumber3"/>
        <w:numPr>
          <w:ilvl w:val="0"/>
          <w:numId w:val="30"/>
        </w:numPr>
        <w:spacing w:before="90" w:after="90" w:line="259" w:lineRule="auto"/>
        <w:ind w:left="1276" w:hanging="425"/>
        <w:contextualSpacing w:val="0"/>
        <w:rPr>
          <w:szCs w:val="21"/>
        </w:rPr>
      </w:pPr>
      <w:r w:rsidRPr="002C425C">
        <w:rPr>
          <w:szCs w:val="21"/>
        </w:rPr>
        <w:t>where a notifiable product contains additives other than flavourings, such as preservatives or antioxidants, a justification for their use and a toxicological risk assessment</w:t>
      </w:r>
    </w:p>
    <w:p w14:paraId="1E612D84" w14:textId="77777777" w:rsidR="00247883" w:rsidRPr="002C425C" w:rsidRDefault="00247883" w:rsidP="00157223">
      <w:pPr>
        <w:pStyle w:val="ListNumber2"/>
        <w:spacing w:before="90" w:after="90"/>
        <w:ind w:left="851" w:hanging="425"/>
        <w:contextualSpacing w:val="0"/>
        <w:rPr>
          <w:sz w:val="21"/>
          <w:szCs w:val="21"/>
        </w:rPr>
      </w:pPr>
      <w:r w:rsidRPr="002C425C">
        <w:rPr>
          <w:sz w:val="21"/>
          <w:szCs w:val="21"/>
        </w:rPr>
        <w:t>for smokeless tobacco products:</w:t>
      </w:r>
    </w:p>
    <w:p w14:paraId="111BF494" w14:textId="77777777" w:rsidR="00247883" w:rsidRPr="002C425C" w:rsidRDefault="00247883" w:rsidP="00A70089">
      <w:pPr>
        <w:pStyle w:val="ListNumber3"/>
        <w:numPr>
          <w:ilvl w:val="0"/>
          <w:numId w:val="31"/>
        </w:numPr>
        <w:spacing w:before="90" w:after="90" w:line="259" w:lineRule="auto"/>
        <w:ind w:left="1418" w:hanging="567"/>
        <w:contextualSpacing w:val="0"/>
        <w:rPr>
          <w:szCs w:val="21"/>
        </w:rPr>
      </w:pPr>
      <w:r w:rsidRPr="002C425C">
        <w:rPr>
          <w:szCs w:val="21"/>
        </w:rPr>
        <w:t>ingredients and their amounts (including flavours) listed by Chemical Abstracts Service number or International Union of Pure and Applied Chemistry name</w:t>
      </w:r>
    </w:p>
    <w:p w14:paraId="78827A26" w14:textId="77777777" w:rsidR="00247883" w:rsidRPr="002C425C" w:rsidRDefault="00247883" w:rsidP="00A70089">
      <w:pPr>
        <w:pStyle w:val="ListNumber3"/>
        <w:numPr>
          <w:ilvl w:val="0"/>
          <w:numId w:val="31"/>
        </w:numPr>
        <w:spacing w:before="90" w:after="90" w:line="259" w:lineRule="auto"/>
        <w:ind w:left="1418" w:hanging="567"/>
        <w:contextualSpacing w:val="0"/>
        <w:rPr>
          <w:szCs w:val="21"/>
        </w:rPr>
      </w:pPr>
      <w:r w:rsidRPr="002C425C">
        <w:rPr>
          <w:szCs w:val="21"/>
        </w:rPr>
        <w:t>method of use</w:t>
      </w:r>
    </w:p>
    <w:p w14:paraId="40950056" w14:textId="77777777" w:rsidR="00247883" w:rsidRPr="002C425C" w:rsidRDefault="00247883" w:rsidP="00A70089">
      <w:pPr>
        <w:pStyle w:val="ListNumber3"/>
        <w:numPr>
          <w:ilvl w:val="0"/>
          <w:numId w:val="31"/>
        </w:numPr>
        <w:spacing w:before="90" w:after="90" w:line="259" w:lineRule="auto"/>
        <w:ind w:left="1418" w:hanging="567"/>
        <w:contextualSpacing w:val="0"/>
        <w:rPr>
          <w:szCs w:val="21"/>
        </w:rPr>
      </w:pPr>
      <w:r w:rsidRPr="002C425C">
        <w:rPr>
          <w:szCs w:val="21"/>
        </w:rPr>
        <w:t>package quantity</w:t>
      </w:r>
    </w:p>
    <w:p w14:paraId="2F3AB8E3" w14:textId="77777777" w:rsidR="00247883" w:rsidRPr="002C425C" w:rsidRDefault="00247883" w:rsidP="00A70089">
      <w:pPr>
        <w:pStyle w:val="ListNumber3"/>
        <w:numPr>
          <w:ilvl w:val="0"/>
          <w:numId w:val="31"/>
        </w:numPr>
        <w:spacing w:before="90" w:after="90" w:line="259" w:lineRule="auto"/>
        <w:ind w:left="1418" w:hanging="567"/>
        <w:contextualSpacing w:val="0"/>
        <w:rPr>
          <w:szCs w:val="21"/>
        </w:rPr>
      </w:pPr>
      <w:r w:rsidRPr="002C425C">
        <w:rPr>
          <w:szCs w:val="21"/>
        </w:rPr>
        <w:t>where a notifiable product contains additives other than flavourings, such as preservatives or antioxidants, a justification for their use and a toxicological risk assessment</w:t>
      </w:r>
    </w:p>
    <w:p w14:paraId="7AD3A78A" w14:textId="1792D397" w:rsidR="00247883" w:rsidRPr="002C425C" w:rsidRDefault="00247883" w:rsidP="00A70089">
      <w:pPr>
        <w:pStyle w:val="ListNumber"/>
        <w:numPr>
          <w:ilvl w:val="0"/>
          <w:numId w:val="29"/>
        </w:numPr>
        <w:tabs>
          <w:tab w:val="clear" w:pos="2629"/>
          <w:tab w:val="num" w:pos="2694"/>
        </w:tabs>
        <w:spacing w:before="90" w:after="90"/>
        <w:ind w:left="426" w:hanging="426"/>
        <w:contextualSpacing w:val="0"/>
        <w:rPr>
          <w:sz w:val="21"/>
          <w:szCs w:val="21"/>
        </w:rPr>
      </w:pPr>
      <w:r w:rsidRPr="002C425C">
        <w:rPr>
          <w:sz w:val="21"/>
          <w:szCs w:val="21"/>
        </w:rPr>
        <w:t>a declaration that the product meets the current requirements of the Act (</w:t>
      </w:r>
      <w:proofErr w:type="spellStart"/>
      <w:r w:rsidRPr="002C425C">
        <w:rPr>
          <w:sz w:val="21"/>
          <w:szCs w:val="21"/>
        </w:rPr>
        <w:t>eg</w:t>
      </w:r>
      <w:proofErr w:type="spellEnd"/>
      <w:r w:rsidRPr="002C425C">
        <w:rPr>
          <w:sz w:val="21"/>
          <w:szCs w:val="21"/>
        </w:rPr>
        <w:t>, it contains no colourings or prohibited flavours, and meets product safety requirements) and that the details supplied are correct.</w:t>
      </w:r>
    </w:p>
    <w:p w14:paraId="034DF9E8" w14:textId="77777777" w:rsidR="00140DE2" w:rsidRDefault="00140DE2" w:rsidP="00140DE2">
      <w:pPr>
        <w:pStyle w:val="Heading3"/>
        <w:pBdr>
          <w:top w:val="single" w:sz="4" w:space="1" w:color="auto"/>
          <w:left w:val="single" w:sz="4" w:space="1" w:color="auto"/>
          <w:bottom w:val="single" w:sz="4" w:space="1" w:color="auto"/>
          <w:right w:val="single" w:sz="4" w:space="1" w:color="auto"/>
        </w:pBdr>
      </w:pPr>
      <w:bookmarkStart w:id="179" w:name="_Toc58869373"/>
      <w:r>
        <w:t>Consultation questions</w:t>
      </w:r>
      <w:bookmarkEnd w:id="179"/>
    </w:p>
    <w:p w14:paraId="197E2970" w14:textId="77777777" w:rsidR="00140DE2" w:rsidRPr="002C425C" w:rsidRDefault="00140DE2" w:rsidP="00140DE2">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 xml:space="preserve">Do you agree that these are the right details for the Ministry of Health to collect for each notifiable product? If not, what changes would you make to the details collected?  </w:t>
      </w:r>
    </w:p>
    <w:p w14:paraId="76CBFA81" w14:textId="18086AE8" w:rsidR="00140DE2" w:rsidRPr="002C425C" w:rsidRDefault="00140DE2" w:rsidP="00140DE2">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 xml:space="preserve">Do you agree that the notifier should declare that each product meets the current requirements of the Act? If not, what approach to enforcing the provisions of the Act do you suggest?  </w:t>
      </w:r>
    </w:p>
    <w:p w14:paraId="751F435A" w14:textId="77777777" w:rsidR="0010052F" w:rsidRDefault="0010052F" w:rsidP="00247883">
      <w:pPr>
        <w:sectPr w:rsidR="0010052F" w:rsidSect="00794CDD">
          <w:pgSz w:w="11907" w:h="16834" w:code="9"/>
          <w:pgMar w:top="1418" w:right="1701" w:bottom="1134" w:left="1843" w:header="284" w:footer="567" w:gutter="0"/>
          <w:cols w:space="720"/>
          <w:docGrid w:linePitch="286"/>
        </w:sectPr>
      </w:pPr>
    </w:p>
    <w:p w14:paraId="5CCE45CE" w14:textId="77777777" w:rsidR="00247883" w:rsidRPr="0054769E" w:rsidRDefault="00247883" w:rsidP="0010052F">
      <w:pPr>
        <w:pStyle w:val="Heading2"/>
        <w:spacing w:before="0"/>
      </w:pPr>
      <w:bookmarkStart w:id="180" w:name="_Toc56000587"/>
      <w:bookmarkStart w:id="181" w:name="_Toc58869374"/>
      <w:r w:rsidRPr="0054769E">
        <w:lastRenderedPageBreak/>
        <w:t>5.2 Product safety requirements</w:t>
      </w:r>
      <w:bookmarkEnd w:id="180"/>
      <w:bookmarkEnd w:id="181"/>
    </w:p>
    <w:p w14:paraId="7058DD27" w14:textId="77777777" w:rsidR="00247883" w:rsidRPr="0054769E" w:rsidRDefault="00247883" w:rsidP="00247883">
      <w:pPr>
        <w:pStyle w:val="Heading3"/>
      </w:pPr>
      <w:bookmarkStart w:id="182" w:name="_Toc50549989"/>
      <w:bookmarkStart w:id="183" w:name="_Toc58869375"/>
      <w:r w:rsidRPr="0054769E">
        <w:t>Description</w:t>
      </w:r>
      <w:bookmarkEnd w:id="182"/>
      <w:bookmarkEnd w:id="183"/>
    </w:p>
    <w:p w14:paraId="1C2921E6" w14:textId="77777777" w:rsidR="00247883" w:rsidRPr="0054769E" w:rsidRDefault="00247883" w:rsidP="00247883">
      <w:r>
        <w:t>Under t</w:t>
      </w:r>
      <w:r w:rsidRPr="0054769E">
        <w:t>he Act</w:t>
      </w:r>
      <w:r>
        <w:t>, regulations can set out</w:t>
      </w:r>
      <w:r w:rsidRPr="0054769E">
        <w:t xml:space="preserve"> safety requirements </w:t>
      </w:r>
      <w:r>
        <w:t>for</w:t>
      </w:r>
      <w:r w:rsidRPr="0054769E">
        <w:t xml:space="preserve"> notifiable products.</w:t>
      </w:r>
    </w:p>
    <w:p w14:paraId="71062A6D" w14:textId="3DD7E4CE" w:rsidR="00247883" w:rsidRPr="0054769E" w:rsidRDefault="00247883" w:rsidP="00247883">
      <w:pPr>
        <w:pStyle w:val="Heading3"/>
      </w:pPr>
      <w:bookmarkStart w:id="184" w:name="_Toc50468960"/>
      <w:bookmarkStart w:id="185" w:name="_Toc50469077"/>
      <w:bookmarkStart w:id="186" w:name="_Toc50549990"/>
      <w:bookmarkStart w:id="187" w:name="_Toc58869376"/>
      <w:bookmarkEnd w:id="164"/>
      <w:bookmarkEnd w:id="165"/>
      <w:r w:rsidRPr="0054769E">
        <w:t>Proposal</w:t>
      </w:r>
      <w:bookmarkEnd w:id="184"/>
      <w:bookmarkEnd w:id="185"/>
      <w:bookmarkEnd w:id="186"/>
      <w:bookmarkEnd w:id="187"/>
    </w:p>
    <w:p w14:paraId="14968871" w14:textId="77777777" w:rsidR="00247883" w:rsidRPr="00A109FD" w:rsidRDefault="00247883" w:rsidP="00247883">
      <w:r w:rsidRPr="0054769E">
        <w:t xml:space="preserve">We propose to base New Zealand’s regulations on the </w:t>
      </w:r>
      <w:r>
        <w:t>EU and UK</w:t>
      </w:r>
      <w:r w:rsidRPr="0054769E">
        <w:t xml:space="preserve"> </w:t>
      </w:r>
      <w:r>
        <w:t>legislation and guidance</w:t>
      </w:r>
      <w:r w:rsidRPr="0054769E">
        <w:t xml:space="preserve">, with appropriate adaptations for the New Zealand market, as set out below. Appendix A </w:t>
      </w:r>
      <w:r>
        <w:t>details o</w:t>
      </w:r>
      <w:r w:rsidRPr="0054769E">
        <w:t>ur full proposal for product safety requirements.</w:t>
      </w:r>
    </w:p>
    <w:p w14:paraId="6DFD1FCE" w14:textId="77777777" w:rsidR="00247883" w:rsidRPr="0054769E" w:rsidRDefault="00247883" w:rsidP="00247883">
      <w:pPr>
        <w:pStyle w:val="Heading4"/>
      </w:pPr>
      <w:bookmarkStart w:id="188" w:name="_Toc50468961"/>
      <w:bookmarkStart w:id="189" w:name="_Toc50469078"/>
      <w:bookmarkStart w:id="190" w:name="_Toc50549991"/>
      <w:r w:rsidRPr="0054769E">
        <w:t>Substances</w:t>
      </w:r>
      <w:bookmarkEnd w:id="188"/>
      <w:bookmarkEnd w:id="189"/>
      <w:bookmarkEnd w:id="190"/>
    </w:p>
    <w:p w14:paraId="22BA09FD" w14:textId="4B67BB19" w:rsidR="00247883" w:rsidRPr="002C425C" w:rsidRDefault="00247883" w:rsidP="00247883">
      <w:pPr>
        <w:rPr>
          <w:szCs w:val="21"/>
        </w:rPr>
      </w:pPr>
      <w:r w:rsidRPr="002C425C">
        <w:rPr>
          <w:b/>
          <w:szCs w:val="21"/>
        </w:rPr>
        <w:t>Manufacturing</w:t>
      </w:r>
      <w:r w:rsidRPr="002C425C">
        <w:rPr>
          <w:szCs w:val="21"/>
        </w:rPr>
        <w:t>. We propose reminding manufacturers of their health and safety obligations under the Health and Safety at Work Act 2015 and the Hazardous Substances and New Organisms Act 1996 when they are manufacturing with hazardous substances such as nicotine. We further propose requiring them to have suitable systems in place for complaints, adverse reactions, and recalls.</w:t>
      </w:r>
    </w:p>
    <w:p w14:paraId="65817B08" w14:textId="77777777" w:rsidR="0010052F" w:rsidRPr="002C425C" w:rsidRDefault="0010052F" w:rsidP="00247883">
      <w:pPr>
        <w:rPr>
          <w:b/>
          <w:szCs w:val="21"/>
        </w:rPr>
      </w:pPr>
    </w:p>
    <w:p w14:paraId="561DF4F8" w14:textId="64236055" w:rsidR="00247883" w:rsidRPr="002C425C" w:rsidRDefault="00247883" w:rsidP="00247883">
      <w:pPr>
        <w:rPr>
          <w:szCs w:val="21"/>
        </w:rPr>
      </w:pPr>
      <w:r w:rsidRPr="002C425C">
        <w:rPr>
          <w:b/>
          <w:szCs w:val="21"/>
        </w:rPr>
        <w:t>Labelling</w:t>
      </w:r>
      <w:r w:rsidRPr="002C425C">
        <w:rPr>
          <w:szCs w:val="21"/>
        </w:rPr>
        <w:t>. We propose that vaping substance containers must include specific information on their labels.</w:t>
      </w:r>
    </w:p>
    <w:p w14:paraId="3C3386E7" w14:textId="77777777" w:rsidR="0010052F" w:rsidRPr="002C425C" w:rsidRDefault="0010052F" w:rsidP="00247883">
      <w:pPr>
        <w:rPr>
          <w:szCs w:val="21"/>
        </w:rPr>
      </w:pPr>
    </w:p>
    <w:p w14:paraId="564BA190" w14:textId="1FCB2695" w:rsidR="00247883" w:rsidRPr="002C425C" w:rsidRDefault="00247883" w:rsidP="00247883">
      <w:pPr>
        <w:rPr>
          <w:szCs w:val="21"/>
        </w:rPr>
      </w:pPr>
      <w:r w:rsidRPr="002C425C">
        <w:rPr>
          <w:b/>
          <w:szCs w:val="21"/>
        </w:rPr>
        <w:t>Ingredients</w:t>
      </w:r>
      <w:r w:rsidRPr="002C425C">
        <w:rPr>
          <w:szCs w:val="21"/>
        </w:rPr>
        <w:t>. We propose making notifiers responsible for ensuring that products contain only the ingredients that they have submitted as part of their notification. In addition, notifiers must justify the use of additives other than flavourings and they have an overarching responsibility to ensure their products do not pose an unacceptable risk.</w:t>
      </w:r>
    </w:p>
    <w:p w14:paraId="4F93F3BA" w14:textId="77777777" w:rsidR="0010052F" w:rsidRPr="002C425C" w:rsidRDefault="0010052F" w:rsidP="00247883">
      <w:pPr>
        <w:rPr>
          <w:szCs w:val="21"/>
        </w:rPr>
      </w:pPr>
    </w:p>
    <w:p w14:paraId="2E81F87D" w14:textId="79F9F8FD" w:rsidR="00247883" w:rsidRPr="002C425C" w:rsidRDefault="00247883" w:rsidP="00247883">
      <w:pPr>
        <w:rPr>
          <w:szCs w:val="21"/>
        </w:rPr>
      </w:pPr>
      <w:r w:rsidRPr="002C425C">
        <w:rPr>
          <w:b/>
          <w:szCs w:val="21"/>
        </w:rPr>
        <w:t>Quality of ingredients</w:t>
      </w:r>
      <w:r w:rsidRPr="002C425C">
        <w:rPr>
          <w:szCs w:val="21"/>
        </w:rPr>
        <w:t>. We propose minimum quality standards for nicotine, nicotine salts, propylene glycol, vegetable glycerine, alcohols, water, tobacco extracts, and flavourings.</w:t>
      </w:r>
    </w:p>
    <w:p w14:paraId="05D1FAA0" w14:textId="77777777" w:rsidR="0010052F" w:rsidRPr="002C425C" w:rsidRDefault="0010052F" w:rsidP="00247883">
      <w:pPr>
        <w:rPr>
          <w:szCs w:val="21"/>
        </w:rPr>
      </w:pPr>
    </w:p>
    <w:p w14:paraId="4B26B1D2" w14:textId="63887136" w:rsidR="00247883" w:rsidRPr="002C425C" w:rsidRDefault="00247883" w:rsidP="00247883">
      <w:pPr>
        <w:rPr>
          <w:szCs w:val="21"/>
        </w:rPr>
      </w:pPr>
      <w:r w:rsidRPr="002C425C">
        <w:rPr>
          <w:b/>
          <w:szCs w:val="21"/>
        </w:rPr>
        <w:t>Prohibited substances</w:t>
      </w:r>
      <w:r w:rsidRPr="002C425C">
        <w:rPr>
          <w:szCs w:val="21"/>
        </w:rPr>
        <w:t xml:space="preserve">. We propose prohibiting notifiable products that contain any amount or more than trace amounts of certain substances that are considered hazardous. </w:t>
      </w:r>
    </w:p>
    <w:p w14:paraId="046C2174" w14:textId="77777777" w:rsidR="0010052F" w:rsidRPr="002C425C" w:rsidRDefault="0010052F" w:rsidP="00247883">
      <w:pPr>
        <w:rPr>
          <w:szCs w:val="21"/>
        </w:rPr>
      </w:pPr>
    </w:p>
    <w:p w14:paraId="26809A09" w14:textId="77777777" w:rsidR="00247883" w:rsidRPr="002C425C" w:rsidRDefault="00247883" w:rsidP="00247883">
      <w:pPr>
        <w:pStyle w:val="ListParaText"/>
        <w:spacing w:after="160"/>
        <w:ind w:left="0"/>
        <w:rPr>
          <w:rFonts w:ascii="Segoe UI" w:hAnsi="Segoe UI"/>
          <w:sz w:val="21"/>
          <w:szCs w:val="21"/>
        </w:rPr>
      </w:pPr>
      <w:r w:rsidRPr="002C425C">
        <w:rPr>
          <w:rFonts w:ascii="Segoe UI" w:hAnsi="Segoe UI"/>
          <w:b/>
          <w:sz w:val="21"/>
          <w:szCs w:val="21"/>
        </w:rPr>
        <w:t>Nicotine strength</w:t>
      </w:r>
      <w:r w:rsidRPr="0035372E">
        <w:rPr>
          <w:rFonts w:ascii="Segoe UI" w:hAnsi="Segoe UI"/>
          <w:b/>
          <w:sz w:val="21"/>
          <w:szCs w:val="21"/>
        </w:rPr>
        <w:t>.</w:t>
      </w:r>
      <w:r w:rsidRPr="0035372E">
        <w:rPr>
          <w:sz w:val="21"/>
          <w:szCs w:val="21"/>
        </w:rPr>
        <w:t xml:space="preserve"> </w:t>
      </w:r>
      <w:r w:rsidRPr="0035372E">
        <w:rPr>
          <w:rFonts w:ascii="Segoe UI" w:hAnsi="Segoe UI"/>
          <w:sz w:val="21"/>
          <w:szCs w:val="21"/>
        </w:rPr>
        <w:t>We propose limiting the strength of nicotine allowed in vaping substances to not exceed 20mg/mL for free-base nicotine and 50mg/mL for nicotine salt. We also propose restricting the total amount of nicotine that may be present in a single container to 500mg.</w:t>
      </w:r>
    </w:p>
    <w:p w14:paraId="2EA20F75" w14:textId="77777777" w:rsidR="00247883" w:rsidRPr="002C425C" w:rsidRDefault="00247883" w:rsidP="00247883">
      <w:pPr>
        <w:rPr>
          <w:szCs w:val="21"/>
        </w:rPr>
      </w:pPr>
      <w:r w:rsidRPr="002C425C">
        <w:rPr>
          <w:b/>
          <w:szCs w:val="21"/>
        </w:rPr>
        <w:t>Containers</w:t>
      </w:r>
      <w:r w:rsidRPr="002C425C">
        <w:rPr>
          <w:szCs w:val="21"/>
        </w:rPr>
        <w:t>. We propose placing several restrictions on the composition of containers. These include restricting the grade of plastic used, child-resistant packaging, the maximum size that can be used for substances containing nicotine, and mechanisms against breakage, spillage or tampering.</w:t>
      </w:r>
    </w:p>
    <w:p w14:paraId="1A37BA39" w14:textId="77777777" w:rsidR="00247883" w:rsidRPr="0010052F" w:rsidRDefault="00247883" w:rsidP="0010052F">
      <w:pPr>
        <w:pStyle w:val="Heading4"/>
      </w:pPr>
      <w:bookmarkStart w:id="191" w:name="_Toc50468962"/>
      <w:bookmarkStart w:id="192" w:name="_Toc50469079"/>
      <w:bookmarkStart w:id="193" w:name="_Toc50549992"/>
      <w:r w:rsidRPr="0010052F">
        <w:t>Devices</w:t>
      </w:r>
      <w:bookmarkEnd w:id="191"/>
      <w:bookmarkEnd w:id="192"/>
      <w:bookmarkEnd w:id="193"/>
    </w:p>
    <w:p w14:paraId="66EFD174" w14:textId="77777777" w:rsidR="00247883" w:rsidRPr="0054769E" w:rsidRDefault="00247883" w:rsidP="00247883">
      <w:r w:rsidRPr="0054769E">
        <w:t>We propose</w:t>
      </w:r>
      <w:r>
        <w:t xml:space="preserve"> setting</w:t>
      </w:r>
      <w:r w:rsidRPr="0054769E">
        <w:t xml:space="preserve"> minimum standards for devices that align with standards for battery</w:t>
      </w:r>
      <w:r>
        <w:t>-</w:t>
      </w:r>
      <w:r w:rsidRPr="0054769E">
        <w:t xml:space="preserve">operated electrical devices. We propose requirements to support the safe operation of </w:t>
      </w:r>
      <w:r w:rsidRPr="0054769E">
        <w:lastRenderedPageBreak/>
        <w:t>devices. We also propose requiring devices to have serial or batch numbers so faulty products can be traced.</w:t>
      </w:r>
    </w:p>
    <w:p w14:paraId="19434A8D" w14:textId="77777777" w:rsidR="00247883" w:rsidRPr="0054769E" w:rsidRDefault="00247883" w:rsidP="00247883">
      <w:pPr>
        <w:pStyle w:val="Heading4"/>
      </w:pPr>
      <w:bookmarkStart w:id="194" w:name="_Toc50468963"/>
      <w:bookmarkStart w:id="195" w:name="_Toc50469080"/>
      <w:bookmarkStart w:id="196" w:name="_Toc50549993"/>
      <w:r w:rsidRPr="0054769E">
        <w:t>Vaping</w:t>
      </w:r>
      <w:r>
        <w:t xml:space="preserve"> s</w:t>
      </w:r>
      <w:r w:rsidRPr="0054769E">
        <w:t xml:space="preserve">ubstance </w:t>
      </w:r>
      <w:r>
        <w:t>t</w:t>
      </w:r>
      <w:r w:rsidRPr="0054769E">
        <w:t>esting</w:t>
      </w:r>
      <w:bookmarkEnd w:id="194"/>
      <w:bookmarkEnd w:id="195"/>
      <w:bookmarkEnd w:id="196"/>
    </w:p>
    <w:p w14:paraId="5639E2AD" w14:textId="52AF5295" w:rsidR="0010052F" w:rsidRPr="0054769E" w:rsidRDefault="00247883" w:rsidP="00247883">
      <w:r w:rsidRPr="0054769E">
        <w:t xml:space="preserve">We propose </w:t>
      </w:r>
      <w:r>
        <w:t>requiring</w:t>
      </w:r>
      <w:r w:rsidRPr="0054769E">
        <w:t xml:space="preserve"> regulated products </w:t>
      </w:r>
      <w:r>
        <w:t xml:space="preserve">to </w:t>
      </w:r>
      <w:r w:rsidRPr="0054769E">
        <w:t>be tested to ensure they do not contain certain toxic compounds above prescribed concentrations.</w:t>
      </w:r>
    </w:p>
    <w:p w14:paraId="2098C16D" w14:textId="77777777" w:rsidR="0010052F" w:rsidRDefault="0010052F" w:rsidP="0010052F">
      <w:pPr>
        <w:pStyle w:val="Heading3"/>
        <w:pBdr>
          <w:top w:val="single" w:sz="4" w:space="1" w:color="auto"/>
          <w:left w:val="single" w:sz="4" w:space="4" w:color="auto"/>
          <w:bottom w:val="single" w:sz="4" w:space="1" w:color="auto"/>
          <w:right w:val="single" w:sz="4" w:space="4" w:color="auto"/>
        </w:pBdr>
      </w:pPr>
      <w:bookmarkStart w:id="197" w:name="_Toc58869377"/>
      <w:r>
        <w:t>Consultation questions</w:t>
      </w:r>
      <w:bookmarkEnd w:id="197"/>
    </w:p>
    <w:p w14:paraId="4CBF9491" w14:textId="77777777" w:rsidR="0010052F" w:rsidRPr="002C425C" w:rsidRDefault="0010052F"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 xml:space="preserve">Do you agree with our approach of basing product safety requirements on the EU and UK legislation and guidance? If not, what approach to our product safety requirements do you suggest we use? </w:t>
      </w:r>
    </w:p>
    <w:p w14:paraId="6CB367F3" w14:textId="77777777" w:rsidR="0010052F" w:rsidRPr="002C425C" w:rsidRDefault="0010052F"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 xml:space="preserve">Do you agree with the product controls we are proposing to include in the product safety requirements? If not, what changes to the areas that the product safety requirements cover do you suggest?  </w:t>
      </w:r>
    </w:p>
    <w:p w14:paraId="48935918" w14:textId="39A7B6FC" w:rsidR="0010052F" w:rsidRPr="002C425C" w:rsidRDefault="0010052F"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After reviewing our full proposal in Appendix A, do you agree with our proposed product safety requirements? If not, what changes to them do you suggest?</w:t>
      </w:r>
    </w:p>
    <w:p w14:paraId="32069C8C" w14:textId="57F317F9" w:rsidR="00247883" w:rsidRPr="005A62A9" w:rsidRDefault="00247883" w:rsidP="00247883">
      <w:r>
        <w:br w:type="page"/>
      </w:r>
    </w:p>
    <w:p w14:paraId="42B077B5" w14:textId="77777777" w:rsidR="00247883" w:rsidRDefault="00247883" w:rsidP="00247883">
      <w:pPr>
        <w:pStyle w:val="Heading1"/>
      </w:pPr>
      <w:bookmarkStart w:id="198" w:name="_Toc56000588"/>
      <w:bookmarkStart w:id="199" w:name="_Toc58869378"/>
      <w:r>
        <w:lastRenderedPageBreak/>
        <w:t>Regulatory proposal 6: Annual reporting and returns</w:t>
      </w:r>
      <w:bookmarkEnd w:id="198"/>
      <w:bookmarkEnd w:id="199"/>
    </w:p>
    <w:p w14:paraId="06ED3439" w14:textId="77777777" w:rsidR="00247883" w:rsidRPr="00256F52" w:rsidRDefault="00247883" w:rsidP="00247883">
      <w:pPr>
        <w:pStyle w:val="Heading3"/>
      </w:pPr>
      <w:bookmarkStart w:id="200" w:name="_Toc50468971"/>
      <w:bookmarkStart w:id="201" w:name="_Toc50469088"/>
      <w:bookmarkStart w:id="202" w:name="_Toc50549995"/>
      <w:bookmarkStart w:id="203" w:name="_Toc58869379"/>
      <w:r>
        <w:t>Description</w:t>
      </w:r>
      <w:bookmarkEnd w:id="200"/>
      <w:bookmarkEnd w:id="201"/>
      <w:bookmarkEnd w:id="202"/>
      <w:bookmarkEnd w:id="203"/>
    </w:p>
    <w:p w14:paraId="54F91D89" w14:textId="77777777" w:rsidR="00247883" w:rsidRDefault="00247883" w:rsidP="00247883">
      <w:r w:rsidRPr="000608A4">
        <w:t>The Act requires manufacturers, importers and specialist vape retailers to provide an annual return to the Ministry of Health no later than 31 January each year</w:t>
      </w:r>
      <w:r>
        <w:t>,</w:t>
      </w:r>
      <w:r w:rsidRPr="000608A4">
        <w:t xml:space="preserve"> showing sales-related information for the previous calendar year (section 100(1)). This is consistent with existing requirements for tobacco products.</w:t>
      </w:r>
    </w:p>
    <w:p w14:paraId="73EEFEC3" w14:textId="77777777" w:rsidR="00247883" w:rsidRPr="00DE7654" w:rsidRDefault="00247883" w:rsidP="00247883">
      <w:pPr>
        <w:pStyle w:val="Heading3"/>
      </w:pPr>
      <w:bookmarkStart w:id="204" w:name="_Toc50468972"/>
      <w:bookmarkStart w:id="205" w:name="_Toc50469089"/>
      <w:bookmarkStart w:id="206" w:name="_Toc50549996"/>
      <w:bookmarkStart w:id="207" w:name="_Toc58869380"/>
      <w:r w:rsidRPr="00DE7654">
        <w:t>Proposal</w:t>
      </w:r>
      <w:bookmarkEnd w:id="204"/>
      <w:bookmarkEnd w:id="205"/>
      <w:bookmarkEnd w:id="206"/>
      <w:bookmarkEnd w:id="207"/>
    </w:p>
    <w:p w14:paraId="32B0718E" w14:textId="77777777" w:rsidR="00247883" w:rsidRPr="000608A4" w:rsidRDefault="00247883" w:rsidP="00247883">
      <w:pPr>
        <w:pStyle w:val="Heading4"/>
      </w:pPr>
      <w:bookmarkStart w:id="208" w:name="_Toc50468973"/>
      <w:bookmarkStart w:id="209" w:name="_Toc50469090"/>
      <w:bookmarkStart w:id="210" w:name="_Toc50549997"/>
      <w:r w:rsidRPr="000608A4">
        <w:t>Manufacturers and importers</w:t>
      </w:r>
      <w:bookmarkEnd w:id="208"/>
      <w:bookmarkEnd w:id="209"/>
      <w:bookmarkEnd w:id="210"/>
    </w:p>
    <w:p w14:paraId="36013206" w14:textId="77777777" w:rsidR="00247883" w:rsidRPr="005A2DA7" w:rsidRDefault="00247883" w:rsidP="00247883">
      <w:r w:rsidRPr="005A2DA7">
        <w:t>We pro</w:t>
      </w:r>
      <w:r w:rsidRPr="009D5730">
        <w:t>p</w:t>
      </w:r>
      <w:r w:rsidRPr="005A2DA7">
        <w:t xml:space="preserve">ose that the regulations modify </w:t>
      </w:r>
      <w:r>
        <w:t xml:space="preserve">the </w:t>
      </w:r>
      <w:r w:rsidRPr="005A2DA7">
        <w:t xml:space="preserve">existing requirements for tobacco products, </w:t>
      </w:r>
      <w:r>
        <w:t>in setting the requirements for</w:t>
      </w:r>
      <w:r w:rsidRPr="005A2DA7">
        <w:t>:</w:t>
      </w:r>
    </w:p>
    <w:p w14:paraId="66E8D70F" w14:textId="77777777" w:rsidR="00247883" w:rsidRPr="002C425C" w:rsidRDefault="00247883" w:rsidP="00A70089">
      <w:pPr>
        <w:pStyle w:val="ListNumber"/>
        <w:numPr>
          <w:ilvl w:val="0"/>
          <w:numId w:val="32"/>
        </w:numPr>
        <w:spacing w:before="90" w:after="90"/>
        <w:ind w:left="357" w:hanging="357"/>
        <w:contextualSpacing w:val="0"/>
        <w:rPr>
          <w:sz w:val="21"/>
          <w:szCs w:val="21"/>
        </w:rPr>
      </w:pPr>
      <w:r w:rsidRPr="002C425C">
        <w:rPr>
          <w:sz w:val="21"/>
          <w:szCs w:val="21"/>
        </w:rPr>
        <w:t>brand and brand variant of a vaping device (including a heated tobacco device) and vaping liquid container (in units)</w:t>
      </w:r>
    </w:p>
    <w:p w14:paraId="0D8F5436" w14:textId="77777777" w:rsidR="00247883" w:rsidRPr="002C425C" w:rsidRDefault="00247883" w:rsidP="00A70089">
      <w:pPr>
        <w:pStyle w:val="ListNumber"/>
        <w:numPr>
          <w:ilvl w:val="0"/>
          <w:numId w:val="32"/>
        </w:numPr>
        <w:spacing w:before="90" w:after="90"/>
        <w:ind w:left="357" w:hanging="357"/>
        <w:contextualSpacing w:val="0"/>
        <w:rPr>
          <w:sz w:val="21"/>
          <w:szCs w:val="21"/>
        </w:rPr>
      </w:pPr>
      <w:r w:rsidRPr="002C425C">
        <w:rPr>
          <w:sz w:val="21"/>
          <w:szCs w:val="21"/>
        </w:rPr>
        <w:t>recommended retail price by brand and brand variant of a vaping device (including a heated tobacco product) and vaping liquid container (in New Zealand dollars).</w:t>
      </w:r>
    </w:p>
    <w:p w14:paraId="4E9E5576" w14:textId="77777777" w:rsidR="00247883" w:rsidRPr="002C425C" w:rsidRDefault="00247883" w:rsidP="00247883">
      <w:pPr>
        <w:rPr>
          <w:szCs w:val="21"/>
        </w:rPr>
      </w:pPr>
      <w:r w:rsidRPr="002C425C">
        <w:rPr>
          <w:color w:val="000000" w:themeColor="text1"/>
          <w:szCs w:val="21"/>
        </w:rPr>
        <w:t>For vaping</w:t>
      </w:r>
      <w:r w:rsidRPr="002C425C">
        <w:rPr>
          <w:szCs w:val="21"/>
        </w:rPr>
        <w:t xml:space="preserve"> liquid, brand variant would include different flavours (such as menthol or vanilla), volume (such as 20 mL or 30 mL) and nicotine strength. </w:t>
      </w:r>
    </w:p>
    <w:p w14:paraId="2B417266" w14:textId="77777777" w:rsidR="00247883" w:rsidRPr="00105CEF" w:rsidRDefault="00247883" w:rsidP="00247883">
      <w:pPr>
        <w:pStyle w:val="Heading4"/>
      </w:pPr>
      <w:bookmarkStart w:id="211" w:name="_Toc50468974"/>
      <w:bookmarkStart w:id="212" w:name="_Toc50469091"/>
      <w:bookmarkStart w:id="213" w:name="_Toc50549998"/>
      <w:r w:rsidRPr="00105CEF">
        <w:t>Specialist vape retailers</w:t>
      </w:r>
      <w:bookmarkEnd w:id="211"/>
      <w:bookmarkEnd w:id="212"/>
      <w:bookmarkEnd w:id="213"/>
    </w:p>
    <w:p w14:paraId="08CE876D" w14:textId="77777777" w:rsidR="00247883" w:rsidRPr="00105CEF" w:rsidRDefault="00247883" w:rsidP="00247883">
      <w:r w:rsidRPr="00105CEF">
        <w:t>We propose that the regulations require specialist vape retailers to report</w:t>
      </w:r>
      <w:r>
        <w:t>, f</w:t>
      </w:r>
      <w:r w:rsidRPr="00105CEF">
        <w:t xml:space="preserve">or each approved </w:t>
      </w:r>
      <w:r>
        <w:t xml:space="preserve">vaping </w:t>
      </w:r>
      <w:r w:rsidRPr="00105CEF">
        <w:t>premise</w:t>
      </w:r>
      <w:r>
        <w:t xml:space="preserve"> and web</w:t>
      </w:r>
      <w:r w:rsidRPr="00105CEF">
        <w:t>site:</w:t>
      </w:r>
    </w:p>
    <w:p w14:paraId="762E284D" w14:textId="77777777" w:rsidR="00247883" w:rsidRPr="002C425C" w:rsidRDefault="00247883" w:rsidP="00A70089">
      <w:pPr>
        <w:pStyle w:val="ListNumber"/>
        <w:numPr>
          <w:ilvl w:val="0"/>
          <w:numId w:val="33"/>
        </w:numPr>
        <w:tabs>
          <w:tab w:val="clear" w:pos="2629"/>
        </w:tabs>
        <w:spacing w:before="90" w:after="90"/>
        <w:ind w:left="426" w:hanging="426"/>
        <w:contextualSpacing w:val="0"/>
        <w:rPr>
          <w:sz w:val="21"/>
          <w:szCs w:val="21"/>
          <w:lang w:eastAsia="en-NZ"/>
        </w:rPr>
      </w:pPr>
      <w:r w:rsidRPr="002C425C">
        <w:rPr>
          <w:sz w:val="21"/>
          <w:szCs w:val="21"/>
          <w:lang w:eastAsia="en-NZ"/>
        </w:rPr>
        <w:t>total sales in New Zealand dollars for:</w:t>
      </w:r>
    </w:p>
    <w:p w14:paraId="63CD0BA8" w14:textId="77777777" w:rsidR="00247883" w:rsidRPr="002C425C" w:rsidRDefault="00247883" w:rsidP="00157223">
      <w:pPr>
        <w:pStyle w:val="ListNumber2"/>
        <w:numPr>
          <w:ilvl w:val="0"/>
          <w:numId w:val="24"/>
        </w:numPr>
        <w:spacing w:before="90" w:after="90"/>
        <w:ind w:left="851" w:hanging="425"/>
        <w:contextualSpacing w:val="0"/>
        <w:rPr>
          <w:sz w:val="21"/>
          <w:szCs w:val="21"/>
        </w:rPr>
      </w:pPr>
      <w:r w:rsidRPr="002C425C">
        <w:rPr>
          <w:sz w:val="21"/>
          <w:szCs w:val="21"/>
        </w:rPr>
        <w:t>vaping products (including heated tobacco devices)</w:t>
      </w:r>
    </w:p>
    <w:p w14:paraId="4C450545" w14:textId="77777777" w:rsidR="00247883" w:rsidRPr="002C425C" w:rsidRDefault="00247883" w:rsidP="00157223">
      <w:pPr>
        <w:pStyle w:val="ListNumber2"/>
        <w:numPr>
          <w:ilvl w:val="0"/>
          <w:numId w:val="24"/>
        </w:numPr>
        <w:spacing w:before="90" w:after="90"/>
        <w:ind w:left="851" w:hanging="425"/>
        <w:contextualSpacing w:val="0"/>
        <w:rPr>
          <w:sz w:val="21"/>
          <w:szCs w:val="21"/>
        </w:rPr>
      </w:pPr>
      <w:r w:rsidRPr="002C425C">
        <w:rPr>
          <w:sz w:val="21"/>
          <w:szCs w:val="21"/>
        </w:rPr>
        <w:t>other products</w:t>
      </w:r>
    </w:p>
    <w:p w14:paraId="0EE80EB9" w14:textId="77777777" w:rsidR="00247883" w:rsidRPr="002C425C" w:rsidRDefault="00247883" w:rsidP="00157223">
      <w:pPr>
        <w:pStyle w:val="ListNumber"/>
        <w:tabs>
          <w:tab w:val="clear" w:pos="2629"/>
        </w:tabs>
        <w:spacing w:before="90" w:after="90"/>
        <w:ind w:left="426" w:hanging="426"/>
        <w:contextualSpacing w:val="0"/>
        <w:rPr>
          <w:sz w:val="21"/>
          <w:szCs w:val="21"/>
        </w:rPr>
      </w:pPr>
      <w:r w:rsidRPr="002C425C">
        <w:rPr>
          <w:sz w:val="21"/>
          <w:szCs w:val="21"/>
        </w:rPr>
        <w:t>for vaping products:</w:t>
      </w:r>
    </w:p>
    <w:p w14:paraId="77897CD6" w14:textId="77777777" w:rsidR="00247883" w:rsidRPr="002C425C" w:rsidRDefault="00247883" w:rsidP="00157223">
      <w:pPr>
        <w:pStyle w:val="ListNumber2"/>
        <w:numPr>
          <w:ilvl w:val="0"/>
          <w:numId w:val="25"/>
        </w:numPr>
        <w:spacing w:before="90" w:after="90"/>
        <w:ind w:left="851" w:hanging="425"/>
        <w:contextualSpacing w:val="0"/>
        <w:rPr>
          <w:color w:val="000000" w:themeColor="text1"/>
          <w:sz w:val="21"/>
          <w:szCs w:val="21"/>
        </w:rPr>
      </w:pPr>
      <w:r w:rsidRPr="002C425C">
        <w:rPr>
          <w:sz w:val="21"/>
          <w:szCs w:val="21"/>
        </w:rPr>
        <w:t>brand and brand variant of a vaping device (including a heated tobacco device) and vaping liquid container (in units)</w:t>
      </w:r>
    </w:p>
    <w:p w14:paraId="70870F55" w14:textId="77777777" w:rsidR="00247883" w:rsidRPr="002C425C" w:rsidRDefault="00247883" w:rsidP="00157223">
      <w:pPr>
        <w:pStyle w:val="ListNumber2"/>
        <w:numPr>
          <w:ilvl w:val="0"/>
          <w:numId w:val="25"/>
        </w:numPr>
        <w:spacing w:before="90" w:after="90"/>
        <w:ind w:left="851" w:hanging="425"/>
        <w:contextualSpacing w:val="0"/>
        <w:rPr>
          <w:sz w:val="21"/>
          <w:szCs w:val="21"/>
        </w:rPr>
      </w:pPr>
      <w:r w:rsidRPr="002C425C">
        <w:rPr>
          <w:sz w:val="21"/>
          <w:szCs w:val="21"/>
        </w:rPr>
        <w:t>recommended retail price by brand and brand variant of a vaping device (including a heated tobacco product) and vaping liquid container (in New Zealand dollars).</w:t>
      </w:r>
    </w:p>
    <w:p w14:paraId="086417CF" w14:textId="26FC9945" w:rsidR="00247883" w:rsidRDefault="00247883" w:rsidP="00247883">
      <w:r w:rsidRPr="00105CEF">
        <w:rPr>
          <w:color w:val="000000" w:themeColor="text1"/>
        </w:rPr>
        <w:lastRenderedPageBreak/>
        <w:t>For vaping</w:t>
      </w:r>
      <w:r w:rsidRPr="00105CEF">
        <w:rPr>
          <w:rFonts w:eastAsiaTheme="minorHAnsi"/>
        </w:rPr>
        <w:t xml:space="preserve"> liquid</w:t>
      </w:r>
      <w:r>
        <w:rPr>
          <w:rFonts w:eastAsiaTheme="minorHAnsi"/>
        </w:rPr>
        <w:t>s</w:t>
      </w:r>
      <w:r w:rsidRPr="00105CEF">
        <w:rPr>
          <w:rFonts w:eastAsiaTheme="minorHAnsi"/>
        </w:rPr>
        <w:t>,</w:t>
      </w:r>
      <w:r>
        <w:rPr>
          <w:rFonts w:eastAsiaTheme="minorHAnsi"/>
        </w:rPr>
        <w:t xml:space="preserve"> we propose defining</w:t>
      </w:r>
      <w:r w:rsidRPr="00105CEF">
        <w:rPr>
          <w:rFonts w:eastAsiaTheme="minorHAnsi"/>
        </w:rPr>
        <w:t xml:space="preserve"> brand variant</w:t>
      </w:r>
      <w:r>
        <w:rPr>
          <w:rFonts w:eastAsiaTheme="minorHAnsi"/>
        </w:rPr>
        <w:t>s</w:t>
      </w:r>
      <w:r w:rsidRPr="00105CEF">
        <w:rPr>
          <w:rFonts w:eastAsiaTheme="minorHAnsi"/>
        </w:rPr>
        <w:t xml:space="preserve"> </w:t>
      </w:r>
      <w:r>
        <w:rPr>
          <w:rFonts w:eastAsiaTheme="minorHAnsi"/>
        </w:rPr>
        <w:t xml:space="preserve">by, for example, </w:t>
      </w:r>
      <w:r w:rsidRPr="00105CEF">
        <w:rPr>
          <w:rFonts w:eastAsiaTheme="minorHAnsi"/>
        </w:rPr>
        <w:t>different flavours (such as menthol or vanilla), volume</w:t>
      </w:r>
      <w:r>
        <w:rPr>
          <w:rFonts w:eastAsiaTheme="minorHAnsi"/>
        </w:rPr>
        <w:t>s</w:t>
      </w:r>
      <w:r w:rsidRPr="00105CEF">
        <w:rPr>
          <w:rFonts w:eastAsiaTheme="minorHAnsi"/>
        </w:rPr>
        <w:t xml:space="preserve"> (such as </w:t>
      </w:r>
      <w:r w:rsidRPr="00105CEF">
        <w:t>20</w:t>
      </w:r>
      <w:r>
        <w:t xml:space="preserve"> </w:t>
      </w:r>
      <w:r w:rsidRPr="00105CEF">
        <w:t>mL or 30</w:t>
      </w:r>
      <w:r>
        <w:t xml:space="preserve"> </w:t>
      </w:r>
      <w:r w:rsidRPr="00105CEF">
        <w:t>mL) and</w:t>
      </w:r>
      <w:r>
        <w:t xml:space="preserve"> different</w:t>
      </w:r>
      <w:r w:rsidRPr="00105CEF">
        <w:t xml:space="preserve"> nicotine strength</w:t>
      </w:r>
      <w:r>
        <w:t>s</w:t>
      </w:r>
      <w:r w:rsidRPr="00105CEF">
        <w:t>. This</w:t>
      </w:r>
      <w:r>
        <w:t xml:space="preserve"> reporting</w:t>
      </w:r>
      <w:r w:rsidRPr="00105CEF">
        <w:t xml:space="preserve"> will provide useful information </w:t>
      </w:r>
      <w:r>
        <w:t>that gives</w:t>
      </w:r>
      <w:r w:rsidRPr="00105CEF">
        <w:t xml:space="preserve"> the Ministry of Health </w:t>
      </w:r>
      <w:r>
        <w:t>a</w:t>
      </w:r>
      <w:r w:rsidRPr="00105CEF">
        <w:t xml:space="preserve"> better understand</w:t>
      </w:r>
      <w:r>
        <w:t>ing of</w:t>
      </w:r>
      <w:r w:rsidRPr="00105CEF">
        <w:t xml:space="preserve"> product demand and </w:t>
      </w:r>
      <w:r>
        <w:t>that will</w:t>
      </w:r>
      <w:r w:rsidRPr="00105CEF">
        <w:t xml:space="preserve"> inform any future review of the regulations.</w:t>
      </w:r>
    </w:p>
    <w:p w14:paraId="4390A5FC" w14:textId="77777777" w:rsidR="0010052F" w:rsidRPr="005A2DA7" w:rsidRDefault="0010052F" w:rsidP="00247883"/>
    <w:p w14:paraId="02F21148" w14:textId="6E21B230" w:rsidR="00247883" w:rsidRDefault="00247883" w:rsidP="00247883">
      <w:r w:rsidRPr="007A43DE">
        <w:t xml:space="preserve">We propose to provide a spreadsheet template that notifiers and specialist vape retailers can use </w:t>
      </w:r>
      <w:r>
        <w:t>in producing</w:t>
      </w:r>
      <w:r w:rsidRPr="007A43DE">
        <w:t xml:space="preserve"> annual reports and returns.</w:t>
      </w:r>
    </w:p>
    <w:p w14:paraId="1DBDC3AA" w14:textId="77777777" w:rsidR="00157223" w:rsidRDefault="00157223" w:rsidP="00247883"/>
    <w:p w14:paraId="1B8DA9A9" w14:textId="77777777" w:rsidR="00247883" w:rsidRDefault="00247883" w:rsidP="00247883">
      <w:r w:rsidRPr="007A43DE">
        <w:t>We propose that the first annual returns will be for the scheme’s first full year of operation (the 2022 calendar year), and returns will be due to the Ministry</w:t>
      </w:r>
      <w:r>
        <w:t xml:space="preserve"> of Health</w:t>
      </w:r>
      <w:r w:rsidRPr="007A43DE">
        <w:t xml:space="preserve"> by 31 January 2023. Tobacco returns are unaffected</w:t>
      </w:r>
      <w:r>
        <w:t>: tobacco retailers</w:t>
      </w:r>
      <w:r w:rsidRPr="007A43DE">
        <w:t xml:space="preserve"> must continue to provide</w:t>
      </w:r>
      <w:r>
        <w:t xml:space="preserve"> them</w:t>
      </w:r>
      <w:r w:rsidRPr="007A43DE">
        <w:t xml:space="preserve"> to the Ministry</w:t>
      </w:r>
      <w:r>
        <w:t xml:space="preserve"> of Health</w:t>
      </w:r>
      <w:r w:rsidRPr="007A43DE">
        <w:t xml:space="preserve"> by 31 January each year.</w:t>
      </w:r>
    </w:p>
    <w:p w14:paraId="24B27C35" w14:textId="77777777" w:rsidR="00247883" w:rsidRDefault="00247883" w:rsidP="00247883">
      <w:pPr>
        <w:pStyle w:val="Heading3"/>
        <w:pBdr>
          <w:top w:val="single" w:sz="4" w:space="1" w:color="auto"/>
          <w:left w:val="single" w:sz="4" w:space="4" w:color="auto"/>
          <w:bottom w:val="single" w:sz="4" w:space="1" w:color="auto"/>
          <w:right w:val="single" w:sz="4" w:space="4" w:color="auto"/>
        </w:pBdr>
      </w:pPr>
      <w:bookmarkStart w:id="214" w:name="_Toc58869381"/>
      <w:r>
        <w:t>Consultation questions</w:t>
      </w:r>
      <w:bookmarkEnd w:id="214"/>
    </w:p>
    <w:p w14:paraId="6E53D67E"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support the proposals for manufacturers’ and importers’ annual sales reports? If not, what do you propose?</w:t>
      </w:r>
    </w:p>
    <w:p w14:paraId="2158866D" w14:textId="77777777" w:rsidR="00247883" w:rsidRPr="002C425C" w:rsidRDefault="00247883"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support the proposals for specialist vape retailers’ annual sales reports? If not, what do you propose?</w:t>
      </w:r>
    </w:p>
    <w:p w14:paraId="5C29D7BE" w14:textId="77777777" w:rsidR="00247883" w:rsidRDefault="00247883" w:rsidP="00247883"/>
    <w:p w14:paraId="4C466D30" w14:textId="77777777" w:rsidR="00247883" w:rsidRDefault="00247883" w:rsidP="00247883">
      <w:r w:rsidRPr="00DE7654">
        <w:rPr>
          <w:rFonts w:cs="Segoe UI"/>
        </w:rPr>
        <w:br w:type="page"/>
      </w:r>
    </w:p>
    <w:p w14:paraId="44D7AA1F" w14:textId="77777777" w:rsidR="00247883" w:rsidRDefault="00247883" w:rsidP="00247883"/>
    <w:p w14:paraId="20A63F61" w14:textId="77777777" w:rsidR="00247883" w:rsidRDefault="00247883" w:rsidP="00247883">
      <w:pPr>
        <w:pStyle w:val="Heading1"/>
      </w:pPr>
      <w:bookmarkStart w:id="215" w:name="_Toc56000589"/>
      <w:bookmarkStart w:id="216" w:name="_Toc58869382"/>
      <w:r>
        <w:t>Regulatory proposal 7: Fees</w:t>
      </w:r>
      <w:bookmarkEnd w:id="215"/>
      <w:bookmarkEnd w:id="216"/>
    </w:p>
    <w:p w14:paraId="24DA3718" w14:textId="77777777" w:rsidR="00247883" w:rsidRPr="00256F52" w:rsidRDefault="00247883" w:rsidP="00247883">
      <w:pPr>
        <w:pStyle w:val="Heading3"/>
      </w:pPr>
      <w:bookmarkStart w:id="217" w:name="_Toc50468976"/>
      <w:bookmarkStart w:id="218" w:name="_Toc50469093"/>
      <w:bookmarkStart w:id="219" w:name="_Toc50550000"/>
      <w:bookmarkStart w:id="220" w:name="_Toc58869383"/>
      <w:r>
        <w:t>Description</w:t>
      </w:r>
      <w:bookmarkEnd w:id="217"/>
      <w:bookmarkEnd w:id="218"/>
      <w:bookmarkEnd w:id="219"/>
      <w:bookmarkEnd w:id="220"/>
    </w:p>
    <w:p w14:paraId="628058CD" w14:textId="2B0005FB" w:rsidR="00247883" w:rsidRDefault="00247883" w:rsidP="00247883">
      <w:r w:rsidRPr="005A2DA7">
        <w:t>The Act provides for</w:t>
      </w:r>
      <w:r>
        <w:t xml:space="preserve"> recovering</w:t>
      </w:r>
      <w:r w:rsidRPr="005A2DA7">
        <w:t xml:space="preserve"> the costs of establishing and operating the </w:t>
      </w:r>
      <w:r>
        <w:t>regulatory</w:t>
      </w:r>
      <w:r w:rsidRPr="005A2DA7">
        <w:t xml:space="preserve"> scheme from the industry through fees and/or levies</w:t>
      </w:r>
      <w:r>
        <w:t>. It also allows regulations to</w:t>
      </w:r>
      <w:r w:rsidRPr="005A2DA7">
        <w:t xml:space="preserve"> specif</w:t>
      </w:r>
      <w:r>
        <w:t>y these fees and levies</w:t>
      </w:r>
      <w:r w:rsidRPr="005A2DA7">
        <w:t>.</w:t>
      </w:r>
    </w:p>
    <w:p w14:paraId="3AF23E95" w14:textId="77777777" w:rsidR="0010052F" w:rsidRDefault="0010052F" w:rsidP="00247883"/>
    <w:p w14:paraId="70DB9C71" w14:textId="7A57B025" w:rsidR="00247883" w:rsidRDefault="00247883" w:rsidP="00247883">
      <w:r w:rsidRPr="005A2DA7">
        <w:t>The scheme is being designed to keep costs as low as possible whil</w:t>
      </w:r>
      <w:r>
        <w:t>e</w:t>
      </w:r>
      <w:r w:rsidRPr="005A2DA7">
        <w:t xml:space="preserve"> ensuring appropriate levels of safety and control for notifiable products.</w:t>
      </w:r>
      <w:r>
        <w:t xml:space="preserve"> Fees will be collected by the Vaping Regulatory Authority in the Ministry of Health, which administers the scheme.</w:t>
      </w:r>
    </w:p>
    <w:p w14:paraId="110D695D" w14:textId="77777777" w:rsidR="0010052F" w:rsidRDefault="0010052F" w:rsidP="00247883"/>
    <w:p w14:paraId="340D9170" w14:textId="4A8FDA3E" w:rsidR="00247883" w:rsidRDefault="00247883" w:rsidP="00247883">
      <w:r>
        <w:t>We expect to recover most</w:t>
      </w:r>
      <w:r w:rsidRPr="005A2DA7">
        <w:t xml:space="preserve"> of </w:t>
      </w:r>
      <w:r>
        <w:t xml:space="preserve">the </w:t>
      </w:r>
      <w:r w:rsidRPr="005A2DA7">
        <w:t xml:space="preserve">costs </w:t>
      </w:r>
      <w:r>
        <w:t>through</w:t>
      </w:r>
      <w:r w:rsidRPr="005A2DA7">
        <w:t xml:space="preserve"> the product notification fee, which will cover the general cost of running the scheme. Fees for other low</w:t>
      </w:r>
      <w:r>
        <w:t>-</w:t>
      </w:r>
      <w:r w:rsidRPr="005A2DA7">
        <w:t>volume services will be based on the estimated average cost to provide those services. We do not propose imposing any levies at this stage.</w:t>
      </w:r>
    </w:p>
    <w:p w14:paraId="0BB464FA" w14:textId="77777777" w:rsidR="0010052F" w:rsidRDefault="0010052F" w:rsidP="00247883"/>
    <w:p w14:paraId="07914F3B" w14:textId="2292863E" w:rsidR="00247883" w:rsidRDefault="00247883" w:rsidP="00247883">
      <w:r w:rsidRPr="005A2DA7">
        <w:t xml:space="preserve">The proposed fees are based on an estimate of the number of product notifications </w:t>
      </w:r>
      <w:r>
        <w:t xml:space="preserve">we </w:t>
      </w:r>
      <w:r w:rsidRPr="005A2DA7">
        <w:t>expect</w:t>
      </w:r>
      <w:r>
        <w:t xml:space="preserve"> to receive</w:t>
      </w:r>
      <w:r w:rsidRPr="005A2DA7">
        <w:t>. We have assumed there will be 10,000 products requiring notification each year once the scheme is fully operational. The product notification fee is highly sensitive to the number of notifications.</w:t>
      </w:r>
    </w:p>
    <w:p w14:paraId="6A34AD92" w14:textId="77777777" w:rsidR="0010052F" w:rsidRDefault="0010052F" w:rsidP="00247883"/>
    <w:p w14:paraId="6C99403B" w14:textId="77777777" w:rsidR="00247883" w:rsidRDefault="00247883" w:rsidP="00247883">
      <w:r w:rsidRPr="005A2DA7">
        <w:t xml:space="preserve">The Act requires </w:t>
      </w:r>
      <w:r>
        <w:t xml:space="preserve">a review of </w:t>
      </w:r>
      <w:r w:rsidRPr="005A2DA7">
        <w:t>the fees and fee structure no more than three years after the Act comes into effect.</w:t>
      </w:r>
    </w:p>
    <w:p w14:paraId="4E42014F" w14:textId="77777777" w:rsidR="00247883" w:rsidRPr="00256F52" w:rsidRDefault="00247883" w:rsidP="00247883">
      <w:pPr>
        <w:pStyle w:val="Heading3"/>
      </w:pPr>
      <w:bookmarkStart w:id="221" w:name="_Toc50468977"/>
      <w:bookmarkStart w:id="222" w:name="_Toc50469094"/>
      <w:bookmarkStart w:id="223" w:name="_Toc50550001"/>
      <w:bookmarkStart w:id="224" w:name="_Toc58869384"/>
      <w:r>
        <w:t>Proposal</w:t>
      </w:r>
      <w:bookmarkEnd w:id="221"/>
      <w:bookmarkEnd w:id="222"/>
      <w:bookmarkEnd w:id="223"/>
      <w:bookmarkEnd w:id="224"/>
    </w:p>
    <w:p w14:paraId="55390080" w14:textId="77777777" w:rsidR="00247883" w:rsidRPr="005A2DA7" w:rsidRDefault="00247883" w:rsidP="00247883">
      <w:r>
        <w:t>We</w:t>
      </w:r>
      <w:r w:rsidRPr="005A2DA7">
        <w:t xml:space="preserve"> propose </w:t>
      </w:r>
      <w:r>
        <w:t xml:space="preserve">having </w:t>
      </w:r>
      <w:r w:rsidRPr="005A2DA7">
        <w:t>fees for:</w:t>
      </w:r>
    </w:p>
    <w:p w14:paraId="06D50F50" w14:textId="77777777" w:rsidR="00247883" w:rsidRPr="005A2DA7" w:rsidRDefault="00247883" w:rsidP="0010052F">
      <w:pPr>
        <w:pStyle w:val="Bullet"/>
      </w:pPr>
      <w:r>
        <w:t>n</w:t>
      </w:r>
      <w:r w:rsidRPr="005A2DA7">
        <w:t>otification of products (</w:t>
      </w:r>
      <w:proofErr w:type="spellStart"/>
      <w:r>
        <w:t>eg</w:t>
      </w:r>
      <w:proofErr w:type="spellEnd"/>
      <w:r>
        <w:t xml:space="preserve">, </w:t>
      </w:r>
      <w:r w:rsidRPr="005A2DA7">
        <w:t>devices, vaping substances</w:t>
      </w:r>
      <w:r>
        <w:t xml:space="preserve"> and</w:t>
      </w:r>
      <w:r w:rsidRPr="005A2DA7">
        <w:t xml:space="preserve"> heated tobacco products)</w:t>
      </w:r>
    </w:p>
    <w:p w14:paraId="36B91740" w14:textId="77777777" w:rsidR="00247883" w:rsidRPr="005A2DA7" w:rsidRDefault="00247883" w:rsidP="0010052F">
      <w:pPr>
        <w:pStyle w:val="Bullet"/>
      </w:pPr>
      <w:r>
        <w:t>a</w:t>
      </w:r>
      <w:r w:rsidRPr="005A2DA7">
        <w:t>pplications to be a specialist vape retailer</w:t>
      </w:r>
    </w:p>
    <w:p w14:paraId="75BDCC03" w14:textId="77777777" w:rsidR="00247883" w:rsidRPr="005A2DA7" w:rsidRDefault="00247883" w:rsidP="0010052F">
      <w:pPr>
        <w:pStyle w:val="Bullet"/>
      </w:pPr>
      <w:r>
        <w:t>a</w:t>
      </w:r>
      <w:r w:rsidRPr="005A2DA7">
        <w:t>pplications for premises to be approved vaping premises</w:t>
      </w:r>
    </w:p>
    <w:p w14:paraId="0D488029" w14:textId="77777777" w:rsidR="00247883" w:rsidRPr="005A2DA7" w:rsidRDefault="00247883" w:rsidP="0010052F">
      <w:pPr>
        <w:pStyle w:val="Bullet"/>
      </w:pPr>
      <w:r>
        <w:t>a</w:t>
      </w:r>
      <w:r w:rsidRPr="005A2DA7">
        <w:t xml:space="preserve">pplications for </w:t>
      </w:r>
      <w:r>
        <w:t>websites</w:t>
      </w:r>
      <w:r w:rsidRPr="005A2DA7">
        <w:t xml:space="preserve"> to be approved </w:t>
      </w:r>
      <w:r>
        <w:t>web</w:t>
      </w:r>
      <w:r w:rsidRPr="005A2DA7">
        <w:t>sites</w:t>
      </w:r>
    </w:p>
    <w:p w14:paraId="31695C1E" w14:textId="77777777" w:rsidR="00247883" w:rsidRDefault="00247883" w:rsidP="0010052F">
      <w:pPr>
        <w:pStyle w:val="Bullet"/>
      </w:pPr>
      <w:r>
        <w:t>a</w:t>
      </w:r>
      <w:r w:rsidRPr="005A2DA7">
        <w:t>ppeals against</w:t>
      </w:r>
      <w:r>
        <w:t xml:space="preserve"> certain</w:t>
      </w:r>
      <w:r w:rsidRPr="005A2DA7">
        <w:t xml:space="preserve"> </w:t>
      </w:r>
      <w:r>
        <w:t>Vaping Regulatory Authority</w:t>
      </w:r>
      <w:r w:rsidRPr="005A2DA7">
        <w:t xml:space="preserve"> decisions made under the scheme.</w:t>
      </w:r>
    </w:p>
    <w:p w14:paraId="7BF24893" w14:textId="77777777" w:rsidR="0010052F" w:rsidRDefault="0010052F" w:rsidP="00247883"/>
    <w:p w14:paraId="31FFBFB8" w14:textId="18D72BDD" w:rsidR="00247883" w:rsidRDefault="00247883" w:rsidP="00247883">
      <w:r>
        <w:t>The notifier or applicant</w:t>
      </w:r>
      <w:r w:rsidRPr="005A2DA7">
        <w:t xml:space="preserve"> must pa</w:t>
      </w:r>
      <w:r>
        <w:t>y all the fees required</w:t>
      </w:r>
      <w:r w:rsidRPr="005A2DA7">
        <w:t xml:space="preserve"> before </w:t>
      </w:r>
      <w:r>
        <w:t xml:space="preserve">the Vaping Regulatory Authority will process </w:t>
      </w:r>
      <w:r w:rsidRPr="005A2DA7">
        <w:t>the</w:t>
      </w:r>
      <w:r>
        <w:t>ir</w:t>
      </w:r>
      <w:r w:rsidRPr="005A2DA7">
        <w:t xml:space="preserve"> notification, application or appeal.</w:t>
      </w:r>
    </w:p>
    <w:p w14:paraId="11BA7C74" w14:textId="77777777" w:rsidR="0010052F" w:rsidRDefault="0010052F" w:rsidP="00247883"/>
    <w:p w14:paraId="3B6AC0FF" w14:textId="77777777" w:rsidR="00247883" w:rsidRDefault="00247883" w:rsidP="00247883">
      <w:r>
        <w:t>A</w:t>
      </w:r>
      <w:r w:rsidRPr="005A2DA7">
        <w:t>n easy-to-use online system</w:t>
      </w:r>
      <w:r w:rsidRPr="008660E0">
        <w:t xml:space="preserve"> </w:t>
      </w:r>
      <w:r w:rsidRPr="005A2DA7">
        <w:t xml:space="preserve">will support </w:t>
      </w:r>
      <w:r>
        <w:t>a</w:t>
      </w:r>
      <w:r w:rsidRPr="005A2DA7">
        <w:t>ll activities</w:t>
      </w:r>
      <w:r>
        <w:t xml:space="preserve"> related to the fees,</w:t>
      </w:r>
      <w:r w:rsidRPr="005A2DA7">
        <w:t xml:space="preserve"> provid</w:t>
      </w:r>
      <w:r>
        <w:t>ing</w:t>
      </w:r>
      <w:r w:rsidRPr="008660E0">
        <w:t xml:space="preserve"> </w:t>
      </w:r>
      <w:r w:rsidRPr="005A2DA7">
        <w:t>functionality</w:t>
      </w:r>
      <w:r w:rsidRPr="005A2DA7" w:rsidDel="008660E0">
        <w:t xml:space="preserve"> </w:t>
      </w:r>
      <w:r>
        <w:t>for</w:t>
      </w:r>
      <w:r w:rsidRPr="005A2DA7">
        <w:t xml:space="preserve"> both </w:t>
      </w:r>
      <w:r>
        <w:t xml:space="preserve">the </w:t>
      </w:r>
      <w:r w:rsidRPr="005A2DA7">
        <w:t>registered user (notifier</w:t>
      </w:r>
      <w:r>
        <w:t xml:space="preserve"> or </w:t>
      </w:r>
      <w:r w:rsidRPr="005A2DA7">
        <w:t xml:space="preserve">applicant) and </w:t>
      </w:r>
      <w:r>
        <w:t xml:space="preserve">the </w:t>
      </w:r>
      <w:r w:rsidRPr="005A2DA7">
        <w:t>public.</w:t>
      </w:r>
    </w:p>
    <w:p w14:paraId="097AD799" w14:textId="77777777" w:rsidR="00247883" w:rsidRPr="005A2DA7" w:rsidRDefault="00247883" w:rsidP="00247883">
      <w:pPr>
        <w:pStyle w:val="Heading4"/>
        <w:rPr>
          <w:rFonts w:eastAsiaTheme="minorHAnsi"/>
        </w:rPr>
      </w:pPr>
      <w:bookmarkStart w:id="225" w:name="_Toc50468978"/>
      <w:bookmarkStart w:id="226" w:name="_Toc50469095"/>
      <w:bookmarkStart w:id="227" w:name="_Toc50550002"/>
      <w:r w:rsidRPr="005A2DA7">
        <w:rPr>
          <w:rFonts w:eastAsiaTheme="minorHAnsi"/>
        </w:rPr>
        <w:lastRenderedPageBreak/>
        <w:t>Product notification fees</w:t>
      </w:r>
      <w:bookmarkEnd w:id="225"/>
      <w:bookmarkEnd w:id="226"/>
      <w:bookmarkEnd w:id="227"/>
    </w:p>
    <w:p w14:paraId="48ADBDB5" w14:textId="3A452656" w:rsidR="00247883" w:rsidRDefault="00247883" w:rsidP="00247883">
      <w:r w:rsidRPr="005A2DA7">
        <w:t xml:space="preserve">We propose </w:t>
      </w:r>
      <w:r>
        <w:t>making</w:t>
      </w:r>
      <w:r w:rsidRPr="005A2DA7">
        <w:t xml:space="preserve"> the product notification fee a fixed amount charged for each different product when it is notified and at each annual renewal. Whil</w:t>
      </w:r>
      <w:r>
        <w:t>e we</w:t>
      </w:r>
      <w:r w:rsidRPr="005A2DA7">
        <w:t xml:space="preserve"> expect </w:t>
      </w:r>
      <w:r>
        <w:t xml:space="preserve">the </w:t>
      </w:r>
      <w:r w:rsidRPr="005A2DA7">
        <w:t xml:space="preserve">direct cost </w:t>
      </w:r>
      <w:r>
        <w:t>of</w:t>
      </w:r>
      <w:r w:rsidRPr="005A2DA7">
        <w:t xml:space="preserve"> processing a standard notification</w:t>
      </w:r>
      <w:r w:rsidRPr="0098768A">
        <w:t xml:space="preserve"> </w:t>
      </w:r>
      <w:r>
        <w:t xml:space="preserve">will </w:t>
      </w:r>
      <w:r w:rsidRPr="005A2DA7">
        <w:t xml:space="preserve">be minimal, notification fees will cover the cost </w:t>
      </w:r>
      <w:bookmarkStart w:id="228" w:name="_Hlk51058643"/>
      <w:r w:rsidRPr="005A2DA7">
        <w:t xml:space="preserve">of providing and maintaining the scheme (including both the online electronic system and its supporting non-electronic infrastructure). </w:t>
      </w:r>
    </w:p>
    <w:p w14:paraId="09DC93ED" w14:textId="77777777" w:rsidR="0010052F" w:rsidRDefault="0010052F" w:rsidP="00247883"/>
    <w:p w14:paraId="4C539A47" w14:textId="77777777" w:rsidR="00247883" w:rsidRDefault="00247883" w:rsidP="00247883">
      <w:r w:rsidRPr="005A2DA7">
        <w:t xml:space="preserve">Notifiers of products already on the market when the Act takes effect will have a transition period of </w:t>
      </w:r>
      <w:r>
        <w:t>six</w:t>
      </w:r>
      <w:r w:rsidRPr="005A2DA7">
        <w:t xml:space="preserve"> months to notify those products. Notifiers will be encouraged not to leave it to the last minute to notify their products, </w:t>
      </w:r>
      <w:r>
        <w:t xml:space="preserve">in order to </w:t>
      </w:r>
      <w:r w:rsidRPr="005A2DA7">
        <w:t xml:space="preserve">avoid potential technical issues </w:t>
      </w:r>
      <w:r>
        <w:t>that can result when</w:t>
      </w:r>
      <w:r w:rsidRPr="005A2DA7">
        <w:t xml:space="preserve"> </w:t>
      </w:r>
      <w:r>
        <w:t xml:space="preserve">many </w:t>
      </w:r>
      <w:r w:rsidRPr="005A2DA7">
        <w:t xml:space="preserve">people </w:t>
      </w:r>
      <w:r>
        <w:t xml:space="preserve">are </w:t>
      </w:r>
      <w:r w:rsidRPr="005A2DA7">
        <w:t xml:space="preserve">trying to access the online system at the same time. Spreading initial notifications over the transition period would also allow the Ministry </w:t>
      </w:r>
      <w:r>
        <w:t xml:space="preserve">of Health </w:t>
      </w:r>
      <w:r w:rsidRPr="005A2DA7">
        <w:t>to provide more help to notifiers during the process.</w:t>
      </w:r>
    </w:p>
    <w:p w14:paraId="3E52613F" w14:textId="77777777" w:rsidR="00247883" w:rsidRPr="005A2DA7" w:rsidRDefault="00247883" w:rsidP="00247883">
      <w:pPr>
        <w:pStyle w:val="Heading4"/>
        <w:rPr>
          <w:rFonts w:eastAsiaTheme="minorHAnsi"/>
        </w:rPr>
      </w:pPr>
      <w:bookmarkStart w:id="229" w:name="_Toc50468979"/>
      <w:bookmarkStart w:id="230" w:name="_Toc50469096"/>
      <w:bookmarkStart w:id="231" w:name="_Toc50550003"/>
      <w:r w:rsidRPr="005A2DA7">
        <w:rPr>
          <w:rFonts w:eastAsiaTheme="minorHAnsi"/>
        </w:rPr>
        <w:t>Application fees</w:t>
      </w:r>
      <w:bookmarkEnd w:id="229"/>
      <w:bookmarkEnd w:id="230"/>
      <w:bookmarkEnd w:id="231"/>
    </w:p>
    <w:p w14:paraId="7969845A" w14:textId="5C9D7341" w:rsidR="00247883" w:rsidRDefault="00247883" w:rsidP="00247883">
      <w:r w:rsidRPr="00A17C7E">
        <w:t>We propose a one-off fee for each application.</w:t>
      </w:r>
    </w:p>
    <w:p w14:paraId="1F5B6473" w14:textId="77777777" w:rsidR="0010052F" w:rsidRDefault="0010052F" w:rsidP="00247883"/>
    <w:p w14:paraId="6007620F" w14:textId="2635C417" w:rsidR="00247883" w:rsidRDefault="00247883" w:rsidP="00247883">
      <w:r w:rsidRPr="00A17C7E">
        <w:t>Retailers must have at least one approved vaping premise (</w:t>
      </w:r>
      <w:r>
        <w:t xml:space="preserve">which must be </w:t>
      </w:r>
      <w:r w:rsidRPr="00A17C7E">
        <w:t xml:space="preserve">a fixed permanent structure) to be approved as a specialist vape retailer. </w:t>
      </w:r>
      <w:r>
        <w:t>For this reason</w:t>
      </w:r>
      <w:r w:rsidRPr="00A17C7E">
        <w:t xml:space="preserve">, all applicants will </w:t>
      </w:r>
      <w:r>
        <w:t xml:space="preserve">initially have to submit at least two applications: one to be an approved specialist vape retailer, and the other for their nominated premises to be approved vaping premises. They will also have to pay an </w:t>
      </w:r>
      <w:r w:rsidRPr="00A17C7E">
        <w:t>application fee</w:t>
      </w:r>
      <w:r>
        <w:t xml:space="preserve"> for each</w:t>
      </w:r>
      <w:r w:rsidRPr="00A17C7E">
        <w:t xml:space="preserve">. </w:t>
      </w:r>
    </w:p>
    <w:p w14:paraId="77B064EB" w14:textId="77777777" w:rsidR="0010052F" w:rsidRDefault="0010052F" w:rsidP="00247883"/>
    <w:p w14:paraId="1649D2E9" w14:textId="77777777" w:rsidR="00247883" w:rsidRDefault="00247883" w:rsidP="00247883">
      <w:r>
        <w:t xml:space="preserve">Retailers will be able to </w:t>
      </w:r>
      <w:r w:rsidRPr="005A2DA7">
        <w:t>make as many additional or subsequent applications for approved vaping premises</w:t>
      </w:r>
      <w:r>
        <w:t xml:space="preserve"> </w:t>
      </w:r>
      <w:r w:rsidRPr="005A2DA7">
        <w:t xml:space="preserve">or approved </w:t>
      </w:r>
      <w:r>
        <w:t xml:space="preserve">websites </w:t>
      </w:r>
      <w:r w:rsidRPr="005A2DA7">
        <w:t>as they wish</w:t>
      </w:r>
      <w:r>
        <w:t>. However, the Ministry of Health will only assess such an application if the applicant is approved to be a specialist vape retailer.</w:t>
      </w:r>
    </w:p>
    <w:p w14:paraId="292CF8FB" w14:textId="451C7EE9" w:rsidR="00247883" w:rsidRDefault="00247883" w:rsidP="00247883">
      <w:r>
        <w:t xml:space="preserve">We propose that, if we decline </w:t>
      </w:r>
      <w:r w:rsidRPr="005A2DA7">
        <w:t xml:space="preserve">an application, we refund any fees paid for applications that </w:t>
      </w:r>
      <w:r>
        <w:t xml:space="preserve">have not been </w:t>
      </w:r>
      <w:r w:rsidRPr="005A2DA7">
        <w:t>assessed.</w:t>
      </w:r>
    </w:p>
    <w:p w14:paraId="713D8E14" w14:textId="77777777" w:rsidR="0010052F" w:rsidRDefault="0010052F" w:rsidP="00247883"/>
    <w:p w14:paraId="3D5881D6" w14:textId="77777777" w:rsidR="00247883" w:rsidRPr="003F417C" w:rsidRDefault="00247883" w:rsidP="00247883">
      <w:pPr>
        <w:pStyle w:val="NormalIndent"/>
        <w:shd w:val="clear" w:color="auto" w:fill="F2F2F2" w:themeFill="background1" w:themeFillShade="F2"/>
      </w:pPr>
      <w:r w:rsidRPr="00120EF0">
        <w:rPr>
          <w:b/>
        </w:rPr>
        <w:t>Example of how proposed refunding of application fees would work</w:t>
      </w:r>
    </w:p>
    <w:p w14:paraId="0779C19E" w14:textId="77777777" w:rsidR="00247883" w:rsidRPr="00977477" w:rsidRDefault="00247883" w:rsidP="00247883">
      <w:pPr>
        <w:pStyle w:val="NormalIndent"/>
        <w:shd w:val="clear" w:color="auto" w:fill="F2F2F2" w:themeFill="background1" w:themeFillShade="F2"/>
        <w:rPr>
          <w:sz w:val="21"/>
          <w:szCs w:val="21"/>
        </w:rPr>
      </w:pPr>
      <w:r w:rsidRPr="00977477">
        <w:rPr>
          <w:sz w:val="21"/>
          <w:szCs w:val="21"/>
        </w:rPr>
        <w:t>A retailer applies to be a specialist vape retailer and makes two additional applications – one for an approved vaping premise and another for an approved website.</w:t>
      </w:r>
    </w:p>
    <w:p w14:paraId="650579D3" w14:textId="77777777" w:rsidR="00247883" w:rsidRPr="00977477" w:rsidRDefault="00247883" w:rsidP="00247883">
      <w:pPr>
        <w:pStyle w:val="NormalIndent"/>
        <w:shd w:val="clear" w:color="auto" w:fill="F2F2F2" w:themeFill="background1" w:themeFillShade="F2"/>
        <w:rPr>
          <w:sz w:val="21"/>
          <w:szCs w:val="21"/>
        </w:rPr>
      </w:pPr>
      <w:r w:rsidRPr="00977477">
        <w:rPr>
          <w:sz w:val="21"/>
          <w:szCs w:val="21"/>
        </w:rPr>
        <w:t>If the retailer does not meet the sales threshold to be a specialist vape retailer, then we would decline all three applications and refund the fees paid for the two additional applications as we will not have assessed either of them.</w:t>
      </w:r>
    </w:p>
    <w:p w14:paraId="1E1F9308" w14:textId="77777777" w:rsidR="00247883" w:rsidRPr="00977477" w:rsidRDefault="00247883" w:rsidP="00247883">
      <w:pPr>
        <w:pStyle w:val="NormalIndent"/>
        <w:shd w:val="clear" w:color="auto" w:fill="F2F2F2" w:themeFill="background1" w:themeFillShade="F2"/>
        <w:rPr>
          <w:sz w:val="21"/>
          <w:szCs w:val="21"/>
        </w:rPr>
      </w:pPr>
      <w:r w:rsidRPr="00977477">
        <w:rPr>
          <w:sz w:val="21"/>
          <w:szCs w:val="21"/>
        </w:rPr>
        <w:t>However, if the retailer meets the sales threshold to be a specialist vape retailer, but their premises do not meet the criteria for an approved vaping premise, we would decline all three applications and refund only the fee paid for the second additional application (for an approved website) as we will not have assessed it.</w:t>
      </w:r>
    </w:p>
    <w:p w14:paraId="2726C607" w14:textId="77777777" w:rsidR="00247883" w:rsidRPr="005A2DA7" w:rsidRDefault="00247883" w:rsidP="00247883">
      <w:pPr>
        <w:pStyle w:val="Heading4"/>
        <w:rPr>
          <w:rFonts w:eastAsiaTheme="minorHAnsi"/>
        </w:rPr>
      </w:pPr>
      <w:bookmarkStart w:id="232" w:name="_Toc50468980"/>
      <w:bookmarkStart w:id="233" w:name="_Toc50469097"/>
      <w:bookmarkStart w:id="234" w:name="_Toc50550004"/>
      <w:r w:rsidRPr="005A2DA7">
        <w:rPr>
          <w:rFonts w:eastAsiaTheme="minorHAnsi"/>
        </w:rPr>
        <w:t>Appeal fees</w:t>
      </w:r>
      <w:bookmarkEnd w:id="232"/>
      <w:bookmarkEnd w:id="233"/>
      <w:bookmarkEnd w:id="234"/>
    </w:p>
    <w:p w14:paraId="1587C4A6" w14:textId="77777777" w:rsidR="00247883" w:rsidRDefault="00247883" w:rsidP="00247883">
      <w:r w:rsidRPr="005A2DA7">
        <w:t>We propose a one-off fee for each appeal, which we would usually refund in full if the appeal is successful. If an appeal is not successful or is only partially successful, then the appeals committee may direct the Ministry</w:t>
      </w:r>
      <w:r>
        <w:t xml:space="preserve"> of Health</w:t>
      </w:r>
      <w:r w:rsidRPr="005A2DA7">
        <w:t xml:space="preserve"> to refund part or all of the fee if </w:t>
      </w:r>
      <w:r>
        <w:t>it</w:t>
      </w:r>
      <w:r w:rsidRPr="005A2DA7">
        <w:t xml:space="preserve"> consider</w:t>
      </w:r>
      <w:r>
        <w:t>s</w:t>
      </w:r>
      <w:r w:rsidRPr="005A2DA7">
        <w:t xml:space="preserve"> </w:t>
      </w:r>
      <w:r>
        <w:t>that a refund is</w:t>
      </w:r>
      <w:r w:rsidRPr="005A2DA7">
        <w:t xml:space="preserve"> appropriate in the circumstances.</w:t>
      </w:r>
    </w:p>
    <w:p w14:paraId="148FE06F" w14:textId="77777777" w:rsidR="00247883" w:rsidRPr="005A2DA7" w:rsidRDefault="00247883" w:rsidP="00247883">
      <w:pPr>
        <w:pStyle w:val="Heading4"/>
        <w:rPr>
          <w:rFonts w:eastAsiaTheme="minorHAnsi"/>
        </w:rPr>
      </w:pPr>
      <w:r>
        <w:rPr>
          <w:rFonts w:cs="Segoe UI"/>
        </w:rPr>
        <w:lastRenderedPageBreak/>
        <w:t>Types and amounts of f</w:t>
      </w:r>
      <w:bookmarkStart w:id="235" w:name="_Toc50468981"/>
      <w:bookmarkStart w:id="236" w:name="_Toc50469098"/>
      <w:bookmarkStart w:id="237" w:name="_Toc50550005"/>
      <w:r w:rsidRPr="005A2DA7">
        <w:rPr>
          <w:rFonts w:eastAsiaTheme="minorHAnsi"/>
        </w:rPr>
        <w:t>ee</w:t>
      </w:r>
      <w:r>
        <w:rPr>
          <w:rFonts w:eastAsiaTheme="minorHAnsi"/>
        </w:rPr>
        <w:t>s</w:t>
      </w:r>
      <w:bookmarkEnd w:id="235"/>
      <w:bookmarkEnd w:id="236"/>
      <w:bookmarkEnd w:id="237"/>
    </w:p>
    <w:p w14:paraId="6EA1CAC7" w14:textId="77777777" w:rsidR="00247883" w:rsidRDefault="00247883" w:rsidP="00247883">
      <w:pPr>
        <w:rPr>
          <w:rFonts w:cs="Segoe UI"/>
        </w:rPr>
      </w:pPr>
      <w:r w:rsidRPr="005A2DA7">
        <w:rPr>
          <w:rFonts w:cs="Segoe UI"/>
        </w:rPr>
        <w:t>The</w:t>
      </w:r>
      <w:r>
        <w:rPr>
          <w:rFonts w:cs="Segoe UI"/>
        </w:rPr>
        <w:t xml:space="preserve"> table below sets out the</w:t>
      </w:r>
      <w:r w:rsidRPr="005A2DA7">
        <w:rPr>
          <w:rFonts w:cs="Segoe UI"/>
        </w:rPr>
        <w:t xml:space="preserve"> types and amounts of fees </w:t>
      </w:r>
      <w:r>
        <w:rPr>
          <w:rFonts w:cs="Segoe UI"/>
        </w:rPr>
        <w:t>we are proposing</w:t>
      </w:r>
      <w:r w:rsidRPr="005A2DA7">
        <w:rPr>
          <w:rFonts w:cs="Segoe UI"/>
        </w:rPr>
        <w:t xml:space="preserve">. The </w:t>
      </w:r>
      <w:r>
        <w:rPr>
          <w:rFonts w:cs="Segoe UI"/>
        </w:rPr>
        <w:t>amounts indicated take into account the aim of</w:t>
      </w:r>
      <w:r w:rsidRPr="005A2DA7">
        <w:rPr>
          <w:rFonts w:cs="Segoe UI"/>
        </w:rPr>
        <w:t xml:space="preserve"> recovering the relevant portion of </w:t>
      </w:r>
      <w:r>
        <w:rPr>
          <w:rFonts w:cs="Segoe UI"/>
        </w:rPr>
        <w:t>the</w:t>
      </w:r>
      <w:r w:rsidRPr="005A2DA7">
        <w:rPr>
          <w:rFonts w:cs="Segoe UI"/>
        </w:rPr>
        <w:t xml:space="preserve"> costs </w:t>
      </w:r>
      <w:r>
        <w:rPr>
          <w:rFonts w:cs="Segoe UI"/>
        </w:rPr>
        <w:t xml:space="preserve">of establishing the regulatory scheme </w:t>
      </w:r>
      <w:r w:rsidRPr="005A2DA7">
        <w:rPr>
          <w:rFonts w:cs="Segoe UI"/>
        </w:rPr>
        <w:t>over five years.</w:t>
      </w:r>
    </w:p>
    <w:p w14:paraId="4FED26EF" w14:textId="77777777" w:rsidR="00247883" w:rsidRPr="005A2DA7" w:rsidRDefault="00247883" w:rsidP="00247883">
      <w:pPr>
        <w:rPr>
          <w:rFonts w:cs="Segoe UI"/>
        </w:rPr>
      </w:pPr>
    </w:p>
    <w:tbl>
      <w:tblPr>
        <w:tblW w:w="8222"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02"/>
        <w:gridCol w:w="1271"/>
        <w:gridCol w:w="3549"/>
      </w:tblGrid>
      <w:tr w:rsidR="00247883" w:rsidRPr="005A2DA7" w14:paraId="5F5B9DFF" w14:textId="77777777" w:rsidTr="00DB0C46">
        <w:tc>
          <w:tcPr>
            <w:tcW w:w="3402" w:type="dxa"/>
            <w:shd w:val="clear" w:color="auto" w:fill="D9D9D9" w:themeFill="background1" w:themeFillShade="D9"/>
            <w:vAlign w:val="center"/>
          </w:tcPr>
          <w:bookmarkEnd w:id="228"/>
          <w:p w14:paraId="57FB755E" w14:textId="77777777" w:rsidR="00247883" w:rsidRPr="00977477" w:rsidRDefault="00247883" w:rsidP="00977477">
            <w:pPr>
              <w:spacing w:before="60" w:after="60"/>
              <w:rPr>
                <w:rFonts w:cs="Segoe UI"/>
                <w:b/>
              </w:rPr>
            </w:pPr>
            <w:r w:rsidRPr="00977477">
              <w:rPr>
                <w:rFonts w:cs="Segoe UI"/>
                <w:b/>
              </w:rPr>
              <w:t>Type of fee</w:t>
            </w:r>
          </w:p>
        </w:tc>
        <w:tc>
          <w:tcPr>
            <w:tcW w:w="1271" w:type="dxa"/>
            <w:shd w:val="clear" w:color="auto" w:fill="D9D9D9" w:themeFill="background1" w:themeFillShade="D9"/>
            <w:vAlign w:val="center"/>
          </w:tcPr>
          <w:p w14:paraId="64D2691E" w14:textId="77777777" w:rsidR="00247883" w:rsidRPr="00977477" w:rsidRDefault="00247883" w:rsidP="00977477">
            <w:pPr>
              <w:spacing w:before="60" w:after="60"/>
              <w:jc w:val="center"/>
              <w:rPr>
                <w:rFonts w:cs="Segoe UI"/>
                <w:b/>
              </w:rPr>
            </w:pPr>
            <w:r w:rsidRPr="00977477">
              <w:rPr>
                <w:rFonts w:cs="Segoe UI"/>
                <w:b/>
              </w:rPr>
              <w:t>Amount (excl. GST)</w:t>
            </w:r>
          </w:p>
        </w:tc>
        <w:tc>
          <w:tcPr>
            <w:tcW w:w="3549" w:type="dxa"/>
            <w:shd w:val="clear" w:color="auto" w:fill="D9D9D9" w:themeFill="background1" w:themeFillShade="D9"/>
            <w:vAlign w:val="center"/>
          </w:tcPr>
          <w:p w14:paraId="77179928" w14:textId="77777777" w:rsidR="00247883" w:rsidRPr="00977477" w:rsidRDefault="00247883" w:rsidP="00977477">
            <w:pPr>
              <w:spacing w:before="60" w:after="60"/>
              <w:rPr>
                <w:rFonts w:cs="Segoe UI"/>
                <w:b/>
              </w:rPr>
            </w:pPr>
            <w:r w:rsidRPr="00977477">
              <w:rPr>
                <w:rFonts w:cs="Segoe UI"/>
                <w:b/>
              </w:rPr>
              <w:t>Activities funded</w:t>
            </w:r>
          </w:p>
        </w:tc>
      </w:tr>
      <w:tr w:rsidR="00247883" w:rsidRPr="005A2DA7" w14:paraId="541BD0BC" w14:textId="77777777" w:rsidTr="00DB0C46">
        <w:tc>
          <w:tcPr>
            <w:tcW w:w="3402" w:type="dxa"/>
          </w:tcPr>
          <w:p w14:paraId="58C93340" w14:textId="77777777" w:rsidR="00247883" w:rsidRPr="005A2DA7" w:rsidRDefault="00247883" w:rsidP="00977477">
            <w:pPr>
              <w:spacing w:before="60" w:after="60"/>
              <w:rPr>
                <w:rFonts w:cs="Segoe UI"/>
              </w:rPr>
            </w:pPr>
            <w:r w:rsidRPr="005A2DA7">
              <w:rPr>
                <w:rFonts w:cs="Segoe UI"/>
              </w:rPr>
              <w:t>Product notification – notifiable products (per product</w:t>
            </w:r>
            <w:r>
              <w:rPr>
                <w:rFonts w:cs="Segoe UI"/>
              </w:rPr>
              <w:t>, renewable annually)</w:t>
            </w:r>
          </w:p>
        </w:tc>
        <w:tc>
          <w:tcPr>
            <w:tcW w:w="1271" w:type="dxa"/>
          </w:tcPr>
          <w:p w14:paraId="39C00281" w14:textId="77777777" w:rsidR="00247883" w:rsidRPr="005A2DA7" w:rsidRDefault="00247883" w:rsidP="00977477">
            <w:pPr>
              <w:spacing w:before="60" w:after="60"/>
              <w:jc w:val="center"/>
              <w:rPr>
                <w:rFonts w:cs="Segoe UI"/>
              </w:rPr>
            </w:pPr>
            <w:r w:rsidRPr="005A2DA7">
              <w:rPr>
                <w:rFonts w:cs="Segoe UI"/>
              </w:rPr>
              <w:t>$140</w:t>
            </w:r>
            <w:r>
              <w:rPr>
                <w:rFonts w:cs="Segoe UI"/>
              </w:rPr>
              <w:t xml:space="preserve"> per year</w:t>
            </w:r>
          </w:p>
        </w:tc>
        <w:tc>
          <w:tcPr>
            <w:tcW w:w="3549" w:type="dxa"/>
          </w:tcPr>
          <w:p w14:paraId="162CEA0E" w14:textId="77777777" w:rsidR="00247883" w:rsidRPr="005A2DA7" w:rsidRDefault="00247883" w:rsidP="00977477">
            <w:pPr>
              <w:spacing w:before="60" w:after="60"/>
              <w:rPr>
                <w:rFonts w:cs="Segoe UI"/>
              </w:rPr>
            </w:pPr>
            <w:r w:rsidRPr="005A2DA7">
              <w:rPr>
                <w:rFonts w:cs="Segoe UI"/>
              </w:rPr>
              <w:t>Establishing and operating the regulatory scheme</w:t>
            </w:r>
          </w:p>
        </w:tc>
      </w:tr>
      <w:tr w:rsidR="00247883" w:rsidRPr="005A2DA7" w14:paraId="555C47F6" w14:textId="77777777" w:rsidTr="00DB0C46">
        <w:tc>
          <w:tcPr>
            <w:tcW w:w="3402" w:type="dxa"/>
          </w:tcPr>
          <w:p w14:paraId="4A23983C" w14:textId="77777777" w:rsidR="00247883" w:rsidRPr="005A2DA7" w:rsidRDefault="00247883" w:rsidP="00977477">
            <w:pPr>
              <w:spacing w:before="60" w:after="60"/>
              <w:rPr>
                <w:rFonts w:cs="Segoe UI"/>
              </w:rPr>
            </w:pPr>
            <w:r w:rsidRPr="005A2DA7">
              <w:rPr>
                <w:rFonts w:cs="Segoe UI"/>
              </w:rPr>
              <w:t>Application to be a specialist vape retailer (per retailer)</w:t>
            </w:r>
          </w:p>
        </w:tc>
        <w:tc>
          <w:tcPr>
            <w:tcW w:w="1271" w:type="dxa"/>
          </w:tcPr>
          <w:p w14:paraId="52940AC4" w14:textId="77777777" w:rsidR="00247883" w:rsidRPr="005A2DA7" w:rsidRDefault="00247883" w:rsidP="00977477">
            <w:pPr>
              <w:spacing w:before="60" w:after="60"/>
              <w:jc w:val="center"/>
              <w:rPr>
                <w:rFonts w:cs="Segoe UI"/>
              </w:rPr>
            </w:pPr>
            <w:r w:rsidRPr="005A2DA7">
              <w:rPr>
                <w:rFonts w:cs="Segoe UI"/>
              </w:rPr>
              <w:t>$1,600</w:t>
            </w:r>
          </w:p>
        </w:tc>
        <w:tc>
          <w:tcPr>
            <w:tcW w:w="3549" w:type="dxa"/>
          </w:tcPr>
          <w:p w14:paraId="146DDA4C" w14:textId="77777777" w:rsidR="00247883" w:rsidRPr="005A2DA7" w:rsidRDefault="00247883" w:rsidP="00977477">
            <w:pPr>
              <w:spacing w:before="60" w:after="60"/>
              <w:rPr>
                <w:rFonts w:cs="Segoe UI"/>
              </w:rPr>
            </w:pPr>
            <w:r w:rsidRPr="005A2DA7">
              <w:rPr>
                <w:rFonts w:cs="Segoe UI"/>
              </w:rPr>
              <w:t>Receiving and processing the application, investigating and assessing the application, notifying decisions and updating systems</w:t>
            </w:r>
          </w:p>
        </w:tc>
      </w:tr>
      <w:tr w:rsidR="00247883" w:rsidRPr="005A2DA7" w14:paraId="4C673533" w14:textId="77777777" w:rsidTr="00DB0C46">
        <w:tc>
          <w:tcPr>
            <w:tcW w:w="3402" w:type="dxa"/>
          </w:tcPr>
          <w:p w14:paraId="5041849A" w14:textId="77777777" w:rsidR="00247883" w:rsidRPr="005A2DA7" w:rsidRDefault="00247883" w:rsidP="00977477">
            <w:pPr>
              <w:spacing w:before="60" w:after="60"/>
              <w:rPr>
                <w:rFonts w:cs="Segoe UI"/>
              </w:rPr>
            </w:pPr>
            <w:r w:rsidRPr="005A2DA7">
              <w:rPr>
                <w:rFonts w:cs="Segoe UI"/>
              </w:rPr>
              <w:t>Application for a premise to be an approved premise (per premise)</w:t>
            </w:r>
          </w:p>
        </w:tc>
        <w:tc>
          <w:tcPr>
            <w:tcW w:w="1271" w:type="dxa"/>
          </w:tcPr>
          <w:p w14:paraId="7C88F8C9" w14:textId="77777777" w:rsidR="00247883" w:rsidRPr="005A2DA7" w:rsidRDefault="00247883" w:rsidP="00977477">
            <w:pPr>
              <w:spacing w:before="60" w:after="60"/>
              <w:jc w:val="center"/>
              <w:rPr>
                <w:rFonts w:cs="Segoe UI"/>
              </w:rPr>
            </w:pPr>
            <w:r w:rsidRPr="005A2DA7">
              <w:rPr>
                <w:rFonts w:cs="Segoe UI"/>
              </w:rPr>
              <w:t>$600</w:t>
            </w:r>
          </w:p>
        </w:tc>
        <w:tc>
          <w:tcPr>
            <w:tcW w:w="3549" w:type="dxa"/>
          </w:tcPr>
          <w:p w14:paraId="2DBD25FD" w14:textId="77777777" w:rsidR="00247883" w:rsidRPr="005A2DA7" w:rsidRDefault="00247883" w:rsidP="00977477">
            <w:pPr>
              <w:spacing w:before="60" w:after="60"/>
              <w:rPr>
                <w:rFonts w:cs="Segoe UI"/>
              </w:rPr>
            </w:pPr>
            <w:r w:rsidRPr="005A2DA7">
              <w:rPr>
                <w:rFonts w:cs="Segoe UI"/>
              </w:rPr>
              <w:t>Receiving and processing the application, investigating and assessing the application, notifying decisions and updating systems</w:t>
            </w:r>
          </w:p>
        </w:tc>
      </w:tr>
      <w:tr w:rsidR="00247883" w:rsidRPr="005A2DA7" w14:paraId="2694ABAA" w14:textId="77777777" w:rsidTr="00DB0C46">
        <w:tc>
          <w:tcPr>
            <w:tcW w:w="3402" w:type="dxa"/>
          </w:tcPr>
          <w:p w14:paraId="2E70BAA6" w14:textId="77777777" w:rsidR="00247883" w:rsidRPr="005A2DA7" w:rsidRDefault="00247883" w:rsidP="00977477">
            <w:pPr>
              <w:spacing w:before="60" w:after="60"/>
              <w:rPr>
                <w:rFonts w:cs="Segoe UI"/>
              </w:rPr>
            </w:pPr>
            <w:r w:rsidRPr="005A2DA7">
              <w:rPr>
                <w:rFonts w:cs="Segoe UI"/>
              </w:rPr>
              <w:t>Application for a</w:t>
            </w:r>
            <w:r>
              <w:rPr>
                <w:rFonts w:cs="Segoe UI"/>
              </w:rPr>
              <w:t xml:space="preserve"> web</w:t>
            </w:r>
            <w:r w:rsidRPr="005A2DA7">
              <w:rPr>
                <w:rFonts w:cs="Segoe UI"/>
              </w:rPr>
              <w:t xml:space="preserve">site to be an approved </w:t>
            </w:r>
            <w:r>
              <w:rPr>
                <w:rFonts w:cs="Segoe UI"/>
              </w:rPr>
              <w:t>web</w:t>
            </w:r>
            <w:r w:rsidRPr="005A2DA7">
              <w:rPr>
                <w:rFonts w:cs="Segoe UI"/>
              </w:rPr>
              <w:t>site (per site)</w:t>
            </w:r>
          </w:p>
        </w:tc>
        <w:tc>
          <w:tcPr>
            <w:tcW w:w="1271" w:type="dxa"/>
          </w:tcPr>
          <w:p w14:paraId="35B532F8" w14:textId="77777777" w:rsidR="00247883" w:rsidRPr="005A2DA7" w:rsidRDefault="00247883" w:rsidP="00977477">
            <w:pPr>
              <w:spacing w:before="60" w:after="60"/>
              <w:jc w:val="center"/>
              <w:rPr>
                <w:rFonts w:cs="Segoe UI"/>
              </w:rPr>
            </w:pPr>
            <w:r w:rsidRPr="005A2DA7">
              <w:rPr>
                <w:rFonts w:cs="Segoe UI"/>
              </w:rPr>
              <w:t>$600</w:t>
            </w:r>
          </w:p>
        </w:tc>
        <w:tc>
          <w:tcPr>
            <w:tcW w:w="3549" w:type="dxa"/>
          </w:tcPr>
          <w:p w14:paraId="03712492" w14:textId="77777777" w:rsidR="00247883" w:rsidRPr="005A2DA7" w:rsidRDefault="00247883" w:rsidP="00977477">
            <w:pPr>
              <w:spacing w:before="60" w:after="60"/>
              <w:rPr>
                <w:rFonts w:cs="Segoe UI"/>
              </w:rPr>
            </w:pPr>
            <w:r w:rsidRPr="005A2DA7">
              <w:rPr>
                <w:rFonts w:cs="Segoe UI"/>
              </w:rPr>
              <w:t>Receiving and processing the application, investigating and assessing the application, notifying decisions and updating systems</w:t>
            </w:r>
          </w:p>
        </w:tc>
      </w:tr>
      <w:tr w:rsidR="00247883" w:rsidRPr="005A2DA7" w14:paraId="386253F6" w14:textId="77777777" w:rsidTr="00DB0C46">
        <w:tc>
          <w:tcPr>
            <w:tcW w:w="3402" w:type="dxa"/>
          </w:tcPr>
          <w:p w14:paraId="308A5C32" w14:textId="77777777" w:rsidR="00247883" w:rsidRPr="005A2DA7" w:rsidRDefault="00247883" w:rsidP="00977477">
            <w:pPr>
              <w:spacing w:before="60" w:after="60"/>
              <w:rPr>
                <w:rFonts w:cs="Segoe UI"/>
              </w:rPr>
            </w:pPr>
            <w:r w:rsidRPr="005A2DA7">
              <w:rPr>
                <w:rFonts w:cs="Segoe UI"/>
              </w:rPr>
              <w:t xml:space="preserve">Appeal against </w:t>
            </w:r>
            <w:r>
              <w:rPr>
                <w:rFonts w:cs="Segoe UI"/>
              </w:rPr>
              <w:t xml:space="preserve">Vaping Regulatory Authority </w:t>
            </w:r>
            <w:r w:rsidRPr="005A2DA7">
              <w:rPr>
                <w:rFonts w:cs="Segoe UI"/>
              </w:rPr>
              <w:t>decision (per appeal)</w:t>
            </w:r>
          </w:p>
        </w:tc>
        <w:tc>
          <w:tcPr>
            <w:tcW w:w="1271" w:type="dxa"/>
          </w:tcPr>
          <w:p w14:paraId="46FFAFEC" w14:textId="77777777" w:rsidR="00247883" w:rsidRPr="005A2DA7" w:rsidRDefault="00247883" w:rsidP="00977477">
            <w:pPr>
              <w:spacing w:before="60" w:after="60"/>
              <w:jc w:val="center"/>
              <w:rPr>
                <w:rFonts w:cs="Segoe UI"/>
              </w:rPr>
            </w:pPr>
            <w:r w:rsidRPr="005A2DA7">
              <w:rPr>
                <w:rFonts w:cs="Segoe UI"/>
              </w:rPr>
              <w:t>$350</w:t>
            </w:r>
          </w:p>
        </w:tc>
        <w:tc>
          <w:tcPr>
            <w:tcW w:w="3549" w:type="dxa"/>
          </w:tcPr>
          <w:p w14:paraId="5A0CCEB1" w14:textId="77777777" w:rsidR="00247883" w:rsidRPr="005A2DA7" w:rsidRDefault="00247883" w:rsidP="00977477">
            <w:pPr>
              <w:spacing w:before="60" w:after="60"/>
              <w:rPr>
                <w:rFonts w:cs="Segoe UI"/>
              </w:rPr>
            </w:pPr>
            <w:r w:rsidRPr="005A2DA7">
              <w:rPr>
                <w:rFonts w:cs="Segoe UI"/>
              </w:rPr>
              <w:t>Processing the appeal, preparing advice for the Appeals Committee, convening the Committee and notifying the outcome</w:t>
            </w:r>
          </w:p>
        </w:tc>
      </w:tr>
    </w:tbl>
    <w:p w14:paraId="2F3BE148" w14:textId="77777777" w:rsidR="00247883" w:rsidRPr="005A2DA7" w:rsidRDefault="00247883" w:rsidP="00247883">
      <w:pPr>
        <w:rPr>
          <w:rFonts w:cs="Segoe UI"/>
        </w:rPr>
      </w:pPr>
    </w:p>
    <w:p w14:paraId="273E43A0" w14:textId="62C7E48C" w:rsidR="00247883" w:rsidRDefault="00247883" w:rsidP="00977477">
      <w:r w:rsidRPr="005A2DA7">
        <w:t>The</w:t>
      </w:r>
      <w:r>
        <w:t xml:space="preserve"> estimate of each type of</w:t>
      </w:r>
      <w:r w:rsidRPr="005A2DA7">
        <w:t xml:space="preserve"> fee</w:t>
      </w:r>
      <w:r>
        <w:t xml:space="preserve"> listed above is</w:t>
      </w:r>
      <w:r w:rsidRPr="005A2DA7">
        <w:t xml:space="preserve"> based on assumptions around the volume of work</w:t>
      </w:r>
      <w:r>
        <w:t>,</w:t>
      </w:r>
      <w:r w:rsidRPr="005A2DA7">
        <w:t xml:space="preserve"> </w:t>
      </w:r>
      <w:r>
        <w:t>which the following table describes</w:t>
      </w:r>
      <w:r w:rsidRPr="005A2DA7">
        <w:t>.</w:t>
      </w:r>
    </w:p>
    <w:p w14:paraId="2997CB51" w14:textId="77777777" w:rsidR="00977477" w:rsidRPr="005A2DA7" w:rsidRDefault="00977477" w:rsidP="00977477"/>
    <w:tbl>
      <w:tblPr>
        <w:tblW w:w="8364"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79"/>
        <w:gridCol w:w="1985"/>
      </w:tblGrid>
      <w:tr w:rsidR="00247883" w:rsidRPr="005A2DA7" w14:paraId="2F7E8919" w14:textId="77777777" w:rsidTr="00DB0C46">
        <w:tc>
          <w:tcPr>
            <w:tcW w:w="6379" w:type="dxa"/>
            <w:shd w:val="clear" w:color="auto" w:fill="D9D9D9" w:themeFill="background1" w:themeFillShade="D9"/>
          </w:tcPr>
          <w:p w14:paraId="1AB51B02" w14:textId="77777777" w:rsidR="00247883" w:rsidRPr="00977477" w:rsidRDefault="00247883" w:rsidP="00977477">
            <w:pPr>
              <w:spacing w:before="60" w:after="60"/>
              <w:rPr>
                <w:rFonts w:cs="Segoe UI"/>
                <w:b/>
              </w:rPr>
            </w:pPr>
            <w:r w:rsidRPr="00977477">
              <w:rPr>
                <w:rFonts w:cs="Segoe UI"/>
                <w:b/>
              </w:rPr>
              <w:t>Type of fee</w:t>
            </w:r>
          </w:p>
        </w:tc>
        <w:tc>
          <w:tcPr>
            <w:tcW w:w="1985" w:type="dxa"/>
            <w:shd w:val="clear" w:color="auto" w:fill="D9D9D9" w:themeFill="background1" w:themeFillShade="D9"/>
          </w:tcPr>
          <w:p w14:paraId="30D9D2F3" w14:textId="77777777" w:rsidR="00247883" w:rsidRPr="00977477" w:rsidRDefault="00247883" w:rsidP="00977477">
            <w:pPr>
              <w:spacing w:before="60" w:after="60"/>
              <w:rPr>
                <w:rFonts w:cs="Segoe UI"/>
                <w:b/>
              </w:rPr>
            </w:pPr>
            <w:r w:rsidRPr="00977477">
              <w:rPr>
                <w:rFonts w:cs="Segoe UI"/>
                <w:b/>
              </w:rPr>
              <w:t>Number assumed per year</w:t>
            </w:r>
          </w:p>
        </w:tc>
      </w:tr>
      <w:tr w:rsidR="00247883" w:rsidRPr="005A2DA7" w14:paraId="506E749A" w14:textId="77777777" w:rsidTr="00DB0C46">
        <w:tc>
          <w:tcPr>
            <w:tcW w:w="6379" w:type="dxa"/>
            <w:vAlign w:val="center"/>
          </w:tcPr>
          <w:p w14:paraId="245E4F3D" w14:textId="77777777" w:rsidR="00247883" w:rsidRPr="005A2DA7" w:rsidRDefault="00247883" w:rsidP="00977477">
            <w:pPr>
              <w:spacing w:before="60" w:after="60"/>
              <w:rPr>
                <w:rFonts w:cs="Segoe UI"/>
              </w:rPr>
            </w:pPr>
            <w:r w:rsidRPr="005A2DA7">
              <w:rPr>
                <w:rFonts w:cs="Segoe UI"/>
              </w:rPr>
              <w:t>Product notifications (vaping devices)</w:t>
            </w:r>
          </w:p>
        </w:tc>
        <w:tc>
          <w:tcPr>
            <w:tcW w:w="1985" w:type="dxa"/>
            <w:vAlign w:val="center"/>
          </w:tcPr>
          <w:p w14:paraId="511291C1" w14:textId="77777777" w:rsidR="00247883" w:rsidRPr="005A2DA7" w:rsidRDefault="00247883" w:rsidP="00977477">
            <w:pPr>
              <w:spacing w:before="60" w:after="60"/>
              <w:jc w:val="center"/>
              <w:rPr>
                <w:rFonts w:cs="Segoe UI"/>
              </w:rPr>
            </w:pPr>
            <w:r w:rsidRPr="005A2DA7">
              <w:rPr>
                <w:rFonts w:cs="Segoe UI"/>
              </w:rPr>
              <w:t>800</w:t>
            </w:r>
          </w:p>
        </w:tc>
      </w:tr>
      <w:tr w:rsidR="00247883" w:rsidRPr="005A2DA7" w14:paraId="29CEFED4" w14:textId="77777777" w:rsidTr="00DB0C46">
        <w:tc>
          <w:tcPr>
            <w:tcW w:w="6379" w:type="dxa"/>
            <w:vAlign w:val="center"/>
          </w:tcPr>
          <w:p w14:paraId="387C0978" w14:textId="77777777" w:rsidR="00247883" w:rsidRPr="005A2DA7" w:rsidRDefault="00247883" w:rsidP="00977477">
            <w:pPr>
              <w:spacing w:before="60" w:after="60"/>
              <w:rPr>
                <w:rFonts w:cs="Segoe UI"/>
              </w:rPr>
            </w:pPr>
            <w:r w:rsidRPr="005A2DA7">
              <w:rPr>
                <w:rFonts w:cs="Segoe UI"/>
              </w:rPr>
              <w:t>Product notifications (vaping substances and smokeless tobacco products)</w:t>
            </w:r>
          </w:p>
        </w:tc>
        <w:tc>
          <w:tcPr>
            <w:tcW w:w="1985" w:type="dxa"/>
            <w:vAlign w:val="center"/>
          </w:tcPr>
          <w:p w14:paraId="09840C0D" w14:textId="77777777" w:rsidR="00247883" w:rsidRPr="005A2DA7" w:rsidRDefault="00247883" w:rsidP="00977477">
            <w:pPr>
              <w:spacing w:before="60" w:after="60"/>
              <w:jc w:val="center"/>
              <w:rPr>
                <w:rFonts w:cs="Segoe UI"/>
              </w:rPr>
            </w:pPr>
            <w:r w:rsidRPr="005A2DA7">
              <w:rPr>
                <w:rFonts w:cs="Segoe UI"/>
              </w:rPr>
              <w:t>9,200</w:t>
            </w:r>
          </w:p>
        </w:tc>
      </w:tr>
      <w:tr w:rsidR="00247883" w:rsidRPr="005A2DA7" w14:paraId="008F057A" w14:textId="77777777" w:rsidTr="00DB0C46">
        <w:tc>
          <w:tcPr>
            <w:tcW w:w="6379" w:type="dxa"/>
            <w:vAlign w:val="center"/>
          </w:tcPr>
          <w:p w14:paraId="0512D606" w14:textId="77777777" w:rsidR="00247883" w:rsidRPr="005A2DA7" w:rsidRDefault="00247883" w:rsidP="00977477">
            <w:pPr>
              <w:spacing w:before="60" w:after="60"/>
              <w:rPr>
                <w:rFonts w:cs="Segoe UI"/>
              </w:rPr>
            </w:pPr>
            <w:r w:rsidRPr="005A2DA7">
              <w:rPr>
                <w:rFonts w:cs="Segoe UI"/>
              </w:rPr>
              <w:t>Applications to be a specialist vape retailer</w:t>
            </w:r>
          </w:p>
        </w:tc>
        <w:tc>
          <w:tcPr>
            <w:tcW w:w="1985" w:type="dxa"/>
            <w:vAlign w:val="center"/>
          </w:tcPr>
          <w:p w14:paraId="3EA950D6" w14:textId="77777777" w:rsidR="00247883" w:rsidRPr="005A2DA7" w:rsidRDefault="00247883" w:rsidP="00977477">
            <w:pPr>
              <w:spacing w:before="60" w:after="60"/>
              <w:jc w:val="center"/>
              <w:rPr>
                <w:rFonts w:cs="Segoe UI"/>
              </w:rPr>
            </w:pPr>
            <w:r w:rsidRPr="005A2DA7">
              <w:rPr>
                <w:rFonts w:cs="Segoe UI"/>
              </w:rPr>
              <w:t>150</w:t>
            </w:r>
          </w:p>
        </w:tc>
      </w:tr>
      <w:tr w:rsidR="00247883" w:rsidRPr="005A2DA7" w14:paraId="18ACF3C8" w14:textId="77777777" w:rsidTr="00DB0C46">
        <w:tc>
          <w:tcPr>
            <w:tcW w:w="6379" w:type="dxa"/>
            <w:vAlign w:val="center"/>
          </w:tcPr>
          <w:p w14:paraId="09D1C3BC" w14:textId="77777777" w:rsidR="00247883" w:rsidRPr="005A2DA7" w:rsidRDefault="00247883" w:rsidP="00977477">
            <w:pPr>
              <w:spacing w:before="60" w:after="60"/>
              <w:rPr>
                <w:rFonts w:cs="Segoe UI"/>
              </w:rPr>
            </w:pPr>
            <w:r w:rsidRPr="005A2DA7">
              <w:rPr>
                <w:rFonts w:cs="Segoe UI"/>
              </w:rPr>
              <w:t>Applications for approved vaping premises</w:t>
            </w:r>
          </w:p>
        </w:tc>
        <w:tc>
          <w:tcPr>
            <w:tcW w:w="1985" w:type="dxa"/>
            <w:vAlign w:val="center"/>
          </w:tcPr>
          <w:p w14:paraId="4F4EAF6E" w14:textId="77777777" w:rsidR="00247883" w:rsidRPr="005A2DA7" w:rsidRDefault="00247883" w:rsidP="00977477">
            <w:pPr>
              <w:spacing w:before="60" w:after="60"/>
              <w:jc w:val="center"/>
              <w:rPr>
                <w:rFonts w:cs="Segoe UI"/>
              </w:rPr>
            </w:pPr>
            <w:r w:rsidRPr="005A2DA7">
              <w:rPr>
                <w:rFonts w:cs="Segoe UI"/>
              </w:rPr>
              <w:t>500</w:t>
            </w:r>
          </w:p>
        </w:tc>
      </w:tr>
      <w:tr w:rsidR="00247883" w:rsidRPr="005A2DA7" w14:paraId="506DA05D" w14:textId="77777777" w:rsidTr="00DB0C46">
        <w:trPr>
          <w:trHeight w:val="48"/>
        </w:trPr>
        <w:tc>
          <w:tcPr>
            <w:tcW w:w="6379" w:type="dxa"/>
            <w:vAlign w:val="center"/>
          </w:tcPr>
          <w:p w14:paraId="3E10EF29" w14:textId="77777777" w:rsidR="00247883" w:rsidRPr="005A2DA7" w:rsidRDefault="00247883" w:rsidP="00977477">
            <w:pPr>
              <w:spacing w:before="60" w:after="60"/>
              <w:rPr>
                <w:rFonts w:cs="Segoe UI"/>
              </w:rPr>
            </w:pPr>
            <w:r w:rsidRPr="005A2DA7">
              <w:rPr>
                <w:rFonts w:cs="Segoe UI"/>
              </w:rPr>
              <w:t xml:space="preserve">Applications for approved </w:t>
            </w:r>
            <w:r>
              <w:rPr>
                <w:rFonts w:cs="Segoe UI"/>
              </w:rPr>
              <w:t>web</w:t>
            </w:r>
            <w:r w:rsidRPr="005A2DA7">
              <w:rPr>
                <w:rFonts w:cs="Segoe UI"/>
              </w:rPr>
              <w:t>sites</w:t>
            </w:r>
          </w:p>
        </w:tc>
        <w:tc>
          <w:tcPr>
            <w:tcW w:w="1985" w:type="dxa"/>
            <w:vAlign w:val="center"/>
          </w:tcPr>
          <w:p w14:paraId="2AB3D7E1" w14:textId="77777777" w:rsidR="00247883" w:rsidRPr="005A2DA7" w:rsidRDefault="00247883" w:rsidP="00977477">
            <w:pPr>
              <w:spacing w:before="60" w:after="60"/>
              <w:jc w:val="center"/>
              <w:rPr>
                <w:rFonts w:cs="Segoe UI"/>
              </w:rPr>
            </w:pPr>
            <w:r>
              <w:rPr>
                <w:rFonts w:cs="Segoe UI"/>
              </w:rPr>
              <w:t>150</w:t>
            </w:r>
          </w:p>
        </w:tc>
      </w:tr>
      <w:tr w:rsidR="00247883" w:rsidRPr="005A2DA7" w14:paraId="2B8A2971" w14:textId="77777777" w:rsidTr="00DB0C46">
        <w:tc>
          <w:tcPr>
            <w:tcW w:w="6379" w:type="dxa"/>
            <w:vAlign w:val="center"/>
          </w:tcPr>
          <w:p w14:paraId="18ADF085" w14:textId="77777777" w:rsidR="00247883" w:rsidRPr="005A2DA7" w:rsidRDefault="00247883" w:rsidP="00977477">
            <w:pPr>
              <w:spacing w:before="60" w:after="60"/>
              <w:rPr>
                <w:rFonts w:cs="Segoe UI"/>
              </w:rPr>
            </w:pPr>
            <w:r w:rsidRPr="005A2DA7">
              <w:rPr>
                <w:rFonts w:cs="Segoe UI"/>
              </w:rPr>
              <w:t>Appeals</w:t>
            </w:r>
          </w:p>
        </w:tc>
        <w:tc>
          <w:tcPr>
            <w:tcW w:w="1985" w:type="dxa"/>
            <w:vAlign w:val="center"/>
          </w:tcPr>
          <w:p w14:paraId="63F0E4E6" w14:textId="77777777" w:rsidR="00247883" w:rsidRPr="005A2DA7" w:rsidRDefault="00247883" w:rsidP="00977477">
            <w:pPr>
              <w:spacing w:before="60" w:after="60"/>
              <w:jc w:val="center"/>
              <w:rPr>
                <w:rFonts w:cs="Segoe UI"/>
              </w:rPr>
            </w:pPr>
            <w:r w:rsidRPr="005A2DA7">
              <w:rPr>
                <w:rFonts w:cs="Segoe UI"/>
              </w:rPr>
              <w:t>10</w:t>
            </w:r>
          </w:p>
        </w:tc>
      </w:tr>
    </w:tbl>
    <w:p w14:paraId="6E649E61" w14:textId="77777777" w:rsidR="00247883" w:rsidRPr="005A2DA7" w:rsidRDefault="00247883" w:rsidP="00247883">
      <w:pPr>
        <w:rPr>
          <w:rFonts w:cs="Segoe UI"/>
        </w:rPr>
      </w:pPr>
    </w:p>
    <w:p w14:paraId="251CD046" w14:textId="065015EB" w:rsidR="00247883" w:rsidRDefault="00247883" w:rsidP="00247883">
      <w:pPr>
        <w:spacing w:after="120"/>
        <w:rPr>
          <w:rFonts w:cs="Segoe UI"/>
        </w:rPr>
      </w:pPr>
      <w:r>
        <w:rPr>
          <w:rFonts w:cs="Segoe UI"/>
        </w:rPr>
        <w:t>We</w:t>
      </w:r>
      <w:r w:rsidRPr="005A2DA7">
        <w:rPr>
          <w:rFonts w:cs="Segoe UI"/>
        </w:rPr>
        <w:t xml:space="preserve"> anticipate that fees will be reviewed before the end of the first notification year, once actual volumes for each type are known.</w:t>
      </w:r>
    </w:p>
    <w:p w14:paraId="49659A4F" w14:textId="77777777" w:rsidR="00977477" w:rsidRPr="005A2DA7" w:rsidRDefault="00977477" w:rsidP="00247883">
      <w:pPr>
        <w:spacing w:after="120"/>
        <w:rPr>
          <w:rFonts w:cs="Segoe UI"/>
        </w:rPr>
      </w:pPr>
    </w:p>
    <w:p w14:paraId="3EEC0618" w14:textId="77777777" w:rsidR="00977477" w:rsidRDefault="00977477" w:rsidP="00977477">
      <w:pPr>
        <w:pStyle w:val="Heading3"/>
        <w:pBdr>
          <w:top w:val="single" w:sz="4" w:space="1" w:color="auto"/>
          <w:left w:val="single" w:sz="4" w:space="1" w:color="auto"/>
          <w:bottom w:val="single" w:sz="4" w:space="1" w:color="auto"/>
          <w:right w:val="single" w:sz="4" w:space="1" w:color="auto"/>
        </w:pBdr>
      </w:pPr>
      <w:bookmarkStart w:id="238" w:name="_Toc58869385"/>
      <w:bookmarkStart w:id="239" w:name="_Toc50468982"/>
      <w:bookmarkStart w:id="240" w:name="_Toc50469099"/>
      <w:bookmarkStart w:id="241" w:name="_Toc50550006"/>
      <w:r>
        <w:lastRenderedPageBreak/>
        <w:t>Consultation questions</w:t>
      </w:r>
      <w:bookmarkEnd w:id="238"/>
    </w:p>
    <w:p w14:paraId="27EB1D27" w14:textId="77777777"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Do you agree the Ministry of Health should charge for the activities identified? If not, what activities do you suggest we charge for?</w:t>
      </w:r>
    </w:p>
    <w:p w14:paraId="01CA3B50" w14:textId="77777777"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Do you agree with the way the fees are structured? If not, how should they be structured?</w:t>
      </w:r>
    </w:p>
    <w:p w14:paraId="46520CE2" w14:textId="77777777"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 xml:space="preserve">Do you agree with the level of each of the fees? If not, how much do you suggest the Ministry of Health should charge?  </w:t>
      </w:r>
    </w:p>
    <w:p w14:paraId="54C50302" w14:textId="77777777"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 xml:space="preserve">Do you agree with our assumptions on annual volumes of work? If not, what assumptions do you suggest we use?  </w:t>
      </w:r>
    </w:p>
    <w:p w14:paraId="25114A75" w14:textId="77777777"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How many products do you anticipate notifying yourself?</w:t>
      </w:r>
    </w:p>
    <w:p w14:paraId="0B3A5391" w14:textId="3C0773A5" w:rsidR="00977477" w:rsidRPr="002C425C" w:rsidRDefault="00977477" w:rsidP="00DB0C46">
      <w:pPr>
        <w:pStyle w:val="consultationnumber"/>
        <w:numPr>
          <w:ilvl w:val="0"/>
          <w:numId w:val="11"/>
        </w:numPr>
        <w:pBdr>
          <w:top w:val="single" w:sz="4" w:space="1" w:color="auto"/>
          <w:left w:val="single" w:sz="4" w:space="1" w:color="auto"/>
          <w:bottom w:val="single" w:sz="4" w:space="1" w:color="auto"/>
          <w:right w:val="single" w:sz="4" w:space="1" w:color="auto"/>
        </w:pBdr>
        <w:spacing w:before="90" w:after="90"/>
        <w:ind w:left="357" w:hanging="357"/>
        <w:contextualSpacing w:val="0"/>
        <w:rPr>
          <w:sz w:val="21"/>
          <w:szCs w:val="21"/>
        </w:rPr>
      </w:pPr>
      <w:r w:rsidRPr="002C425C">
        <w:rPr>
          <w:sz w:val="21"/>
          <w:szCs w:val="21"/>
        </w:rPr>
        <w:t>Are there additional issues relating to fees and charges that you would like us to consider?</w:t>
      </w:r>
    </w:p>
    <w:p w14:paraId="1EA1F987" w14:textId="57A49B98" w:rsidR="00247883" w:rsidRPr="000608A4" w:rsidRDefault="00247883" w:rsidP="00247883">
      <w:pPr>
        <w:pStyle w:val="Heading4"/>
        <w:rPr>
          <w:rFonts w:eastAsiaTheme="minorHAnsi"/>
        </w:rPr>
      </w:pPr>
      <w:r w:rsidRPr="000608A4">
        <w:rPr>
          <w:rFonts w:eastAsiaTheme="minorHAnsi"/>
        </w:rPr>
        <w:t>Very low-volume products</w:t>
      </w:r>
      <w:bookmarkEnd w:id="239"/>
      <w:bookmarkEnd w:id="240"/>
      <w:bookmarkEnd w:id="241"/>
    </w:p>
    <w:p w14:paraId="46EE810A" w14:textId="77777777" w:rsidR="00247883" w:rsidRPr="002C425C" w:rsidRDefault="00247883" w:rsidP="00247883">
      <w:pPr>
        <w:rPr>
          <w:szCs w:val="21"/>
        </w:rPr>
      </w:pPr>
      <w:r w:rsidRPr="002C425C">
        <w:rPr>
          <w:szCs w:val="21"/>
        </w:rPr>
        <w:t>Where products are sold in very low volumes, notification fees and other compliance costs might result in the loss of those products from the market. Examples of such products include:</w:t>
      </w:r>
    </w:p>
    <w:p w14:paraId="46D94409" w14:textId="77777777" w:rsidR="00247883" w:rsidRPr="002C425C" w:rsidRDefault="00247883" w:rsidP="00A70089">
      <w:pPr>
        <w:pStyle w:val="ListNumber"/>
        <w:numPr>
          <w:ilvl w:val="0"/>
          <w:numId w:val="34"/>
        </w:numPr>
        <w:spacing w:before="90" w:after="90"/>
        <w:ind w:left="357" w:hanging="357"/>
        <w:contextualSpacing w:val="0"/>
        <w:rPr>
          <w:sz w:val="21"/>
          <w:szCs w:val="21"/>
        </w:rPr>
      </w:pPr>
      <w:r w:rsidRPr="002C425C">
        <w:rPr>
          <w:sz w:val="21"/>
          <w:szCs w:val="21"/>
        </w:rPr>
        <w:t>large ranges of catalogue products, each sold only in small numbers</w:t>
      </w:r>
    </w:p>
    <w:p w14:paraId="1813DA39" w14:textId="77777777" w:rsidR="00247883" w:rsidRPr="002C425C" w:rsidRDefault="00247883" w:rsidP="00A70089">
      <w:pPr>
        <w:pStyle w:val="ListNumber"/>
        <w:numPr>
          <w:ilvl w:val="0"/>
          <w:numId w:val="34"/>
        </w:numPr>
        <w:spacing w:before="90" w:after="90"/>
        <w:ind w:left="357" w:hanging="357"/>
        <w:contextualSpacing w:val="0"/>
        <w:rPr>
          <w:sz w:val="21"/>
          <w:szCs w:val="21"/>
        </w:rPr>
      </w:pPr>
      <w:r w:rsidRPr="002C425C">
        <w:rPr>
          <w:sz w:val="21"/>
          <w:szCs w:val="21"/>
        </w:rPr>
        <w:t>unprofitable service products, where supply is maintained for small numbers of long-term consumers</w:t>
      </w:r>
    </w:p>
    <w:p w14:paraId="4CA78516" w14:textId="77777777" w:rsidR="00247883" w:rsidRPr="002C425C" w:rsidRDefault="00247883" w:rsidP="00A70089">
      <w:pPr>
        <w:pStyle w:val="ListNumber"/>
        <w:numPr>
          <w:ilvl w:val="0"/>
          <w:numId w:val="34"/>
        </w:numPr>
        <w:spacing w:before="90" w:after="90"/>
        <w:ind w:left="357" w:hanging="357"/>
        <w:contextualSpacing w:val="0"/>
        <w:rPr>
          <w:sz w:val="21"/>
          <w:szCs w:val="21"/>
        </w:rPr>
      </w:pPr>
      <w:r w:rsidRPr="002C425C">
        <w:rPr>
          <w:sz w:val="21"/>
          <w:szCs w:val="21"/>
        </w:rPr>
        <w:t>products in their first year of supply (where sales may only have reached nominal levels).</w:t>
      </w:r>
    </w:p>
    <w:p w14:paraId="51A988AA" w14:textId="6F07CDFE" w:rsidR="00247883" w:rsidRPr="002C425C" w:rsidRDefault="00247883" w:rsidP="00977477">
      <w:pPr>
        <w:rPr>
          <w:szCs w:val="21"/>
        </w:rPr>
      </w:pPr>
      <w:r w:rsidRPr="002C425C">
        <w:rPr>
          <w:szCs w:val="21"/>
        </w:rPr>
        <w:t>It may be beneficial to reduce fees or exempt notifiers from fees in such situations.</w:t>
      </w:r>
    </w:p>
    <w:p w14:paraId="7196754F" w14:textId="7C094F14" w:rsidR="00977477" w:rsidRDefault="00977477" w:rsidP="00977477">
      <w:pPr>
        <w:pStyle w:val="Heading3"/>
        <w:pBdr>
          <w:top w:val="single" w:sz="4" w:space="1" w:color="auto"/>
          <w:left w:val="single" w:sz="4" w:space="4" w:color="auto"/>
          <w:bottom w:val="single" w:sz="4" w:space="1" w:color="auto"/>
          <w:right w:val="single" w:sz="4" w:space="4" w:color="auto"/>
        </w:pBdr>
      </w:pPr>
      <w:bookmarkStart w:id="242" w:name="_Toc58869386"/>
      <w:r>
        <w:t>Consultation questions</w:t>
      </w:r>
      <w:bookmarkEnd w:id="242"/>
    </w:p>
    <w:p w14:paraId="048FAA27" w14:textId="77777777" w:rsidR="00977477" w:rsidRPr="002C425C" w:rsidRDefault="00977477"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 xml:space="preserve">Do you agree that we should reduce fees for very low-volume products? If not, how would you suggest the Ministry of Health handles very low-volume products?  </w:t>
      </w:r>
    </w:p>
    <w:p w14:paraId="167F55D0" w14:textId="1212A17F" w:rsidR="00977477" w:rsidRPr="002C425C" w:rsidRDefault="00977477" w:rsidP="00DB0C46">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 xml:space="preserve">How would you suggest we define very low-volume products? </w:t>
      </w:r>
    </w:p>
    <w:p w14:paraId="2381D135" w14:textId="18E66FAC" w:rsidR="007047E8" w:rsidRPr="00C077AB" w:rsidRDefault="00977477" w:rsidP="00896135">
      <w:pPr>
        <w:pStyle w:val="consultationnumber"/>
        <w:numPr>
          <w:ilvl w:val="0"/>
          <w:numId w:val="11"/>
        </w:numPr>
        <w:pBdr>
          <w:top w:val="single" w:sz="4" w:space="1" w:color="auto"/>
          <w:left w:val="single" w:sz="4" w:space="4" w:color="auto"/>
          <w:bottom w:val="single" w:sz="4" w:space="1" w:color="auto"/>
          <w:right w:val="single" w:sz="4" w:space="4" w:color="auto"/>
        </w:pBdr>
        <w:spacing w:before="90" w:after="90"/>
        <w:ind w:left="357" w:hanging="357"/>
        <w:contextualSpacing w:val="0"/>
        <w:rPr>
          <w:sz w:val="21"/>
          <w:szCs w:val="21"/>
        </w:rPr>
      </w:pPr>
      <w:r w:rsidRPr="002C425C">
        <w:rPr>
          <w:sz w:val="21"/>
          <w:szCs w:val="21"/>
        </w:rPr>
        <w:t>Do you have suggestions for the design of any provisions, including suggestions for:</w:t>
      </w:r>
      <w:r w:rsidRPr="002C425C">
        <w:rPr>
          <w:sz w:val="21"/>
          <w:szCs w:val="21"/>
        </w:rPr>
        <w:br/>
        <w:t>(a) limits on the number of products that any notifier can have fee exemptions for</w:t>
      </w:r>
      <w:r w:rsidR="00DB0C46" w:rsidRPr="002C425C">
        <w:rPr>
          <w:sz w:val="21"/>
          <w:szCs w:val="21"/>
        </w:rPr>
        <w:br/>
        <w:t>(b) administrative efficiency</w:t>
      </w:r>
      <w:r w:rsidR="00DB0C46" w:rsidRPr="002C425C">
        <w:rPr>
          <w:sz w:val="21"/>
          <w:szCs w:val="21"/>
        </w:rPr>
        <w:br/>
        <w:t>(c) any other issues that might be associated with low-volume products?</w:t>
      </w:r>
      <w:r w:rsidRPr="002C425C">
        <w:rPr>
          <w:sz w:val="21"/>
          <w:szCs w:val="21"/>
        </w:rPr>
        <w:t xml:space="preserve"> </w:t>
      </w:r>
    </w:p>
    <w:sectPr w:rsidR="007047E8" w:rsidRPr="00C077AB" w:rsidSect="00794CDD">
      <w:pgSz w:w="11907" w:h="16834" w:code="9"/>
      <w:pgMar w:top="1418" w:right="1701" w:bottom="1134" w:left="1843" w:header="284" w:footer="567" w:gutter="0"/>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8AD2" w16cex:dateUtc="2020-10-14T01:33:00Z"/>
  <w16cex:commentExtensible w16cex:durableId="2332DCD1" w16cex:dateUtc="2020-10-15T01:36:00Z"/>
  <w16cex:commentExtensible w16cex:durableId="23318C15" w16cex:dateUtc="2020-10-14T01:39:00Z"/>
  <w16cex:commentExtensible w16cex:durableId="2332D042" w16cex:dateUtc="2020-10-15T00:42:00Z"/>
  <w16cex:commentExtensible w16cex:durableId="2332D06B" w16cex:dateUtc="2020-10-15T00:43:00Z"/>
  <w16cex:commentExtensible w16cex:durableId="2331A63B" w16cex:dateUtc="2020-10-14T03:30:00Z"/>
  <w16cex:commentExtensible w16cex:durableId="2331A67F" w16cex:dateUtc="2020-10-14T03:31:00Z"/>
  <w16cex:commentExtensible w16cex:durableId="2332CD92" w16cex:dateUtc="2020-10-15T00:30:00Z"/>
  <w16cex:commentExtensible w16cex:durableId="2331A90C" w16cex:dateUtc="2020-10-14T03:42:00Z"/>
  <w16cex:commentExtensible w16cex:durableId="2331AB55" w16cex:dateUtc="2020-10-14T03:52:00Z"/>
  <w16cex:commentExtensible w16cex:durableId="2331AD2E" w16cex:dateUtc="2020-10-14T04:00:00Z"/>
  <w16cex:commentExtensible w16cex:durableId="2332D1B9" w16cex:dateUtc="2020-10-15T00:48:00Z"/>
  <w16cex:commentExtensible w16cex:durableId="2332D166" w16cex:dateUtc="2020-10-15T00:47:00Z"/>
  <w16cex:commentExtensible w16cex:durableId="2332CCCB" w16cex:dateUtc="2020-10-15T00:27:00Z"/>
  <w16cex:commentExtensible w16cex:durableId="2332D1E5" w16cex:dateUtc="2020-10-15T00:49:00Z"/>
  <w16cex:commentExtensible w16cex:durableId="2332D1EF" w16cex:dateUtc="2020-10-15T00:49:00Z"/>
  <w16cex:commentExtensible w16cex:durableId="2332974A" w16cex:dateUtc="2020-10-14T20:39:00Z"/>
  <w16cex:commentExtensible w16cex:durableId="23329790" w16cex:dateUtc="2020-10-14T20:40:00Z"/>
  <w16cex:commentExtensible w16cex:durableId="2332D23B" w16cex:dateUtc="2020-10-15T00:50:00Z"/>
  <w16cex:commentExtensible w16cex:durableId="23329D46" w16cex:dateUtc="2020-10-14T21:04:00Z"/>
  <w16cex:commentExtensible w16cex:durableId="23329DD5" w16cex:dateUtc="2020-10-14T21:07:00Z"/>
  <w16cex:commentExtensible w16cex:durableId="2332A490" w16cex:dateUtc="2020-10-14T21:36:00Z"/>
  <w16cex:commentExtensible w16cex:durableId="2332A9DB" w16cex:dateUtc="2020-10-14T21:58:00Z"/>
  <w16cex:commentExtensible w16cex:durableId="2332AA93" w16cex:dateUtc="2020-10-14T22:01:00Z"/>
  <w16cex:commentExtensible w16cex:durableId="2332B254" w16cex:dateUtc="2020-10-14T22: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2A3F6" w14:textId="77777777" w:rsidR="00526A93" w:rsidRDefault="00526A93" w:rsidP="00D13519">
      <w:r>
        <w:separator/>
      </w:r>
    </w:p>
  </w:endnote>
  <w:endnote w:type="continuationSeparator" w:id="0">
    <w:p w14:paraId="493753E2" w14:textId="77777777" w:rsidR="00526A93" w:rsidRDefault="00526A93" w:rsidP="00D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B660" w14:textId="77777777" w:rsidR="00E42875" w:rsidRDefault="00E42875" w:rsidP="00AA2D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B10A" w14:textId="77777777" w:rsidR="00E42875" w:rsidRDefault="00E42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2" w:type="dxa"/>
      <w:tblInd w:w="-426" w:type="dxa"/>
      <w:tblLayout w:type="fixed"/>
      <w:tblCellMar>
        <w:left w:w="0" w:type="dxa"/>
        <w:right w:w="0" w:type="dxa"/>
      </w:tblCellMar>
      <w:tblLook w:val="04A0" w:firstRow="1" w:lastRow="0" w:firstColumn="1" w:lastColumn="0" w:noHBand="0" w:noVBand="1"/>
    </w:tblPr>
    <w:tblGrid>
      <w:gridCol w:w="852"/>
      <w:gridCol w:w="8080"/>
    </w:tblGrid>
    <w:tr w:rsidR="00E42875" w14:paraId="3C447A3C" w14:textId="77777777" w:rsidTr="00794CDD">
      <w:trPr>
        <w:cantSplit/>
      </w:trPr>
      <w:tc>
        <w:tcPr>
          <w:tcW w:w="852" w:type="dxa"/>
          <w:shd w:val="clear" w:color="auto" w:fill="auto"/>
          <w:vAlign w:val="center"/>
        </w:tcPr>
        <w:p w14:paraId="4D39F6F2" w14:textId="77777777" w:rsidR="00E42875" w:rsidRPr="00931466" w:rsidRDefault="00E42875" w:rsidP="00AA2D7C">
          <w:pPr>
            <w:pStyle w:val="Footer"/>
            <w:spacing w:line="264"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shd w:val="clear" w:color="auto" w:fill="auto"/>
          <w:vAlign w:val="center"/>
        </w:tcPr>
        <w:p w14:paraId="43C373F6" w14:textId="08526B84" w:rsidR="00E42875" w:rsidRDefault="00E42875" w:rsidP="009668DA">
          <w:pPr>
            <w:pStyle w:val="RectoFooter"/>
            <w:spacing w:line="264" w:lineRule="auto"/>
            <w:jc w:val="left"/>
          </w:pPr>
          <w:r>
            <w:t xml:space="preserve">Smokefree Environments and Regulated Products Act 1990: Proposals for regulations </w:t>
          </w:r>
        </w:p>
      </w:tc>
    </w:tr>
  </w:tbl>
  <w:p w14:paraId="2A122FC8" w14:textId="77777777" w:rsidR="00E42875" w:rsidRPr="00571223" w:rsidRDefault="00E42875" w:rsidP="00AA2D7C">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Layout w:type="fixed"/>
      <w:tblCellMar>
        <w:left w:w="0" w:type="dxa"/>
        <w:right w:w="0" w:type="dxa"/>
      </w:tblCellMar>
      <w:tblLook w:val="04A0" w:firstRow="1" w:lastRow="0" w:firstColumn="1" w:lastColumn="0" w:noHBand="0" w:noVBand="1"/>
    </w:tblPr>
    <w:tblGrid>
      <w:gridCol w:w="7513"/>
      <w:gridCol w:w="709"/>
    </w:tblGrid>
    <w:tr w:rsidR="00E42875" w14:paraId="354DDE08" w14:textId="77777777" w:rsidTr="005F08D9">
      <w:trPr>
        <w:cantSplit/>
      </w:trPr>
      <w:tc>
        <w:tcPr>
          <w:tcW w:w="7513" w:type="dxa"/>
          <w:shd w:val="clear" w:color="auto" w:fill="auto"/>
          <w:vAlign w:val="center"/>
        </w:tcPr>
        <w:p w14:paraId="58FF7FE3" w14:textId="0E3E2BB6" w:rsidR="00E42875" w:rsidRDefault="00E42875" w:rsidP="009668DA">
          <w:pPr>
            <w:pStyle w:val="RectoFooter"/>
            <w:spacing w:line="264" w:lineRule="auto"/>
          </w:pPr>
          <w:r>
            <w:t xml:space="preserve">Smokefree Environments and Regulated Products Act 1990: Proposals for regulations </w:t>
          </w:r>
        </w:p>
      </w:tc>
      <w:tc>
        <w:tcPr>
          <w:tcW w:w="709" w:type="dxa"/>
          <w:shd w:val="clear" w:color="auto" w:fill="auto"/>
          <w:vAlign w:val="center"/>
        </w:tcPr>
        <w:p w14:paraId="5CDA1469" w14:textId="77777777" w:rsidR="00E42875" w:rsidRPr="00931466" w:rsidRDefault="00E42875" w:rsidP="00AA2D7C">
          <w:pPr>
            <w:pStyle w:val="Footer"/>
            <w:spacing w:line="264"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074BA33D" w14:textId="77777777" w:rsidR="00E42875" w:rsidRPr="00581EB8" w:rsidRDefault="00E42875" w:rsidP="00AA2D7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F858" w14:textId="77777777" w:rsidR="00526A93" w:rsidRDefault="00526A93" w:rsidP="00D13519">
      <w:r>
        <w:separator/>
      </w:r>
    </w:p>
  </w:footnote>
  <w:footnote w:type="continuationSeparator" w:id="0">
    <w:p w14:paraId="27CE6500" w14:textId="77777777" w:rsidR="00526A93" w:rsidRDefault="00526A93" w:rsidP="00D13519">
      <w:r>
        <w:continuationSeparator/>
      </w:r>
    </w:p>
  </w:footnote>
  <w:footnote w:id="1">
    <w:p w14:paraId="1DD569A5" w14:textId="77777777" w:rsidR="00E42875" w:rsidRDefault="00E42875" w:rsidP="009668DA">
      <w:pPr>
        <w:pStyle w:val="FootnoteText"/>
        <w:ind w:left="238"/>
      </w:pPr>
      <w:r>
        <w:rPr>
          <w:rStyle w:val="FootnoteReference"/>
        </w:rPr>
        <w:footnoteRef/>
      </w:r>
      <w:r>
        <w:t xml:space="preserve"> </w:t>
      </w:r>
      <w:r w:rsidRPr="009668DA">
        <w:t>The Smokefree Environments and Regulated Products (Vaping) Amendment Act 2020 also changed the name of the Smoke-free Environments Act 1990 to the Smokefree Environments and Regulated Products Act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E42875" w14:paraId="0BE6BE65" w14:textId="77777777" w:rsidTr="00AA2D7C">
      <w:trPr>
        <w:cantSplit/>
      </w:trPr>
      <w:tc>
        <w:tcPr>
          <w:tcW w:w="5210" w:type="dxa"/>
          <w:shd w:val="clear" w:color="auto" w:fill="auto"/>
        </w:tcPr>
        <w:p w14:paraId="776E81CC" w14:textId="77777777" w:rsidR="00E42875" w:rsidRDefault="00E42875" w:rsidP="00AA2D7C">
          <w:pPr>
            <w:pStyle w:val="Header"/>
            <w:spacing w:line="264" w:lineRule="auto"/>
          </w:pPr>
          <w:r>
            <w:rPr>
              <w:noProof/>
              <w:lang w:eastAsia="en-NZ"/>
            </w:rPr>
            <w:drawing>
              <wp:inline distT="0" distB="0" distL="0" distR="0" wp14:anchorId="04636DFB" wp14:editId="4A376FB8">
                <wp:extent cx="1391920" cy="576580"/>
                <wp:effectExtent l="0" t="0" r="0" b="0"/>
                <wp:docPr id="22" name="Picture 2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7327" t="15285" r="7327" b="13947"/>
                        <a:stretch>
                          <a:fillRect/>
                        </a:stretch>
                      </pic:blipFill>
                      <pic:spPr bwMode="auto">
                        <a:xfrm>
                          <a:off x="0" y="0"/>
                          <a:ext cx="1391920" cy="576580"/>
                        </a:xfrm>
                        <a:prstGeom prst="rect">
                          <a:avLst/>
                        </a:prstGeom>
                        <a:noFill/>
                        <a:ln>
                          <a:noFill/>
                        </a:ln>
                      </pic:spPr>
                    </pic:pic>
                  </a:graphicData>
                </a:graphic>
              </wp:inline>
            </w:drawing>
          </w:r>
        </w:p>
      </w:tc>
      <w:tc>
        <w:tcPr>
          <w:tcW w:w="4429" w:type="dxa"/>
          <w:shd w:val="clear" w:color="auto" w:fill="auto"/>
          <w:vAlign w:val="center"/>
        </w:tcPr>
        <w:p w14:paraId="65767155" w14:textId="1411532C" w:rsidR="00E42875" w:rsidRDefault="00E42875" w:rsidP="00AA2D7C">
          <w:pPr>
            <w:pStyle w:val="Header"/>
            <w:spacing w:line="264" w:lineRule="auto"/>
            <w:jc w:val="right"/>
          </w:pPr>
          <w:r>
            <w:rPr>
              <w:noProof/>
              <w:lang w:eastAsia="en-NZ"/>
            </w:rPr>
            <w:drawing>
              <wp:anchor distT="0" distB="0" distL="114300" distR="114300" simplePos="0" relativeHeight="251658240" behindDoc="1" locked="0" layoutInCell="1" allowOverlap="1" wp14:anchorId="2163A3BB" wp14:editId="13954BBA">
                <wp:simplePos x="0" y="0"/>
                <wp:positionH relativeFrom="column">
                  <wp:posOffset>601980</wp:posOffset>
                </wp:positionH>
                <wp:positionV relativeFrom="paragraph">
                  <wp:posOffset>22225</wp:posOffset>
                </wp:positionV>
                <wp:extent cx="1725930" cy="180975"/>
                <wp:effectExtent l="0" t="0" r="7620" b="9525"/>
                <wp:wrapTight wrapText="bothSides">
                  <wp:wrapPolygon edited="0">
                    <wp:start x="0" y="0"/>
                    <wp:lineTo x="0" y="20463"/>
                    <wp:lineTo x="21457" y="20463"/>
                    <wp:lineTo x="21457" y="0"/>
                    <wp:lineTo x="0" y="0"/>
                  </wp:wrapPolygon>
                </wp:wrapTight>
                <wp:docPr id="21" name="Picture 2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930" cy="180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22ED7A" w14:textId="44E4AEC3" w:rsidR="00E42875" w:rsidRDefault="00E42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E42875" w14:paraId="4FF7CB42" w14:textId="77777777" w:rsidTr="00AA2D7C">
      <w:trPr>
        <w:cantSplit/>
      </w:trPr>
      <w:tc>
        <w:tcPr>
          <w:tcW w:w="5210" w:type="dxa"/>
          <w:shd w:val="clear" w:color="auto" w:fill="auto"/>
        </w:tcPr>
        <w:p w14:paraId="71BAB5D5" w14:textId="6096E44A" w:rsidR="00E42875" w:rsidRDefault="00E42875" w:rsidP="00AA2D7C">
          <w:pPr>
            <w:pStyle w:val="Header"/>
            <w:spacing w:line="264" w:lineRule="auto"/>
          </w:pPr>
        </w:p>
      </w:tc>
      <w:tc>
        <w:tcPr>
          <w:tcW w:w="4429" w:type="dxa"/>
          <w:shd w:val="clear" w:color="auto" w:fill="auto"/>
          <w:vAlign w:val="center"/>
        </w:tcPr>
        <w:p w14:paraId="22DE949B" w14:textId="3FBF3998" w:rsidR="00E42875" w:rsidRDefault="00E42875" w:rsidP="00AA2D7C">
          <w:pPr>
            <w:pStyle w:val="Header"/>
            <w:spacing w:line="264" w:lineRule="auto"/>
            <w:jc w:val="right"/>
          </w:pPr>
        </w:p>
      </w:tc>
    </w:tr>
  </w:tbl>
  <w:p w14:paraId="703D91B8" w14:textId="77777777" w:rsidR="00E42875" w:rsidRDefault="00E42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9BF1" w14:textId="77777777" w:rsidR="00E42875" w:rsidRDefault="00E42875" w:rsidP="00AA2D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E911" w14:textId="77777777" w:rsidR="00E42875" w:rsidRDefault="00E42875" w:rsidP="00AA2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4878" w14:textId="77777777" w:rsidR="00E42875" w:rsidRDefault="00E428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A2863FC"/>
    <w:lvl w:ilvl="0">
      <w:start w:val="1"/>
      <w:numFmt w:val="decimal"/>
      <w:pStyle w:val="ListNumber3"/>
      <w:lvlText w:val="%1."/>
      <w:lvlJc w:val="left"/>
      <w:pPr>
        <w:tabs>
          <w:tab w:val="num" w:pos="3054"/>
        </w:tabs>
        <w:ind w:left="3054" w:hanging="360"/>
      </w:pPr>
    </w:lvl>
  </w:abstractNum>
  <w:abstractNum w:abstractNumId="1" w15:restartNumberingAfterBreak="0">
    <w:nsid w:val="FFFFFF7F"/>
    <w:multiLevelType w:val="singleLevel"/>
    <w:tmpl w:val="A9C68C84"/>
    <w:lvl w:ilvl="0">
      <w:start w:val="1"/>
      <w:numFmt w:val="lowerLetter"/>
      <w:pStyle w:val="ListNumber2"/>
      <w:lvlText w:val="(%1)"/>
      <w:lvlJc w:val="left"/>
      <w:pPr>
        <w:ind w:left="717" w:hanging="360"/>
      </w:pPr>
      <w:rPr>
        <w:rFonts w:hint="default"/>
      </w:rPr>
    </w:lvl>
  </w:abstractNum>
  <w:abstractNum w:abstractNumId="2" w15:restartNumberingAfterBreak="0">
    <w:nsid w:val="FFFFFF88"/>
    <w:multiLevelType w:val="singleLevel"/>
    <w:tmpl w:val="1100973E"/>
    <w:lvl w:ilvl="0">
      <w:start w:val="1"/>
      <w:numFmt w:val="decimal"/>
      <w:pStyle w:val="ListNumber"/>
      <w:lvlText w:val="%1."/>
      <w:lvlJc w:val="left"/>
      <w:pPr>
        <w:tabs>
          <w:tab w:val="num" w:pos="2629"/>
        </w:tabs>
        <w:ind w:left="2629" w:hanging="360"/>
      </w:pPr>
    </w:lvl>
  </w:abstractNum>
  <w:abstractNum w:abstractNumId="3" w15:restartNumberingAfterBreak="0">
    <w:nsid w:val="FFFFFF89"/>
    <w:multiLevelType w:val="singleLevel"/>
    <w:tmpl w:val="9E3262C2"/>
    <w:lvl w:ilvl="0">
      <w:start w:val="1"/>
      <w:numFmt w:val="decimal"/>
      <w:lvlText w:val="%1."/>
      <w:lvlJc w:val="left"/>
      <w:pPr>
        <w:ind w:left="2628" w:hanging="360"/>
      </w:pPr>
      <w:rPr>
        <w:rFonts w:hint="default"/>
      </w:rPr>
    </w:lvl>
  </w:abstractNum>
  <w:abstractNum w:abstractNumId="4" w15:restartNumberingAfterBreak="0">
    <w:nsid w:val="0289793B"/>
    <w:multiLevelType w:val="hybridMultilevel"/>
    <w:tmpl w:val="4B4407D4"/>
    <w:lvl w:ilvl="0" w:tplc="4060219C">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5" w15:restartNumberingAfterBreak="0">
    <w:nsid w:val="03464DB0"/>
    <w:multiLevelType w:val="hybridMultilevel"/>
    <w:tmpl w:val="2452A7BA"/>
    <w:lvl w:ilvl="0" w:tplc="FBDA742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7" w15:restartNumberingAfterBreak="0">
    <w:nsid w:val="0A8131E2"/>
    <w:multiLevelType w:val="hybridMultilevel"/>
    <w:tmpl w:val="E60AC41C"/>
    <w:lvl w:ilvl="0" w:tplc="E334CC6A">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5201ECC"/>
    <w:multiLevelType w:val="hybridMultilevel"/>
    <w:tmpl w:val="7BF03D48"/>
    <w:lvl w:ilvl="0" w:tplc="F9D27932">
      <w:start w:val="1"/>
      <w:numFmt w:val="lowerLetter"/>
      <w:lvlText w:val="(%1)"/>
      <w:lvlJc w:val="left"/>
      <w:pPr>
        <w:ind w:left="1077"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9" w15:restartNumberingAfterBreak="0">
    <w:nsid w:val="1E804A41"/>
    <w:multiLevelType w:val="hybridMultilevel"/>
    <w:tmpl w:val="1F267800"/>
    <w:lvl w:ilvl="0" w:tplc="CC8E003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lvl>
    <w:lvl w:ilvl="1">
      <w:start w:val="1"/>
      <w:numFmt w:val="lowerLetter"/>
      <w:pStyle w:val="Letter"/>
      <w:lvlText w:val="%2)"/>
      <w:lvlJc w:val="left"/>
      <w:pPr>
        <w:ind w:left="1134" w:hanging="567"/>
      </w:pPr>
    </w:lvl>
    <w:lvl w:ilvl="2">
      <w:start w:val="1"/>
      <w:numFmt w:val="lowerRoman"/>
      <w:pStyle w:val="Roman"/>
      <w:lvlText w:val="%3)"/>
      <w:lvlJc w:val="left"/>
      <w:pPr>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227310"/>
    <w:multiLevelType w:val="hybridMultilevel"/>
    <w:tmpl w:val="E1F03470"/>
    <w:lvl w:ilvl="0" w:tplc="E334CC6A">
      <w:start w:val="1"/>
      <w:numFmt w:val="lowerRoman"/>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cs="Times New Roman"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E20E8"/>
    <w:multiLevelType w:val="hybridMultilevel"/>
    <w:tmpl w:val="FD9CE56E"/>
    <w:lvl w:ilvl="0" w:tplc="84F4142A">
      <w:start w:val="1"/>
      <w:numFmt w:val="bullet"/>
      <w:pStyle w:val="consultationnumber"/>
      <w:lvlText w:val="–"/>
      <w:lvlJc w:val="left"/>
      <w:pPr>
        <w:tabs>
          <w:tab w:val="num" w:pos="567"/>
        </w:tabs>
        <w:ind w:left="567" w:hanging="283"/>
      </w:pPr>
      <w:rPr>
        <w:rFonts w:ascii="Arial Mäori" w:hAnsi="Arial Mäori"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7992"/>
    <w:multiLevelType w:val="hybridMultilevel"/>
    <w:tmpl w:val="3ACAC664"/>
    <w:lvl w:ilvl="0" w:tplc="4060219C">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5" w15:restartNumberingAfterBreak="0">
    <w:nsid w:val="57B74C95"/>
    <w:multiLevelType w:val="hybridMultilevel"/>
    <w:tmpl w:val="618A54C8"/>
    <w:lvl w:ilvl="0" w:tplc="CC8E003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7648016C"/>
    <w:multiLevelType w:val="hybridMultilevel"/>
    <w:tmpl w:val="1F267800"/>
    <w:lvl w:ilvl="0" w:tplc="CC8E003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18" w15:restartNumberingAfterBreak="0">
    <w:nsid w:val="7E927B63"/>
    <w:multiLevelType w:val="hybridMultilevel"/>
    <w:tmpl w:val="D0D29164"/>
    <w:lvl w:ilvl="0" w:tplc="E334CC6A">
      <w:start w:val="1"/>
      <w:numFmt w:val="lowerRoman"/>
      <w:lvlText w:val="(%1)"/>
      <w:lvlJc w:val="left"/>
      <w:pPr>
        <w:ind w:left="1286" w:hanging="360"/>
      </w:pPr>
      <w:rPr>
        <w:rFonts w:hint="default"/>
      </w:rPr>
    </w:lvl>
    <w:lvl w:ilvl="1" w:tplc="14090019" w:tentative="1">
      <w:start w:val="1"/>
      <w:numFmt w:val="lowerLetter"/>
      <w:lvlText w:val="%2."/>
      <w:lvlJc w:val="left"/>
      <w:pPr>
        <w:ind w:left="2006" w:hanging="360"/>
      </w:pPr>
    </w:lvl>
    <w:lvl w:ilvl="2" w:tplc="1409001B" w:tentative="1">
      <w:start w:val="1"/>
      <w:numFmt w:val="lowerRoman"/>
      <w:lvlText w:val="%3."/>
      <w:lvlJc w:val="right"/>
      <w:pPr>
        <w:ind w:left="2726" w:hanging="180"/>
      </w:pPr>
    </w:lvl>
    <w:lvl w:ilvl="3" w:tplc="1409000F" w:tentative="1">
      <w:start w:val="1"/>
      <w:numFmt w:val="decimal"/>
      <w:lvlText w:val="%4."/>
      <w:lvlJc w:val="left"/>
      <w:pPr>
        <w:ind w:left="3446" w:hanging="360"/>
      </w:pPr>
    </w:lvl>
    <w:lvl w:ilvl="4" w:tplc="14090019" w:tentative="1">
      <w:start w:val="1"/>
      <w:numFmt w:val="lowerLetter"/>
      <w:lvlText w:val="%5."/>
      <w:lvlJc w:val="left"/>
      <w:pPr>
        <w:ind w:left="4166" w:hanging="360"/>
      </w:pPr>
    </w:lvl>
    <w:lvl w:ilvl="5" w:tplc="1409001B" w:tentative="1">
      <w:start w:val="1"/>
      <w:numFmt w:val="lowerRoman"/>
      <w:lvlText w:val="%6."/>
      <w:lvlJc w:val="right"/>
      <w:pPr>
        <w:ind w:left="4886" w:hanging="180"/>
      </w:pPr>
    </w:lvl>
    <w:lvl w:ilvl="6" w:tplc="1409000F" w:tentative="1">
      <w:start w:val="1"/>
      <w:numFmt w:val="decimal"/>
      <w:lvlText w:val="%7."/>
      <w:lvlJc w:val="left"/>
      <w:pPr>
        <w:ind w:left="5606" w:hanging="360"/>
      </w:pPr>
    </w:lvl>
    <w:lvl w:ilvl="7" w:tplc="14090019" w:tentative="1">
      <w:start w:val="1"/>
      <w:numFmt w:val="lowerLetter"/>
      <w:lvlText w:val="%8."/>
      <w:lvlJc w:val="left"/>
      <w:pPr>
        <w:ind w:left="6326" w:hanging="360"/>
      </w:pPr>
    </w:lvl>
    <w:lvl w:ilvl="8" w:tplc="1409001B" w:tentative="1">
      <w:start w:val="1"/>
      <w:numFmt w:val="lowerRoman"/>
      <w:lvlText w:val="%9."/>
      <w:lvlJc w:val="right"/>
      <w:pPr>
        <w:ind w:left="7046" w:hanging="180"/>
      </w:pPr>
    </w:lvl>
  </w:abstractNum>
  <w:num w:numId="1">
    <w:abstractNumId w:val="17"/>
  </w:num>
  <w:num w:numId="2">
    <w:abstractNumId w:val="12"/>
  </w:num>
  <w:num w:numId="3">
    <w:abstractNumId w:val="6"/>
  </w:num>
  <w:num w:numId="4">
    <w:abstractNumId w:val="13"/>
  </w:num>
  <w:num w:numId="5">
    <w:abstractNumId w:val="10"/>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0"/>
  </w:num>
  <w:num w:numId="11">
    <w:abstractNumId w:val="3"/>
  </w:num>
  <w:num w:numId="12">
    <w:abstractNumId w:val="5"/>
  </w:num>
  <w:num w:numId="13">
    <w:abstractNumId w:val="7"/>
  </w:num>
  <w:num w:numId="14">
    <w:abstractNumId w:val="9"/>
  </w:num>
  <w:num w:numId="15">
    <w:abstractNumId w:val="16"/>
  </w:num>
  <w:num w:numId="16">
    <w:abstractNumId w:val="11"/>
  </w:num>
  <w:num w:numId="17">
    <w:abstractNumId w:val="15"/>
  </w:num>
  <w:num w:numId="18">
    <w:abstractNumId w:val="0"/>
    <w:lvlOverride w:ilvl="0">
      <w:startOverride w:val="1"/>
    </w:lvlOverride>
  </w:num>
  <w:num w:numId="19">
    <w:abstractNumId w:val="8"/>
  </w:num>
  <w:num w:numId="20">
    <w:abstractNumId w:val="18"/>
  </w:num>
  <w:num w:numId="21">
    <w:abstractNumId w:val="1"/>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4"/>
  </w:num>
  <w:num w:numId="31">
    <w:abstractNumId w:val="4"/>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19"/>
    <w:rsid w:val="000409CD"/>
    <w:rsid w:val="0005247A"/>
    <w:rsid w:val="00070602"/>
    <w:rsid w:val="000A1035"/>
    <w:rsid w:val="000A1B4E"/>
    <w:rsid w:val="000A60B2"/>
    <w:rsid w:val="000A627A"/>
    <w:rsid w:val="000A77FE"/>
    <w:rsid w:val="000B5803"/>
    <w:rsid w:val="000C43D3"/>
    <w:rsid w:val="000C7897"/>
    <w:rsid w:val="000E1666"/>
    <w:rsid w:val="000E520A"/>
    <w:rsid w:val="0010052F"/>
    <w:rsid w:val="00126A0C"/>
    <w:rsid w:val="001313F2"/>
    <w:rsid w:val="001326EC"/>
    <w:rsid w:val="001369FC"/>
    <w:rsid w:val="001376AA"/>
    <w:rsid w:val="00140DE2"/>
    <w:rsid w:val="00145F83"/>
    <w:rsid w:val="0015380E"/>
    <w:rsid w:val="00157223"/>
    <w:rsid w:val="0017703F"/>
    <w:rsid w:val="001814D3"/>
    <w:rsid w:val="001B351D"/>
    <w:rsid w:val="001C173C"/>
    <w:rsid w:val="001D03C1"/>
    <w:rsid w:val="001F0A4C"/>
    <w:rsid w:val="001F696E"/>
    <w:rsid w:val="002050B7"/>
    <w:rsid w:val="002128A2"/>
    <w:rsid w:val="00214984"/>
    <w:rsid w:val="00232FE1"/>
    <w:rsid w:val="00247883"/>
    <w:rsid w:val="002501F1"/>
    <w:rsid w:val="002535F6"/>
    <w:rsid w:val="002B217E"/>
    <w:rsid w:val="002B2E10"/>
    <w:rsid w:val="002C425C"/>
    <w:rsid w:val="002C4F5D"/>
    <w:rsid w:val="002F2274"/>
    <w:rsid w:val="00314981"/>
    <w:rsid w:val="003460C9"/>
    <w:rsid w:val="0035372E"/>
    <w:rsid w:val="003A23FA"/>
    <w:rsid w:val="003A7F5C"/>
    <w:rsid w:val="003D5D14"/>
    <w:rsid w:val="003D6C18"/>
    <w:rsid w:val="003E1A1F"/>
    <w:rsid w:val="00402005"/>
    <w:rsid w:val="00422350"/>
    <w:rsid w:val="0046268D"/>
    <w:rsid w:val="00470025"/>
    <w:rsid w:val="00486C26"/>
    <w:rsid w:val="00487778"/>
    <w:rsid w:val="00491B1D"/>
    <w:rsid w:val="004A275C"/>
    <w:rsid w:val="004D080E"/>
    <w:rsid w:val="004D0A8F"/>
    <w:rsid w:val="004D3935"/>
    <w:rsid w:val="004D5D1F"/>
    <w:rsid w:val="004E2E88"/>
    <w:rsid w:val="00503C68"/>
    <w:rsid w:val="00512022"/>
    <w:rsid w:val="0051438C"/>
    <w:rsid w:val="005251ED"/>
    <w:rsid w:val="00526A93"/>
    <w:rsid w:val="00545B21"/>
    <w:rsid w:val="0055002A"/>
    <w:rsid w:val="00551C6D"/>
    <w:rsid w:val="00555AB0"/>
    <w:rsid w:val="00565A6A"/>
    <w:rsid w:val="00577288"/>
    <w:rsid w:val="00580C9E"/>
    <w:rsid w:val="005A1344"/>
    <w:rsid w:val="005B0C4E"/>
    <w:rsid w:val="005D707A"/>
    <w:rsid w:val="005D7B4F"/>
    <w:rsid w:val="005F08D9"/>
    <w:rsid w:val="00606D02"/>
    <w:rsid w:val="00611A03"/>
    <w:rsid w:val="00630E0F"/>
    <w:rsid w:val="00631C25"/>
    <w:rsid w:val="00632C94"/>
    <w:rsid w:val="006448D0"/>
    <w:rsid w:val="00677008"/>
    <w:rsid w:val="00681076"/>
    <w:rsid w:val="006817A2"/>
    <w:rsid w:val="00681D67"/>
    <w:rsid w:val="00690E04"/>
    <w:rsid w:val="006C1E67"/>
    <w:rsid w:val="006D3AE7"/>
    <w:rsid w:val="006F2363"/>
    <w:rsid w:val="007047E8"/>
    <w:rsid w:val="00710159"/>
    <w:rsid w:val="00721214"/>
    <w:rsid w:val="0074015E"/>
    <w:rsid w:val="007407BF"/>
    <w:rsid w:val="007458A4"/>
    <w:rsid w:val="007720C0"/>
    <w:rsid w:val="00773038"/>
    <w:rsid w:val="00774784"/>
    <w:rsid w:val="00782905"/>
    <w:rsid w:val="00783242"/>
    <w:rsid w:val="00794CDD"/>
    <w:rsid w:val="007977A3"/>
    <w:rsid w:val="00797BD3"/>
    <w:rsid w:val="007A7CF3"/>
    <w:rsid w:val="007B25BC"/>
    <w:rsid w:val="007C454A"/>
    <w:rsid w:val="007D1623"/>
    <w:rsid w:val="00814E8A"/>
    <w:rsid w:val="00817955"/>
    <w:rsid w:val="00837E43"/>
    <w:rsid w:val="00841B25"/>
    <w:rsid w:val="00855939"/>
    <w:rsid w:val="00860960"/>
    <w:rsid w:val="008623D9"/>
    <w:rsid w:val="0086366C"/>
    <w:rsid w:val="008719B8"/>
    <w:rsid w:val="00896135"/>
    <w:rsid w:val="008B374F"/>
    <w:rsid w:val="008B44A6"/>
    <w:rsid w:val="008B5A8F"/>
    <w:rsid w:val="008E5143"/>
    <w:rsid w:val="008E68D2"/>
    <w:rsid w:val="008E7244"/>
    <w:rsid w:val="008F484C"/>
    <w:rsid w:val="0091120E"/>
    <w:rsid w:val="0091456A"/>
    <w:rsid w:val="00937157"/>
    <w:rsid w:val="009528AA"/>
    <w:rsid w:val="009536AF"/>
    <w:rsid w:val="00960888"/>
    <w:rsid w:val="00961164"/>
    <w:rsid w:val="00962C23"/>
    <w:rsid w:val="009668DA"/>
    <w:rsid w:val="00974797"/>
    <w:rsid w:val="00977477"/>
    <w:rsid w:val="009A54D5"/>
    <w:rsid w:val="009B2BD7"/>
    <w:rsid w:val="009D433B"/>
    <w:rsid w:val="009D5B86"/>
    <w:rsid w:val="009E5B95"/>
    <w:rsid w:val="00A41863"/>
    <w:rsid w:val="00A43047"/>
    <w:rsid w:val="00A576A3"/>
    <w:rsid w:val="00A61E2A"/>
    <w:rsid w:val="00A70089"/>
    <w:rsid w:val="00A758F1"/>
    <w:rsid w:val="00A76CCA"/>
    <w:rsid w:val="00A921FC"/>
    <w:rsid w:val="00AA2D7C"/>
    <w:rsid w:val="00AB539A"/>
    <w:rsid w:val="00AC3BE5"/>
    <w:rsid w:val="00AF0B55"/>
    <w:rsid w:val="00B05885"/>
    <w:rsid w:val="00B1103D"/>
    <w:rsid w:val="00B177DD"/>
    <w:rsid w:val="00B50F93"/>
    <w:rsid w:val="00B55351"/>
    <w:rsid w:val="00B72456"/>
    <w:rsid w:val="00BA3800"/>
    <w:rsid w:val="00BA7439"/>
    <w:rsid w:val="00BC261C"/>
    <w:rsid w:val="00BE5BD0"/>
    <w:rsid w:val="00BF3B28"/>
    <w:rsid w:val="00C03FC3"/>
    <w:rsid w:val="00C077AB"/>
    <w:rsid w:val="00C37181"/>
    <w:rsid w:val="00C46E2F"/>
    <w:rsid w:val="00C6743B"/>
    <w:rsid w:val="00C70B9E"/>
    <w:rsid w:val="00C80F70"/>
    <w:rsid w:val="00C91D32"/>
    <w:rsid w:val="00C97CD6"/>
    <w:rsid w:val="00CB6A3D"/>
    <w:rsid w:val="00CD5E59"/>
    <w:rsid w:val="00CE76DD"/>
    <w:rsid w:val="00CE7F12"/>
    <w:rsid w:val="00CF45BB"/>
    <w:rsid w:val="00CF79C2"/>
    <w:rsid w:val="00D01154"/>
    <w:rsid w:val="00D13519"/>
    <w:rsid w:val="00D27989"/>
    <w:rsid w:val="00D54C22"/>
    <w:rsid w:val="00D60207"/>
    <w:rsid w:val="00D62718"/>
    <w:rsid w:val="00D62B20"/>
    <w:rsid w:val="00D65087"/>
    <w:rsid w:val="00D67F43"/>
    <w:rsid w:val="00D90EB1"/>
    <w:rsid w:val="00D9548B"/>
    <w:rsid w:val="00DB0C46"/>
    <w:rsid w:val="00DB1730"/>
    <w:rsid w:val="00DD1B27"/>
    <w:rsid w:val="00DE7A89"/>
    <w:rsid w:val="00E42875"/>
    <w:rsid w:val="00E92A93"/>
    <w:rsid w:val="00EB4519"/>
    <w:rsid w:val="00EB6B91"/>
    <w:rsid w:val="00EC56EF"/>
    <w:rsid w:val="00F12314"/>
    <w:rsid w:val="00F2724A"/>
    <w:rsid w:val="00F34ED3"/>
    <w:rsid w:val="00F55AA6"/>
    <w:rsid w:val="00F56F20"/>
    <w:rsid w:val="00FD0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CDF3"/>
  <w15:chartTrackingRefBased/>
  <w15:docId w15:val="{4226F546-A33F-43C6-BC96-6B502D6F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D9"/>
    <w:pPr>
      <w:spacing w:after="0" w:line="240" w:lineRule="auto"/>
    </w:pPr>
    <w:rPr>
      <w:rFonts w:ascii="Segoe UI" w:eastAsia="Times New Roman" w:hAnsi="Segoe UI" w:cs="Times New Roman"/>
      <w:sz w:val="21"/>
      <w:szCs w:val="20"/>
      <w:lang w:eastAsia="en-GB"/>
    </w:rPr>
  </w:style>
  <w:style w:type="paragraph" w:styleId="Heading1">
    <w:name w:val="heading 1"/>
    <w:basedOn w:val="Normal"/>
    <w:next w:val="Normal"/>
    <w:link w:val="Heading1Char"/>
    <w:uiPriority w:val="1"/>
    <w:qFormat/>
    <w:rsid w:val="00794CDD"/>
    <w:pPr>
      <w:keepNext/>
      <w:spacing w:after="360"/>
      <w:outlineLvl w:val="0"/>
    </w:pPr>
    <w:rPr>
      <w:b/>
      <w:color w:val="23305D"/>
      <w:spacing w:val="-10"/>
      <w:sz w:val="72"/>
    </w:rPr>
  </w:style>
  <w:style w:type="paragraph" w:styleId="Heading2">
    <w:name w:val="heading 2"/>
    <w:basedOn w:val="Normal"/>
    <w:next w:val="Normal"/>
    <w:link w:val="Heading2Char"/>
    <w:uiPriority w:val="1"/>
    <w:unhideWhenUsed/>
    <w:qFormat/>
    <w:rsid w:val="00D13519"/>
    <w:pPr>
      <w:keepNext/>
      <w:spacing w:before="480" w:after="180"/>
      <w:outlineLvl w:val="1"/>
    </w:pPr>
    <w:rPr>
      <w:b/>
      <w:color w:val="0A6AB4"/>
      <w:spacing w:val="-5"/>
      <w:sz w:val="48"/>
    </w:rPr>
  </w:style>
  <w:style w:type="paragraph" w:styleId="Heading3">
    <w:name w:val="heading 3"/>
    <w:basedOn w:val="Normal"/>
    <w:next w:val="Normal"/>
    <w:link w:val="Heading3Char"/>
    <w:uiPriority w:val="1"/>
    <w:unhideWhenUsed/>
    <w:qFormat/>
    <w:rsid w:val="00D13519"/>
    <w:pPr>
      <w:keepNext/>
      <w:spacing w:before="360" w:after="180"/>
      <w:outlineLvl w:val="2"/>
    </w:pPr>
    <w:rPr>
      <w:color w:val="0A6AB4"/>
      <w:spacing w:val="-5"/>
      <w:sz w:val="36"/>
    </w:rPr>
  </w:style>
  <w:style w:type="paragraph" w:styleId="Heading4">
    <w:name w:val="heading 4"/>
    <w:basedOn w:val="Normal"/>
    <w:next w:val="Normal"/>
    <w:link w:val="Heading4Char"/>
    <w:uiPriority w:val="1"/>
    <w:unhideWhenUsed/>
    <w:qFormat/>
    <w:rsid w:val="00D13519"/>
    <w:pPr>
      <w:keepNext/>
      <w:spacing w:before="240" w:after="120"/>
      <w:outlineLvl w:val="3"/>
    </w:pPr>
    <w:rPr>
      <w:color w:val="0A6AB4"/>
      <w:sz w:val="28"/>
    </w:rPr>
  </w:style>
  <w:style w:type="paragraph" w:styleId="Heading5">
    <w:name w:val="heading 5"/>
    <w:basedOn w:val="Normal"/>
    <w:next w:val="Normal"/>
    <w:link w:val="Heading5Char"/>
    <w:uiPriority w:val="1"/>
    <w:unhideWhenUsed/>
    <w:qFormat/>
    <w:rsid w:val="00D13519"/>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D13519"/>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D13519"/>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D13519"/>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D13519"/>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CDD"/>
    <w:rPr>
      <w:rFonts w:ascii="Segoe UI" w:eastAsia="Times New Roman" w:hAnsi="Segoe UI" w:cs="Times New Roman"/>
      <w:b/>
      <w:color w:val="23305D"/>
      <w:spacing w:val="-10"/>
      <w:sz w:val="72"/>
      <w:szCs w:val="20"/>
      <w:lang w:eastAsia="en-GB"/>
    </w:rPr>
  </w:style>
  <w:style w:type="character" w:customStyle="1" w:styleId="Heading2Char">
    <w:name w:val="Heading 2 Char"/>
    <w:basedOn w:val="DefaultParagraphFont"/>
    <w:link w:val="Heading2"/>
    <w:uiPriority w:val="1"/>
    <w:rsid w:val="00D13519"/>
    <w:rPr>
      <w:rFonts w:ascii="Segoe UI" w:eastAsia="Times New Roman" w:hAnsi="Segoe UI" w:cs="Times New Roman"/>
      <w:b/>
      <w:color w:val="0A6AB4"/>
      <w:spacing w:val="-5"/>
      <w:sz w:val="48"/>
      <w:szCs w:val="20"/>
      <w:lang w:eastAsia="en-GB"/>
    </w:rPr>
  </w:style>
  <w:style w:type="character" w:customStyle="1" w:styleId="Heading3Char">
    <w:name w:val="Heading 3 Char"/>
    <w:basedOn w:val="DefaultParagraphFont"/>
    <w:link w:val="Heading3"/>
    <w:uiPriority w:val="1"/>
    <w:rsid w:val="00D13519"/>
    <w:rPr>
      <w:rFonts w:ascii="Segoe UI" w:eastAsia="Times New Roman" w:hAnsi="Segoe UI" w:cs="Times New Roman"/>
      <w:color w:val="0A6AB4"/>
      <w:spacing w:val="-5"/>
      <w:sz w:val="36"/>
      <w:szCs w:val="20"/>
      <w:lang w:eastAsia="en-GB"/>
    </w:rPr>
  </w:style>
  <w:style w:type="character" w:customStyle="1" w:styleId="Heading4Char">
    <w:name w:val="Heading 4 Char"/>
    <w:basedOn w:val="DefaultParagraphFont"/>
    <w:link w:val="Heading4"/>
    <w:uiPriority w:val="1"/>
    <w:rsid w:val="00D13519"/>
    <w:rPr>
      <w:rFonts w:ascii="Segoe UI" w:eastAsia="Times New Roman" w:hAnsi="Segoe UI" w:cs="Times New Roman"/>
      <w:color w:val="0A6AB4"/>
      <w:sz w:val="28"/>
      <w:szCs w:val="20"/>
      <w:lang w:eastAsia="en-GB"/>
    </w:rPr>
  </w:style>
  <w:style w:type="character" w:customStyle="1" w:styleId="Heading5Char">
    <w:name w:val="Heading 5 Char"/>
    <w:basedOn w:val="DefaultParagraphFont"/>
    <w:link w:val="Heading5"/>
    <w:uiPriority w:val="1"/>
    <w:rsid w:val="00D13519"/>
    <w:rPr>
      <w:rFonts w:ascii="Segoe UI" w:eastAsia="Times New Roman" w:hAnsi="Segoe UI" w:cs="Times New Roman"/>
      <w:color w:val="0A6AB4"/>
      <w:sz w:val="24"/>
      <w:szCs w:val="20"/>
      <w:lang w:eastAsia="en-GB"/>
    </w:rPr>
  </w:style>
  <w:style w:type="character" w:customStyle="1" w:styleId="Heading6Char">
    <w:name w:val="Heading 6 Char"/>
    <w:basedOn w:val="DefaultParagraphFont"/>
    <w:link w:val="Heading6"/>
    <w:uiPriority w:val="9"/>
    <w:rsid w:val="00D13519"/>
    <w:rPr>
      <w:rFonts w:ascii="Calibri" w:eastAsia="MS Gothic" w:hAnsi="Calibri" w:cs="Times New Roman"/>
      <w:i/>
      <w:iCs/>
      <w:color w:val="243F60"/>
      <w:sz w:val="21"/>
      <w:szCs w:val="24"/>
      <w:lang w:val="en-GB"/>
    </w:rPr>
  </w:style>
  <w:style w:type="character" w:customStyle="1" w:styleId="Heading7Char">
    <w:name w:val="Heading 7 Char"/>
    <w:basedOn w:val="DefaultParagraphFont"/>
    <w:link w:val="Heading7"/>
    <w:uiPriority w:val="1"/>
    <w:rsid w:val="00D13519"/>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1"/>
    <w:rsid w:val="00D13519"/>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1"/>
    <w:rsid w:val="00D13519"/>
    <w:rPr>
      <w:rFonts w:ascii="Calibri" w:eastAsia="MS Gothic" w:hAnsi="Calibri" w:cs="Times New Roman"/>
      <w:i/>
      <w:iCs/>
      <w:color w:val="404040"/>
      <w:sz w:val="21"/>
      <w:szCs w:val="24"/>
      <w:lang w:val="en-GB"/>
    </w:rPr>
  </w:style>
  <w:style w:type="character" w:styleId="Hyperlink">
    <w:name w:val="Hyperlink"/>
    <w:uiPriority w:val="99"/>
    <w:unhideWhenUsed/>
    <w:rsid w:val="00D13519"/>
    <w:rPr>
      <w:b/>
      <w:bCs w:val="0"/>
      <w:strike w:val="0"/>
      <w:dstrike w:val="0"/>
      <w:color w:val="595959"/>
      <w:u w:val="none"/>
      <w:effect w:val="none"/>
    </w:rPr>
  </w:style>
  <w:style w:type="character" w:styleId="FollowedHyperlink">
    <w:name w:val="FollowedHyperlink"/>
    <w:uiPriority w:val="99"/>
    <w:semiHidden/>
    <w:unhideWhenUsed/>
    <w:rsid w:val="00D13519"/>
    <w:rPr>
      <w:color w:val="800080"/>
      <w:u w:val="single"/>
    </w:rPr>
  </w:style>
  <w:style w:type="paragraph" w:customStyle="1" w:styleId="msonormal0">
    <w:name w:val="msonormal"/>
    <w:basedOn w:val="Normal"/>
    <w:rsid w:val="00D13519"/>
    <w:pPr>
      <w:spacing w:before="100" w:beforeAutospacing="1" w:after="100" w:afterAutospacing="1"/>
    </w:pPr>
    <w:rPr>
      <w:rFonts w:ascii="Times New Roman" w:hAnsi="Times New Roman"/>
      <w:sz w:val="24"/>
      <w:szCs w:val="24"/>
      <w:lang w:eastAsia="en-NZ"/>
    </w:rPr>
  </w:style>
  <w:style w:type="paragraph" w:styleId="TOC1">
    <w:name w:val="toc 1"/>
    <w:basedOn w:val="Normal"/>
    <w:next w:val="Normal"/>
    <w:autoRedefine/>
    <w:uiPriority w:val="39"/>
    <w:unhideWhenUsed/>
    <w:qFormat/>
    <w:rsid w:val="00DB0C46"/>
    <w:pPr>
      <w:tabs>
        <w:tab w:val="right" w:pos="8080"/>
      </w:tabs>
      <w:spacing w:before="300" w:after="120"/>
      <w:ind w:right="567"/>
    </w:pPr>
    <w:rPr>
      <w:rFonts w:ascii="Segoe UI Semibold" w:hAnsi="Segoe UI Semibold"/>
      <w:sz w:val="24"/>
    </w:rPr>
  </w:style>
  <w:style w:type="paragraph" w:styleId="TOC2">
    <w:name w:val="toc 2"/>
    <w:basedOn w:val="Normal"/>
    <w:next w:val="Normal"/>
    <w:autoRedefine/>
    <w:uiPriority w:val="39"/>
    <w:unhideWhenUsed/>
    <w:qFormat/>
    <w:rsid w:val="00D13519"/>
    <w:pPr>
      <w:tabs>
        <w:tab w:val="right" w:pos="8080"/>
      </w:tabs>
      <w:spacing w:before="60"/>
      <w:ind w:left="284" w:right="567"/>
    </w:pPr>
    <w:rPr>
      <w:sz w:val="22"/>
    </w:rPr>
  </w:style>
  <w:style w:type="paragraph" w:styleId="TOC3">
    <w:name w:val="toc 3"/>
    <w:basedOn w:val="Normal"/>
    <w:next w:val="Normal"/>
    <w:autoRedefine/>
    <w:uiPriority w:val="39"/>
    <w:unhideWhenUsed/>
    <w:rsid w:val="00DB0C46"/>
    <w:pPr>
      <w:tabs>
        <w:tab w:val="right" w:pos="8080"/>
      </w:tabs>
      <w:spacing w:before="60"/>
      <w:ind w:left="1843" w:right="567" w:hanging="1276"/>
    </w:pPr>
  </w:style>
  <w:style w:type="paragraph" w:styleId="FootnoteText">
    <w:name w:val="footnote text"/>
    <w:aliases w:val="Footnote - MOH"/>
    <w:basedOn w:val="Normal"/>
    <w:link w:val="FootnoteTextChar"/>
    <w:unhideWhenUsed/>
    <w:qFormat/>
    <w:rsid w:val="00D13519"/>
    <w:pPr>
      <w:spacing w:before="60" w:line="228" w:lineRule="auto"/>
      <w:ind w:left="284" w:hanging="284"/>
    </w:pPr>
    <w:rPr>
      <w:sz w:val="17"/>
    </w:rPr>
  </w:style>
  <w:style w:type="character" w:customStyle="1" w:styleId="FootnoteTextChar">
    <w:name w:val="Footnote Text Char"/>
    <w:aliases w:val="Footnote - MOH Char"/>
    <w:basedOn w:val="DefaultParagraphFont"/>
    <w:link w:val="FootnoteText"/>
    <w:rsid w:val="00D13519"/>
    <w:rPr>
      <w:rFonts w:ascii="Segoe UI" w:eastAsia="Times New Roman" w:hAnsi="Segoe UI" w:cs="Times New Roman"/>
      <w:sz w:val="17"/>
      <w:szCs w:val="20"/>
      <w:lang w:eastAsia="en-GB"/>
    </w:rPr>
  </w:style>
  <w:style w:type="paragraph" w:styleId="CommentText">
    <w:name w:val="annotation text"/>
    <w:basedOn w:val="Normal"/>
    <w:link w:val="CommentTextChar"/>
    <w:uiPriority w:val="99"/>
    <w:semiHidden/>
    <w:unhideWhenUsed/>
    <w:rsid w:val="00D13519"/>
    <w:rPr>
      <w:sz w:val="20"/>
    </w:rPr>
  </w:style>
  <w:style w:type="character" w:customStyle="1" w:styleId="CommentTextChar">
    <w:name w:val="Comment Text Char"/>
    <w:basedOn w:val="DefaultParagraphFont"/>
    <w:link w:val="CommentText"/>
    <w:uiPriority w:val="99"/>
    <w:semiHidden/>
    <w:rsid w:val="00D13519"/>
    <w:rPr>
      <w:rFonts w:ascii="Segoe UI" w:eastAsia="Times New Roman" w:hAnsi="Segoe UI" w:cs="Times New Roman"/>
      <w:sz w:val="20"/>
      <w:szCs w:val="20"/>
      <w:lang w:eastAsia="en-GB"/>
    </w:rPr>
  </w:style>
  <w:style w:type="paragraph" w:styleId="Header">
    <w:name w:val="header"/>
    <w:basedOn w:val="Normal"/>
    <w:link w:val="HeaderChar"/>
    <w:unhideWhenUsed/>
    <w:qFormat/>
    <w:rsid w:val="00D13519"/>
  </w:style>
  <w:style w:type="character" w:customStyle="1" w:styleId="HeaderChar">
    <w:name w:val="Header Char"/>
    <w:basedOn w:val="DefaultParagraphFont"/>
    <w:link w:val="Header"/>
    <w:rsid w:val="00D13519"/>
    <w:rPr>
      <w:rFonts w:ascii="Segoe UI" w:eastAsia="Times New Roman" w:hAnsi="Segoe UI" w:cs="Times New Roman"/>
      <w:sz w:val="21"/>
      <w:szCs w:val="20"/>
      <w:lang w:eastAsia="en-GB"/>
    </w:rPr>
  </w:style>
  <w:style w:type="paragraph" w:styleId="Footer">
    <w:name w:val="footer"/>
    <w:basedOn w:val="Normal"/>
    <w:link w:val="FooterChar"/>
    <w:uiPriority w:val="99"/>
    <w:unhideWhenUsed/>
    <w:qFormat/>
    <w:rsid w:val="00D13519"/>
  </w:style>
  <w:style w:type="character" w:customStyle="1" w:styleId="FooterChar">
    <w:name w:val="Footer Char"/>
    <w:basedOn w:val="DefaultParagraphFont"/>
    <w:link w:val="Footer"/>
    <w:uiPriority w:val="99"/>
    <w:rsid w:val="00D13519"/>
    <w:rPr>
      <w:rFonts w:ascii="Segoe UI" w:eastAsia="Times New Roman" w:hAnsi="Segoe UI" w:cs="Times New Roman"/>
      <w:sz w:val="21"/>
      <w:szCs w:val="20"/>
      <w:lang w:eastAsia="en-GB"/>
    </w:rPr>
  </w:style>
  <w:style w:type="paragraph" w:styleId="Caption">
    <w:name w:val="caption"/>
    <w:basedOn w:val="Normal"/>
    <w:next w:val="Normal"/>
    <w:unhideWhenUsed/>
    <w:qFormat/>
    <w:rsid w:val="00D13519"/>
    <w:pPr>
      <w:spacing w:after="200"/>
    </w:pPr>
    <w:rPr>
      <w:i/>
      <w:iCs/>
      <w:color w:val="44546A"/>
      <w:sz w:val="18"/>
      <w:szCs w:val="18"/>
    </w:rPr>
  </w:style>
  <w:style w:type="paragraph" w:styleId="TableofFigures">
    <w:name w:val="table of figures"/>
    <w:basedOn w:val="Normal"/>
    <w:next w:val="Normal"/>
    <w:uiPriority w:val="99"/>
    <w:unhideWhenUsed/>
    <w:rsid w:val="00D13519"/>
  </w:style>
  <w:style w:type="paragraph" w:styleId="Title">
    <w:name w:val="Title"/>
    <w:basedOn w:val="Normal"/>
    <w:next w:val="Normal"/>
    <w:link w:val="TitleChar"/>
    <w:uiPriority w:val="99"/>
    <w:qFormat/>
    <w:rsid w:val="00D13519"/>
    <w:pPr>
      <w:spacing w:line="216" w:lineRule="auto"/>
      <w:ind w:right="3402"/>
    </w:pPr>
    <w:rPr>
      <w:rFonts w:ascii="Segoe UI Black" w:hAnsi="Segoe UI Black" w:cs="Lucida Sans Unicode"/>
      <w:b/>
      <w:sz w:val="72"/>
      <w:szCs w:val="72"/>
    </w:rPr>
  </w:style>
  <w:style w:type="character" w:customStyle="1" w:styleId="TitleChar">
    <w:name w:val="Title Char"/>
    <w:basedOn w:val="DefaultParagraphFont"/>
    <w:link w:val="Title"/>
    <w:uiPriority w:val="99"/>
    <w:rsid w:val="00D13519"/>
    <w:rPr>
      <w:rFonts w:ascii="Segoe UI Black" w:eastAsia="Times New Roman" w:hAnsi="Segoe UI Black" w:cs="Lucida Sans Unicode"/>
      <w:b/>
      <w:sz w:val="72"/>
      <w:szCs w:val="72"/>
      <w:lang w:eastAsia="en-GB"/>
    </w:rPr>
  </w:style>
  <w:style w:type="paragraph" w:styleId="CommentSubject">
    <w:name w:val="annotation subject"/>
    <w:basedOn w:val="CommentText"/>
    <w:next w:val="CommentText"/>
    <w:link w:val="CommentSubjectChar"/>
    <w:uiPriority w:val="99"/>
    <w:semiHidden/>
    <w:unhideWhenUsed/>
    <w:rsid w:val="00D13519"/>
    <w:rPr>
      <w:b/>
      <w:bCs/>
    </w:rPr>
  </w:style>
  <w:style w:type="character" w:customStyle="1" w:styleId="CommentSubjectChar">
    <w:name w:val="Comment Subject Char"/>
    <w:basedOn w:val="CommentTextChar"/>
    <w:link w:val="CommentSubject"/>
    <w:uiPriority w:val="99"/>
    <w:semiHidden/>
    <w:rsid w:val="00D13519"/>
    <w:rPr>
      <w:rFonts w:ascii="Segoe UI" w:eastAsia="Times New Roman" w:hAnsi="Segoe UI" w:cs="Times New Roman"/>
      <w:b/>
      <w:bCs/>
      <w:sz w:val="20"/>
      <w:szCs w:val="20"/>
      <w:lang w:eastAsia="en-GB"/>
    </w:rPr>
  </w:style>
  <w:style w:type="paragraph" w:styleId="BalloonText">
    <w:name w:val="Balloon Text"/>
    <w:basedOn w:val="Normal"/>
    <w:link w:val="BalloonTextChar"/>
    <w:uiPriority w:val="99"/>
    <w:semiHidden/>
    <w:unhideWhenUsed/>
    <w:rsid w:val="00D13519"/>
    <w:rPr>
      <w:rFonts w:cs="Segoe UI"/>
      <w:sz w:val="18"/>
      <w:szCs w:val="18"/>
    </w:rPr>
  </w:style>
  <w:style w:type="character" w:customStyle="1" w:styleId="BalloonTextChar">
    <w:name w:val="Balloon Text Char"/>
    <w:basedOn w:val="DefaultParagraphFont"/>
    <w:link w:val="BalloonText"/>
    <w:uiPriority w:val="99"/>
    <w:semiHidden/>
    <w:rsid w:val="00D13519"/>
    <w:rPr>
      <w:rFonts w:ascii="Segoe UI" w:eastAsia="Times New Roman" w:hAnsi="Segoe UI" w:cs="Segoe UI"/>
      <w:sz w:val="18"/>
      <w:szCs w:val="18"/>
      <w:lang w:eastAsia="en-GB"/>
    </w:rPr>
  </w:style>
  <w:style w:type="paragraph" w:styleId="Revision">
    <w:name w:val="Revision"/>
    <w:uiPriority w:val="99"/>
    <w:rsid w:val="00D13519"/>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D13519"/>
    <w:pPr>
      <w:ind w:left="720"/>
      <w:contextualSpacing/>
    </w:pPr>
  </w:style>
  <w:style w:type="paragraph" w:styleId="Quote">
    <w:name w:val="Quote"/>
    <w:basedOn w:val="Normal"/>
    <w:next w:val="Normal"/>
    <w:link w:val="QuoteChar"/>
    <w:qFormat/>
    <w:rsid w:val="00D13519"/>
    <w:pPr>
      <w:spacing w:before="120"/>
      <w:ind w:left="284" w:right="284"/>
    </w:pPr>
  </w:style>
  <w:style w:type="character" w:customStyle="1" w:styleId="QuoteChar">
    <w:name w:val="Quote Char"/>
    <w:basedOn w:val="DefaultParagraphFont"/>
    <w:link w:val="Quote"/>
    <w:rsid w:val="00D13519"/>
    <w:rPr>
      <w:rFonts w:ascii="Segoe UI" w:eastAsia="Times New Roman" w:hAnsi="Segoe UI" w:cs="Times New Roman"/>
      <w:sz w:val="21"/>
      <w:szCs w:val="20"/>
      <w:lang w:eastAsia="en-GB"/>
    </w:rPr>
  </w:style>
  <w:style w:type="paragraph" w:customStyle="1" w:styleId="Bullet">
    <w:name w:val="Bullet"/>
    <w:basedOn w:val="Normal"/>
    <w:qFormat/>
    <w:rsid w:val="00D13519"/>
    <w:pPr>
      <w:numPr>
        <w:numId w:val="1"/>
      </w:numPr>
      <w:spacing w:before="90"/>
    </w:pPr>
  </w:style>
  <w:style w:type="paragraph" w:customStyle="1" w:styleId="Imprint">
    <w:name w:val="Imprint"/>
    <w:basedOn w:val="Normal"/>
    <w:next w:val="Normal"/>
    <w:qFormat/>
    <w:rsid w:val="00D13519"/>
    <w:pPr>
      <w:spacing w:after="240"/>
    </w:pPr>
    <w:rPr>
      <w:sz w:val="20"/>
    </w:rPr>
  </w:style>
  <w:style w:type="paragraph" w:customStyle="1" w:styleId="VersoFooter">
    <w:name w:val="Verso Footer"/>
    <w:basedOn w:val="Footer"/>
    <w:rsid w:val="00D13519"/>
    <w:rPr>
      <w:sz w:val="15"/>
    </w:rPr>
  </w:style>
  <w:style w:type="paragraph" w:customStyle="1" w:styleId="RectoFooter">
    <w:name w:val="Recto Footer"/>
    <w:basedOn w:val="Footer"/>
    <w:rsid w:val="00D13519"/>
    <w:pPr>
      <w:jc w:val="right"/>
    </w:pPr>
    <w:rPr>
      <w:caps/>
      <w:sz w:val="15"/>
    </w:rPr>
  </w:style>
  <w:style w:type="paragraph" w:customStyle="1" w:styleId="Figure">
    <w:name w:val="Figure"/>
    <w:basedOn w:val="Normal"/>
    <w:next w:val="Normal"/>
    <w:qFormat/>
    <w:rsid w:val="00D13519"/>
    <w:pPr>
      <w:keepNext/>
      <w:spacing w:before="120" w:after="120"/>
    </w:pPr>
    <w:rPr>
      <w:b/>
      <w:sz w:val="20"/>
    </w:rPr>
  </w:style>
  <w:style w:type="paragraph" w:customStyle="1" w:styleId="Table">
    <w:name w:val="Table"/>
    <w:basedOn w:val="Figure"/>
    <w:qFormat/>
    <w:rsid w:val="00D13519"/>
  </w:style>
  <w:style w:type="paragraph" w:customStyle="1" w:styleId="Dash">
    <w:name w:val="Dash"/>
    <w:basedOn w:val="Bullet"/>
    <w:qFormat/>
    <w:rsid w:val="00D13519"/>
    <w:pPr>
      <w:numPr>
        <w:numId w:val="2"/>
      </w:numPr>
      <w:spacing w:before="60"/>
    </w:pPr>
  </w:style>
  <w:style w:type="paragraph" w:customStyle="1" w:styleId="TableText">
    <w:name w:val="TableText"/>
    <w:basedOn w:val="Normal"/>
    <w:uiPriority w:val="99"/>
    <w:qFormat/>
    <w:rsid w:val="00D13519"/>
    <w:pPr>
      <w:spacing w:before="60" w:after="60"/>
    </w:pPr>
    <w:rPr>
      <w:sz w:val="18"/>
    </w:rPr>
  </w:style>
  <w:style w:type="paragraph" w:customStyle="1" w:styleId="TableBullet">
    <w:name w:val="TableBullet"/>
    <w:basedOn w:val="TableText"/>
    <w:qFormat/>
    <w:rsid w:val="00D13519"/>
    <w:pPr>
      <w:numPr>
        <w:numId w:val="3"/>
      </w:numPr>
      <w:spacing w:before="0"/>
    </w:pPr>
  </w:style>
  <w:style w:type="paragraph" w:customStyle="1" w:styleId="Box">
    <w:name w:val="Box"/>
    <w:basedOn w:val="Normal"/>
    <w:qFormat/>
    <w:rsid w:val="00D13519"/>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13519"/>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D13519"/>
    <w:pPr>
      <w:spacing w:line="264" w:lineRule="auto"/>
    </w:pPr>
    <w:rPr>
      <w:color w:val="FFFFFF"/>
    </w:rPr>
  </w:style>
  <w:style w:type="paragraph" w:customStyle="1" w:styleId="IntroHead">
    <w:name w:val="IntroHead"/>
    <w:basedOn w:val="Heading1"/>
    <w:next w:val="Normal"/>
    <w:qFormat/>
    <w:rsid w:val="00D13519"/>
    <w:pPr>
      <w:outlineLvl w:val="9"/>
    </w:pPr>
  </w:style>
  <w:style w:type="character" w:customStyle="1" w:styleId="NoteChar">
    <w:name w:val="Note Char"/>
    <w:link w:val="Note"/>
    <w:locked/>
    <w:rsid w:val="00D13519"/>
    <w:rPr>
      <w:rFonts w:ascii="Segoe UI" w:eastAsia="Times New Roman" w:hAnsi="Segoe UI" w:cs="Segoe UI"/>
      <w:sz w:val="17"/>
      <w:lang w:eastAsia="en-GB"/>
    </w:rPr>
  </w:style>
  <w:style w:type="paragraph" w:customStyle="1" w:styleId="Note">
    <w:name w:val="Note"/>
    <w:basedOn w:val="Normal"/>
    <w:next w:val="Normal"/>
    <w:link w:val="NoteChar"/>
    <w:qFormat/>
    <w:rsid w:val="00D13519"/>
    <w:pPr>
      <w:spacing w:before="80"/>
    </w:pPr>
    <w:rPr>
      <w:rFonts w:cs="Segoe UI"/>
      <w:sz w:val="17"/>
      <w:szCs w:val="22"/>
    </w:rPr>
  </w:style>
  <w:style w:type="paragraph" w:customStyle="1" w:styleId="Year">
    <w:name w:val="Year"/>
    <w:basedOn w:val="Subhead"/>
    <w:next w:val="Subhead"/>
    <w:qFormat/>
    <w:rsid w:val="00D13519"/>
    <w:rPr>
      <w:sz w:val="28"/>
    </w:rPr>
  </w:style>
  <w:style w:type="paragraph" w:customStyle="1" w:styleId="Subhead">
    <w:name w:val="Subhead"/>
    <w:basedOn w:val="Normal"/>
    <w:next w:val="Year"/>
    <w:qFormat/>
    <w:rsid w:val="00D13519"/>
    <w:pPr>
      <w:spacing w:before="840"/>
      <w:ind w:right="3402"/>
    </w:pPr>
    <w:rPr>
      <w:rFonts w:ascii="Segoe UI Semibold" w:hAnsi="Segoe UI Semibold" w:cs="Segoe UI Semibold"/>
      <w:sz w:val="36"/>
      <w:szCs w:val="26"/>
    </w:rPr>
  </w:style>
  <w:style w:type="paragraph" w:customStyle="1" w:styleId="References">
    <w:name w:val="References"/>
    <w:basedOn w:val="Normal"/>
    <w:qFormat/>
    <w:rsid w:val="00D13519"/>
    <w:pPr>
      <w:spacing w:after="180"/>
    </w:pPr>
  </w:style>
  <w:style w:type="paragraph" w:customStyle="1" w:styleId="TableDash">
    <w:name w:val="TableDash"/>
    <w:basedOn w:val="TableText"/>
    <w:qFormat/>
    <w:rsid w:val="00D13519"/>
    <w:pPr>
      <w:tabs>
        <w:tab w:val="num" w:pos="567"/>
      </w:tabs>
      <w:spacing w:before="40" w:after="0"/>
      <w:ind w:left="567" w:hanging="283"/>
    </w:pPr>
    <w:rPr>
      <w:szCs w:val="22"/>
    </w:rPr>
  </w:style>
  <w:style w:type="paragraph" w:customStyle="1" w:styleId="Number">
    <w:name w:val="Number"/>
    <w:basedOn w:val="Normal"/>
    <w:rsid w:val="00D13519"/>
    <w:pPr>
      <w:numPr>
        <w:numId w:val="5"/>
      </w:numPr>
      <w:spacing w:before="180"/>
    </w:pPr>
    <w:rPr>
      <w:szCs w:val="24"/>
    </w:rPr>
  </w:style>
  <w:style w:type="paragraph" w:customStyle="1" w:styleId="Letter">
    <w:name w:val="Letter"/>
    <w:basedOn w:val="Normal"/>
    <w:qFormat/>
    <w:rsid w:val="00D13519"/>
    <w:pPr>
      <w:numPr>
        <w:ilvl w:val="1"/>
        <w:numId w:val="5"/>
      </w:numPr>
      <w:spacing w:before="120"/>
    </w:pPr>
  </w:style>
  <w:style w:type="paragraph" w:customStyle="1" w:styleId="Introductoryparagraph">
    <w:name w:val="Introductory paragraph"/>
    <w:basedOn w:val="Normal"/>
    <w:next w:val="Normal"/>
    <w:qFormat/>
    <w:rsid w:val="00D13519"/>
    <w:pPr>
      <w:spacing w:after="240" w:line="216" w:lineRule="auto"/>
      <w:ind w:right="1134"/>
    </w:pPr>
    <w:rPr>
      <w:rFonts w:ascii="Segoe UI Light" w:hAnsi="Segoe UI Light"/>
      <w:color w:val="404040"/>
      <w:sz w:val="44"/>
    </w:rPr>
  </w:style>
  <w:style w:type="paragraph" w:customStyle="1" w:styleId="Shadedboxtext">
    <w:name w:val="Shaded box text"/>
    <w:basedOn w:val="Normal"/>
    <w:qFormat/>
    <w:rsid w:val="00D13519"/>
    <w:pPr>
      <w:pBdr>
        <w:top w:val="single" w:sz="4" w:space="12" w:color="FFFFFF"/>
        <w:left w:val="single" w:sz="4" w:space="12" w:color="FFFFFF"/>
        <w:bottom w:val="single" w:sz="4" w:space="12" w:color="FFFFFF"/>
        <w:right w:val="single" w:sz="4" w:space="12" w:color="FFFFFF"/>
      </w:pBdr>
      <w:shd w:val="clear" w:color="auto" w:fill="D9D9D9"/>
      <w:spacing w:line="264" w:lineRule="auto"/>
      <w:ind w:left="284" w:right="284"/>
    </w:pPr>
    <w:rPr>
      <w:rFonts w:eastAsia="Arial Unicode MS"/>
    </w:rPr>
  </w:style>
  <w:style w:type="paragraph" w:customStyle="1" w:styleId="Shadedboxheading">
    <w:name w:val="Shaded box heading"/>
    <w:basedOn w:val="BoxHeading"/>
    <w:next w:val="Shadedboxtext"/>
    <w:qFormat/>
    <w:rsid w:val="00D13519"/>
    <w:pPr>
      <w:pBdr>
        <w:top w:val="single" w:sz="4" w:space="12" w:color="FFFFFF"/>
        <w:left w:val="single" w:sz="4" w:space="12" w:color="FFFFFF"/>
        <w:bottom w:val="single" w:sz="4" w:space="12" w:color="FFFFFF"/>
        <w:right w:val="single" w:sz="4" w:space="12" w:color="FFFFFF"/>
      </w:pBdr>
      <w:shd w:val="clear" w:color="auto" w:fill="D9D9D9"/>
      <w:spacing w:after="120"/>
    </w:pPr>
    <w:rPr>
      <w:rFonts w:eastAsia="Arial Unicode MS"/>
    </w:rPr>
  </w:style>
  <w:style w:type="paragraph" w:customStyle="1" w:styleId="Roman">
    <w:name w:val="Roman"/>
    <w:basedOn w:val="Normal"/>
    <w:qFormat/>
    <w:rsid w:val="00D13519"/>
    <w:pPr>
      <w:numPr>
        <w:ilvl w:val="2"/>
        <w:numId w:val="5"/>
      </w:numPr>
      <w:spacing w:before="90"/>
    </w:pPr>
    <w:rPr>
      <w:rFonts w:eastAsia="Arial Unicode MS"/>
    </w:rPr>
  </w:style>
  <w:style w:type="paragraph" w:customStyle="1" w:styleId="xl69">
    <w:name w:val="xl69"/>
    <w:basedOn w:val="Normal"/>
    <w:rsid w:val="00D13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äori" w:hAnsi="Arial Mäori"/>
      <w:sz w:val="16"/>
      <w:szCs w:val="16"/>
      <w:lang w:eastAsia="en-NZ"/>
    </w:rPr>
  </w:style>
  <w:style w:type="paragraph" w:customStyle="1" w:styleId="xl71">
    <w:name w:val="xl71"/>
    <w:basedOn w:val="Normal"/>
    <w:rsid w:val="00D13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NZ"/>
    </w:rPr>
  </w:style>
  <w:style w:type="paragraph" w:customStyle="1" w:styleId="xl72">
    <w:name w:val="xl72"/>
    <w:basedOn w:val="Normal"/>
    <w:rsid w:val="00D13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äori" w:hAnsi="Arial Mäori"/>
      <w:sz w:val="16"/>
      <w:szCs w:val="16"/>
      <w:lang w:eastAsia="en-NZ"/>
    </w:rPr>
  </w:style>
  <w:style w:type="paragraph" w:customStyle="1" w:styleId="xl73">
    <w:name w:val="xl73"/>
    <w:basedOn w:val="Normal"/>
    <w:rsid w:val="00D13519"/>
    <w:pPr>
      <w:spacing w:before="100" w:beforeAutospacing="1" w:after="100" w:afterAutospacing="1"/>
    </w:pPr>
    <w:rPr>
      <w:rFonts w:ascii="Times New Roman" w:hAnsi="Times New Roman"/>
      <w:sz w:val="16"/>
      <w:szCs w:val="16"/>
      <w:lang w:eastAsia="en-NZ"/>
    </w:rPr>
  </w:style>
  <w:style w:type="paragraph" w:customStyle="1" w:styleId="xl74">
    <w:name w:val="xl74"/>
    <w:basedOn w:val="Normal"/>
    <w:rsid w:val="00D13519"/>
    <w:pPr>
      <w:spacing w:before="100" w:beforeAutospacing="1" w:after="100" w:afterAutospacing="1"/>
    </w:pPr>
    <w:rPr>
      <w:rFonts w:ascii="Times New Roman" w:hAnsi="Times New Roman"/>
      <w:b/>
      <w:bCs/>
      <w:sz w:val="16"/>
      <w:szCs w:val="16"/>
      <w:lang w:eastAsia="en-NZ"/>
    </w:rPr>
  </w:style>
  <w:style w:type="paragraph" w:customStyle="1" w:styleId="xl75">
    <w:name w:val="xl75"/>
    <w:basedOn w:val="Normal"/>
    <w:rsid w:val="00D13519"/>
    <w:pPr>
      <w:pBdr>
        <w:bottom w:val="single" w:sz="4" w:space="0" w:color="auto"/>
      </w:pBdr>
      <w:spacing w:before="100" w:beforeAutospacing="1" w:after="100" w:afterAutospacing="1"/>
    </w:pPr>
    <w:rPr>
      <w:rFonts w:ascii="Times New Roman" w:hAnsi="Times New Roman"/>
      <w:b/>
      <w:bCs/>
      <w:sz w:val="16"/>
      <w:szCs w:val="16"/>
      <w:lang w:eastAsia="en-NZ"/>
    </w:rPr>
  </w:style>
  <w:style w:type="paragraph" w:customStyle="1" w:styleId="xl76">
    <w:name w:val="xl76"/>
    <w:basedOn w:val="Normal"/>
    <w:rsid w:val="00D13519"/>
    <w:pPr>
      <w:spacing w:before="100" w:beforeAutospacing="1" w:after="100" w:afterAutospacing="1"/>
    </w:pPr>
    <w:rPr>
      <w:rFonts w:ascii="Times New Roman" w:hAnsi="Times New Roman"/>
      <w:sz w:val="16"/>
      <w:szCs w:val="16"/>
      <w:lang w:eastAsia="en-NZ"/>
    </w:rPr>
  </w:style>
  <w:style w:type="paragraph" w:customStyle="1" w:styleId="xl77">
    <w:name w:val="xl77"/>
    <w:basedOn w:val="Normal"/>
    <w:rsid w:val="00D13519"/>
    <w:pPr>
      <w:spacing w:before="100" w:beforeAutospacing="1" w:after="100" w:afterAutospacing="1"/>
      <w:ind w:firstLineChars="100" w:firstLine="100"/>
      <w:jc w:val="right"/>
    </w:pPr>
    <w:rPr>
      <w:rFonts w:ascii="Times New Roman" w:hAnsi="Times New Roman"/>
      <w:sz w:val="16"/>
      <w:szCs w:val="16"/>
      <w:lang w:eastAsia="en-NZ"/>
    </w:rPr>
  </w:style>
  <w:style w:type="paragraph" w:customStyle="1" w:styleId="xl78">
    <w:name w:val="xl78"/>
    <w:basedOn w:val="Normal"/>
    <w:rsid w:val="00D13519"/>
    <w:pPr>
      <w:spacing w:before="100" w:beforeAutospacing="1" w:after="100" w:afterAutospacing="1"/>
      <w:ind w:firstLineChars="100" w:firstLine="100"/>
      <w:jc w:val="right"/>
    </w:pPr>
    <w:rPr>
      <w:rFonts w:ascii="Times New Roman" w:hAnsi="Times New Roman"/>
      <w:sz w:val="16"/>
      <w:szCs w:val="16"/>
      <w:lang w:eastAsia="en-NZ"/>
    </w:rPr>
  </w:style>
  <w:style w:type="paragraph" w:customStyle="1" w:styleId="xl79">
    <w:name w:val="xl79"/>
    <w:basedOn w:val="Normal"/>
    <w:rsid w:val="00D13519"/>
    <w:pPr>
      <w:spacing w:before="100" w:beforeAutospacing="1" w:after="100" w:afterAutospacing="1"/>
      <w:ind w:firstLineChars="100" w:firstLine="100"/>
      <w:jc w:val="right"/>
    </w:pPr>
    <w:rPr>
      <w:rFonts w:ascii="Times New Roman" w:hAnsi="Times New Roman"/>
      <w:b/>
      <w:bCs/>
      <w:sz w:val="16"/>
      <w:szCs w:val="16"/>
      <w:lang w:eastAsia="en-NZ"/>
    </w:rPr>
  </w:style>
  <w:style w:type="paragraph" w:customStyle="1" w:styleId="xl80">
    <w:name w:val="xl80"/>
    <w:basedOn w:val="Normal"/>
    <w:rsid w:val="00D13519"/>
    <w:pPr>
      <w:pBdr>
        <w:bottom w:val="single" w:sz="4" w:space="0" w:color="auto"/>
      </w:pBdr>
      <w:spacing w:before="100" w:beforeAutospacing="1" w:after="100" w:afterAutospacing="1"/>
      <w:ind w:firstLineChars="100" w:firstLine="100"/>
      <w:jc w:val="right"/>
    </w:pPr>
    <w:rPr>
      <w:rFonts w:ascii="Times New Roman" w:hAnsi="Times New Roman"/>
      <w:b/>
      <w:bCs/>
      <w:sz w:val="16"/>
      <w:szCs w:val="16"/>
      <w:lang w:eastAsia="en-NZ"/>
    </w:rPr>
  </w:style>
  <w:style w:type="character" w:styleId="FootnoteReference">
    <w:name w:val="footnote reference"/>
    <w:unhideWhenUsed/>
    <w:rsid w:val="00D13519"/>
    <w:rPr>
      <w:vertAlign w:val="superscript"/>
    </w:rPr>
  </w:style>
  <w:style w:type="character" w:styleId="CommentReference">
    <w:name w:val="annotation reference"/>
    <w:uiPriority w:val="99"/>
    <w:semiHidden/>
    <w:unhideWhenUsed/>
    <w:rsid w:val="00D13519"/>
    <w:rPr>
      <w:sz w:val="16"/>
      <w:szCs w:val="16"/>
    </w:rPr>
  </w:style>
  <w:style w:type="character" w:styleId="PageNumber">
    <w:name w:val="page number"/>
    <w:unhideWhenUsed/>
    <w:rsid w:val="00D13519"/>
    <w:rPr>
      <w:rFonts w:ascii="Segoe UI" w:hAnsi="Segoe UI" w:cs="Segoe UI" w:hint="default"/>
      <w:b/>
      <w:bCs w:val="0"/>
      <w:sz w:val="22"/>
    </w:rPr>
  </w:style>
  <w:style w:type="table" w:styleId="TableGrid">
    <w:name w:val="Table Grid"/>
    <w:basedOn w:val="TableNormal"/>
    <w:rsid w:val="00D13519"/>
    <w:pPr>
      <w:spacing w:after="0" w:line="264"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13519"/>
    <w:pPr>
      <w:spacing w:after="0" w:line="240" w:lineRule="auto"/>
    </w:pPr>
    <w:rPr>
      <w:rFonts w:ascii="Times New Roman" w:eastAsia="Times New Roman" w:hAnsi="Times New Roman" w:cs="Times New Roman"/>
      <w:sz w:val="20"/>
      <w:szCs w:val="20"/>
      <w:lang w:eastAsia="en-NZ"/>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ource">
    <w:name w:val="Source"/>
    <w:basedOn w:val="Note"/>
    <w:next w:val="Normal"/>
    <w:qFormat/>
    <w:rsid w:val="00D13519"/>
  </w:style>
  <w:style w:type="character" w:styleId="UnresolvedMention">
    <w:name w:val="Unresolved Mention"/>
    <w:uiPriority w:val="99"/>
    <w:semiHidden/>
    <w:unhideWhenUsed/>
    <w:rsid w:val="00896135"/>
    <w:rPr>
      <w:color w:val="605E5C"/>
      <w:shd w:val="clear" w:color="auto" w:fill="E1DFDD"/>
    </w:rPr>
  </w:style>
  <w:style w:type="paragraph" w:styleId="Bibliography">
    <w:name w:val="Bibliography"/>
    <w:basedOn w:val="Normal"/>
    <w:next w:val="Normal"/>
    <w:uiPriority w:val="37"/>
    <w:unhideWhenUsed/>
    <w:rsid w:val="00F56F20"/>
    <w:pPr>
      <w:spacing w:after="160" w:line="259" w:lineRule="auto"/>
    </w:pPr>
    <w:rPr>
      <w:rFonts w:asciiTheme="minorHAnsi" w:eastAsiaTheme="minorHAnsi" w:hAnsiTheme="minorHAnsi" w:cstheme="minorBidi"/>
      <w:sz w:val="22"/>
      <w:szCs w:val="22"/>
      <w:lang w:eastAsia="en-US"/>
    </w:rPr>
  </w:style>
  <w:style w:type="paragraph" w:styleId="ListContinue">
    <w:name w:val="List Continue"/>
    <w:basedOn w:val="Normal"/>
    <w:uiPriority w:val="99"/>
    <w:unhideWhenUsed/>
    <w:rsid w:val="009668DA"/>
    <w:pPr>
      <w:spacing w:after="120" w:line="259" w:lineRule="auto"/>
      <w:ind w:left="357"/>
      <w:contextualSpacing/>
    </w:pPr>
    <w:rPr>
      <w:rFonts w:eastAsia="Calibri"/>
      <w:sz w:val="22"/>
      <w:szCs w:val="22"/>
      <w:lang w:eastAsia="en-US"/>
    </w:rPr>
  </w:style>
  <w:style w:type="paragraph" w:styleId="ListNumber">
    <w:name w:val="List Number"/>
    <w:basedOn w:val="Normal"/>
    <w:uiPriority w:val="99"/>
    <w:unhideWhenUsed/>
    <w:rsid w:val="009668DA"/>
    <w:pPr>
      <w:numPr>
        <w:numId w:val="6"/>
      </w:numPr>
      <w:spacing w:after="160" w:line="259" w:lineRule="auto"/>
      <w:contextualSpacing/>
    </w:pPr>
    <w:rPr>
      <w:rFonts w:eastAsia="Calibri"/>
      <w:sz w:val="22"/>
      <w:szCs w:val="22"/>
      <w:lang w:eastAsia="en-US"/>
    </w:rPr>
  </w:style>
  <w:style w:type="paragraph" w:styleId="ListNumber3">
    <w:name w:val="List Number 3"/>
    <w:basedOn w:val="Normal"/>
    <w:uiPriority w:val="99"/>
    <w:unhideWhenUsed/>
    <w:rsid w:val="009668DA"/>
    <w:pPr>
      <w:numPr>
        <w:numId w:val="10"/>
      </w:numPr>
      <w:contextualSpacing/>
    </w:pPr>
  </w:style>
  <w:style w:type="paragraph" w:styleId="ListBullet">
    <w:name w:val="List Bullet"/>
    <w:basedOn w:val="Normal"/>
    <w:uiPriority w:val="99"/>
    <w:unhideWhenUsed/>
    <w:rsid w:val="009668DA"/>
    <w:pPr>
      <w:numPr>
        <w:numId w:val="12"/>
      </w:numPr>
      <w:spacing w:after="160" w:line="259" w:lineRule="auto"/>
      <w:ind w:left="357" w:hanging="357"/>
      <w:contextualSpacing/>
    </w:pPr>
    <w:rPr>
      <w:rFonts w:eastAsia="Calibri"/>
      <w:sz w:val="22"/>
      <w:szCs w:val="22"/>
      <w:lang w:eastAsia="en-US"/>
    </w:rPr>
  </w:style>
  <w:style w:type="paragraph" w:customStyle="1" w:styleId="consultationnumber">
    <w:name w:val="consultation number"/>
    <w:basedOn w:val="ListBullet"/>
    <w:qFormat/>
    <w:rsid w:val="009668DA"/>
    <w:pPr>
      <w:numPr>
        <w:numId w:val="4"/>
      </w:numPr>
    </w:pPr>
  </w:style>
  <w:style w:type="paragraph" w:styleId="NormalIndent">
    <w:name w:val="Normal Indent"/>
    <w:basedOn w:val="Normal"/>
    <w:uiPriority w:val="99"/>
    <w:unhideWhenUsed/>
    <w:rsid w:val="00CF79C2"/>
    <w:pPr>
      <w:spacing w:after="160" w:line="259" w:lineRule="auto"/>
      <w:ind w:left="720"/>
    </w:pPr>
    <w:rPr>
      <w:rFonts w:eastAsia="Calibri"/>
      <w:sz w:val="22"/>
      <w:szCs w:val="22"/>
      <w:lang w:eastAsia="en-US"/>
    </w:rPr>
  </w:style>
  <w:style w:type="paragraph" w:customStyle="1" w:styleId="NormalIndent2">
    <w:name w:val="Normal Indent 2"/>
    <w:basedOn w:val="NormalIndent"/>
    <w:qFormat/>
    <w:rsid w:val="00CF79C2"/>
    <w:pPr>
      <w:ind w:left="1077"/>
    </w:pPr>
  </w:style>
  <w:style w:type="paragraph" w:styleId="ListContinue2">
    <w:name w:val="List Continue 2"/>
    <w:basedOn w:val="Normal"/>
    <w:uiPriority w:val="99"/>
    <w:unhideWhenUsed/>
    <w:rsid w:val="00247883"/>
    <w:pPr>
      <w:spacing w:after="120" w:line="259" w:lineRule="auto"/>
      <w:ind w:left="566"/>
      <w:contextualSpacing/>
    </w:pPr>
    <w:rPr>
      <w:rFonts w:eastAsia="Calibri"/>
      <w:sz w:val="22"/>
      <w:szCs w:val="22"/>
      <w:lang w:eastAsia="en-US"/>
    </w:rPr>
  </w:style>
  <w:style w:type="paragraph" w:styleId="ListNumber2">
    <w:name w:val="List Number 2"/>
    <w:basedOn w:val="Normal"/>
    <w:uiPriority w:val="99"/>
    <w:unhideWhenUsed/>
    <w:rsid w:val="00247883"/>
    <w:pPr>
      <w:numPr>
        <w:numId w:val="21"/>
      </w:numPr>
      <w:spacing w:after="160" w:line="259" w:lineRule="auto"/>
      <w:contextualSpacing/>
    </w:pPr>
    <w:rPr>
      <w:rFonts w:eastAsia="Calibri"/>
      <w:sz w:val="22"/>
      <w:szCs w:val="22"/>
      <w:lang w:eastAsia="en-US"/>
    </w:rPr>
  </w:style>
  <w:style w:type="character" w:customStyle="1" w:styleId="ListParaTextChar">
    <w:name w:val="List Para Text Char"/>
    <w:basedOn w:val="DefaultParagraphFont"/>
    <w:link w:val="ListParaText"/>
    <w:locked/>
    <w:rsid w:val="00247883"/>
  </w:style>
  <w:style w:type="paragraph" w:customStyle="1" w:styleId="ListParaText">
    <w:name w:val="List Para Text"/>
    <w:basedOn w:val="ListParagraph"/>
    <w:link w:val="ListParaTextChar"/>
    <w:qFormat/>
    <w:rsid w:val="00247883"/>
    <w:pPr>
      <w:spacing w:after="60" w:line="256" w:lineRule="auto"/>
      <w:ind w:left="567"/>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38969">
      <w:bodyDiv w:val="1"/>
      <w:marLeft w:val="0"/>
      <w:marRight w:val="0"/>
      <w:marTop w:val="0"/>
      <w:marBottom w:val="0"/>
      <w:divBdr>
        <w:top w:val="none" w:sz="0" w:space="0" w:color="auto"/>
        <w:left w:val="none" w:sz="0" w:space="0" w:color="auto"/>
        <w:bottom w:val="none" w:sz="0" w:space="0" w:color="auto"/>
        <w:right w:val="none" w:sz="0" w:space="0" w:color="auto"/>
      </w:divBdr>
      <w:divsChild>
        <w:div w:id="611909776">
          <w:marLeft w:val="0"/>
          <w:marRight w:val="0"/>
          <w:marTop w:val="0"/>
          <w:marBottom w:val="0"/>
          <w:divBdr>
            <w:top w:val="none" w:sz="0" w:space="0" w:color="auto"/>
            <w:left w:val="none" w:sz="0" w:space="0" w:color="auto"/>
            <w:bottom w:val="none" w:sz="0" w:space="0" w:color="auto"/>
            <w:right w:val="none" w:sz="0" w:space="0" w:color="auto"/>
          </w:divBdr>
          <w:divsChild>
            <w:div w:id="984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health.govt.nz/publication/vaping-regulations-consult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apingfacts.health.nz/" TargetMode="External"/><Relationship Id="rId32" Type="http://schemas.openxmlformats.org/officeDocument/2006/relationships/hyperlink" Target="https://ec.europa.eu/health//sites/health/files/tobacco/docs/dir_201440_en.pdf"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legislation.gov.uk/uksi/2016/507/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vaping@health.govt.nz" TargetMode="External"/><Relationship Id="rId27" Type="http://schemas.openxmlformats.org/officeDocument/2006/relationships/image" Target="media/image7.jpeg"/><Relationship Id="rId30"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78fb08c3f9ed1acfc8b60216ee3b6090">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ff2e8f7da96e48ed77233c9bd7f181d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0EAC-E398-4661-A4F0-24FA9CDF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83ED4-4F9E-4DFD-BEDE-1CC3539DB282}">
  <ds:schemaRefs>
    <ds:schemaRef ds:uri="http://schemas.microsoft.com/sharepoint/v3/contenttype/forms"/>
  </ds:schemaRefs>
</ds:datastoreItem>
</file>

<file path=customXml/itemProps3.xml><?xml version="1.0" encoding="utf-8"?>
<ds:datastoreItem xmlns:ds="http://schemas.openxmlformats.org/officeDocument/2006/customXml" ds:itemID="{FF0776FD-D485-40EB-9515-00AFE69FF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395BC0-E4F5-42B8-9C92-9786A82B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8980</Words>
  <Characters>51191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Smokefree Environments and Regulated Products Act 1990 Proposals for regulations – Public Consultation Document</vt:lpstr>
    </vt:vector>
  </TitlesOfParts>
  <Company>Ministry of Health</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Environments and Regulated Products Act 1990 Proposals for regulations – Public Consultation Document</dc:title>
  <dc:subject/>
  <dc:creator>Ministry of Health</dc:creator>
  <cp:keywords/>
  <dc:description/>
  <cp:lastModifiedBy>Jared Wilkinson</cp:lastModifiedBy>
  <cp:revision>4</cp:revision>
  <cp:lastPrinted>2020-12-21T01:59:00Z</cp:lastPrinted>
  <dcterms:created xsi:type="dcterms:W3CDTF">2020-12-21T01:59:00Z</dcterms:created>
  <dcterms:modified xsi:type="dcterms:W3CDTF">2021-01-13T23:10:00Z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