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14B50" w14:textId="3EB5C168" w:rsidR="001F7C66" w:rsidRDefault="00A43359" w:rsidP="002519C7">
      <w:pPr>
        <w:pStyle w:val="Subhead"/>
        <w:rPr>
          <w:rFonts w:ascii="Segoe UI Black" w:hAnsi="Segoe UI Black" w:cs="Lucida Sans Unicode"/>
          <w:b/>
          <w:color w:val="000000" w:themeColor="text1"/>
          <w:sz w:val="72"/>
          <w:szCs w:val="72"/>
        </w:rPr>
      </w:pPr>
      <w:r w:rsidRPr="00A43359">
        <w:rPr>
          <w:rFonts w:ascii="Segoe UI Black" w:hAnsi="Segoe UI Black" w:cs="Lucida Sans Unicode"/>
          <w:b/>
          <w:color w:val="000000" w:themeColor="text1"/>
          <w:sz w:val="72"/>
          <w:szCs w:val="72"/>
        </w:rPr>
        <w:t xml:space="preserve">Reducing food-related choking for babies and young children at early learning services </w:t>
      </w:r>
      <w:r w:rsidR="00F94B71" w:rsidRPr="00F94B71">
        <w:rPr>
          <w:rFonts w:ascii="Segoe UI Black" w:hAnsi="Segoe UI Black" w:cs="Lucida Sans Unicode"/>
          <w:b/>
          <w:color w:val="000000" w:themeColor="text1"/>
          <w:sz w:val="72"/>
          <w:szCs w:val="72"/>
        </w:rPr>
        <w:t xml:space="preserve"> </w:t>
      </w:r>
    </w:p>
    <w:p w14:paraId="4A9CDDE4" w14:textId="77777777" w:rsidR="00C05132" w:rsidRPr="00434299" w:rsidRDefault="00C05132" w:rsidP="00A06BE4">
      <w:pPr>
        <w:rPr>
          <w:color w:val="000000" w:themeColor="text1"/>
        </w:rPr>
      </w:pPr>
    </w:p>
    <w:p w14:paraId="7EF953CF" w14:textId="77777777" w:rsidR="00142954" w:rsidRPr="00434299" w:rsidRDefault="00142954" w:rsidP="00142954">
      <w:pPr>
        <w:rPr>
          <w:color w:val="000000" w:themeColor="text1"/>
        </w:rPr>
        <w:sectPr w:rsidR="00142954" w:rsidRPr="00434299" w:rsidSect="005A79E5">
          <w:headerReference w:type="default" r:id="rId12"/>
          <w:footerReference w:type="default" r:id="rId13"/>
          <w:pgSz w:w="11907" w:h="16834" w:code="9"/>
          <w:pgMar w:top="5670" w:right="1134" w:bottom="1134" w:left="1134" w:header="567" w:footer="851" w:gutter="0"/>
          <w:pgNumType w:start="1"/>
          <w:cols w:space="720"/>
        </w:sectPr>
      </w:pPr>
    </w:p>
    <w:p w14:paraId="447F2F5C" w14:textId="5EAB8E14" w:rsidR="002519C7" w:rsidRDefault="002519C7" w:rsidP="002519C7">
      <w:pPr>
        <w:pStyle w:val="Imprint"/>
        <w:rPr>
          <w:rFonts w:cs="Segoe UI"/>
          <w:color w:val="000000" w:themeColor="text1"/>
        </w:rPr>
      </w:pPr>
      <w:r w:rsidRPr="002519C7">
        <w:rPr>
          <w:rFonts w:cs="Segoe UI"/>
          <w:color w:val="000000" w:themeColor="text1"/>
        </w:rPr>
        <w:lastRenderedPageBreak/>
        <w:t xml:space="preserve">Citation: Ministry of Health. 2020. </w:t>
      </w:r>
      <w:r w:rsidR="00A43359" w:rsidRPr="00A43359">
        <w:rPr>
          <w:rFonts w:cs="Segoe UI"/>
          <w:i/>
          <w:color w:val="000000" w:themeColor="text1"/>
        </w:rPr>
        <w:t>Reducing food-related choking for babies and young children at early learning services</w:t>
      </w:r>
      <w:r w:rsidRPr="002519C7">
        <w:rPr>
          <w:rFonts w:cs="Segoe UI"/>
          <w:color w:val="000000" w:themeColor="text1"/>
        </w:rPr>
        <w:t>.</w:t>
      </w:r>
      <w:r>
        <w:rPr>
          <w:rFonts w:cs="Segoe UI"/>
          <w:color w:val="000000" w:themeColor="text1"/>
        </w:rPr>
        <w:t xml:space="preserve"> </w:t>
      </w:r>
      <w:r w:rsidRPr="002519C7">
        <w:rPr>
          <w:rFonts w:cs="Segoe UI"/>
          <w:color w:val="000000" w:themeColor="text1"/>
        </w:rPr>
        <w:t>Wellington: Ministry of Health.</w:t>
      </w:r>
    </w:p>
    <w:p w14:paraId="320CB22C" w14:textId="0A386BC9" w:rsidR="00C86248" w:rsidRPr="00434299" w:rsidRDefault="00C86248" w:rsidP="002519C7">
      <w:pPr>
        <w:pStyle w:val="Imprint"/>
        <w:rPr>
          <w:color w:val="000000" w:themeColor="text1"/>
        </w:rPr>
      </w:pPr>
      <w:r w:rsidRPr="00434299">
        <w:rPr>
          <w:color w:val="000000" w:themeColor="text1"/>
        </w:rPr>
        <w:t xml:space="preserve">Published in </w:t>
      </w:r>
      <w:r w:rsidR="002F3266">
        <w:rPr>
          <w:color w:val="000000" w:themeColor="text1"/>
        </w:rPr>
        <w:t>December</w:t>
      </w:r>
      <w:r w:rsidR="006C69BF">
        <w:rPr>
          <w:color w:val="000000" w:themeColor="text1"/>
        </w:rPr>
        <w:t xml:space="preserve"> </w:t>
      </w:r>
      <w:r w:rsidR="00F6065C" w:rsidRPr="00434299">
        <w:rPr>
          <w:color w:val="000000" w:themeColor="text1"/>
        </w:rPr>
        <w:t>20</w:t>
      </w:r>
      <w:r w:rsidR="006C69BF">
        <w:rPr>
          <w:color w:val="000000" w:themeColor="text1"/>
        </w:rPr>
        <w:t>20</w:t>
      </w:r>
      <w:r w:rsidR="00F6065C" w:rsidRPr="00434299">
        <w:rPr>
          <w:color w:val="000000" w:themeColor="text1"/>
        </w:rPr>
        <w:t xml:space="preserve"> </w:t>
      </w:r>
      <w:r w:rsidRPr="00434299">
        <w:rPr>
          <w:color w:val="000000" w:themeColor="text1"/>
        </w:rPr>
        <w:t>by the</w:t>
      </w:r>
      <w:r w:rsidR="00442C1C" w:rsidRPr="00434299">
        <w:rPr>
          <w:color w:val="000000" w:themeColor="text1"/>
        </w:rPr>
        <w:t xml:space="preserve"> </w:t>
      </w:r>
      <w:r w:rsidRPr="00434299">
        <w:rPr>
          <w:color w:val="000000" w:themeColor="text1"/>
        </w:rPr>
        <w:t>Ministry of Health</w:t>
      </w:r>
      <w:r w:rsidRPr="00434299">
        <w:rPr>
          <w:color w:val="000000" w:themeColor="text1"/>
        </w:rPr>
        <w:br/>
        <w:t>PO Box 5013, Wellington</w:t>
      </w:r>
      <w:r w:rsidR="00A80363" w:rsidRPr="00434299">
        <w:rPr>
          <w:color w:val="000000" w:themeColor="text1"/>
        </w:rPr>
        <w:t xml:space="preserve"> 614</w:t>
      </w:r>
      <w:r w:rsidR="006041F0" w:rsidRPr="00434299">
        <w:rPr>
          <w:color w:val="000000" w:themeColor="text1"/>
        </w:rPr>
        <w:t>0</w:t>
      </w:r>
      <w:r w:rsidRPr="00434299">
        <w:rPr>
          <w:color w:val="000000" w:themeColor="text1"/>
        </w:rPr>
        <w:t xml:space="preserve">, </w:t>
      </w:r>
      <w:r w:rsidR="00571223" w:rsidRPr="00434299">
        <w:rPr>
          <w:color w:val="000000" w:themeColor="text1"/>
        </w:rPr>
        <w:t>New Zealand</w:t>
      </w:r>
    </w:p>
    <w:p w14:paraId="2C1C0892" w14:textId="4EDED5F8" w:rsidR="00082CD6" w:rsidRPr="00434299" w:rsidRDefault="00D863D0" w:rsidP="00082CD6">
      <w:pPr>
        <w:pStyle w:val="Imprint"/>
        <w:rPr>
          <w:color w:val="000000" w:themeColor="text1"/>
        </w:rPr>
      </w:pPr>
      <w:r w:rsidRPr="007F368B">
        <w:rPr>
          <w:color w:val="000000" w:themeColor="text1"/>
        </w:rPr>
        <w:t>ISBN</w:t>
      </w:r>
      <w:r w:rsidR="00442C1C" w:rsidRPr="007F368B">
        <w:rPr>
          <w:color w:val="000000" w:themeColor="text1"/>
        </w:rPr>
        <w:t xml:space="preserve"> </w:t>
      </w:r>
      <w:r w:rsidR="00396D27" w:rsidRPr="002A186D">
        <w:rPr>
          <w:color w:val="000000" w:themeColor="text1"/>
        </w:rPr>
        <w:t>978-1-99-002970-7</w:t>
      </w:r>
      <w:r w:rsidR="00396D27" w:rsidRPr="007F368B">
        <w:rPr>
          <w:color w:val="000000" w:themeColor="text1"/>
        </w:rPr>
        <w:t xml:space="preserve"> </w:t>
      </w:r>
      <w:r w:rsidRPr="007F368B">
        <w:rPr>
          <w:color w:val="000000" w:themeColor="text1"/>
        </w:rPr>
        <w:t>(</w:t>
      </w:r>
      <w:r w:rsidR="00442C1C" w:rsidRPr="007F368B">
        <w:rPr>
          <w:color w:val="000000" w:themeColor="text1"/>
        </w:rPr>
        <w:t>online</w:t>
      </w:r>
      <w:r w:rsidRPr="007F368B">
        <w:rPr>
          <w:color w:val="000000" w:themeColor="text1"/>
        </w:rPr>
        <w:t>)</w:t>
      </w:r>
      <w:r w:rsidR="00082CD6" w:rsidRPr="007F368B">
        <w:rPr>
          <w:color w:val="000000" w:themeColor="text1"/>
        </w:rPr>
        <w:br/>
        <w:t xml:space="preserve">HP </w:t>
      </w:r>
      <w:r w:rsidR="002A186D">
        <w:rPr>
          <w:color w:val="000000" w:themeColor="text1"/>
        </w:rPr>
        <w:t>7526</w:t>
      </w:r>
    </w:p>
    <w:p w14:paraId="4A818090" w14:textId="77777777" w:rsidR="00C86248" w:rsidRPr="00434299" w:rsidRDefault="008C64C4" w:rsidP="00A63DFF">
      <w:pPr>
        <w:rPr>
          <w:color w:val="000000" w:themeColor="text1"/>
        </w:rPr>
      </w:pPr>
      <w:r w:rsidRPr="00434299">
        <w:rPr>
          <w:noProof/>
          <w:color w:val="000000" w:themeColor="text1"/>
          <w:lang w:eastAsia="en-NZ"/>
        </w:rPr>
        <w:drawing>
          <wp:inline distT="0" distB="0" distL="0" distR="0" wp14:anchorId="69E523DB" wp14:editId="169D7775">
            <wp:extent cx="1413163" cy="576330"/>
            <wp:effectExtent l="0" t="0" r="0" b="0"/>
            <wp:docPr id="2" name="Picture 2"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1413017" cy="576270"/>
                    </a:xfrm>
                    <a:prstGeom prst="rect">
                      <a:avLst/>
                    </a:prstGeom>
                    <a:noFill/>
                    <a:ln>
                      <a:noFill/>
                    </a:ln>
                  </pic:spPr>
                </pic:pic>
              </a:graphicData>
            </a:graphic>
          </wp:inline>
        </w:drawing>
      </w:r>
    </w:p>
    <w:p w14:paraId="652DDEA4" w14:textId="77777777" w:rsidR="00A63DFF" w:rsidRPr="00434299" w:rsidRDefault="00A63DFF" w:rsidP="00A63DFF">
      <w:pPr>
        <w:pStyle w:val="Imprint"/>
        <w:spacing w:before="240" w:after="480"/>
        <w:rPr>
          <w:color w:val="000000" w:themeColor="text1"/>
        </w:rPr>
      </w:pPr>
      <w:r w:rsidRPr="00434299">
        <w:rPr>
          <w:color w:val="000000" w:themeColor="text1"/>
        </w:rPr>
        <w:t>This document is available at health.govt.nz</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6061"/>
      </w:tblGrid>
      <w:tr w:rsidR="00D15FDE" w:rsidRPr="00434299" w14:paraId="25918064" w14:textId="77777777" w:rsidTr="00A63DFF">
        <w:trPr>
          <w:cantSplit/>
        </w:trPr>
        <w:tc>
          <w:tcPr>
            <w:tcW w:w="1526" w:type="dxa"/>
          </w:tcPr>
          <w:p w14:paraId="2BC31A9D" w14:textId="77777777" w:rsidR="00A63DFF" w:rsidRPr="00434299" w:rsidRDefault="00A63DFF" w:rsidP="00A63DFF">
            <w:pPr>
              <w:rPr>
                <w:rFonts w:cs="Segoe UI"/>
                <w:color w:val="000000" w:themeColor="text1"/>
                <w:sz w:val="15"/>
                <w:szCs w:val="15"/>
              </w:rPr>
            </w:pPr>
            <w:r w:rsidRPr="00434299">
              <w:rPr>
                <w:rFonts w:cs="Segoe UI"/>
                <w:b/>
                <w:noProof/>
                <w:color w:val="000000" w:themeColor="text1"/>
                <w:sz w:val="15"/>
                <w:szCs w:val="15"/>
                <w:lang w:eastAsia="en-NZ"/>
              </w:rPr>
              <w:drawing>
                <wp:inline distT="0" distB="0" distL="0" distR="0" wp14:anchorId="31FC7063" wp14:editId="3C70583D">
                  <wp:extent cx="809625" cy="285750"/>
                  <wp:effectExtent l="0" t="0" r="9525" b="0"/>
                  <wp:docPr id="3" name="Picture 3"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tc>
        <w:tc>
          <w:tcPr>
            <w:tcW w:w="6061" w:type="dxa"/>
          </w:tcPr>
          <w:p w14:paraId="76E0B520" w14:textId="77777777" w:rsidR="00A63DFF" w:rsidRPr="00434299" w:rsidRDefault="00A63DFF" w:rsidP="00A63DFF">
            <w:pPr>
              <w:rPr>
                <w:rFonts w:cs="Segoe UI"/>
                <w:color w:val="000000" w:themeColor="text1"/>
                <w:sz w:val="15"/>
                <w:szCs w:val="15"/>
              </w:rPr>
            </w:pPr>
            <w:r w:rsidRPr="00434299">
              <w:rPr>
                <w:rFonts w:cs="Segoe UI"/>
                <w:color w:val="000000" w:themeColor="text1"/>
                <w:sz w:val="15"/>
                <w:szCs w:val="15"/>
              </w:rPr>
              <w:t xml:space="preserve">This work is licensed under the Creative Commons Attribution 4.0 International licence. In essence, </w:t>
            </w:r>
            <w:r w:rsidRPr="00434299">
              <w:rPr>
                <w:rFonts w:cs="Segoe UI"/>
                <w:bCs/>
                <w:color w:val="000000" w:themeColor="text1"/>
                <w:sz w:val="15"/>
                <w:szCs w:val="15"/>
              </w:rPr>
              <w:t xml:space="preserve">you are free to: </w:t>
            </w:r>
            <w:r w:rsidRPr="00434299">
              <w:rPr>
                <w:rFonts w:cs="Segoe UI"/>
                <w:color w:val="000000" w:themeColor="text1"/>
                <w:sz w:val="15"/>
                <w:szCs w:val="15"/>
              </w:rPr>
              <w:t xml:space="preserve">share ie, copy and redistribute the material in any medium or format; adapt ie, remix, transform and build upon the material. </w:t>
            </w:r>
            <w:r w:rsidRPr="00434299">
              <w:rPr>
                <w:rFonts w:cs="Segoe UI"/>
                <w:bCs/>
                <w:color w:val="000000" w:themeColor="text1"/>
                <w:sz w:val="15"/>
                <w:szCs w:val="15"/>
              </w:rPr>
              <w:t>You must give appropriate credit, provide a link to the licence and indicate if changes were made.</w:t>
            </w:r>
          </w:p>
        </w:tc>
      </w:tr>
    </w:tbl>
    <w:p w14:paraId="59F7483B" w14:textId="77777777" w:rsidR="007E74F1" w:rsidRPr="00434299" w:rsidRDefault="007E74F1" w:rsidP="00A63DFF">
      <w:pPr>
        <w:rPr>
          <w:color w:val="000000" w:themeColor="text1"/>
        </w:rPr>
      </w:pPr>
    </w:p>
    <w:p w14:paraId="7E9AD958" w14:textId="77777777" w:rsidR="00C86248" w:rsidRPr="00434299" w:rsidRDefault="00C86248">
      <w:pPr>
        <w:jc w:val="center"/>
        <w:rPr>
          <w:color w:val="000000" w:themeColor="text1"/>
        </w:rPr>
        <w:sectPr w:rsidR="00C86248" w:rsidRPr="00434299" w:rsidSect="00C05132">
          <w:footerReference w:type="even" r:id="rId16"/>
          <w:footerReference w:type="default" r:id="rId17"/>
          <w:pgSz w:w="11907" w:h="16834" w:code="9"/>
          <w:pgMar w:top="1701" w:right="2268" w:bottom="1134" w:left="2268" w:header="0" w:footer="0" w:gutter="0"/>
          <w:cols w:space="720"/>
          <w:vAlign w:val="bottom"/>
        </w:sectPr>
      </w:pPr>
    </w:p>
    <w:p w14:paraId="159103FA" w14:textId="77777777" w:rsidR="00C86248" w:rsidRPr="005026EE" w:rsidRDefault="00C86248" w:rsidP="00EB06C1">
      <w:pPr>
        <w:pStyle w:val="IntroHead"/>
        <w:keepNext/>
        <w:pageBreakBefore w:val="0"/>
      </w:pPr>
      <w:bookmarkStart w:id="0" w:name="_Toc405792991"/>
      <w:bookmarkStart w:id="1" w:name="_Toc405793224"/>
      <w:r w:rsidRPr="00EB06C1">
        <w:lastRenderedPageBreak/>
        <w:t>Contents</w:t>
      </w:r>
      <w:bookmarkEnd w:id="0"/>
      <w:bookmarkEnd w:id="1"/>
    </w:p>
    <w:p w14:paraId="3082CF3B" w14:textId="74CCED0C" w:rsidR="00C10E1D" w:rsidRDefault="00337885">
      <w:pPr>
        <w:pStyle w:val="TOC1"/>
        <w:rPr>
          <w:rFonts w:asciiTheme="minorHAnsi" w:eastAsiaTheme="minorEastAsia" w:hAnsiTheme="minorHAnsi" w:cstheme="minorBidi"/>
          <w:noProof/>
          <w:sz w:val="22"/>
          <w:szCs w:val="22"/>
          <w:lang w:val="en-AU" w:eastAsia="en-AU"/>
        </w:rPr>
      </w:pPr>
      <w:r>
        <w:rPr>
          <w:color w:val="000000" w:themeColor="text1"/>
        </w:rPr>
        <w:fldChar w:fldCharType="begin"/>
      </w:r>
      <w:r>
        <w:rPr>
          <w:color w:val="000000" w:themeColor="text1"/>
        </w:rPr>
        <w:instrText xml:space="preserve"> TOC \o "1-2" \h \z </w:instrText>
      </w:r>
      <w:r>
        <w:rPr>
          <w:color w:val="000000" w:themeColor="text1"/>
        </w:rPr>
        <w:fldChar w:fldCharType="separate"/>
      </w:r>
      <w:hyperlink w:anchor="_Toc56609916" w:history="1">
        <w:r w:rsidR="00C10E1D" w:rsidRPr="008601AB">
          <w:rPr>
            <w:rStyle w:val="Hyperlink"/>
            <w:noProof/>
          </w:rPr>
          <w:t>Introduction</w:t>
        </w:r>
        <w:r w:rsidR="00C10E1D">
          <w:rPr>
            <w:noProof/>
            <w:webHidden/>
          </w:rPr>
          <w:tab/>
        </w:r>
        <w:r w:rsidR="00C10E1D">
          <w:rPr>
            <w:noProof/>
            <w:webHidden/>
          </w:rPr>
          <w:fldChar w:fldCharType="begin"/>
        </w:r>
        <w:r w:rsidR="00C10E1D">
          <w:rPr>
            <w:noProof/>
            <w:webHidden/>
          </w:rPr>
          <w:instrText xml:space="preserve"> PAGEREF _Toc56609916 \h </w:instrText>
        </w:r>
        <w:r w:rsidR="00C10E1D">
          <w:rPr>
            <w:noProof/>
            <w:webHidden/>
          </w:rPr>
        </w:r>
        <w:r w:rsidR="00C10E1D">
          <w:rPr>
            <w:noProof/>
            <w:webHidden/>
          </w:rPr>
          <w:fldChar w:fldCharType="separate"/>
        </w:r>
        <w:r w:rsidR="001376AE">
          <w:rPr>
            <w:noProof/>
            <w:webHidden/>
          </w:rPr>
          <w:t>1</w:t>
        </w:r>
        <w:r w:rsidR="00C10E1D">
          <w:rPr>
            <w:noProof/>
            <w:webHidden/>
          </w:rPr>
          <w:fldChar w:fldCharType="end"/>
        </w:r>
      </w:hyperlink>
    </w:p>
    <w:p w14:paraId="2554C58E" w14:textId="474E43F1" w:rsidR="00C10E1D" w:rsidRDefault="002649E4">
      <w:pPr>
        <w:pStyle w:val="TOC2"/>
        <w:rPr>
          <w:rFonts w:asciiTheme="minorHAnsi" w:eastAsiaTheme="minorEastAsia" w:hAnsiTheme="minorHAnsi" w:cstheme="minorBidi"/>
          <w:noProof/>
          <w:szCs w:val="22"/>
          <w:lang w:val="en-AU" w:eastAsia="en-AU"/>
        </w:rPr>
      </w:pPr>
      <w:hyperlink w:anchor="_Toc56609917" w:history="1">
        <w:r w:rsidR="00C10E1D" w:rsidRPr="008601AB">
          <w:rPr>
            <w:rStyle w:val="Hyperlink"/>
            <w:noProof/>
          </w:rPr>
          <w:t>Recommendations</w:t>
        </w:r>
        <w:r w:rsidR="00C10E1D">
          <w:rPr>
            <w:noProof/>
            <w:webHidden/>
          </w:rPr>
          <w:tab/>
        </w:r>
        <w:r w:rsidR="00C10E1D">
          <w:rPr>
            <w:noProof/>
            <w:webHidden/>
          </w:rPr>
          <w:fldChar w:fldCharType="begin"/>
        </w:r>
        <w:r w:rsidR="00C10E1D">
          <w:rPr>
            <w:noProof/>
            <w:webHidden/>
          </w:rPr>
          <w:instrText xml:space="preserve"> PAGEREF _Toc56609917 \h </w:instrText>
        </w:r>
        <w:r w:rsidR="00C10E1D">
          <w:rPr>
            <w:noProof/>
            <w:webHidden/>
          </w:rPr>
        </w:r>
        <w:r w:rsidR="00C10E1D">
          <w:rPr>
            <w:noProof/>
            <w:webHidden/>
          </w:rPr>
          <w:fldChar w:fldCharType="separate"/>
        </w:r>
        <w:r w:rsidR="001376AE">
          <w:rPr>
            <w:noProof/>
            <w:webHidden/>
          </w:rPr>
          <w:t>1</w:t>
        </w:r>
        <w:r w:rsidR="00C10E1D">
          <w:rPr>
            <w:noProof/>
            <w:webHidden/>
          </w:rPr>
          <w:fldChar w:fldCharType="end"/>
        </w:r>
      </w:hyperlink>
    </w:p>
    <w:p w14:paraId="402B9820" w14:textId="0375ED1D" w:rsidR="00C10E1D" w:rsidRDefault="002649E4">
      <w:pPr>
        <w:pStyle w:val="TOC2"/>
        <w:rPr>
          <w:rFonts w:asciiTheme="minorHAnsi" w:eastAsiaTheme="minorEastAsia" w:hAnsiTheme="minorHAnsi" w:cstheme="minorBidi"/>
          <w:noProof/>
          <w:szCs w:val="22"/>
          <w:lang w:val="en-AU" w:eastAsia="en-AU"/>
        </w:rPr>
      </w:pPr>
      <w:hyperlink w:anchor="_Toc56609918" w:history="1">
        <w:r w:rsidR="00C10E1D" w:rsidRPr="008601AB">
          <w:rPr>
            <w:rStyle w:val="Hyperlink"/>
            <w:noProof/>
          </w:rPr>
          <w:t>How to alter high-risk food to lower its choking risk</w:t>
        </w:r>
        <w:r w:rsidR="00C10E1D">
          <w:rPr>
            <w:noProof/>
            <w:webHidden/>
          </w:rPr>
          <w:tab/>
        </w:r>
        <w:r w:rsidR="00C10E1D">
          <w:rPr>
            <w:noProof/>
            <w:webHidden/>
          </w:rPr>
          <w:fldChar w:fldCharType="begin"/>
        </w:r>
        <w:r w:rsidR="00C10E1D">
          <w:rPr>
            <w:noProof/>
            <w:webHidden/>
          </w:rPr>
          <w:instrText xml:space="preserve"> PAGEREF _Toc56609918 \h </w:instrText>
        </w:r>
        <w:r w:rsidR="00C10E1D">
          <w:rPr>
            <w:noProof/>
            <w:webHidden/>
          </w:rPr>
        </w:r>
        <w:r w:rsidR="00C10E1D">
          <w:rPr>
            <w:noProof/>
            <w:webHidden/>
          </w:rPr>
          <w:fldChar w:fldCharType="separate"/>
        </w:r>
        <w:r w:rsidR="001376AE">
          <w:rPr>
            <w:noProof/>
            <w:webHidden/>
          </w:rPr>
          <w:t>3</w:t>
        </w:r>
        <w:r w:rsidR="00C10E1D">
          <w:rPr>
            <w:noProof/>
            <w:webHidden/>
          </w:rPr>
          <w:fldChar w:fldCharType="end"/>
        </w:r>
      </w:hyperlink>
    </w:p>
    <w:p w14:paraId="6377DEA9" w14:textId="4A98F48E" w:rsidR="00C10E1D" w:rsidRDefault="002649E4">
      <w:pPr>
        <w:pStyle w:val="TOC1"/>
        <w:rPr>
          <w:rFonts w:asciiTheme="minorHAnsi" w:eastAsiaTheme="minorEastAsia" w:hAnsiTheme="minorHAnsi" w:cstheme="minorBidi"/>
          <w:noProof/>
          <w:sz w:val="22"/>
          <w:szCs w:val="22"/>
          <w:lang w:val="en-AU" w:eastAsia="en-AU"/>
        </w:rPr>
      </w:pPr>
      <w:hyperlink w:anchor="_Toc56609919" w:history="1">
        <w:r w:rsidR="00C10E1D" w:rsidRPr="008601AB">
          <w:rPr>
            <w:rStyle w:val="Hyperlink"/>
            <w:noProof/>
          </w:rPr>
          <w:t>Background information and references</w:t>
        </w:r>
        <w:r w:rsidR="00C10E1D">
          <w:rPr>
            <w:noProof/>
            <w:webHidden/>
          </w:rPr>
          <w:tab/>
        </w:r>
        <w:r w:rsidR="00ED04DF">
          <w:rPr>
            <w:noProof/>
            <w:webHidden/>
          </w:rPr>
          <w:t>6</w:t>
        </w:r>
      </w:hyperlink>
    </w:p>
    <w:p w14:paraId="02F7B4B9" w14:textId="7C24F2C8" w:rsidR="002663EF" w:rsidRDefault="00337885" w:rsidP="002663EF">
      <w:pPr>
        <w:pStyle w:val="Header"/>
        <w:ind w:right="141"/>
      </w:pPr>
      <w:r>
        <w:fldChar w:fldCharType="end"/>
      </w:r>
      <w:bookmarkStart w:id="2" w:name="_bookmark4"/>
      <w:bookmarkEnd w:id="2"/>
    </w:p>
    <w:p w14:paraId="11C695AF" w14:textId="77777777" w:rsidR="00C10E1D" w:rsidRDefault="00C10E1D" w:rsidP="001F7C66">
      <w:pPr>
        <w:pStyle w:val="Heading1"/>
        <w:sectPr w:rsidR="00C10E1D" w:rsidSect="00C10E1D">
          <w:headerReference w:type="default" r:id="rId18"/>
          <w:footerReference w:type="even" r:id="rId19"/>
          <w:footerReference w:type="default" r:id="rId20"/>
          <w:pgSz w:w="11907" w:h="16834" w:code="9"/>
          <w:pgMar w:top="1418" w:right="1701" w:bottom="1418" w:left="1843" w:header="284" w:footer="709" w:gutter="284"/>
          <w:pgNumType w:fmt="lowerRoman" w:start="1"/>
          <w:cols w:space="720"/>
          <w:docGrid w:linePitch="286"/>
        </w:sectPr>
      </w:pPr>
      <w:bookmarkStart w:id="3" w:name="_Toc56609916"/>
    </w:p>
    <w:p w14:paraId="184D55E6" w14:textId="153AF49B" w:rsidR="00F94B71" w:rsidRDefault="00A43359" w:rsidP="001F7C66">
      <w:pPr>
        <w:pStyle w:val="Heading1"/>
      </w:pPr>
      <w:r>
        <w:lastRenderedPageBreak/>
        <w:t>Introduction</w:t>
      </w:r>
      <w:bookmarkEnd w:id="3"/>
    </w:p>
    <w:p w14:paraId="21210240" w14:textId="77777777" w:rsidR="00A43359" w:rsidRDefault="00A43359" w:rsidP="00A43359">
      <w:bookmarkStart w:id="4" w:name="_Toc34397276"/>
      <w:r w:rsidRPr="00353B99">
        <w:t>Babies and young children have an increased risk of choking on food</w:t>
      </w:r>
      <w:r>
        <w:t>. This is</w:t>
      </w:r>
      <w:r w:rsidRPr="00353B99">
        <w:t xml:space="preserve"> because they have small air and food passages</w:t>
      </w:r>
      <w:r>
        <w:t xml:space="preserve">. They are also </w:t>
      </w:r>
      <w:r w:rsidRPr="00353B99">
        <w:t>learning to move food around in their mouths</w:t>
      </w:r>
      <w:r>
        <w:t xml:space="preserve"> and learning </w:t>
      </w:r>
      <w:r w:rsidRPr="00353B99">
        <w:t xml:space="preserve">how to bite, chew and grind food. </w:t>
      </w:r>
      <w:r>
        <w:t>It takes some years for children to master these skills and m</w:t>
      </w:r>
      <w:r w:rsidRPr="00353B99">
        <w:t xml:space="preserve">any don’t truly master chewing until </w:t>
      </w:r>
      <w:r>
        <w:t xml:space="preserve">four </w:t>
      </w:r>
      <w:r w:rsidRPr="00353B99">
        <w:t>years of age</w:t>
      </w:r>
      <w:r>
        <w:t>.</w:t>
      </w:r>
      <w:r>
        <w:rPr>
          <w:rStyle w:val="FootnoteReference"/>
          <w:sz w:val="24"/>
          <w:szCs w:val="24"/>
        </w:rPr>
        <w:footnoteReference w:id="1"/>
      </w:r>
      <w:r w:rsidRPr="00353B99">
        <w:t xml:space="preserve"> </w:t>
      </w:r>
    </w:p>
    <w:p w14:paraId="0A600C39" w14:textId="77777777" w:rsidR="00A43359" w:rsidRDefault="00A43359" w:rsidP="00A43359"/>
    <w:p w14:paraId="21C19850" w14:textId="77777777" w:rsidR="00A43359" w:rsidRDefault="00A43359" w:rsidP="00A43359">
      <w:r w:rsidRPr="00FB052C">
        <w:t>This advice is based on the Ministry of Health’s recommendations</w:t>
      </w:r>
      <w:r>
        <w:rPr>
          <w:sz w:val="24"/>
          <w:szCs w:val="24"/>
        </w:rPr>
        <w:t xml:space="preserve"> </w:t>
      </w:r>
      <w:hyperlink r:id="rId21" w:history="1">
        <w:r>
          <w:rPr>
            <w:rStyle w:val="Hyperlink"/>
            <w:rFonts w:ascii="Arial Mäori" w:hAnsi="Arial Mäori"/>
            <w:sz w:val="20"/>
          </w:rPr>
          <w:t>www.health.govt.nz/food-related-choking</w:t>
        </w:r>
      </w:hyperlink>
      <w:r>
        <w:t xml:space="preserve">, but has been adapted for </w:t>
      </w:r>
      <w:r w:rsidRPr="00413F67">
        <w:t xml:space="preserve">licensed early learning services </w:t>
      </w:r>
      <w:r>
        <w:t xml:space="preserve">such as </w:t>
      </w:r>
      <w:r w:rsidRPr="00413F67">
        <w:t xml:space="preserve">early childhood education services, </w:t>
      </w:r>
      <w:proofErr w:type="spellStart"/>
      <w:r w:rsidRPr="00413F67">
        <w:t>ng</w:t>
      </w:r>
      <w:r>
        <w:t>ā</w:t>
      </w:r>
      <w:proofErr w:type="spellEnd"/>
      <w:r w:rsidRPr="00413F67">
        <w:t xml:space="preserve"> </w:t>
      </w:r>
      <w:proofErr w:type="spellStart"/>
      <w:r w:rsidRPr="00413F67">
        <w:t>k</w:t>
      </w:r>
      <w:r>
        <w:t>ō</w:t>
      </w:r>
      <w:r w:rsidRPr="00413F67">
        <w:t>hanga</w:t>
      </w:r>
      <w:proofErr w:type="spellEnd"/>
      <w:r w:rsidRPr="00413F67">
        <w:t xml:space="preserve"> </w:t>
      </w:r>
      <w:proofErr w:type="spellStart"/>
      <w:r w:rsidRPr="00413F67">
        <w:t>reo</w:t>
      </w:r>
      <w:proofErr w:type="spellEnd"/>
      <w:r w:rsidRPr="00413F67">
        <w:t xml:space="preserve"> and certificated playgroups</w:t>
      </w:r>
      <w:r>
        <w:t xml:space="preserve">. The original advice is for parents and caregivers who have a good awareness of a child’s stage of development, and who can closely supervise a child. This close relationship and degree of supervision is not often possible in </w:t>
      </w:r>
      <w:r w:rsidRPr="006A34C4">
        <w:rPr>
          <w:rFonts w:cs="Segoe UI"/>
          <w:sz w:val="20"/>
        </w:rPr>
        <w:t>early learning services</w:t>
      </w:r>
      <w:r>
        <w:t>, so the advice here is more prescriptive to manage the risk involved.</w:t>
      </w:r>
    </w:p>
    <w:p w14:paraId="74DBF782" w14:textId="77777777" w:rsidR="00A43359" w:rsidRPr="001C7B7C" w:rsidRDefault="00A43359" w:rsidP="00A43359">
      <w:pPr>
        <w:pStyle w:val="Heading2"/>
        <w:spacing w:after="100"/>
      </w:pPr>
      <w:bookmarkStart w:id="5" w:name="_Toc56609917"/>
      <w:r>
        <w:t>Recommendations</w:t>
      </w:r>
      <w:bookmarkEnd w:id="5"/>
    </w:p>
    <w:p w14:paraId="35B32173" w14:textId="77777777" w:rsidR="00A43359" w:rsidRPr="00353B99" w:rsidRDefault="00A43359" w:rsidP="00A43359">
      <w:r>
        <w:t xml:space="preserve">While it is not </w:t>
      </w:r>
      <w:r w:rsidRPr="00353B99">
        <w:t xml:space="preserve">possible to remove all risk, it </w:t>
      </w:r>
      <w:r>
        <w:t xml:space="preserve">can be reduced by following the </w:t>
      </w:r>
      <w:r w:rsidRPr="00353B99">
        <w:t xml:space="preserve">recommendations based </w:t>
      </w:r>
      <w:r>
        <w:t>on</w:t>
      </w:r>
      <w:r w:rsidRPr="00353B99">
        <w:t xml:space="preserve"> </w:t>
      </w:r>
      <w:r>
        <w:t xml:space="preserve">these </w:t>
      </w:r>
      <w:r w:rsidRPr="00353B99">
        <w:t>three areas:</w:t>
      </w:r>
    </w:p>
    <w:p w14:paraId="34170FEC" w14:textId="77777777" w:rsidR="00A43359" w:rsidRPr="001C7B7C" w:rsidRDefault="00A43359" w:rsidP="00A43359">
      <w:pPr>
        <w:pStyle w:val="ListParagraph"/>
        <w:numPr>
          <w:ilvl w:val="0"/>
          <w:numId w:val="42"/>
        </w:numPr>
        <w:spacing w:before="80" w:after="80"/>
        <w:ind w:left="426" w:hanging="426"/>
        <w:contextualSpacing w:val="0"/>
      </w:pPr>
      <w:r>
        <w:t>a safe</w:t>
      </w:r>
      <w:r w:rsidRPr="001C7B7C">
        <w:t xml:space="preserve"> physical environment when eating</w:t>
      </w:r>
    </w:p>
    <w:p w14:paraId="73CA8DB9" w14:textId="77777777" w:rsidR="00A43359" w:rsidRPr="001C7B7C" w:rsidRDefault="00A43359" w:rsidP="00A43359">
      <w:pPr>
        <w:pStyle w:val="ListParagraph"/>
        <w:numPr>
          <w:ilvl w:val="0"/>
          <w:numId w:val="42"/>
        </w:numPr>
        <w:spacing w:before="80" w:after="80"/>
        <w:ind w:left="426" w:hanging="426"/>
        <w:contextualSpacing w:val="0"/>
      </w:pPr>
      <w:r w:rsidRPr="001C7B7C">
        <w:t>first aid</w:t>
      </w:r>
    </w:p>
    <w:p w14:paraId="3CABECDD" w14:textId="77777777" w:rsidR="00A43359" w:rsidRPr="001C7B7C" w:rsidRDefault="00A43359" w:rsidP="00A43359">
      <w:pPr>
        <w:pStyle w:val="ListParagraph"/>
        <w:numPr>
          <w:ilvl w:val="0"/>
          <w:numId w:val="42"/>
        </w:numPr>
        <w:spacing w:before="80" w:after="80"/>
        <w:ind w:left="426" w:hanging="426"/>
        <w:contextualSpacing w:val="0"/>
      </w:pPr>
      <w:r>
        <w:t xml:space="preserve">providing </w:t>
      </w:r>
      <w:r w:rsidRPr="001C7B7C">
        <w:t>appropriate food.</w:t>
      </w:r>
    </w:p>
    <w:p w14:paraId="2AAAC177" w14:textId="77777777" w:rsidR="00A43359" w:rsidRDefault="00A43359" w:rsidP="00A43359"/>
    <w:p w14:paraId="73CCAA46" w14:textId="77777777" w:rsidR="00A43359" w:rsidRPr="00485156" w:rsidRDefault="00A43359" w:rsidP="00A43359">
      <w:pPr>
        <w:pStyle w:val="ListParagraph"/>
        <w:numPr>
          <w:ilvl w:val="0"/>
          <w:numId w:val="43"/>
        </w:numPr>
        <w:spacing w:before="80" w:after="80"/>
        <w:ind w:left="426" w:hanging="426"/>
        <w:contextualSpacing w:val="0"/>
        <w:rPr>
          <w:b/>
        </w:rPr>
      </w:pPr>
      <w:r>
        <w:rPr>
          <w:b/>
        </w:rPr>
        <w:t xml:space="preserve">A safe </w:t>
      </w:r>
      <w:r w:rsidRPr="00485156">
        <w:rPr>
          <w:b/>
        </w:rPr>
        <w:t>physical environment when eating</w:t>
      </w:r>
    </w:p>
    <w:p w14:paraId="0DAD3A8A" w14:textId="77777777" w:rsidR="00A43359" w:rsidRDefault="00A43359" w:rsidP="00A43359">
      <w:r>
        <w:t xml:space="preserve">Take the following actions to provide a safe physical environment for babies and children while they are eating: </w:t>
      </w:r>
    </w:p>
    <w:p w14:paraId="49AB8464" w14:textId="77777777" w:rsidR="00A43359" w:rsidRPr="00A43359" w:rsidRDefault="00A43359" w:rsidP="00A43359">
      <w:pPr>
        <w:pStyle w:val="Bullet"/>
      </w:pPr>
      <w:r w:rsidRPr="00A43359">
        <w:t>Supervise babies and children when they are eating.</w:t>
      </w:r>
    </w:p>
    <w:p w14:paraId="5402DC60" w14:textId="77777777" w:rsidR="00A43359" w:rsidRPr="00A43359" w:rsidRDefault="00A43359" w:rsidP="00A43359">
      <w:pPr>
        <w:pStyle w:val="Bullet"/>
      </w:pPr>
      <w:r w:rsidRPr="00A43359">
        <w:t>Have an appropriate ratio of adults to children at mealtimes.</w:t>
      </w:r>
    </w:p>
    <w:p w14:paraId="0CCD25DF" w14:textId="77777777" w:rsidR="00A43359" w:rsidRPr="00A43359" w:rsidRDefault="00A43359" w:rsidP="00A43359">
      <w:pPr>
        <w:pStyle w:val="Bullet"/>
      </w:pPr>
      <w:r w:rsidRPr="00A43359">
        <w:t>Minimise distractions and encourage children to focus on eating.</w:t>
      </w:r>
    </w:p>
    <w:p w14:paraId="35328B11" w14:textId="77777777" w:rsidR="00A43359" w:rsidRPr="00A43359" w:rsidRDefault="00A43359" w:rsidP="00A43359">
      <w:pPr>
        <w:pStyle w:val="Bullet"/>
      </w:pPr>
      <w:r w:rsidRPr="00A43359">
        <w:t>Ensure there is a designated time where children sit down to eat, rather than continuous grazing.</w:t>
      </w:r>
    </w:p>
    <w:p w14:paraId="6F0DE7B6" w14:textId="77777777" w:rsidR="00A43359" w:rsidRPr="00A43359" w:rsidRDefault="00A43359" w:rsidP="00A43359">
      <w:pPr>
        <w:pStyle w:val="Bullet"/>
      </w:pPr>
      <w:r w:rsidRPr="00A43359">
        <w:t>Ask children not to talk with their mouths full.</w:t>
      </w:r>
    </w:p>
    <w:p w14:paraId="037F1779" w14:textId="77777777" w:rsidR="00A43359" w:rsidRPr="00A43359" w:rsidRDefault="00A43359" w:rsidP="00A43359">
      <w:pPr>
        <w:pStyle w:val="Bullet"/>
      </w:pPr>
      <w:r w:rsidRPr="00A43359">
        <w:t>Have children sit up straight when they are eating. Sitting down and maintaining good posture are essential for safe eating and drinking. Do not allow walking, running or playing while children are eating.</w:t>
      </w:r>
    </w:p>
    <w:p w14:paraId="3DB4353B" w14:textId="77777777" w:rsidR="00A43359" w:rsidRPr="00A43359" w:rsidRDefault="00A43359" w:rsidP="00A43359">
      <w:pPr>
        <w:pStyle w:val="Bullet"/>
      </w:pPr>
      <w:r w:rsidRPr="00A43359">
        <w:t>Place food directly in front of the child. This helps to prevent them twisting around to the left or right, which can cause them to lose control of the food in their mouth.</w:t>
      </w:r>
    </w:p>
    <w:p w14:paraId="2F7C0008" w14:textId="77777777" w:rsidR="00A43359" w:rsidRPr="00485156" w:rsidRDefault="00A43359" w:rsidP="00A43359">
      <w:pPr>
        <w:pStyle w:val="ListParagraph"/>
        <w:numPr>
          <w:ilvl w:val="0"/>
          <w:numId w:val="42"/>
        </w:numPr>
        <w:spacing w:before="80" w:after="80"/>
        <w:ind w:left="426" w:hanging="426"/>
        <w:contextualSpacing w:val="0"/>
        <w:rPr>
          <w:b/>
        </w:rPr>
      </w:pPr>
      <w:r w:rsidRPr="00485156">
        <w:rPr>
          <w:b/>
        </w:rPr>
        <w:lastRenderedPageBreak/>
        <w:t>First aid</w:t>
      </w:r>
    </w:p>
    <w:p w14:paraId="4319F2BF" w14:textId="77777777" w:rsidR="00A43359" w:rsidRPr="00B92119" w:rsidRDefault="00A43359" w:rsidP="00A43359">
      <w:r>
        <w:t>Some</w:t>
      </w:r>
      <w:r w:rsidRPr="00B92119">
        <w:t xml:space="preserve"> </w:t>
      </w:r>
      <w:r>
        <w:t xml:space="preserve">teachers and </w:t>
      </w:r>
      <w:proofErr w:type="spellStart"/>
      <w:r w:rsidRPr="00B92119">
        <w:t>kaiako</w:t>
      </w:r>
      <w:proofErr w:type="spellEnd"/>
      <w:r w:rsidRPr="00B92119">
        <w:t xml:space="preserve"> </w:t>
      </w:r>
      <w:r>
        <w:t xml:space="preserve">must </w:t>
      </w:r>
      <w:r w:rsidRPr="00B92119">
        <w:t xml:space="preserve">know what to do if a </w:t>
      </w:r>
      <w:r>
        <w:t xml:space="preserve">baby or </w:t>
      </w:r>
      <w:r w:rsidRPr="00B92119">
        <w:t xml:space="preserve">child </w:t>
      </w:r>
      <w:r>
        <w:t>is choking.</w:t>
      </w:r>
    </w:p>
    <w:p w14:paraId="558259EF" w14:textId="2F9C5BDC" w:rsidR="00A43359" w:rsidRDefault="00A43359" w:rsidP="00A43359">
      <w:pPr>
        <w:pStyle w:val="Bullet"/>
      </w:pPr>
      <w:r w:rsidRPr="00A43359">
        <w:t xml:space="preserve">Teachers and </w:t>
      </w:r>
      <w:proofErr w:type="spellStart"/>
      <w:r w:rsidRPr="00A43359">
        <w:t>kaiako</w:t>
      </w:r>
      <w:proofErr w:type="spellEnd"/>
      <w:r w:rsidRPr="00A43359">
        <w:t xml:space="preserve"> need to know choking first aid and cardiopulmonary resuscitation (CPR). </w:t>
      </w:r>
    </w:p>
    <w:p w14:paraId="1C7CE15D" w14:textId="77777777" w:rsidR="00A43359" w:rsidRPr="00A43359" w:rsidRDefault="00A43359" w:rsidP="00A43359"/>
    <w:p w14:paraId="04C109C8" w14:textId="77777777" w:rsidR="00A43359" w:rsidRPr="00D675B9" w:rsidRDefault="00A43359" w:rsidP="00A43359">
      <w:pPr>
        <w:rPr>
          <w:b/>
        </w:rPr>
      </w:pPr>
      <w:r w:rsidRPr="00353B99">
        <w:t xml:space="preserve">For more information see the </w:t>
      </w:r>
      <w:r w:rsidRPr="000E7691">
        <w:rPr>
          <w:i/>
          <w:iCs/>
        </w:rPr>
        <w:t>Well Child/Tamariki Ora Programme Practitioner Handbook</w:t>
      </w:r>
      <w:r>
        <w:t xml:space="preserve"> available on the </w:t>
      </w:r>
      <w:r w:rsidRPr="00353B99">
        <w:t>Ministry of Health website (</w:t>
      </w:r>
      <w:hyperlink r:id="rId22" w:history="1">
        <w:r w:rsidRPr="000E7691">
          <w:rPr>
            <w:rStyle w:val="Hyperlink"/>
          </w:rPr>
          <w:t>www.health.govt.nz</w:t>
        </w:r>
      </w:hyperlink>
      <w:r>
        <w:t>).</w:t>
      </w:r>
    </w:p>
    <w:p w14:paraId="7CA0FCF8" w14:textId="77777777" w:rsidR="00A43359" w:rsidRPr="00D675B9" w:rsidRDefault="00A43359" w:rsidP="00A43359"/>
    <w:p w14:paraId="4715A297" w14:textId="77777777" w:rsidR="00A43359" w:rsidRPr="00485156" w:rsidRDefault="00A43359" w:rsidP="00A43359">
      <w:pPr>
        <w:pStyle w:val="ListParagraph"/>
        <w:numPr>
          <w:ilvl w:val="0"/>
          <w:numId w:val="42"/>
        </w:numPr>
        <w:spacing w:before="80" w:after="80"/>
        <w:ind w:left="426" w:hanging="426"/>
        <w:contextualSpacing w:val="0"/>
        <w:rPr>
          <w:b/>
        </w:rPr>
      </w:pPr>
      <w:r w:rsidRPr="00485156">
        <w:rPr>
          <w:b/>
        </w:rPr>
        <w:t xml:space="preserve">Providing appropriate food </w:t>
      </w:r>
    </w:p>
    <w:p w14:paraId="240B554C" w14:textId="77777777" w:rsidR="00A43359" w:rsidRDefault="00A43359" w:rsidP="00A43359">
      <w:r>
        <w:t>Research shows that some food poses a greater risk of choking on. To reduce the risk,</w:t>
      </w:r>
      <w:r w:rsidRPr="008B6EC0">
        <w:t xml:space="preserve"> early learning services</w:t>
      </w:r>
      <w:r>
        <w:t xml:space="preserve"> should remove high-risk foods and change the texture or size and shape of others. </w:t>
      </w:r>
    </w:p>
    <w:p w14:paraId="61D4014D" w14:textId="77777777" w:rsidR="00A43359" w:rsidRDefault="00A43359" w:rsidP="00A43359">
      <w:pPr>
        <w:rPr>
          <w:sz w:val="24"/>
          <w:szCs w:val="24"/>
        </w:rPr>
      </w:pPr>
    </w:p>
    <w:p w14:paraId="1D42C5C2" w14:textId="77777777" w:rsidR="00A43359" w:rsidRPr="00B92119" w:rsidRDefault="00A43359" w:rsidP="00A43359">
      <w:pPr>
        <w:pStyle w:val="AlphaParagraph"/>
      </w:pPr>
      <w:r w:rsidRPr="00B92119">
        <w:t>High</w:t>
      </w:r>
      <w:r>
        <w:t>-</w:t>
      </w:r>
      <w:r w:rsidRPr="00B92119">
        <w:t>risk food to exclude</w:t>
      </w:r>
    </w:p>
    <w:p w14:paraId="25A974B3" w14:textId="77777777" w:rsidR="00A43359" w:rsidRPr="00B92119" w:rsidRDefault="00A43359" w:rsidP="00A43359">
      <w:r>
        <w:t>E</w:t>
      </w:r>
      <w:r w:rsidRPr="00B92119">
        <w:t>xclude the following foods</w:t>
      </w:r>
      <w:r>
        <w:t>.</w:t>
      </w:r>
      <w:r w:rsidRPr="00B92119">
        <w:t xml:space="preserve"> </w:t>
      </w:r>
      <w:r>
        <w:t>T</w:t>
      </w:r>
      <w:r w:rsidRPr="00B92119">
        <w:t xml:space="preserve">hey </w:t>
      </w:r>
      <w:r>
        <w:t>have the</w:t>
      </w:r>
      <w:r w:rsidRPr="00B92119">
        <w:t xml:space="preserve"> highest risk of choking </w:t>
      </w:r>
      <w:r>
        <w:t xml:space="preserve">on, </w:t>
      </w:r>
      <w:r w:rsidRPr="00B92119">
        <w:t xml:space="preserve">and </w:t>
      </w:r>
      <w:r>
        <w:t xml:space="preserve">are </w:t>
      </w:r>
      <w:r w:rsidRPr="00B92119">
        <w:t>either not practical to alter, have no or minimal nutritional value, or both:</w:t>
      </w:r>
    </w:p>
    <w:p w14:paraId="70EECCF8" w14:textId="0D46E6FA" w:rsidR="00A43359" w:rsidRPr="00A43359" w:rsidRDefault="003A507D" w:rsidP="00A43359">
      <w:pPr>
        <w:pStyle w:val="Bullet"/>
      </w:pPr>
      <w:r w:rsidRPr="00A43359">
        <w:t>W</w:t>
      </w:r>
      <w:r w:rsidR="00A43359" w:rsidRPr="00A43359">
        <w:t>hole</w:t>
      </w:r>
      <w:r>
        <w:t xml:space="preserve"> nuts</w:t>
      </w:r>
      <w:r w:rsidR="00A43359" w:rsidRPr="00A43359">
        <w:t xml:space="preserve"> or pieces of nuts</w:t>
      </w:r>
    </w:p>
    <w:p w14:paraId="143A2D0C" w14:textId="77777777" w:rsidR="00A43359" w:rsidRPr="00A43359" w:rsidRDefault="00A43359" w:rsidP="00A43359">
      <w:pPr>
        <w:pStyle w:val="Bullet"/>
      </w:pPr>
      <w:r w:rsidRPr="00A43359">
        <w:t>large seeds, like pumpkin or sunflower seeds</w:t>
      </w:r>
    </w:p>
    <w:p w14:paraId="16DEEF04" w14:textId="77777777" w:rsidR="00A43359" w:rsidRPr="00A43359" w:rsidRDefault="00A43359" w:rsidP="00A43359">
      <w:pPr>
        <w:pStyle w:val="Bullet"/>
      </w:pPr>
      <w:r w:rsidRPr="00A43359">
        <w:t>hard or chewy sweets or lollies</w:t>
      </w:r>
    </w:p>
    <w:p w14:paraId="01843523" w14:textId="0402F4CC" w:rsidR="00A43359" w:rsidRPr="00A43359" w:rsidRDefault="00A43359" w:rsidP="00A43359">
      <w:pPr>
        <w:pStyle w:val="Bullet"/>
      </w:pPr>
      <w:r w:rsidRPr="00A43359">
        <w:t>crisps or chippies</w:t>
      </w:r>
      <w:r w:rsidR="00875B4C">
        <w:t xml:space="preserve"> and corn chips</w:t>
      </w:r>
    </w:p>
    <w:p w14:paraId="47F73A89" w14:textId="77777777" w:rsidR="00A43359" w:rsidRPr="00A43359" w:rsidRDefault="00A43359" w:rsidP="00A43359">
      <w:pPr>
        <w:pStyle w:val="Bullet"/>
      </w:pPr>
      <w:r w:rsidRPr="00A43359">
        <w:t>hard rice crackers</w:t>
      </w:r>
    </w:p>
    <w:p w14:paraId="728D63CC" w14:textId="77777777" w:rsidR="00A43359" w:rsidRPr="00A43359" w:rsidRDefault="00A43359" w:rsidP="00A43359">
      <w:pPr>
        <w:pStyle w:val="Bullet"/>
      </w:pPr>
      <w:r w:rsidRPr="00A43359">
        <w:t>dried fruit</w:t>
      </w:r>
    </w:p>
    <w:p w14:paraId="353A8019" w14:textId="77777777" w:rsidR="00A43359" w:rsidRPr="00A43359" w:rsidRDefault="00A43359" w:rsidP="00A43359">
      <w:pPr>
        <w:pStyle w:val="Bullet"/>
      </w:pPr>
      <w:r w:rsidRPr="00A43359">
        <w:t xml:space="preserve">sausages, saveloys and </w:t>
      </w:r>
      <w:proofErr w:type="spellStart"/>
      <w:r w:rsidRPr="00A43359">
        <w:t>cheerios</w:t>
      </w:r>
      <w:proofErr w:type="spellEnd"/>
    </w:p>
    <w:p w14:paraId="205103A5" w14:textId="77777777" w:rsidR="00A43359" w:rsidRPr="00A43359" w:rsidRDefault="00A43359" w:rsidP="00A43359">
      <w:pPr>
        <w:pStyle w:val="Bullet"/>
      </w:pPr>
      <w:r w:rsidRPr="00A43359">
        <w:t>popcorn</w:t>
      </w:r>
    </w:p>
    <w:p w14:paraId="5F058C22" w14:textId="77777777" w:rsidR="00A43359" w:rsidRPr="00A43359" w:rsidRDefault="00A43359" w:rsidP="00A43359">
      <w:pPr>
        <w:pStyle w:val="Bullet"/>
      </w:pPr>
      <w:r w:rsidRPr="00A43359">
        <w:t>marshmallows.</w:t>
      </w:r>
    </w:p>
    <w:p w14:paraId="72DDE138" w14:textId="77777777" w:rsidR="00A43359" w:rsidRPr="00DB2F42" w:rsidRDefault="00A43359" w:rsidP="00A43359"/>
    <w:p w14:paraId="45161EA0" w14:textId="77777777" w:rsidR="00A43359" w:rsidRPr="00B92119" w:rsidRDefault="00A43359" w:rsidP="00A43359">
      <w:pPr>
        <w:pStyle w:val="AlphaParagraph"/>
        <w:ind w:left="425" w:hanging="425"/>
      </w:pPr>
      <w:r w:rsidRPr="00B92119">
        <w:t>High</w:t>
      </w:r>
      <w:r>
        <w:t>-</w:t>
      </w:r>
      <w:r w:rsidRPr="00B92119">
        <w:t>risk food to alter</w:t>
      </w:r>
    </w:p>
    <w:p w14:paraId="7CA1AE92" w14:textId="77777777" w:rsidR="00A43359" w:rsidRDefault="00A43359" w:rsidP="00A43359">
      <w:r w:rsidRPr="00DB2F42">
        <w:t xml:space="preserve">The following table </w:t>
      </w:r>
      <w:r>
        <w:t>shows</w:t>
      </w:r>
      <w:r w:rsidRPr="00DB2F42">
        <w:t xml:space="preserve"> which foods to alter, why and how to do it </w:t>
      </w:r>
      <w:r>
        <w:t xml:space="preserve">for different age groups. </w:t>
      </w:r>
    </w:p>
    <w:p w14:paraId="61B31E0F" w14:textId="77777777" w:rsidR="00A43359" w:rsidRPr="00DB2F42" w:rsidRDefault="00A43359" w:rsidP="00A43359">
      <w:pPr>
        <w:ind w:left="425"/>
      </w:pPr>
    </w:p>
    <w:p w14:paraId="179FDDB9" w14:textId="77777777" w:rsidR="00A43359" w:rsidRDefault="00A43359" w:rsidP="00A43359">
      <w:pPr>
        <w:rPr>
          <w:rStyle w:val="Hyperlink"/>
        </w:rPr>
        <w:sectPr w:rsidR="00A43359" w:rsidSect="00C10E1D">
          <w:pgSz w:w="11907" w:h="16834" w:code="9"/>
          <w:pgMar w:top="1418" w:right="1701" w:bottom="1418" w:left="1843" w:header="284" w:footer="709" w:gutter="284"/>
          <w:pgNumType w:start="1"/>
          <w:cols w:space="720"/>
          <w:docGrid w:linePitch="286"/>
        </w:sectPr>
      </w:pPr>
      <w:r w:rsidRPr="00A43359">
        <w:t xml:space="preserve">Information on appropriate food textures for </w:t>
      </w:r>
      <w:proofErr w:type="spellStart"/>
      <w:r w:rsidRPr="00A43359">
        <w:t>newborns</w:t>
      </w:r>
      <w:proofErr w:type="spellEnd"/>
      <w:r w:rsidRPr="00A43359">
        <w:t xml:space="preserve"> to one-year-olds is consistent with the Ministry of Health complementary feeding advice. See Eating for Healthy Babies and Toddlers </w:t>
      </w:r>
      <w:hyperlink r:id="rId23" w:history="1">
        <w:r w:rsidRPr="00860B47">
          <w:rPr>
            <w:rStyle w:val="Hyperlink"/>
          </w:rPr>
          <w:t>https://www.healthed.govt.nz/resource/eating-healthy-babies-and-toddlersng%C4%81-kai-t%C5%8Dtika-m%C5%8D-te-hunga-k%C5%8Dhungahunga</w:t>
        </w:r>
      </w:hyperlink>
    </w:p>
    <w:p w14:paraId="12B71CA5" w14:textId="77777777" w:rsidR="00A43359" w:rsidRPr="00A43359" w:rsidRDefault="00A43359" w:rsidP="00A43359">
      <w:pPr>
        <w:pStyle w:val="Heading2"/>
        <w:spacing w:before="0"/>
      </w:pPr>
      <w:bookmarkStart w:id="6" w:name="_Toc56609918"/>
      <w:r w:rsidRPr="00A43359">
        <w:lastRenderedPageBreak/>
        <w:t>How to alter high-risk food to lower its choking risk</w:t>
      </w:r>
      <w:bookmarkEnd w:id="6"/>
    </w:p>
    <w:tbl>
      <w:tblPr>
        <w:tblStyle w:val="TableGrid"/>
        <w:tblW w:w="14029" w:type="dxa"/>
        <w:tblBorders>
          <w:top w:val="single" w:sz="4" w:space="0" w:color="A6A6A6" w:themeColor="background1" w:themeShade="A6"/>
          <w:left w:val="none" w:sz="0" w:space="0" w:color="auto"/>
          <w:bottom w:val="single" w:sz="4" w:space="0" w:color="A6A6A6" w:themeColor="background1" w:themeShade="A6"/>
          <w:right w:val="none" w:sz="0" w:space="0" w:color="auto"/>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980"/>
        <w:gridCol w:w="2268"/>
        <w:gridCol w:w="3118"/>
        <w:gridCol w:w="3402"/>
        <w:gridCol w:w="3261"/>
      </w:tblGrid>
      <w:tr w:rsidR="00A43359" w14:paraId="050B83D1" w14:textId="77777777" w:rsidTr="00A43359">
        <w:trPr>
          <w:tblHeader/>
        </w:trPr>
        <w:tc>
          <w:tcPr>
            <w:tcW w:w="1980" w:type="dxa"/>
            <w:vMerge w:val="restart"/>
            <w:shd w:val="clear" w:color="auto" w:fill="D9D9D9" w:themeFill="background1" w:themeFillShade="D9"/>
          </w:tcPr>
          <w:p w14:paraId="15D2A257" w14:textId="77777777" w:rsidR="00A43359" w:rsidRPr="00287365" w:rsidRDefault="00A43359" w:rsidP="00A43359">
            <w:pPr>
              <w:pStyle w:val="TableHeading"/>
              <w:spacing w:before="40" w:after="40"/>
            </w:pPr>
            <w:r w:rsidRPr="00287365">
              <w:t>Food characteristics</w:t>
            </w:r>
          </w:p>
        </w:tc>
        <w:tc>
          <w:tcPr>
            <w:tcW w:w="2268" w:type="dxa"/>
            <w:vMerge w:val="restart"/>
            <w:shd w:val="clear" w:color="auto" w:fill="D9D9D9" w:themeFill="background1" w:themeFillShade="D9"/>
            <w:vAlign w:val="center"/>
          </w:tcPr>
          <w:p w14:paraId="4CAA8E85" w14:textId="77777777" w:rsidR="00A43359" w:rsidRPr="00287365" w:rsidRDefault="00A43359" w:rsidP="00A43359">
            <w:pPr>
              <w:pStyle w:val="TableHeading"/>
              <w:spacing w:before="40" w:after="40"/>
            </w:pPr>
            <w:r>
              <w:t>E</w:t>
            </w:r>
            <w:r w:rsidRPr="00287365">
              <w:t>xamples</w:t>
            </w:r>
          </w:p>
        </w:tc>
        <w:tc>
          <w:tcPr>
            <w:tcW w:w="3118" w:type="dxa"/>
            <w:vMerge w:val="restart"/>
            <w:shd w:val="clear" w:color="auto" w:fill="D9D9D9" w:themeFill="background1" w:themeFillShade="D9"/>
            <w:vAlign w:val="center"/>
          </w:tcPr>
          <w:p w14:paraId="462A6914" w14:textId="77777777" w:rsidR="00A43359" w:rsidRPr="00287365" w:rsidRDefault="00A43359" w:rsidP="00A43359">
            <w:pPr>
              <w:pStyle w:val="TableHeading"/>
              <w:spacing w:before="40" w:after="40"/>
            </w:pPr>
            <w:r>
              <w:t>C</w:t>
            </w:r>
            <w:r w:rsidRPr="00287365">
              <w:t>hoking risk</w:t>
            </w:r>
          </w:p>
        </w:tc>
        <w:tc>
          <w:tcPr>
            <w:tcW w:w="6663" w:type="dxa"/>
            <w:gridSpan w:val="2"/>
            <w:shd w:val="clear" w:color="auto" w:fill="D9D9D9" w:themeFill="background1" w:themeFillShade="D9"/>
            <w:vAlign w:val="center"/>
          </w:tcPr>
          <w:p w14:paraId="640DEB5F" w14:textId="77777777" w:rsidR="00A43359" w:rsidRPr="00287365" w:rsidRDefault="00A43359" w:rsidP="00A43359">
            <w:pPr>
              <w:pStyle w:val="TableHeading"/>
              <w:spacing w:before="40" w:after="40"/>
              <w:jc w:val="center"/>
            </w:pPr>
            <w:r w:rsidRPr="00287365">
              <w:t>Changes to reduce risk</w:t>
            </w:r>
          </w:p>
        </w:tc>
      </w:tr>
      <w:tr w:rsidR="00A43359" w14:paraId="73B17BD8" w14:textId="77777777" w:rsidTr="00A43359">
        <w:trPr>
          <w:tblHeader/>
        </w:trPr>
        <w:tc>
          <w:tcPr>
            <w:tcW w:w="1980" w:type="dxa"/>
            <w:vMerge/>
            <w:shd w:val="clear" w:color="auto" w:fill="D9D9D9" w:themeFill="background1" w:themeFillShade="D9"/>
          </w:tcPr>
          <w:p w14:paraId="25CC9669" w14:textId="77777777" w:rsidR="00A43359" w:rsidRPr="00287365" w:rsidRDefault="00A43359" w:rsidP="00A43359">
            <w:pPr>
              <w:pStyle w:val="TableHeading"/>
              <w:spacing w:before="40" w:after="40"/>
            </w:pPr>
          </w:p>
        </w:tc>
        <w:tc>
          <w:tcPr>
            <w:tcW w:w="2268" w:type="dxa"/>
            <w:vMerge/>
            <w:shd w:val="clear" w:color="auto" w:fill="D9D9D9" w:themeFill="background1" w:themeFillShade="D9"/>
          </w:tcPr>
          <w:p w14:paraId="34B2F770" w14:textId="77777777" w:rsidR="00A43359" w:rsidRPr="00287365" w:rsidRDefault="00A43359" w:rsidP="00A43359">
            <w:pPr>
              <w:pStyle w:val="TableHeading"/>
              <w:spacing w:before="40" w:after="40"/>
            </w:pPr>
          </w:p>
        </w:tc>
        <w:tc>
          <w:tcPr>
            <w:tcW w:w="3118" w:type="dxa"/>
            <w:vMerge/>
            <w:shd w:val="clear" w:color="auto" w:fill="D9D9D9" w:themeFill="background1" w:themeFillShade="D9"/>
          </w:tcPr>
          <w:p w14:paraId="50CB4D7E" w14:textId="77777777" w:rsidR="00A43359" w:rsidRPr="00287365" w:rsidRDefault="00A43359" w:rsidP="00A43359">
            <w:pPr>
              <w:pStyle w:val="TableHeading"/>
              <w:spacing w:before="40" w:after="40"/>
            </w:pPr>
          </w:p>
        </w:tc>
        <w:tc>
          <w:tcPr>
            <w:tcW w:w="3402" w:type="dxa"/>
            <w:shd w:val="clear" w:color="auto" w:fill="D9D9D9" w:themeFill="background1" w:themeFillShade="D9"/>
            <w:vAlign w:val="center"/>
          </w:tcPr>
          <w:p w14:paraId="2268B165" w14:textId="77777777" w:rsidR="00A43359" w:rsidRPr="009F5FEC" w:rsidRDefault="00A43359" w:rsidP="00A43359">
            <w:pPr>
              <w:pStyle w:val="TableHeading"/>
              <w:jc w:val="center"/>
            </w:pPr>
            <w:r w:rsidRPr="009F5FEC">
              <w:t>1</w:t>
            </w:r>
            <w:r>
              <w:t>–</w:t>
            </w:r>
            <w:r w:rsidRPr="009F5FEC">
              <w:t>3 years</w:t>
            </w:r>
            <w:r>
              <w:t xml:space="preserve"> old</w:t>
            </w:r>
          </w:p>
        </w:tc>
        <w:tc>
          <w:tcPr>
            <w:tcW w:w="3261" w:type="dxa"/>
            <w:shd w:val="clear" w:color="auto" w:fill="D9D9D9" w:themeFill="background1" w:themeFillShade="D9"/>
            <w:vAlign w:val="center"/>
          </w:tcPr>
          <w:p w14:paraId="256A2245" w14:textId="77777777" w:rsidR="00A43359" w:rsidRPr="009F5FEC" w:rsidRDefault="00A43359" w:rsidP="00A43359">
            <w:pPr>
              <w:pStyle w:val="TableHeading"/>
              <w:jc w:val="center"/>
            </w:pPr>
            <w:r>
              <w:t>4–</w:t>
            </w:r>
            <w:r w:rsidRPr="009F5FEC">
              <w:t>6 years</w:t>
            </w:r>
            <w:r>
              <w:t xml:space="preserve"> old</w:t>
            </w:r>
          </w:p>
        </w:tc>
      </w:tr>
      <w:tr w:rsidR="00A43359" w14:paraId="03197608" w14:textId="77777777" w:rsidTr="00A43359">
        <w:trPr>
          <w:trHeight w:val="892"/>
        </w:trPr>
        <w:tc>
          <w:tcPr>
            <w:tcW w:w="1980" w:type="dxa"/>
          </w:tcPr>
          <w:p w14:paraId="7AE8F1F2" w14:textId="77777777" w:rsidR="00A43359" w:rsidRPr="00A43359" w:rsidRDefault="00A43359" w:rsidP="000E3F27">
            <w:pPr>
              <w:pStyle w:val="TableText0"/>
              <w:spacing w:before="160"/>
              <w:rPr>
                <w:b/>
              </w:rPr>
            </w:pPr>
            <w:bookmarkStart w:id="7" w:name="_Hlk68595059"/>
            <w:r w:rsidRPr="00A43359">
              <w:rPr>
                <w:b/>
              </w:rPr>
              <w:t>Small hard food</w:t>
            </w:r>
          </w:p>
        </w:tc>
        <w:tc>
          <w:tcPr>
            <w:tcW w:w="2268" w:type="dxa"/>
          </w:tcPr>
          <w:p w14:paraId="5596C115" w14:textId="77777777" w:rsidR="00A43359" w:rsidRDefault="00A43359" w:rsidP="000E3F27">
            <w:pPr>
              <w:pStyle w:val="TableBullet0"/>
              <w:spacing w:before="160"/>
            </w:pPr>
            <w:r>
              <w:t>Pieces of raw carrot, apple or celery</w:t>
            </w:r>
          </w:p>
        </w:tc>
        <w:tc>
          <w:tcPr>
            <w:tcW w:w="3118" w:type="dxa"/>
          </w:tcPr>
          <w:p w14:paraId="137A1953" w14:textId="77777777" w:rsidR="00A43359" w:rsidRDefault="00A43359" w:rsidP="000E3F27">
            <w:pPr>
              <w:pStyle w:val="TableText0"/>
              <w:spacing w:before="160"/>
            </w:pPr>
            <w:r>
              <w:t>Difficult for young children to bite through and break down enough to swallow safely. Pieces can become stuck in children’s airways.</w:t>
            </w:r>
          </w:p>
        </w:tc>
        <w:tc>
          <w:tcPr>
            <w:tcW w:w="3402" w:type="dxa"/>
          </w:tcPr>
          <w:p w14:paraId="3913A9A2" w14:textId="7333FE62" w:rsidR="003F71D0" w:rsidRDefault="00A43359" w:rsidP="000E3F27">
            <w:pPr>
              <w:pStyle w:val="TableBullet0"/>
              <w:spacing w:before="160"/>
            </w:pPr>
            <w:r w:rsidRPr="00A43359">
              <w:t>Grate raw carrot, apple or celery</w:t>
            </w:r>
            <w:r w:rsidR="003F71D0">
              <w:t xml:space="preserve">; </w:t>
            </w:r>
            <w:r w:rsidR="003F71D0">
              <w:rPr>
                <w:b/>
                <w:bCs/>
              </w:rPr>
              <w:t>or</w:t>
            </w:r>
          </w:p>
          <w:p w14:paraId="7228E5DD" w14:textId="77777777" w:rsidR="0041283E" w:rsidRDefault="0041283E" w:rsidP="00A43359">
            <w:pPr>
              <w:pStyle w:val="TableBullet0"/>
            </w:pPr>
            <w:r>
              <w:t>S</w:t>
            </w:r>
            <w:r w:rsidR="00A43359" w:rsidRPr="00A43359">
              <w:t>piralise to create vegetable or fruit spirals</w:t>
            </w:r>
            <w:r>
              <w:t xml:space="preserve">; </w:t>
            </w:r>
            <w:r>
              <w:rPr>
                <w:b/>
                <w:bCs/>
              </w:rPr>
              <w:t>or</w:t>
            </w:r>
            <w:r w:rsidR="00A43359" w:rsidRPr="00A43359">
              <w:t xml:space="preserve"> </w:t>
            </w:r>
          </w:p>
          <w:p w14:paraId="4E2A3EB2" w14:textId="7E8E549F" w:rsidR="00A43359" w:rsidRPr="00A43359" w:rsidRDefault="0041283E" w:rsidP="00A43359">
            <w:pPr>
              <w:pStyle w:val="TableBullet0"/>
            </w:pPr>
            <w:r>
              <w:t>S</w:t>
            </w:r>
            <w:r w:rsidR="00A43359" w:rsidRPr="00A43359">
              <w:t>lice thinly using a mandolin</w:t>
            </w:r>
            <w:r>
              <w:t xml:space="preserve"> or vegetable peeler; </w:t>
            </w:r>
            <w:r>
              <w:rPr>
                <w:b/>
                <w:bCs/>
              </w:rPr>
              <w:t>or</w:t>
            </w:r>
          </w:p>
          <w:p w14:paraId="45B41FAF" w14:textId="0D63110A" w:rsidR="00641071" w:rsidRPr="00A43359" w:rsidRDefault="00A43359" w:rsidP="000E3F27">
            <w:pPr>
              <w:pStyle w:val="TableBullet0"/>
              <w:spacing w:after="160"/>
            </w:pPr>
            <w:r w:rsidRPr="00A43359">
              <w:t>Cook until soft</w:t>
            </w:r>
            <w:r w:rsidRPr="00A43359">
              <w:rPr>
                <w:rStyle w:val="FootnoteReference"/>
              </w:rPr>
              <w:footnoteReference w:id="2"/>
            </w:r>
            <w:r w:rsidRPr="00A43359">
              <w:rPr>
                <w:vertAlign w:val="superscript"/>
              </w:rPr>
              <w:t xml:space="preserve"> </w:t>
            </w:r>
            <w:r w:rsidRPr="00A43359">
              <w:t>and cut into strips (around 4–6 cm long) that can be picked up with one hand.</w:t>
            </w:r>
          </w:p>
        </w:tc>
        <w:tc>
          <w:tcPr>
            <w:tcW w:w="3261" w:type="dxa"/>
          </w:tcPr>
          <w:p w14:paraId="2A30616E" w14:textId="77777777" w:rsidR="00A43359" w:rsidRPr="00A43359" w:rsidRDefault="00A43359" w:rsidP="000E3F27">
            <w:pPr>
              <w:pStyle w:val="TableBullet0"/>
              <w:spacing w:before="160"/>
            </w:pPr>
            <w:r w:rsidRPr="00A43359">
              <w:t>Prepare as for 1–3 years.</w:t>
            </w:r>
          </w:p>
          <w:p w14:paraId="1D167F2C" w14:textId="2B14C012" w:rsidR="00A43359" w:rsidRPr="00A43359" w:rsidRDefault="00D12F2C" w:rsidP="00A43359">
            <w:pPr>
              <w:pStyle w:val="TableBullet0"/>
            </w:pPr>
            <w:r>
              <w:t>Cut r</w:t>
            </w:r>
            <w:r w:rsidR="00A43359" w:rsidRPr="00A43359">
              <w:t>aw vegetables or fruit into sticks (approximately 4–6 cm long) that can be picked up with one hand.</w:t>
            </w:r>
          </w:p>
        </w:tc>
      </w:tr>
      <w:bookmarkEnd w:id="7"/>
      <w:tr w:rsidR="00A43359" w14:paraId="3CD0F5BC" w14:textId="77777777" w:rsidTr="009B6A8C">
        <w:tc>
          <w:tcPr>
            <w:tcW w:w="1980" w:type="dxa"/>
          </w:tcPr>
          <w:p w14:paraId="1ADDA75B" w14:textId="77777777" w:rsidR="00A43359" w:rsidRDefault="00A43359" w:rsidP="000E3F27">
            <w:pPr>
              <w:pStyle w:val="TableText0"/>
              <w:spacing w:before="160"/>
              <w:rPr>
                <w:b/>
              </w:rPr>
            </w:pPr>
            <w:r w:rsidRPr="00A43359">
              <w:rPr>
                <w:b/>
              </w:rPr>
              <w:t>Small round or oval food</w:t>
            </w:r>
          </w:p>
          <w:p w14:paraId="343DCA2F" w14:textId="77777777" w:rsidR="00DB01A7" w:rsidRDefault="00DB01A7" w:rsidP="000E3F27">
            <w:pPr>
              <w:pStyle w:val="TableText0"/>
              <w:spacing w:before="160"/>
              <w:rPr>
                <w:b/>
              </w:rPr>
            </w:pPr>
          </w:p>
          <w:p w14:paraId="3E012F84" w14:textId="77777777" w:rsidR="00DB01A7" w:rsidRDefault="00DB01A7" w:rsidP="000E3F27">
            <w:pPr>
              <w:pStyle w:val="TableText0"/>
              <w:spacing w:before="160"/>
              <w:rPr>
                <w:b/>
              </w:rPr>
            </w:pPr>
          </w:p>
          <w:p w14:paraId="6DAC3FFE" w14:textId="77777777" w:rsidR="00DB01A7" w:rsidRDefault="00DB01A7" w:rsidP="000E3F27">
            <w:pPr>
              <w:pStyle w:val="TableText0"/>
              <w:spacing w:before="160"/>
              <w:rPr>
                <w:b/>
              </w:rPr>
            </w:pPr>
          </w:p>
          <w:p w14:paraId="57AFCDCB" w14:textId="77777777" w:rsidR="00DB01A7" w:rsidRDefault="00DB01A7" w:rsidP="000E3F27">
            <w:pPr>
              <w:pStyle w:val="TableText0"/>
              <w:spacing w:before="160"/>
              <w:rPr>
                <w:b/>
              </w:rPr>
            </w:pPr>
          </w:p>
          <w:p w14:paraId="000F48EA" w14:textId="77777777" w:rsidR="00DB01A7" w:rsidRDefault="00DB01A7" w:rsidP="000E3F27">
            <w:pPr>
              <w:pStyle w:val="TableText0"/>
              <w:spacing w:before="160"/>
              <w:rPr>
                <w:b/>
              </w:rPr>
            </w:pPr>
          </w:p>
          <w:p w14:paraId="02D1C97B" w14:textId="44CE177F" w:rsidR="00DB01A7" w:rsidRPr="00DB01A7" w:rsidRDefault="00DB01A7" w:rsidP="00DB01A7">
            <w:pPr>
              <w:pStyle w:val="TableText0"/>
              <w:spacing w:before="160"/>
              <w:ind w:left="0"/>
              <w:rPr>
                <w:bCs/>
              </w:rPr>
            </w:pPr>
            <w:r w:rsidRPr="00B7559F">
              <w:rPr>
                <w:b/>
              </w:rPr>
              <w:lastRenderedPageBreak/>
              <w:t>Small round or oval food</w:t>
            </w:r>
            <w:r>
              <w:rPr>
                <w:bCs/>
              </w:rPr>
              <w:t xml:space="preserve"> </w:t>
            </w:r>
            <w:r w:rsidRPr="00B7559F">
              <w:rPr>
                <w:bCs/>
                <w:i/>
                <w:iCs/>
              </w:rPr>
              <w:t>continued</w:t>
            </w:r>
          </w:p>
        </w:tc>
        <w:tc>
          <w:tcPr>
            <w:tcW w:w="2268" w:type="dxa"/>
          </w:tcPr>
          <w:p w14:paraId="1A08E519" w14:textId="0CD00006" w:rsidR="009A6D4E" w:rsidRDefault="00A43359" w:rsidP="000E3F27">
            <w:pPr>
              <w:pStyle w:val="TableBullet0"/>
              <w:spacing w:before="160"/>
            </w:pPr>
            <w:r w:rsidRPr="009F5FEC">
              <w:lastRenderedPageBreak/>
              <w:t>Fruit with stones</w:t>
            </w:r>
            <w:r w:rsidR="008C6BE4">
              <w:t xml:space="preserve"> like peaches and plums</w:t>
            </w:r>
          </w:p>
          <w:p w14:paraId="452B2C7B" w14:textId="229D8B32" w:rsidR="00A43359" w:rsidRDefault="009A6D4E" w:rsidP="00C715B1">
            <w:pPr>
              <w:pStyle w:val="TableBullet0"/>
            </w:pPr>
            <w:r>
              <w:t xml:space="preserve">Fruit with </w:t>
            </w:r>
            <w:r w:rsidR="00A43359" w:rsidRPr="009F5FEC">
              <w:t>large seeds or large pips like watermelon</w:t>
            </w:r>
            <w:r w:rsidR="001D37DA">
              <w:t xml:space="preserve"> and papaya</w:t>
            </w:r>
          </w:p>
          <w:p w14:paraId="3B1E51A3" w14:textId="07F2D525" w:rsidR="00A43359" w:rsidRPr="009F5FEC" w:rsidRDefault="001D37DA" w:rsidP="005905CA">
            <w:pPr>
              <w:pStyle w:val="TableBullet0"/>
              <w:spacing w:after="120"/>
            </w:pPr>
            <w:r>
              <w:t xml:space="preserve">Small round </w:t>
            </w:r>
            <w:r w:rsidR="00DE64AA">
              <w:t>f</w:t>
            </w:r>
            <w:r>
              <w:t>oods like g</w:t>
            </w:r>
            <w:r w:rsidR="00A43359">
              <w:t>rapes, berries, cherry tomatoes</w:t>
            </w:r>
            <w:r w:rsidR="00DE64AA">
              <w:t xml:space="preserve"> </w:t>
            </w:r>
            <w:r w:rsidR="00DE64AA">
              <w:lastRenderedPageBreak/>
              <w:t>and r</w:t>
            </w:r>
            <w:r w:rsidR="00A43359">
              <w:t>aw g</w:t>
            </w:r>
            <w:r w:rsidR="00A43359" w:rsidRPr="00F12DB6">
              <w:t>reen peas</w:t>
            </w:r>
            <w:r w:rsidR="00A76BB2">
              <w:t>.</w:t>
            </w:r>
          </w:p>
        </w:tc>
        <w:tc>
          <w:tcPr>
            <w:tcW w:w="3118" w:type="dxa"/>
          </w:tcPr>
          <w:p w14:paraId="152EB6C1" w14:textId="77777777" w:rsidR="00A43359" w:rsidRDefault="00A43359" w:rsidP="000E3F27">
            <w:pPr>
              <w:pStyle w:val="TableText0"/>
              <w:spacing w:before="160"/>
              <w:rPr>
                <w:sz w:val="24"/>
                <w:szCs w:val="24"/>
              </w:rPr>
            </w:pPr>
            <w:r>
              <w:lastRenderedPageBreak/>
              <w:t>Small round foods</w:t>
            </w:r>
            <w:r w:rsidRPr="009F5FEC">
              <w:t xml:space="preserve"> can lodge in children’s airways.</w:t>
            </w:r>
          </w:p>
          <w:p w14:paraId="3C25CA1A" w14:textId="77777777" w:rsidR="00A43359" w:rsidRDefault="00A43359" w:rsidP="00C715B1">
            <w:pPr>
              <w:pStyle w:val="TableText0"/>
              <w:rPr>
                <w:sz w:val="24"/>
                <w:szCs w:val="24"/>
              </w:rPr>
            </w:pPr>
          </w:p>
        </w:tc>
        <w:tc>
          <w:tcPr>
            <w:tcW w:w="3402" w:type="dxa"/>
          </w:tcPr>
          <w:p w14:paraId="7B0305B8" w14:textId="2A09F8F7" w:rsidR="00CC3D32" w:rsidRDefault="00A43359" w:rsidP="000E3F27">
            <w:pPr>
              <w:pStyle w:val="TableBullet0"/>
              <w:spacing w:before="160"/>
            </w:pPr>
            <w:r w:rsidRPr="00A43359">
              <w:t xml:space="preserve">Remove </w:t>
            </w:r>
            <w:r w:rsidR="00CC3D32">
              <w:t xml:space="preserve">the </w:t>
            </w:r>
            <w:r w:rsidRPr="00A43359">
              <w:t xml:space="preserve">stone </w:t>
            </w:r>
            <w:r w:rsidR="00CC3D32">
              <w:t>and chop to an 8mm x</w:t>
            </w:r>
            <w:r w:rsidR="003F5D99">
              <w:t xml:space="preserve"> 8mm size or smaller</w:t>
            </w:r>
            <w:r w:rsidR="009E6FEA">
              <w:t xml:space="preserve"> </w:t>
            </w:r>
            <w:r w:rsidR="003F5D99" w:rsidRPr="00A43359">
              <w:t>(about half the width of a standard dinner fork).</w:t>
            </w:r>
          </w:p>
          <w:p w14:paraId="10C725EF" w14:textId="23CE3432" w:rsidR="00A43359" w:rsidRPr="00A43359" w:rsidRDefault="009E6FEA" w:rsidP="00C715B1">
            <w:pPr>
              <w:pStyle w:val="TableBullet0"/>
            </w:pPr>
            <w:r>
              <w:t xml:space="preserve">Remove </w:t>
            </w:r>
            <w:r w:rsidR="00A43359" w:rsidRPr="00A43359">
              <w:t>large seeds or large pips.</w:t>
            </w:r>
          </w:p>
          <w:p w14:paraId="4306F72C" w14:textId="6333D003" w:rsidR="00A43359" w:rsidRPr="00A43359" w:rsidRDefault="00A43359" w:rsidP="00776781">
            <w:pPr>
              <w:pStyle w:val="TableBullet0"/>
              <w:spacing w:after="120"/>
            </w:pPr>
            <w:r w:rsidRPr="00A43359">
              <w:t xml:space="preserve">Quarter or finely chop grapes, </w:t>
            </w:r>
            <w:r w:rsidR="002034B1">
              <w:t xml:space="preserve">large </w:t>
            </w:r>
            <w:r w:rsidRPr="00A43359">
              <w:t xml:space="preserve">berries and cherry </w:t>
            </w:r>
            <w:r w:rsidR="00055FA9">
              <w:t>to</w:t>
            </w:r>
            <w:r w:rsidRPr="00A43359">
              <w:t>matoes to an 8mm x 8mm size or smaller</w:t>
            </w:r>
            <w:r w:rsidR="002034B1">
              <w:t>.</w:t>
            </w:r>
            <w:r w:rsidRPr="00A43359">
              <w:t xml:space="preserve"> </w:t>
            </w:r>
          </w:p>
          <w:p w14:paraId="63B85698" w14:textId="087712F4" w:rsidR="00641071" w:rsidRPr="00A43359" w:rsidRDefault="00A43359" w:rsidP="00BD6CBD">
            <w:pPr>
              <w:pStyle w:val="TableBullet0"/>
              <w:spacing w:after="120"/>
            </w:pPr>
            <w:r w:rsidRPr="00A43359">
              <w:lastRenderedPageBreak/>
              <w:t xml:space="preserve">Cook </w:t>
            </w:r>
            <w:r w:rsidR="002034B1">
              <w:t xml:space="preserve">raw and frozen green peas </w:t>
            </w:r>
            <w:r w:rsidRPr="00A43359">
              <w:t>and squash with a fork.</w:t>
            </w:r>
          </w:p>
        </w:tc>
        <w:tc>
          <w:tcPr>
            <w:tcW w:w="3261" w:type="dxa"/>
          </w:tcPr>
          <w:p w14:paraId="36304F14" w14:textId="3EC3F9DF" w:rsidR="00521791" w:rsidRDefault="00E01D39" w:rsidP="000E3F27">
            <w:pPr>
              <w:pStyle w:val="TableBullet0"/>
              <w:spacing w:before="160"/>
            </w:pPr>
            <w:r>
              <w:lastRenderedPageBreak/>
              <w:t xml:space="preserve">Cut into sticks </w:t>
            </w:r>
            <w:r w:rsidR="00F961BF">
              <w:t>(</w:t>
            </w:r>
            <w:r w:rsidR="00F961BF" w:rsidRPr="00A43359">
              <w:t>a</w:t>
            </w:r>
            <w:r w:rsidR="001B6F87">
              <w:t>round</w:t>
            </w:r>
            <w:r w:rsidR="00F961BF" w:rsidRPr="00A43359">
              <w:t xml:space="preserve"> 4–6 cm long) that can be picked up with one hand.</w:t>
            </w:r>
          </w:p>
          <w:p w14:paraId="31DF0353" w14:textId="066945A4" w:rsidR="00A43359" w:rsidRPr="00A43359" w:rsidRDefault="00A43359" w:rsidP="00C715B1">
            <w:pPr>
              <w:pStyle w:val="TableBullet0"/>
            </w:pPr>
            <w:r w:rsidRPr="00A43359">
              <w:t xml:space="preserve">Halve or quarter grapes, </w:t>
            </w:r>
            <w:r w:rsidR="00094647">
              <w:t xml:space="preserve">large </w:t>
            </w:r>
            <w:r w:rsidRPr="00A43359">
              <w:t>berries and cherry tomatoes</w:t>
            </w:r>
            <w:r w:rsidR="00094647">
              <w:t>.</w:t>
            </w:r>
          </w:p>
          <w:p w14:paraId="538F5587" w14:textId="77777777" w:rsidR="00A43359" w:rsidRPr="00A43359" w:rsidRDefault="00A43359" w:rsidP="00C715B1">
            <w:pPr>
              <w:pStyle w:val="TableBullet0"/>
            </w:pPr>
            <w:r w:rsidRPr="00A43359">
              <w:t>Whole cooked green peas are acceptable.</w:t>
            </w:r>
          </w:p>
        </w:tc>
      </w:tr>
      <w:tr w:rsidR="008B739D" w14:paraId="24A6A04B" w14:textId="77777777" w:rsidTr="00721671">
        <w:trPr>
          <w:trHeight w:val="892"/>
        </w:trPr>
        <w:tc>
          <w:tcPr>
            <w:tcW w:w="1980" w:type="dxa"/>
          </w:tcPr>
          <w:p w14:paraId="1458F7FB" w14:textId="6A62282E" w:rsidR="008B739D" w:rsidRPr="00A43359" w:rsidRDefault="008B739D" w:rsidP="000E3F27">
            <w:pPr>
              <w:pStyle w:val="TableText0"/>
              <w:spacing w:before="160"/>
              <w:rPr>
                <w:b/>
              </w:rPr>
            </w:pPr>
            <w:r>
              <w:rPr>
                <w:b/>
              </w:rPr>
              <w:t>Fruit with skin</w:t>
            </w:r>
          </w:p>
        </w:tc>
        <w:tc>
          <w:tcPr>
            <w:tcW w:w="2268" w:type="dxa"/>
          </w:tcPr>
          <w:p w14:paraId="72ED9009" w14:textId="77777777" w:rsidR="008B739D" w:rsidRDefault="008B739D" w:rsidP="000E3F27">
            <w:pPr>
              <w:pStyle w:val="TableBullet0"/>
              <w:spacing w:before="160"/>
            </w:pPr>
            <w:r>
              <w:t>Peaches</w:t>
            </w:r>
          </w:p>
          <w:p w14:paraId="1EBB9CD0" w14:textId="77777777" w:rsidR="008B739D" w:rsidRDefault="008B739D" w:rsidP="008B739D">
            <w:pPr>
              <w:pStyle w:val="TableBullet0"/>
            </w:pPr>
            <w:r>
              <w:t>Plums</w:t>
            </w:r>
          </w:p>
          <w:p w14:paraId="1E7B8EA3" w14:textId="77777777" w:rsidR="008B739D" w:rsidRDefault="008B739D" w:rsidP="008B739D">
            <w:pPr>
              <w:pStyle w:val="TableBullet0"/>
            </w:pPr>
            <w:r>
              <w:t>Nectarines</w:t>
            </w:r>
          </w:p>
          <w:p w14:paraId="051BCA1A" w14:textId="77777777" w:rsidR="008B739D" w:rsidRDefault="008B739D" w:rsidP="008B739D">
            <w:pPr>
              <w:pStyle w:val="TableBullet0"/>
            </w:pPr>
            <w:r>
              <w:t>Apples</w:t>
            </w:r>
          </w:p>
          <w:p w14:paraId="1624F47B" w14:textId="77777777" w:rsidR="008B739D" w:rsidRDefault="008B739D" w:rsidP="008B739D">
            <w:pPr>
              <w:pStyle w:val="TableBullet0"/>
            </w:pPr>
            <w:r>
              <w:t>Pears</w:t>
            </w:r>
          </w:p>
          <w:p w14:paraId="342E20F1" w14:textId="22C3CC88" w:rsidR="008B739D" w:rsidRDefault="008B739D" w:rsidP="008B739D">
            <w:pPr>
              <w:pStyle w:val="TableBullet0"/>
            </w:pPr>
            <w:r>
              <w:t>Tomatoes</w:t>
            </w:r>
          </w:p>
        </w:tc>
        <w:tc>
          <w:tcPr>
            <w:tcW w:w="3118" w:type="dxa"/>
          </w:tcPr>
          <w:p w14:paraId="68B27F56" w14:textId="7E381F8D" w:rsidR="008B739D" w:rsidRDefault="008B739D" w:rsidP="000E3F27">
            <w:pPr>
              <w:pStyle w:val="TableText0"/>
              <w:spacing w:before="160"/>
            </w:pPr>
            <w:r>
              <w:t>Fruit skins are difficult to chew and can completely seal children’s airways.</w:t>
            </w:r>
          </w:p>
        </w:tc>
        <w:tc>
          <w:tcPr>
            <w:tcW w:w="3402" w:type="dxa"/>
          </w:tcPr>
          <w:p w14:paraId="31DAF323" w14:textId="77777777" w:rsidR="004331C8" w:rsidRDefault="004331C8" w:rsidP="000E3F27">
            <w:pPr>
              <w:pStyle w:val="TableBullet0"/>
              <w:spacing w:before="160"/>
            </w:pPr>
            <w:r w:rsidRPr="00A43359">
              <w:t xml:space="preserve">Remove </w:t>
            </w:r>
            <w:r>
              <w:t xml:space="preserve">the </w:t>
            </w:r>
            <w:r w:rsidRPr="00A43359">
              <w:t xml:space="preserve">stone </w:t>
            </w:r>
            <w:r>
              <w:t xml:space="preserve">and chop to an 8mm x 8mm size or smaller </w:t>
            </w:r>
            <w:r w:rsidRPr="00A43359">
              <w:t>(about half the width of a standard dinner fork).</w:t>
            </w:r>
          </w:p>
          <w:p w14:paraId="3CABBF77" w14:textId="515608E8" w:rsidR="008B739D" w:rsidRPr="00A43359" w:rsidRDefault="008B739D" w:rsidP="00473F32">
            <w:pPr>
              <w:pStyle w:val="TableBullet0"/>
            </w:pPr>
            <w:r w:rsidRPr="00A43359">
              <w:t xml:space="preserve">Grate raw apple or </w:t>
            </w:r>
            <w:r w:rsidR="00F555EE">
              <w:t>pear</w:t>
            </w:r>
            <w:r w:rsidR="00A84163">
              <w:t>,</w:t>
            </w:r>
            <w:r>
              <w:t xml:space="preserve"> </w:t>
            </w:r>
            <w:r>
              <w:rPr>
                <w:b/>
                <w:bCs/>
              </w:rPr>
              <w:t>or</w:t>
            </w:r>
            <w:r w:rsidR="00473F32">
              <w:t xml:space="preserve"> s</w:t>
            </w:r>
            <w:r w:rsidRPr="00A43359">
              <w:t>lice thinly using a mandolin</w:t>
            </w:r>
            <w:r>
              <w:t xml:space="preserve"> or vegetable peele</w:t>
            </w:r>
            <w:r w:rsidR="00A84163">
              <w:t>r.</w:t>
            </w:r>
          </w:p>
          <w:p w14:paraId="23DD15E5" w14:textId="24202377" w:rsidR="008B739D" w:rsidRPr="00A43359" w:rsidRDefault="00E96873" w:rsidP="000E3F27">
            <w:pPr>
              <w:pStyle w:val="TableBullet0"/>
              <w:spacing w:after="160"/>
            </w:pPr>
            <w:r>
              <w:t>Alternatively, c</w:t>
            </w:r>
            <w:r w:rsidR="008B739D" w:rsidRPr="00A43359">
              <w:t>ook until soft</w:t>
            </w:r>
            <w:r w:rsidR="008B739D" w:rsidRPr="00A43359">
              <w:rPr>
                <w:rStyle w:val="FootnoteReference"/>
              </w:rPr>
              <w:footnoteReference w:id="3"/>
            </w:r>
            <w:r w:rsidR="008B739D" w:rsidRPr="00A43359">
              <w:rPr>
                <w:vertAlign w:val="superscript"/>
              </w:rPr>
              <w:t xml:space="preserve"> </w:t>
            </w:r>
            <w:r w:rsidR="008B739D" w:rsidRPr="00A43359">
              <w:t>and cut into strips (around 4–6 cm long) that can be picked up with one hand.</w:t>
            </w:r>
          </w:p>
        </w:tc>
        <w:tc>
          <w:tcPr>
            <w:tcW w:w="3261" w:type="dxa"/>
          </w:tcPr>
          <w:p w14:paraId="739DA79D" w14:textId="77777777" w:rsidR="008B739D" w:rsidRPr="00A43359" w:rsidRDefault="008B739D" w:rsidP="000E3F27">
            <w:pPr>
              <w:pStyle w:val="TableBullet0"/>
              <w:spacing w:before="160"/>
            </w:pPr>
            <w:r w:rsidRPr="00A43359">
              <w:t>Prepare as for 1–3 years.</w:t>
            </w:r>
          </w:p>
          <w:p w14:paraId="0D884347" w14:textId="77777777" w:rsidR="008B739D" w:rsidRDefault="008B739D" w:rsidP="008B739D">
            <w:pPr>
              <w:pStyle w:val="TableBullet0"/>
            </w:pPr>
            <w:r>
              <w:t>Cut r</w:t>
            </w:r>
            <w:r w:rsidRPr="00A43359">
              <w:t>aw fruit into sticks (a</w:t>
            </w:r>
            <w:r w:rsidR="009C50E1">
              <w:t>round</w:t>
            </w:r>
            <w:r w:rsidRPr="00A43359">
              <w:t xml:space="preserve"> 4–6 cm long) that can be picked up with one hand.</w:t>
            </w:r>
          </w:p>
          <w:p w14:paraId="02341F6F" w14:textId="6759A6C6" w:rsidR="00A42C9D" w:rsidRPr="00A43359" w:rsidRDefault="00A42C9D" w:rsidP="008B739D">
            <w:pPr>
              <w:pStyle w:val="TableBullet0"/>
            </w:pPr>
            <w:r>
              <w:t>Finely chop tomato to an 8mm x 8mm size or smaller.</w:t>
            </w:r>
          </w:p>
        </w:tc>
      </w:tr>
      <w:tr w:rsidR="008B739D" w14:paraId="44FCCA24" w14:textId="77777777" w:rsidTr="009B6A8C">
        <w:tc>
          <w:tcPr>
            <w:tcW w:w="1980" w:type="dxa"/>
          </w:tcPr>
          <w:p w14:paraId="376FF108" w14:textId="77777777" w:rsidR="008B739D" w:rsidRPr="00A43359" w:rsidRDefault="008B739D" w:rsidP="000E3F27">
            <w:pPr>
              <w:pStyle w:val="TableText0"/>
              <w:spacing w:before="160"/>
              <w:rPr>
                <w:b/>
              </w:rPr>
            </w:pPr>
            <w:r w:rsidRPr="00A43359">
              <w:rPr>
                <w:b/>
              </w:rPr>
              <w:t>Food with skin or leaves</w:t>
            </w:r>
          </w:p>
        </w:tc>
        <w:tc>
          <w:tcPr>
            <w:tcW w:w="2268" w:type="dxa"/>
          </w:tcPr>
          <w:p w14:paraId="5C7EA189" w14:textId="77777777" w:rsidR="008B739D" w:rsidRDefault="008B739D" w:rsidP="000E3F27">
            <w:pPr>
              <w:pStyle w:val="TableBullet0"/>
              <w:spacing w:before="160" w:after="120"/>
            </w:pPr>
            <w:r>
              <w:t>Chicken</w:t>
            </w:r>
          </w:p>
          <w:p w14:paraId="671C2602" w14:textId="77777777" w:rsidR="00701369" w:rsidRDefault="008B739D" w:rsidP="008B739D">
            <w:pPr>
              <w:pStyle w:val="TableBullet0"/>
            </w:pPr>
            <w:r>
              <w:t>Lettuce and other raw salad leaves</w:t>
            </w:r>
          </w:p>
          <w:p w14:paraId="46D7AD88" w14:textId="77777777" w:rsidR="00701369" w:rsidRDefault="00701369" w:rsidP="008B739D">
            <w:pPr>
              <w:pStyle w:val="TableBullet0"/>
            </w:pPr>
            <w:r>
              <w:t>S</w:t>
            </w:r>
            <w:r w:rsidR="008B739D">
              <w:t>pinach</w:t>
            </w:r>
          </w:p>
          <w:p w14:paraId="0107F89D" w14:textId="075FFF2D" w:rsidR="008B739D" w:rsidRPr="00287365" w:rsidRDefault="00701369" w:rsidP="000E3F27">
            <w:pPr>
              <w:pStyle w:val="TableBullet0"/>
              <w:spacing w:after="160"/>
            </w:pPr>
            <w:r>
              <w:t>C</w:t>
            </w:r>
            <w:r w:rsidR="008B739D">
              <w:t>abbage</w:t>
            </w:r>
          </w:p>
        </w:tc>
        <w:tc>
          <w:tcPr>
            <w:tcW w:w="3118" w:type="dxa"/>
          </w:tcPr>
          <w:p w14:paraId="29D94B78" w14:textId="04C88A31" w:rsidR="008B739D" w:rsidRDefault="008B739D" w:rsidP="000E3F27">
            <w:pPr>
              <w:pStyle w:val="TableText0"/>
              <w:spacing w:before="160" w:after="120"/>
            </w:pPr>
            <w:r>
              <w:t xml:space="preserve">Food skins </w:t>
            </w:r>
            <w:r w:rsidR="00B53DB1">
              <w:t xml:space="preserve">and leaves </w:t>
            </w:r>
            <w:r>
              <w:t>are difficult to chew and can completely seal children’s airways.</w:t>
            </w:r>
          </w:p>
        </w:tc>
        <w:tc>
          <w:tcPr>
            <w:tcW w:w="6663" w:type="dxa"/>
            <w:gridSpan w:val="2"/>
          </w:tcPr>
          <w:p w14:paraId="1031096C" w14:textId="77777777" w:rsidR="008B739D" w:rsidRDefault="008B739D" w:rsidP="000E3F27">
            <w:pPr>
              <w:pStyle w:val="TableBullet0"/>
              <w:spacing w:before="160" w:after="120"/>
            </w:pPr>
            <w:r>
              <w:t>Remove skin from chicken.</w:t>
            </w:r>
          </w:p>
          <w:p w14:paraId="618EF93F" w14:textId="4A032A77" w:rsidR="008B739D" w:rsidRDefault="008B739D" w:rsidP="008B739D">
            <w:pPr>
              <w:pStyle w:val="TableBullet0"/>
            </w:pPr>
            <w:r>
              <w:t xml:space="preserve">Finely slice or chop salad leaves, </w:t>
            </w:r>
            <w:r w:rsidR="00750ED5">
              <w:t xml:space="preserve">lettuce, </w:t>
            </w:r>
            <w:r>
              <w:t>spinach and c</w:t>
            </w:r>
            <w:r w:rsidRPr="00B92119">
              <w:t>abbage</w:t>
            </w:r>
            <w:r>
              <w:t>.</w:t>
            </w:r>
          </w:p>
        </w:tc>
      </w:tr>
      <w:tr w:rsidR="004B0A18" w14:paraId="1DF4160C" w14:textId="77777777" w:rsidTr="00A43359">
        <w:trPr>
          <w:trHeight w:val="892"/>
        </w:trPr>
        <w:tc>
          <w:tcPr>
            <w:tcW w:w="1980" w:type="dxa"/>
          </w:tcPr>
          <w:p w14:paraId="10C91A79" w14:textId="77777777" w:rsidR="004B0A18" w:rsidRDefault="004B0A18" w:rsidP="000E3F27">
            <w:pPr>
              <w:pStyle w:val="TableText0"/>
              <w:spacing w:before="160" w:after="120"/>
              <w:rPr>
                <w:b/>
              </w:rPr>
            </w:pPr>
            <w:r w:rsidRPr="00A43359">
              <w:rPr>
                <w:b/>
              </w:rPr>
              <w:lastRenderedPageBreak/>
              <w:t>Compressible foods</w:t>
            </w:r>
          </w:p>
          <w:p w14:paraId="044CF999" w14:textId="7AB90E64" w:rsidR="004B0A18" w:rsidRPr="004B0A18" w:rsidRDefault="004B0A18" w:rsidP="004B0A18">
            <w:pPr>
              <w:pStyle w:val="TableText0"/>
              <w:spacing w:after="120"/>
              <w:rPr>
                <w:bCs/>
              </w:rPr>
            </w:pPr>
          </w:p>
        </w:tc>
        <w:tc>
          <w:tcPr>
            <w:tcW w:w="2268" w:type="dxa"/>
          </w:tcPr>
          <w:p w14:paraId="20CBB4EF" w14:textId="77777777" w:rsidR="004B0A18" w:rsidRDefault="004B0A18" w:rsidP="000E3F27">
            <w:pPr>
              <w:pStyle w:val="TableBullet0"/>
              <w:spacing w:before="160" w:after="120"/>
            </w:pPr>
            <w:r>
              <w:t>Pieces of cooked meat</w:t>
            </w:r>
          </w:p>
          <w:p w14:paraId="181022E0" w14:textId="2869FC6E" w:rsidR="004B0A18" w:rsidRDefault="004B0A18" w:rsidP="00776781">
            <w:pPr>
              <w:pStyle w:val="TableBullet0"/>
              <w:numPr>
                <w:ilvl w:val="0"/>
                <w:numId w:val="0"/>
              </w:numPr>
              <w:ind w:left="270"/>
            </w:pPr>
          </w:p>
        </w:tc>
        <w:tc>
          <w:tcPr>
            <w:tcW w:w="3118" w:type="dxa"/>
          </w:tcPr>
          <w:p w14:paraId="3E169902" w14:textId="77777777" w:rsidR="004B0A18" w:rsidRDefault="004B0A18" w:rsidP="000E3F27">
            <w:pPr>
              <w:pStyle w:val="TableText0"/>
              <w:spacing w:before="160"/>
            </w:pPr>
            <w:r>
              <w:t>Can fit into the shape of the airway and get wedged tightly.</w:t>
            </w:r>
          </w:p>
        </w:tc>
        <w:tc>
          <w:tcPr>
            <w:tcW w:w="3402" w:type="dxa"/>
          </w:tcPr>
          <w:p w14:paraId="03F8ACF5" w14:textId="2A1BFEE7" w:rsidR="004B0A18" w:rsidRPr="00EA2F05" w:rsidRDefault="004B0A18" w:rsidP="000E3F27">
            <w:pPr>
              <w:pStyle w:val="TableBullet0"/>
              <w:spacing w:before="160" w:after="120"/>
            </w:pPr>
            <w:r>
              <w:t xml:space="preserve">Cook meat until very tender; </w:t>
            </w:r>
            <w:r>
              <w:rPr>
                <w:b/>
                <w:bCs/>
              </w:rPr>
              <w:t>and</w:t>
            </w:r>
          </w:p>
          <w:p w14:paraId="760FF490" w14:textId="3F8EC255" w:rsidR="004B0A18" w:rsidRDefault="004B0A18" w:rsidP="004B0A18">
            <w:pPr>
              <w:pStyle w:val="TableBullet0"/>
            </w:pPr>
            <w:r>
              <w:t>Mince, shred or chop meat to 8mm x 8mm sized pieces.</w:t>
            </w:r>
          </w:p>
        </w:tc>
        <w:tc>
          <w:tcPr>
            <w:tcW w:w="3261" w:type="dxa"/>
          </w:tcPr>
          <w:p w14:paraId="5D26360A" w14:textId="57E16C70" w:rsidR="004B0A18" w:rsidRDefault="004B0A18" w:rsidP="000E3F27">
            <w:pPr>
              <w:pStyle w:val="TableBullet0"/>
              <w:spacing w:before="160" w:after="160"/>
            </w:pPr>
            <w:r>
              <w:t>Prepare as for 1–3 years;</w:t>
            </w:r>
            <w:r w:rsidRPr="00A7501C">
              <w:rPr>
                <w:b/>
                <w:bCs/>
              </w:rPr>
              <w:t xml:space="preserve"> or</w:t>
            </w:r>
            <w:r>
              <w:t xml:space="preserve"> offer</w:t>
            </w:r>
            <w:r w:rsidRPr="009B33A0">
              <w:t xml:space="preserve"> thin strips of m</w:t>
            </w:r>
            <w:bookmarkStart w:id="8" w:name="_GoBack"/>
            <w:bookmarkEnd w:id="8"/>
            <w:r w:rsidRPr="009B33A0">
              <w:t xml:space="preserve">eat </w:t>
            </w:r>
            <w:r>
              <w:t xml:space="preserve">(around 4–6 cm long) </w:t>
            </w:r>
            <w:r w:rsidRPr="009B33A0">
              <w:t xml:space="preserve">that can be picked up </w:t>
            </w:r>
            <w:r>
              <w:t xml:space="preserve">with one hand </w:t>
            </w:r>
            <w:r w:rsidRPr="009B33A0">
              <w:t xml:space="preserve">or with </w:t>
            </w:r>
            <w:r>
              <w:t xml:space="preserve">a </w:t>
            </w:r>
            <w:r w:rsidRPr="009B33A0">
              <w:t>fork</w:t>
            </w:r>
            <w:r>
              <w:t>.</w:t>
            </w:r>
          </w:p>
        </w:tc>
      </w:tr>
      <w:tr w:rsidR="004B0A18" w14:paraId="78AAA1F3" w14:textId="77777777" w:rsidTr="00A43359">
        <w:trPr>
          <w:trHeight w:val="892"/>
        </w:trPr>
        <w:tc>
          <w:tcPr>
            <w:tcW w:w="1980" w:type="dxa"/>
          </w:tcPr>
          <w:p w14:paraId="37FE79DD" w14:textId="77777777" w:rsidR="004B0A18" w:rsidRPr="00A43359" w:rsidRDefault="004B0A18" w:rsidP="009A215C">
            <w:pPr>
              <w:pStyle w:val="TableText0"/>
              <w:spacing w:before="160"/>
              <w:rPr>
                <w:b/>
              </w:rPr>
            </w:pPr>
            <w:r w:rsidRPr="00A43359">
              <w:rPr>
                <w:b/>
              </w:rPr>
              <w:t>Food with bones</w:t>
            </w:r>
          </w:p>
        </w:tc>
        <w:tc>
          <w:tcPr>
            <w:tcW w:w="2268" w:type="dxa"/>
          </w:tcPr>
          <w:p w14:paraId="3895F345" w14:textId="77777777" w:rsidR="004B0A18" w:rsidRDefault="004B0A18" w:rsidP="009A215C">
            <w:pPr>
              <w:pStyle w:val="TableBullet0"/>
              <w:spacing w:before="160"/>
            </w:pPr>
            <w:r>
              <w:t>Fish</w:t>
            </w:r>
          </w:p>
          <w:p w14:paraId="341ADDFD" w14:textId="77777777" w:rsidR="004B0A18" w:rsidRDefault="004B0A18" w:rsidP="004B0A18">
            <w:pPr>
              <w:pStyle w:val="TableBullet0"/>
            </w:pPr>
            <w:r>
              <w:t>Chicken nibbles</w:t>
            </w:r>
          </w:p>
          <w:p w14:paraId="6BA26BB1" w14:textId="670E8BED" w:rsidR="004B0A18" w:rsidRDefault="004B0A18" w:rsidP="004B0A18">
            <w:pPr>
              <w:pStyle w:val="TableBullet0"/>
              <w:numPr>
                <w:ilvl w:val="0"/>
                <w:numId w:val="0"/>
              </w:numPr>
              <w:ind w:left="270"/>
            </w:pPr>
          </w:p>
        </w:tc>
        <w:tc>
          <w:tcPr>
            <w:tcW w:w="3118" w:type="dxa"/>
          </w:tcPr>
          <w:p w14:paraId="510A4608" w14:textId="77777777" w:rsidR="004B0A18" w:rsidRDefault="004B0A18" w:rsidP="00ED04DF">
            <w:pPr>
              <w:pStyle w:val="TableText0"/>
              <w:spacing w:before="160"/>
            </w:pPr>
            <w:r>
              <w:t>Small bones present a choking risk.</w:t>
            </w:r>
          </w:p>
        </w:tc>
        <w:tc>
          <w:tcPr>
            <w:tcW w:w="6663" w:type="dxa"/>
            <w:gridSpan w:val="2"/>
          </w:tcPr>
          <w:p w14:paraId="122D8DEE" w14:textId="77777777" w:rsidR="004B0A18" w:rsidRDefault="004B0A18" w:rsidP="00ED04DF">
            <w:pPr>
              <w:pStyle w:val="TableBullet0"/>
              <w:spacing w:before="160"/>
            </w:pPr>
            <w:r>
              <w:t xml:space="preserve"> Remove all bones.</w:t>
            </w:r>
          </w:p>
        </w:tc>
      </w:tr>
      <w:tr w:rsidR="004B0A18" w14:paraId="7746ACA3" w14:textId="77777777" w:rsidTr="00A43359">
        <w:trPr>
          <w:trHeight w:val="892"/>
        </w:trPr>
        <w:tc>
          <w:tcPr>
            <w:tcW w:w="1980" w:type="dxa"/>
          </w:tcPr>
          <w:p w14:paraId="4513D3D9" w14:textId="77777777" w:rsidR="004B0A18" w:rsidRPr="00A43359" w:rsidRDefault="004B0A18" w:rsidP="00ED04DF">
            <w:pPr>
              <w:pStyle w:val="TableText0"/>
              <w:spacing w:before="160"/>
              <w:rPr>
                <w:b/>
              </w:rPr>
            </w:pPr>
            <w:r w:rsidRPr="00A43359">
              <w:rPr>
                <w:b/>
              </w:rPr>
              <w:t>Thick pastes</w:t>
            </w:r>
          </w:p>
        </w:tc>
        <w:tc>
          <w:tcPr>
            <w:tcW w:w="2268" w:type="dxa"/>
          </w:tcPr>
          <w:p w14:paraId="24B30D51" w14:textId="77777777" w:rsidR="004B0A18" w:rsidRDefault="004B0A18" w:rsidP="00ED04DF">
            <w:pPr>
              <w:pStyle w:val="TableBullet0"/>
              <w:spacing w:before="160"/>
            </w:pPr>
            <w:r w:rsidRPr="004127CD">
              <w:t>Nut or seed butter</w:t>
            </w:r>
          </w:p>
        </w:tc>
        <w:tc>
          <w:tcPr>
            <w:tcW w:w="3118" w:type="dxa"/>
          </w:tcPr>
          <w:p w14:paraId="22F2FFC8" w14:textId="77777777" w:rsidR="004B0A18" w:rsidRDefault="004B0A18" w:rsidP="00ED04DF">
            <w:pPr>
              <w:pStyle w:val="TableText0"/>
              <w:spacing w:before="160"/>
            </w:pPr>
            <w:r>
              <w:t>Can fit to the shape of a child’s airway or stick to side of airway.</w:t>
            </w:r>
          </w:p>
          <w:p w14:paraId="04129BF8" w14:textId="05C2F30D" w:rsidR="004B0A18" w:rsidRDefault="004B0A18" w:rsidP="00ED04DF">
            <w:pPr>
              <w:pStyle w:val="TableText0"/>
              <w:spacing w:before="160"/>
            </w:pPr>
          </w:p>
        </w:tc>
        <w:tc>
          <w:tcPr>
            <w:tcW w:w="6663" w:type="dxa"/>
            <w:gridSpan w:val="2"/>
          </w:tcPr>
          <w:p w14:paraId="58F62DC4" w14:textId="77777777" w:rsidR="004B0A18" w:rsidRDefault="004B0A18" w:rsidP="00ED04DF">
            <w:pPr>
              <w:pStyle w:val="TableBullet0"/>
              <w:spacing w:before="160"/>
            </w:pPr>
            <w:r>
              <w:t>Use smooth thick pastes sparingly, spreading thinly and evenly onto bread.</w:t>
            </w:r>
          </w:p>
        </w:tc>
      </w:tr>
      <w:tr w:rsidR="004B0A18" w14:paraId="03CAD9BA" w14:textId="77777777" w:rsidTr="00A43359">
        <w:trPr>
          <w:trHeight w:val="892"/>
        </w:trPr>
        <w:tc>
          <w:tcPr>
            <w:tcW w:w="1980" w:type="dxa"/>
          </w:tcPr>
          <w:p w14:paraId="6D59F3C1" w14:textId="77777777" w:rsidR="004B0A18" w:rsidRPr="00287365" w:rsidRDefault="004B0A18" w:rsidP="00ED04DF">
            <w:pPr>
              <w:pStyle w:val="TableHeading"/>
              <w:spacing w:before="160"/>
            </w:pPr>
            <w:r w:rsidRPr="00287365">
              <w:t>Fibrous or stringy food</w:t>
            </w:r>
          </w:p>
        </w:tc>
        <w:tc>
          <w:tcPr>
            <w:tcW w:w="2268" w:type="dxa"/>
          </w:tcPr>
          <w:p w14:paraId="2EE92DC6" w14:textId="77777777" w:rsidR="004B0A18" w:rsidRDefault="004B0A18" w:rsidP="00ED04DF">
            <w:pPr>
              <w:pStyle w:val="TableBullet0"/>
              <w:spacing w:before="160"/>
            </w:pPr>
            <w:r w:rsidRPr="004127CD">
              <w:t>Raw pineapple</w:t>
            </w:r>
          </w:p>
        </w:tc>
        <w:tc>
          <w:tcPr>
            <w:tcW w:w="3118" w:type="dxa"/>
          </w:tcPr>
          <w:p w14:paraId="6BF305CD" w14:textId="77777777" w:rsidR="004B0A18" w:rsidRDefault="004B0A18" w:rsidP="00ED04DF">
            <w:pPr>
              <w:pStyle w:val="TableText0"/>
              <w:spacing w:before="160"/>
            </w:pPr>
            <w:r>
              <w:t>Fibres make it difficult for children to break up the food into smaller pieces.</w:t>
            </w:r>
          </w:p>
          <w:p w14:paraId="428DC5BE" w14:textId="5F4B6F20" w:rsidR="004B0A18" w:rsidRDefault="004B0A18" w:rsidP="004B0A18">
            <w:pPr>
              <w:pStyle w:val="TableText0"/>
            </w:pPr>
          </w:p>
        </w:tc>
        <w:tc>
          <w:tcPr>
            <w:tcW w:w="6663" w:type="dxa"/>
            <w:gridSpan w:val="2"/>
          </w:tcPr>
          <w:p w14:paraId="53E7E86F" w14:textId="05D332F0" w:rsidR="004B0A18" w:rsidRDefault="004B0A18" w:rsidP="00ED04DF">
            <w:pPr>
              <w:pStyle w:val="TableBullet0"/>
              <w:spacing w:before="160"/>
            </w:pPr>
            <w:r>
              <w:t xml:space="preserve">Peel the skin or strong fibres off where possible; </w:t>
            </w:r>
            <w:r>
              <w:rPr>
                <w:b/>
                <w:bCs/>
              </w:rPr>
              <w:t>and</w:t>
            </w:r>
          </w:p>
          <w:p w14:paraId="02CCBF12" w14:textId="77777777" w:rsidR="004B0A18" w:rsidRDefault="004B0A18" w:rsidP="004B0A18">
            <w:pPr>
              <w:pStyle w:val="TableBullet0"/>
            </w:pPr>
            <w:r>
              <w:t>Slice these foods thinly across the grain of fibres.</w:t>
            </w:r>
          </w:p>
        </w:tc>
      </w:tr>
    </w:tbl>
    <w:p w14:paraId="5E1424D4" w14:textId="77777777" w:rsidR="00A43359" w:rsidRDefault="00A43359" w:rsidP="00A43359">
      <w:pPr>
        <w:shd w:val="clear" w:color="auto" w:fill="FFFFFF"/>
        <w:spacing w:after="100" w:afterAutospacing="1"/>
        <w:contextualSpacing/>
        <w:rPr>
          <w:rFonts w:ascii="Arial" w:hAnsi="Arial" w:cs="Arial"/>
          <w:color w:val="000000"/>
          <w:sz w:val="23"/>
          <w:szCs w:val="23"/>
          <w:lang w:eastAsia="en-NZ"/>
        </w:rPr>
        <w:sectPr w:rsidR="00A43359" w:rsidSect="009B6A8C">
          <w:footerReference w:type="default" r:id="rId24"/>
          <w:pgSz w:w="16838" w:h="11906" w:orient="landscape"/>
          <w:pgMar w:top="1440" w:right="1440" w:bottom="1191" w:left="1440" w:header="709" w:footer="567" w:gutter="0"/>
          <w:cols w:space="708"/>
          <w:docGrid w:linePitch="360"/>
        </w:sectPr>
      </w:pPr>
    </w:p>
    <w:p w14:paraId="13BB4012" w14:textId="1195BD52" w:rsidR="009B6A8C" w:rsidRDefault="009B6A8C" w:rsidP="009B6A8C">
      <w:pPr>
        <w:pStyle w:val="Heading1"/>
      </w:pPr>
      <w:bookmarkStart w:id="9" w:name="_Toc56609919"/>
      <w:bookmarkEnd w:id="4"/>
      <w:r w:rsidRPr="009B6A8C">
        <w:lastRenderedPageBreak/>
        <w:t>Background information and references</w:t>
      </w:r>
      <w:bookmarkEnd w:id="9"/>
    </w:p>
    <w:p w14:paraId="238FE1CE" w14:textId="0BFC3FE5" w:rsidR="009B6A8C" w:rsidRPr="007A05DF" w:rsidRDefault="009B6A8C" w:rsidP="009B6A8C">
      <w:pPr>
        <w:pStyle w:val="References"/>
        <w:rPr>
          <w:rFonts w:cs="Arial"/>
          <w:szCs w:val="21"/>
        </w:rPr>
      </w:pPr>
      <w:r w:rsidRPr="007A05DF">
        <w:rPr>
          <w:rFonts w:cs="Arial"/>
          <w:szCs w:val="21"/>
        </w:rPr>
        <w:t xml:space="preserve">The Ministry of Health’s current advice on preventing choking in young children is available </w:t>
      </w:r>
      <w:r>
        <w:rPr>
          <w:rFonts w:cs="Arial"/>
          <w:szCs w:val="21"/>
        </w:rPr>
        <w:t xml:space="preserve">at </w:t>
      </w:r>
      <w:hyperlink r:id="rId25" w:history="1">
        <w:r w:rsidRPr="00C10E1D">
          <w:rPr>
            <w:rStyle w:val="Hyperlink"/>
          </w:rPr>
          <w:t>www.health.govt.nz/your-health/healthy-living/food-activity-and-sleep/healthy-eating/food-related-choking-young-children</w:t>
        </w:r>
      </w:hyperlink>
      <w:r w:rsidR="00C10E1D">
        <w:t xml:space="preserve">  </w:t>
      </w:r>
    </w:p>
    <w:p w14:paraId="0FF4A174" w14:textId="422DB019" w:rsidR="009B6A8C" w:rsidRPr="007A05DF" w:rsidRDefault="009B6A8C" w:rsidP="009B6A8C">
      <w:pPr>
        <w:pStyle w:val="References"/>
        <w:rPr>
          <w:rFonts w:cs="Arial"/>
          <w:szCs w:val="21"/>
        </w:rPr>
      </w:pPr>
      <w:proofErr w:type="spellStart"/>
      <w:r w:rsidRPr="007A05DF">
        <w:rPr>
          <w:rFonts w:cs="Arial"/>
          <w:szCs w:val="21"/>
        </w:rPr>
        <w:t>Archanbault</w:t>
      </w:r>
      <w:proofErr w:type="spellEnd"/>
      <w:r w:rsidRPr="007A05DF">
        <w:rPr>
          <w:rFonts w:cs="Arial"/>
          <w:szCs w:val="21"/>
        </w:rPr>
        <w:t xml:space="preserve"> Nicole</w:t>
      </w:r>
      <w:r>
        <w:rPr>
          <w:rFonts w:cs="Arial"/>
          <w:szCs w:val="21"/>
        </w:rPr>
        <w:t xml:space="preserve"> and</w:t>
      </w:r>
      <w:r w:rsidRPr="007A05DF">
        <w:rPr>
          <w:rFonts w:cs="Arial"/>
          <w:szCs w:val="21"/>
        </w:rPr>
        <w:t xml:space="preserve"> </w:t>
      </w:r>
      <w:proofErr w:type="spellStart"/>
      <w:r w:rsidRPr="007A05DF">
        <w:rPr>
          <w:rFonts w:cs="Arial"/>
          <w:szCs w:val="21"/>
        </w:rPr>
        <w:t>Coceani</w:t>
      </w:r>
      <w:proofErr w:type="spellEnd"/>
      <w:r w:rsidRPr="007A05DF">
        <w:rPr>
          <w:rFonts w:cs="Arial"/>
          <w:szCs w:val="21"/>
        </w:rPr>
        <w:t xml:space="preserve"> </w:t>
      </w:r>
      <w:proofErr w:type="spellStart"/>
      <w:r w:rsidRPr="007A05DF">
        <w:rPr>
          <w:rFonts w:cs="Arial"/>
          <w:szCs w:val="21"/>
        </w:rPr>
        <w:t>Paskay</w:t>
      </w:r>
      <w:proofErr w:type="spellEnd"/>
      <w:r w:rsidRPr="007A05DF">
        <w:rPr>
          <w:rFonts w:cs="Arial"/>
          <w:szCs w:val="21"/>
        </w:rPr>
        <w:t xml:space="preserve"> </w:t>
      </w:r>
      <w:proofErr w:type="spellStart"/>
      <w:r w:rsidRPr="007A05DF">
        <w:rPr>
          <w:rFonts w:cs="Arial"/>
          <w:szCs w:val="21"/>
        </w:rPr>
        <w:t>Licia</w:t>
      </w:r>
      <w:proofErr w:type="spellEnd"/>
      <w:r w:rsidRPr="007A05DF">
        <w:rPr>
          <w:rFonts w:cs="Arial"/>
          <w:szCs w:val="21"/>
        </w:rPr>
        <w:t>. 2019. Unsafe chewing: choking and other risks.</w:t>
      </w:r>
      <w:r w:rsidR="00C10E1D">
        <w:rPr>
          <w:rFonts w:cs="Arial"/>
          <w:szCs w:val="21"/>
        </w:rPr>
        <w:t xml:space="preserve"> </w:t>
      </w:r>
      <w:r w:rsidRPr="00F82903">
        <w:rPr>
          <w:rFonts w:cs="Arial"/>
          <w:i/>
          <w:iCs/>
          <w:szCs w:val="21"/>
        </w:rPr>
        <w:t>The ASHA Leader</w:t>
      </w:r>
      <w:r w:rsidRPr="007A05DF">
        <w:rPr>
          <w:rFonts w:cs="Arial"/>
          <w:szCs w:val="21"/>
        </w:rPr>
        <w:t xml:space="preserve">, 1 November 2019. </w:t>
      </w:r>
    </w:p>
    <w:p w14:paraId="2B36DF0F" w14:textId="77777777" w:rsidR="009B6A8C" w:rsidRPr="007A05DF" w:rsidRDefault="009B6A8C" w:rsidP="009B6A8C">
      <w:pPr>
        <w:pStyle w:val="References"/>
        <w:rPr>
          <w:rFonts w:cs="Arial"/>
          <w:iCs/>
          <w:szCs w:val="21"/>
        </w:rPr>
      </w:pPr>
      <w:proofErr w:type="spellStart"/>
      <w:r w:rsidRPr="007A05DF">
        <w:rPr>
          <w:rFonts w:cs="Arial"/>
          <w:szCs w:val="21"/>
        </w:rPr>
        <w:t>Baig</w:t>
      </w:r>
      <w:proofErr w:type="spellEnd"/>
      <w:r w:rsidRPr="007A05DF">
        <w:rPr>
          <w:rFonts w:cs="Arial"/>
          <w:szCs w:val="21"/>
        </w:rPr>
        <w:t xml:space="preserve"> A, Thomas H, </w:t>
      </w:r>
      <w:proofErr w:type="spellStart"/>
      <w:r w:rsidRPr="007A05DF">
        <w:rPr>
          <w:rFonts w:cs="Arial"/>
          <w:szCs w:val="21"/>
        </w:rPr>
        <w:t>Britigan</w:t>
      </w:r>
      <w:proofErr w:type="spellEnd"/>
      <w:r w:rsidRPr="007A05DF">
        <w:rPr>
          <w:rFonts w:cs="Arial"/>
          <w:szCs w:val="21"/>
        </w:rPr>
        <w:t xml:space="preserve"> D et al. 2019. Food choking hazards in toddlers: An interventional study. </w:t>
      </w:r>
      <w:r w:rsidRPr="007A05DF">
        <w:rPr>
          <w:rFonts w:cs="Arial"/>
          <w:i/>
          <w:szCs w:val="21"/>
        </w:rPr>
        <w:t xml:space="preserve">International journal of paediatrics, neonatology and primary care. </w:t>
      </w:r>
      <w:r w:rsidRPr="007A05DF">
        <w:rPr>
          <w:rFonts w:cs="Arial"/>
          <w:iCs/>
          <w:szCs w:val="21"/>
        </w:rPr>
        <w:t>1 (1): 11-16 doi:10.18689/ijpn-1000104.</w:t>
      </w:r>
    </w:p>
    <w:p w14:paraId="7AB24636" w14:textId="306C4191" w:rsidR="009B6A8C" w:rsidRPr="007A05DF" w:rsidRDefault="009B6A8C" w:rsidP="009B6A8C">
      <w:pPr>
        <w:pStyle w:val="References"/>
        <w:rPr>
          <w:rFonts w:cs="Arial"/>
          <w:szCs w:val="21"/>
        </w:rPr>
      </w:pPr>
      <w:r w:rsidRPr="007A05DF">
        <w:rPr>
          <w:rFonts w:cs="Arial"/>
          <w:szCs w:val="21"/>
        </w:rPr>
        <w:t>Be Smart, Don’t Choke</w:t>
      </w:r>
      <w:r>
        <w:rPr>
          <w:rFonts w:cs="Arial"/>
          <w:szCs w:val="21"/>
        </w:rPr>
        <w:t xml:space="preserve">. </w:t>
      </w:r>
      <w:r w:rsidRPr="007A05DF">
        <w:rPr>
          <w:rFonts w:cs="Arial"/>
          <w:szCs w:val="21"/>
        </w:rPr>
        <w:t xml:space="preserve">British Columbia Children’s Hospital/University of British Columbia Initiative URL: </w:t>
      </w:r>
      <w:hyperlink r:id="rId26" w:history="1">
        <w:r w:rsidR="00C10E1D" w:rsidRPr="001E65B1">
          <w:rPr>
            <w:rStyle w:val="Hyperlink"/>
            <w:rFonts w:cs="Arial"/>
            <w:szCs w:val="21"/>
          </w:rPr>
          <w:t>https://dontchoke.ubc.ca</w:t>
        </w:r>
      </w:hyperlink>
      <w:r w:rsidR="00C10E1D">
        <w:rPr>
          <w:rFonts w:cs="Arial"/>
          <w:szCs w:val="21"/>
        </w:rPr>
        <w:t xml:space="preserve"> </w:t>
      </w:r>
      <w:r w:rsidRPr="007A05DF">
        <w:rPr>
          <w:rFonts w:cs="Arial"/>
          <w:szCs w:val="21"/>
        </w:rPr>
        <w:t>(accessed 4 November 2020).</w:t>
      </w:r>
    </w:p>
    <w:p w14:paraId="53F1D312" w14:textId="76BC01AB" w:rsidR="009B6A8C" w:rsidRPr="007A05DF" w:rsidRDefault="009B6A8C" w:rsidP="009B6A8C">
      <w:pPr>
        <w:pStyle w:val="References"/>
        <w:rPr>
          <w:rFonts w:cs="Arial"/>
          <w:szCs w:val="21"/>
        </w:rPr>
      </w:pPr>
      <w:r w:rsidRPr="007A05DF">
        <w:rPr>
          <w:rFonts w:cs="Arial"/>
          <w:szCs w:val="21"/>
        </w:rPr>
        <w:t xml:space="preserve">Chapin M, Rochette L, </w:t>
      </w:r>
      <w:proofErr w:type="spellStart"/>
      <w:r w:rsidRPr="007A05DF">
        <w:rPr>
          <w:rFonts w:cs="Arial"/>
          <w:szCs w:val="21"/>
        </w:rPr>
        <w:t>Annest</w:t>
      </w:r>
      <w:proofErr w:type="spellEnd"/>
      <w:r w:rsidRPr="007A05DF">
        <w:rPr>
          <w:rFonts w:cs="Arial"/>
          <w:szCs w:val="21"/>
        </w:rPr>
        <w:t xml:space="preserve"> J et al. 2013. </w:t>
      </w:r>
      <w:r w:rsidRPr="00F82903">
        <w:rPr>
          <w:rFonts w:cs="Arial"/>
          <w:szCs w:val="21"/>
        </w:rPr>
        <w:t>Nonfatal choking on food among children 14 years or younger in the United States</w:t>
      </w:r>
      <w:r w:rsidRPr="00132027">
        <w:rPr>
          <w:rFonts w:cs="Arial"/>
          <w:szCs w:val="21"/>
        </w:rPr>
        <w:t>, 2001–2009</w:t>
      </w:r>
      <w:r w:rsidRPr="007A05DF">
        <w:rPr>
          <w:rFonts w:cs="Arial"/>
          <w:szCs w:val="21"/>
        </w:rPr>
        <w:t xml:space="preserve">. </w:t>
      </w:r>
      <w:proofErr w:type="spellStart"/>
      <w:r w:rsidRPr="007A05DF">
        <w:rPr>
          <w:rFonts w:cs="Arial"/>
          <w:i/>
          <w:iCs/>
          <w:szCs w:val="21"/>
        </w:rPr>
        <w:t>Pediatrics</w:t>
      </w:r>
      <w:proofErr w:type="spellEnd"/>
      <w:r w:rsidRPr="007A05DF">
        <w:rPr>
          <w:rFonts w:cs="Arial"/>
          <w:i/>
          <w:iCs/>
          <w:szCs w:val="21"/>
        </w:rPr>
        <w:t xml:space="preserve"> </w:t>
      </w:r>
      <w:r w:rsidRPr="007A05DF">
        <w:rPr>
          <w:rFonts w:cs="Arial"/>
          <w:szCs w:val="21"/>
        </w:rPr>
        <w:t>132: 2.</w:t>
      </w:r>
    </w:p>
    <w:p w14:paraId="1C09AF1B" w14:textId="77777777" w:rsidR="009B6A8C" w:rsidRPr="007A05DF" w:rsidRDefault="009B6A8C" w:rsidP="009B6A8C">
      <w:pPr>
        <w:pStyle w:val="References"/>
        <w:rPr>
          <w:rFonts w:cs="Arial"/>
          <w:szCs w:val="21"/>
        </w:rPr>
      </w:pPr>
      <w:r w:rsidRPr="007A05DF">
        <w:rPr>
          <w:rFonts w:cs="Arial"/>
          <w:szCs w:val="21"/>
        </w:rPr>
        <w:t xml:space="preserve">Committee on Injury, Violence, and Poison Prevention. 2010. Prevention choking among children. </w:t>
      </w:r>
      <w:r w:rsidRPr="007A05DF">
        <w:rPr>
          <w:rFonts w:cs="Arial"/>
          <w:i/>
          <w:iCs/>
          <w:szCs w:val="21"/>
        </w:rPr>
        <w:t>Pediatrics</w:t>
      </w:r>
      <w:r w:rsidRPr="007A05DF">
        <w:rPr>
          <w:rFonts w:cs="Arial"/>
          <w:szCs w:val="21"/>
        </w:rPr>
        <w:t>.125(3)</w:t>
      </w:r>
      <w:r>
        <w:rPr>
          <w:rFonts w:cs="Arial"/>
          <w:szCs w:val="21"/>
        </w:rPr>
        <w:t>:</w:t>
      </w:r>
      <w:r w:rsidRPr="007A05DF">
        <w:rPr>
          <w:rFonts w:cs="Arial"/>
          <w:szCs w:val="21"/>
        </w:rPr>
        <w:t> 601</w:t>
      </w:r>
      <w:r>
        <w:rPr>
          <w:rFonts w:cs="Arial"/>
          <w:szCs w:val="21"/>
        </w:rPr>
        <w:t>–</w:t>
      </w:r>
      <w:r w:rsidRPr="007A05DF">
        <w:rPr>
          <w:rFonts w:cs="Arial"/>
          <w:szCs w:val="21"/>
        </w:rPr>
        <w:t>607 doi.org/10.1542/peds.2009-2862.</w:t>
      </w:r>
    </w:p>
    <w:p w14:paraId="61DF7840" w14:textId="6DC98180" w:rsidR="009B6A8C" w:rsidRPr="007A05DF" w:rsidRDefault="009B6A8C" w:rsidP="009B6A8C">
      <w:pPr>
        <w:pStyle w:val="References"/>
        <w:rPr>
          <w:rFonts w:cs="Arial"/>
          <w:szCs w:val="21"/>
        </w:rPr>
      </w:pPr>
      <w:proofErr w:type="spellStart"/>
      <w:r w:rsidRPr="007A05DF">
        <w:rPr>
          <w:rFonts w:cs="Arial"/>
          <w:szCs w:val="21"/>
        </w:rPr>
        <w:t>Dodrill</w:t>
      </w:r>
      <w:proofErr w:type="spellEnd"/>
      <w:r w:rsidRPr="007A05DF">
        <w:rPr>
          <w:rFonts w:cs="Arial"/>
          <w:szCs w:val="21"/>
        </w:rPr>
        <w:t xml:space="preserve"> P. 2016. Treatment of feeding and swallowing in infants and children. In M </w:t>
      </w:r>
      <w:proofErr w:type="spellStart"/>
      <w:r w:rsidRPr="007A05DF">
        <w:rPr>
          <w:rFonts w:cs="Arial"/>
          <w:szCs w:val="21"/>
        </w:rPr>
        <w:t>Groher</w:t>
      </w:r>
      <w:proofErr w:type="spellEnd"/>
      <w:r w:rsidRPr="007A05DF">
        <w:rPr>
          <w:rFonts w:cs="Arial"/>
          <w:szCs w:val="21"/>
        </w:rPr>
        <w:t xml:space="preserve">, M </w:t>
      </w:r>
      <w:proofErr w:type="spellStart"/>
      <w:r w:rsidRPr="007A05DF">
        <w:rPr>
          <w:rFonts w:cs="Arial"/>
          <w:szCs w:val="21"/>
        </w:rPr>
        <w:t>Crary</w:t>
      </w:r>
      <w:proofErr w:type="spellEnd"/>
      <w:r w:rsidRPr="007A05DF">
        <w:rPr>
          <w:rFonts w:cs="Arial"/>
          <w:szCs w:val="21"/>
        </w:rPr>
        <w:t xml:space="preserve"> (eds). </w:t>
      </w:r>
      <w:r w:rsidRPr="00F82903">
        <w:rPr>
          <w:rFonts w:cs="Arial"/>
          <w:i/>
          <w:iCs/>
          <w:szCs w:val="21"/>
        </w:rPr>
        <w:t>Dysphagia: Clinical management in adults and children</w:t>
      </w:r>
      <w:r w:rsidRPr="007A05DF">
        <w:rPr>
          <w:rFonts w:cs="Arial"/>
          <w:szCs w:val="21"/>
        </w:rPr>
        <w:t xml:space="preserve"> (2nd ed. pp. 325</w:t>
      </w:r>
      <w:r>
        <w:rPr>
          <w:rFonts w:cs="Arial"/>
          <w:szCs w:val="21"/>
        </w:rPr>
        <w:t>–</w:t>
      </w:r>
      <w:r w:rsidRPr="007A05DF">
        <w:rPr>
          <w:rFonts w:cs="Arial"/>
          <w:szCs w:val="21"/>
        </w:rPr>
        <w:t>348). St. Louis, MO: Elsevier.</w:t>
      </w:r>
    </w:p>
    <w:p w14:paraId="5FE76D34" w14:textId="667A0435" w:rsidR="009B6A8C" w:rsidRPr="007A05DF" w:rsidRDefault="009B6A8C" w:rsidP="009B6A8C">
      <w:pPr>
        <w:pStyle w:val="References"/>
        <w:rPr>
          <w:rFonts w:cs="Arial"/>
          <w:szCs w:val="21"/>
        </w:rPr>
      </w:pPr>
      <w:proofErr w:type="spellStart"/>
      <w:r w:rsidRPr="007A05DF">
        <w:rPr>
          <w:rFonts w:cs="Arial"/>
          <w:szCs w:val="21"/>
        </w:rPr>
        <w:t>Dodrill</w:t>
      </w:r>
      <w:proofErr w:type="spellEnd"/>
      <w:r w:rsidRPr="007A05DF">
        <w:rPr>
          <w:rFonts w:cs="Arial"/>
          <w:szCs w:val="21"/>
        </w:rPr>
        <w:t xml:space="preserve"> P. 2016. Typical feeding and swallowing development in infants and children. In M </w:t>
      </w:r>
      <w:proofErr w:type="spellStart"/>
      <w:r w:rsidRPr="007A05DF">
        <w:rPr>
          <w:rFonts w:cs="Arial"/>
          <w:szCs w:val="21"/>
        </w:rPr>
        <w:t>Groher</w:t>
      </w:r>
      <w:proofErr w:type="spellEnd"/>
      <w:r w:rsidRPr="007A05DF">
        <w:rPr>
          <w:rFonts w:cs="Arial"/>
          <w:szCs w:val="21"/>
        </w:rPr>
        <w:t xml:space="preserve">, M. </w:t>
      </w:r>
      <w:proofErr w:type="spellStart"/>
      <w:r w:rsidRPr="007A05DF">
        <w:rPr>
          <w:rFonts w:cs="Arial"/>
          <w:szCs w:val="21"/>
        </w:rPr>
        <w:t>Crary</w:t>
      </w:r>
      <w:proofErr w:type="spellEnd"/>
      <w:r w:rsidRPr="007A05DF">
        <w:rPr>
          <w:rFonts w:cs="Arial"/>
          <w:szCs w:val="21"/>
        </w:rPr>
        <w:t xml:space="preserve"> (eds). </w:t>
      </w:r>
      <w:r w:rsidRPr="00F82903">
        <w:rPr>
          <w:rFonts w:cs="Arial"/>
          <w:i/>
          <w:iCs/>
          <w:szCs w:val="21"/>
        </w:rPr>
        <w:t>Dysphagia: Clinical management in adults and children</w:t>
      </w:r>
      <w:r w:rsidRPr="007A05DF">
        <w:rPr>
          <w:rFonts w:cs="Arial"/>
          <w:szCs w:val="21"/>
        </w:rPr>
        <w:t xml:space="preserve"> (2nd ed. pp. 253</w:t>
      </w:r>
      <w:r>
        <w:rPr>
          <w:rFonts w:cs="Arial"/>
          <w:szCs w:val="21"/>
        </w:rPr>
        <w:t>–</w:t>
      </w:r>
      <w:r w:rsidRPr="007A05DF">
        <w:rPr>
          <w:rFonts w:cs="Arial"/>
          <w:szCs w:val="21"/>
        </w:rPr>
        <w:t>268). St. Louis, MO: Elsevier.</w:t>
      </w:r>
    </w:p>
    <w:p w14:paraId="77D2F9FE" w14:textId="2599020C" w:rsidR="009B6A8C" w:rsidRPr="007A05DF" w:rsidRDefault="009B6A8C" w:rsidP="009B6A8C">
      <w:pPr>
        <w:pStyle w:val="References"/>
        <w:rPr>
          <w:rFonts w:cs="Arial"/>
          <w:szCs w:val="21"/>
        </w:rPr>
      </w:pPr>
      <w:r w:rsidRPr="007A05DF">
        <w:rPr>
          <w:rFonts w:cs="Arial"/>
          <w:szCs w:val="21"/>
        </w:rPr>
        <w:t>Edwards DK, Martin SM. 2011. Protecting children as feeding skills develop</w:t>
      </w:r>
      <w:r w:rsidRPr="007A05DF">
        <w:rPr>
          <w:rFonts w:cs="Arial"/>
          <w:i/>
          <w:iCs/>
          <w:szCs w:val="21"/>
        </w:rPr>
        <w:t>. Perspectives on swallowing and swallowing disorders</w:t>
      </w:r>
      <w:r w:rsidRPr="007A05DF">
        <w:rPr>
          <w:rFonts w:cs="Arial"/>
          <w:szCs w:val="21"/>
        </w:rPr>
        <w:t xml:space="preserve">. 20:30 doi.org/10.1044/sasd20.3.88. </w:t>
      </w:r>
    </w:p>
    <w:p w14:paraId="4C240643" w14:textId="79F042D3" w:rsidR="009B6A8C" w:rsidRPr="007A05DF" w:rsidRDefault="009B6A8C" w:rsidP="009B6A8C">
      <w:pPr>
        <w:pStyle w:val="References"/>
        <w:rPr>
          <w:rFonts w:cs="Arial"/>
          <w:i/>
          <w:szCs w:val="21"/>
        </w:rPr>
      </w:pPr>
      <w:proofErr w:type="spellStart"/>
      <w:r w:rsidRPr="007A05DF">
        <w:rPr>
          <w:rFonts w:cs="Arial"/>
          <w:szCs w:val="21"/>
        </w:rPr>
        <w:t>Foltran</w:t>
      </w:r>
      <w:proofErr w:type="spellEnd"/>
      <w:r w:rsidRPr="007A05DF">
        <w:rPr>
          <w:rFonts w:cs="Arial"/>
          <w:szCs w:val="21"/>
        </w:rPr>
        <w:t xml:space="preserve"> F, </w:t>
      </w:r>
      <w:proofErr w:type="spellStart"/>
      <w:r w:rsidRPr="007A05DF">
        <w:rPr>
          <w:rFonts w:cs="Arial"/>
          <w:szCs w:val="21"/>
        </w:rPr>
        <w:t>Ballali</w:t>
      </w:r>
      <w:proofErr w:type="spellEnd"/>
      <w:r w:rsidRPr="007A05DF">
        <w:rPr>
          <w:rFonts w:cs="Arial"/>
          <w:szCs w:val="21"/>
        </w:rPr>
        <w:t xml:space="preserve"> S, </w:t>
      </w:r>
      <w:proofErr w:type="spellStart"/>
      <w:r w:rsidRPr="007A05DF">
        <w:rPr>
          <w:rFonts w:cs="Arial"/>
          <w:szCs w:val="21"/>
        </w:rPr>
        <w:t>Passali</w:t>
      </w:r>
      <w:proofErr w:type="spellEnd"/>
      <w:r w:rsidRPr="007A05DF">
        <w:rPr>
          <w:rFonts w:cs="Arial"/>
          <w:szCs w:val="21"/>
        </w:rPr>
        <w:t xml:space="preserve"> F et al. 2012. Foreign bodies in the airways: A meta-analysis of published papers. </w:t>
      </w:r>
      <w:r w:rsidRPr="007A05DF">
        <w:rPr>
          <w:rFonts w:cs="Arial"/>
          <w:i/>
          <w:szCs w:val="21"/>
        </w:rPr>
        <w:t xml:space="preserve">International Journal of </w:t>
      </w:r>
      <w:proofErr w:type="spellStart"/>
      <w:r w:rsidRPr="007A05DF">
        <w:rPr>
          <w:rFonts w:cs="Arial"/>
          <w:i/>
          <w:szCs w:val="21"/>
        </w:rPr>
        <w:t>Pediatric</w:t>
      </w:r>
      <w:proofErr w:type="spellEnd"/>
      <w:r w:rsidRPr="007A05DF">
        <w:rPr>
          <w:rFonts w:cs="Arial"/>
          <w:i/>
          <w:szCs w:val="21"/>
        </w:rPr>
        <w:t xml:space="preserve"> Otorhinolaryngology. </w:t>
      </w:r>
      <w:r w:rsidRPr="007A05DF">
        <w:rPr>
          <w:rFonts w:cs="Arial"/>
          <w:szCs w:val="21"/>
        </w:rPr>
        <w:t>76S, S12</w:t>
      </w:r>
      <w:r>
        <w:rPr>
          <w:rFonts w:cs="Arial"/>
          <w:szCs w:val="21"/>
        </w:rPr>
        <w:t>–</w:t>
      </w:r>
      <w:r w:rsidRPr="007A05DF">
        <w:rPr>
          <w:rFonts w:cs="Arial"/>
          <w:szCs w:val="21"/>
        </w:rPr>
        <w:t>S19</w:t>
      </w:r>
      <w:r w:rsidRPr="007A05DF">
        <w:rPr>
          <w:rFonts w:cs="Arial"/>
          <w:i/>
          <w:szCs w:val="21"/>
        </w:rPr>
        <w:t>.</w:t>
      </w:r>
    </w:p>
    <w:p w14:paraId="312A34F2" w14:textId="77777777" w:rsidR="009B6A8C" w:rsidRPr="007A05DF" w:rsidRDefault="009B6A8C" w:rsidP="009B6A8C">
      <w:pPr>
        <w:pStyle w:val="References"/>
        <w:rPr>
          <w:rFonts w:cs="Segoe UI"/>
          <w:bCs/>
          <w:szCs w:val="21"/>
        </w:rPr>
      </w:pPr>
      <w:r w:rsidRPr="007A05DF">
        <w:rPr>
          <w:rFonts w:cs="Segoe UI"/>
          <w:bCs/>
          <w:szCs w:val="21"/>
        </w:rPr>
        <w:t>International Dysphagia Diet Standardisation Initiative (IDDSI)</w:t>
      </w:r>
    </w:p>
    <w:p w14:paraId="79325CB8" w14:textId="70FB4796" w:rsidR="009B6A8C" w:rsidRDefault="002649E4" w:rsidP="009B6A8C">
      <w:pPr>
        <w:pStyle w:val="Bullet"/>
      </w:pPr>
      <w:hyperlink r:id="rId27" w:history="1">
        <w:r w:rsidR="00C10E1D" w:rsidRPr="001E65B1">
          <w:rPr>
            <w:rStyle w:val="Hyperlink"/>
          </w:rPr>
          <w:t>http://ftp.iddsi.org/Documents/FAQ_When_to_change_from_child_to_adult_L5_and_L6_p1_consumer_handout_30Jan2019.jpg</w:t>
        </w:r>
      </w:hyperlink>
      <w:r w:rsidR="00C10E1D">
        <w:t xml:space="preserve"> </w:t>
      </w:r>
      <w:r w:rsidR="009B6A8C">
        <w:t xml:space="preserve">, </w:t>
      </w:r>
    </w:p>
    <w:p w14:paraId="553AB642" w14:textId="6DB145D7" w:rsidR="009B6A8C" w:rsidRPr="007A05DF" w:rsidRDefault="009B6A8C" w:rsidP="00C10E1D">
      <w:pPr>
        <w:pStyle w:val="Bullet"/>
        <w:spacing w:after="180"/>
      </w:pPr>
      <w:r w:rsidRPr="007A05DF">
        <w:t xml:space="preserve">7_Regular_p1_Paeds_consumer_handout_30Jan2019.jpg.  </w:t>
      </w:r>
    </w:p>
    <w:p w14:paraId="61440377" w14:textId="77777777" w:rsidR="009B6A8C" w:rsidRPr="007A05DF" w:rsidRDefault="009B6A8C" w:rsidP="009B6A8C">
      <w:pPr>
        <w:pStyle w:val="References"/>
        <w:rPr>
          <w:rFonts w:cs="Arial"/>
          <w:szCs w:val="21"/>
        </w:rPr>
      </w:pPr>
      <w:proofErr w:type="spellStart"/>
      <w:r w:rsidRPr="007A05DF">
        <w:rPr>
          <w:rFonts w:cs="Arial"/>
          <w:szCs w:val="21"/>
        </w:rPr>
        <w:lastRenderedPageBreak/>
        <w:t>Lorenzoni</w:t>
      </w:r>
      <w:proofErr w:type="spellEnd"/>
      <w:r w:rsidRPr="007A05DF">
        <w:rPr>
          <w:rFonts w:cs="Arial"/>
          <w:szCs w:val="21"/>
        </w:rPr>
        <w:t xml:space="preserve"> G, </w:t>
      </w:r>
      <w:proofErr w:type="spellStart"/>
      <w:r w:rsidRPr="007A05DF">
        <w:rPr>
          <w:rFonts w:cs="Arial"/>
          <w:szCs w:val="21"/>
        </w:rPr>
        <w:t>Azzolina</w:t>
      </w:r>
      <w:proofErr w:type="spellEnd"/>
      <w:r w:rsidRPr="007A05DF">
        <w:rPr>
          <w:rFonts w:cs="Arial"/>
          <w:szCs w:val="21"/>
        </w:rPr>
        <w:t xml:space="preserve"> D, </w:t>
      </w:r>
      <w:proofErr w:type="spellStart"/>
      <w:r w:rsidRPr="007A05DF">
        <w:rPr>
          <w:rFonts w:cs="Arial"/>
          <w:szCs w:val="21"/>
        </w:rPr>
        <w:t>Baldas</w:t>
      </w:r>
      <w:proofErr w:type="spellEnd"/>
      <w:r w:rsidRPr="007A05DF">
        <w:rPr>
          <w:rFonts w:cs="Arial"/>
          <w:szCs w:val="21"/>
        </w:rPr>
        <w:t xml:space="preserve"> S, et al. 2019. Increasing awareness of food-choking and nutrition in children through education of caregivers: the CHOP community intervention trial study protocol. </w:t>
      </w:r>
      <w:r w:rsidRPr="007A05DF">
        <w:rPr>
          <w:rFonts w:cs="Arial"/>
          <w:i/>
          <w:iCs/>
          <w:szCs w:val="21"/>
        </w:rPr>
        <w:t>BMC Public Health</w:t>
      </w:r>
      <w:r w:rsidRPr="007A05DF">
        <w:rPr>
          <w:rFonts w:cs="Arial"/>
          <w:szCs w:val="21"/>
        </w:rPr>
        <w:t xml:space="preserve"> 19:1156.</w:t>
      </w:r>
    </w:p>
    <w:p w14:paraId="6535858B" w14:textId="62B9C5AA" w:rsidR="009B6A8C" w:rsidRPr="007A05DF" w:rsidRDefault="009B6A8C" w:rsidP="009B6A8C">
      <w:pPr>
        <w:pStyle w:val="References"/>
        <w:rPr>
          <w:rFonts w:cs="Arial"/>
          <w:szCs w:val="21"/>
        </w:rPr>
      </w:pPr>
      <w:r w:rsidRPr="007A05DF">
        <w:rPr>
          <w:rFonts w:cs="Arial"/>
          <w:szCs w:val="21"/>
        </w:rPr>
        <w:t xml:space="preserve">Lumsden A </w:t>
      </w:r>
      <w:r>
        <w:rPr>
          <w:rFonts w:cs="Arial"/>
          <w:szCs w:val="21"/>
        </w:rPr>
        <w:t xml:space="preserve">and </w:t>
      </w:r>
      <w:r w:rsidRPr="007A05DF">
        <w:rPr>
          <w:rFonts w:cs="Arial"/>
          <w:szCs w:val="21"/>
        </w:rPr>
        <w:t xml:space="preserve">Cooper J. 2017. The choking hazard of grapes: a plea for awareness. </w:t>
      </w:r>
      <w:r w:rsidRPr="007A05DF">
        <w:rPr>
          <w:rFonts w:cs="Arial"/>
          <w:i/>
          <w:iCs/>
          <w:szCs w:val="21"/>
        </w:rPr>
        <w:t>Archives of diseases in childhood</w:t>
      </w:r>
      <w:r w:rsidRPr="007A05DF">
        <w:rPr>
          <w:rFonts w:cs="Arial"/>
          <w:szCs w:val="21"/>
        </w:rPr>
        <w:t>.102: 473–474. doi:10.1136/archdischild-2016-311750.</w:t>
      </w:r>
    </w:p>
    <w:p w14:paraId="3087BC8E" w14:textId="77777777" w:rsidR="009B6A8C" w:rsidRPr="007A05DF" w:rsidRDefault="009B6A8C" w:rsidP="009B6A8C">
      <w:pPr>
        <w:pStyle w:val="References"/>
        <w:rPr>
          <w:rFonts w:cs="Arial"/>
          <w:szCs w:val="21"/>
        </w:rPr>
      </w:pPr>
      <w:r w:rsidRPr="007A05DF">
        <w:rPr>
          <w:rFonts w:cs="Arial"/>
          <w:szCs w:val="21"/>
        </w:rPr>
        <w:t xml:space="preserve">Mohammad M, Saleem M, </w:t>
      </w:r>
      <w:proofErr w:type="spellStart"/>
      <w:r w:rsidRPr="007A05DF">
        <w:rPr>
          <w:rFonts w:cs="Arial"/>
          <w:szCs w:val="21"/>
        </w:rPr>
        <w:t>Mahseeri</w:t>
      </w:r>
      <w:proofErr w:type="spellEnd"/>
      <w:r w:rsidRPr="007A05DF">
        <w:rPr>
          <w:rFonts w:cs="Arial"/>
          <w:szCs w:val="21"/>
        </w:rPr>
        <w:t xml:space="preserve"> M et al. 2017. Foreign body aspiration in children: A study of children who lived or died following aspiration</w:t>
      </w:r>
      <w:r w:rsidRPr="007A05DF">
        <w:rPr>
          <w:rFonts w:cs="Arial"/>
          <w:i/>
          <w:iCs/>
          <w:szCs w:val="21"/>
        </w:rPr>
        <w:t xml:space="preserve">. International Journal of </w:t>
      </w:r>
      <w:proofErr w:type="spellStart"/>
      <w:r w:rsidRPr="007A05DF">
        <w:rPr>
          <w:rFonts w:cs="Arial"/>
          <w:i/>
          <w:iCs/>
          <w:szCs w:val="21"/>
        </w:rPr>
        <w:t>Pediatric</w:t>
      </w:r>
      <w:proofErr w:type="spellEnd"/>
      <w:r w:rsidRPr="007A05DF">
        <w:rPr>
          <w:rFonts w:cs="Arial"/>
          <w:i/>
          <w:iCs/>
          <w:szCs w:val="21"/>
        </w:rPr>
        <w:t xml:space="preserve"> Otorhinolaryngology</w:t>
      </w:r>
      <w:r w:rsidRPr="007A05DF">
        <w:rPr>
          <w:rFonts w:cs="Arial"/>
          <w:szCs w:val="21"/>
        </w:rPr>
        <w:t xml:space="preserve">, 98: 29–31. </w:t>
      </w:r>
      <w:hyperlink r:id="rId28" w:history="1">
        <w:r w:rsidRPr="007A05DF">
          <w:rPr>
            <w:szCs w:val="21"/>
          </w:rPr>
          <w:t>doi:10.1016/j.ijporl.2017.04.029</w:t>
        </w:r>
      </w:hyperlink>
    </w:p>
    <w:p w14:paraId="22528448" w14:textId="5BE45C67" w:rsidR="009B6A8C" w:rsidRPr="007A05DF" w:rsidRDefault="009B6A8C" w:rsidP="009B6A8C">
      <w:pPr>
        <w:pStyle w:val="References"/>
        <w:rPr>
          <w:rFonts w:cs="Arial"/>
          <w:szCs w:val="21"/>
        </w:rPr>
      </w:pPr>
      <w:r w:rsidRPr="007A05DF">
        <w:rPr>
          <w:rFonts w:cs="Arial"/>
          <w:szCs w:val="21"/>
        </w:rPr>
        <w:t xml:space="preserve">Nichols B, </w:t>
      </w:r>
      <w:proofErr w:type="spellStart"/>
      <w:r w:rsidRPr="007A05DF">
        <w:rPr>
          <w:rFonts w:cs="Arial"/>
          <w:szCs w:val="21"/>
        </w:rPr>
        <w:t>Visotcky</w:t>
      </w:r>
      <w:proofErr w:type="spellEnd"/>
      <w:r w:rsidRPr="007A05DF">
        <w:rPr>
          <w:rFonts w:cs="Arial"/>
          <w:szCs w:val="21"/>
        </w:rPr>
        <w:t xml:space="preserve"> A, </w:t>
      </w:r>
      <w:proofErr w:type="spellStart"/>
      <w:r w:rsidRPr="007A05DF">
        <w:rPr>
          <w:rFonts w:cs="Arial"/>
          <w:szCs w:val="21"/>
        </w:rPr>
        <w:t>Aberger</w:t>
      </w:r>
      <w:proofErr w:type="spellEnd"/>
      <w:r w:rsidRPr="007A05DF">
        <w:rPr>
          <w:rFonts w:cs="Arial"/>
          <w:szCs w:val="21"/>
        </w:rPr>
        <w:t xml:space="preserve"> M et al. 2012 </w:t>
      </w:r>
      <w:proofErr w:type="spellStart"/>
      <w:r w:rsidRPr="007A05DF">
        <w:rPr>
          <w:rFonts w:cs="Arial"/>
          <w:szCs w:val="21"/>
        </w:rPr>
        <w:t>Pediatric</w:t>
      </w:r>
      <w:proofErr w:type="spellEnd"/>
      <w:r w:rsidRPr="007A05DF">
        <w:rPr>
          <w:rFonts w:cs="Arial"/>
          <w:szCs w:val="21"/>
        </w:rPr>
        <w:t xml:space="preserve"> exposure to choking hazards is associated with parental knowledge of choking hazards</w:t>
      </w:r>
      <w:r w:rsidRPr="0055248F">
        <w:rPr>
          <w:rFonts w:cs="Arial"/>
          <w:i/>
          <w:iCs/>
          <w:szCs w:val="21"/>
        </w:rPr>
        <w:t xml:space="preserve">. International journal of </w:t>
      </w:r>
      <w:proofErr w:type="spellStart"/>
      <w:r w:rsidRPr="0055248F">
        <w:rPr>
          <w:rFonts w:cs="Arial"/>
          <w:i/>
          <w:iCs/>
          <w:szCs w:val="21"/>
        </w:rPr>
        <w:t>Pediatric</w:t>
      </w:r>
      <w:proofErr w:type="spellEnd"/>
      <w:r w:rsidRPr="0055248F">
        <w:rPr>
          <w:rFonts w:cs="Arial"/>
          <w:i/>
          <w:iCs/>
          <w:szCs w:val="21"/>
        </w:rPr>
        <w:t xml:space="preserve"> Otorhinolaryngology</w:t>
      </w:r>
      <w:r w:rsidRPr="007A05DF">
        <w:rPr>
          <w:rFonts w:cs="Arial"/>
          <w:szCs w:val="21"/>
        </w:rPr>
        <w:t>. 76(2): 169</w:t>
      </w:r>
      <w:r>
        <w:rPr>
          <w:rFonts w:cs="Arial"/>
          <w:szCs w:val="21"/>
        </w:rPr>
        <w:t>–</w:t>
      </w:r>
      <w:r w:rsidRPr="007A05DF">
        <w:rPr>
          <w:rFonts w:cs="Arial"/>
          <w:szCs w:val="21"/>
        </w:rPr>
        <w:t xml:space="preserve">173. </w:t>
      </w:r>
      <w:proofErr w:type="spellStart"/>
      <w:r w:rsidRPr="007A05DF">
        <w:rPr>
          <w:rFonts w:cs="Arial"/>
          <w:szCs w:val="21"/>
        </w:rPr>
        <w:t>doi</w:t>
      </w:r>
      <w:proofErr w:type="spellEnd"/>
      <w:r w:rsidRPr="007A05DF">
        <w:rPr>
          <w:rFonts w:cs="Arial"/>
          <w:szCs w:val="21"/>
        </w:rPr>
        <w:t>: 10.1016/j. ijporl.2011.10.018</w:t>
      </w:r>
    </w:p>
    <w:p w14:paraId="4A145E8A" w14:textId="77777777" w:rsidR="009B6A8C" w:rsidRPr="007A05DF" w:rsidRDefault="009B6A8C" w:rsidP="009B6A8C">
      <w:pPr>
        <w:pStyle w:val="References"/>
        <w:rPr>
          <w:rFonts w:cs="Arial"/>
          <w:szCs w:val="21"/>
        </w:rPr>
      </w:pPr>
      <w:r w:rsidRPr="007A05DF">
        <w:rPr>
          <w:szCs w:val="21"/>
        </w:rPr>
        <w:t xml:space="preserve">Ministry of Health. 2008. </w:t>
      </w:r>
      <w:r w:rsidRPr="007A05DF">
        <w:rPr>
          <w:i/>
          <w:szCs w:val="21"/>
        </w:rPr>
        <w:t xml:space="preserve">Food and Nutrition Guidelines for Healthy Infants and Toddlers (Aged 0–2): A background paper (4th ed) – Partially </w:t>
      </w:r>
      <w:r>
        <w:rPr>
          <w:i/>
          <w:szCs w:val="21"/>
        </w:rPr>
        <w:t>r</w:t>
      </w:r>
      <w:r w:rsidRPr="007A05DF">
        <w:rPr>
          <w:i/>
          <w:szCs w:val="21"/>
        </w:rPr>
        <w:t>evised December 2012</w:t>
      </w:r>
      <w:r w:rsidRPr="007A05DF">
        <w:rPr>
          <w:szCs w:val="21"/>
        </w:rPr>
        <w:t>. Wellington: Ministry of Health.</w:t>
      </w:r>
    </w:p>
    <w:p w14:paraId="46E1EEB7" w14:textId="77777777" w:rsidR="009B6A8C" w:rsidRPr="007A05DF" w:rsidRDefault="009B6A8C" w:rsidP="009B6A8C">
      <w:pPr>
        <w:pStyle w:val="References"/>
        <w:rPr>
          <w:szCs w:val="21"/>
        </w:rPr>
      </w:pPr>
      <w:r w:rsidRPr="007A05DF">
        <w:rPr>
          <w:szCs w:val="21"/>
        </w:rPr>
        <w:t xml:space="preserve">Ministry of Health. 2012. </w:t>
      </w:r>
      <w:r w:rsidRPr="007A05DF">
        <w:rPr>
          <w:i/>
          <w:iCs/>
          <w:szCs w:val="21"/>
        </w:rPr>
        <w:t>Food and Nutrition Guidelines for Healthy Children and Young People (Aged 2–18 years): A background paper. Partial revision February 2015.</w:t>
      </w:r>
      <w:r w:rsidRPr="007A05DF">
        <w:rPr>
          <w:szCs w:val="21"/>
        </w:rPr>
        <w:t xml:space="preserve"> Wellington: Ministry of Health.</w:t>
      </w:r>
    </w:p>
    <w:p w14:paraId="775B3CED" w14:textId="1842F602" w:rsidR="009B6A8C" w:rsidRPr="007A05DF" w:rsidRDefault="009B6A8C" w:rsidP="009B6A8C">
      <w:pPr>
        <w:pStyle w:val="References"/>
        <w:rPr>
          <w:rFonts w:cs="Arial"/>
          <w:szCs w:val="21"/>
        </w:rPr>
      </w:pPr>
      <w:proofErr w:type="spellStart"/>
      <w:r w:rsidRPr="007A05DF">
        <w:rPr>
          <w:rFonts w:cs="Arial"/>
          <w:szCs w:val="21"/>
        </w:rPr>
        <w:t>Sidell</w:t>
      </w:r>
      <w:proofErr w:type="spellEnd"/>
      <w:r w:rsidRPr="007A05DF">
        <w:rPr>
          <w:rFonts w:cs="Arial"/>
          <w:szCs w:val="21"/>
        </w:rPr>
        <w:t xml:space="preserve"> D, Kim I, Coker T et al. 2013. Food Choking hazards in Children. </w:t>
      </w:r>
      <w:r w:rsidRPr="007A05DF">
        <w:rPr>
          <w:rFonts w:cs="Arial"/>
          <w:i/>
          <w:iCs/>
          <w:szCs w:val="21"/>
        </w:rPr>
        <w:t xml:space="preserve">International journal of </w:t>
      </w:r>
      <w:proofErr w:type="spellStart"/>
      <w:r w:rsidRPr="007A05DF">
        <w:rPr>
          <w:rFonts w:cs="Arial"/>
          <w:i/>
          <w:iCs/>
          <w:szCs w:val="21"/>
        </w:rPr>
        <w:t>Pediatric</w:t>
      </w:r>
      <w:proofErr w:type="spellEnd"/>
      <w:r w:rsidRPr="007A05DF">
        <w:rPr>
          <w:rFonts w:cs="Arial"/>
          <w:i/>
          <w:iCs/>
          <w:szCs w:val="21"/>
        </w:rPr>
        <w:t xml:space="preserve"> Otorhinolaryngology</w:t>
      </w:r>
      <w:r w:rsidRPr="007A05DF">
        <w:rPr>
          <w:rFonts w:cs="Arial"/>
          <w:szCs w:val="21"/>
        </w:rPr>
        <w:t>, 77(12): 1940</w:t>
      </w:r>
      <w:r>
        <w:rPr>
          <w:rFonts w:cs="Arial"/>
          <w:szCs w:val="21"/>
        </w:rPr>
        <w:t>–</w:t>
      </w:r>
      <w:r w:rsidRPr="007A05DF">
        <w:rPr>
          <w:rFonts w:cs="Arial"/>
          <w:szCs w:val="21"/>
        </w:rPr>
        <w:t>1946. doi:10.1016/j.ijporl.2013.09.005.</w:t>
      </w:r>
    </w:p>
    <w:p w14:paraId="0435F79F" w14:textId="1D679BB5" w:rsidR="009B6A8C" w:rsidRPr="007A05DF" w:rsidRDefault="009B6A8C" w:rsidP="009B6A8C">
      <w:pPr>
        <w:pStyle w:val="References"/>
        <w:rPr>
          <w:rFonts w:cs="Arial"/>
          <w:szCs w:val="21"/>
        </w:rPr>
      </w:pPr>
      <w:r w:rsidRPr="007A05DF">
        <w:rPr>
          <w:rFonts w:cs="Arial"/>
          <w:szCs w:val="21"/>
        </w:rPr>
        <w:t>The Susy Safe project overview after the first four years of activity. (2012). </w:t>
      </w:r>
      <w:r w:rsidRPr="007A05DF">
        <w:rPr>
          <w:rFonts w:cs="Arial"/>
          <w:i/>
          <w:iCs/>
          <w:szCs w:val="21"/>
        </w:rPr>
        <w:t xml:space="preserve">International Journal of </w:t>
      </w:r>
      <w:proofErr w:type="spellStart"/>
      <w:r w:rsidRPr="007A05DF">
        <w:rPr>
          <w:rFonts w:cs="Arial"/>
          <w:i/>
          <w:iCs/>
          <w:szCs w:val="21"/>
        </w:rPr>
        <w:t>Pediatric</w:t>
      </w:r>
      <w:proofErr w:type="spellEnd"/>
      <w:r w:rsidRPr="007A05DF">
        <w:rPr>
          <w:rFonts w:cs="Arial"/>
          <w:i/>
          <w:iCs/>
          <w:szCs w:val="21"/>
        </w:rPr>
        <w:t xml:space="preserve"> Otorhinolaryngology</w:t>
      </w:r>
      <w:r w:rsidRPr="007A05DF">
        <w:rPr>
          <w:rFonts w:cs="Arial"/>
          <w:szCs w:val="21"/>
        </w:rPr>
        <w:t>, </w:t>
      </w:r>
      <w:r w:rsidRPr="007A05DF">
        <w:rPr>
          <w:rFonts w:cs="Arial"/>
          <w:i/>
          <w:iCs/>
          <w:szCs w:val="21"/>
        </w:rPr>
        <w:t>76</w:t>
      </w:r>
      <w:r w:rsidRPr="007A05DF">
        <w:rPr>
          <w:rFonts w:cs="Arial"/>
          <w:szCs w:val="21"/>
        </w:rPr>
        <w:t>(S1): 3–11.</w:t>
      </w:r>
      <w:r>
        <w:rPr>
          <w:rFonts w:cs="Arial"/>
          <w:szCs w:val="21"/>
        </w:rPr>
        <w:t xml:space="preserve"> </w:t>
      </w:r>
      <w:hyperlink r:id="rId29" w:history="1">
        <w:r w:rsidR="00C10E1D" w:rsidRPr="001E65B1">
          <w:rPr>
            <w:rStyle w:val="Hyperlink"/>
            <w:rFonts w:cs="Arial"/>
            <w:szCs w:val="21"/>
          </w:rPr>
          <w:t>https://doi.org/10.1016/j.ijporl.2012.02.003</w:t>
        </w:r>
      </w:hyperlink>
      <w:r w:rsidR="00C10E1D">
        <w:rPr>
          <w:rFonts w:cs="Arial"/>
          <w:szCs w:val="21"/>
        </w:rPr>
        <w:t xml:space="preserve"> </w:t>
      </w:r>
    </w:p>
    <w:p w14:paraId="25694444" w14:textId="77777777" w:rsidR="009B6A8C" w:rsidRDefault="009B6A8C" w:rsidP="009B6A8C">
      <w:pPr>
        <w:pStyle w:val="ListParagraph"/>
        <w:autoSpaceDE w:val="0"/>
        <w:autoSpaceDN w:val="0"/>
        <w:adjustRightInd w:val="0"/>
        <w:rPr>
          <w:rFonts w:cs="Arial"/>
          <w:color w:val="000000"/>
          <w:sz w:val="22"/>
        </w:rPr>
      </w:pPr>
    </w:p>
    <w:p w14:paraId="388CB0E8" w14:textId="77777777" w:rsidR="009B6A8C" w:rsidRPr="009B6A8C" w:rsidRDefault="009B6A8C" w:rsidP="009B6A8C"/>
    <w:sectPr w:rsidR="009B6A8C" w:rsidRPr="009B6A8C" w:rsidSect="00A43359">
      <w:footerReference w:type="even" r:id="rId30"/>
      <w:footerReference w:type="default" r:id="rId31"/>
      <w:pgSz w:w="11907" w:h="16834" w:code="9"/>
      <w:pgMar w:top="1418" w:right="1701" w:bottom="1418" w:left="1843" w:header="284" w:footer="567"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3F780" w14:textId="77777777" w:rsidR="002649E4" w:rsidRDefault="002649E4">
      <w:r>
        <w:separator/>
      </w:r>
    </w:p>
    <w:p w14:paraId="0D5ACA3C" w14:textId="77777777" w:rsidR="002649E4" w:rsidRDefault="002649E4"/>
  </w:endnote>
  <w:endnote w:type="continuationSeparator" w:id="0">
    <w:p w14:paraId="6686351F" w14:textId="77777777" w:rsidR="002649E4" w:rsidRDefault="002649E4">
      <w:r>
        <w:continuationSeparator/>
      </w:r>
    </w:p>
    <w:p w14:paraId="45B0D707" w14:textId="77777777" w:rsidR="002649E4" w:rsidRDefault="00264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äori">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DINPro-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1BDF5" w14:textId="046B3E79" w:rsidR="00A43359" w:rsidRPr="00581136" w:rsidRDefault="00A43359" w:rsidP="005A79E5">
    <w:pPr>
      <w:pStyle w:val="Footer"/>
      <w:pBdr>
        <w:bottom w:val="single" w:sz="4" w:space="1" w:color="auto"/>
      </w:pBdr>
      <w:tabs>
        <w:tab w:val="right" w:pos="9639"/>
      </w:tabs>
      <w:rPr>
        <w:b/>
      </w:rPr>
    </w:pPr>
    <w:r>
      <w:rPr>
        <w:b/>
      </w:rPr>
      <w:t>Released</w:t>
    </w:r>
    <w:r w:rsidRPr="001F7C66">
      <w:rPr>
        <w:b/>
      </w:rPr>
      <w:t xml:space="preserve"> 2020</w:t>
    </w:r>
    <w:r w:rsidRPr="00581136">
      <w:rPr>
        <w:b/>
      </w:rPr>
      <w:tab/>
      <w:t>health.govt.nz</w:t>
    </w:r>
  </w:p>
  <w:p w14:paraId="052148C2" w14:textId="77777777" w:rsidR="00A43359" w:rsidRPr="005A79E5" w:rsidRDefault="00A43359">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3BFB5" w14:textId="77777777" w:rsidR="00A43359" w:rsidRDefault="00A43359" w:rsidP="004D668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1DA8C" w14:textId="77777777" w:rsidR="00A43359" w:rsidRDefault="00A433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A43359" w14:paraId="02C89125" w14:textId="77777777" w:rsidTr="006C69BF">
      <w:trPr>
        <w:cantSplit/>
      </w:trPr>
      <w:tc>
        <w:tcPr>
          <w:tcW w:w="709" w:type="dxa"/>
          <w:vAlign w:val="center"/>
        </w:tcPr>
        <w:p w14:paraId="1101D503" w14:textId="6E027261" w:rsidR="00A43359" w:rsidRPr="00931466" w:rsidRDefault="00A43359" w:rsidP="00875F9E">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20</w:t>
          </w:r>
          <w:r w:rsidRPr="00931466">
            <w:rPr>
              <w:rStyle w:val="PageNumber"/>
            </w:rPr>
            <w:fldChar w:fldCharType="end"/>
          </w:r>
        </w:p>
      </w:tc>
      <w:tc>
        <w:tcPr>
          <w:tcW w:w="8080" w:type="dxa"/>
          <w:vAlign w:val="center"/>
        </w:tcPr>
        <w:p w14:paraId="0E558B2A" w14:textId="5537A200" w:rsidR="00A43359" w:rsidRDefault="00A43359" w:rsidP="00875F9E">
          <w:pPr>
            <w:pStyle w:val="RectoFooter"/>
            <w:jc w:val="left"/>
          </w:pPr>
          <w:r w:rsidRPr="00A43359">
            <w:t>Reducing food-related choking for babies and young children at early learning services</w:t>
          </w:r>
        </w:p>
      </w:tc>
    </w:tr>
  </w:tbl>
  <w:p w14:paraId="6374E579" w14:textId="77777777" w:rsidR="00A43359" w:rsidRPr="00875F9E" w:rsidRDefault="00A43359" w:rsidP="00875F9E">
    <w:pPr>
      <w:pStyle w:val="Footer"/>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38"/>
      <w:gridCol w:w="708"/>
    </w:tblGrid>
    <w:tr w:rsidR="00A43359" w14:paraId="54723A3C" w14:textId="77777777" w:rsidTr="00615DC1">
      <w:trPr>
        <w:cantSplit/>
      </w:trPr>
      <w:tc>
        <w:tcPr>
          <w:tcW w:w="7938" w:type="dxa"/>
          <w:vAlign w:val="center"/>
        </w:tcPr>
        <w:p w14:paraId="14BC7045" w14:textId="7818691A" w:rsidR="00A43359" w:rsidRDefault="00A43359" w:rsidP="002519C7">
          <w:pPr>
            <w:pStyle w:val="RectoFooter"/>
          </w:pPr>
          <w:r w:rsidRPr="00A43359">
            <w:t>Reducing food-related choking for babies and young children at early learning services</w:t>
          </w:r>
        </w:p>
      </w:tc>
      <w:tc>
        <w:tcPr>
          <w:tcW w:w="708" w:type="dxa"/>
          <w:vAlign w:val="center"/>
        </w:tcPr>
        <w:p w14:paraId="1C2BB959" w14:textId="77777777" w:rsidR="00A43359" w:rsidRPr="00931466" w:rsidRDefault="00A43359" w:rsidP="00875F9E">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19</w:t>
          </w:r>
          <w:r w:rsidRPr="00931466">
            <w:rPr>
              <w:rStyle w:val="PageNumber"/>
            </w:rPr>
            <w:fldChar w:fldCharType="end"/>
          </w:r>
        </w:p>
      </w:tc>
    </w:tr>
  </w:tbl>
  <w:p w14:paraId="3D3104C3" w14:textId="77777777" w:rsidR="00A43359" w:rsidRPr="00581EB8" w:rsidRDefault="00A43359" w:rsidP="00581EB8">
    <w:pPr>
      <w:pStyle w:val="Footer"/>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39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2736"/>
      <w:gridCol w:w="1255"/>
    </w:tblGrid>
    <w:tr w:rsidR="009B6A8C" w14:paraId="09D58E27" w14:textId="77777777" w:rsidTr="009B6A8C">
      <w:trPr>
        <w:cantSplit/>
      </w:trPr>
      <w:tc>
        <w:tcPr>
          <w:tcW w:w="12736" w:type="dxa"/>
          <w:vAlign w:val="center"/>
        </w:tcPr>
        <w:p w14:paraId="1A08D65D" w14:textId="77777777" w:rsidR="009B6A8C" w:rsidRDefault="009B6A8C" w:rsidP="002519C7">
          <w:pPr>
            <w:pStyle w:val="RectoFooter"/>
          </w:pPr>
          <w:r w:rsidRPr="00A43359">
            <w:t>Reducing food-related choking for babies and young children at early learning services</w:t>
          </w:r>
        </w:p>
      </w:tc>
      <w:tc>
        <w:tcPr>
          <w:tcW w:w="1255" w:type="dxa"/>
          <w:vAlign w:val="center"/>
        </w:tcPr>
        <w:p w14:paraId="6014678E" w14:textId="77777777" w:rsidR="009B6A8C" w:rsidRPr="00931466" w:rsidRDefault="009B6A8C" w:rsidP="009B6A8C">
          <w:pPr>
            <w:pStyle w:val="Footer"/>
            <w:ind w:left="1982" w:hanging="1418"/>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19</w:t>
          </w:r>
          <w:r w:rsidRPr="00931466">
            <w:rPr>
              <w:rStyle w:val="PageNumber"/>
            </w:rPr>
            <w:fldChar w:fldCharType="end"/>
          </w:r>
        </w:p>
      </w:tc>
    </w:tr>
  </w:tbl>
  <w:p w14:paraId="60BB204B" w14:textId="77777777" w:rsidR="009B6A8C" w:rsidRPr="00581EB8" w:rsidRDefault="009B6A8C" w:rsidP="00581EB8">
    <w:pPr>
      <w:pStyle w:val="Footer"/>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9"/>
      <w:gridCol w:w="8080"/>
    </w:tblGrid>
    <w:tr w:rsidR="009B6A8C" w14:paraId="01BDAC0E" w14:textId="77777777" w:rsidTr="006C69BF">
      <w:trPr>
        <w:cantSplit/>
      </w:trPr>
      <w:tc>
        <w:tcPr>
          <w:tcW w:w="709" w:type="dxa"/>
          <w:vAlign w:val="center"/>
        </w:tcPr>
        <w:p w14:paraId="7C2556F2" w14:textId="77777777" w:rsidR="009B6A8C" w:rsidRPr="00931466" w:rsidRDefault="009B6A8C" w:rsidP="00875F9E">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20</w:t>
          </w:r>
          <w:r w:rsidRPr="00931466">
            <w:rPr>
              <w:rStyle w:val="PageNumber"/>
            </w:rPr>
            <w:fldChar w:fldCharType="end"/>
          </w:r>
        </w:p>
      </w:tc>
      <w:tc>
        <w:tcPr>
          <w:tcW w:w="8080" w:type="dxa"/>
          <w:vAlign w:val="center"/>
        </w:tcPr>
        <w:p w14:paraId="3F858EA2" w14:textId="77777777" w:rsidR="009B6A8C" w:rsidRDefault="009B6A8C" w:rsidP="00875F9E">
          <w:pPr>
            <w:pStyle w:val="RectoFooter"/>
            <w:jc w:val="left"/>
          </w:pPr>
          <w:r w:rsidRPr="00A43359">
            <w:t>Reducing food-related choking for babies and young children at early learning services</w:t>
          </w:r>
        </w:p>
      </w:tc>
    </w:tr>
  </w:tbl>
  <w:p w14:paraId="647E4856" w14:textId="77777777" w:rsidR="009B6A8C" w:rsidRPr="00875F9E" w:rsidRDefault="009B6A8C" w:rsidP="00875F9E">
    <w:pPr>
      <w:pStyle w:val="Footer"/>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230"/>
      <w:gridCol w:w="708"/>
    </w:tblGrid>
    <w:tr w:rsidR="009B6A8C" w14:paraId="5A68F62A" w14:textId="77777777" w:rsidTr="009B6A8C">
      <w:trPr>
        <w:cantSplit/>
      </w:trPr>
      <w:tc>
        <w:tcPr>
          <w:tcW w:w="7230" w:type="dxa"/>
          <w:vAlign w:val="center"/>
        </w:tcPr>
        <w:p w14:paraId="3A1D0E42" w14:textId="77777777" w:rsidR="009B6A8C" w:rsidRDefault="009B6A8C" w:rsidP="002519C7">
          <w:pPr>
            <w:pStyle w:val="RectoFooter"/>
          </w:pPr>
          <w:r w:rsidRPr="00A43359">
            <w:t>Reducing food-related choking for babies and young children at early learning services</w:t>
          </w:r>
        </w:p>
      </w:tc>
      <w:tc>
        <w:tcPr>
          <w:tcW w:w="708" w:type="dxa"/>
          <w:vAlign w:val="center"/>
        </w:tcPr>
        <w:p w14:paraId="07B8DFA8" w14:textId="77777777" w:rsidR="009B6A8C" w:rsidRPr="00931466" w:rsidRDefault="009B6A8C" w:rsidP="009B6A8C">
          <w:pPr>
            <w:pStyle w:val="Footer"/>
            <w:ind w:left="1982" w:hanging="1418"/>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Pr>
              <w:rStyle w:val="PageNumber"/>
              <w:noProof/>
            </w:rPr>
            <w:t>19</w:t>
          </w:r>
          <w:r w:rsidRPr="00931466">
            <w:rPr>
              <w:rStyle w:val="PageNumber"/>
            </w:rPr>
            <w:fldChar w:fldCharType="end"/>
          </w:r>
        </w:p>
      </w:tc>
    </w:tr>
  </w:tbl>
  <w:p w14:paraId="07B883B3" w14:textId="77777777" w:rsidR="009B6A8C" w:rsidRPr="00581EB8" w:rsidRDefault="009B6A8C"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0E699" w14:textId="77777777" w:rsidR="002649E4" w:rsidRPr="00A26E6B" w:rsidRDefault="002649E4" w:rsidP="00A26E6B"/>
  </w:footnote>
  <w:footnote w:type="continuationSeparator" w:id="0">
    <w:p w14:paraId="62CA86CD" w14:textId="77777777" w:rsidR="002649E4" w:rsidRDefault="002649E4">
      <w:r>
        <w:continuationSeparator/>
      </w:r>
    </w:p>
    <w:p w14:paraId="0EA262B5" w14:textId="77777777" w:rsidR="002649E4" w:rsidRDefault="002649E4"/>
  </w:footnote>
  <w:footnote w:id="1">
    <w:p w14:paraId="03E9F659" w14:textId="77777777" w:rsidR="00A43359" w:rsidRDefault="00A43359" w:rsidP="00A43359">
      <w:pPr>
        <w:pStyle w:val="FootnoteText"/>
        <w:ind w:left="142" w:hanging="142"/>
      </w:pPr>
      <w:r>
        <w:rPr>
          <w:rStyle w:val="FootnoteReference"/>
        </w:rPr>
        <w:footnoteRef/>
      </w:r>
      <w:r>
        <w:t xml:space="preserve"> The ages in this advice are based on the expected range of development in small children. If a child has a developmental delay, suspected or diagnosed, discuss food requirements with the child’s parents or caregivers.</w:t>
      </w:r>
    </w:p>
  </w:footnote>
  <w:footnote w:id="2">
    <w:p w14:paraId="17664238" w14:textId="77777777" w:rsidR="00A43359" w:rsidRPr="009F5FEC" w:rsidRDefault="00A43359" w:rsidP="00A43359">
      <w:pPr>
        <w:shd w:val="clear" w:color="auto" w:fill="FFFFFF"/>
        <w:spacing w:after="100" w:afterAutospacing="1"/>
        <w:ind w:left="142" w:hanging="142"/>
        <w:contextualSpacing/>
        <w:rPr>
          <w:rFonts w:ascii="Arial" w:hAnsi="Arial" w:cs="Arial"/>
          <w:color w:val="000000"/>
          <w:sz w:val="18"/>
          <w:szCs w:val="18"/>
          <w:lang w:eastAsia="en-NZ"/>
        </w:rPr>
      </w:pPr>
      <w:r w:rsidRPr="00AB50C5">
        <w:rPr>
          <w:rStyle w:val="FootnoteReference"/>
          <w:sz w:val="18"/>
          <w:szCs w:val="18"/>
        </w:rPr>
        <w:footnoteRef/>
      </w:r>
      <w:r>
        <w:rPr>
          <w:rFonts w:cs="Segoe UI"/>
          <w:color w:val="000000"/>
          <w:sz w:val="18"/>
          <w:szCs w:val="18"/>
          <w:lang w:eastAsia="en-NZ"/>
        </w:rPr>
        <w:t xml:space="preserve"> </w:t>
      </w:r>
      <w:r w:rsidRPr="009F5FEC">
        <w:rPr>
          <w:rFonts w:cs="Segoe UI"/>
          <w:color w:val="000000"/>
          <w:sz w:val="18"/>
          <w:szCs w:val="18"/>
          <w:lang w:eastAsia="en-NZ"/>
        </w:rPr>
        <w:t>’</w:t>
      </w:r>
      <w:r>
        <w:rPr>
          <w:rFonts w:cs="Segoe UI"/>
          <w:color w:val="000000"/>
          <w:sz w:val="18"/>
          <w:szCs w:val="18"/>
          <w:lang w:eastAsia="en-NZ"/>
        </w:rPr>
        <w:t>S</w:t>
      </w:r>
      <w:r w:rsidRPr="009F5FEC">
        <w:rPr>
          <w:rFonts w:cs="Segoe UI"/>
          <w:color w:val="000000"/>
          <w:sz w:val="18"/>
          <w:szCs w:val="18"/>
          <w:lang w:eastAsia="en-NZ"/>
        </w:rPr>
        <w:t xml:space="preserve">oft’ means the food can be easily squashed between your thumb and forefinger, </w:t>
      </w:r>
      <w:r>
        <w:rPr>
          <w:rFonts w:cs="Segoe UI"/>
          <w:color w:val="000000"/>
          <w:sz w:val="18"/>
          <w:szCs w:val="18"/>
          <w:lang w:eastAsia="en-NZ"/>
        </w:rPr>
        <w:t xml:space="preserve">or </w:t>
      </w:r>
      <w:r w:rsidRPr="009F5FEC">
        <w:rPr>
          <w:rFonts w:cs="Segoe UI"/>
          <w:color w:val="000000"/>
          <w:sz w:val="18"/>
          <w:szCs w:val="18"/>
          <w:lang w:eastAsia="en-NZ"/>
        </w:rPr>
        <w:t>on the roof of your mouth with your tongue</w:t>
      </w:r>
      <w:r>
        <w:rPr>
          <w:rFonts w:cs="Segoe UI"/>
          <w:color w:val="000000"/>
          <w:sz w:val="18"/>
          <w:szCs w:val="18"/>
          <w:lang w:eastAsia="en-NZ"/>
        </w:rPr>
        <w:t>.</w:t>
      </w:r>
    </w:p>
  </w:footnote>
  <w:footnote w:id="3">
    <w:p w14:paraId="27603537" w14:textId="78EBD78B" w:rsidR="008B739D" w:rsidRPr="009F5FEC" w:rsidRDefault="008B739D" w:rsidP="008B739D">
      <w:pPr>
        <w:shd w:val="clear" w:color="auto" w:fill="FFFFFF"/>
        <w:spacing w:after="100" w:afterAutospacing="1"/>
        <w:ind w:left="142" w:hanging="142"/>
        <w:contextualSpacing/>
        <w:rPr>
          <w:rFonts w:ascii="Arial" w:hAnsi="Arial" w:cs="Arial"/>
          <w:color w:val="000000"/>
          <w:sz w:val="18"/>
          <w:szCs w:val="18"/>
          <w:lang w:eastAsia="en-NZ"/>
        </w:rPr>
      </w:pPr>
      <w:r w:rsidRPr="00AB50C5">
        <w:rPr>
          <w:rStyle w:val="FootnoteReference"/>
          <w:sz w:val="18"/>
          <w:szCs w:val="18"/>
        </w:rPr>
        <w:footnoteRef/>
      </w:r>
      <w:r>
        <w:rPr>
          <w:rFonts w:cs="Segoe UI"/>
          <w:color w:val="000000"/>
          <w:sz w:val="18"/>
          <w:szCs w:val="18"/>
          <w:lang w:eastAsia="en-NZ"/>
        </w:rPr>
        <w:t xml:space="preserve"> </w:t>
      </w:r>
      <w:r w:rsidRPr="009F5FEC">
        <w:rPr>
          <w:rFonts w:cs="Segoe UI"/>
          <w:color w:val="000000"/>
          <w:sz w:val="18"/>
          <w:szCs w:val="18"/>
          <w:lang w:eastAsia="en-NZ"/>
        </w:rPr>
        <w:t>’</w:t>
      </w:r>
      <w:r>
        <w:rPr>
          <w:rFonts w:cs="Segoe UI"/>
          <w:color w:val="000000"/>
          <w:sz w:val="18"/>
          <w:szCs w:val="18"/>
          <w:lang w:eastAsia="en-NZ"/>
        </w:rPr>
        <w:t>S</w:t>
      </w:r>
      <w:r w:rsidRPr="009F5FEC">
        <w:rPr>
          <w:rFonts w:cs="Segoe UI"/>
          <w:color w:val="000000"/>
          <w:sz w:val="18"/>
          <w:szCs w:val="18"/>
          <w:lang w:eastAsia="en-NZ"/>
        </w:rPr>
        <w:t xml:space="preserve">oft’ means the food can be easily squashed between your thumb and forefinger, </w:t>
      </w:r>
      <w:r>
        <w:rPr>
          <w:rFonts w:cs="Segoe UI"/>
          <w:color w:val="000000"/>
          <w:sz w:val="18"/>
          <w:szCs w:val="18"/>
          <w:lang w:eastAsia="en-NZ"/>
        </w:rPr>
        <w:t xml:space="preserve">or </w:t>
      </w:r>
      <w:r w:rsidRPr="009F5FEC">
        <w:rPr>
          <w:rFonts w:cs="Segoe UI"/>
          <w:color w:val="000000"/>
          <w:sz w:val="18"/>
          <w:szCs w:val="18"/>
          <w:lang w:eastAsia="en-NZ"/>
        </w:rPr>
        <w:t>on the roof of your mouth with your tongue</w:t>
      </w:r>
      <w:r>
        <w:rPr>
          <w:rFonts w:cs="Segoe UI"/>
          <w:color w:val="000000"/>
          <w:sz w:val="18"/>
          <w:szCs w:val="18"/>
          <w:lang w:eastAsia="en-NZ"/>
        </w:rPr>
        <w:t>.</w:t>
      </w:r>
      <w:r w:rsidR="00E96873">
        <w:rPr>
          <w:rFonts w:cs="Segoe UI"/>
          <w:color w:val="000000"/>
          <w:sz w:val="18"/>
          <w:szCs w:val="18"/>
          <w:lang w:eastAsia="en-NZ"/>
        </w:rPr>
        <w:t xml:space="preserve"> Tinned fruit (in natural juice and drained) is acceptable.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10"/>
      <w:gridCol w:w="4429"/>
    </w:tblGrid>
    <w:tr w:rsidR="00A43359" w14:paraId="2250C520" w14:textId="77777777" w:rsidTr="005A79E5">
      <w:trPr>
        <w:cantSplit/>
      </w:trPr>
      <w:tc>
        <w:tcPr>
          <w:tcW w:w="5210" w:type="dxa"/>
        </w:tcPr>
        <w:p w14:paraId="213C30F3" w14:textId="77777777" w:rsidR="00A43359" w:rsidRDefault="00A43359" w:rsidP="00802C89">
          <w:pPr>
            <w:pStyle w:val="Header"/>
          </w:pPr>
          <w:r>
            <w:rPr>
              <w:noProof/>
              <w:lang w:eastAsia="en-NZ"/>
            </w:rPr>
            <w:drawing>
              <wp:inline distT="0" distB="0" distL="0" distR="0" wp14:anchorId="59D8332A" wp14:editId="562FC858">
                <wp:extent cx="1395076" cy="573578"/>
                <wp:effectExtent l="0" t="0" r="0" b="0"/>
                <wp:docPr id="5" name="Picture 5" descr="Ministry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H_logo1_RGB.jpg"/>
                        <pic:cNvPicPr/>
                      </pic:nvPicPr>
                      <pic:blipFill rotWithShape="1">
                        <a:blip r:embed="rId1" cstate="print">
                          <a:extLst>
                            <a:ext uri="{28A0092B-C50C-407E-A947-70E740481C1C}">
                              <a14:useLocalDpi xmlns:a14="http://schemas.microsoft.com/office/drawing/2010/main" val="0"/>
                            </a:ext>
                          </a:extLst>
                        </a:blip>
                        <a:srcRect l="7327" t="15285" r="7327" b="13946"/>
                        <a:stretch/>
                      </pic:blipFill>
                      <pic:spPr bwMode="auto">
                        <a:xfrm>
                          <a:off x="0" y="0"/>
                          <a:ext cx="1397853" cy="574720"/>
                        </a:xfrm>
                        <a:prstGeom prst="rect">
                          <a:avLst/>
                        </a:prstGeom>
                        <a:ln>
                          <a:noFill/>
                        </a:ln>
                        <a:extLst>
                          <a:ext uri="{53640926-AAD7-44D8-BBD7-CCE9431645EC}">
                            <a14:shadowObscured xmlns:a14="http://schemas.microsoft.com/office/drawing/2010/main"/>
                          </a:ext>
                        </a:extLst>
                      </pic:spPr>
                    </pic:pic>
                  </a:graphicData>
                </a:graphic>
              </wp:inline>
            </w:drawing>
          </w:r>
        </w:p>
      </w:tc>
      <w:tc>
        <w:tcPr>
          <w:tcW w:w="4429" w:type="dxa"/>
          <w:vAlign w:val="center"/>
        </w:tcPr>
        <w:p w14:paraId="1D2EAA87" w14:textId="77777777" w:rsidR="00A43359" w:rsidRDefault="00A43359" w:rsidP="00802C89">
          <w:pPr>
            <w:pStyle w:val="Header"/>
            <w:jc w:val="right"/>
          </w:pPr>
          <w:r>
            <w:rPr>
              <w:noProof/>
              <w:lang w:eastAsia="en-NZ"/>
            </w:rPr>
            <w:drawing>
              <wp:inline distT="0" distB="0" distL="0" distR="0" wp14:anchorId="0225BC01" wp14:editId="7CAA1248">
                <wp:extent cx="1720735" cy="177135"/>
                <wp:effectExtent l="0" t="0" r="0" b="0"/>
                <wp:docPr id="6" name="Picture 6" descr="New ZEa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zgovernmentblacksmall.jpg"/>
                        <pic:cNvPicPr/>
                      </pic:nvPicPr>
                      <pic:blipFill>
                        <a:blip r:embed="rId2">
                          <a:extLst>
                            <a:ext uri="{28A0092B-C50C-407E-A947-70E740481C1C}">
                              <a14:useLocalDpi xmlns:a14="http://schemas.microsoft.com/office/drawing/2010/main" val="0"/>
                            </a:ext>
                          </a:extLst>
                        </a:blip>
                        <a:stretch>
                          <a:fillRect/>
                        </a:stretch>
                      </pic:blipFill>
                      <pic:spPr>
                        <a:xfrm>
                          <a:off x="0" y="0"/>
                          <a:ext cx="1718896" cy="176946"/>
                        </a:xfrm>
                        <a:prstGeom prst="rect">
                          <a:avLst/>
                        </a:prstGeom>
                      </pic:spPr>
                    </pic:pic>
                  </a:graphicData>
                </a:graphic>
              </wp:inline>
            </w:drawing>
          </w:r>
        </w:p>
      </w:tc>
    </w:tr>
  </w:tbl>
  <w:p w14:paraId="0FA72C6D" w14:textId="77777777" w:rsidR="00A43359" w:rsidRDefault="00A433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E48C9" w14:textId="77777777" w:rsidR="00C10E1D" w:rsidRDefault="00C10E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3in;height:3in" o:bullet="t"/>
    </w:pict>
  </w:numPicBullet>
  <w:abstractNum w:abstractNumId="0" w15:restartNumberingAfterBreak="0">
    <w:nsid w:val="FFFFFF89"/>
    <w:multiLevelType w:val="singleLevel"/>
    <w:tmpl w:val="4A98FD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C6705D20"/>
    <w:lvl w:ilvl="0">
      <w:numFmt w:val="bullet"/>
      <w:lvlText w:val="*"/>
      <w:lvlJc w:val="left"/>
    </w:lvl>
  </w:abstractNum>
  <w:abstractNum w:abstractNumId="2" w15:restartNumberingAfterBreak="0">
    <w:nsid w:val="03197322"/>
    <w:multiLevelType w:val="hybridMultilevel"/>
    <w:tmpl w:val="26E80E4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4" w15:restartNumberingAfterBreak="0">
    <w:nsid w:val="049463FD"/>
    <w:multiLevelType w:val="hybridMultilevel"/>
    <w:tmpl w:val="61208746"/>
    <w:lvl w:ilvl="0" w:tplc="A7A850F0">
      <w:start w:val="2"/>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06066BE"/>
    <w:multiLevelType w:val="multilevel"/>
    <w:tmpl w:val="B004111C"/>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CA785B"/>
    <w:multiLevelType w:val="hybridMultilevel"/>
    <w:tmpl w:val="304E95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12DE75C2"/>
    <w:multiLevelType w:val="hybridMultilevel"/>
    <w:tmpl w:val="EDF8D5A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FC7056"/>
    <w:multiLevelType w:val="hybridMultilevel"/>
    <w:tmpl w:val="EC260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C8710E"/>
    <w:multiLevelType w:val="hybridMultilevel"/>
    <w:tmpl w:val="E778971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19784D26"/>
    <w:multiLevelType w:val="hybridMultilevel"/>
    <w:tmpl w:val="ED789B6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20CD0FBA"/>
    <w:multiLevelType w:val="hybridMultilevel"/>
    <w:tmpl w:val="1294FB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22C363F"/>
    <w:multiLevelType w:val="hybridMultilevel"/>
    <w:tmpl w:val="76621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DC7796"/>
    <w:multiLevelType w:val="multilevel"/>
    <w:tmpl w:val="B8D2E37E"/>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275"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AF65707"/>
    <w:multiLevelType w:val="hybridMultilevel"/>
    <w:tmpl w:val="88940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C323AC"/>
    <w:multiLevelType w:val="hybridMultilevel"/>
    <w:tmpl w:val="077A1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200860"/>
    <w:multiLevelType w:val="hybridMultilevel"/>
    <w:tmpl w:val="FF086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1148FC"/>
    <w:multiLevelType w:val="hybridMultilevel"/>
    <w:tmpl w:val="7E72546E"/>
    <w:lvl w:ilvl="0" w:tplc="971A65D0">
      <w:start w:val="1"/>
      <w:numFmt w:val="decimal"/>
      <w:lvlText w:val="(%1)"/>
      <w:lvlJc w:val="left"/>
      <w:pPr>
        <w:ind w:left="720" w:hanging="360"/>
      </w:pPr>
      <w:rPr>
        <w:rFonts w:hint="default"/>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562415E"/>
    <w:multiLevelType w:val="hybridMultilevel"/>
    <w:tmpl w:val="6352B190"/>
    <w:lvl w:ilvl="0" w:tplc="92845DE0">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358F74A1"/>
    <w:multiLevelType w:val="hybridMultilevel"/>
    <w:tmpl w:val="13D40B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7B7194C"/>
    <w:multiLevelType w:val="hybridMultilevel"/>
    <w:tmpl w:val="4A3654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786758"/>
    <w:multiLevelType w:val="hybridMultilevel"/>
    <w:tmpl w:val="DF36C1C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41871867"/>
    <w:multiLevelType w:val="hybridMultilevel"/>
    <w:tmpl w:val="99FE1540"/>
    <w:lvl w:ilvl="0" w:tplc="1409001B">
      <w:start w:val="1"/>
      <w:numFmt w:val="lowerRoman"/>
      <w:lvlText w:val="%1."/>
      <w:lvlJc w:val="right"/>
      <w:pPr>
        <w:ind w:left="2160" w:hanging="360"/>
      </w:pPr>
      <w:rPr>
        <w:rFonts w:hint="default"/>
      </w:r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25" w15:restartNumberingAfterBreak="0">
    <w:nsid w:val="48110000"/>
    <w:multiLevelType w:val="hybridMultilevel"/>
    <w:tmpl w:val="5D98E8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E11D6A"/>
    <w:multiLevelType w:val="hybridMultilevel"/>
    <w:tmpl w:val="18363CE6"/>
    <w:lvl w:ilvl="0" w:tplc="9314EFAC">
      <w:start w:val="1"/>
      <w:numFmt w:val="lowerLetter"/>
      <w:pStyle w:val="AlphaParagraph"/>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7" w15:restartNumberingAfterBreak="0">
    <w:nsid w:val="4DE10539"/>
    <w:multiLevelType w:val="hybridMultilevel"/>
    <w:tmpl w:val="B876F5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4FCA4D3E"/>
    <w:multiLevelType w:val="hybridMultilevel"/>
    <w:tmpl w:val="17742176"/>
    <w:lvl w:ilvl="0" w:tplc="27007030">
      <w:start w:val="1"/>
      <w:numFmt w:val="bullet"/>
      <w:pStyle w:val="TableBullet0"/>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FE67442"/>
    <w:multiLevelType w:val="hybridMultilevel"/>
    <w:tmpl w:val="C8C26C20"/>
    <w:lvl w:ilvl="0" w:tplc="8EDABC2E">
      <w:start w:val="1"/>
      <w:numFmt w:val="bullet"/>
      <w:lvlText w:val="•"/>
      <w:lvlJc w:val="left"/>
      <w:pPr>
        <w:tabs>
          <w:tab w:val="num" w:pos="720"/>
        </w:tabs>
        <w:ind w:left="720" w:hanging="360"/>
      </w:pPr>
      <w:rPr>
        <w:rFonts w:ascii="Arial" w:hAnsi="Arial" w:hint="default"/>
      </w:rPr>
    </w:lvl>
    <w:lvl w:ilvl="1" w:tplc="AFE8097E" w:tentative="1">
      <w:start w:val="1"/>
      <w:numFmt w:val="bullet"/>
      <w:lvlText w:val="•"/>
      <w:lvlJc w:val="left"/>
      <w:pPr>
        <w:tabs>
          <w:tab w:val="num" w:pos="1440"/>
        </w:tabs>
        <w:ind w:left="1440" w:hanging="360"/>
      </w:pPr>
      <w:rPr>
        <w:rFonts w:ascii="Arial" w:hAnsi="Arial" w:hint="default"/>
      </w:rPr>
    </w:lvl>
    <w:lvl w:ilvl="2" w:tplc="9900F906" w:tentative="1">
      <w:start w:val="1"/>
      <w:numFmt w:val="bullet"/>
      <w:lvlText w:val="•"/>
      <w:lvlJc w:val="left"/>
      <w:pPr>
        <w:tabs>
          <w:tab w:val="num" w:pos="2160"/>
        </w:tabs>
        <w:ind w:left="2160" w:hanging="360"/>
      </w:pPr>
      <w:rPr>
        <w:rFonts w:ascii="Arial" w:hAnsi="Arial" w:hint="default"/>
      </w:rPr>
    </w:lvl>
    <w:lvl w:ilvl="3" w:tplc="001EFF56" w:tentative="1">
      <w:start w:val="1"/>
      <w:numFmt w:val="bullet"/>
      <w:lvlText w:val="•"/>
      <w:lvlJc w:val="left"/>
      <w:pPr>
        <w:tabs>
          <w:tab w:val="num" w:pos="2880"/>
        </w:tabs>
        <w:ind w:left="2880" w:hanging="360"/>
      </w:pPr>
      <w:rPr>
        <w:rFonts w:ascii="Arial" w:hAnsi="Arial" w:hint="default"/>
      </w:rPr>
    </w:lvl>
    <w:lvl w:ilvl="4" w:tplc="124430D4" w:tentative="1">
      <w:start w:val="1"/>
      <w:numFmt w:val="bullet"/>
      <w:lvlText w:val="•"/>
      <w:lvlJc w:val="left"/>
      <w:pPr>
        <w:tabs>
          <w:tab w:val="num" w:pos="3600"/>
        </w:tabs>
        <w:ind w:left="3600" w:hanging="360"/>
      </w:pPr>
      <w:rPr>
        <w:rFonts w:ascii="Arial" w:hAnsi="Arial" w:hint="default"/>
      </w:rPr>
    </w:lvl>
    <w:lvl w:ilvl="5" w:tplc="86587190" w:tentative="1">
      <w:start w:val="1"/>
      <w:numFmt w:val="bullet"/>
      <w:lvlText w:val="•"/>
      <w:lvlJc w:val="left"/>
      <w:pPr>
        <w:tabs>
          <w:tab w:val="num" w:pos="4320"/>
        </w:tabs>
        <w:ind w:left="4320" w:hanging="360"/>
      </w:pPr>
      <w:rPr>
        <w:rFonts w:ascii="Arial" w:hAnsi="Arial" w:hint="default"/>
      </w:rPr>
    </w:lvl>
    <w:lvl w:ilvl="6" w:tplc="14184D44" w:tentative="1">
      <w:start w:val="1"/>
      <w:numFmt w:val="bullet"/>
      <w:lvlText w:val="•"/>
      <w:lvlJc w:val="left"/>
      <w:pPr>
        <w:tabs>
          <w:tab w:val="num" w:pos="5040"/>
        </w:tabs>
        <w:ind w:left="5040" w:hanging="360"/>
      </w:pPr>
      <w:rPr>
        <w:rFonts w:ascii="Arial" w:hAnsi="Arial" w:hint="default"/>
      </w:rPr>
    </w:lvl>
    <w:lvl w:ilvl="7" w:tplc="8F2CF120" w:tentative="1">
      <w:start w:val="1"/>
      <w:numFmt w:val="bullet"/>
      <w:lvlText w:val="•"/>
      <w:lvlJc w:val="left"/>
      <w:pPr>
        <w:tabs>
          <w:tab w:val="num" w:pos="5760"/>
        </w:tabs>
        <w:ind w:left="5760" w:hanging="360"/>
      </w:pPr>
      <w:rPr>
        <w:rFonts w:ascii="Arial" w:hAnsi="Arial" w:hint="default"/>
      </w:rPr>
    </w:lvl>
    <w:lvl w:ilvl="8" w:tplc="10F4C00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A82147"/>
    <w:multiLevelType w:val="hybridMultilevel"/>
    <w:tmpl w:val="D6D2B84C"/>
    <w:lvl w:ilvl="0" w:tplc="59E4FACC">
      <w:numFmt w:val="bullet"/>
      <w:lvlText w:val="•"/>
      <w:lvlJc w:val="left"/>
      <w:pPr>
        <w:ind w:left="360" w:hanging="360"/>
      </w:pPr>
      <w:rPr>
        <w:rFonts w:ascii="Arial" w:eastAsia="Arial"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1" w15:restartNumberingAfterBreak="0">
    <w:nsid w:val="61247A6B"/>
    <w:multiLevelType w:val="hybridMultilevel"/>
    <w:tmpl w:val="C61489A2"/>
    <w:lvl w:ilvl="0" w:tplc="94DC3C5E">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2" w15:restartNumberingAfterBreak="0">
    <w:nsid w:val="64A01B8F"/>
    <w:multiLevelType w:val="hybridMultilevel"/>
    <w:tmpl w:val="EEACFD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4CC4527"/>
    <w:multiLevelType w:val="hybridMultilevel"/>
    <w:tmpl w:val="36BE61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4F130ED"/>
    <w:multiLevelType w:val="hybridMultilevel"/>
    <w:tmpl w:val="85022238"/>
    <w:lvl w:ilvl="0" w:tplc="6DCA6008">
      <w:start w:val="1"/>
      <w:numFmt w:val="lowerLetter"/>
      <w:lvlText w:val="(%1)"/>
      <w:lvlJc w:val="left"/>
      <w:pPr>
        <w:ind w:left="720" w:hanging="360"/>
      </w:pPr>
      <w:rPr>
        <w:rFonts w:ascii="Segoe UI" w:eastAsia="Times New Roman" w:hAnsi="Segoe UI" w:cs="Segoe UI"/>
        <w:i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688D2C9E"/>
    <w:multiLevelType w:val="singleLevel"/>
    <w:tmpl w:val="976C8326"/>
    <w:lvl w:ilvl="0">
      <w:start w:val="1"/>
      <w:numFmt w:val="bullet"/>
      <w:lvlText w:val=""/>
      <w:lvlJc w:val="left"/>
      <w:pPr>
        <w:tabs>
          <w:tab w:val="num" w:pos="360"/>
        </w:tabs>
        <w:ind w:left="284" w:hanging="284"/>
      </w:pPr>
      <w:rPr>
        <w:rFonts w:ascii="Symbol" w:hAnsi="Symbol" w:hint="default"/>
        <w:sz w:val="18"/>
      </w:rPr>
    </w:lvl>
  </w:abstractNum>
  <w:abstractNum w:abstractNumId="36" w15:restartNumberingAfterBreak="0">
    <w:nsid w:val="69C50008"/>
    <w:multiLevelType w:val="hybridMultilevel"/>
    <w:tmpl w:val="E6EEF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49719A"/>
    <w:multiLevelType w:val="hybridMultilevel"/>
    <w:tmpl w:val="FA4E4BA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7124396D"/>
    <w:multiLevelType w:val="hybridMultilevel"/>
    <w:tmpl w:val="9DB49B2A"/>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39" w15:restartNumberingAfterBreak="0">
    <w:nsid w:val="72711B2E"/>
    <w:multiLevelType w:val="hybridMultilevel"/>
    <w:tmpl w:val="B36EFD3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821" w:hanging="360"/>
      </w:pPr>
      <w:rPr>
        <w:rFonts w:ascii="Courier New" w:hAnsi="Courier New" w:cs="Courier New" w:hint="default"/>
      </w:rPr>
    </w:lvl>
    <w:lvl w:ilvl="2" w:tplc="14090005" w:tentative="1">
      <w:start w:val="1"/>
      <w:numFmt w:val="bullet"/>
      <w:lvlText w:val=""/>
      <w:lvlJc w:val="left"/>
      <w:pPr>
        <w:ind w:left="-1101" w:hanging="360"/>
      </w:pPr>
      <w:rPr>
        <w:rFonts w:ascii="Wingdings" w:hAnsi="Wingdings" w:hint="default"/>
      </w:rPr>
    </w:lvl>
    <w:lvl w:ilvl="3" w:tplc="14090001" w:tentative="1">
      <w:start w:val="1"/>
      <w:numFmt w:val="bullet"/>
      <w:lvlText w:val=""/>
      <w:lvlJc w:val="left"/>
      <w:pPr>
        <w:ind w:left="-381" w:hanging="360"/>
      </w:pPr>
      <w:rPr>
        <w:rFonts w:ascii="Symbol" w:hAnsi="Symbol" w:hint="default"/>
      </w:rPr>
    </w:lvl>
    <w:lvl w:ilvl="4" w:tplc="14090003" w:tentative="1">
      <w:start w:val="1"/>
      <w:numFmt w:val="bullet"/>
      <w:lvlText w:val="o"/>
      <w:lvlJc w:val="left"/>
      <w:pPr>
        <w:ind w:left="339" w:hanging="360"/>
      </w:pPr>
      <w:rPr>
        <w:rFonts w:ascii="Courier New" w:hAnsi="Courier New" w:cs="Courier New" w:hint="default"/>
      </w:rPr>
    </w:lvl>
    <w:lvl w:ilvl="5" w:tplc="14090005" w:tentative="1">
      <w:start w:val="1"/>
      <w:numFmt w:val="bullet"/>
      <w:lvlText w:val=""/>
      <w:lvlJc w:val="left"/>
      <w:pPr>
        <w:ind w:left="1059" w:hanging="360"/>
      </w:pPr>
      <w:rPr>
        <w:rFonts w:ascii="Wingdings" w:hAnsi="Wingdings" w:hint="default"/>
      </w:rPr>
    </w:lvl>
    <w:lvl w:ilvl="6" w:tplc="14090001" w:tentative="1">
      <w:start w:val="1"/>
      <w:numFmt w:val="bullet"/>
      <w:lvlText w:val=""/>
      <w:lvlJc w:val="left"/>
      <w:pPr>
        <w:ind w:left="1779" w:hanging="360"/>
      </w:pPr>
      <w:rPr>
        <w:rFonts w:ascii="Symbol" w:hAnsi="Symbol" w:hint="default"/>
      </w:rPr>
    </w:lvl>
    <w:lvl w:ilvl="7" w:tplc="14090003" w:tentative="1">
      <w:start w:val="1"/>
      <w:numFmt w:val="bullet"/>
      <w:lvlText w:val="o"/>
      <w:lvlJc w:val="left"/>
      <w:pPr>
        <w:ind w:left="2499" w:hanging="360"/>
      </w:pPr>
      <w:rPr>
        <w:rFonts w:ascii="Courier New" w:hAnsi="Courier New" w:cs="Courier New" w:hint="default"/>
      </w:rPr>
    </w:lvl>
    <w:lvl w:ilvl="8" w:tplc="14090005" w:tentative="1">
      <w:start w:val="1"/>
      <w:numFmt w:val="bullet"/>
      <w:lvlText w:val=""/>
      <w:lvlJc w:val="left"/>
      <w:pPr>
        <w:ind w:left="3219" w:hanging="360"/>
      </w:pPr>
      <w:rPr>
        <w:rFonts w:ascii="Wingdings" w:hAnsi="Wingdings" w:hint="default"/>
      </w:rPr>
    </w:lvl>
  </w:abstractNum>
  <w:abstractNum w:abstractNumId="40" w15:restartNumberingAfterBreak="0">
    <w:nsid w:val="75726DF8"/>
    <w:multiLevelType w:val="hybridMultilevel"/>
    <w:tmpl w:val="33268B7C"/>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41" w15:restartNumberingAfterBreak="0">
    <w:nsid w:val="75A8108A"/>
    <w:multiLevelType w:val="hybridMultilevel"/>
    <w:tmpl w:val="9A38CD80"/>
    <w:lvl w:ilvl="0" w:tplc="4A24CE5A">
      <w:start w:val="1"/>
      <w:numFmt w:val="lowerLetter"/>
      <w:lvlText w:val="(%1)"/>
      <w:lvlJc w:val="left"/>
      <w:pPr>
        <w:ind w:left="720" w:hanging="360"/>
      </w:pPr>
      <w:rPr>
        <w:rFonts w:ascii="Segoe UI" w:eastAsia="Times New Roman" w:hAnsi="Segoe UI" w:cs="Segoe UI"/>
        <w:i w:val="0"/>
      </w:rPr>
    </w:lvl>
    <w:lvl w:ilvl="1" w:tplc="1409001B">
      <w:start w:val="1"/>
      <w:numFmt w:val="lowerRoman"/>
      <w:lvlText w:val="%2."/>
      <w:lvlJc w:val="right"/>
      <w:pPr>
        <w:ind w:left="1440" w:hanging="360"/>
      </w:pPr>
      <w:rPr>
        <w:rFonts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C1218D3"/>
    <w:multiLevelType w:val="singleLevel"/>
    <w:tmpl w:val="B224B1E2"/>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42"/>
  </w:num>
  <w:num w:numId="2">
    <w:abstractNumId w:val="21"/>
  </w:num>
  <w:num w:numId="3">
    <w:abstractNumId w:val="22"/>
  </w:num>
  <w:num w:numId="4">
    <w:abstractNumId w:val="3"/>
  </w:num>
  <w:num w:numId="5">
    <w:abstractNumId w:val="13"/>
  </w:num>
  <w:num w:numId="6">
    <w:abstractNumId w:val="0"/>
  </w:num>
  <w:num w:numId="7">
    <w:abstractNumId w:val="4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3"/>
  </w:num>
  <w:num w:numId="11">
    <w:abstractNumId w:val="41"/>
  </w:num>
  <w:num w:numId="12">
    <w:abstractNumId w:val="9"/>
  </w:num>
  <w:num w:numId="13">
    <w:abstractNumId w:val="27"/>
  </w:num>
  <w:num w:numId="14">
    <w:abstractNumId w:val="17"/>
  </w:num>
  <w:num w:numId="15">
    <w:abstractNumId w:val="34"/>
  </w:num>
  <w:num w:numId="16">
    <w:abstractNumId w:val="24"/>
  </w:num>
  <w:num w:numId="17">
    <w:abstractNumId w:val="29"/>
  </w:num>
  <w:num w:numId="18">
    <w:abstractNumId w:val="2"/>
  </w:num>
  <w:num w:numId="19">
    <w:abstractNumId w:val="37"/>
  </w:num>
  <w:num w:numId="20">
    <w:abstractNumId w:val="20"/>
  </w:num>
  <w:num w:numId="21">
    <w:abstractNumId w:val="35"/>
  </w:num>
  <w:num w:numId="22">
    <w:abstractNumId w:val="30"/>
  </w:num>
  <w:num w:numId="23">
    <w:abstractNumId w:val="10"/>
  </w:num>
  <w:num w:numId="24">
    <w:abstractNumId w:val="39"/>
  </w:num>
  <w:num w:numId="25">
    <w:abstractNumId w:val="6"/>
  </w:num>
  <w:num w:numId="26">
    <w:abstractNumId w:val="11"/>
  </w:num>
  <w:num w:numId="27">
    <w:abstractNumId w:val="23"/>
  </w:num>
  <w:num w:numId="28">
    <w:abstractNumId w:val="8"/>
  </w:num>
  <w:num w:numId="29">
    <w:abstractNumId w:val="7"/>
  </w:num>
  <w:num w:numId="30">
    <w:abstractNumId w:val="12"/>
  </w:num>
  <w:num w:numId="31">
    <w:abstractNumId w:val="16"/>
  </w:num>
  <w:num w:numId="32">
    <w:abstractNumId w:val="14"/>
  </w:num>
  <w:num w:numId="33">
    <w:abstractNumId w:val="15"/>
  </w:num>
  <w:num w:numId="34">
    <w:abstractNumId w:val="36"/>
  </w:num>
  <w:num w:numId="35">
    <w:abstractNumId w:val="25"/>
  </w:num>
  <w:num w:numId="36">
    <w:abstractNumId w:val="19"/>
  </w:num>
  <w:num w:numId="37">
    <w:abstractNumId w:val="32"/>
  </w:num>
  <w:num w:numId="38">
    <w:abstractNumId w:val="38"/>
  </w:num>
  <w:num w:numId="39">
    <w:abstractNumId w:val="5"/>
  </w:num>
  <w:num w:numId="40">
    <w:abstractNumId w:val="31"/>
  </w:num>
  <w:num w:numId="41">
    <w:abstractNumId w:val="26"/>
  </w:num>
  <w:num w:numId="42">
    <w:abstractNumId w:val="18"/>
  </w:num>
  <w:num w:numId="43">
    <w:abstractNumId w:val="18"/>
    <w:lvlOverride w:ilvl="0">
      <w:startOverride w:val="1"/>
    </w:lvlOverride>
  </w:num>
  <w:num w:numId="44">
    <w:abstractNumId w:val="28"/>
  </w:num>
  <w:num w:numId="45">
    <w:abstractNumId w:val="1"/>
    <w:lvlOverride w:ilvl="0">
      <w:lvl w:ilvl="0">
        <w:numFmt w:val="bullet"/>
        <w:lvlText w:val=""/>
        <w:legacy w:legacy="1" w:legacySpace="0" w:legacyIndent="0"/>
        <w:lvlJc w:val="left"/>
        <w:rPr>
          <w:rFonts w:ascii="Symbol" w:hAnsi="Symbol" w:hint="default"/>
          <w:sz w:val="22"/>
        </w:rPr>
      </w:lvl>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en-NZ" w:vendorID="64" w:dllVersion="6" w:nlCheck="1" w:checkStyle="1"/>
  <w:activeWritingStyle w:appName="MSWord" w:lang="en-NZ" w:vendorID="64" w:dllVersion="4096" w:nlCheck="1" w:checkStyle="0"/>
  <w:activeWritingStyle w:appName="MSWord" w:lang="en-NZ"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8EB"/>
    <w:rsid w:val="00001878"/>
    <w:rsid w:val="000025B8"/>
    <w:rsid w:val="0001168D"/>
    <w:rsid w:val="000165CC"/>
    <w:rsid w:val="00017BE8"/>
    <w:rsid w:val="000212BA"/>
    <w:rsid w:val="00023F4D"/>
    <w:rsid w:val="00024C77"/>
    <w:rsid w:val="0002545A"/>
    <w:rsid w:val="00025A6F"/>
    <w:rsid w:val="0002618D"/>
    <w:rsid w:val="00030B26"/>
    <w:rsid w:val="00030E84"/>
    <w:rsid w:val="00032C0A"/>
    <w:rsid w:val="00035257"/>
    <w:rsid w:val="00035D68"/>
    <w:rsid w:val="00043973"/>
    <w:rsid w:val="00043C1E"/>
    <w:rsid w:val="00044480"/>
    <w:rsid w:val="000457F7"/>
    <w:rsid w:val="00050EEB"/>
    <w:rsid w:val="00052C5B"/>
    <w:rsid w:val="00053A27"/>
    <w:rsid w:val="00054B44"/>
    <w:rsid w:val="000559DC"/>
    <w:rsid w:val="00055A92"/>
    <w:rsid w:val="00055FA9"/>
    <w:rsid w:val="000563C9"/>
    <w:rsid w:val="000569D8"/>
    <w:rsid w:val="0006228D"/>
    <w:rsid w:val="00062330"/>
    <w:rsid w:val="00063B33"/>
    <w:rsid w:val="00063FC4"/>
    <w:rsid w:val="000706E2"/>
    <w:rsid w:val="00071EBA"/>
    <w:rsid w:val="00072BD6"/>
    <w:rsid w:val="00074549"/>
    <w:rsid w:val="00075B78"/>
    <w:rsid w:val="00082CD6"/>
    <w:rsid w:val="0008437D"/>
    <w:rsid w:val="00085AFE"/>
    <w:rsid w:val="00092F63"/>
    <w:rsid w:val="00094647"/>
    <w:rsid w:val="00094800"/>
    <w:rsid w:val="000B0730"/>
    <w:rsid w:val="000B1D4D"/>
    <w:rsid w:val="000B3F43"/>
    <w:rsid w:val="000C3AE5"/>
    <w:rsid w:val="000D08BE"/>
    <w:rsid w:val="000D19F4"/>
    <w:rsid w:val="000D489F"/>
    <w:rsid w:val="000D58DD"/>
    <w:rsid w:val="000E00C3"/>
    <w:rsid w:val="000E3F27"/>
    <w:rsid w:val="000E4E74"/>
    <w:rsid w:val="000E7D06"/>
    <w:rsid w:val="000F2AE2"/>
    <w:rsid w:val="000F2BFF"/>
    <w:rsid w:val="000F4CCB"/>
    <w:rsid w:val="00102063"/>
    <w:rsid w:val="00102D25"/>
    <w:rsid w:val="00103973"/>
    <w:rsid w:val="0010541C"/>
    <w:rsid w:val="00106F93"/>
    <w:rsid w:val="001112A5"/>
    <w:rsid w:val="00111D50"/>
    <w:rsid w:val="001138AD"/>
    <w:rsid w:val="00113B8E"/>
    <w:rsid w:val="0011564B"/>
    <w:rsid w:val="00116F98"/>
    <w:rsid w:val="00117DC3"/>
    <w:rsid w:val="0012053C"/>
    <w:rsid w:val="001218C8"/>
    <w:rsid w:val="00121956"/>
    <w:rsid w:val="00122363"/>
    <w:rsid w:val="00123D75"/>
    <w:rsid w:val="00124768"/>
    <w:rsid w:val="001249F6"/>
    <w:rsid w:val="001300AC"/>
    <w:rsid w:val="001342C7"/>
    <w:rsid w:val="0013585C"/>
    <w:rsid w:val="001376AE"/>
    <w:rsid w:val="00140437"/>
    <w:rsid w:val="0014080A"/>
    <w:rsid w:val="00142261"/>
    <w:rsid w:val="00142954"/>
    <w:rsid w:val="00145BA9"/>
    <w:rsid w:val="001460E0"/>
    <w:rsid w:val="00146937"/>
    <w:rsid w:val="001472F0"/>
    <w:rsid w:val="00147F71"/>
    <w:rsid w:val="00150A6E"/>
    <w:rsid w:val="001536D1"/>
    <w:rsid w:val="001538BC"/>
    <w:rsid w:val="001545BC"/>
    <w:rsid w:val="00154B32"/>
    <w:rsid w:val="00161DAC"/>
    <w:rsid w:val="0016468A"/>
    <w:rsid w:val="00167DA3"/>
    <w:rsid w:val="00170833"/>
    <w:rsid w:val="00174A67"/>
    <w:rsid w:val="00175364"/>
    <w:rsid w:val="00175B47"/>
    <w:rsid w:val="0017606F"/>
    <w:rsid w:val="0018471B"/>
    <w:rsid w:val="0018662D"/>
    <w:rsid w:val="00194F3D"/>
    <w:rsid w:val="00195744"/>
    <w:rsid w:val="001964F5"/>
    <w:rsid w:val="00197427"/>
    <w:rsid w:val="001A21B4"/>
    <w:rsid w:val="001A5CF5"/>
    <w:rsid w:val="001A5D55"/>
    <w:rsid w:val="001A77E4"/>
    <w:rsid w:val="001B0E6D"/>
    <w:rsid w:val="001B39D2"/>
    <w:rsid w:val="001B4BF8"/>
    <w:rsid w:val="001B6F87"/>
    <w:rsid w:val="001C4326"/>
    <w:rsid w:val="001C4912"/>
    <w:rsid w:val="001D3541"/>
    <w:rsid w:val="001D37DA"/>
    <w:rsid w:val="001D3E4E"/>
    <w:rsid w:val="001D412B"/>
    <w:rsid w:val="001E254A"/>
    <w:rsid w:val="001E3C12"/>
    <w:rsid w:val="001E7386"/>
    <w:rsid w:val="001F03AA"/>
    <w:rsid w:val="001F45A7"/>
    <w:rsid w:val="001F67E4"/>
    <w:rsid w:val="001F7BEC"/>
    <w:rsid w:val="001F7C66"/>
    <w:rsid w:val="00201A01"/>
    <w:rsid w:val="002034B1"/>
    <w:rsid w:val="00204230"/>
    <w:rsid w:val="00205510"/>
    <w:rsid w:val="00205692"/>
    <w:rsid w:val="0020754B"/>
    <w:rsid w:val="002104D3"/>
    <w:rsid w:val="00213A33"/>
    <w:rsid w:val="0021763B"/>
    <w:rsid w:val="002222C7"/>
    <w:rsid w:val="00230EF3"/>
    <w:rsid w:val="00235455"/>
    <w:rsid w:val="0024145F"/>
    <w:rsid w:val="00245165"/>
    <w:rsid w:val="002469F7"/>
    <w:rsid w:val="00246DB1"/>
    <w:rsid w:val="002474F6"/>
    <w:rsid w:val="002476B5"/>
    <w:rsid w:val="00250BDA"/>
    <w:rsid w:val="002519C7"/>
    <w:rsid w:val="002520CC"/>
    <w:rsid w:val="00253ECF"/>
    <w:rsid w:val="002546A1"/>
    <w:rsid w:val="002564DB"/>
    <w:rsid w:val="00262791"/>
    <w:rsid w:val="002628F4"/>
    <w:rsid w:val="002633EA"/>
    <w:rsid w:val="00264943"/>
    <w:rsid w:val="002649E4"/>
    <w:rsid w:val="002663EF"/>
    <w:rsid w:val="00267324"/>
    <w:rsid w:val="002711B8"/>
    <w:rsid w:val="00275D08"/>
    <w:rsid w:val="002841FA"/>
    <w:rsid w:val="002858E3"/>
    <w:rsid w:val="00287A30"/>
    <w:rsid w:val="00287E03"/>
    <w:rsid w:val="00291658"/>
    <w:rsid w:val="0029190A"/>
    <w:rsid w:val="00292C5A"/>
    <w:rsid w:val="00295241"/>
    <w:rsid w:val="002A186D"/>
    <w:rsid w:val="002A24C4"/>
    <w:rsid w:val="002A26D9"/>
    <w:rsid w:val="002A4000"/>
    <w:rsid w:val="002A4DFC"/>
    <w:rsid w:val="002A744D"/>
    <w:rsid w:val="002B047D"/>
    <w:rsid w:val="002B1D27"/>
    <w:rsid w:val="002B3B4F"/>
    <w:rsid w:val="002B6485"/>
    <w:rsid w:val="002B6DD9"/>
    <w:rsid w:val="002B732B"/>
    <w:rsid w:val="002B76A7"/>
    <w:rsid w:val="002C0205"/>
    <w:rsid w:val="002C0D2B"/>
    <w:rsid w:val="002C2219"/>
    <w:rsid w:val="002C2552"/>
    <w:rsid w:val="002C2805"/>
    <w:rsid w:val="002C6B8B"/>
    <w:rsid w:val="002C7641"/>
    <w:rsid w:val="002D0DF2"/>
    <w:rsid w:val="002D23BD"/>
    <w:rsid w:val="002D2841"/>
    <w:rsid w:val="002D623D"/>
    <w:rsid w:val="002E07F5"/>
    <w:rsid w:val="002E0B47"/>
    <w:rsid w:val="002E3727"/>
    <w:rsid w:val="002E5189"/>
    <w:rsid w:val="002F3266"/>
    <w:rsid w:val="002F3B52"/>
    <w:rsid w:val="002F4685"/>
    <w:rsid w:val="002F7213"/>
    <w:rsid w:val="0030029C"/>
    <w:rsid w:val="003020CF"/>
    <w:rsid w:val="0030382F"/>
    <w:rsid w:val="0030408D"/>
    <w:rsid w:val="003044B0"/>
    <w:rsid w:val="00304969"/>
    <w:rsid w:val="003060E4"/>
    <w:rsid w:val="003126D7"/>
    <w:rsid w:val="003142E7"/>
    <w:rsid w:val="003160E7"/>
    <w:rsid w:val="0031739E"/>
    <w:rsid w:val="003175E4"/>
    <w:rsid w:val="003245F7"/>
    <w:rsid w:val="003309A5"/>
    <w:rsid w:val="003309CA"/>
    <w:rsid w:val="003325AB"/>
    <w:rsid w:val="003332D1"/>
    <w:rsid w:val="003336D5"/>
    <w:rsid w:val="00333840"/>
    <w:rsid w:val="00333906"/>
    <w:rsid w:val="0033412B"/>
    <w:rsid w:val="00335F8B"/>
    <w:rsid w:val="00337885"/>
    <w:rsid w:val="00341161"/>
    <w:rsid w:val="00343365"/>
    <w:rsid w:val="003445F4"/>
    <w:rsid w:val="00345239"/>
    <w:rsid w:val="00347D11"/>
    <w:rsid w:val="00351E21"/>
    <w:rsid w:val="003523E4"/>
    <w:rsid w:val="00353501"/>
    <w:rsid w:val="00353520"/>
    <w:rsid w:val="00353734"/>
    <w:rsid w:val="00355787"/>
    <w:rsid w:val="003606F8"/>
    <w:rsid w:val="003648EF"/>
    <w:rsid w:val="00366395"/>
    <w:rsid w:val="003673E6"/>
    <w:rsid w:val="00375344"/>
    <w:rsid w:val="00377264"/>
    <w:rsid w:val="003779D2"/>
    <w:rsid w:val="0038180E"/>
    <w:rsid w:val="0038302E"/>
    <w:rsid w:val="00383295"/>
    <w:rsid w:val="00383647"/>
    <w:rsid w:val="00383A46"/>
    <w:rsid w:val="00385E38"/>
    <w:rsid w:val="00385FC4"/>
    <w:rsid w:val="00390BC8"/>
    <w:rsid w:val="00393E2B"/>
    <w:rsid w:val="00396D27"/>
    <w:rsid w:val="003A0138"/>
    <w:rsid w:val="003A0423"/>
    <w:rsid w:val="003A26A5"/>
    <w:rsid w:val="003A3761"/>
    <w:rsid w:val="003A507D"/>
    <w:rsid w:val="003A512D"/>
    <w:rsid w:val="003A5FEA"/>
    <w:rsid w:val="003A61FD"/>
    <w:rsid w:val="003B1D10"/>
    <w:rsid w:val="003B3262"/>
    <w:rsid w:val="003B4CCC"/>
    <w:rsid w:val="003B6E9B"/>
    <w:rsid w:val="003C0D0C"/>
    <w:rsid w:val="003C76D4"/>
    <w:rsid w:val="003D0D54"/>
    <w:rsid w:val="003D137D"/>
    <w:rsid w:val="003D2CC5"/>
    <w:rsid w:val="003E04C1"/>
    <w:rsid w:val="003E0887"/>
    <w:rsid w:val="003E232E"/>
    <w:rsid w:val="003E3147"/>
    <w:rsid w:val="003E7C46"/>
    <w:rsid w:val="003F2106"/>
    <w:rsid w:val="003F228E"/>
    <w:rsid w:val="003F36F7"/>
    <w:rsid w:val="003F52A7"/>
    <w:rsid w:val="003F5D99"/>
    <w:rsid w:val="003F7013"/>
    <w:rsid w:val="003F71D0"/>
    <w:rsid w:val="0040240C"/>
    <w:rsid w:val="00402CCF"/>
    <w:rsid w:val="004061F4"/>
    <w:rsid w:val="0041283E"/>
    <w:rsid w:val="00413021"/>
    <w:rsid w:val="004159BE"/>
    <w:rsid w:val="004201FC"/>
    <w:rsid w:val="00420E4E"/>
    <w:rsid w:val="00422937"/>
    <w:rsid w:val="004301C6"/>
    <w:rsid w:val="00430545"/>
    <w:rsid w:val="004331C8"/>
    <w:rsid w:val="00434299"/>
    <w:rsid w:val="0043478F"/>
    <w:rsid w:val="004353C3"/>
    <w:rsid w:val="004357B4"/>
    <w:rsid w:val="0043602B"/>
    <w:rsid w:val="00440BE0"/>
    <w:rsid w:val="00442C1C"/>
    <w:rsid w:val="0044357E"/>
    <w:rsid w:val="0044584B"/>
    <w:rsid w:val="00447CB7"/>
    <w:rsid w:val="00450D78"/>
    <w:rsid w:val="004516B7"/>
    <w:rsid w:val="004534C4"/>
    <w:rsid w:val="00453C94"/>
    <w:rsid w:val="00455CC9"/>
    <w:rsid w:val="00460826"/>
    <w:rsid w:val="00460EA7"/>
    <w:rsid w:val="0046195B"/>
    <w:rsid w:val="0046362D"/>
    <w:rsid w:val="00463669"/>
    <w:rsid w:val="0046395F"/>
    <w:rsid w:val="0046596D"/>
    <w:rsid w:val="00473F32"/>
    <w:rsid w:val="004766FB"/>
    <w:rsid w:val="004805AD"/>
    <w:rsid w:val="00481F58"/>
    <w:rsid w:val="004852C5"/>
    <w:rsid w:val="00487C04"/>
    <w:rsid w:val="004907E1"/>
    <w:rsid w:val="00496336"/>
    <w:rsid w:val="00497F3D"/>
    <w:rsid w:val="004A035B"/>
    <w:rsid w:val="004A2108"/>
    <w:rsid w:val="004A38D7"/>
    <w:rsid w:val="004A4995"/>
    <w:rsid w:val="004A778C"/>
    <w:rsid w:val="004A78C9"/>
    <w:rsid w:val="004B0A18"/>
    <w:rsid w:val="004B11E9"/>
    <w:rsid w:val="004B48C7"/>
    <w:rsid w:val="004B49A6"/>
    <w:rsid w:val="004C2E6A"/>
    <w:rsid w:val="004C64B8"/>
    <w:rsid w:val="004C69F6"/>
    <w:rsid w:val="004C77E9"/>
    <w:rsid w:val="004D1553"/>
    <w:rsid w:val="004D1848"/>
    <w:rsid w:val="004D2A2D"/>
    <w:rsid w:val="004D2FB2"/>
    <w:rsid w:val="004D365D"/>
    <w:rsid w:val="004D369B"/>
    <w:rsid w:val="004D53EE"/>
    <w:rsid w:val="004D6689"/>
    <w:rsid w:val="004E1D1D"/>
    <w:rsid w:val="004E7AC8"/>
    <w:rsid w:val="004E7C6F"/>
    <w:rsid w:val="004F0C94"/>
    <w:rsid w:val="004F2B93"/>
    <w:rsid w:val="005019AE"/>
    <w:rsid w:val="005026EE"/>
    <w:rsid w:val="00503749"/>
    <w:rsid w:val="00504CF4"/>
    <w:rsid w:val="00505E3B"/>
    <w:rsid w:val="0050635B"/>
    <w:rsid w:val="005151C2"/>
    <w:rsid w:val="00521791"/>
    <w:rsid w:val="00523187"/>
    <w:rsid w:val="005237A7"/>
    <w:rsid w:val="00524724"/>
    <w:rsid w:val="00526CA7"/>
    <w:rsid w:val="00526FB1"/>
    <w:rsid w:val="0053199F"/>
    <w:rsid w:val="00533B90"/>
    <w:rsid w:val="00534B7D"/>
    <w:rsid w:val="0054075D"/>
    <w:rsid w:val="005410F8"/>
    <w:rsid w:val="005411F6"/>
    <w:rsid w:val="0054173E"/>
    <w:rsid w:val="005448EC"/>
    <w:rsid w:val="00545963"/>
    <w:rsid w:val="00550256"/>
    <w:rsid w:val="00553165"/>
    <w:rsid w:val="00553958"/>
    <w:rsid w:val="00556BB7"/>
    <w:rsid w:val="0055763D"/>
    <w:rsid w:val="00560A2D"/>
    <w:rsid w:val="00561516"/>
    <w:rsid w:val="005621F2"/>
    <w:rsid w:val="0056445E"/>
    <w:rsid w:val="00567B58"/>
    <w:rsid w:val="00571223"/>
    <w:rsid w:val="0057477D"/>
    <w:rsid w:val="005763E0"/>
    <w:rsid w:val="00580AAB"/>
    <w:rsid w:val="00581136"/>
    <w:rsid w:val="005813EC"/>
    <w:rsid w:val="00581EB8"/>
    <w:rsid w:val="00583972"/>
    <w:rsid w:val="00586413"/>
    <w:rsid w:val="005905CA"/>
    <w:rsid w:val="005A2533"/>
    <w:rsid w:val="005A27CA"/>
    <w:rsid w:val="005A43BD"/>
    <w:rsid w:val="005A72DA"/>
    <w:rsid w:val="005A79E5"/>
    <w:rsid w:val="005B1584"/>
    <w:rsid w:val="005B56BC"/>
    <w:rsid w:val="005B6BCE"/>
    <w:rsid w:val="005B770F"/>
    <w:rsid w:val="005C6AD3"/>
    <w:rsid w:val="005D034C"/>
    <w:rsid w:val="005D070B"/>
    <w:rsid w:val="005D289F"/>
    <w:rsid w:val="005D43A9"/>
    <w:rsid w:val="005D5677"/>
    <w:rsid w:val="005D6B68"/>
    <w:rsid w:val="005D7990"/>
    <w:rsid w:val="005E226E"/>
    <w:rsid w:val="005E2636"/>
    <w:rsid w:val="005E6454"/>
    <w:rsid w:val="006015D7"/>
    <w:rsid w:val="00601B21"/>
    <w:rsid w:val="006041F0"/>
    <w:rsid w:val="00605C6D"/>
    <w:rsid w:val="006100EF"/>
    <w:rsid w:val="006120CA"/>
    <w:rsid w:val="00612A82"/>
    <w:rsid w:val="00615DC1"/>
    <w:rsid w:val="0062333C"/>
    <w:rsid w:val="00624174"/>
    <w:rsid w:val="00626CF8"/>
    <w:rsid w:val="00630859"/>
    <w:rsid w:val="006314AF"/>
    <w:rsid w:val="00632D25"/>
    <w:rsid w:val="006334FB"/>
    <w:rsid w:val="0063378D"/>
    <w:rsid w:val="00634ED8"/>
    <w:rsid w:val="00636375"/>
    <w:rsid w:val="00636D7D"/>
    <w:rsid w:val="00637194"/>
    <w:rsid w:val="00637408"/>
    <w:rsid w:val="0064041A"/>
    <w:rsid w:val="00641071"/>
    <w:rsid w:val="00641AA2"/>
    <w:rsid w:val="00642868"/>
    <w:rsid w:val="00647AFE"/>
    <w:rsid w:val="006506F3"/>
    <w:rsid w:val="006512BC"/>
    <w:rsid w:val="00653A5A"/>
    <w:rsid w:val="006550F1"/>
    <w:rsid w:val="006575F4"/>
    <w:rsid w:val="0065764A"/>
    <w:rsid w:val="006579E6"/>
    <w:rsid w:val="00660682"/>
    <w:rsid w:val="00661C7B"/>
    <w:rsid w:val="0066381A"/>
    <w:rsid w:val="00663EDC"/>
    <w:rsid w:val="006644AA"/>
    <w:rsid w:val="00664602"/>
    <w:rsid w:val="00665913"/>
    <w:rsid w:val="006664B0"/>
    <w:rsid w:val="00671078"/>
    <w:rsid w:val="0067411C"/>
    <w:rsid w:val="006758CA"/>
    <w:rsid w:val="00675CCF"/>
    <w:rsid w:val="00680A04"/>
    <w:rsid w:val="0068158B"/>
    <w:rsid w:val="006831F0"/>
    <w:rsid w:val="00686D80"/>
    <w:rsid w:val="006904A5"/>
    <w:rsid w:val="00690691"/>
    <w:rsid w:val="00691132"/>
    <w:rsid w:val="006917E1"/>
    <w:rsid w:val="0069189E"/>
    <w:rsid w:val="00694895"/>
    <w:rsid w:val="006953CC"/>
    <w:rsid w:val="00697E2E"/>
    <w:rsid w:val="006A0367"/>
    <w:rsid w:val="006A25A2"/>
    <w:rsid w:val="006A3B87"/>
    <w:rsid w:val="006B04FF"/>
    <w:rsid w:val="006B0E73"/>
    <w:rsid w:val="006B1E3D"/>
    <w:rsid w:val="006B4A4D"/>
    <w:rsid w:val="006B5695"/>
    <w:rsid w:val="006B7B2E"/>
    <w:rsid w:val="006C2BF3"/>
    <w:rsid w:val="006C6382"/>
    <w:rsid w:val="006C69BF"/>
    <w:rsid w:val="006C78EB"/>
    <w:rsid w:val="006D0568"/>
    <w:rsid w:val="006D0B8C"/>
    <w:rsid w:val="006D15E5"/>
    <w:rsid w:val="006D1660"/>
    <w:rsid w:val="006D2932"/>
    <w:rsid w:val="006D38A8"/>
    <w:rsid w:val="006D3A45"/>
    <w:rsid w:val="006D63E5"/>
    <w:rsid w:val="006E3225"/>
    <w:rsid w:val="006E3911"/>
    <w:rsid w:val="006E3DAB"/>
    <w:rsid w:val="006E439F"/>
    <w:rsid w:val="006F0028"/>
    <w:rsid w:val="006F1B67"/>
    <w:rsid w:val="006F3909"/>
    <w:rsid w:val="006F4BD3"/>
    <w:rsid w:val="006F4D9C"/>
    <w:rsid w:val="006F6D3E"/>
    <w:rsid w:val="0070091D"/>
    <w:rsid w:val="00701369"/>
    <w:rsid w:val="00702611"/>
    <w:rsid w:val="00702854"/>
    <w:rsid w:val="00704388"/>
    <w:rsid w:val="00704CD8"/>
    <w:rsid w:val="007131F5"/>
    <w:rsid w:val="0071666E"/>
    <w:rsid w:val="00717128"/>
    <w:rsid w:val="0071741C"/>
    <w:rsid w:val="00717D25"/>
    <w:rsid w:val="00723B0B"/>
    <w:rsid w:val="007275F4"/>
    <w:rsid w:val="007357DA"/>
    <w:rsid w:val="007363E4"/>
    <w:rsid w:val="007429DE"/>
    <w:rsid w:val="00742B90"/>
    <w:rsid w:val="00743CB9"/>
    <w:rsid w:val="0074434D"/>
    <w:rsid w:val="00746236"/>
    <w:rsid w:val="00750ED5"/>
    <w:rsid w:val="00757BA4"/>
    <w:rsid w:val="00757F02"/>
    <w:rsid w:val="007601EE"/>
    <w:rsid w:val="007605B8"/>
    <w:rsid w:val="007614C6"/>
    <w:rsid w:val="00765DAB"/>
    <w:rsid w:val="00766877"/>
    <w:rsid w:val="00771B1E"/>
    <w:rsid w:val="00773C95"/>
    <w:rsid w:val="00774650"/>
    <w:rsid w:val="00776781"/>
    <w:rsid w:val="007813B7"/>
    <w:rsid w:val="0078171E"/>
    <w:rsid w:val="0078481B"/>
    <w:rsid w:val="0078658E"/>
    <w:rsid w:val="00786613"/>
    <w:rsid w:val="00791A68"/>
    <w:rsid w:val="007920E2"/>
    <w:rsid w:val="0079566E"/>
    <w:rsid w:val="00795B34"/>
    <w:rsid w:val="007A067F"/>
    <w:rsid w:val="007A3D5B"/>
    <w:rsid w:val="007A6E22"/>
    <w:rsid w:val="007B1770"/>
    <w:rsid w:val="007B2230"/>
    <w:rsid w:val="007B2EDB"/>
    <w:rsid w:val="007B4D3E"/>
    <w:rsid w:val="007B7C70"/>
    <w:rsid w:val="007B7DEB"/>
    <w:rsid w:val="007C08B6"/>
    <w:rsid w:val="007C1F30"/>
    <w:rsid w:val="007C37FB"/>
    <w:rsid w:val="007D2151"/>
    <w:rsid w:val="007D3B90"/>
    <w:rsid w:val="007D42CC"/>
    <w:rsid w:val="007D446C"/>
    <w:rsid w:val="007D4E03"/>
    <w:rsid w:val="007D5DE4"/>
    <w:rsid w:val="007D7C3A"/>
    <w:rsid w:val="007E0777"/>
    <w:rsid w:val="007E1341"/>
    <w:rsid w:val="007E1B41"/>
    <w:rsid w:val="007E1EC4"/>
    <w:rsid w:val="007E30B9"/>
    <w:rsid w:val="007E3C72"/>
    <w:rsid w:val="007E3E13"/>
    <w:rsid w:val="007E74F1"/>
    <w:rsid w:val="007F09B1"/>
    <w:rsid w:val="007F0F0C"/>
    <w:rsid w:val="007F1288"/>
    <w:rsid w:val="007F2B15"/>
    <w:rsid w:val="007F368B"/>
    <w:rsid w:val="007F5467"/>
    <w:rsid w:val="00800A8A"/>
    <w:rsid w:val="0080155C"/>
    <w:rsid w:val="00802C89"/>
    <w:rsid w:val="008052E1"/>
    <w:rsid w:val="008061F3"/>
    <w:rsid w:val="00820321"/>
    <w:rsid w:val="00822F2C"/>
    <w:rsid w:val="00823DEE"/>
    <w:rsid w:val="008305E8"/>
    <w:rsid w:val="00832C28"/>
    <w:rsid w:val="008338C4"/>
    <w:rsid w:val="00836165"/>
    <w:rsid w:val="00841F8C"/>
    <w:rsid w:val="0084640C"/>
    <w:rsid w:val="00856088"/>
    <w:rsid w:val="00860826"/>
    <w:rsid w:val="00860CC3"/>
    <w:rsid w:val="00860E21"/>
    <w:rsid w:val="0086301C"/>
    <w:rsid w:val="00863117"/>
    <w:rsid w:val="008637AD"/>
    <w:rsid w:val="0086388B"/>
    <w:rsid w:val="00863A70"/>
    <w:rsid w:val="008642E5"/>
    <w:rsid w:val="00870A36"/>
    <w:rsid w:val="00872D93"/>
    <w:rsid w:val="00874825"/>
    <w:rsid w:val="00875B4C"/>
    <w:rsid w:val="00875F9E"/>
    <w:rsid w:val="00880470"/>
    <w:rsid w:val="00880ADD"/>
    <w:rsid w:val="00880D94"/>
    <w:rsid w:val="008859FE"/>
    <w:rsid w:val="00886F64"/>
    <w:rsid w:val="008904C0"/>
    <w:rsid w:val="008924DE"/>
    <w:rsid w:val="00895070"/>
    <w:rsid w:val="0089571B"/>
    <w:rsid w:val="008A3755"/>
    <w:rsid w:val="008A3EFE"/>
    <w:rsid w:val="008B19DC"/>
    <w:rsid w:val="008B264F"/>
    <w:rsid w:val="008B6F83"/>
    <w:rsid w:val="008B739D"/>
    <w:rsid w:val="008B7E47"/>
    <w:rsid w:val="008B7FD8"/>
    <w:rsid w:val="008C199B"/>
    <w:rsid w:val="008C2973"/>
    <w:rsid w:val="008C6324"/>
    <w:rsid w:val="008C64C4"/>
    <w:rsid w:val="008C6BE4"/>
    <w:rsid w:val="008D0BD6"/>
    <w:rsid w:val="008D1A46"/>
    <w:rsid w:val="008D2D63"/>
    <w:rsid w:val="008D6DB0"/>
    <w:rsid w:val="008D74D5"/>
    <w:rsid w:val="008E0786"/>
    <w:rsid w:val="008E3A07"/>
    <w:rsid w:val="008E537B"/>
    <w:rsid w:val="008E65C3"/>
    <w:rsid w:val="008E7A4A"/>
    <w:rsid w:val="008F0619"/>
    <w:rsid w:val="008F0805"/>
    <w:rsid w:val="008F29BE"/>
    <w:rsid w:val="008F2F08"/>
    <w:rsid w:val="008F4AE5"/>
    <w:rsid w:val="008F51EB"/>
    <w:rsid w:val="008F6D42"/>
    <w:rsid w:val="00900197"/>
    <w:rsid w:val="00900BC9"/>
    <w:rsid w:val="009016D2"/>
    <w:rsid w:val="00902126"/>
    <w:rsid w:val="00902DFE"/>
    <w:rsid w:val="00902F55"/>
    <w:rsid w:val="0090582B"/>
    <w:rsid w:val="009060C0"/>
    <w:rsid w:val="009133F5"/>
    <w:rsid w:val="00914725"/>
    <w:rsid w:val="00916B8C"/>
    <w:rsid w:val="009171E7"/>
    <w:rsid w:val="0091756F"/>
    <w:rsid w:val="00920A27"/>
    <w:rsid w:val="00920CA1"/>
    <w:rsid w:val="00921216"/>
    <w:rsid w:val="009216CC"/>
    <w:rsid w:val="00926083"/>
    <w:rsid w:val="00930D08"/>
    <w:rsid w:val="00931466"/>
    <w:rsid w:val="00932D69"/>
    <w:rsid w:val="00935589"/>
    <w:rsid w:val="009409AC"/>
    <w:rsid w:val="00942644"/>
    <w:rsid w:val="009438EC"/>
    <w:rsid w:val="00944647"/>
    <w:rsid w:val="00945D20"/>
    <w:rsid w:val="0095565C"/>
    <w:rsid w:val="00956935"/>
    <w:rsid w:val="009603B8"/>
    <w:rsid w:val="00966F9A"/>
    <w:rsid w:val="009734C0"/>
    <w:rsid w:val="00977B8A"/>
    <w:rsid w:val="0098113B"/>
    <w:rsid w:val="009822EB"/>
    <w:rsid w:val="0098253E"/>
    <w:rsid w:val="00982971"/>
    <w:rsid w:val="009845AD"/>
    <w:rsid w:val="00984835"/>
    <w:rsid w:val="009933EF"/>
    <w:rsid w:val="00993C43"/>
    <w:rsid w:val="00994DB8"/>
    <w:rsid w:val="00995BA0"/>
    <w:rsid w:val="009969AE"/>
    <w:rsid w:val="00996B33"/>
    <w:rsid w:val="009A0959"/>
    <w:rsid w:val="009A1278"/>
    <w:rsid w:val="009A215C"/>
    <w:rsid w:val="009A2ADD"/>
    <w:rsid w:val="009A315A"/>
    <w:rsid w:val="009A418B"/>
    <w:rsid w:val="009A426F"/>
    <w:rsid w:val="009A42D5"/>
    <w:rsid w:val="009A4473"/>
    <w:rsid w:val="009A6D4E"/>
    <w:rsid w:val="009A7735"/>
    <w:rsid w:val="009B05C9"/>
    <w:rsid w:val="009B18E1"/>
    <w:rsid w:val="009B286C"/>
    <w:rsid w:val="009B2981"/>
    <w:rsid w:val="009B4C7E"/>
    <w:rsid w:val="009B6561"/>
    <w:rsid w:val="009B678A"/>
    <w:rsid w:val="009B6A8C"/>
    <w:rsid w:val="009B76F6"/>
    <w:rsid w:val="009C151C"/>
    <w:rsid w:val="009C2F0B"/>
    <w:rsid w:val="009C2F25"/>
    <w:rsid w:val="009C440A"/>
    <w:rsid w:val="009C4EFB"/>
    <w:rsid w:val="009C50E1"/>
    <w:rsid w:val="009C69C9"/>
    <w:rsid w:val="009C7224"/>
    <w:rsid w:val="009D5125"/>
    <w:rsid w:val="009D60B8"/>
    <w:rsid w:val="009D7D4B"/>
    <w:rsid w:val="009E36ED"/>
    <w:rsid w:val="009E3C8C"/>
    <w:rsid w:val="009E6B77"/>
    <w:rsid w:val="009E6FEA"/>
    <w:rsid w:val="009F0D39"/>
    <w:rsid w:val="009F2204"/>
    <w:rsid w:val="009F460A"/>
    <w:rsid w:val="009F7A47"/>
    <w:rsid w:val="00A01143"/>
    <w:rsid w:val="00A03868"/>
    <w:rsid w:val="00A043FB"/>
    <w:rsid w:val="00A06070"/>
    <w:rsid w:val="00A0654A"/>
    <w:rsid w:val="00A06BE4"/>
    <w:rsid w:val="00A0729C"/>
    <w:rsid w:val="00A07779"/>
    <w:rsid w:val="00A106F0"/>
    <w:rsid w:val="00A10C7E"/>
    <w:rsid w:val="00A1166A"/>
    <w:rsid w:val="00A13D88"/>
    <w:rsid w:val="00A20B2E"/>
    <w:rsid w:val="00A24F33"/>
    <w:rsid w:val="00A25069"/>
    <w:rsid w:val="00A26E6B"/>
    <w:rsid w:val="00A3068F"/>
    <w:rsid w:val="00A3145B"/>
    <w:rsid w:val="00A3172D"/>
    <w:rsid w:val="00A31A11"/>
    <w:rsid w:val="00A339D0"/>
    <w:rsid w:val="00A34DEA"/>
    <w:rsid w:val="00A34EA2"/>
    <w:rsid w:val="00A359E9"/>
    <w:rsid w:val="00A3666D"/>
    <w:rsid w:val="00A41002"/>
    <w:rsid w:val="00A4201A"/>
    <w:rsid w:val="00A42C9D"/>
    <w:rsid w:val="00A43359"/>
    <w:rsid w:val="00A44E9D"/>
    <w:rsid w:val="00A463E6"/>
    <w:rsid w:val="00A46E6F"/>
    <w:rsid w:val="00A5465D"/>
    <w:rsid w:val="00A553CE"/>
    <w:rsid w:val="00A5677A"/>
    <w:rsid w:val="00A56DCC"/>
    <w:rsid w:val="00A607E9"/>
    <w:rsid w:val="00A62077"/>
    <w:rsid w:val="00A62324"/>
    <w:rsid w:val="00A625E8"/>
    <w:rsid w:val="00A6378C"/>
    <w:rsid w:val="00A63DFF"/>
    <w:rsid w:val="00A6490D"/>
    <w:rsid w:val="00A70ED2"/>
    <w:rsid w:val="00A71A2A"/>
    <w:rsid w:val="00A720AB"/>
    <w:rsid w:val="00A72AF1"/>
    <w:rsid w:val="00A7415D"/>
    <w:rsid w:val="00A7501C"/>
    <w:rsid w:val="00A76BB2"/>
    <w:rsid w:val="00A80363"/>
    <w:rsid w:val="00A80939"/>
    <w:rsid w:val="00A81AD1"/>
    <w:rsid w:val="00A83E9D"/>
    <w:rsid w:val="00A84163"/>
    <w:rsid w:val="00A87C05"/>
    <w:rsid w:val="00A9169D"/>
    <w:rsid w:val="00A935E5"/>
    <w:rsid w:val="00AA240C"/>
    <w:rsid w:val="00AB5E0D"/>
    <w:rsid w:val="00AB6C23"/>
    <w:rsid w:val="00AC08C2"/>
    <w:rsid w:val="00AC101C"/>
    <w:rsid w:val="00AC355A"/>
    <w:rsid w:val="00AC5B63"/>
    <w:rsid w:val="00AC6476"/>
    <w:rsid w:val="00AD2E1F"/>
    <w:rsid w:val="00AD46DE"/>
    <w:rsid w:val="00AD4CF1"/>
    <w:rsid w:val="00AD5116"/>
    <w:rsid w:val="00AD5988"/>
    <w:rsid w:val="00AE228B"/>
    <w:rsid w:val="00AE5EE3"/>
    <w:rsid w:val="00AF7800"/>
    <w:rsid w:val="00B00CF5"/>
    <w:rsid w:val="00B072E0"/>
    <w:rsid w:val="00B1007E"/>
    <w:rsid w:val="00B10E4D"/>
    <w:rsid w:val="00B17083"/>
    <w:rsid w:val="00B20E1F"/>
    <w:rsid w:val="00B22104"/>
    <w:rsid w:val="00B253F6"/>
    <w:rsid w:val="00B254C1"/>
    <w:rsid w:val="00B26675"/>
    <w:rsid w:val="00B305DB"/>
    <w:rsid w:val="00B332F8"/>
    <w:rsid w:val="00B3492B"/>
    <w:rsid w:val="00B40E12"/>
    <w:rsid w:val="00B4646F"/>
    <w:rsid w:val="00B52BB3"/>
    <w:rsid w:val="00B53DB1"/>
    <w:rsid w:val="00B55C7D"/>
    <w:rsid w:val="00B56A48"/>
    <w:rsid w:val="00B56B5D"/>
    <w:rsid w:val="00B571CF"/>
    <w:rsid w:val="00B577BD"/>
    <w:rsid w:val="00B63038"/>
    <w:rsid w:val="00B63450"/>
    <w:rsid w:val="00B64BD8"/>
    <w:rsid w:val="00B701D1"/>
    <w:rsid w:val="00B71F7F"/>
    <w:rsid w:val="00B73AF2"/>
    <w:rsid w:val="00B7551A"/>
    <w:rsid w:val="00B7559F"/>
    <w:rsid w:val="00B76F14"/>
    <w:rsid w:val="00B773F1"/>
    <w:rsid w:val="00B85285"/>
    <w:rsid w:val="00B86391"/>
    <w:rsid w:val="00B86AB1"/>
    <w:rsid w:val="00B919D2"/>
    <w:rsid w:val="00B921DE"/>
    <w:rsid w:val="00BA2BF7"/>
    <w:rsid w:val="00BB0340"/>
    <w:rsid w:val="00BB2A06"/>
    <w:rsid w:val="00BB2CBB"/>
    <w:rsid w:val="00BB2DA6"/>
    <w:rsid w:val="00BB4198"/>
    <w:rsid w:val="00BC03EE"/>
    <w:rsid w:val="00BC1F88"/>
    <w:rsid w:val="00BC370C"/>
    <w:rsid w:val="00BC59F1"/>
    <w:rsid w:val="00BC7546"/>
    <w:rsid w:val="00BD50A8"/>
    <w:rsid w:val="00BD6CBD"/>
    <w:rsid w:val="00BE4309"/>
    <w:rsid w:val="00BE5267"/>
    <w:rsid w:val="00BE5742"/>
    <w:rsid w:val="00BE7E16"/>
    <w:rsid w:val="00BF3DE1"/>
    <w:rsid w:val="00BF4843"/>
    <w:rsid w:val="00BF489C"/>
    <w:rsid w:val="00BF5205"/>
    <w:rsid w:val="00C001E8"/>
    <w:rsid w:val="00C02294"/>
    <w:rsid w:val="00C05132"/>
    <w:rsid w:val="00C10E1D"/>
    <w:rsid w:val="00C10E24"/>
    <w:rsid w:val="00C12508"/>
    <w:rsid w:val="00C20152"/>
    <w:rsid w:val="00C21B60"/>
    <w:rsid w:val="00C22EE4"/>
    <w:rsid w:val="00C23728"/>
    <w:rsid w:val="00C254BC"/>
    <w:rsid w:val="00C25F4C"/>
    <w:rsid w:val="00C26649"/>
    <w:rsid w:val="00C313A9"/>
    <w:rsid w:val="00C3260F"/>
    <w:rsid w:val="00C35C07"/>
    <w:rsid w:val="00C40142"/>
    <w:rsid w:val="00C441CF"/>
    <w:rsid w:val="00C45AA2"/>
    <w:rsid w:val="00C4792C"/>
    <w:rsid w:val="00C506D4"/>
    <w:rsid w:val="00C51823"/>
    <w:rsid w:val="00C52ABA"/>
    <w:rsid w:val="00C52E20"/>
    <w:rsid w:val="00C55BEF"/>
    <w:rsid w:val="00C57AE0"/>
    <w:rsid w:val="00C57B04"/>
    <w:rsid w:val="00C601AF"/>
    <w:rsid w:val="00C6163A"/>
    <w:rsid w:val="00C61A63"/>
    <w:rsid w:val="00C62B45"/>
    <w:rsid w:val="00C63B53"/>
    <w:rsid w:val="00C66296"/>
    <w:rsid w:val="00C715B1"/>
    <w:rsid w:val="00C7394D"/>
    <w:rsid w:val="00C74443"/>
    <w:rsid w:val="00C77282"/>
    <w:rsid w:val="00C77D1D"/>
    <w:rsid w:val="00C80B58"/>
    <w:rsid w:val="00C8154D"/>
    <w:rsid w:val="00C817F7"/>
    <w:rsid w:val="00C84DE5"/>
    <w:rsid w:val="00C86248"/>
    <w:rsid w:val="00C90B31"/>
    <w:rsid w:val="00C94CDC"/>
    <w:rsid w:val="00CA0D6F"/>
    <w:rsid w:val="00CA4C33"/>
    <w:rsid w:val="00CA6F4A"/>
    <w:rsid w:val="00CB17DA"/>
    <w:rsid w:val="00CB6427"/>
    <w:rsid w:val="00CC0FBE"/>
    <w:rsid w:val="00CC3D32"/>
    <w:rsid w:val="00CC5266"/>
    <w:rsid w:val="00CD2119"/>
    <w:rsid w:val="00CD237A"/>
    <w:rsid w:val="00CD36AC"/>
    <w:rsid w:val="00CD4D45"/>
    <w:rsid w:val="00CE13A3"/>
    <w:rsid w:val="00CE36BC"/>
    <w:rsid w:val="00CE6C0A"/>
    <w:rsid w:val="00CF1747"/>
    <w:rsid w:val="00CF322B"/>
    <w:rsid w:val="00CF60ED"/>
    <w:rsid w:val="00CF7DDE"/>
    <w:rsid w:val="00D03E03"/>
    <w:rsid w:val="00D03EF7"/>
    <w:rsid w:val="00D05D74"/>
    <w:rsid w:val="00D12F2C"/>
    <w:rsid w:val="00D13D02"/>
    <w:rsid w:val="00D15FDE"/>
    <w:rsid w:val="00D20C59"/>
    <w:rsid w:val="00D21307"/>
    <w:rsid w:val="00D23323"/>
    <w:rsid w:val="00D2392A"/>
    <w:rsid w:val="00D24964"/>
    <w:rsid w:val="00D25FFE"/>
    <w:rsid w:val="00D27C1D"/>
    <w:rsid w:val="00D30CDE"/>
    <w:rsid w:val="00D34DD0"/>
    <w:rsid w:val="00D35EEE"/>
    <w:rsid w:val="00D36714"/>
    <w:rsid w:val="00D42447"/>
    <w:rsid w:val="00D42589"/>
    <w:rsid w:val="00D4476F"/>
    <w:rsid w:val="00D50573"/>
    <w:rsid w:val="00D54D50"/>
    <w:rsid w:val="00D560B4"/>
    <w:rsid w:val="00D623EF"/>
    <w:rsid w:val="00D63878"/>
    <w:rsid w:val="00D662F8"/>
    <w:rsid w:val="00D66797"/>
    <w:rsid w:val="00D67113"/>
    <w:rsid w:val="00D7087C"/>
    <w:rsid w:val="00D70C3C"/>
    <w:rsid w:val="00D71DF7"/>
    <w:rsid w:val="00D724F3"/>
    <w:rsid w:val="00D72BE5"/>
    <w:rsid w:val="00D75C05"/>
    <w:rsid w:val="00D81462"/>
    <w:rsid w:val="00D81DCB"/>
    <w:rsid w:val="00D82F26"/>
    <w:rsid w:val="00D84795"/>
    <w:rsid w:val="00D863D0"/>
    <w:rsid w:val="00D86FB9"/>
    <w:rsid w:val="00D87C87"/>
    <w:rsid w:val="00D90BB4"/>
    <w:rsid w:val="00D90E07"/>
    <w:rsid w:val="00D932C2"/>
    <w:rsid w:val="00D9510C"/>
    <w:rsid w:val="00D97551"/>
    <w:rsid w:val="00DA25A6"/>
    <w:rsid w:val="00DA76FA"/>
    <w:rsid w:val="00DB01A7"/>
    <w:rsid w:val="00DB1C24"/>
    <w:rsid w:val="00DB39CF"/>
    <w:rsid w:val="00DB7256"/>
    <w:rsid w:val="00DB758D"/>
    <w:rsid w:val="00DC0401"/>
    <w:rsid w:val="00DC20BD"/>
    <w:rsid w:val="00DC7F2B"/>
    <w:rsid w:val="00DD0BCD"/>
    <w:rsid w:val="00DD28E9"/>
    <w:rsid w:val="00DD2A6D"/>
    <w:rsid w:val="00DD447A"/>
    <w:rsid w:val="00DD65C3"/>
    <w:rsid w:val="00DE3B20"/>
    <w:rsid w:val="00DE408D"/>
    <w:rsid w:val="00DE64AA"/>
    <w:rsid w:val="00DE6C94"/>
    <w:rsid w:val="00DE6FD7"/>
    <w:rsid w:val="00DF0182"/>
    <w:rsid w:val="00DF191E"/>
    <w:rsid w:val="00DF46F8"/>
    <w:rsid w:val="00E01D39"/>
    <w:rsid w:val="00E02CEF"/>
    <w:rsid w:val="00E12712"/>
    <w:rsid w:val="00E13665"/>
    <w:rsid w:val="00E16776"/>
    <w:rsid w:val="00E23271"/>
    <w:rsid w:val="00E233B0"/>
    <w:rsid w:val="00E242D8"/>
    <w:rsid w:val="00E24F80"/>
    <w:rsid w:val="00E259F3"/>
    <w:rsid w:val="00E30985"/>
    <w:rsid w:val="00E33238"/>
    <w:rsid w:val="00E359C1"/>
    <w:rsid w:val="00E376B7"/>
    <w:rsid w:val="00E410BD"/>
    <w:rsid w:val="00E42F5D"/>
    <w:rsid w:val="00E4348B"/>
    <w:rsid w:val="00E4486C"/>
    <w:rsid w:val="00E460B6"/>
    <w:rsid w:val="00E511D5"/>
    <w:rsid w:val="00E60249"/>
    <w:rsid w:val="00E65269"/>
    <w:rsid w:val="00E673AA"/>
    <w:rsid w:val="00E721BD"/>
    <w:rsid w:val="00E747F1"/>
    <w:rsid w:val="00E751D4"/>
    <w:rsid w:val="00E763E9"/>
    <w:rsid w:val="00E76D66"/>
    <w:rsid w:val="00E80395"/>
    <w:rsid w:val="00E956BA"/>
    <w:rsid w:val="00E957E2"/>
    <w:rsid w:val="00E96140"/>
    <w:rsid w:val="00E96873"/>
    <w:rsid w:val="00EA2F05"/>
    <w:rsid w:val="00EA41A5"/>
    <w:rsid w:val="00EA5357"/>
    <w:rsid w:val="00EA796A"/>
    <w:rsid w:val="00EB06C1"/>
    <w:rsid w:val="00EB1856"/>
    <w:rsid w:val="00EC2092"/>
    <w:rsid w:val="00EC34E2"/>
    <w:rsid w:val="00EC41D9"/>
    <w:rsid w:val="00EC50CE"/>
    <w:rsid w:val="00EC5B34"/>
    <w:rsid w:val="00ED021E"/>
    <w:rsid w:val="00ED0275"/>
    <w:rsid w:val="00ED04DF"/>
    <w:rsid w:val="00ED323C"/>
    <w:rsid w:val="00ED44A2"/>
    <w:rsid w:val="00ED6B29"/>
    <w:rsid w:val="00EE1595"/>
    <w:rsid w:val="00EE2D5C"/>
    <w:rsid w:val="00EE4ADE"/>
    <w:rsid w:val="00EE4DE8"/>
    <w:rsid w:val="00EE5CB7"/>
    <w:rsid w:val="00EF1CF2"/>
    <w:rsid w:val="00F024FE"/>
    <w:rsid w:val="00F05AD4"/>
    <w:rsid w:val="00F07782"/>
    <w:rsid w:val="00F10EB6"/>
    <w:rsid w:val="00F13F07"/>
    <w:rsid w:val="00F140B2"/>
    <w:rsid w:val="00F150F1"/>
    <w:rsid w:val="00F16628"/>
    <w:rsid w:val="00F16D42"/>
    <w:rsid w:val="00F2189C"/>
    <w:rsid w:val="00F2494A"/>
    <w:rsid w:val="00F25970"/>
    <w:rsid w:val="00F311A9"/>
    <w:rsid w:val="00F31FBE"/>
    <w:rsid w:val="00F32B57"/>
    <w:rsid w:val="00F426FA"/>
    <w:rsid w:val="00F5180D"/>
    <w:rsid w:val="00F520D3"/>
    <w:rsid w:val="00F54D22"/>
    <w:rsid w:val="00F555EE"/>
    <w:rsid w:val="00F6065C"/>
    <w:rsid w:val="00F63201"/>
    <w:rsid w:val="00F63781"/>
    <w:rsid w:val="00F655D3"/>
    <w:rsid w:val="00F67496"/>
    <w:rsid w:val="00F7224B"/>
    <w:rsid w:val="00F801BA"/>
    <w:rsid w:val="00F8069D"/>
    <w:rsid w:val="00F808D6"/>
    <w:rsid w:val="00F913FF"/>
    <w:rsid w:val="00F9366A"/>
    <w:rsid w:val="00F946C9"/>
    <w:rsid w:val="00F94B71"/>
    <w:rsid w:val="00F961BF"/>
    <w:rsid w:val="00FA0EA5"/>
    <w:rsid w:val="00FA64F1"/>
    <w:rsid w:val="00FA74EE"/>
    <w:rsid w:val="00FB1179"/>
    <w:rsid w:val="00FB1A80"/>
    <w:rsid w:val="00FB7A92"/>
    <w:rsid w:val="00FC3711"/>
    <w:rsid w:val="00FC46E7"/>
    <w:rsid w:val="00FC5D25"/>
    <w:rsid w:val="00FD0D7E"/>
    <w:rsid w:val="00FD4FFB"/>
    <w:rsid w:val="00FD7594"/>
    <w:rsid w:val="00FD7BBD"/>
    <w:rsid w:val="00FE0071"/>
    <w:rsid w:val="00FE118B"/>
    <w:rsid w:val="00FE35AC"/>
    <w:rsid w:val="00FE6E13"/>
    <w:rsid w:val="00FF15F6"/>
    <w:rsid w:val="00FF469C"/>
    <w:rsid w:val="00FF527C"/>
    <w:rsid w:val="00FF5CB6"/>
    <w:rsid w:val="00FF62D9"/>
    <w:rsid w:val="00FF65C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6367F"/>
  <w15:docId w15:val="{2D2EAA27-C90D-4BBC-8163-EFC338CE2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5AD"/>
    <w:rPr>
      <w:rFonts w:ascii="Segoe UI" w:hAnsi="Segoe UI"/>
      <w:sz w:val="21"/>
      <w:lang w:eastAsia="en-GB"/>
    </w:rPr>
  </w:style>
  <w:style w:type="paragraph" w:styleId="Heading1">
    <w:name w:val="heading 1"/>
    <w:basedOn w:val="Normal"/>
    <w:next w:val="Normal"/>
    <w:link w:val="Heading1Char"/>
    <w:qFormat/>
    <w:rsid w:val="00C10E24"/>
    <w:pPr>
      <w:pageBreakBefore/>
      <w:spacing w:after="360"/>
      <w:outlineLvl w:val="0"/>
    </w:pPr>
    <w:rPr>
      <w:b/>
      <w:color w:val="23305D"/>
      <w:spacing w:val="-10"/>
      <w:sz w:val="72"/>
    </w:rPr>
  </w:style>
  <w:style w:type="paragraph" w:styleId="Heading2">
    <w:name w:val="heading 2"/>
    <w:basedOn w:val="Normal"/>
    <w:next w:val="Normal"/>
    <w:link w:val="Heading2Char"/>
    <w:qFormat/>
    <w:rsid w:val="00030E84"/>
    <w:pPr>
      <w:keepNext/>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spacing w:before="360" w:after="180"/>
      <w:outlineLvl w:val="2"/>
    </w:pPr>
    <w:rPr>
      <w:color w:val="0A6AB4"/>
      <w:spacing w:val="-5"/>
      <w:sz w:val="36"/>
    </w:rPr>
  </w:style>
  <w:style w:type="paragraph" w:styleId="Heading4">
    <w:name w:val="heading 4"/>
    <w:basedOn w:val="Normal"/>
    <w:next w:val="Normal"/>
    <w:link w:val="Heading4Char"/>
    <w:qFormat/>
    <w:rsid w:val="00030E84"/>
    <w:pPr>
      <w:keepNext/>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iPriority w:val="9"/>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iPriority w:val="9"/>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iPriority w:val="9"/>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iPriority w:val="9"/>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1D3E4E"/>
    <w:pPr>
      <w:tabs>
        <w:tab w:val="right" w:pos="8080"/>
      </w:tabs>
      <w:spacing w:before="300"/>
      <w:ind w:right="567"/>
    </w:pPr>
    <w:rPr>
      <w:rFonts w:ascii="Segoe UI Semibold" w:hAnsi="Segoe UI Semibold"/>
      <w:sz w:val="24"/>
    </w:rPr>
  </w:style>
  <w:style w:type="paragraph" w:styleId="TOC2">
    <w:name w:val="toc 2"/>
    <w:basedOn w:val="Normal"/>
    <w:next w:val="Normal"/>
    <w:uiPriority w:val="39"/>
    <w:qFormat/>
    <w:rsid w:val="002B76A7"/>
    <w:pPr>
      <w:tabs>
        <w:tab w:val="right" w:pos="8080"/>
      </w:tabs>
      <w:spacing w:before="60"/>
      <w:ind w:left="284" w:right="567"/>
    </w:pPr>
    <w:rPr>
      <w:sz w:val="22"/>
    </w:rPr>
  </w:style>
  <w:style w:type="paragraph" w:styleId="TOC3">
    <w:name w:val="toc 3"/>
    <w:basedOn w:val="Normal"/>
    <w:next w:val="Normal"/>
    <w:uiPriority w:val="39"/>
    <w:rsid w:val="002B76A7"/>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spacing w:before="90"/>
    </w:pPr>
  </w:style>
  <w:style w:type="paragraph" w:styleId="Quote">
    <w:name w:val="Quote"/>
    <w:basedOn w:val="Normal"/>
    <w:next w:val="Normal"/>
    <w:link w:val="QuoteChar"/>
    <w:qFormat/>
    <w:rsid w:val="00092F63"/>
    <w:pPr>
      <w:spacing w:before="120" w:after="180"/>
      <w:ind w:left="284" w:right="284"/>
    </w:pPr>
  </w:style>
  <w:style w:type="paragraph" w:styleId="FootnoteText">
    <w:name w:val="footnote text"/>
    <w:basedOn w:val="Normal"/>
    <w:link w:val="FootnoteTextChar"/>
    <w:uiPriority w:val="99"/>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qFormat/>
    <w:rsid w:val="009133F5"/>
    <w:pPr>
      <w:keepNext/>
      <w:spacing w:before="120" w:after="120"/>
    </w:pPr>
    <w:rPr>
      <w:b/>
      <w:sz w:val="20"/>
    </w:rPr>
  </w:style>
  <w:style w:type="character" w:styleId="FootnoteReference">
    <w:name w:val="footnote reference"/>
    <w:uiPriority w:val="99"/>
    <w:rPr>
      <w:vertAlign w:val="superscript"/>
    </w:rPr>
  </w:style>
  <w:style w:type="paragraph" w:customStyle="1" w:styleId="Table">
    <w:name w:val="Table"/>
    <w:basedOn w:val="Figure"/>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link w:val="TableTextChar"/>
    <w:qFormat/>
    <w:rsid w:val="009C440A"/>
    <w:pPr>
      <w:spacing w:before="60" w:after="60"/>
    </w:pPr>
    <w:rPr>
      <w:sz w:val="18"/>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qFormat/>
    <w:rsid w:val="00E30985"/>
    <w:pPr>
      <w:spacing w:before="240" w:line="264" w:lineRule="auto"/>
    </w:pPr>
    <w:rPr>
      <w:b/>
      <w:color w:val="FFFFFF" w:themeColor="background1"/>
      <w:sz w:val="24"/>
      <w:szCs w:val="24"/>
    </w:rPr>
  </w:style>
  <w:style w:type="paragraph" w:customStyle="1" w:styleId="BoxBullet">
    <w:name w:val="BoxBullet"/>
    <w:basedOn w:val="Bullet"/>
    <w:qFormat/>
    <w:rsid w:val="00E30985"/>
    <w:pPr>
      <w:spacing w:line="264" w:lineRule="auto"/>
    </w:pPr>
    <w:rPr>
      <w:color w:val="FFFFFF" w:themeColor="background1"/>
    </w:rPr>
  </w:style>
  <w:style w:type="paragraph" w:customStyle="1" w:styleId="IntroHead">
    <w:name w:val="IntroHead"/>
    <w:basedOn w:val="Heading1"/>
    <w:next w:val="Normal"/>
    <w:qFormat/>
    <w:rsid w:val="001D3E4E"/>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A87C05"/>
    <w:pPr>
      <w:spacing w:before="80"/>
    </w:pPr>
    <w:rPr>
      <w:sz w:val="17"/>
    </w:rPr>
  </w:style>
  <w:style w:type="paragraph" w:customStyle="1" w:styleId="Subhead">
    <w:name w:val="Subhead"/>
    <w:basedOn w:val="Normal"/>
    <w:next w:val="Normal"/>
    <w:qFormat/>
    <w:rsid w:val="005A79E5"/>
    <w:pPr>
      <w:spacing w:before="840"/>
      <w:ind w:right="3402"/>
    </w:pPr>
    <w:rPr>
      <w:rFonts w:ascii="Segoe UI Semibold" w:hAnsi="Segoe UI Semibold" w:cs="Segoe UI Semibold"/>
      <w:sz w:val="2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A87C05"/>
    <w:rPr>
      <w:rFonts w:ascii="Segoe UI" w:hAnsi="Segoe UI"/>
      <w:sz w:val="17"/>
      <w:lang w:eastAsia="en-GB"/>
    </w:rPr>
  </w:style>
  <w:style w:type="character" w:customStyle="1" w:styleId="FootnoteTextChar">
    <w:name w:val="Footnote Text Char"/>
    <w:link w:val="FootnoteText"/>
    <w:uiPriority w:val="99"/>
    <w:rsid w:val="00A7415D"/>
    <w:rPr>
      <w:rFonts w:ascii="Segoe UI" w:hAnsi="Segoe UI"/>
      <w:sz w:val="17"/>
      <w:lang w:eastAsia="en-GB"/>
    </w:rPr>
  </w:style>
  <w:style w:type="table" w:styleId="TableGrid">
    <w:name w:val="Table Grid"/>
    <w:basedOn w:val="TableNormal"/>
    <w:uiPriority w:val="39"/>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uiPriority w:val="9"/>
    <w:rsid w:val="00C10E24"/>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uiPriority w:val="9"/>
    <w:rsid w:val="00030E84"/>
    <w:rPr>
      <w:rFonts w:ascii="Segoe UI" w:hAnsi="Segoe UI"/>
      <w:b/>
      <w:color w:val="0A6AB4"/>
      <w:spacing w:val="-5"/>
      <w:sz w:val="48"/>
      <w:lang w:eastAsia="en-GB"/>
    </w:rPr>
  </w:style>
  <w:style w:type="character" w:customStyle="1" w:styleId="Heading3Char">
    <w:name w:val="Heading 3 Char"/>
    <w:link w:val="Heading3"/>
    <w:uiPriority w:val="9"/>
    <w:rsid w:val="00030E84"/>
    <w:rPr>
      <w:rFonts w:ascii="Segoe UI" w:hAnsi="Segoe UI"/>
      <w:color w:val="0A6AB4"/>
      <w:spacing w:val="-5"/>
      <w:sz w:val="36"/>
      <w:lang w:eastAsia="en-GB"/>
    </w:rPr>
  </w:style>
  <w:style w:type="paragraph" w:customStyle="1" w:styleId="Year">
    <w:name w:val="Year"/>
    <w:basedOn w:val="Subhead"/>
    <w:next w:val="Subhead"/>
    <w:qFormat/>
    <w:rsid w:val="008E3A07"/>
    <w:pPr>
      <w:pBdr>
        <w:bottom w:val="single" w:sz="48" w:space="6" w:color="auto"/>
      </w:pBdr>
    </w:pPr>
    <w:rPr>
      <w:sz w:val="56"/>
    </w:rPr>
  </w:style>
  <w:style w:type="character" w:customStyle="1" w:styleId="Heading6Char">
    <w:name w:val="Heading 6 Char"/>
    <w:basedOn w:val="DefaultParagraphFont"/>
    <w:link w:val="Heading6"/>
    <w:uiPriority w:val="9"/>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uiPriority w:val="9"/>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uiPriority w:val="9"/>
    <w:rsid w:val="00122363"/>
    <w:rPr>
      <w:rFonts w:ascii="Calibri" w:eastAsia="MS Gothic" w:hAnsi="Calibri"/>
      <w:i/>
      <w:iCs/>
      <w:color w:val="404040"/>
      <w:sz w:val="22"/>
      <w:szCs w:val="24"/>
      <w:lang w:val="en-GB" w:eastAsia="en-US"/>
    </w:rPr>
  </w:style>
  <w:style w:type="character" w:customStyle="1" w:styleId="Heading4Char">
    <w:name w:val="Heading 4 Char"/>
    <w:link w:val="Heading4"/>
    <w:uiPriority w:val="9"/>
    <w:rsid w:val="00030E84"/>
    <w:rPr>
      <w:rFonts w:ascii="Segoe UI" w:hAnsi="Segoe UI"/>
      <w:color w:val="0A6AB4"/>
      <w:sz w:val="28"/>
      <w:lang w:eastAsia="en-GB"/>
    </w:rPr>
  </w:style>
  <w:style w:type="character" w:customStyle="1" w:styleId="Heading5Char">
    <w:name w:val="Heading 5 Char"/>
    <w:link w:val="Heading5"/>
    <w:uiPriority w:val="9"/>
    <w:rsid w:val="00B00CF5"/>
    <w:rPr>
      <w:rFonts w:ascii="Segoe UI" w:hAnsi="Segoe UI"/>
      <w:color w:val="0A6AB4"/>
      <w:sz w:val="24"/>
      <w:lang w:eastAsia="en-GB"/>
    </w:rPr>
  </w:style>
  <w:style w:type="character" w:customStyle="1" w:styleId="QuoteChar">
    <w:name w:val="Quote Char"/>
    <w:link w:val="Quote"/>
    <w:uiPriority w:val="29"/>
    <w:rsid w:val="00092F63"/>
    <w:rPr>
      <w:rFonts w:ascii="Segoe UI" w:hAnsi="Segoe UI"/>
      <w:sz w:val="21"/>
      <w:lang w:eastAsia="en-GB"/>
    </w:rPr>
  </w:style>
  <w:style w:type="character" w:customStyle="1" w:styleId="TitleChar">
    <w:name w:val="Title Char"/>
    <w:link w:val="Title"/>
    <w:uiPriority w:val="10"/>
    <w:rsid w:val="005A79E5"/>
    <w:rPr>
      <w:rFonts w:ascii="Segoe UI Black" w:hAnsi="Segoe UI Black" w:cs="Lucida Sans Unicode"/>
      <w:b/>
      <w:sz w:val="72"/>
      <w:szCs w:val="72"/>
      <w:lang w:eastAsia="en-GB"/>
    </w:rPr>
  </w:style>
  <w:style w:type="paragraph" w:customStyle="1" w:styleId="Number">
    <w:name w:val="Number"/>
    <w:basedOn w:val="Normal"/>
    <w:qFormat/>
    <w:rsid w:val="00F140B2"/>
    <w:pPr>
      <w:numPr>
        <w:numId w:val="5"/>
      </w:numPr>
      <w:spacing w:before="180"/>
    </w:pPr>
    <w:rPr>
      <w:szCs w:val="24"/>
    </w:rPr>
  </w:style>
  <w:style w:type="paragraph" w:customStyle="1" w:styleId="Letter">
    <w:name w:val="Letter"/>
    <w:basedOn w:val="Normal"/>
    <w:qFormat/>
    <w:rsid w:val="00C10E24"/>
    <w:pPr>
      <w:numPr>
        <w:ilvl w:val="1"/>
        <w:numId w:val="5"/>
      </w:numPr>
      <w:spacing w:before="120"/>
      <w:ind w:left="1134"/>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E30985"/>
    <w:pPr>
      <w:keepNext/>
      <w:spacing w:after="120"/>
    </w:pPr>
    <w:rPr>
      <w:rFonts w:eastAsia="Arial Unicode MS"/>
    </w:rPr>
  </w:style>
  <w:style w:type="paragraph" w:customStyle="1" w:styleId="Shadedboxtext">
    <w:name w:val="Shaded box text"/>
    <w:basedOn w:val="Normal"/>
    <w:qFormat/>
    <w:rsid w:val="00E30985"/>
    <w:pPr>
      <w:spacing w:line="228" w:lineRule="auto"/>
      <w:ind w:right="142"/>
    </w:pPr>
    <w:rPr>
      <w:rFonts w:eastAsia="Arial Unicode MS"/>
    </w:rPr>
  </w:style>
  <w:style w:type="character" w:customStyle="1" w:styleId="TableTextChar">
    <w:name w:val="TableText Char"/>
    <w:link w:val="TableText"/>
    <w:rsid w:val="00895070"/>
    <w:rPr>
      <w:rFonts w:ascii="Segoe UI" w:hAnsi="Segoe UI"/>
      <w:sz w:val="18"/>
      <w:lang w:eastAsia="en-GB"/>
    </w:rPr>
  </w:style>
  <w:style w:type="paragraph" w:customStyle="1" w:styleId="Roman">
    <w:name w:val="Roman"/>
    <w:basedOn w:val="Normal"/>
    <w:qFormat/>
    <w:rsid w:val="00A463E6"/>
    <w:pPr>
      <w:numPr>
        <w:ilvl w:val="2"/>
        <w:numId w:val="5"/>
      </w:numPr>
      <w:spacing w:before="90"/>
    </w:pPr>
  </w:style>
  <w:style w:type="paragraph" w:styleId="BalloonText">
    <w:name w:val="Balloon Text"/>
    <w:basedOn w:val="Normal"/>
    <w:link w:val="BalloonTextChar"/>
    <w:semiHidden/>
    <w:unhideWhenUsed/>
    <w:rsid w:val="000569D8"/>
    <w:rPr>
      <w:rFonts w:ascii="Tahoma" w:hAnsi="Tahoma" w:cs="Tahoma"/>
      <w:sz w:val="16"/>
      <w:szCs w:val="16"/>
    </w:rPr>
  </w:style>
  <w:style w:type="character" w:customStyle="1" w:styleId="BalloonTextChar">
    <w:name w:val="Balloon Text Char"/>
    <w:basedOn w:val="DefaultParagraphFont"/>
    <w:link w:val="BalloonText"/>
    <w:semiHidden/>
    <w:rsid w:val="000569D8"/>
    <w:rPr>
      <w:rFonts w:ascii="Tahoma" w:hAnsi="Tahoma" w:cs="Tahoma"/>
      <w:sz w:val="16"/>
      <w:szCs w:val="16"/>
      <w:lang w:eastAsia="en-GB"/>
    </w:rPr>
  </w:style>
  <w:style w:type="character" w:styleId="CommentReference">
    <w:name w:val="annotation reference"/>
    <w:basedOn w:val="DefaultParagraphFont"/>
    <w:uiPriority w:val="99"/>
    <w:semiHidden/>
    <w:unhideWhenUsed/>
    <w:rsid w:val="002469F7"/>
    <w:rPr>
      <w:sz w:val="16"/>
      <w:szCs w:val="16"/>
    </w:rPr>
  </w:style>
  <w:style w:type="paragraph" w:styleId="CommentSubject">
    <w:name w:val="annotation subject"/>
    <w:basedOn w:val="Normal"/>
    <w:next w:val="Normal"/>
    <w:link w:val="CommentSubjectChar"/>
    <w:uiPriority w:val="99"/>
    <w:semiHidden/>
    <w:unhideWhenUsed/>
    <w:rsid w:val="00BC370C"/>
    <w:rPr>
      <w:b/>
      <w:bCs/>
      <w:sz w:val="20"/>
    </w:rPr>
  </w:style>
  <w:style w:type="character" w:customStyle="1" w:styleId="CommentSubjectChar">
    <w:name w:val="Comment Subject Char"/>
    <w:basedOn w:val="DefaultParagraphFont"/>
    <w:link w:val="CommentSubject"/>
    <w:uiPriority w:val="99"/>
    <w:semiHidden/>
    <w:rsid w:val="00BC370C"/>
    <w:rPr>
      <w:rFonts w:ascii="Segoe UI" w:hAnsi="Segoe UI"/>
      <w:b/>
      <w:bCs/>
      <w:lang w:eastAsia="en-GB"/>
    </w:rPr>
  </w:style>
  <w:style w:type="paragraph" w:styleId="ListParagraph">
    <w:name w:val="List Paragraph"/>
    <w:basedOn w:val="Normal"/>
    <w:uiPriority w:val="34"/>
    <w:qFormat/>
    <w:rsid w:val="00D42589"/>
    <w:pPr>
      <w:ind w:left="720"/>
      <w:contextualSpacing/>
    </w:pPr>
  </w:style>
  <w:style w:type="paragraph" w:styleId="CommentText">
    <w:name w:val="annotation text"/>
    <w:basedOn w:val="Normal"/>
    <w:link w:val="CommentTextChar"/>
    <w:uiPriority w:val="99"/>
    <w:unhideWhenUsed/>
    <w:rsid w:val="004B49A6"/>
    <w:rPr>
      <w:sz w:val="20"/>
    </w:rPr>
  </w:style>
  <w:style w:type="character" w:customStyle="1" w:styleId="CommentTextChar">
    <w:name w:val="Comment Text Char"/>
    <w:basedOn w:val="DefaultParagraphFont"/>
    <w:link w:val="CommentText"/>
    <w:uiPriority w:val="99"/>
    <w:rsid w:val="004B49A6"/>
    <w:rPr>
      <w:rFonts w:ascii="Segoe UI" w:hAnsi="Segoe UI"/>
      <w:lang w:eastAsia="en-GB"/>
    </w:rPr>
  </w:style>
  <w:style w:type="paragraph" w:styleId="ListBullet">
    <w:name w:val="List Bullet"/>
    <w:basedOn w:val="Normal"/>
    <w:uiPriority w:val="99"/>
    <w:unhideWhenUsed/>
    <w:rsid w:val="007F09B1"/>
    <w:pPr>
      <w:numPr>
        <w:numId w:val="6"/>
      </w:numPr>
      <w:contextualSpacing/>
    </w:pPr>
  </w:style>
  <w:style w:type="character" w:customStyle="1" w:styleId="UnresolvedMention1">
    <w:name w:val="Unresolved Mention1"/>
    <w:basedOn w:val="DefaultParagraphFont"/>
    <w:uiPriority w:val="99"/>
    <w:semiHidden/>
    <w:unhideWhenUsed/>
    <w:rsid w:val="009A1278"/>
    <w:rPr>
      <w:color w:val="605E5C"/>
      <w:shd w:val="clear" w:color="auto" w:fill="E1DFDD"/>
    </w:rPr>
  </w:style>
  <w:style w:type="character" w:styleId="UnresolvedMention">
    <w:name w:val="Unresolved Mention"/>
    <w:basedOn w:val="DefaultParagraphFont"/>
    <w:uiPriority w:val="99"/>
    <w:semiHidden/>
    <w:unhideWhenUsed/>
    <w:rsid w:val="0086301C"/>
    <w:rPr>
      <w:color w:val="605E5C"/>
      <w:shd w:val="clear" w:color="auto" w:fill="E1DFDD"/>
    </w:rPr>
  </w:style>
  <w:style w:type="character" w:customStyle="1" w:styleId="BulletChar">
    <w:name w:val="Bullet Char"/>
    <w:link w:val="Bullet"/>
    <w:locked/>
    <w:rsid w:val="006C69BF"/>
    <w:rPr>
      <w:rFonts w:ascii="Segoe UI" w:hAnsi="Segoe UI"/>
      <w:sz w:val="21"/>
      <w:lang w:eastAsia="en-GB"/>
    </w:rPr>
  </w:style>
  <w:style w:type="paragraph" w:styleId="Caption">
    <w:name w:val="caption"/>
    <w:basedOn w:val="Normal"/>
    <w:next w:val="Normal"/>
    <w:uiPriority w:val="35"/>
    <w:unhideWhenUsed/>
    <w:qFormat/>
    <w:rsid w:val="00F94B71"/>
    <w:pPr>
      <w:spacing w:after="200"/>
    </w:pPr>
    <w:rPr>
      <w:i/>
      <w:iCs/>
      <w:color w:val="1F497D" w:themeColor="text2"/>
      <w:sz w:val="18"/>
      <w:szCs w:val="18"/>
    </w:rPr>
  </w:style>
  <w:style w:type="paragraph" w:styleId="Subtitle">
    <w:name w:val="Subtitle"/>
    <w:basedOn w:val="Normal"/>
    <w:next w:val="Normal"/>
    <w:link w:val="SubtitleChar"/>
    <w:uiPriority w:val="11"/>
    <w:qFormat/>
    <w:rsid w:val="009B678A"/>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uiPriority w:val="11"/>
    <w:rsid w:val="009B678A"/>
    <w:rPr>
      <w:rFonts w:asciiTheme="minorHAnsi" w:eastAsiaTheme="minorEastAsia" w:hAnsiTheme="minorHAnsi" w:cstheme="minorBidi"/>
      <w:color w:val="5A5A5A" w:themeColor="text1" w:themeTint="A5"/>
      <w:spacing w:val="15"/>
      <w:sz w:val="22"/>
      <w:szCs w:val="22"/>
      <w:lang w:eastAsia="en-US"/>
    </w:rPr>
  </w:style>
  <w:style w:type="character" w:customStyle="1" w:styleId="A4">
    <w:name w:val="A4"/>
    <w:uiPriority w:val="99"/>
    <w:rsid w:val="00F7224B"/>
    <w:rPr>
      <w:rFonts w:cs="DINPro-Light"/>
      <w:color w:val="000000"/>
      <w:sz w:val="14"/>
      <w:szCs w:val="14"/>
    </w:rPr>
  </w:style>
  <w:style w:type="paragraph" w:customStyle="1" w:styleId="Default">
    <w:name w:val="Default"/>
    <w:rsid w:val="00F7224B"/>
    <w:pPr>
      <w:autoSpaceDE w:val="0"/>
      <w:autoSpaceDN w:val="0"/>
      <w:adjustRightInd w:val="0"/>
    </w:pPr>
    <w:rPr>
      <w:rFonts w:ascii="Arial" w:eastAsia="Calibri" w:hAnsi="Arial" w:cs="Arial"/>
      <w:color w:val="000000"/>
      <w:sz w:val="24"/>
      <w:szCs w:val="24"/>
      <w:lang w:eastAsia="en-US"/>
    </w:rPr>
  </w:style>
  <w:style w:type="character" w:customStyle="1" w:styleId="slug-vol">
    <w:name w:val="slug-vol"/>
    <w:rsid w:val="00F7224B"/>
    <w:rPr>
      <w:b/>
      <w:bCs/>
    </w:rPr>
  </w:style>
  <w:style w:type="character" w:customStyle="1" w:styleId="cit-sep1">
    <w:name w:val="cit-sep1"/>
    <w:rsid w:val="00F7224B"/>
    <w:rPr>
      <w:b w:val="0"/>
      <w:bCs w:val="0"/>
    </w:rPr>
  </w:style>
  <w:style w:type="character" w:customStyle="1" w:styleId="slug-pub-date3">
    <w:name w:val="slug-pub-date3"/>
    <w:rsid w:val="00F7224B"/>
    <w:rPr>
      <w:b w:val="0"/>
      <w:bCs w:val="0"/>
    </w:rPr>
  </w:style>
  <w:style w:type="character" w:customStyle="1" w:styleId="slug-elocation">
    <w:name w:val="slug-elocation"/>
    <w:rsid w:val="00F7224B"/>
  </w:style>
  <w:style w:type="character" w:customStyle="1" w:styleId="slug-doi2">
    <w:name w:val="slug-doi2"/>
    <w:rsid w:val="00F7224B"/>
  </w:style>
  <w:style w:type="paragraph" w:styleId="TableofFigures">
    <w:name w:val="table of figures"/>
    <w:basedOn w:val="Normal"/>
    <w:next w:val="Normal"/>
    <w:uiPriority w:val="99"/>
    <w:unhideWhenUsed/>
    <w:rsid w:val="002663EF"/>
  </w:style>
  <w:style w:type="paragraph" w:customStyle="1" w:styleId="AlphaParagraph">
    <w:name w:val="Alpha Paragraph"/>
    <w:basedOn w:val="ListParagraph"/>
    <w:qFormat/>
    <w:rsid w:val="00A43359"/>
    <w:pPr>
      <w:numPr>
        <w:numId w:val="41"/>
      </w:numPr>
      <w:spacing w:before="80" w:after="80"/>
      <w:ind w:left="426" w:hanging="426"/>
      <w:contextualSpacing w:val="0"/>
    </w:pPr>
    <w:rPr>
      <w:rFonts w:eastAsiaTheme="minorHAnsi" w:cstheme="minorBidi"/>
      <w:szCs w:val="22"/>
      <w:lang w:eastAsia="en-US"/>
    </w:rPr>
  </w:style>
  <w:style w:type="paragraph" w:customStyle="1" w:styleId="TableHeading">
    <w:name w:val="Table Heading"/>
    <w:basedOn w:val="Normal"/>
    <w:qFormat/>
    <w:rsid w:val="00A43359"/>
    <w:rPr>
      <w:rFonts w:eastAsiaTheme="minorHAnsi" w:cstheme="minorBidi"/>
      <w:b/>
      <w:szCs w:val="24"/>
      <w:lang w:eastAsia="en-US"/>
    </w:rPr>
  </w:style>
  <w:style w:type="paragraph" w:customStyle="1" w:styleId="TableBullet0">
    <w:name w:val="Table Bullet"/>
    <w:basedOn w:val="ListParagraph"/>
    <w:qFormat/>
    <w:rsid w:val="00A43359"/>
    <w:pPr>
      <w:numPr>
        <w:numId w:val="44"/>
      </w:numPr>
      <w:spacing w:before="80" w:after="80"/>
      <w:ind w:left="270" w:hanging="284"/>
      <w:contextualSpacing w:val="0"/>
    </w:pPr>
    <w:rPr>
      <w:rFonts w:eastAsiaTheme="minorHAnsi" w:cstheme="minorBidi"/>
      <w:szCs w:val="22"/>
      <w:lang w:eastAsia="en-US"/>
    </w:rPr>
  </w:style>
  <w:style w:type="paragraph" w:customStyle="1" w:styleId="TableText0">
    <w:name w:val="Table Text"/>
    <w:basedOn w:val="TableBullet0"/>
    <w:qFormat/>
    <w:rsid w:val="00A43359"/>
    <w:pPr>
      <w:numPr>
        <w:numId w:val="0"/>
      </w:numPr>
      <w:ind w:left="-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5388">
      <w:bodyDiv w:val="1"/>
      <w:marLeft w:val="0"/>
      <w:marRight w:val="0"/>
      <w:marTop w:val="0"/>
      <w:marBottom w:val="0"/>
      <w:divBdr>
        <w:top w:val="none" w:sz="0" w:space="0" w:color="auto"/>
        <w:left w:val="none" w:sz="0" w:space="0" w:color="auto"/>
        <w:bottom w:val="none" w:sz="0" w:space="0" w:color="auto"/>
        <w:right w:val="none" w:sz="0" w:space="0" w:color="auto"/>
      </w:divBdr>
    </w:div>
    <w:div w:id="56125391">
      <w:bodyDiv w:val="1"/>
      <w:marLeft w:val="0"/>
      <w:marRight w:val="0"/>
      <w:marTop w:val="0"/>
      <w:marBottom w:val="0"/>
      <w:divBdr>
        <w:top w:val="none" w:sz="0" w:space="0" w:color="auto"/>
        <w:left w:val="none" w:sz="0" w:space="0" w:color="auto"/>
        <w:bottom w:val="none" w:sz="0" w:space="0" w:color="auto"/>
        <w:right w:val="none" w:sz="0" w:space="0" w:color="auto"/>
      </w:divBdr>
    </w:div>
    <w:div w:id="154299558">
      <w:bodyDiv w:val="1"/>
      <w:marLeft w:val="0"/>
      <w:marRight w:val="0"/>
      <w:marTop w:val="0"/>
      <w:marBottom w:val="0"/>
      <w:divBdr>
        <w:top w:val="none" w:sz="0" w:space="0" w:color="auto"/>
        <w:left w:val="none" w:sz="0" w:space="0" w:color="auto"/>
        <w:bottom w:val="none" w:sz="0" w:space="0" w:color="auto"/>
        <w:right w:val="none" w:sz="0" w:space="0" w:color="auto"/>
      </w:divBdr>
    </w:div>
    <w:div w:id="195195411">
      <w:bodyDiv w:val="1"/>
      <w:marLeft w:val="0"/>
      <w:marRight w:val="0"/>
      <w:marTop w:val="0"/>
      <w:marBottom w:val="0"/>
      <w:divBdr>
        <w:top w:val="none" w:sz="0" w:space="0" w:color="auto"/>
        <w:left w:val="none" w:sz="0" w:space="0" w:color="auto"/>
        <w:bottom w:val="none" w:sz="0" w:space="0" w:color="auto"/>
        <w:right w:val="none" w:sz="0" w:space="0" w:color="auto"/>
      </w:divBdr>
    </w:div>
    <w:div w:id="204953035">
      <w:bodyDiv w:val="1"/>
      <w:marLeft w:val="0"/>
      <w:marRight w:val="0"/>
      <w:marTop w:val="0"/>
      <w:marBottom w:val="0"/>
      <w:divBdr>
        <w:top w:val="none" w:sz="0" w:space="0" w:color="auto"/>
        <w:left w:val="none" w:sz="0" w:space="0" w:color="auto"/>
        <w:bottom w:val="none" w:sz="0" w:space="0" w:color="auto"/>
        <w:right w:val="none" w:sz="0" w:space="0" w:color="auto"/>
      </w:divBdr>
    </w:div>
    <w:div w:id="738749606">
      <w:bodyDiv w:val="1"/>
      <w:marLeft w:val="0"/>
      <w:marRight w:val="0"/>
      <w:marTop w:val="0"/>
      <w:marBottom w:val="0"/>
      <w:divBdr>
        <w:top w:val="none" w:sz="0" w:space="0" w:color="auto"/>
        <w:left w:val="none" w:sz="0" w:space="0" w:color="auto"/>
        <w:bottom w:val="none" w:sz="0" w:space="0" w:color="auto"/>
        <w:right w:val="none" w:sz="0" w:space="0" w:color="auto"/>
      </w:divBdr>
    </w:div>
    <w:div w:id="885214683">
      <w:bodyDiv w:val="1"/>
      <w:marLeft w:val="0"/>
      <w:marRight w:val="0"/>
      <w:marTop w:val="0"/>
      <w:marBottom w:val="0"/>
      <w:divBdr>
        <w:top w:val="none" w:sz="0" w:space="0" w:color="auto"/>
        <w:left w:val="none" w:sz="0" w:space="0" w:color="auto"/>
        <w:bottom w:val="none" w:sz="0" w:space="0" w:color="auto"/>
        <w:right w:val="none" w:sz="0" w:space="0" w:color="auto"/>
      </w:divBdr>
    </w:div>
    <w:div w:id="1174611100">
      <w:bodyDiv w:val="1"/>
      <w:marLeft w:val="0"/>
      <w:marRight w:val="0"/>
      <w:marTop w:val="0"/>
      <w:marBottom w:val="0"/>
      <w:divBdr>
        <w:top w:val="none" w:sz="0" w:space="0" w:color="auto"/>
        <w:left w:val="none" w:sz="0" w:space="0" w:color="auto"/>
        <w:bottom w:val="none" w:sz="0" w:space="0" w:color="auto"/>
        <w:right w:val="none" w:sz="0" w:space="0" w:color="auto"/>
      </w:divBdr>
    </w:div>
    <w:div w:id="1546407142">
      <w:bodyDiv w:val="1"/>
      <w:marLeft w:val="0"/>
      <w:marRight w:val="0"/>
      <w:marTop w:val="0"/>
      <w:marBottom w:val="0"/>
      <w:divBdr>
        <w:top w:val="none" w:sz="0" w:space="0" w:color="auto"/>
        <w:left w:val="none" w:sz="0" w:space="0" w:color="auto"/>
        <w:bottom w:val="none" w:sz="0" w:space="0" w:color="auto"/>
        <w:right w:val="none" w:sz="0" w:space="0" w:color="auto"/>
      </w:divBdr>
    </w:div>
    <w:div w:id="1597783807">
      <w:bodyDiv w:val="1"/>
      <w:marLeft w:val="0"/>
      <w:marRight w:val="0"/>
      <w:marTop w:val="0"/>
      <w:marBottom w:val="0"/>
      <w:divBdr>
        <w:top w:val="none" w:sz="0" w:space="0" w:color="auto"/>
        <w:left w:val="none" w:sz="0" w:space="0" w:color="auto"/>
        <w:bottom w:val="none" w:sz="0" w:space="0" w:color="auto"/>
        <w:right w:val="none" w:sz="0" w:space="0" w:color="auto"/>
      </w:divBdr>
    </w:div>
    <w:div w:id="1625307881">
      <w:bodyDiv w:val="1"/>
      <w:marLeft w:val="0"/>
      <w:marRight w:val="0"/>
      <w:marTop w:val="0"/>
      <w:marBottom w:val="0"/>
      <w:divBdr>
        <w:top w:val="none" w:sz="0" w:space="0" w:color="auto"/>
        <w:left w:val="none" w:sz="0" w:space="0" w:color="auto"/>
        <w:bottom w:val="none" w:sz="0" w:space="0" w:color="auto"/>
        <w:right w:val="none" w:sz="0" w:space="0" w:color="auto"/>
      </w:divBdr>
    </w:div>
    <w:div w:id="1690985585">
      <w:bodyDiv w:val="1"/>
      <w:marLeft w:val="0"/>
      <w:marRight w:val="0"/>
      <w:marTop w:val="0"/>
      <w:marBottom w:val="0"/>
      <w:divBdr>
        <w:top w:val="none" w:sz="0" w:space="0" w:color="auto"/>
        <w:left w:val="none" w:sz="0" w:space="0" w:color="auto"/>
        <w:bottom w:val="none" w:sz="0" w:space="0" w:color="auto"/>
        <w:right w:val="none" w:sz="0" w:space="0" w:color="auto"/>
      </w:divBdr>
    </w:div>
    <w:div w:id="1972007479">
      <w:bodyDiv w:val="1"/>
      <w:marLeft w:val="0"/>
      <w:marRight w:val="0"/>
      <w:marTop w:val="0"/>
      <w:marBottom w:val="0"/>
      <w:divBdr>
        <w:top w:val="none" w:sz="0" w:space="0" w:color="auto"/>
        <w:left w:val="none" w:sz="0" w:space="0" w:color="auto"/>
        <w:bottom w:val="none" w:sz="0" w:space="0" w:color="auto"/>
        <w:right w:val="none" w:sz="0" w:space="0" w:color="auto"/>
      </w:divBdr>
    </w:div>
    <w:div w:id="210784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hyperlink" Target="https://dontchoke.ubc.ca" TargetMode="External"/><Relationship Id="rId3" Type="http://schemas.openxmlformats.org/officeDocument/2006/relationships/customXml" Target="../customXml/item3.xml"/><Relationship Id="rId21" Type="http://schemas.openxmlformats.org/officeDocument/2006/relationships/hyperlink" Target="file:///C:\Users\grwise\AppData\Local\Microsoft\Windows\INetCache\Content.Outlook\LMHBV0UD\www.health.govt.nz\food-related-choking"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health.govt.nz/your-health/healthy-living/food-activity-and-sleep/healthy-eating/food-related-choking-young-childre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yperlink" Target="https://doi.org/10.1016/j.ijporl.2012.02.00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yperlink" Target="https://www.healthed.govt.nz/resource/eating-healthy-babies-and-toddlersng%C4%81-kai-t%C5%8Dtika-m%C5%8D-te-hunga-k%C5%8Dhungahunga" TargetMode="External"/><Relationship Id="rId28" Type="http://schemas.openxmlformats.org/officeDocument/2006/relationships/hyperlink" Target="https://doi.org/10.1016/j.ijporl.2017.04.029" TargetMode="Externa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health.govt.nz" TargetMode="External"/><Relationship Id="rId27" Type="http://schemas.openxmlformats.org/officeDocument/2006/relationships/hyperlink" Target="http://ftp.iddsi.org/Documents/FAQ_When_to_change_from_child_to_adult_L5_and_L6_p1_consumer_handout_30Jan2019.jpg" TargetMode="External"/><Relationship Id="rId30" Type="http://schemas.openxmlformats.org/officeDocument/2006/relationships/footer" Target="footer7.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BA77D7CF804044887C9E6FB5E413B1" ma:contentTypeVersion="12" ma:contentTypeDescription="Create a new document." ma:contentTypeScope="" ma:versionID="3475589ce312dceec1d5b977e8ce9af0">
  <xsd:schema xmlns:xsd="http://www.w3.org/2001/XMLSchema" xmlns:xs="http://www.w3.org/2001/XMLSchema" xmlns:p="http://schemas.microsoft.com/office/2006/metadata/properties" xmlns:ns3="912cedb3-7f04-47c0-a283-ea387d34e08f" xmlns:ns4="0f0bb6d3-c6e2-424a-aae7-13be560512f7" targetNamespace="http://schemas.microsoft.com/office/2006/metadata/properties" ma:root="true" ma:fieldsID="49dc280064b073c6c46617fa58e998ce" ns3:_="" ns4:_="">
    <xsd:import namespace="912cedb3-7f04-47c0-a283-ea387d34e08f"/>
    <xsd:import namespace="0f0bb6d3-c6e2-424a-aae7-13be560512f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cedb3-7f04-47c0-a283-ea387d34e0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0bb6d3-c6e2-424a-aae7-13be560512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ABA55-62B7-4C9E-B207-73E9C45D98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8B5F87-B1D0-4830-9696-8E50D0399288}">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7B663350-CFDC-4374-8FDB-D5988655307F}">
  <ds:schemaRefs>
    <ds:schemaRef ds:uri="http://schemas.microsoft.com/sharepoint/v3/contenttype/forms"/>
  </ds:schemaRefs>
</ds:datastoreItem>
</file>

<file path=customXml/itemProps4.xml><?xml version="1.0" encoding="utf-8"?>
<ds:datastoreItem xmlns:ds="http://schemas.openxmlformats.org/officeDocument/2006/customXml" ds:itemID="{7DD70C74-820E-414D-8654-AF4903973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cedb3-7f04-47c0-a283-ea387d34e08f"/>
    <ds:schemaRef ds:uri="0f0bb6d3-c6e2-424a-aae7-13be560512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1AE978C-0130-456C-9221-2B35BAB43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16</TotalTime>
  <Pages>11</Pages>
  <Words>1827</Words>
  <Characters>10418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Code of practice for industrial radiography: draft for consultation</vt:lpstr>
    </vt:vector>
  </TitlesOfParts>
  <Company>Microsoft</Company>
  <LinksUpToDate>false</LinksUpToDate>
  <CharactersWithSpaces>12221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Reducing food-related choking for babies and young children at early learning services</dc:title>
  <dc:creator>Ministry of Health</dc:creator>
  <cp:lastModifiedBy>Anna Jackson</cp:lastModifiedBy>
  <cp:revision>10</cp:revision>
  <cp:lastPrinted>2020-11-19T00:45:00Z</cp:lastPrinted>
  <dcterms:created xsi:type="dcterms:W3CDTF">2021-04-05T22:24:00Z</dcterms:created>
  <dcterms:modified xsi:type="dcterms:W3CDTF">2021-04-05T22:37:00Z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0d67cb6f-adab-4b26-9a6d-f7cc3ceb9c88</vt:lpwstr>
  </property>
  <property fmtid="{D5CDD505-2E9C-101B-9397-08002B2CF9AE}" pid="3" name="bjSaver">
    <vt:lpwstr>krTTd/tCey+WOl9ytoYuTtzpNMvhn08I</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uid="9920fcc9-9f43-4d43-9e3e-b98a219cfd55" value="" /&gt;&lt;/sisl&gt;</vt:lpwstr>
  </property>
  <property fmtid="{D5CDD505-2E9C-101B-9397-08002B2CF9AE}" pid="6" name="bjDocumentSecurityLabel">
    <vt:lpwstr>Not Classified</vt:lpwstr>
  </property>
  <property fmtid="{D5CDD505-2E9C-101B-9397-08002B2CF9AE}" pid="7" name="_NewReviewCycle">
    <vt:lpwstr/>
  </property>
  <property fmtid="{D5CDD505-2E9C-101B-9397-08002B2CF9AE}" pid="8" name="ContentTypeId">
    <vt:lpwstr>0x0101003ABA77D7CF804044887C9E6FB5E413B1</vt:lpwstr>
  </property>
</Properties>
</file>