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48A2" w14:textId="77777777" w:rsidR="00C86248" w:rsidRDefault="002C2DC0" w:rsidP="00C756D3">
      <w:pPr>
        <w:pStyle w:val="Title"/>
        <w:ind w:right="2268"/>
      </w:pPr>
      <w:bookmarkStart w:id="0" w:name="_GoBack"/>
      <w:bookmarkEnd w:id="0"/>
      <w:r>
        <w:t xml:space="preserve">District Health Board </w:t>
      </w:r>
      <w:r w:rsidR="00C756D3">
        <w:t xml:space="preserve">Sector </w:t>
      </w:r>
      <w:r>
        <w:t>Asset</w:t>
      </w:r>
      <w:r w:rsidR="00C756D3">
        <w:t> </w:t>
      </w:r>
      <w:r>
        <w:t>Management Framework</w:t>
      </w:r>
    </w:p>
    <w:p w14:paraId="0DED4DF0" w14:textId="77777777" w:rsidR="00D27922" w:rsidRDefault="002C2DC0" w:rsidP="00D27922">
      <w:pPr>
        <w:pStyle w:val="Subhead"/>
      </w:pPr>
      <w:r>
        <w:t>Policy</w:t>
      </w:r>
    </w:p>
    <w:p w14:paraId="63D3B6EB" w14:textId="77777777" w:rsidR="00D27922" w:rsidRPr="00D27922" w:rsidRDefault="002C2DC0" w:rsidP="00D27922">
      <w:pPr>
        <w:pStyle w:val="Year"/>
      </w:pPr>
      <w:r>
        <w:t>November 2020</w:t>
      </w:r>
    </w:p>
    <w:p w14:paraId="4C1D4131" w14:textId="77777777" w:rsidR="00C05132" w:rsidRDefault="00C05132" w:rsidP="00A06BE4"/>
    <w:p w14:paraId="195ADD41"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4DE6C208"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2C2DC0">
        <w:rPr>
          <w:rFonts w:cs="Segoe UI"/>
        </w:rPr>
        <w:t>2020</w:t>
      </w:r>
      <w:r w:rsidR="00442C1C" w:rsidRPr="00C05132">
        <w:rPr>
          <w:rFonts w:cs="Segoe UI"/>
        </w:rPr>
        <w:t xml:space="preserve">. </w:t>
      </w:r>
      <w:r w:rsidR="002C2DC0">
        <w:rPr>
          <w:rFonts w:cs="Segoe UI"/>
          <w:i/>
        </w:rPr>
        <w:t xml:space="preserve">District Health Board </w:t>
      </w:r>
      <w:r w:rsidR="00C756D3">
        <w:rPr>
          <w:rFonts w:cs="Segoe UI"/>
          <w:i/>
        </w:rPr>
        <w:t xml:space="preserve">Sector </w:t>
      </w:r>
      <w:r w:rsidR="002C2DC0">
        <w:rPr>
          <w:rFonts w:cs="Segoe UI"/>
          <w:i/>
        </w:rPr>
        <w:t xml:space="preserve">Asset Management </w:t>
      </w:r>
      <w:r w:rsidR="00D162CB">
        <w:rPr>
          <w:rFonts w:cs="Segoe UI"/>
          <w:i/>
        </w:rPr>
        <w:t>Framework</w:t>
      </w:r>
      <w:r w:rsidR="002C2DC0">
        <w:rPr>
          <w:rFonts w:cs="Segoe UI"/>
          <w:i/>
        </w:rPr>
        <w:t xml:space="preserve">: </w:t>
      </w:r>
      <w:r w:rsidR="002C2DC0" w:rsidRPr="002C2DC0">
        <w:rPr>
          <w:rFonts w:cs="Segoe UI"/>
          <w:i/>
        </w:rPr>
        <w:t>Policy</w:t>
      </w:r>
      <w:r w:rsidR="002C2DC0">
        <w:rPr>
          <w:rFonts w:cs="Segoe UI"/>
        </w:rPr>
        <w:t xml:space="preserve">. </w:t>
      </w:r>
      <w:r w:rsidR="00442C1C" w:rsidRPr="002C2DC0">
        <w:rPr>
          <w:rFonts w:cs="Segoe UI"/>
        </w:rPr>
        <w:t>Wellington</w:t>
      </w:r>
      <w:r w:rsidR="00442C1C" w:rsidRPr="00C05132">
        <w:rPr>
          <w:rFonts w:cs="Segoe UI"/>
        </w:rPr>
        <w:t>: Ministry of Health.</w:t>
      </w:r>
    </w:p>
    <w:p w14:paraId="28AE8852" w14:textId="77777777" w:rsidR="00C86248" w:rsidRDefault="00C86248">
      <w:pPr>
        <w:pStyle w:val="Imprint"/>
      </w:pPr>
      <w:r>
        <w:t xml:space="preserve">Published in </w:t>
      </w:r>
      <w:r w:rsidR="002C2DC0">
        <w:t xml:space="preserve">November </w:t>
      </w:r>
      <w:r w:rsidR="003235C6">
        <w:t>20</w:t>
      </w:r>
      <w:r w:rsidR="00FB0A5B">
        <w:t>20</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4AB07C58" w14:textId="77777777" w:rsidR="00082CD6" w:rsidRPr="009C0F2D" w:rsidRDefault="002C2DC0" w:rsidP="00082CD6">
      <w:pPr>
        <w:pStyle w:val="Imprint"/>
      </w:pPr>
      <w:r>
        <w:t xml:space="preserve">ISBN </w:t>
      </w:r>
      <w:r w:rsidR="00C141FE" w:rsidRPr="00C141FE">
        <w:t>978-1-99-002957-8</w:t>
      </w:r>
      <w:r w:rsidR="00C141FE">
        <w:t xml:space="preserve"> </w:t>
      </w:r>
      <w:r>
        <w:t>(online)</w:t>
      </w:r>
      <w:r w:rsidR="00082CD6">
        <w:br/>
      </w:r>
      <w:r w:rsidR="00082CD6" w:rsidRPr="009C0F2D">
        <w:t xml:space="preserve">HP </w:t>
      </w:r>
      <w:r w:rsidR="00C141FE">
        <w:t>7503</w:t>
      </w:r>
    </w:p>
    <w:p w14:paraId="6F9F0B8A" w14:textId="77777777" w:rsidR="00C86248" w:rsidRDefault="008C64C4" w:rsidP="00D27922">
      <w:pPr>
        <w:spacing w:before="360"/>
      </w:pPr>
      <w:r>
        <w:rPr>
          <w:noProof/>
          <w:lang w:eastAsia="en-NZ"/>
        </w:rPr>
        <w:drawing>
          <wp:inline distT="0" distB="0" distL="0" distR="0" wp14:anchorId="579FCA4C" wp14:editId="2820ABF7">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438AA997" w14:textId="77777777" w:rsidR="00A63DFF" w:rsidRDefault="00A63DFF" w:rsidP="00A63DFF">
      <w:pPr>
        <w:pStyle w:val="Imprint"/>
        <w:spacing w:before="240" w:after="480"/>
      </w:pPr>
      <w:r>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A63DFF" w14:paraId="2E8E8E09" w14:textId="77777777" w:rsidTr="00A63DFF">
        <w:trPr>
          <w:cantSplit/>
        </w:trPr>
        <w:tc>
          <w:tcPr>
            <w:tcW w:w="1526" w:type="dxa"/>
          </w:tcPr>
          <w:p w14:paraId="3998D475"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0871E652" wp14:editId="149D852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371B54BC"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2DEBABAA" w14:textId="77777777" w:rsidR="007E74F1" w:rsidRPr="001F45A7" w:rsidRDefault="007E74F1" w:rsidP="006E2886">
      <w:pPr>
        <w:pStyle w:val="Imprint"/>
      </w:pPr>
    </w:p>
    <w:p w14:paraId="45255BAB" w14:textId="77777777" w:rsidR="00C86248" w:rsidRDefault="00C86248">
      <w:pPr>
        <w:jc w:val="center"/>
        <w:sectPr w:rsidR="00C86248" w:rsidSect="00925892">
          <w:footerReference w:type="even" r:id="rId15"/>
          <w:footerReference w:type="default" r:id="rId16"/>
          <w:pgSz w:w="11907" w:h="16834" w:code="9"/>
          <w:pgMar w:top="1701" w:right="2268" w:bottom="1134" w:left="2268" w:header="0" w:footer="0" w:gutter="0"/>
          <w:cols w:space="720"/>
          <w:vAlign w:val="bottom"/>
        </w:sectPr>
      </w:pPr>
    </w:p>
    <w:p w14:paraId="453A90D4" w14:textId="77777777" w:rsidR="00C86248" w:rsidRDefault="00C86248" w:rsidP="00025A6F">
      <w:pPr>
        <w:pStyle w:val="IntroHead"/>
      </w:pPr>
      <w:bookmarkStart w:id="1" w:name="_Toc405792991"/>
      <w:bookmarkStart w:id="2" w:name="_Toc405793224"/>
      <w:r>
        <w:lastRenderedPageBreak/>
        <w:t>Contents</w:t>
      </w:r>
      <w:bookmarkEnd w:id="1"/>
      <w:bookmarkEnd w:id="2"/>
    </w:p>
    <w:p w14:paraId="72D2E975" w14:textId="3EB9FF5E" w:rsidR="00A41AE2" w:rsidRDefault="00A41AE2">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54353504" w:history="1">
        <w:r w:rsidRPr="00BA50BF">
          <w:rPr>
            <w:rStyle w:val="Hyperlink"/>
            <w:noProof/>
          </w:rPr>
          <w:t>Overview</w:t>
        </w:r>
        <w:r>
          <w:rPr>
            <w:noProof/>
            <w:webHidden/>
          </w:rPr>
          <w:tab/>
        </w:r>
        <w:r>
          <w:rPr>
            <w:noProof/>
            <w:webHidden/>
          </w:rPr>
          <w:fldChar w:fldCharType="begin"/>
        </w:r>
        <w:r>
          <w:rPr>
            <w:noProof/>
            <w:webHidden/>
          </w:rPr>
          <w:instrText xml:space="preserve"> PAGEREF _Toc54353504 \h </w:instrText>
        </w:r>
        <w:r>
          <w:rPr>
            <w:noProof/>
            <w:webHidden/>
          </w:rPr>
        </w:r>
        <w:r>
          <w:rPr>
            <w:noProof/>
            <w:webHidden/>
          </w:rPr>
          <w:fldChar w:fldCharType="separate"/>
        </w:r>
        <w:r w:rsidR="0098771F">
          <w:rPr>
            <w:noProof/>
            <w:webHidden/>
          </w:rPr>
          <w:t>1</w:t>
        </w:r>
        <w:r>
          <w:rPr>
            <w:noProof/>
            <w:webHidden/>
          </w:rPr>
          <w:fldChar w:fldCharType="end"/>
        </w:r>
      </w:hyperlink>
    </w:p>
    <w:p w14:paraId="2053228B" w14:textId="50EFD00A" w:rsidR="00A41AE2" w:rsidRDefault="00321C5D">
      <w:pPr>
        <w:pStyle w:val="TOC1"/>
        <w:rPr>
          <w:rFonts w:asciiTheme="minorHAnsi" w:eastAsiaTheme="minorEastAsia" w:hAnsiTheme="minorHAnsi" w:cstheme="minorBidi"/>
          <w:noProof/>
          <w:sz w:val="22"/>
          <w:szCs w:val="22"/>
          <w:lang w:eastAsia="en-NZ"/>
        </w:rPr>
      </w:pPr>
      <w:hyperlink w:anchor="_Toc54353505" w:history="1">
        <w:r w:rsidR="00A41AE2" w:rsidRPr="00BA50BF">
          <w:rPr>
            <w:rStyle w:val="Hyperlink"/>
            <w:noProof/>
          </w:rPr>
          <w:t>Scope</w:t>
        </w:r>
        <w:r w:rsidR="00A41AE2">
          <w:rPr>
            <w:noProof/>
            <w:webHidden/>
          </w:rPr>
          <w:tab/>
        </w:r>
        <w:r w:rsidR="00A41AE2">
          <w:rPr>
            <w:noProof/>
            <w:webHidden/>
          </w:rPr>
          <w:fldChar w:fldCharType="begin"/>
        </w:r>
        <w:r w:rsidR="00A41AE2">
          <w:rPr>
            <w:noProof/>
            <w:webHidden/>
          </w:rPr>
          <w:instrText xml:space="preserve"> PAGEREF _Toc54353505 \h </w:instrText>
        </w:r>
        <w:r w:rsidR="00A41AE2">
          <w:rPr>
            <w:noProof/>
            <w:webHidden/>
          </w:rPr>
        </w:r>
        <w:r w:rsidR="00A41AE2">
          <w:rPr>
            <w:noProof/>
            <w:webHidden/>
          </w:rPr>
          <w:fldChar w:fldCharType="separate"/>
        </w:r>
        <w:r w:rsidR="0098771F">
          <w:rPr>
            <w:noProof/>
            <w:webHidden/>
          </w:rPr>
          <w:t>2</w:t>
        </w:r>
        <w:r w:rsidR="00A41AE2">
          <w:rPr>
            <w:noProof/>
            <w:webHidden/>
          </w:rPr>
          <w:fldChar w:fldCharType="end"/>
        </w:r>
      </w:hyperlink>
    </w:p>
    <w:p w14:paraId="3060FDD9" w14:textId="5CEF0FE4" w:rsidR="00A41AE2" w:rsidRDefault="00321C5D">
      <w:pPr>
        <w:pStyle w:val="TOC1"/>
        <w:rPr>
          <w:rFonts w:asciiTheme="minorHAnsi" w:eastAsiaTheme="minorEastAsia" w:hAnsiTheme="minorHAnsi" w:cstheme="minorBidi"/>
          <w:noProof/>
          <w:sz w:val="22"/>
          <w:szCs w:val="22"/>
          <w:lang w:eastAsia="en-NZ"/>
        </w:rPr>
      </w:pPr>
      <w:hyperlink w:anchor="_Toc54353506" w:history="1">
        <w:r w:rsidR="00A41AE2" w:rsidRPr="00BA50BF">
          <w:rPr>
            <w:rStyle w:val="Hyperlink"/>
            <w:noProof/>
          </w:rPr>
          <w:t>National policy statement</w:t>
        </w:r>
        <w:r w:rsidR="00A41AE2">
          <w:rPr>
            <w:noProof/>
            <w:webHidden/>
          </w:rPr>
          <w:tab/>
        </w:r>
        <w:r w:rsidR="00A41AE2">
          <w:rPr>
            <w:noProof/>
            <w:webHidden/>
          </w:rPr>
          <w:fldChar w:fldCharType="begin"/>
        </w:r>
        <w:r w:rsidR="00A41AE2">
          <w:rPr>
            <w:noProof/>
            <w:webHidden/>
          </w:rPr>
          <w:instrText xml:space="preserve"> PAGEREF _Toc54353506 \h </w:instrText>
        </w:r>
        <w:r w:rsidR="00A41AE2">
          <w:rPr>
            <w:noProof/>
            <w:webHidden/>
          </w:rPr>
        </w:r>
        <w:r w:rsidR="00A41AE2">
          <w:rPr>
            <w:noProof/>
            <w:webHidden/>
          </w:rPr>
          <w:fldChar w:fldCharType="separate"/>
        </w:r>
        <w:r w:rsidR="0098771F">
          <w:rPr>
            <w:noProof/>
            <w:webHidden/>
          </w:rPr>
          <w:t>3</w:t>
        </w:r>
        <w:r w:rsidR="00A41AE2">
          <w:rPr>
            <w:noProof/>
            <w:webHidden/>
          </w:rPr>
          <w:fldChar w:fldCharType="end"/>
        </w:r>
      </w:hyperlink>
    </w:p>
    <w:p w14:paraId="13F72F06" w14:textId="1D7602D6" w:rsidR="00A41AE2" w:rsidRDefault="00321C5D">
      <w:pPr>
        <w:pStyle w:val="TOC2"/>
        <w:rPr>
          <w:rFonts w:asciiTheme="minorHAnsi" w:eastAsiaTheme="minorEastAsia" w:hAnsiTheme="minorHAnsi" w:cstheme="minorBidi"/>
          <w:noProof/>
          <w:sz w:val="22"/>
          <w:szCs w:val="22"/>
          <w:lang w:eastAsia="en-NZ"/>
        </w:rPr>
      </w:pPr>
      <w:hyperlink w:anchor="_Toc54353507" w:history="1">
        <w:r w:rsidR="00A41AE2" w:rsidRPr="00BA50BF">
          <w:rPr>
            <w:rStyle w:val="Hyperlink"/>
            <w:noProof/>
          </w:rPr>
          <w:t>Key national requirements</w:t>
        </w:r>
        <w:r w:rsidR="00A41AE2">
          <w:rPr>
            <w:noProof/>
            <w:webHidden/>
          </w:rPr>
          <w:tab/>
        </w:r>
        <w:r w:rsidR="00A41AE2">
          <w:rPr>
            <w:noProof/>
            <w:webHidden/>
          </w:rPr>
          <w:fldChar w:fldCharType="begin"/>
        </w:r>
        <w:r w:rsidR="00A41AE2">
          <w:rPr>
            <w:noProof/>
            <w:webHidden/>
          </w:rPr>
          <w:instrText xml:space="preserve"> PAGEREF _Toc54353507 \h </w:instrText>
        </w:r>
        <w:r w:rsidR="00A41AE2">
          <w:rPr>
            <w:noProof/>
            <w:webHidden/>
          </w:rPr>
        </w:r>
        <w:r w:rsidR="00A41AE2">
          <w:rPr>
            <w:noProof/>
            <w:webHidden/>
          </w:rPr>
          <w:fldChar w:fldCharType="separate"/>
        </w:r>
        <w:r w:rsidR="0098771F">
          <w:rPr>
            <w:noProof/>
            <w:webHidden/>
          </w:rPr>
          <w:t>3</w:t>
        </w:r>
        <w:r w:rsidR="00A41AE2">
          <w:rPr>
            <w:noProof/>
            <w:webHidden/>
          </w:rPr>
          <w:fldChar w:fldCharType="end"/>
        </w:r>
      </w:hyperlink>
    </w:p>
    <w:p w14:paraId="0CD3ADB5" w14:textId="62D7498D" w:rsidR="00A41AE2" w:rsidRDefault="00321C5D">
      <w:pPr>
        <w:pStyle w:val="TOC1"/>
        <w:rPr>
          <w:rFonts w:asciiTheme="minorHAnsi" w:eastAsiaTheme="minorEastAsia" w:hAnsiTheme="minorHAnsi" w:cstheme="minorBidi"/>
          <w:noProof/>
          <w:sz w:val="22"/>
          <w:szCs w:val="22"/>
          <w:lang w:eastAsia="en-NZ"/>
        </w:rPr>
      </w:pPr>
      <w:hyperlink w:anchor="_Toc54353508" w:history="1">
        <w:r w:rsidR="00A41AE2" w:rsidRPr="00BA50BF">
          <w:rPr>
            <w:rStyle w:val="Hyperlink"/>
            <w:noProof/>
          </w:rPr>
          <w:t>Asset management principles</w:t>
        </w:r>
        <w:r w:rsidR="00A41AE2">
          <w:rPr>
            <w:noProof/>
            <w:webHidden/>
          </w:rPr>
          <w:tab/>
        </w:r>
        <w:r w:rsidR="00A41AE2">
          <w:rPr>
            <w:noProof/>
            <w:webHidden/>
          </w:rPr>
          <w:fldChar w:fldCharType="begin"/>
        </w:r>
        <w:r w:rsidR="00A41AE2">
          <w:rPr>
            <w:noProof/>
            <w:webHidden/>
          </w:rPr>
          <w:instrText xml:space="preserve"> PAGEREF _Toc54353508 \h </w:instrText>
        </w:r>
        <w:r w:rsidR="00A41AE2">
          <w:rPr>
            <w:noProof/>
            <w:webHidden/>
          </w:rPr>
        </w:r>
        <w:r w:rsidR="00A41AE2">
          <w:rPr>
            <w:noProof/>
            <w:webHidden/>
          </w:rPr>
          <w:fldChar w:fldCharType="separate"/>
        </w:r>
        <w:r w:rsidR="0098771F">
          <w:rPr>
            <w:noProof/>
            <w:webHidden/>
          </w:rPr>
          <w:t>5</w:t>
        </w:r>
        <w:r w:rsidR="00A41AE2">
          <w:rPr>
            <w:noProof/>
            <w:webHidden/>
          </w:rPr>
          <w:fldChar w:fldCharType="end"/>
        </w:r>
      </w:hyperlink>
    </w:p>
    <w:p w14:paraId="2FBBB8E5" w14:textId="07D5721D" w:rsidR="00A41AE2" w:rsidRDefault="00321C5D">
      <w:pPr>
        <w:pStyle w:val="TOC2"/>
        <w:rPr>
          <w:rFonts w:asciiTheme="minorHAnsi" w:eastAsiaTheme="minorEastAsia" w:hAnsiTheme="minorHAnsi" w:cstheme="minorBidi"/>
          <w:noProof/>
          <w:sz w:val="22"/>
          <w:szCs w:val="22"/>
          <w:lang w:eastAsia="en-NZ"/>
        </w:rPr>
      </w:pPr>
      <w:hyperlink w:anchor="_Toc54353509" w:history="1">
        <w:r w:rsidR="00A41AE2" w:rsidRPr="00BA50BF">
          <w:rPr>
            <w:rStyle w:val="Hyperlink"/>
            <w:noProof/>
          </w:rPr>
          <w:t>Roles and responsibilities</w:t>
        </w:r>
        <w:r w:rsidR="00A41AE2">
          <w:rPr>
            <w:noProof/>
            <w:webHidden/>
          </w:rPr>
          <w:tab/>
        </w:r>
        <w:r w:rsidR="00A41AE2">
          <w:rPr>
            <w:noProof/>
            <w:webHidden/>
          </w:rPr>
          <w:fldChar w:fldCharType="begin"/>
        </w:r>
        <w:r w:rsidR="00A41AE2">
          <w:rPr>
            <w:noProof/>
            <w:webHidden/>
          </w:rPr>
          <w:instrText xml:space="preserve"> PAGEREF _Toc54353509 \h </w:instrText>
        </w:r>
        <w:r w:rsidR="00A41AE2">
          <w:rPr>
            <w:noProof/>
            <w:webHidden/>
          </w:rPr>
        </w:r>
        <w:r w:rsidR="00A41AE2">
          <w:rPr>
            <w:noProof/>
            <w:webHidden/>
          </w:rPr>
          <w:fldChar w:fldCharType="separate"/>
        </w:r>
        <w:r w:rsidR="0098771F">
          <w:rPr>
            <w:noProof/>
            <w:webHidden/>
          </w:rPr>
          <w:t>6</w:t>
        </w:r>
        <w:r w:rsidR="00A41AE2">
          <w:rPr>
            <w:noProof/>
            <w:webHidden/>
          </w:rPr>
          <w:fldChar w:fldCharType="end"/>
        </w:r>
      </w:hyperlink>
    </w:p>
    <w:p w14:paraId="4FB0EF40" w14:textId="4176A662" w:rsidR="00A41AE2" w:rsidRDefault="00321C5D">
      <w:pPr>
        <w:pStyle w:val="TOC1"/>
        <w:rPr>
          <w:rFonts w:asciiTheme="minorHAnsi" w:eastAsiaTheme="minorEastAsia" w:hAnsiTheme="minorHAnsi" w:cstheme="minorBidi"/>
          <w:noProof/>
          <w:sz w:val="22"/>
          <w:szCs w:val="22"/>
          <w:lang w:eastAsia="en-NZ"/>
        </w:rPr>
      </w:pPr>
      <w:hyperlink w:anchor="_Toc54353510" w:history="1">
        <w:r w:rsidR="00A41AE2" w:rsidRPr="00BA50BF">
          <w:rPr>
            <w:rStyle w:val="Hyperlink"/>
            <w:noProof/>
          </w:rPr>
          <w:t>Review period</w:t>
        </w:r>
        <w:r w:rsidR="00A41AE2">
          <w:rPr>
            <w:noProof/>
            <w:webHidden/>
          </w:rPr>
          <w:tab/>
        </w:r>
        <w:r w:rsidR="00A41AE2">
          <w:rPr>
            <w:noProof/>
            <w:webHidden/>
          </w:rPr>
          <w:fldChar w:fldCharType="begin"/>
        </w:r>
        <w:r w:rsidR="00A41AE2">
          <w:rPr>
            <w:noProof/>
            <w:webHidden/>
          </w:rPr>
          <w:instrText xml:space="preserve"> PAGEREF _Toc54353510 \h </w:instrText>
        </w:r>
        <w:r w:rsidR="00A41AE2">
          <w:rPr>
            <w:noProof/>
            <w:webHidden/>
          </w:rPr>
        </w:r>
        <w:r w:rsidR="00A41AE2">
          <w:rPr>
            <w:noProof/>
            <w:webHidden/>
          </w:rPr>
          <w:fldChar w:fldCharType="separate"/>
        </w:r>
        <w:r w:rsidR="0098771F">
          <w:rPr>
            <w:noProof/>
            <w:webHidden/>
          </w:rPr>
          <w:t>8</w:t>
        </w:r>
        <w:r w:rsidR="00A41AE2">
          <w:rPr>
            <w:noProof/>
            <w:webHidden/>
          </w:rPr>
          <w:fldChar w:fldCharType="end"/>
        </w:r>
      </w:hyperlink>
    </w:p>
    <w:p w14:paraId="51D73DB8" w14:textId="77777777" w:rsidR="00C86248" w:rsidRDefault="00A41AE2">
      <w:r>
        <w:rPr>
          <w:rFonts w:ascii="Segoe UI Semibold" w:hAnsi="Segoe UI Semibold"/>
          <w:b/>
          <w:sz w:val="24"/>
        </w:rPr>
        <w:fldChar w:fldCharType="end"/>
      </w:r>
    </w:p>
    <w:p w14:paraId="4967A305" w14:textId="77777777" w:rsidR="002B76A7" w:rsidRDefault="002B76A7" w:rsidP="002B76A7">
      <w:pPr>
        <w:pStyle w:val="TOC1"/>
        <w:keepNext/>
      </w:pPr>
      <w:r>
        <w:t>List of Tables</w:t>
      </w:r>
    </w:p>
    <w:p w14:paraId="27E5D53A" w14:textId="4340DECE" w:rsidR="00A41AE2" w:rsidRDefault="00A41AE2">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54353514" w:history="1">
        <w:r w:rsidRPr="001B4449">
          <w:rPr>
            <w:rStyle w:val="Hyperlink"/>
            <w:noProof/>
          </w:rPr>
          <w:t>Table 1: Asset management roles</w:t>
        </w:r>
        <w:r>
          <w:rPr>
            <w:noProof/>
            <w:webHidden/>
          </w:rPr>
          <w:tab/>
        </w:r>
        <w:r>
          <w:rPr>
            <w:noProof/>
            <w:webHidden/>
          </w:rPr>
          <w:fldChar w:fldCharType="begin"/>
        </w:r>
        <w:r>
          <w:rPr>
            <w:noProof/>
            <w:webHidden/>
          </w:rPr>
          <w:instrText xml:space="preserve"> PAGEREF _Toc54353514 \h </w:instrText>
        </w:r>
        <w:r>
          <w:rPr>
            <w:noProof/>
            <w:webHidden/>
          </w:rPr>
        </w:r>
        <w:r>
          <w:rPr>
            <w:noProof/>
            <w:webHidden/>
          </w:rPr>
          <w:fldChar w:fldCharType="separate"/>
        </w:r>
        <w:r w:rsidR="0098771F">
          <w:rPr>
            <w:noProof/>
            <w:webHidden/>
          </w:rPr>
          <w:t>6</w:t>
        </w:r>
        <w:r>
          <w:rPr>
            <w:noProof/>
            <w:webHidden/>
          </w:rPr>
          <w:fldChar w:fldCharType="end"/>
        </w:r>
      </w:hyperlink>
    </w:p>
    <w:p w14:paraId="3731E6D1" w14:textId="4BAB5ED4" w:rsidR="00A41AE2" w:rsidRDefault="00321C5D">
      <w:pPr>
        <w:pStyle w:val="TOC3"/>
        <w:rPr>
          <w:rFonts w:asciiTheme="minorHAnsi" w:eastAsiaTheme="minorEastAsia" w:hAnsiTheme="minorHAnsi" w:cstheme="minorBidi"/>
          <w:noProof/>
          <w:sz w:val="22"/>
          <w:szCs w:val="22"/>
          <w:lang w:eastAsia="en-NZ"/>
        </w:rPr>
      </w:pPr>
      <w:hyperlink w:anchor="_Toc54353515" w:history="1">
        <w:r w:rsidR="00A41AE2" w:rsidRPr="001B4449">
          <w:rPr>
            <w:rStyle w:val="Hyperlink"/>
            <w:noProof/>
          </w:rPr>
          <w:t>Table 2: National, regional and local roles and responsibilities</w:t>
        </w:r>
        <w:r w:rsidR="00A41AE2">
          <w:rPr>
            <w:noProof/>
            <w:webHidden/>
          </w:rPr>
          <w:tab/>
        </w:r>
        <w:r w:rsidR="00A41AE2">
          <w:rPr>
            <w:noProof/>
            <w:webHidden/>
          </w:rPr>
          <w:fldChar w:fldCharType="begin"/>
        </w:r>
        <w:r w:rsidR="00A41AE2">
          <w:rPr>
            <w:noProof/>
            <w:webHidden/>
          </w:rPr>
          <w:instrText xml:space="preserve"> PAGEREF _Toc54353515 \h </w:instrText>
        </w:r>
        <w:r w:rsidR="00A41AE2">
          <w:rPr>
            <w:noProof/>
            <w:webHidden/>
          </w:rPr>
        </w:r>
        <w:r w:rsidR="00A41AE2">
          <w:rPr>
            <w:noProof/>
            <w:webHidden/>
          </w:rPr>
          <w:fldChar w:fldCharType="separate"/>
        </w:r>
        <w:r w:rsidR="0098771F">
          <w:rPr>
            <w:noProof/>
            <w:webHidden/>
          </w:rPr>
          <w:t>7</w:t>
        </w:r>
        <w:r w:rsidR="00A41AE2">
          <w:rPr>
            <w:noProof/>
            <w:webHidden/>
          </w:rPr>
          <w:fldChar w:fldCharType="end"/>
        </w:r>
      </w:hyperlink>
    </w:p>
    <w:p w14:paraId="1070A41D" w14:textId="77777777" w:rsidR="002B76A7" w:rsidRDefault="00A41AE2" w:rsidP="003A5FEA">
      <w:r>
        <w:rPr>
          <w:sz w:val="20"/>
        </w:rPr>
        <w:fldChar w:fldCharType="end"/>
      </w:r>
    </w:p>
    <w:p w14:paraId="4C54AB40" w14:textId="77777777" w:rsidR="0033448B" w:rsidRDefault="0033448B" w:rsidP="0033448B">
      <w:pPr>
        <w:pStyle w:val="TOC1"/>
        <w:keepNext/>
      </w:pPr>
      <w:r>
        <w:t>List of Figures</w:t>
      </w:r>
    </w:p>
    <w:p w14:paraId="673A915C" w14:textId="2B4B05E7" w:rsidR="00A41AE2" w:rsidRDefault="00A41AE2">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54353521" w:history="1">
        <w:r w:rsidRPr="00277C0F">
          <w:rPr>
            <w:rStyle w:val="Hyperlink"/>
            <w:noProof/>
          </w:rPr>
          <w:t>Figure 1: District Health Board Sector Asset Management Framework documents</w:t>
        </w:r>
        <w:r>
          <w:rPr>
            <w:noProof/>
            <w:webHidden/>
          </w:rPr>
          <w:tab/>
        </w:r>
        <w:r>
          <w:rPr>
            <w:noProof/>
            <w:webHidden/>
          </w:rPr>
          <w:fldChar w:fldCharType="begin"/>
        </w:r>
        <w:r>
          <w:rPr>
            <w:noProof/>
            <w:webHidden/>
          </w:rPr>
          <w:instrText xml:space="preserve"> PAGEREF _Toc54353521 \h </w:instrText>
        </w:r>
        <w:r>
          <w:rPr>
            <w:noProof/>
            <w:webHidden/>
          </w:rPr>
        </w:r>
        <w:r>
          <w:rPr>
            <w:noProof/>
            <w:webHidden/>
          </w:rPr>
          <w:fldChar w:fldCharType="separate"/>
        </w:r>
        <w:r w:rsidR="0098771F">
          <w:rPr>
            <w:noProof/>
            <w:webHidden/>
          </w:rPr>
          <w:t>1</w:t>
        </w:r>
        <w:r>
          <w:rPr>
            <w:noProof/>
            <w:webHidden/>
          </w:rPr>
          <w:fldChar w:fldCharType="end"/>
        </w:r>
      </w:hyperlink>
    </w:p>
    <w:p w14:paraId="4CE771D4" w14:textId="77777777" w:rsidR="0033448B" w:rsidRPr="000A0158" w:rsidRDefault="00A41AE2" w:rsidP="0033448B">
      <w:r>
        <w:fldChar w:fldCharType="end"/>
      </w:r>
    </w:p>
    <w:p w14:paraId="6606B212" w14:textId="77777777" w:rsidR="00FB0A5B" w:rsidRDefault="00FB0A5B" w:rsidP="003A5FEA"/>
    <w:p w14:paraId="29EA5780" w14:textId="77777777" w:rsidR="001D3E4E" w:rsidRDefault="001D3E4E" w:rsidP="003A5FEA">
      <w:pPr>
        <w:sectPr w:rsidR="001D3E4E" w:rsidSect="00925892">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1E2B7FC0" w14:textId="77777777" w:rsidR="008C2973" w:rsidRDefault="002C2DC0" w:rsidP="00F54E74">
      <w:pPr>
        <w:pStyle w:val="Heading1"/>
      </w:pPr>
      <w:bookmarkStart w:id="3" w:name="_Toc54353504"/>
      <w:r>
        <w:lastRenderedPageBreak/>
        <w:t>Overview</w:t>
      </w:r>
      <w:bookmarkEnd w:id="3"/>
    </w:p>
    <w:p w14:paraId="05D0AFB6" w14:textId="77777777" w:rsidR="00A34908" w:rsidRPr="0043478F" w:rsidRDefault="00A34908" w:rsidP="00164F75">
      <w:pPr>
        <w:rPr>
          <w:rFonts w:eastAsia="Arial Unicode MS"/>
        </w:rPr>
      </w:pPr>
      <w:bookmarkStart w:id="4" w:name="_Hlk43984760"/>
      <w:r w:rsidRPr="00564B54">
        <w:t xml:space="preserve">This </w:t>
      </w:r>
      <w:r>
        <w:t xml:space="preserve">document </w:t>
      </w:r>
      <w:r w:rsidRPr="00564B54">
        <w:t xml:space="preserve">defines an overarching </w:t>
      </w:r>
      <w:r>
        <w:t xml:space="preserve">DHB </w:t>
      </w:r>
      <w:r w:rsidRPr="00564B54">
        <w:t>Asset Management Framework</w:t>
      </w:r>
      <w:r>
        <w:t>: Policy</w:t>
      </w:r>
      <w:r w:rsidRPr="00564B54">
        <w:t xml:space="preserve"> based on best practice through the provision of consistent principles, scope, key requirements and </w:t>
      </w:r>
      <w:r>
        <w:t xml:space="preserve">roles and </w:t>
      </w:r>
      <w:r w:rsidRPr="00564B54">
        <w:t xml:space="preserve">responsibilities for asset management in the health </w:t>
      </w:r>
      <w:r>
        <w:t xml:space="preserve">and disability </w:t>
      </w:r>
      <w:r w:rsidRPr="00564B54">
        <w:t>sector.</w:t>
      </w:r>
      <w:r>
        <w:t xml:space="preserve"> District health boards (DHBs) own asset management policies should align with this asset management policy.</w:t>
      </w:r>
    </w:p>
    <w:bookmarkEnd w:id="4"/>
    <w:p w14:paraId="31F18D1E" w14:textId="77777777" w:rsidR="00A34908" w:rsidRDefault="00A34908" w:rsidP="00164F75"/>
    <w:p w14:paraId="1ABF93FD" w14:textId="77777777" w:rsidR="00010E97" w:rsidRDefault="00A34908" w:rsidP="00164F75">
      <w:r>
        <w:t>This is not a stand-alone document and should be read alongside its companion documents, which are:</w:t>
      </w:r>
    </w:p>
    <w:p w14:paraId="429D0D74" w14:textId="77777777" w:rsidR="00A34908" w:rsidRPr="00164F75" w:rsidRDefault="00A34908" w:rsidP="00164F75">
      <w:pPr>
        <w:pStyle w:val="Bullet"/>
        <w:rPr>
          <w:i/>
        </w:rPr>
      </w:pPr>
      <w:r w:rsidRPr="00164F75">
        <w:rPr>
          <w:i/>
        </w:rPr>
        <w:t xml:space="preserve">District Health Board </w:t>
      </w:r>
      <w:r w:rsidR="00C756D3">
        <w:rPr>
          <w:i/>
        </w:rPr>
        <w:t xml:space="preserve">Sector </w:t>
      </w:r>
      <w:r w:rsidRPr="00164F75">
        <w:rPr>
          <w:i/>
        </w:rPr>
        <w:t>Asset Management Framework: Overview</w:t>
      </w:r>
    </w:p>
    <w:p w14:paraId="1E19EBFE" w14:textId="77777777" w:rsidR="00A34908" w:rsidRDefault="00A34908" w:rsidP="00164F75">
      <w:pPr>
        <w:pStyle w:val="Bullet"/>
      </w:pPr>
      <w:bookmarkStart w:id="5" w:name="_Hlk44404632"/>
      <w:r w:rsidRPr="00164F75">
        <w:rPr>
          <w:i/>
        </w:rPr>
        <w:t xml:space="preserve">District Health Board </w:t>
      </w:r>
      <w:r w:rsidR="00C756D3">
        <w:rPr>
          <w:i/>
        </w:rPr>
        <w:t xml:space="preserve">Sector </w:t>
      </w:r>
      <w:r w:rsidRPr="00164F75">
        <w:rPr>
          <w:i/>
        </w:rPr>
        <w:t>Asset Management Framework: Strategy</w:t>
      </w:r>
      <w:r w:rsidR="00164F75">
        <w:t>.</w:t>
      </w:r>
    </w:p>
    <w:p w14:paraId="637F225F" w14:textId="77777777" w:rsidR="00164F75" w:rsidRPr="00485507" w:rsidRDefault="00164F75" w:rsidP="00164F75"/>
    <w:p w14:paraId="1F569212" w14:textId="39D6CCF5" w:rsidR="00A34908" w:rsidRDefault="00164F75" w:rsidP="00164F75">
      <w:pPr>
        <w:pStyle w:val="Figure"/>
      </w:pPr>
      <w:bookmarkStart w:id="6" w:name="_Toc44928355"/>
      <w:bookmarkStart w:id="7" w:name="_Toc54353521"/>
      <w:bookmarkEnd w:id="5"/>
      <w:r>
        <w:t xml:space="preserve">Figure </w:t>
      </w:r>
      <w:r w:rsidR="00321C5D">
        <w:fldChar w:fldCharType="begin"/>
      </w:r>
      <w:r w:rsidR="00321C5D">
        <w:instrText xml:space="preserve"> SEQ Figure \* ARABIC </w:instrText>
      </w:r>
      <w:r w:rsidR="00321C5D">
        <w:fldChar w:fldCharType="separate"/>
      </w:r>
      <w:r w:rsidR="0098771F">
        <w:rPr>
          <w:noProof/>
        </w:rPr>
        <w:t>1</w:t>
      </w:r>
      <w:r w:rsidR="00321C5D">
        <w:rPr>
          <w:noProof/>
        </w:rPr>
        <w:fldChar w:fldCharType="end"/>
      </w:r>
      <w:r w:rsidR="00A34908" w:rsidRPr="003653D1">
        <w:t xml:space="preserve">: </w:t>
      </w:r>
      <w:r w:rsidR="00A34908">
        <w:t>District Health Board</w:t>
      </w:r>
      <w:r w:rsidR="00A34908" w:rsidRPr="003653D1">
        <w:t xml:space="preserve"> </w:t>
      </w:r>
      <w:r w:rsidR="00C756D3">
        <w:t xml:space="preserve">Sector </w:t>
      </w:r>
      <w:r w:rsidR="00A34908">
        <w:t>A</w:t>
      </w:r>
      <w:r w:rsidR="00A34908" w:rsidRPr="003653D1">
        <w:t xml:space="preserve">sset </w:t>
      </w:r>
      <w:r w:rsidR="00A34908">
        <w:t>M</w:t>
      </w:r>
      <w:r w:rsidR="00A34908" w:rsidRPr="003653D1">
        <w:t>anagement</w:t>
      </w:r>
      <w:r w:rsidR="00A34908">
        <w:t xml:space="preserve"> F</w:t>
      </w:r>
      <w:r w:rsidR="00A34908" w:rsidRPr="003653D1">
        <w:t>ramework documents</w:t>
      </w:r>
      <w:bookmarkEnd w:id="6"/>
      <w:bookmarkEnd w:id="7"/>
    </w:p>
    <w:p w14:paraId="572E842B" w14:textId="77777777" w:rsidR="00E31CB9" w:rsidRPr="00E31CB9" w:rsidRDefault="00E31CB9" w:rsidP="00E31CB9"/>
    <w:p w14:paraId="2E915856" w14:textId="77777777" w:rsidR="00A34908" w:rsidRDefault="004B055D" w:rsidP="00A34908">
      <w:pPr>
        <w:rPr>
          <w:w w:val="105"/>
        </w:rPr>
      </w:pPr>
      <w:r>
        <w:rPr>
          <w:noProof/>
          <w:w w:val="105"/>
          <w:lang w:eastAsia="en-NZ"/>
        </w:rPr>
        <w:drawing>
          <wp:inline distT="0" distB="0" distL="0" distR="0" wp14:anchorId="7A08CBFA" wp14:editId="3E862E3B">
            <wp:extent cx="3649287" cy="1629294"/>
            <wp:effectExtent l="0" t="0" r="123190" b="9525"/>
            <wp:docPr id="9" name="Diagram 9" descr="DHB Sector Asset Management Framework: Overview includes DHB Sector Asset Management: Policy and DHB sector asset management strateg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8F6B89B" w14:textId="77777777" w:rsidR="006A393F" w:rsidRDefault="006A393F" w:rsidP="00395B7A">
      <w:pPr>
        <w:rPr>
          <w:w w:val="105"/>
        </w:rPr>
      </w:pPr>
    </w:p>
    <w:p w14:paraId="4C14D239" w14:textId="77777777" w:rsidR="00A34908" w:rsidRPr="0043478F" w:rsidRDefault="00A34908" w:rsidP="00A34908">
      <w:pPr>
        <w:pStyle w:val="Heading1"/>
        <w:rPr>
          <w:spacing w:val="0"/>
        </w:rPr>
      </w:pPr>
      <w:bookmarkStart w:id="8" w:name="_Toc39582384"/>
      <w:bookmarkStart w:id="9" w:name="_Toc52807992"/>
      <w:bookmarkStart w:id="10" w:name="_Toc54353505"/>
      <w:r w:rsidRPr="00564B54">
        <w:lastRenderedPageBreak/>
        <w:t>Scope</w:t>
      </w:r>
      <w:bookmarkEnd w:id="8"/>
      <w:bookmarkEnd w:id="9"/>
      <w:bookmarkEnd w:id="10"/>
    </w:p>
    <w:p w14:paraId="55D1AC39" w14:textId="77777777" w:rsidR="00A34908" w:rsidRPr="0043478F" w:rsidRDefault="00A34908" w:rsidP="00625390">
      <w:pPr>
        <w:pStyle w:val="Introductoryparagraph"/>
        <w:rPr>
          <w:rFonts w:eastAsia="Arial Unicode MS" w:hAnsi="Arial Unicode MS" w:cs="Arial Unicode MS"/>
          <w:szCs w:val="48"/>
        </w:rPr>
      </w:pPr>
      <w:r w:rsidRPr="00E94247">
        <w:rPr>
          <w:rFonts w:eastAsia="Arial Unicode MS"/>
        </w:rPr>
        <w:t xml:space="preserve">This policy </w:t>
      </w:r>
      <w:r w:rsidRPr="00164F75">
        <w:rPr>
          <w:rFonts w:eastAsia="Arial Unicode MS"/>
        </w:rPr>
        <w:t>applies</w:t>
      </w:r>
      <w:r w:rsidRPr="00E94247">
        <w:rPr>
          <w:rFonts w:eastAsia="Arial Unicode MS"/>
        </w:rPr>
        <w:t xml:space="preserve"> to the lifecycle management of all assets owned or leased by DHBs and their regional shared service providers.</w:t>
      </w:r>
    </w:p>
    <w:p w14:paraId="67C8E68A" w14:textId="77777777" w:rsidR="00010E97" w:rsidRDefault="00A34908" w:rsidP="00395B7A">
      <w:r>
        <w:t>The asset groups that this policy covers are:</w:t>
      </w:r>
    </w:p>
    <w:p w14:paraId="21412230" w14:textId="77777777" w:rsidR="00A34908" w:rsidRPr="009B3BC3" w:rsidRDefault="00A34908" w:rsidP="00164F75">
      <w:pPr>
        <w:pStyle w:val="Bullet"/>
      </w:pPr>
      <w:r w:rsidRPr="009B3BC3">
        <w:t>land</w:t>
      </w:r>
    </w:p>
    <w:p w14:paraId="5AC94E0C" w14:textId="77777777" w:rsidR="00A34908" w:rsidRPr="009B3BC3" w:rsidRDefault="00A34908" w:rsidP="00164F75">
      <w:pPr>
        <w:pStyle w:val="Bullet"/>
      </w:pPr>
      <w:r w:rsidRPr="009B3BC3">
        <w:t>buildings</w:t>
      </w:r>
    </w:p>
    <w:p w14:paraId="77C40E8E" w14:textId="77777777" w:rsidR="00A34908" w:rsidRPr="009B3BC3" w:rsidRDefault="00A34908" w:rsidP="00164F75">
      <w:pPr>
        <w:pStyle w:val="Bullet"/>
      </w:pPr>
      <w:r w:rsidRPr="009B3BC3">
        <w:t>building fitout</w:t>
      </w:r>
    </w:p>
    <w:p w14:paraId="376F4284" w14:textId="77777777" w:rsidR="00A34908" w:rsidRPr="009B3BC3" w:rsidRDefault="00A34908" w:rsidP="00164F75">
      <w:pPr>
        <w:pStyle w:val="Bullet"/>
      </w:pPr>
      <w:r w:rsidRPr="009B3BC3">
        <w:t>services, plant, and infrastructure</w:t>
      </w:r>
    </w:p>
    <w:p w14:paraId="42578F34" w14:textId="77777777" w:rsidR="00A34908" w:rsidRPr="009B3BC3" w:rsidRDefault="00A34908" w:rsidP="00164F75">
      <w:pPr>
        <w:pStyle w:val="Bullet"/>
      </w:pPr>
      <w:r w:rsidRPr="009B3BC3">
        <w:t>clinical equipment</w:t>
      </w:r>
    </w:p>
    <w:p w14:paraId="341DA225" w14:textId="77777777" w:rsidR="00A34908" w:rsidRPr="009B3BC3" w:rsidRDefault="00A34908" w:rsidP="00164F75">
      <w:pPr>
        <w:pStyle w:val="Bullet"/>
      </w:pPr>
      <w:r w:rsidRPr="009B3BC3">
        <w:t>non-clinical equipment</w:t>
      </w:r>
    </w:p>
    <w:p w14:paraId="6FE240A0" w14:textId="77777777" w:rsidR="00A34908" w:rsidRPr="009B3BC3" w:rsidRDefault="00A34908" w:rsidP="00164F75">
      <w:pPr>
        <w:pStyle w:val="Bullet"/>
      </w:pPr>
      <w:r w:rsidRPr="009B3BC3">
        <w:t>motor vehicles</w:t>
      </w:r>
    </w:p>
    <w:p w14:paraId="55D63C80" w14:textId="77777777" w:rsidR="00164F75" w:rsidRDefault="00A34908" w:rsidP="00164F75">
      <w:pPr>
        <w:pStyle w:val="Bullet"/>
      </w:pPr>
      <w:r w:rsidRPr="009B3BC3">
        <w:t>information and communications technology (ICT).</w:t>
      </w:r>
    </w:p>
    <w:p w14:paraId="16DBD671" w14:textId="77777777" w:rsidR="00A34908" w:rsidRPr="009B3BC3" w:rsidRDefault="00A34908" w:rsidP="00164F75"/>
    <w:p w14:paraId="0ABE5BA9" w14:textId="77777777" w:rsidR="00A34908" w:rsidRPr="009B3BC3" w:rsidRDefault="00A34908" w:rsidP="00164F75">
      <w:r w:rsidRPr="009B3BC3">
        <w:t xml:space="preserve">Financial, human, goodwill and intellectual property are out of the scope of this </w:t>
      </w:r>
      <w:r>
        <w:t>policy</w:t>
      </w:r>
      <w:r w:rsidRPr="009B3BC3">
        <w:t>. Assets in scope are those owned and/or operated by DHBs in New Zealand.</w:t>
      </w:r>
    </w:p>
    <w:p w14:paraId="43CF151F" w14:textId="77777777" w:rsidR="00A34908" w:rsidRPr="0043478F" w:rsidRDefault="00A34908" w:rsidP="00164F75">
      <w:pPr>
        <w:rPr>
          <w:rFonts w:eastAsia="Arial Unicode MS"/>
        </w:rPr>
      </w:pPr>
      <w:bookmarkStart w:id="11" w:name="_bookmark7"/>
      <w:bookmarkEnd w:id="11"/>
    </w:p>
    <w:p w14:paraId="7A6A1EF9" w14:textId="77777777" w:rsidR="00A34908" w:rsidRPr="0043478F" w:rsidRDefault="00A34908" w:rsidP="00164F75">
      <w:pPr>
        <w:pStyle w:val="Heading1"/>
      </w:pPr>
      <w:bookmarkStart w:id="12" w:name="_bookmark19"/>
      <w:bookmarkStart w:id="13" w:name="_bookmark21"/>
      <w:bookmarkStart w:id="14" w:name="_Toc39582385"/>
      <w:bookmarkStart w:id="15" w:name="_Toc52807993"/>
      <w:bookmarkStart w:id="16" w:name="_Toc54353506"/>
      <w:bookmarkEnd w:id="12"/>
      <w:bookmarkEnd w:id="13"/>
      <w:r>
        <w:lastRenderedPageBreak/>
        <w:t>National policy statement</w:t>
      </w:r>
      <w:bookmarkEnd w:id="14"/>
      <w:bookmarkEnd w:id="15"/>
      <w:bookmarkEnd w:id="16"/>
    </w:p>
    <w:p w14:paraId="5433390E" w14:textId="77777777" w:rsidR="00A34908" w:rsidRDefault="00A34908" w:rsidP="00164F75">
      <w:r>
        <w:t>The national policy statement for the asset management framework is as follows.</w:t>
      </w:r>
    </w:p>
    <w:p w14:paraId="4C20BF01" w14:textId="77777777" w:rsidR="00A34908" w:rsidRPr="0043478F" w:rsidRDefault="00A34908" w:rsidP="00164F75">
      <w:pPr>
        <w:pStyle w:val="Box"/>
        <w:rPr>
          <w:rFonts w:cs="Arial Unicode MS"/>
        </w:rPr>
      </w:pPr>
      <w:r w:rsidRPr="00C21FA6">
        <w:t>Assets will be managed and maintained over their entire lifecycle using best practice asset management aligned to relevant standards and guidelines. Assets will be managed to deliver the agreed level</w:t>
      </w:r>
      <w:r>
        <w:t>s</w:t>
      </w:r>
      <w:r w:rsidRPr="00C21FA6">
        <w:t xml:space="preserve"> of service in a manner that effectively balances whole</w:t>
      </w:r>
      <w:r>
        <w:t>-</w:t>
      </w:r>
      <w:r w:rsidRPr="00C21FA6">
        <w:t>of</w:t>
      </w:r>
      <w:r>
        <w:t>-</w:t>
      </w:r>
      <w:r w:rsidRPr="00C21FA6">
        <w:t>life asset costs and risks to best value health care.</w:t>
      </w:r>
    </w:p>
    <w:p w14:paraId="1F4C58F0" w14:textId="77777777" w:rsidR="00A34908" w:rsidRDefault="00A34908" w:rsidP="00164F75"/>
    <w:p w14:paraId="4EFCC548" w14:textId="77777777" w:rsidR="00A34908" w:rsidRDefault="00A34908" w:rsidP="00164F75">
      <w:pPr>
        <w:pStyle w:val="Heading2"/>
      </w:pPr>
      <w:bookmarkStart w:id="17" w:name="_Toc39582386"/>
      <w:bookmarkStart w:id="18" w:name="_Toc52807994"/>
      <w:bookmarkStart w:id="19" w:name="_Toc54353507"/>
      <w:r>
        <w:t>Key national requirements</w:t>
      </w:r>
      <w:bookmarkEnd w:id="17"/>
      <w:bookmarkEnd w:id="18"/>
      <w:bookmarkEnd w:id="19"/>
    </w:p>
    <w:p w14:paraId="522929AE" w14:textId="77777777" w:rsidR="00A34908" w:rsidRDefault="00A34908" w:rsidP="00164F75">
      <w:r>
        <w:t>The key national requirements for effective asset management across New Zealand are specified in the Cabinet Office Circular</w:t>
      </w:r>
      <w:r w:rsidRPr="00436C5C">
        <w:t xml:space="preserve"> CO (19) 6</w:t>
      </w:r>
      <w:r>
        <w:t>:</w:t>
      </w:r>
    </w:p>
    <w:p w14:paraId="1030DFD7" w14:textId="77777777" w:rsidR="00010E97" w:rsidRDefault="00A34908" w:rsidP="00164F75">
      <w:pPr>
        <w:pStyle w:val="Quote"/>
      </w:pPr>
      <w:r w:rsidRPr="00734B31">
        <w:t>The primary objective of the investment management system is to optimise value from new and existing investments and assets for current and future generations of New Zealanders.</w:t>
      </w:r>
    </w:p>
    <w:p w14:paraId="3E07F699" w14:textId="77777777" w:rsidR="00A34908" w:rsidRDefault="00A34908" w:rsidP="00164F75"/>
    <w:p w14:paraId="528C2DF6" w14:textId="77777777" w:rsidR="00010E97" w:rsidRDefault="00A34908" w:rsidP="00395B7A">
      <w:r>
        <w:t>With regards to asset management, CO (19) 6 states that:</w:t>
      </w:r>
    </w:p>
    <w:p w14:paraId="66CC2329" w14:textId="77777777" w:rsidR="00010E97" w:rsidRDefault="00A34908" w:rsidP="00395B7A">
      <w:pPr>
        <w:pStyle w:val="Number"/>
        <w:ind w:left="851" w:right="284"/>
      </w:pPr>
      <w:r w:rsidRPr="000367E9">
        <w:t>Agencies must manage assets to ensure they deliver current and intended levels of service.</w:t>
      </w:r>
    </w:p>
    <w:p w14:paraId="406DD235" w14:textId="77777777" w:rsidR="00010E97" w:rsidRDefault="00A34908" w:rsidP="00395B7A">
      <w:pPr>
        <w:pStyle w:val="Number"/>
        <w:ind w:left="851" w:right="284"/>
      </w:pPr>
      <w:r w:rsidRPr="000367E9">
        <w:t>Agencies must demonstrate a level of asset management practice and performance that is appropriate to the scale of assets under their management and the criticality of those assets to the delivery of key public services.</w:t>
      </w:r>
    </w:p>
    <w:p w14:paraId="50260DD3" w14:textId="77777777" w:rsidR="00010E97" w:rsidRDefault="00A34908" w:rsidP="00395B7A">
      <w:pPr>
        <w:pStyle w:val="Number"/>
        <w:ind w:left="851" w:right="284"/>
      </w:pPr>
      <w:r w:rsidRPr="000367E9">
        <w:t>Agencies must have current asset management plans to inform strategic, tactical, and operational choices.</w:t>
      </w:r>
    </w:p>
    <w:p w14:paraId="5EED37EF" w14:textId="77777777" w:rsidR="00010E97" w:rsidRDefault="00A34908" w:rsidP="00395B7A">
      <w:pPr>
        <w:pStyle w:val="Number"/>
        <w:ind w:left="851" w:right="284"/>
      </w:pPr>
      <w:r w:rsidRPr="000367E9">
        <w:t>Agencies must capture and use, in internal management and decision-making processes, relevant indicators of past and projected asset performance, such as asset utilisation, condition and fitness-for-purpose.</w:t>
      </w:r>
    </w:p>
    <w:p w14:paraId="4D87B553" w14:textId="77777777" w:rsidR="00010E97" w:rsidRDefault="00A34908" w:rsidP="00395B7A">
      <w:pPr>
        <w:pStyle w:val="Number"/>
        <w:ind w:left="851" w:right="284"/>
      </w:pPr>
      <w:r w:rsidRPr="000367E9">
        <w:t>Agencies must report on relevant asset performance indicators in their annual reports.</w:t>
      </w:r>
    </w:p>
    <w:p w14:paraId="6A440166" w14:textId="77777777" w:rsidR="00A34908" w:rsidRPr="000367E9" w:rsidRDefault="00A34908" w:rsidP="00395B7A">
      <w:pPr>
        <w:pStyle w:val="Number"/>
        <w:ind w:left="851" w:right="284"/>
      </w:pPr>
      <w:r w:rsidRPr="000367E9">
        <w:t>Agencies must plan for the eventual withdrawal or sale of assets and use approved asset disposal processes. Beyond the requirements set out in this circular, asset disposals can be subject to legal, statutory and Government policy requirements that must be fulfilled prior to disposal. This could require specialised assistance.</w:t>
      </w:r>
    </w:p>
    <w:p w14:paraId="4DF69480" w14:textId="77777777" w:rsidR="00395B7A" w:rsidRDefault="00395B7A" w:rsidP="00395B7A"/>
    <w:p w14:paraId="07ABC24D" w14:textId="77777777" w:rsidR="00A34908" w:rsidRPr="004357E4" w:rsidRDefault="00A34908" w:rsidP="00395B7A">
      <w:pPr>
        <w:keepNext/>
      </w:pPr>
      <w:r w:rsidRPr="004357E4">
        <w:lastRenderedPageBreak/>
        <w:t xml:space="preserve">The Ministry of Health Operational Policy Framework </w:t>
      </w:r>
      <w:r>
        <w:t xml:space="preserve">2020/21 </w:t>
      </w:r>
      <w:r w:rsidRPr="004357E4">
        <w:t>requires that:</w:t>
      </w:r>
    </w:p>
    <w:p w14:paraId="6349C89B" w14:textId="77777777" w:rsidR="00A34908" w:rsidRPr="000367E9" w:rsidRDefault="00A34908" w:rsidP="00395B7A">
      <w:pPr>
        <w:pStyle w:val="Number"/>
        <w:numPr>
          <w:ilvl w:val="3"/>
          <w:numId w:val="50"/>
        </w:numPr>
        <w:ind w:left="851" w:right="284"/>
      </w:pPr>
      <w:r w:rsidRPr="000367E9">
        <w:t>Each DHB must prepare an asset management plan showing planned future asset replacement and expected financing arrangements for asset replacement, including the use of cash generated from operations.</w:t>
      </w:r>
    </w:p>
    <w:p w14:paraId="20A1CAD6" w14:textId="77777777" w:rsidR="00A34908" w:rsidRPr="000367E9" w:rsidRDefault="00A34908" w:rsidP="00395B7A">
      <w:pPr>
        <w:pStyle w:val="Number"/>
        <w:ind w:left="851" w:right="284"/>
      </w:pPr>
      <w:r w:rsidRPr="000367E9">
        <w:t>Asset management plans must address:</w:t>
      </w:r>
    </w:p>
    <w:p w14:paraId="79EF3620" w14:textId="77777777" w:rsidR="00A34908" w:rsidRPr="000367E9" w:rsidRDefault="00A34908" w:rsidP="00395B7A">
      <w:pPr>
        <w:pStyle w:val="Letter"/>
        <w:spacing w:before="90"/>
        <w:ind w:left="1418" w:right="284"/>
      </w:pPr>
      <w:r w:rsidRPr="000367E9">
        <w:t>strategic asset management</w:t>
      </w:r>
    </w:p>
    <w:p w14:paraId="68FC6747" w14:textId="77777777" w:rsidR="00A34908" w:rsidRPr="000367E9" w:rsidRDefault="00A34908" w:rsidP="00395B7A">
      <w:pPr>
        <w:pStyle w:val="Letter"/>
        <w:spacing w:before="90"/>
        <w:ind w:left="1418" w:right="284"/>
      </w:pPr>
      <w:r w:rsidRPr="000367E9">
        <w:t>strategic asset financing</w:t>
      </w:r>
    </w:p>
    <w:p w14:paraId="36130029" w14:textId="77777777" w:rsidR="00A34908" w:rsidRPr="000367E9" w:rsidRDefault="00A34908" w:rsidP="00395B7A">
      <w:pPr>
        <w:pStyle w:val="Letter"/>
        <w:spacing w:before="90"/>
        <w:ind w:left="1418" w:right="284"/>
      </w:pPr>
      <w:r w:rsidRPr="000367E9">
        <w:t>tactical and operational asset management of facilities, infrastructure and major equipment</w:t>
      </w:r>
    </w:p>
    <w:p w14:paraId="11F9F7EB" w14:textId="77777777" w:rsidR="00A34908" w:rsidRPr="009B3BC3" w:rsidRDefault="00A34908" w:rsidP="00395B7A">
      <w:pPr>
        <w:pStyle w:val="Number"/>
        <w:numPr>
          <w:ilvl w:val="0"/>
          <w:numId w:val="0"/>
        </w:numPr>
        <w:spacing w:before="90"/>
        <w:ind w:left="851" w:right="284"/>
      </w:pPr>
      <w:r>
        <w:t xml:space="preserve">and must include an </w:t>
      </w:r>
      <w:r w:rsidRPr="008E6B00">
        <w:t>Information Services Strategic Plan</w:t>
      </w:r>
      <w:r w:rsidRPr="009B3BC3">
        <w:t xml:space="preserve"> (ISSP).</w:t>
      </w:r>
    </w:p>
    <w:p w14:paraId="3DA8AFBD" w14:textId="77777777" w:rsidR="00A34908" w:rsidRPr="000367E9" w:rsidRDefault="00A34908" w:rsidP="00395B7A">
      <w:pPr>
        <w:pStyle w:val="Number"/>
        <w:ind w:left="851" w:right="284"/>
      </w:pPr>
      <w:r w:rsidRPr="000367E9">
        <w:t xml:space="preserve">Asset management plans must be maintained as a </w:t>
      </w:r>
      <w:r w:rsidR="00010E97">
        <w:t>‘</w:t>
      </w:r>
      <w:r w:rsidRPr="000367E9">
        <w:t>live document</w:t>
      </w:r>
      <w:r w:rsidR="00010E97">
        <w:t>’</w:t>
      </w:r>
      <w:r w:rsidRPr="000367E9">
        <w:t xml:space="preserve"> and kept up to date. Components of the asset management plan will be required as part of Annual Plans, Regional Service Plans and business case development.</w:t>
      </w:r>
    </w:p>
    <w:p w14:paraId="0B6AB670" w14:textId="77777777" w:rsidR="00A34908" w:rsidRPr="000367E9" w:rsidRDefault="00A34908" w:rsidP="00395B7A">
      <w:pPr>
        <w:pStyle w:val="Number"/>
        <w:ind w:left="851" w:right="284"/>
      </w:pPr>
      <w:r w:rsidRPr="000367E9">
        <w:t xml:space="preserve">DHBs are expected to contribute to the </w:t>
      </w:r>
      <w:r>
        <w:rPr>
          <w:rFonts w:cs="Segoe UI"/>
          <w:szCs w:val="21"/>
        </w:rPr>
        <w:t>Ministry of Health</w:t>
      </w:r>
      <w:r w:rsidR="00010E97">
        <w:rPr>
          <w:rFonts w:cs="Segoe UI"/>
          <w:szCs w:val="21"/>
        </w:rPr>
        <w:t>’</w:t>
      </w:r>
      <w:r>
        <w:rPr>
          <w:rFonts w:cs="Segoe UI"/>
          <w:szCs w:val="21"/>
        </w:rPr>
        <w:t>s</w:t>
      </w:r>
      <w:r w:rsidRPr="004357E4">
        <w:rPr>
          <w:rFonts w:cs="Segoe UI"/>
          <w:szCs w:val="21"/>
        </w:rPr>
        <w:t xml:space="preserve"> </w:t>
      </w:r>
      <w:r>
        <w:rPr>
          <w:rFonts w:cs="Segoe UI"/>
          <w:szCs w:val="21"/>
        </w:rPr>
        <w:t>N</w:t>
      </w:r>
      <w:r w:rsidRPr="004357E4">
        <w:rPr>
          <w:rFonts w:cs="Segoe UI"/>
          <w:szCs w:val="21"/>
        </w:rPr>
        <w:t xml:space="preserve">ational </w:t>
      </w:r>
      <w:r>
        <w:rPr>
          <w:rFonts w:cs="Segoe UI"/>
          <w:szCs w:val="21"/>
        </w:rPr>
        <w:t>As</w:t>
      </w:r>
      <w:r w:rsidRPr="004357E4">
        <w:rPr>
          <w:rFonts w:cs="Segoe UI"/>
          <w:szCs w:val="21"/>
        </w:rPr>
        <w:t xml:space="preserve">set </w:t>
      </w:r>
      <w:r>
        <w:rPr>
          <w:rFonts w:cs="Segoe UI"/>
          <w:szCs w:val="21"/>
        </w:rPr>
        <w:t>M</w:t>
      </w:r>
      <w:r w:rsidRPr="004357E4">
        <w:rPr>
          <w:rFonts w:cs="Segoe UI"/>
          <w:szCs w:val="21"/>
        </w:rPr>
        <w:t xml:space="preserve">anagement </w:t>
      </w:r>
      <w:r>
        <w:rPr>
          <w:rFonts w:cs="Segoe UI"/>
          <w:szCs w:val="21"/>
        </w:rPr>
        <w:t>P</w:t>
      </w:r>
      <w:r w:rsidRPr="004357E4">
        <w:rPr>
          <w:rFonts w:cs="Segoe UI"/>
          <w:szCs w:val="21"/>
        </w:rPr>
        <w:t>lan,</w:t>
      </w:r>
      <w:r w:rsidRPr="000367E9">
        <w:t xml:space="preserve"> which will be used to assist the Capital Investment Committee (CIC) and Ministers of Health and Finance to make more informed decision on DHB capital expenditure.</w:t>
      </w:r>
    </w:p>
    <w:p w14:paraId="17E592D3" w14:textId="77777777" w:rsidR="00395B7A" w:rsidRDefault="00395B7A" w:rsidP="00395B7A"/>
    <w:p w14:paraId="5D3E5B9A" w14:textId="77777777" w:rsidR="00010E97" w:rsidRDefault="00A34908" w:rsidP="00395B7A">
      <w:r>
        <w:t>This policy demonstrates a commitment to best appropriate practice asset management measured against the Treasury</w:t>
      </w:r>
      <w:r w:rsidR="00010E97">
        <w:t>’</w:t>
      </w:r>
      <w:r>
        <w:t xml:space="preserve">s Investor Confidence Rating (ICR), including asset management assessments and the principles set out in the Cabinet Office Circular CO (19) 6, </w:t>
      </w:r>
      <w:bookmarkStart w:id="20" w:name="_Hlk51831882"/>
      <w:r>
        <w:t>Investment Management and Asset Performance</w:t>
      </w:r>
      <w:bookmarkEnd w:id="20"/>
      <w:r>
        <w:t>.</w:t>
      </w:r>
    </w:p>
    <w:p w14:paraId="3C4D1091" w14:textId="77777777" w:rsidR="00A34908" w:rsidRDefault="00A34908" w:rsidP="00395B7A"/>
    <w:p w14:paraId="73815A8C" w14:textId="77777777" w:rsidR="00A34908" w:rsidRDefault="00A34908" w:rsidP="00395B7A">
      <w:pPr>
        <w:pStyle w:val="Heading1"/>
      </w:pPr>
      <w:bookmarkStart w:id="21" w:name="_Toc39582387"/>
      <w:bookmarkStart w:id="22" w:name="_Toc52807995"/>
      <w:bookmarkStart w:id="23" w:name="_Toc54353508"/>
      <w:r>
        <w:lastRenderedPageBreak/>
        <w:t>Asset management principles</w:t>
      </w:r>
      <w:bookmarkEnd w:id="21"/>
      <w:bookmarkEnd w:id="22"/>
      <w:bookmarkEnd w:id="23"/>
    </w:p>
    <w:p w14:paraId="447B9ED3" w14:textId="77777777" w:rsidR="00010E97" w:rsidRDefault="00A34908" w:rsidP="00625390">
      <w:pPr>
        <w:pStyle w:val="Introductoryparagraph"/>
      </w:pPr>
      <w:r w:rsidRPr="00564B54">
        <w:t xml:space="preserve">The following principles guide development of national asset management </w:t>
      </w:r>
      <w:r>
        <w:t xml:space="preserve">goals and </w:t>
      </w:r>
      <w:r w:rsidRPr="00564B54">
        <w:t>objectives</w:t>
      </w:r>
      <w:r>
        <w:t>,</w:t>
      </w:r>
      <w:r w:rsidRPr="00564B54">
        <w:t xml:space="preserve"> which are set out in the </w:t>
      </w:r>
      <w:r w:rsidRPr="000C515F">
        <w:rPr>
          <w:i/>
          <w:iCs/>
        </w:rPr>
        <w:t xml:space="preserve">District Health Board </w:t>
      </w:r>
      <w:r>
        <w:rPr>
          <w:i/>
          <w:iCs/>
        </w:rPr>
        <w:t xml:space="preserve">Sector </w:t>
      </w:r>
      <w:r w:rsidRPr="000C515F">
        <w:rPr>
          <w:i/>
          <w:iCs/>
        </w:rPr>
        <w:t>Asset Management Framework</w:t>
      </w:r>
      <w:r>
        <w:rPr>
          <w:i/>
          <w:iCs/>
        </w:rPr>
        <w:t>:</w:t>
      </w:r>
      <w:r w:rsidRPr="000C515F">
        <w:rPr>
          <w:i/>
          <w:iCs/>
        </w:rPr>
        <w:t xml:space="preserve"> Strategy</w:t>
      </w:r>
      <w:r w:rsidRPr="00564B54">
        <w:t>.</w:t>
      </w:r>
    </w:p>
    <w:p w14:paraId="5588E921" w14:textId="77777777" w:rsidR="00010E97" w:rsidRDefault="00A34908" w:rsidP="00395B7A">
      <w:r w:rsidRPr="008E6B00">
        <w:t>The</w:t>
      </w:r>
      <w:r>
        <w:t xml:space="preserve"> DHB Asset Management</w:t>
      </w:r>
      <w:r w:rsidRPr="008E6B00">
        <w:t xml:space="preserve"> </w:t>
      </w:r>
      <w:r>
        <w:t xml:space="preserve">Framework </w:t>
      </w:r>
      <w:r w:rsidRPr="008E6B00">
        <w:t>principles are as follows.</w:t>
      </w:r>
    </w:p>
    <w:p w14:paraId="00648716" w14:textId="77777777" w:rsidR="00A34908" w:rsidRPr="000367E9" w:rsidRDefault="00A34908" w:rsidP="00395B7A">
      <w:pPr>
        <w:pStyle w:val="Number"/>
        <w:numPr>
          <w:ilvl w:val="3"/>
          <w:numId w:val="51"/>
        </w:numPr>
      </w:pPr>
      <w:r w:rsidRPr="000367E9">
        <w:t>Asset management will aim to achieve the direction set by strategic health services and clinical service planning.</w:t>
      </w:r>
    </w:p>
    <w:p w14:paraId="2B9F0047" w14:textId="77777777" w:rsidR="00A34908" w:rsidRPr="000367E9" w:rsidRDefault="00A34908" w:rsidP="00395B7A">
      <w:pPr>
        <w:pStyle w:val="Number"/>
      </w:pPr>
      <w:r w:rsidRPr="000367E9">
        <w:t>Asset management systems and practices will be consistent with best practice.</w:t>
      </w:r>
    </w:p>
    <w:p w14:paraId="0DDA80DC" w14:textId="77777777" w:rsidR="00010E97" w:rsidRDefault="00A34908" w:rsidP="00395B7A">
      <w:pPr>
        <w:pStyle w:val="Number"/>
      </w:pPr>
      <w:r w:rsidRPr="000367E9">
        <w:t>Asset</w:t>
      </w:r>
      <w:r>
        <w:t>-</w:t>
      </w:r>
      <w:r w:rsidRPr="000367E9">
        <w:t>related investment decisions will be prioritised and informed by robust information that considers whole</w:t>
      </w:r>
      <w:r>
        <w:t>-</w:t>
      </w:r>
      <w:r w:rsidRPr="000367E9">
        <w:t>of</w:t>
      </w:r>
      <w:r>
        <w:t>-</w:t>
      </w:r>
      <w:r w:rsidRPr="000367E9">
        <w:t>life value.</w:t>
      </w:r>
    </w:p>
    <w:p w14:paraId="128E2A5A" w14:textId="77777777" w:rsidR="00A34908" w:rsidRPr="000367E9" w:rsidRDefault="00A34908" w:rsidP="00395B7A">
      <w:pPr>
        <w:pStyle w:val="Number"/>
      </w:pPr>
      <w:r w:rsidRPr="000367E9">
        <w:t>Asset management decisions will consider all stakeholders and enable the delivery of agreed asset levels of service target</w:t>
      </w:r>
      <w:r>
        <w:t>s</w:t>
      </w:r>
      <w:r w:rsidRPr="000367E9">
        <w:t xml:space="preserve"> over time.</w:t>
      </w:r>
    </w:p>
    <w:p w14:paraId="72FB7B89" w14:textId="77777777" w:rsidR="00A34908" w:rsidRPr="000367E9" w:rsidRDefault="00A34908" w:rsidP="00395B7A">
      <w:pPr>
        <w:pStyle w:val="Number"/>
      </w:pPr>
      <w:r w:rsidRPr="000367E9">
        <w:t>Asset compliance will be managed within all relevant asset</w:t>
      </w:r>
      <w:r>
        <w:t>-</w:t>
      </w:r>
      <w:r w:rsidRPr="000367E9">
        <w:t>related legislative, regulatory and legal requirements.</w:t>
      </w:r>
    </w:p>
    <w:p w14:paraId="34BF237E" w14:textId="77777777" w:rsidR="00A34908" w:rsidRPr="000367E9" w:rsidRDefault="00A34908" w:rsidP="00395B7A">
      <w:pPr>
        <w:pStyle w:val="Number"/>
      </w:pPr>
      <w:r w:rsidRPr="000367E9">
        <w:t xml:space="preserve">Asset management capability will be continuously improved to an appropriate level, in line with best practice, and </w:t>
      </w:r>
      <w:r w:rsidRPr="00B30E8D">
        <w:rPr>
          <w:rFonts w:cs="Segoe UI"/>
        </w:rPr>
        <w:t>Ministry of Health</w:t>
      </w:r>
      <w:r w:rsidRPr="000367E9">
        <w:t xml:space="preserve"> and Treasury requirements.</w:t>
      </w:r>
    </w:p>
    <w:p w14:paraId="23C161D5" w14:textId="77777777" w:rsidR="00A34908" w:rsidRDefault="00A34908" w:rsidP="00395B7A"/>
    <w:p w14:paraId="4CD2DFAD" w14:textId="77777777" w:rsidR="00A34908" w:rsidRDefault="00A34908" w:rsidP="00395B7A">
      <w:pPr>
        <w:pStyle w:val="Heading2"/>
      </w:pPr>
      <w:bookmarkStart w:id="24" w:name="_Toc52807996"/>
      <w:bookmarkStart w:id="25" w:name="_Toc54353509"/>
      <w:r>
        <w:lastRenderedPageBreak/>
        <w:t>Roles and responsibilities</w:t>
      </w:r>
      <w:bookmarkEnd w:id="24"/>
      <w:bookmarkEnd w:id="25"/>
    </w:p>
    <w:bookmarkStart w:id="26" w:name="_bookmark70"/>
    <w:bookmarkEnd w:id="26"/>
    <w:p w14:paraId="50DBCBA2" w14:textId="5B80AD06" w:rsidR="00A34908" w:rsidRDefault="00395B7A" w:rsidP="00EA58E6">
      <w:pPr>
        <w:keepNext/>
      </w:pPr>
      <w:r>
        <w:fldChar w:fldCharType="begin"/>
      </w:r>
      <w:r>
        <w:instrText xml:space="preserve"> REF _Ref54247361 \h </w:instrText>
      </w:r>
      <w:r>
        <w:fldChar w:fldCharType="separate"/>
      </w:r>
      <w:r w:rsidR="0098771F" w:rsidRPr="00EA58E6">
        <w:t xml:space="preserve">Table </w:t>
      </w:r>
      <w:r w:rsidR="0098771F">
        <w:rPr>
          <w:noProof/>
        </w:rPr>
        <w:t>1</w:t>
      </w:r>
      <w:r>
        <w:fldChar w:fldCharType="end"/>
      </w:r>
      <w:r w:rsidR="00A34908" w:rsidRPr="00C21FA6">
        <w:t xml:space="preserve"> identifies the agencies, organisations and groups that have a national, regional and local </w:t>
      </w:r>
      <w:r w:rsidR="00A34908">
        <w:t xml:space="preserve">role in </w:t>
      </w:r>
      <w:r w:rsidR="00A34908" w:rsidRPr="00C21FA6">
        <w:t>asset management.</w:t>
      </w:r>
    </w:p>
    <w:p w14:paraId="1B1FF340" w14:textId="77777777" w:rsidR="00395B7A" w:rsidRDefault="00395B7A" w:rsidP="00EA58E6">
      <w:pPr>
        <w:keepNext/>
      </w:pPr>
    </w:p>
    <w:p w14:paraId="33C39938" w14:textId="0A6FD8A3" w:rsidR="00A34908" w:rsidRPr="00EA58E6" w:rsidRDefault="00395B7A" w:rsidP="00EA58E6">
      <w:pPr>
        <w:pStyle w:val="Table"/>
      </w:pPr>
      <w:bookmarkStart w:id="27" w:name="_Ref54247361"/>
      <w:bookmarkStart w:id="28" w:name="_Toc39645378"/>
      <w:bookmarkStart w:id="29" w:name="_Toc44928281"/>
      <w:bookmarkStart w:id="30" w:name="_Toc54353514"/>
      <w:r w:rsidRPr="00EA58E6">
        <w:t xml:space="preserve">Table </w:t>
      </w:r>
      <w:r w:rsidR="00321C5D">
        <w:fldChar w:fldCharType="begin"/>
      </w:r>
      <w:r w:rsidR="00321C5D">
        <w:instrText xml:space="preserve"> SEQ Table \* ARABIC </w:instrText>
      </w:r>
      <w:r w:rsidR="00321C5D">
        <w:fldChar w:fldCharType="separate"/>
      </w:r>
      <w:r w:rsidR="0098771F">
        <w:rPr>
          <w:noProof/>
        </w:rPr>
        <w:t>1</w:t>
      </w:r>
      <w:r w:rsidR="00321C5D">
        <w:rPr>
          <w:noProof/>
        </w:rPr>
        <w:fldChar w:fldCharType="end"/>
      </w:r>
      <w:bookmarkEnd w:id="27"/>
      <w:r w:rsidR="00A34908" w:rsidRPr="00EA58E6">
        <w:t>: Asset management roles</w:t>
      </w:r>
      <w:bookmarkEnd w:id="28"/>
      <w:bookmarkEnd w:id="29"/>
      <w:bookmarkEnd w:id="30"/>
    </w:p>
    <w:tbl>
      <w:tblPr>
        <w:tblW w:w="4931"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817"/>
        <w:gridCol w:w="6151"/>
      </w:tblGrid>
      <w:tr w:rsidR="00EA58E6" w:rsidRPr="00395B7A" w14:paraId="40F5B896" w14:textId="77777777" w:rsidTr="00EA58E6">
        <w:trPr>
          <w:cantSplit/>
        </w:trPr>
        <w:tc>
          <w:tcPr>
            <w:tcW w:w="1140" w:type="pct"/>
            <w:tcBorders>
              <w:top w:val="nil"/>
              <w:bottom w:val="nil"/>
            </w:tcBorders>
            <w:shd w:val="clear" w:color="auto" w:fill="D9D9D9" w:themeFill="background1" w:themeFillShade="D9"/>
          </w:tcPr>
          <w:p w14:paraId="71D9D14F" w14:textId="77777777" w:rsidR="00A34908" w:rsidRPr="00395B7A" w:rsidRDefault="00A34908" w:rsidP="00EA58E6">
            <w:pPr>
              <w:pStyle w:val="TableText"/>
              <w:keepNext/>
              <w:ind w:right="113"/>
              <w:rPr>
                <w:b/>
              </w:rPr>
            </w:pPr>
            <w:bookmarkStart w:id="31" w:name="_Hlk34202812"/>
            <w:r w:rsidRPr="00395B7A">
              <w:rPr>
                <w:b/>
              </w:rPr>
              <w:t>Title</w:t>
            </w:r>
          </w:p>
        </w:tc>
        <w:tc>
          <w:tcPr>
            <w:tcW w:w="3860" w:type="pct"/>
            <w:tcBorders>
              <w:top w:val="nil"/>
              <w:bottom w:val="nil"/>
            </w:tcBorders>
            <w:shd w:val="clear" w:color="auto" w:fill="D9D9D9" w:themeFill="background1" w:themeFillShade="D9"/>
          </w:tcPr>
          <w:p w14:paraId="4C3FA6FB" w14:textId="77777777" w:rsidR="00A34908" w:rsidRPr="00395B7A" w:rsidRDefault="00A34908" w:rsidP="00EA58E6">
            <w:pPr>
              <w:pStyle w:val="TableText"/>
              <w:keepNext/>
              <w:rPr>
                <w:b/>
              </w:rPr>
            </w:pPr>
            <w:r w:rsidRPr="00395B7A">
              <w:rPr>
                <w:b/>
              </w:rPr>
              <w:t>Role</w:t>
            </w:r>
          </w:p>
        </w:tc>
      </w:tr>
      <w:bookmarkEnd w:id="31"/>
      <w:tr w:rsidR="00EA58E6" w:rsidRPr="00985362" w14:paraId="72B3EB57" w14:textId="77777777" w:rsidTr="00EA58E6">
        <w:trPr>
          <w:cantSplit/>
        </w:trPr>
        <w:tc>
          <w:tcPr>
            <w:tcW w:w="1140" w:type="pct"/>
            <w:tcBorders>
              <w:top w:val="nil"/>
            </w:tcBorders>
          </w:tcPr>
          <w:p w14:paraId="2DB71E52" w14:textId="77777777" w:rsidR="00A34908" w:rsidRPr="000367E9" w:rsidRDefault="00A34908" w:rsidP="00EA58E6">
            <w:pPr>
              <w:pStyle w:val="TableText"/>
              <w:keepNext/>
              <w:ind w:right="113"/>
              <w:rPr>
                <w:b/>
              </w:rPr>
            </w:pPr>
            <w:r w:rsidRPr="000367E9">
              <w:t>Treasury</w:t>
            </w:r>
          </w:p>
        </w:tc>
        <w:tc>
          <w:tcPr>
            <w:tcW w:w="3860" w:type="pct"/>
            <w:tcBorders>
              <w:top w:val="nil"/>
            </w:tcBorders>
          </w:tcPr>
          <w:p w14:paraId="651302BC" w14:textId="77777777" w:rsidR="00A34908" w:rsidRPr="00985362" w:rsidRDefault="00A34908" w:rsidP="00EA58E6">
            <w:pPr>
              <w:pStyle w:val="TableText"/>
              <w:keepNext/>
              <w:rPr>
                <w:rFonts w:cs="Segoe UI"/>
                <w:szCs w:val="21"/>
              </w:rPr>
            </w:pPr>
            <w:r w:rsidRPr="00985362">
              <w:rPr>
                <w:rFonts w:cs="Segoe UI"/>
                <w:szCs w:val="21"/>
              </w:rPr>
              <w:t>The Treasury is the Government</w:t>
            </w:r>
            <w:r w:rsidR="00010E97">
              <w:rPr>
                <w:rFonts w:cs="Segoe UI"/>
                <w:szCs w:val="21"/>
              </w:rPr>
              <w:t>’</w:t>
            </w:r>
            <w:r w:rsidRPr="00985362">
              <w:rPr>
                <w:rFonts w:cs="Segoe UI"/>
                <w:szCs w:val="21"/>
              </w:rPr>
              <w:t>s lead economic and financial adviser</w:t>
            </w:r>
            <w:r w:rsidR="00395B7A">
              <w:rPr>
                <w:rFonts w:cs="Segoe UI"/>
                <w:szCs w:val="21"/>
              </w:rPr>
              <w:t>.</w:t>
            </w:r>
          </w:p>
          <w:p w14:paraId="255CC30F" w14:textId="77777777" w:rsidR="00A34908" w:rsidRPr="000367E9" w:rsidRDefault="00A34908" w:rsidP="00EA58E6">
            <w:pPr>
              <w:pStyle w:val="TableText"/>
              <w:keepNext/>
            </w:pPr>
            <w:r w:rsidRPr="00985362">
              <w:rPr>
                <w:rFonts w:cs="Segoe UI"/>
                <w:szCs w:val="21"/>
              </w:rPr>
              <w:t>I</w:t>
            </w:r>
            <w:r>
              <w:rPr>
                <w:rFonts w:cs="Segoe UI"/>
                <w:szCs w:val="21"/>
              </w:rPr>
              <w:t>t i</w:t>
            </w:r>
            <w:r w:rsidRPr="00985362">
              <w:rPr>
                <w:rFonts w:cs="Segoe UI"/>
                <w:szCs w:val="21"/>
              </w:rPr>
              <w:t xml:space="preserve">ncludes </w:t>
            </w:r>
            <w:r>
              <w:rPr>
                <w:rFonts w:cs="Segoe UI"/>
                <w:szCs w:val="21"/>
              </w:rPr>
              <w:t xml:space="preserve">an </w:t>
            </w:r>
            <w:r w:rsidRPr="00985362">
              <w:rPr>
                <w:rFonts w:cs="Segoe UI"/>
                <w:szCs w:val="21"/>
              </w:rPr>
              <w:t xml:space="preserve">Investment Management and Asset Performance (IMAP) group that manages the Investor Confidence Rating (ICR) and provides information and advice to </w:t>
            </w:r>
            <w:r>
              <w:rPr>
                <w:rFonts w:cs="Segoe UI"/>
                <w:szCs w:val="21"/>
              </w:rPr>
              <w:t>m</w:t>
            </w:r>
            <w:r w:rsidRPr="00985362">
              <w:rPr>
                <w:rFonts w:cs="Segoe UI"/>
                <w:szCs w:val="21"/>
              </w:rPr>
              <w:t>inisters on the investment performance of public entities</w:t>
            </w:r>
            <w:r w:rsidR="00395B7A">
              <w:rPr>
                <w:rFonts w:cs="Segoe UI"/>
                <w:szCs w:val="21"/>
              </w:rPr>
              <w:t>.</w:t>
            </w:r>
          </w:p>
        </w:tc>
      </w:tr>
      <w:tr w:rsidR="00A34908" w:rsidRPr="00985362" w14:paraId="13B49AA2" w14:textId="77777777" w:rsidTr="00EA58E6">
        <w:trPr>
          <w:cantSplit/>
        </w:trPr>
        <w:tc>
          <w:tcPr>
            <w:tcW w:w="1140" w:type="pct"/>
          </w:tcPr>
          <w:p w14:paraId="7B586116" w14:textId="77777777" w:rsidR="00A34908" w:rsidRPr="000367E9" w:rsidRDefault="00A34908" w:rsidP="00EA58E6">
            <w:pPr>
              <w:pStyle w:val="TableText"/>
              <w:keepNext/>
              <w:ind w:right="113"/>
              <w:rPr>
                <w:b/>
              </w:rPr>
            </w:pPr>
            <w:r w:rsidRPr="000367E9">
              <w:t>Ministry of Health</w:t>
            </w:r>
          </w:p>
        </w:tc>
        <w:tc>
          <w:tcPr>
            <w:tcW w:w="3860" w:type="pct"/>
          </w:tcPr>
          <w:p w14:paraId="08918C32" w14:textId="77777777" w:rsidR="00A34908" w:rsidRPr="00985362" w:rsidRDefault="00A34908" w:rsidP="00EA58E6">
            <w:pPr>
              <w:pStyle w:val="TableText"/>
              <w:keepNext/>
              <w:rPr>
                <w:rFonts w:cs="Segoe UI"/>
                <w:szCs w:val="21"/>
              </w:rPr>
            </w:pPr>
            <w:r w:rsidRPr="00985362">
              <w:rPr>
                <w:rFonts w:cs="Segoe UI"/>
                <w:szCs w:val="21"/>
              </w:rPr>
              <w:t>The Ministry leads New Zealand</w:t>
            </w:r>
            <w:r w:rsidR="00010E97">
              <w:rPr>
                <w:rFonts w:cs="Segoe UI"/>
                <w:szCs w:val="21"/>
              </w:rPr>
              <w:t>’</w:t>
            </w:r>
            <w:r w:rsidRPr="00985362">
              <w:rPr>
                <w:rFonts w:cs="Segoe UI"/>
                <w:szCs w:val="21"/>
              </w:rPr>
              <w:t xml:space="preserve">s health and disability system and has overall responsibility for </w:t>
            </w:r>
            <w:r>
              <w:rPr>
                <w:rFonts w:cs="Segoe UI"/>
                <w:szCs w:val="21"/>
              </w:rPr>
              <w:t xml:space="preserve">its </w:t>
            </w:r>
            <w:r w:rsidRPr="00985362">
              <w:rPr>
                <w:rFonts w:cs="Segoe UI"/>
                <w:szCs w:val="21"/>
              </w:rPr>
              <w:t>management and development</w:t>
            </w:r>
            <w:r>
              <w:rPr>
                <w:rFonts w:cs="Segoe UI"/>
                <w:szCs w:val="21"/>
              </w:rPr>
              <w:t>.</w:t>
            </w:r>
            <w:r w:rsidRPr="00395025">
              <w:rPr>
                <w:rFonts w:cs="Segoe UI"/>
                <w:szCs w:val="21"/>
              </w:rPr>
              <w:t xml:space="preserve"> The Minister</w:t>
            </w:r>
            <w:r w:rsidR="00010E97">
              <w:rPr>
                <w:rFonts w:cs="Segoe UI"/>
                <w:szCs w:val="21"/>
              </w:rPr>
              <w:t>’</w:t>
            </w:r>
            <w:r w:rsidRPr="00395025">
              <w:rPr>
                <w:rFonts w:cs="Segoe UI"/>
                <w:szCs w:val="21"/>
              </w:rPr>
              <w:t>s functions, duties, responsibilities and powers are specified in the New Zealand Public Health and Disability Act 2000 and other legislation</w:t>
            </w:r>
            <w:r w:rsidR="00395B7A">
              <w:rPr>
                <w:rFonts w:cs="Segoe UI"/>
                <w:szCs w:val="21"/>
              </w:rPr>
              <w:t>.</w:t>
            </w:r>
          </w:p>
          <w:p w14:paraId="52BC0FBD" w14:textId="77777777" w:rsidR="00A34908" w:rsidRPr="000367E9" w:rsidRDefault="00A34908" w:rsidP="00EA58E6">
            <w:pPr>
              <w:pStyle w:val="TableText"/>
              <w:keepNext/>
            </w:pPr>
            <w:r>
              <w:rPr>
                <w:rFonts w:cs="Segoe UI"/>
                <w:szCs w:val="21"/>
              </w:rPr>
              <w:t>The Ministry c</w:t>
            </w:r>
            <w:r w:rsidRPr="00985362">
              <w:rPr>
                <w:rFonts w:cs="Segoe UI"/>
                <w:szCs w:val="21"/>
              </w:rPr>
              <w:t>onvenes the Capital Investment Committee (CIC</w:t>
            </w:r>
            <w:r>
              <w:rPr>
                <w:rFonts w:cs="Segoe UI"/>
                <w:szCs w:val="21"/>
              </w:rPr>
              <w:t>).</w:t>
            </w:r>
          </w:p>
        </w:tc>
      </w:tr>
      <w:tr w:rsidR="00EA58E6" w:rsidRPr="00985362" w14:paraId="756FFBEB" w14:textId="77777777" w:rsidTr="00EA58E6">
        <w:trPr>
          <w:cantSplit/>
        </w:trPr>
        <w:tc>
          <w:tcPr>
            <w:tcW w:w="1140" w:type="pct"/>
          </w:tcPr>
          <w:p w14:paraId="129CEB95" w14:textId="77777777" w:rsidR="00A34908" w:rsidRPr="000367E9" w:rsidRDefault="00A34908" w:rsidP="00395B7A">
            <w:pPr>
              <w:pStyle w:val="TableText"/>
              <w:ind w:right="113"/>
              <w:rPr>
                <w:b/>
              </w:rPr>
            </w:pPr>
            <w:r w:rsidRPr="000367E9">
              <w:t>Capital Investment Committee</w:t>
            </w:r>
          </w:p>
        </w:tc>
        <w:tc>
          <w:tcPr>
            <w:tcW w:w="3860" w:type="pct"/>
          </w:tcPr>
          <w:p w14:paraId="2906657C" w14:textId="77777777" w:rsidR="00A34908" w:rsidRPr="000367E9" w:rsidRDefault="00A34908" w:rsidP="00395B7A">
            <w:pPr>
              <w:pStyle w:val="TableText"/>
            </w:pPr>
            <w:r w:rsidRPr="00985362">
              <w:rPr>
                <w:rFonts w:cs="Segoe UI"/>
                <w:szCs w:val="21"/>
              </w:rPr>
              <w:t xml:space="preserve">The CIC is a section 11 committee </w:t>
            </w:r>
            <w:r>
              <w:rPr>
                <w:rFonts w:cs="Segoe UI"/>
                <w:szCs w:val="21"/>
              </w:rPr>
              <w:t xml:space="preserve">that </w:t>
            </w:r>
            <w:r w:rsidRPr="00985362">
              <w:rPr>
                <w:rFonts w:cs="Segoe UI"/>
                <w:szCs w:val="21"/>
              </w:rPr>
              <w:t>provides advice to the Ministers of Health and Finance on the prioritisation and allocation of funding for capital investment and health infrastructure</w:t>
            </w:r>
            <w:r>
              <w:rPr>
                <w:rFonts w:cs="Segoe UI"/>
                <w:szCs w:val="21"/>
              </w:rPr>
              <w:t xml:space="preserve"> requiring investment greater than </w:t>
            </w:r>
            <w:r w:rsidRPr="00985362">
              <w:rPr>
                <w:rFonts w:cs="Segoe UI"/>
                <w:szCs w:val="21"/>
              </w:rPr>
              <w:t>$10</w:t>
            </w:r>
            <w:r>
              <w:rPr>
                <w:rFonts w:cs="Segoe UI"/>
                <w:szCs w:val="21"/>
              </w:rPr>
              <w:t> </w:t>
            </w:r>
            <w:r w:rsidRPr="00985362">
              <w:rPr>
                <w:rFonts w:cs="Segoe UI"/>
                <w:szCs w:val="21"/>
              </w:rPr>
              <w:t>m</w:t>
            </w:r>
            <w:r>
              <w:rPr>
                <w:rFonts w:cs="Segoe UI"/>
                <w:szCs w:val="21"/>
              </w:rPr>
              <w:t xml:space="preserve">illion and for IT projects greater than $3 million. In future, it will </w:t>
            </w:r>
            <w:r w:rsidRPr="00985362">
              <w:rPr>
                <w:rFonts w:cs="Segoe UI"/>
                <w:szCs w:val="21"/>
              </w:rPr>
              <w:t>set the investment management framework across DHBs</w:t>
            </w:r>
            <w:r w:rsidR="00395B7A">
              <w:rPr>
                <w:rFonts w:cs="Segoe UI"/>
                <w:szCs w:val="21"/>
              </w:rPr>
              <w:t>.</w:t>
            </w:r>
          </w:p>
        </w:tc>
      </w:tr>
      <w:tr w:rsidR="00A34908" w:rsidRPr="00985362" w14:paraId="24288CA5" w14:textId="77777777" w:rsidTr="00EA58E6">
        <w:trPr>
          <w:cantSplit/>
        </w:trPr>
        <w:tc>
          <w:tcPr>
            <w:tcW w:w="1140" w:type="pct"/>
          </w:tcPr>
          <w:p w14:paraId="64205736" w14:textId="77777777" w:rsidR="00A34908" w:rsidRPr="000367E9" w:rsidRDefault="00A34908" w:rsidP="00395B7A">
            <w:pPr>
              <w:pStyle w:val="TableText"/>
              <w:ind w:right="113"/>
              <w:rPr>
                <w:b/>
              </w:rPr>
            </w:pPr>
            <w:r>
              <w:t>DHBs</w:t>
            </w:r>
          </w:p>
        </w:tc>
        <w:tc>
          <w:tcPr>
            <w:tcW w:w="3860" w:type="pct"/>
          </w:tcPr>
          <w:p w14:paraId="47BEA1BC" w14:textId="77777777" w:rsidR="00A34908" w:rsidRPr="00985362" w:rsidRDefault="00A34908" w:rsidP="00395B7A">
            <w:pPr>
              <w:pStyle w:val="TableText"/>
              <w:rPr>
                <w:rFonts w:cs="Segoe UI"/>
                <w:szCs w:val="21"/>
              </w:rPr>
            </w:pPr>
            <w:r w:rsidRPr="00985362">
              <w:rPr>
                <w:rFonts w:cs="Segoe UI"/>
                <w:szCs w:val="21"/>
              </w:rPr>
              <w:t>The New Zealand Public Health and Disability Act 2000 created DHBs and sets out the following objectives</w:t>
            </w:r>
            <w:r>
              <w:rPr>
                <w:rFonts w:cs="Segoe UI"/>
                <w:szCs w:val="21"/>
              </w:rPr>
              <w:t xml:space="preserve"> for them</w:t>
            </w:r>
            <w:r w:rsidRPr="00985362">
              <w:rPr>
                <w:rFonts w:cs="Segoe UI"/>
                <w:szCs w:val="21"/>
              </w:rPr>
              <w:t>:</w:t>
            </w:r>
          </w:p>
          <w:p w14:paraId="774F9172" w14:textId="77777777" w:rsidR="00A34908" w:rsidRPr="000367E9" w:rsidRDefault="00A34908" w:rsidP="00395B7A">
            <w:pPr>
              <w:pStyle w:val="TableBullet"/>
            </w:pPr>
            <w:r w:rsidRPr="000367E9">
              <w:t>improving, promoting and protecting the health of people and communities</w:t>
            </w:r>
          </w:p>
          <w:p w14:paraId="428BAEB0" w14:textId="77777777" w:rsidR="00A34908" w:rsidRPr="000367E9" w:rsidRDefault="00A34908" w:rsidP="00395B7A">
            <w:pPr>
              <w:pStyle w:val="TableBullet"/>
            </w:pPr>
            <w:r w:rsidRPr="000367E9">
              <w:t>promoting the integration of health services, especially primary and secondary care services</w:t>
            </w:r>
          </w:p>
          <w:p w14:paraId="03B95B8D" w14:textId="77777777" w:rsidR="00A34908" w:rsidRPr="000367E9" w:rsidRDefault="00A34908" w:rsidP="00395B7A">
            <w:pPr>
              <w:pStyle w:val="TableBullet"/>
            </w:pPr>
            <w:r w:rsidRPr="000367E9">
              <w:t>seeking the optimum arrangement for the most effective and efficient delivery of health services in order to meet local, regional and national needs</w:t>
            </w:r>
          </w:p>
          <w:p w14:paraId="78F9D9E1" w14:textId="77777777" w:rsidR="00A34908" w:rsidRPr="000367E9" w:rsidRDefault="00A34908" w:rsidP="00395B7A">
            <w:pPr>
              <w:pStyle w:val="TableBullet"/>
              <w:rPr>
                <w:color w:val="1F497D"/>
              </w:rPr>
            </w:pPr>
            <w:r w:rsidRPr="000367E9">
              <w:t>promoting effective care or support of those in need of personal health services or disability support</w:t>
            </w:r>
            <w:r w:rsidR="00EA58E6">
              <w:t>.</w:t>
            </w:r>
          </w:p>
        </w:tc>
      </w:tr>
      <w:tr w:rsidR="00EA58E6" w:rsidRPr="00985362" w14:paraId="351828A4" w14:textId="77777777" w:rsidTr="00EA58E6">
        <w:trPr>
          <w:cantSplit/>
        </w:trPr>
        <w:tc>
          <w:tcPr>
            <w:tcW w:w="1140" w:type="pct"/>
          </w:tcPr>
          <w:p w14:paraId="42A84BD1" w14:textId="77777777" w:rsidR="00A34908" w:rsidRPr="00EA58E6" w:rsidRDefault="00A34908" w:rsidP="00EA58E6">
            <w:pPr>
              <w:pStyle w:val="TableText"/>
              <w:ind w:right="113"/>
            </w:pPr>
            <w:r w:rsidRPr="00EA58E6">
              <w:t>Health Research Council of New Zealand</w:t>
            </w:r>
            <w:r w:rsidR="00EA58E6" w:rsidRPr="00EA58E6">
              <w:t xml:space="preserve"> </w:t>
            </w:r>
            <w:r w:rsidRPr="00EA58E6">
              <w:t>(HRC)</w:t>
            </w:r>
          </w:p>
        </w:tc>
        <w:tc>
          <w:tcPr>
            <w:tcW w:w="3860" w:type="pct"/>
          </w:tcPr>
          <w:p w14:paraId="4D715B67" w14:textId="77777777" w:rsidR="00A34908" w:rsidRPr="00985362" w:rsidRDefault="00A34908" w:rsidP="00395B7A">
            <w:pPr>
              <w:pStyle w:val="TableText"/>
              <w:rPr>
                <w:rFonts w:cs="Segoe UI"/>
                <w:szCs w:val="21"/>
              </w:rPr>
            </w:pPr>
            <w:r>
              <w:rPr>
                <w:rFonts w:cs="Segoe UI"/>
                <w:szCs w:val="21"/>
              </w:rPr>
              <w:t>The HRC is r</w:t>
            </w:r>
            <w:r w:rsidRPr="00985362">
              <w:rPr>
                <w:rFonts w:cs="Segoe UI"/>
                <w:szCs w:val="21"/>
              </w:rPr>
              <w:t>esponsible for the allocation of the government</w:t>
            </w:r>
            <w:r w:rsidR="00010E97">
              <w:rPr>
                <w:rFonts w:cs="Segoe UI"/>
                <w:szCs w:val="21"/>
              </w:rPr>
              <w:t>’</w:t>
            </w:r>
            <w:r w:rsidRPr="00985362">
              <w:rPr>
                <w:rFonts w:cs="Segoe UI"/>
                <w:szCs w:val="21"/>
              </w:rPr>
              <w:t xml:space="preserve">s investment in public-good health research. </w:t>
            </w:r>
            <w:r>
              <w:rPr>
                <w:rFonts w:cs="Segoe UI"/>
                <w:szCs w:val="21"/>
              </w:rPr>
              <w:t xml:space="preserve">It </w:t>
            </w:r>
            <w:r w:rsidRPr="00985362">
              <w:rPr>
                <w:rFonts w:cs="Segoe UI"/>
                <w:szCs w:val="21"/>
              </w:rPr>
              <w:t>funds health research in four broad areas</w:t>
            </w:r>
            <w:r>
              <w:rPr>
                <w:rFonts w:cs="Segoe UI"/>
                <w:szCs w:val="21"/>
              </w:rPr>
              <w:t>:</w:t>
            </w:r>
          </w:p>
          <w:p w14:paraId="10CC6D64" w14:textId="77777777" w:rsidR="00A34908" w:rsidRPr="000367E9" w:rsidRDefault="00A34908" w:rsidP="00EA58E6">
            <w:pPr>
              <w:pStyle w:val="TableBullet"/>
            </w:pPr>
            <w:r w:rsidRPr="000367E9">
              <w:t>health and wellbeing in New Zealand – keeping New Zealanders healthy and independent throughout life</w:t>
            </w:r>
          </w:p>
          <w:p w14:paraId="0D8D492F" w14:textId="77777777" w:rsidR="00A34908" w:rsidRPr="000367E9" w:rsidRDefault="00A34908" w:rsidP="00EA58E6">
            <w:pPr>
              <w:pStyle w:val="TableBullet"/>
            </w:pPr>
            <w:r w:rsidRPr="000367E9">
              <w:t>improving outcomes for acute and chronic conditions – better recovery for people suffering an illness or injury</w:t>
            </w:r>
          </w:p>
          <w:p w14:paraId="003D37DE" w14:textId="77777777" w:rsidR="00A34908" w:rsidRPr="000367E9" w:rsidRDefault="00A34908" w:rsidP="00EA58E6">
            <w:pPr>
              <w:pStyle w:val="TableBullet"/>
            </w:pPr>
            <w:r w:rsidRPr="000367E9">
              <w:t>New Zealand health delivery – improving service delivery</w:t>
            </w:r>
          </w:p>
          <w:p w14:paraId="4794DE12" w14:textId="77777777" w:rsidR="00A34908" w:rsidRPr="000367E9" w:rsidRDefault="00A34908" w:rsidP="00EA58E6">
            <w:pPr>
              <w:pStyle w:val="TableBullet"/>
            </w:pPr>
            <w:r w:rsidRPr="000367E9">
              <w:t>Rangahau Hauora Māori (RHM)</w:t>
            </w:r>
            <w:r w:rsidRPr="000367E9" w:rsidDel="001663D8">
              <w:t xml:space="preserve"> </w:t>
            </w:r>
            <w:r w:rsidRPr="000367E9">
              <w:t>– supporting Māori health research</w:t>
            </w:r>
            <w:r w:rsidR="00EA58E6">
              <w:t>.</w:t>
            </w:r>
          </w:p>
        </w:tc>
      </w:tr>
      <w:tr w:rsidR="00A34908" w:rsidRPr="00985362" w14:paraId="658C1FB8" w14:textId="77777777" w:rsidTr="00EA58E6">
        <w:trPr>
          <w:cantSplit/>
        </w:trPr>
        <w:tc>
          <w:tcPr>
            <w:tcW w:w="1140" w:type="pct"/>
          </w:tcPr>
          <w:p w14:paraId="7ADBE41B" w14:textId="77777777" w:rsidR="00A34908" w:rsidRPr="00EA58E6" w:rsidRDefault="00A34908" w:rsidP="00EA58E6">
            <w:pPr>
              <w:pStyle w:val="TableText"/>
              <w:ind w:right="113"/>
            </w:pPr>
            <w:r w:rsidRPr="00EA58E6">
              <w:t>Health Quality &amp; Safety Commission</w:t>
            </w:r>
            <w:r w:rsidR="00EA58E6" w:rsidRPr="00EA58E6">
              <w:t xml:space="preserve"> </w:t>
            </w:r>
            <w:r w:rsidRPr="00EA58E6">
              <w:t>(HQSC)</w:t>
            </w:r>
          </w:p>
        </w:tc>
        <w:tc>
          <w:tcPr>
            <w:tcW w:w="3860" w:type="pct"/>
          </w:tcPr>
          <w:p w14:paraId="60CAD96A" w14:textId="77777777" w:rsidR="00A34908" w:rsidRPr="00985362" w:rsidRDefault="00A34908" w:rsidP="00395B7A">
            <w:pPr>
              <w:pStyle w:val="TableText"/>
              <w:rPr>
                <w:rFonts w:cs="Segoe UI"/>
                <w:color w:val="000000" w:themeColor="text1"/>
                <w:szCs w:val="21"/>
              </w:rPr>
            </w:pPr>
            <w:r>
              <w:rPr>
                <w:rFonts w:cs="Segoe UI"/>
                <w:szCs w:val="21"/>
              </w:rPr>
              <w:t>The HQSC l</w:t>
            </w:r>
            <w:r w:rsidRPr="00985362">
              <w:rPr>
                <w:rFonts w:cs="Segoe UI"/>
                <w:szCs w:val="21"/>
              </w:rPr>
              <w:t xml:space="preserve">eads and coordinates work across the health and disability sector for the purposes of monitoring and improving the quality and safety of health and disability support </w:t>
            </w:r>
            <w:r w:rsidRPr="00985362">
              <w:rPr>
                <w:rFonts w:cs="Segoe UI"/>
                <w:color w:val="000000" w:themeColor="text1"/>
                <w:szCs w:val="21"/>
              </w:rPr>
              <w:t>services</w:t>
            </w:r>
            <w:r w:rsidR="00EA58E6">
              <w:rPr>
                <w:rFonts w:cs="Segoe UI"/>
                <w:color w:val="000000" w:themeColor="text1"/>
                <w:szCs w:val="21"/>
              </w:rPr>
              <w:t>.</w:t>
            </w:r>
          </w:p>
          <w:p w14:paraId="6103B037" w14:textId="77777777" w:rsidR="00A34908" w:rsidRPr="00F940FC" w:rsidRDefault="00A34908" w:rsidP="00395B7A">
            <w:pPr>
              <w:pStyle w:val="TableText"/>
              <w:rPr>
                <w:color w:val="1F497D"/>
              </w:rPr>
            </w:pPr>
            <w:r>
              <w:rPr>
                <w:color w:val="000000" w:themeColor="text1"/>
              </w:rPr>
              <w:t xml:space="preserve">It </w:t>
            </w:r>
            <w:r w:rsidRPr="000C515F">
              <w:rPr>
                <w:color w:val="000000" w:themeColor="text1"/>
              </w:rPr>
              <w:t>provide</w:t>
            </w:r>
            <w:r>
              <w:rPr>
                <w:color w:val="000000" w:themeColor="text1"/>
              </w:rPr>
              <w:t>s</w:t>
            </w:r>
            <w:r w:rsidRPr="000C515F">
              <w:rPr>
                <w:color w:val="000000" w:themeColor="text1"/>
              </w:rPr>
              <w:t xml:space="preserve"> advice to the Minister of Health on how quality and safety in health and disability support services may be improved</w:t>
            </w:r>
            <w:r>
              <w:rPr>
                <w:color w:val="000000" w:themeColor="text1"/>
              </w:rPr>
              <w:t xml:space="preserve">, and is </w:t>
            </w:r>
            <w:r w:rsidRPr="000C515F">
              <w:rPr>
                <w:color w:val="000000" w:themeColor="text1"/>
              </w:rPr>
              <w:t>responsible for determining and reporting quality and safety indicators (such as serious adverse events) for health and disability support services</w:t>
            </w:r>
            <w:r w:rsidR="00EA58E6">
              <w:rPr>
                <w:color w:val="000000" w:themeColor="text1"/>
              </w:rPr>
              <w:t>.</w:t>
            </w:r>
          </w:p>
        </w:tc>
      </w:tr>
    </w:tbl>
    <w:p w14:paraId="4BA9CBB5" w14:textId="77777777" w:rsidR="00A34908" w:rsidRDefault="00A34908" w:rsidP="00EA58E6"/>
    <w:p w14:paraId="4BF8ADE1" w14:textId="77777777" w:rsidR="00A34908" w:rsidRDefault="00A34908" w:rsidP="00EA58E6">
      <w:r>
        <w:lastRenderedPageBreak/>
        <w:t>In its standards and guidance for asset management, the Treasury makes reference to the N</w:t>
      </w:r>
      <w:r w:rsidRPr="00F940FC">
        <w:t>ational Asset Management Support Group</w:t>
      </w:r>
      <w:r w:rsidR="00010E97">
        <w:t>’</w:t>
      </w:r>
      <w:r>
        <w:t xml:space="preserve">s International Infrastructure Management Manual </w:t>
      </w:r>
      <w:r w:rsidRPr="00734B31">
        <w:t>(</w:t>
      </w:r>
      <w:r>
        <w:t>IIMM), the fifth edition of which was published in 2015. The IIMM sets out 16 functional asset management areas.</w:t>
      </w:r>
    </w:p>
    <w:p w14:paraId="1E336363" w14:textId="77777777" w:rsidR="00010E97" w:rsidRDefault="00010E97" w:rsidP="00EA58E6"/>
    <w:p w14:paraId="34788DDB" w14:textId="1634CCDD" w:rsidR="00A34908" w:rsidRDefault="00EA58E6" w:rsidP="00EA58E6">
      <w:r>
        <w:fldChar w:fldCharType="begin"/>
      </w:r>
      <w:r>
        <w:instrText xml:space="preserve"> REF _Ref54247563 \h </w:instrText>
      </w:r>
      <w:r>
        <w:fldChar w:fldCharType="separate"/>
      </w:r>
      <w:r w:rsidR="0098771F" w:rsidRPr="00EA58E6">
        <w:t xml:space="preserve">Table </w:t>
      </w:r>
      <w:r w:rsidR="0098771F">
        <w:rPr>
          <w:noProof/>
        </w:rPr>
        <w:t>2</w:t>
      </w:r>
      <w:r>
        <w:fldChar w:fldCharType="end"/>
      </w:r>
      <w:r w:rsidR="00A34908" w:rsidRPr="00C21FA6">
        <w:t xml:space="preserve"> defines </w:t>
      </w:r>
      <w:r w:rsidR="00A34908">
        <w:t>national (the Ministry of Health</w:t>
      </w:r>
      <w:r w:rsidR="00010E97">
        <w:t>’</w:t>
      </w:r>
      <w:r w:rsidR="00A34908">
        <w:t>s), regional (where relevant regional agencies exist; for example, the Northern Regional Alliance) and local (DHBs</w:t>
      </w:r>
      <w:r w:rsidR="00010E97">
        <w:t>’</w:t>
      </w:r>
      <w:r w:rsidR="00A34908">
        <w:t xml:space="preserve">) </w:t>
      </w:r>
      <w:r w:rsidR="00A34908" w:rsidRPr="00C21FA6">
        <w:t>responsibilit</w:t>
      </w:r>
      <w:r w:rsidR="00A34908">
        <w:t>ies</w:t>
      </w:r>
      <w:r w:rsidR="00A34908" w:rsidRPr="00C21FA6">
        <w:t xml:space="preserve"> areas against the 16 </w:t>
      </w:r>
      <w:r w:rsidR="00A34908">
        <w:t>functional asset management areas (</w:t>
      </w:r>
      <w:r w:rsidR="00A34908" w:rsidRPr="00C21FA6">
        <w:t xml:space="preserve">IIMM </w:t>
      </w:r>
      <w:r w:rsidR="00A34908">
        <w:t>2015)</w:t>
      </w:r>
      <w:r w:rsidR="00A34908" w:rsidRPr="00C21FA6">
        <w:t>.</w:t>
      </w:r>
    </w:p>
    <w:p w14:paraId="0FE6C994" w14:textId="77777777" w:rsidR="00EA58E6" w:rsidRDefault="00EA58E6" w:rsidP="00EA58E6"/>
    <w:p w14:paraId="23CFDD07" w14:textId="3A877B7C" w:rsidR="00A34908" w:rsidRPr="00EA58E6" w:rsidRDefault="00EA58E6" w:rsidP="00EA58E6">
      <w:pPr>
        <w:pStyle w:val="Table"/>
      </w:pPr>
      <w:bookmarkStart w:id="32" w:name="_Ref54247563"/>
      <w:bookmarkStart w:id="33" w:name="_Toc39645379"/>
      <w:bookmarkStart w:id="34" w:name="_Toc44928282"/>
      <w:bookmarkStart w:id="35" w:name="_Toc54353515"/>
      <w:r w:rsidRPr="00EA58E6">
        <w:t xml:space="preserve">Table </w:t>
      </w:r>
      <w:r w:rsidR="00321C5D">
        <w:fldChar w:fldCharType="begin"/>
      </w:r>
      <w:r w:rsidR="00321C5D">
        <w:instrText xml:space="preserve"> SEQ Table \* ARABIC </w:instrText>
      </w:r>
      <w:r w:rsidR="00321C5D">
        <w:fldChar w:fldCharType="separate"/>
      </w:r>
      <w:r w:rsidR="0098771F">
        <w:rPr>
          <w:noProof/>
        </w:rPr>
        <w:t>2</w:t>
      </w:r>
      <w:r w:rsidR="00321C5D">
        <w:rPr>
          <w:noProof/>
        </w:rPr>
        <w:fldChar w:fldCharType="end"/>
      </w:r>
      <w:bookmarkEnd w:id="32"/>
      <w:r w:rsidR="00A34908" w:rsidRPr="00EA58E6">
        <w:t>: National, regional and local roles and responsibilities</w:t>
      </w:r>
      <w:bookmarkEnd w:id="33"/>
      <w:bookmarkEnd w:id="34"/>
      <w:bookmarkEnd w:id="35"/>
    </w:p>
    <w:tbl>
      <w:tblPr>
        <w:tblW w:w="4931" w:type="pct"/>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4335"/>
        <w:gridCol w:w="1211"/>
        <w:gridCol w:w="1211"/>
        <w:gridCol w:w="1211"/>
      </w:tblGrid>
      <w:tr w:rsidR="00EA58E6" w:rsidRPr="00EA58E6" w14:paraId="017B3291" w14:textId="77777777" w:rsidTr="00EA58E6">
        <w:trPr>
          <w:cantSplit/>
        </w:trPr>
        <w:tc>
          <w:tcPr>
            <w:tcW w:w="2720" w:type="pct"/>
            <w:tcBorders>
              <w:top w:val="nil"/>
              <w:left w:val="nil"/>
              <w:bottom w:val="nil"/>
              <w:right w:val="nil"/>
            </w:tcBorders>
            <w:shd w:val="clear" w:color="auto" w:fill="D9D9D9" w:themeFill="background1" w:themeFillShade="D9"/>
          </w:tcPr>
          <w:p w14:paraId="785F1A19" w14:textId="77777777" w:rsidR="00A34908" w:rsidRPr="00EA58E6" w:rsidRDefault="00EA58E6" w:rsidP="00EA58E6">
            <w:pPr>
              <w:pStyle w:val="TableText"/>
              <w:ind w:right="113"/>
              <w:rPr>
                <w:b/>
              </w:rPr>
            </w:pPr>
            <w:bookmarkStart w:id="36" w:name="_Hlk34386371"/>
            <w:r w:rsidRPr="00EA58E6">
              <w:rPr>
                <w:b/>
              </w:rPr>
              <w:t>Asset management functional areas</w:t>
            </w:r>
          </w:p>
        </w:tc>
        <w:tc>
          <w:tcPr>
            <w:tcW w:w="760" w:type="pct"/>
            <w:tcBorders>
              <w:top w:val="nil"/>
              <w:left w:val="nil"/>
              <w:bottom w:val="nil"/>
              <w:right w:val="nil"/>
            </w:tcBorders>
            <w:shd w:val="clear" w:color="auto" w:fill="D9D9D9" w:themeFill="background1" w:themeFillShade="D9"/>
          </w:tcPr>
          <w:p w14:paraId="73793900" w14:textId="77777777" w:rsidR="00A34908" w:rsidRPr="00EA58E6" w:rsidRDefault="00A34908" w:rsidP="00EA58E6">
            <w:pPr>
              <w:pStyle w:val="TableText"/>
              <w:jc w:val="center"/>
              <w:rPr>
                <w:b/>
              </w:rPr>
            </w:pPr>
            <w:r w:rsidRPr="00EA58E6">
              <w:rPr>
                <w:b/>
              </w:rPr>
              <w:t>National</w:t>
            </w:r>
          </w:p>
        </w:tc>
        <w:tc>
          <w:tcPr>
            <w:tcW w:w="760" w:type="pct"/>
            <w:tcBorders>
              <w:top w:val="nil"/>
              <w:left w:val="nil"/>
              <w:bottom w:val="nil"/>
              <w:right w:val="nil"/>
            </w:tcBorders>
            <w:shd w:val="clear" w:color="auto" w:fill="D9D9D9" w:themeFill="background1" w:themeFillShade="D9"/>
          </w:tcPr>
          <w:p w14:paraId="0C8CA206" w14:textId="77777777" w:rsidR="00A34908" w:rsidRPr="00EA58E6" w:rsidRDefault="00A34908" w:rsidP="00EA58E6">
            <w:pPr>
              <w:pStyle w:val="TableText"/>
              <w:jc w:val="center"/>
              <w:rPr>
                <w:b/>
              </w:rPr>
            </w:pPr>
            <w:r w:rsidRPr="00EA58E6">
              <w:rPr>
                <w:b/>
              </w:rPr>
              <w:t>Regional</w:t>
            </w:r>
          </w:p>
        </w:tc>
        <w:tc>
          <w:tcPr>
            <w:tcW w:w="761" w:type="pct"/>
            <w:tcBorders>
              <w:top w:val="nil"/>
              <w:left w:val="nil"/>
              <w:bottom w:val="nil"/>
              <w:right w:val="nil"/>
            </w:tcBorders>
            <w:shd w:val="clear" w:color="auto" w:fill="D9D9D9" w:themeFill="background1" w:themeFillShade="D9"/>
          </w:tcPr>
          <w:p w14:paraId="0A307EC0" w14:textId="77777777" w:rsidR="00A34908" w:rsidRPr="00EA58E6" w:rsidRDefault="00A34908" w:rsidP="00EA58E6">
            <w:pPr>
              <w:pStyle w:val="TableText"/>
              <w:jc w:val="center"/>
              <w:rPr>
                <w:b/>
              </w:rPr>
            </w:pPr>
            <w:r w:rsidRPr="00EA58E6">
              <w:rPr>
                <w:b/>
              </w:rPr>
              <w:t>Local</w:t>
            </w:r>
          </w:p>
        </w:tc>
      </w:tr>
      <w:tr w:rsidR="00EA58E6" w:rsidRPr="00B30E8D" w14:paraId="7D2C7D8A" w14:textId="77777777" w:rsidTr="00EA58E6">
        <w:trPr>
          <w:cantSplit/>
        </w:trPr>
        <w:tc>
          <w:tcPr>
            <w:tcW w:w="2720" w:type="pct"/>
            <w:tcBorders>
              <w:top w:val="nil"/>
              <w:left w:val="nil"/>
              <w:right w:val="nil"/>
            </w:tcBorders>
            <w:shd w:val="clear" w:color="auto" w:fill="auto"/>
          </w:tcPr>
          <w:p w14:paraId="6E4F9B99" w14:textId="77777777" w:rsidR="00A34908" w:rsidRPr="00EA58E6" w:rsidRDefault="00A34908" w:rsidP="00EA58E6">
            <w:pPr>
              <w:pStyle w:val="TableText"/>
              <w:ind w:right="113"/>
              <w:rPr>
                <w:bCs/>
              </w:rPr>
            </w:pPr>
            <w:r w:rsidRPr="00EA58E6">
              <w:t xml:space="preserve">Asset </w:t>
            </w:r>
            <w:r w:rsidR="00EA58E6" w:rsidRPr="00EA58E6">
              <w:t>m</w:t>
            </w:r>
            <w:r w:rsidRPr="00EA58E6">
              <w:t xml:space="preserve">anagement </w:t>
            </w:r>
            <w:r w:rsidR="00EA58E6" w:rsidRPr="00EA58E6">
              <w:t>p</w:t>
            </w:r>
            <w:r w:rsidRPr="00EA58E6">
              <w:t xml:space="preserve">olicy and </w:t>
            </w:r>
            <w:r w:rsidR="00EA58E6" w:rsidRPr="00EA58E6">
              <w:t>s</w:t>
            </w:r>
            <w:r w:rsidRPr="00EA58E6">
              <w:t>trategy</w:t>
            </w:r>
          </w:p>
        </w:tc>
        <w:tc>
          <w:tcPr>
            <w:tcW w:w="760" w:type="pct"/>
            <w:tcBorders>
              <w:top w:val="nil"/>
              <w:left w:val="nil"/>
              <w:right w:val="nil"/>
            </w:tcBorders>
            <w:shd w:val="clear" w:color="auto" w:fill="auto"/>
          </w:tcPr>
          <w:p w14:paraId="7F111BE3" w14:textId="77777777" w:rsidR="00A34908" w:rsidRPr="000367E9" w:rsidRDefault="00A34908" w:rsidP="00EA58E6">
            <w:pPr>
              <w:pStyle w:val="TableText"/>
              <w:jc w:val="center"/>
            </w:pPr>
            <w:r w:rsidRPr="000367E9">
              <w:t>D</w:t>
            </w:r>
          </w:p>
        </w:tc>
        <w:tc>
          <w:tcPr>
            <w:tcW w:w="760" w:type="pct"/>
            <w:tcBorders>
              <w:top w:val="nil"/>
              <w:left w:val="nil"/>
              <w:right w:val="nil"/>
            </w:tcBorders>
            <w:shd w:val="clear" w:color="auto" w:fill="auto"/>
          </w:tcPr>
          <w:p w14:paraId="4E67E101" w14:textId="77777777" w:rsidR="00A34908" w:rsidRPr="000367E9" w:rsidRDefault="00A34908" w:rsidP="00EA58E6">
            <w:pPr>
              <w:pStyle w:val="TableText"/>
              <w:jc w:val="center"/>
            </w:pPr>
            <w:r w:rsidRPr="000367E9">
              <w:t>R</w:t>
            </w:r>
          </w:p>
        </w:tc>
        <w:tc>
          <w:tcPr>
            <w:tcW w:w="761" w:type="pct"/>
            <w:tcBorders>
              <w:top w:val="nil"/>
              <w:left w:val="nil"/>
              <w:right w:val="nil"/>
            </w:tcBorders>
            <w:shd w:val="clear" w:color="auto" w:fill="auto"/>
          </w:tcPr>
          <w:p w14:paraId="022FC1DA" w14:textId="77777777" w:rsidR="00A34908" w:rsidRPr="000367E9" w:rsidRDefault="00A34908" w:rsidP="00EA58E6">
            <w:pPr>
              <w:pStyle w:val="TableText"/>
              <w:jc w:val="center"/>
            </w:pPr>
            <w:r w:rsidRPr="000367E9">
              <w:t>R</w:t>
            </w:r>
          </w:p>
        </w:tc>
      </w:tr>
      <w:tr w:rsidR="00EA58E6" w:rsidRPr="00B30E8D" w14:paraId="2BC57A27" w14:textId="77777777" w:rsidTr="00EA58E6">
        <w:trPr>
          <w:cantSplit/>
        </w:trPr>
        <w:tc>
          <w:tcPr>
            <w:tcW w:w="2720" w:type="pct"/>
            <w:tcBorders>
              <w:left w:val="nil"/>
              <w:right w:val="nil"/>
            </w:tcBorders>
            <w:shd w:val="clear" w:color="auto" w:fill="auto"/>
          </w:tcPr>
          <w:p w14:paraId="2ED923ED" w14:textId="77777777" w:rsidR="00A34908" w:rsidRPr="00EA58E6" w:rsidRDefault="00A34908" w:rsidP="00EA58E6">
            <w:pPr>
              <w:pStyle w:val="TableText"/>
              <w:ind w:right="113"/>
              <w:rPr>
                <w:bCs/>
              </w:rPr>
            </w:pPr>
            <w:r w:rsidRPr="00EA58E6">
              <w:t xml:space="preserve">Levels of </w:t>
            </w:r>
            <w:r w:rsidR="00EA58E6" w:rsidRPr="00EA58E6">
              <w:t>s</w:t>
            </w:r>
            <w:r w:rsidRPr="00EA58E6">
              <w:t>ervice and performance management</w:t>
            </w:r>
          </w:p>
        </w:tc>
        <w:tc>
          <w:tcPr>
            <w:tcW w:w="760" w:type="pct"/>
            <w:tcBorders>
              <w:left w:val="nil"/>
              <w:right w:val="nil"/>
            </w:tcBorders>
            <w:shd w:val="clear" w:color="auto" w:fill="auto"/>
          </w:tcPr>
          <w:p w14:paraId="5B441130" w14:textId="77777777" w:rsidR="00A34908" w:rsidRPr="000367E9" w:rsidRDefault="00A34908" w:rsidP="00EA58E6">
            <w:pPr>
              <w:pStyle w:val="TableText"/>
              <w:jc w:val="center"/>
            </w:pPr>
            <w:r w:rsidRPr="000367E9">
              <w:t>D</w:t>
            </w:r>
          </w:p>
        </w:tc>
        <w:tc>
          <w:tcPr>
            <w:tcW w:w="760" w:type="pct"/>
            <w:tcBorders>
              <w:left w:val="nil"/>
              <w:right w:val="nil"/>
            </w:tcBorders>
            <w:shd w:val="clear" w:color="auto" w:fill="auto"/>
          </w:tcPr>
          <w:p w14:paraId="5D545353" w14:textId="77777777" w:rsidR="00A34908" w:rsidRPr="000367E9" w:rsidRDefault="00A34908" w:rsidP="00EA58E6">
            <w:pPr>
              <w:pStyle w:val="TableText"/>
              <w:jc w:val="center"/>
            </w:pPr>
            <w:r w:rsidRPr="000367E9">
              <w:t>D</w:t>
            </w:r>
          </w:p>
        </w:tc>
        <w:tc>
          <w:tcPr>
            <w:tcW w:w="761" w:type="pct"/>
            <w:tcBorders>
              <w:left w:val="nil"/>
              <w:right w:val="nil"/>
            </w:tcBorders>
            <w:shd w:val="clear" w:color="auto" w:fill="auto"/>
          </w:tcPr>
          <w:p w14:paraId="070D7EC8" w14:textId="77777777" w:rsidR="00A34908" w:rsidRPr="000367E9" w:rsidRDefault="00A34908" w:rsidP="00EA58E6">
            <w:pPr>
              <w:pStyle w:val="TableText"/>
              <w:jc w:val="center"/>
            </w:pPr>
            <w:r w:rsidRPr="000367E9">
              <w:t>D</w:t>
            </w:r>
          </w:p>
        </w:tc>
      </w:tr>
      <w:tr w:rsidR="00EA58E6" w:rsidRPr="00B30E8D" w14:paraId="5AD18D9E" w14:textId="77777777" w:rsidTr="00EA58E6">
        <w:trPr>
          <w:cantSplit/>
        </w:trPr>
        <w:tc>
          <w:tcPr>
            <w:tcW w:w="2720" w:type="pct"/>
            <w:tcBorders>
              <w:left w:val="nil"/>
              <w:right w:val="nil"/>
            </w:tcBorders>
            <w:shd w:val="clear" w:color="auto" w:fill="auto"/>
          </w:tcPr>
          <w:p w14:paraId="51EBE62F" w14:textId="77777777" w:rsidR="00A34908" w:rsidRPr="00EA58E6" w:rsidRDefault="00A34908" w:rsidP="00EA58E6">
            <w:pPr>
              <w:pStyle w:val="TableText"/>
              <w:ind w:right="113"/>
              <w:rPr>
                <w:bCs/>
              </w:rPr>
            </w:pPr>
            <w:r w:rsidRPr="00EA58E6">
              <w:t>Forecasting demand</w:t>
            </w:r>
          </w:p>
        </w:tc>
        <w:tc>
          <w:tcPr>
            <w:tcW w:w="760" w:type="pct"/>
            <w:tcBorders>
              <w:left w:val="nil"/>
              <w:right w:val="nil"/>
            </w:tcBorders>
            <w:shd w:val="clear" w:color="auto" w:fill="auto"/>
          </w:tcPr>
          <w:p w14:paraId="61EA85DE" w14:textId="77777777" w:rsidR="00A34908" w:rsidRPr="000367E9" w:rsidRDefault="00A34908" w:rsidP="00EA58E6">
            <w:pPr>
              <w:pStyle w:val="TableText"/>
              <w:jc w:val="center"/>
            </w:pPr>
            <w:r w:rsidRPr="000367E9">
              <w:t>A</w:t>
            </w:r>
          </w:p>
        </w:tc>
        <w:tc>
          <w:tcPr>
            <w:tcW w:w="760" w:type="pct"/>
            <w:tcBorders>
              <w:left w:val="nil"/>
              <w:right w:val="nil"/>
            </w:tcBorders>
            <w:shd w:val="clear" w:color="auto" w:fill="auto"/>
          </w:tcPr>
          <w:p w14:paraId="7D1E8BF5" w14:textId="77777777" w:rsidR="00A34908" w:rsidRPr="000367E9" w:rsidRDefault="00A34908" w:rsidP="00EA58E6">
            <w:pPr>
              <w:pStyle w:val="TableText"/>
              <w:jc w:val="center"/>
            </w:pPr>
            <w:r w:rsidRPr="000367E9">
              <w:t>A</w:t>
            </w:r>
          </w:p>
        </w:tc>
        <w:tc>
          <w:tcPr>
            <w:tcW w:w="761" w:type="pct"/>
            <w:tcBorders>
              <w:left w:val="nil"/>
              <w:right w:val="nil"/>
            </w:tcBorders>
            <w:shd w:val="clear" w:color="auto" w:fill="auto"/>
          </w:tcPr>
          <w:p w14:paraId="17EC2EF1" w14:textId="77777777" w:rsidR="00A34908" w:rsidRPr="000367E9" w:rsidRDefault="00A34908" w:rsidP="00EA58E6">
            <w:pPr>
              <w:pStyle w:val="TableText"/>
              <w:jc w:val="center"/>
            </w:pPr>
            <w:r w:rsidRPr="000367E9">
              <w:t>R</w:t>
            </w:r>
          </w:p>
        </w:tc>
      </w:tr>
      <w:tr w:rsidR="00EA58E6" w:rsidRPr="00B30E8D" w14:paraId="41681A41" w14:textId="77777777" w:rsidTr="00EA58E6">
        <w:trPr>
          <w:cantSplit/>
        </w:trPr>
        <w:tc>
          <w:tcPr>
            <w:tcW w:w="2720" w:type="pct"/>
            <w:tcBorders>
              <w:left w:val="nil"/>
              <w:right w:val="nil"/>
            </w:tcBorders>
            <w:shd w:val="clear" w:color="auto" w:fill="auto"/>
          </w:tcPr>
          <w:p w14:paraId="3432DDD6" w14:textId="77777777" w:rsidR="00A34908" w:rsidRPr="00EA58E6" w:rsidRDefault="00A34908" w:rsidP="00EA58E6">
            <w:pPr>
              <w:pStyle w:val="TableText"/>
              <w:ind w:right="113"/>
              <w:rPr>
                <w:bCs/>
              </w:rPr>
            </w:pPr>
            <w:r w:rsidRPr="00EA58E6">
              <w:t>Asset register data</w:t>
            </w:r>
          </w:p>
        </w:tc>
        <w:tc>
          <w:tcPr>
            <w:tcW w:w="760" w:type="pct"/>
            <w:tcBorders>
              <w:left w:val="nil"/>
              <w:right w:val="nil"/>
            </w:tcBorders>
            <w:shd w:val="clear" w:color="auto" w:fill="auto"/>
          </w:tcPr>
          <w:p w14:paraId="1E7522C0" w14:textId="77777777" w:rsidR="00A34908" w:rsidRPr="000367E9" w:rsidRDefault="00A34908" w:rsidP="00EA58E6">
            <w:pPr>
              <w:pStyle w:val="TableText"/>
              <w:jc w:val="center"/>
            </w:pPr>
            <w:r w:rsidRPr="000367E9">
              <w:t>A/S</w:t>
            </w:r>
          </w:p>
        </w:tc>
        <w:tc>
          <w:tcPr>
            <w:tcW w:w="760" w:type="pct"/>
            <w:tcBorders>
              <w:left w:val="nil"/>
              <w:right w:val="nil"/>
            </w:tcBorders>
            <w:shd w:val="clear" w:color="auto" w:fill="auto"/>
          </w:tcPr>
          <w:p w14:paraId="0EC2E895" w14:textId="77777777" w:rsidR="00A34908" w:rsidRPr="000367E9" w:rsidRDefault="00A34908" w:rsidP="00EA58E6">
            <w:pPr>
              <w:pStyle w:val="TableText"/>
              <w:jc w:val="center"/>
            </w:pPr>
            <w:r w:rsidRPr="000367E9">
              <w:t>A</w:t>
            </w:r>
          </w:p>
        </w:tc>
        <w:tc>
          <w:tcPr>
            <w:tcW w:w="761" w:type="pct"/>
            <w:tcBorders>
              <w:left w:val="nil"/>
              <w:right w:val="nil"/>
            </w:tcBorders>
            <w:shd w:val="clear" w:color="auto" w:fill="auto"/>
          </w:tcPr>
          <w:p w14:paraId="666164E2" w14:textId="77777777" w:rsidR="00A34908" w:rsidRPr="000367E9" w:rsidRDefault="00A34908" w:rsidP="00EA58E6">
            <w:pPr>
              <w:pStyle w:val="TableText"/>
              <w:jc w:val="center"/>
            </w:pPr>
            <w:r w:rsidRPr="000367E9">
              <w:t>R</w:t>
            </w:r>
          </w:p>
        </w:tc>
      </w:tr>
      <w:tr w:rsidR="00EA58E6" w:rsidRPr="00B30E8D" w14:paraId="268DEA40" w14:textId="77777777" w:rsidTr="00EA58E6">
        <w:trPr>
          <w:cantSplit/>
        </w:trPr>
        <w:tc>
          <w:tcPr>
            <w:tcW w:w="2720" w:type="pct"/>
            <w:tcBorders>
              <w:left w:val="nil"/>
              <w:right w:val="nil"/>
            </w:tcBorders>
            <w:shd w:val="clear" w:color="auto" w:fill="auto"/>
          </w:tcPr>
          <w:p w14:paraId="51C3F585" w14:textId="77777777" w:rsidR="00A34908" w:rsidRPr="00EA58E6" w:rsidRDefault="00A34908" w:rsidP="00EA58E6">
            <w:pPr>
              <w:pStyle w:val="TableText"/>
              <w:ind w:right="113"/>
              <w:rPr>
                <w:bCs/>
              </w:rPr>
            </w:pPr>
            <w:r w:rsidRPr="00EA58E6">
              <w:t>Asset performance and condition</w:t>
            </w:r>
          </w:p>
        </w:tc>
        <w:tc>
          <w:tcPr>
            <w:tcW w:w="760" w:type="pct"/>
            <w:tcBorders>
              <w:left w:val="nil"/>
              <w:right w:val="nil"/>
            </w:tcBorders>
            <w:shd w:val="clear" w:color="auto" w:fill="auto"/>
          </w:tcPr>
          <w:p w14:paraId="65AEDB36" w14:textId="77777777" w:rsidR="00A34908" w:rsidRPr="000367E9" w:rsidRDefault="00A34908" w:rsidP="00EA58E6">
            <w:pPr>
              <w:pStyle w:val="TableText"/>
              <w:jc w:val="center"/>
            </w:pPr>
            <w:r w:rsidRPr="000367E9">
              <w:t>A/S</w:t>
            </w:r>
          </w:p>
        </w:tc>
        <w:tc>
          <w:tcPr>
            <w:tcW w:w="760" w:type="pct"/>
            <w:tcBorders>
              <w:left w:val="nil"/>
              <w:right w:val="nil"/>
            </w:tcBorders>
            <w:shd w:val="clear" w:color="auto" w:fill="auto"/>
          </w:tcPr>
          <w:p w14:paraId="001C960A" w14:textId="77777777" w:rsidR="00A34908" w:rsidRPr="000367E9" w:rsidRDefault="00A34908" w:rsidP="00EA58E6">
            <w:pPr>
              <w:pStyle w:val="TableText"/>
              <w:jc w:val="center"/>
            </w:pPr>
            <w:r w:rsidRPr="000367E9">
              <w:t>A</w:t>
            </w:r>
          </w:p>
        </w:tc>
        <w:tc>
          <w:tcPr>
            <w:tcW w:w="761" w:type="pct"/>
            <w:tcBorders>
              <w:left w:val="nil"/>
              <w:right w:val="nil"/>
            </w:tcBorders>
            <w:shd w:val="clear" w:color="auto" w:fill="auto"/>
          </w:tcPr>
          <w:p w14:paraId="63B4B4EE" w14:textId="77777777" w:rsidR="00A34908" w:rsidRPr="000367E9" w:rsidRDefault="00A34908" w:rsidP="00EA58E6">
            <w:pPr>
              <w:pStyle w:val="TableText"/>
              <w:jc w:val="center"/>
            </w:pPr>
            <w:r w:rsidRPr="000367E9">
              <w:t>R</w:t>
            </w:r>
          </w:p>
        </w:tc>
      </w:tr>
      <w:tr w:rsidR="00EA58E6" w:rsidRPr="00B30E8D" w14:paraId="09AEE2B5" w14:textId="77777777" w:rsidTr="00EA58E6">
        <w:trPr>
          <w:cantSplit/>
        </w:trPr>
        <w:tc>
          <w:tcPr>
            <w:tcW w:w="2720" w:type="pct"/>
            <w:tcBorders>
              <w:left w:val="nil"/>
              <w:right w:val="nil"/>
            </w:tcBorders>
            <w:shd w:val="clear" w:color="auto" w:fill="auto"/>
          </w:tcPr>
          <w:p w14:paraId="2D606EAB" w14:textId="77777777" w:rsidR="00A34908" w:rsidRPr="00EA58E6" w:rsidRDefault="00A34908" w:rsidP="00EA58E6">
            <w:pPr>
              <w:pStyle w:val="TableText"/>
              <w:ind w:right="113"/>
              <w:rPr>
                <w:bCs/>
              </w:rPr>
            </w:pPr>
            <w:r w:rsidRPr="00EA58E6">
              <w:t>Decision making</w:t>
            </w:r>
          </w:p>
        </w:tc>
        <w:tc>
          <w:tcPr>
            <w:tcW w:w="760" w:type="pct"/>
            <w:tcBorders>
              <w:left w:val="nil"/>
              <w:right w:val="nil"/>
            </w:tcBorders>
            <w:shd w:val="clear" w:color="auto" w:fill="auto"/>
          </w:tcPr>
          <w:p w14:paraId="678272A8" w14:textId="77777777" w:rsidR="00A34908" w:rsidRPr="000367E9" w:rsidRDefault="00A34908" w:rsidP="00EA58E6">
            <w:pPr>
              <w:pStyle w:val="TableText"/>
              <w:jc w:val="center"/>
            </w:pPr>
            <w:r w:rsidRPr="000367E9">
              <w:t>R</w:t>
            </w:r>
          </w:p>
        </w:tc>
        <w:tc>
          <w:tcPr>
            <w:tcW w:w="760" w:type="pct"/>
            <w:tcBorders>
              <w:left w:val="nil"/>
              <w:right w:val="nil"/>
            </w:tcBorders>
            <w:shd w:val="clear" w:color="auto" w:fill="auto"/>
          </w:tcPr>
          <w:p w14:paraId="12757D63" w14:textId="77777777" w:rsidR="00A34908" w:rsidRPr="000367E9" w:rsidRDefault="00A34908" w:rsidP="00EA58E6">
            <w:pPr>
              <w:pStyle w:val="TableText"/>
              <w:jc w:val="center"/>
            </w:pPr>
            <w:r w:rsidRPr="000367E9">
              <w:t>R</w:t>
            </w:r>
          </w:p>
        </w:tc>
        <w:tc>
          <w:tcPr>
            <w:tcW w:w="761" w:type="pct"/>
            <w:tcBorders>
              <w:left w:val="nil"/>
              <w:right w:val="nil"/>
            </w:tcBorders>
            <w:shd w:val="clear" w:color="auto" w:fill="auto"/>
          </w:tcPr>
          <w:p w14:paraId="4057F716" w14:textId="77777777" w:rsidR="00A34908" w:rsidRPr="000367E9" w:rsidRDefault="00A34908" w:rsidP="00EA58E6">
            <w:pPr>
              <w:pStyle w:val="TableText"/>
              <w:jc w:val="center"/>
            </w:pPr>
            <w:r w:rsidRPr="000367E9">
              <w:t>R</w:t>
            </w:r>
          </w:p>
        </w:tc>
      </w:tr>
      <w:tr w:rsidR="00EA58E6" w:rsidRPr="00B30E8D" w14:paraId="39210EDC" w14:textId="77777777" w:rsidTr="00EA58E6">
        <w:trPr>
          <w:cantSplit/>
        </w:trPr>
        <w:tc>
          <w:tcPr>
            <w:tcW w:w="2720" w:type="pct"/>
            <w:tcBorders>
              <w:left w:val="nil"/>
              <w:right w:val="nil"/>
            </w:tcBorders>
            <w:shd w:val="clear" w:color="auto" w:fill="auto"/>
          </w:tcPr>
          <w:p w14:paraId="153BF9D2" w14:textId="77777777" w:rsidR="00A34908" w:rsidRPr="00EA58E6" w:rsidRDefault="00A34908" w:rsidP="00EA58E6">
            <w:pPr>
              <w:pStyle w:val="TableText"/>
              <w:ind w:right="113"/>
              <w:rPr>
                <w:bCs/>
              </w:rPr>
            </w:pPr>
            <w:r w:rsidRPr="00EA58E6">
              <w:t>Managing risk</w:t>
            </w:r>
          </w:p>
        </w:tc>
        <w:tc>
          <w:tcPr>
            <w:tcW w:w="760" w:type="pct"/>
            <w:tcBorders>
              <w:left w:val="nil"/>
              <w:right w:val="nil"/>
            </w:tcBorders>
            <w:shd w:val="clear" w:color="auto" w:fill="auto"/>
          </w:tcPr>
          <w:p w14:paraId="38EBAC61" w14:textId="77777777" w:rsidR="00A34908" w:rsidRPr="000367E9" w:rsidRDefault="00A34908" w:rsidP="00EA58E6">
            <w:pPr>
              <w:pStyle w:val="TableText"/>
              <w:jc w:val="center"/>
            </w:pPr>
            <w:r w:rsidRPr="000367E9">
              <w:t>D</w:t>
            </w:r>
          </w:p>
        </w:tc>
        <w:tc>
          <w:tcPr>
            <w:tcW w:w="760" w:type="pct"/>
            <w:tcBorders>
              <w:left w:val="nil"/>
              <w:right w:val="nil"/>
            </w:tcBorders>
            <w:shd w:val="clear" w:color="auto" w:fill="auto"/>
          </w:tcPr>
          <w:p w14:paraId="4440DCD4" w14:textId="77777777" w:rsidR="00A34908" w:rsidRPr="000367E9" w:rsidRDefault="00A34908" w:rsidP="00EA58E6">
            <w:pPr>
              <w:pStyle w:val="TableText"/>
              <w:jc w:val="center"/>
            </w:pPr>
            <w:r w:rsidRPr="000367E9">
              <w:t>R</w:t>
            </w:r>
          </w:p>
        </w:tc>
        <w:tc>
          <w:tcPr>
            <w:tcW w:w="761" w:type="pct"/>
            <w:tcBorders>
              <w:left w:val="nil"/>
              <w:right w:val="nil"/>
            </w:tcBorders>
            <w:shd w:val="clear" w:color="auto" w:fill="auto"/>
          </w:tcPr>
          <w:p w14:paraId="076497D2" w14:textId="77777777" w:rsidR="00A34908" w:rsidRPr="000367E9" w:rsidRDefault="00A34908" w:rsidP="00EA58E6">
            <w:pPr>
              <w:pStyle w:val="TableText"/>
              <w:jc w:val="center"/>
            </w:pPr>
            <w:r w:rsidRPr="000367E9">
              <w:t>R</w:t>
            </w:r>
          </w:p>
        </w:tc>
      </w:tr>
      <w:tr w:rsidR="00EA58E6" w:rsidRPr="00B30E8D" w14:paraId="6A43625A" w14:textId="77777777" w:rsidTr="00EA58E6">
        <w:trPr>
          <w:cantSplit/>
        </w:trPr>
        <w:tc>
          <w:tcPr>
            <w:tcW w:w="2720" w:type="pct"/>
            <w:tcBorders>
              <w:left w:val="nil"/>
              <w:right w:val="nil"/>
            </w:tcBorders>
            <w:shd w:val="clear" w:color="auto" w:fill="auto"/>
          </w:tcPr>
          <w:p w14:paraId="4443D0E8" w14:textId="77777777" w:rsidR="00A34908" w:rsidRPr="00EA58E6" w:rsidRDefault="00A34908" w:rsidP="00EA58E6">
            <w:pPr>
              <w:pStyle w:val="TableText"/>
              <w:ind w:right="113"/>
              <w:rPr>
                <w:bCs/>
              </w:rPr>
            </w:pPr>
            <w:r w:rsidRPr="00EA58E6">
              <w:t>Operational planning</w:t>
            </w:r>
          </w:p>
        </w:tc>
        <w:tc>
          <w:tcPr>
            <w:tcW w:w="760" w:type="pct"/>
            <w:tcBorders>
              <w:left w:val="nil"/>
              <w:right w:val="nil"/>
            </w:tcBorders>
            <w:shd w:val="clear" w:color="auto" w:fill="auto"/>
          </w:tcPr>
          <w:p w14:paraId="78B23CF4" w14:textId="77777777" w:rsidR="00A34908" w:rsidRPr="000367E9" w:rsidRDefault="00A34908" w:rsidP="00EA58E6">
            <w:pPr>
              <w:pStyle w:val="TableText"/>
              <w:jc w:val="center"/>
            </w:pPr>
            <w:r w:rsidRPr="000367E9">
              <w:t>S</w:t>
            </w:r>
          </w:p>
        </w:tc>
        <w:tc>
          <w:tcPr>
            <w:tcW w:w="760" w:type="pct"/>
            <w:tcBorders>
              <w:left w:val="nil"/>
              <w:right w:val="nil"/>
            </w:tcBorders>
            <w:shd w:val="clear" w:color="auto" w:fill="auto"/>
          </w:tcPr>
          <w:p w14:paraId="68D95353" w14:textId="77777777" w:rsidR="00A34908" w:rsidRPr="000367E9" w:rsidRDefault="00A34908" w:rsidP="00EA58E6">
            <w:pPr>
              <w:pStyle w:val="TableText"/>
              <w:jc w:val="center"/>
            </w:pPr>
            <w:r w:rsidRPr="000367E9">
              <w:t>A</w:t>
            </w:r>
          </w:p>
        </w:tc>
        <w:tc>
          <w:tcPr>
            <w:tcW w:w="761" w:type="pct"/>
            <w:tcBorders>
              <w:left w:val="nil"/>
              <w:right w:val="nil"/>
            </w:tcBorders>
            <w:shd w:val="clear" w:color="auto" w:fill="auto"/>
          </w:tcPr>
          <w:p w14:paraId="745E8C90" w14:textId="77777777" w:rsidR="00A34908" w:rsidRPr="000367E9" w:rsidRDefault="00A34908" w:rsidP="00EA58E6">
            <w:pPr>
              <w:pStyle w:val="TableText"/>
              <w:jc w:val="center"/>
            </w:pPr>
            <w:r w:rsidRPr="000367E9">
              <w:t>R</w:t>
            </w:r>
          </w:p>
        </w:tc>
      </w:tr>
      <w:tr w:rsidR="00EA58E6" w:rsidRPr="00B30E8D" w14:paraId="5BE658A1" w14:textId="77777777" w:rsidTr="00EA58E6">
        <w:trPr>
          <w:cantSplit/>
        </w:trPr>
        <w:tc>
          <w:tcPr>
            <w:tcW w:w="2720" w:type="pct"/>
            <w:tcBorders>
              <w:left w:val="nil"/>
              <w:right w:val="nil"/>
            </w:tcBorders>
            <w:shd w:val="clear" w:color="auto" w:fill="auto"/>
          </w:tcPr>
          <w:p w14:paraId="36210238" w14:textId="77777777" w:rsidR="00A34908" w:rsidRPr="00EA58E6" w:rsidRDefault="00A34908" w:rsidP="00EA58E6">
            <w:pPr>
              <w:pStyle w:val="TableText"/>
              <w:ind w:right="113"/>
              <w:rPr>
                <w:bCs/>
              </w:rPr>
            </w:pPr>
            <w:r w:rsidRPr="00EA58E6">
              <w:t>Capital works planning</w:t>
            </w:r>
          </w:p>
        </w:tc>
        <w:tc>
          <w:tcPr>
            <w:tcW w:w="760" w:type="pct"/>
            <w:tcBorders>
              <w:left w:val="nil"/>
              <w:right w:val="nil"/>
            </w:tcBorders>
            <w:shd w:val="clear" w:color="auto" w:fill="auto"/>
          </w:tcPr>
          <w:p w14:paraId="2B5EEAEC" w14:textId="77777777" w:rsidR="00A34908" w:rsidRPr="000367E9" w:rsidRDefault="00A34908" w:rsidP="00EA58E6">
            <w:pPr>
              <w:pStyle w:val="TableText"/>
              <w:jc w:val="center"/>
            </w:pPr>
            <w:r w:rsidRPr="000367E9">
              <w:t>S</w:t>
            </w:r>
          </w:p>
        </w:tc>
        <w:tc>
          <w:tcPr>
            <w:tcW w:w="760" w:type="pct"/>
            <w:tcBorders>
              <w:left w:val="nil"/>
              <w:right w:val="nil"/>
            </w:tcBorders>
            <w:shd w:val="clear" w:color="auto" w:fill="auto"/>
          </w:tcPr>
          <w:p w14:paraId="73672BA2" w14:textId="77777777" w:rsidR="00A34908" w:rsidRPr="000367E9" w:rsidRDefault="00A34908" w:rsidP="00EA58E6">
            <w:pPr>
              <w:pStyle w:val="TableText"/>
              <w:jc w:val="center"/>
            </w:pPr>
            <w:r w:rsidRPr="000367E9">
              <w:t>R</w:t>
            </w:r>
          </w:p>
        </w:tc>
        <w:tc>
          <w:tcPr>
            <w:tcW w:w="761" w:type="pct"/>
            <w:tcBorders>
              <w:left w:val="nil"/>
              <w:right w:val="nil"/>
            </w:tcBorders>
            <w:shd w:val="clear" w:color="auto" w:fill="auto"/>
          </w:tcPr>
          <w:p w14:paraId="5801E621" w14:textId="77777777" w:rsidR="00A34908" w:rsidRPr="000367E9" w:rsidRDefault="00A34908" w:rsidP="00EA58E6">
            <w:pPr>
              <w:pStyle w:val="TableText"/>
              <w:jc w:val="center"/>
            </w:pPr>
            <w:r w:rsidRPr="000367E9">
              <w:t>R</w:t>
            </w:r>
          </w:p>
        </w:tc>
      </w:tr>
      <w:tr w:rsidR="00EA58E6" w:rsidRPr="00B30E8D" w14:paraId="77489FC4" w14:textId="77777777" w:rsidTr="00EA58E6">
        <w:trPr>
          <w:cantSplit/>
        </w:trPr>
        <w:tc>
          <w:tcPr>
            <w:tcW w:w="2720" w:type="pct"/>
            <w:tcBorders>
              <w:left w:val="nil"/>
              <w:right w:val="nil"/>
            </w:tcBorders>
            <w:shd w:val="clear" w:color="auto" w:fill="auto"/>
          </w:tcPr>
          <w:p w14:paraId="2EE2EDC2" w14:textId="77777777" w:rsidR="00A34908" w:rsidRPr="00EA58E6" w:rsidRDefault="00A34908" w:rsidP="00EA58E6">
            <w:pPr>
              <w:pStyle w:val="TableText"/>
              <w:ind w:right="113"/>
              <w:rPr>
                <w:bCs/>
              </w:rPr>
            </w:pPr>
            <w:r w:rsidRPr="00EA58E6">
              <w:t>Financial planning</w:t>
            </w:r>
          </w:p>
        </w:tc>
        <w:tc>
          <w:tcPr>
            <w:tcW w:w="760" w:type="pct"/>
            <w:tcBorders>
              <w:left w:val="nil"/>
              <w:right w:val="nil"/>
            </w:tcBorders>
            <w:shd w:val="clear" w:color="auto" w:fill="auto"/>
          </w:tcPr>
          <w:p w14:paraId="52C7FA13" w14:textId="77777777" w:rsidR="00A34908" w:rsidRPr="000367E9" w:rsidRDefault="00A34908" w:rsidP="00EA58E6">
            <w:pPr>
              <w:pStyle w:val="TableText"/>
              <w:jc w:val="center"/>
            </w:pPr>
            <w:r w:rsidRPr="000367E9">
              <w:t>S</w:t>
            </w:r>
          </w:p>
        </w:tc>
        <w:tc>
          <w:tcPr>
            <w:tcW w:w="760" w:type="pct"/>
            <w:tcBorders>
              <w:left w:val="nil"/>
              <w:right w:val="nil"/>
            </w:tcBorders>
            <w:shd w:val="clear" w:color="auto" w:fill="auto"/>
          </w:tcPr>
          <w:p w14:paraId="5CD1997F" w14:textId="77777777" w:rsidR="00A34908" w:rsidRPr="000367E9" w:rsidRDefault="00A34908" w:rsidP="00EA58E6">
            <w:pPr>
              <w:pStyle w:val="TableText"/>
              <w:jc w:val="center"/>
            </w:pPr>
            <w:r w:rsidRPr="000367E9">
              <w:t>R</w:t>
            </w:r>
          </w:p>
        </w:tc>
        <w:tc>
          <w:tcPr>
            <w:tcW w:w="761" w:type="pct"/>
            <w:tcBorders>
              <w:left w:val="nil"/>
              <w:right w:val="nil"/>
            </w:tcBorders>
            <w:shd w:val="clear" w:color="auto" w:fill="auto"/>
          </w:tcPr>
          <w:p w14:paraId="6FFA7ADF" w14:textId="77777777" w:rsidR="00A34908" w:rsidRPr="000367E9" w:rsidRDefault="00A34908" w:rsidP="00EA58E6">
            <w:pPr>
              <w:pStyle w:val="TableText"/>
              <w:jc w:val="center"/>
            </w:pPr>
            <w:r w:rsidRPr="000367E9">
              <w:t>R</w:t>
            </w:r>
          </w:p>
        </w:tc>
      </w:tr>
      <w:tr w:rsidR="00EA58E6" w:rsidRPr="00B30E8D" w14:paraId="349ACDA2" w14:textId="77777777" w:rsidTr="00EA58E6">
        <w:trPr>
          <w:cantSplit/>
        </w:trPr>
        <w:tc>
          <w:tcPr>
            <w:tcW w:w="2720" w:type="pct"/>
            <w:tcBorders>
              <w:left w:val="nil"/>
              <w:right w:val="nil"/>
            </w:tcBorders>
            <w:shd w:val="clear" w:color="auto" w:fill="auto"/>
          </w:tcPr>
          <w:p w14:paraId="38260BA1" w14:textId="77777777" w:rsidR="00A34908" w:rsidRPr="00EA58E6" w:rsidRDefault="00A34908" w:rsidP="00EA58E6">
            <w:pPr>
              <w:pStyle w:val="TableText"/>
              <w:ind w:right="113"/>
              <w:rPr>
                <w:bCs/>
              </w:rPr>
            </w:pPr>
            <w:r w:rsidRPr="00EA58E6">
              <w:t>Asset management leadership and teams</w:t>
            </w:r>
          </w:p>
        </w:tc>
        <w:tc>
          <w:tcPr>
            <w:tcW w:w="760" w:type="pct"/>
            <w:tcBorders>
              <w:left w:val="nil"/>
              <w:right w:val="nil"/>
            </w:tcBorders>
            <w:shd w:val="clear" w:color="auto" w:fill="auto"/>
          </w:tcPr>
          <w:p w14:paraId="2698E8D8" w14:textId="77777777" w:rsidR="00A34908" w:rsidRPr="000367E9" w:rsidRDefault="00A34908" w:rsidP="00EA58E6">
            <w:pPr>
              <w:pStyle w:val="TableText"/>
              <w:jc w:val="center"/>
            </w:pPr>
            <w:r w:rsidRPr="000367E9">
              <w:t>A</w:t>
            </w:r>
          </w:p>
        </w:tc>
        <w:tc>
          <w:tcPr>
            <w:tcW w:w="760" w:type="pct"/>
            <w:tcBorders>
              <w:left w:val="nil"/>
              <w:right w:val="nil"/>
            </w:tcBorders>
            <w:shd w:val="clear" w:color="auto" w:fill="auto"/>
          </w:tcPr>
          <w:p w14:paraId="532979A3" w14:textId="77777777" w:rsidR="00A34908" w:rsidRPr="000367E9" w:rsidRDefault="00A34908" w:rsidP="00EA58E6">
            <w:pPr>
              <w:pStyle w:val="TableText"/>
              <w:jc w:val="center"/>
            </w:pPr>
            <w:r w:rsidRPr="000367E9">
              <w:t>R</w:t>
            </w:r>
          </w:p>
        </w:tc>
        <w:tc>
          <w:tcPr>
            <w:tcW w:w="761" w:type="pct"/>
            <w:tcBorders>
              <w:left w:val="nil"/>
              <w:right w:val="nil"/>
            </w:tcBorders>
            <w:shd w:val="clear" w:color="auto" w:fill="auto"/>
          </w:tcPr>
          <w:p w14:paraId="792C53E1" w14:textId="77777777" w:rsidR="00A34908" w:rsidRPr="000367E9" w:rsidRDefault="00A34908" w:rsidP="00EA58E6">
            <w:pPr>
              <w:pStyle w:val="TableText"/>
              <w:jc w:val="center"/>
            </w:pPr>
            <w:r w:rsidRPr="000367E9">
              <w:t>R</w:t>
            </w:r>
          </w:p>
        </w:tc>
      </w:tr>
      <w:tr w:rsidR="00EA58E6" w:rsidRPr="00B30E8D" w14:paraId="30FD0DCF" w14:textId="77777777" w:rsidTr="00EA58E6">
        <w:trPr>
          <w:cantSplit/>
        </w:trPr>
        <w:tc>
          <w:tcPr>
            <w:tcW w:w="2720" w:type="pct"/>
            <w:tcBorders>
              <w:left w:val="nil"/>
              <w:right w:val="nil"/>
            </w:tcBorders>
            <w:shd w:val="clear" w:color="auto" w:fill="auto"/>
          </w:tcPr>
          <w:p w14:paraId="31CF9319" w14:textId="77777777" w:rsidR="00A34908" w:rsidRPr="00EA58E6" w:rsidRDefault="00A34908" w:rsidP="00EA58E6">
            <w:pPr>
              <w:pStyle w:val="TableText"/>
              <w:ind w:right="113"/>
              <w:rPr>
                <w:bCs/>
              </w:rPr>
            </w:pPr>
            <w:r w:rsidRPr="00EA58E6">
              <w:t xml:space="preserve">Asset </w:t>
            </w:r>
            <w:r w:rsidR="00EA58E6">
              <w:t>m</w:t>
            </w:r>
            <w:r w:rsidRPr="00EA58E6">
              <w:t xml:space="preserve">anagement </w:t>
            </w:r>
            <w:r w:rsidR="00EA58E6">
              <w:t>p</w:t>
            </w:r>
            <w:r w:rsidRPr="00EA58E6">
              <w:t>lans</w:t>
            </w:r>
          </w:p>
        </w:tc>
        <w:tc>
          <w:tcPr>
            <w:tcW w:w="760" w:type="pct"/>
            <w:tcBorders>
              <w:left w:val="nil"/>
              <w:right w:val="nil"/>
            </w:tcBorders>
            <w:shd w:val="clear" w:color="auto" w:fill="auto"/>
          </w:tcPr>
          <w:p w14:paraId="034AF85B" w14:textId="77777777" w:rsidR="00A34908" w:rsidRPr="000367E9" w:rsidRDefault="00A34908" w:rsidP="00EA58E6">
            <w:pPr>
              <w:pStyle w:val="TableText"/>
              <w:jc w:val="center"/>
            </w:pPr>
            <w:r w:rsidRPr="000367E9">
              <w:t>R</w:t>
            </w:r>
          </w:p>
        </w:tc>
        <w:tc>
          <w:tcPr>
            <w:tcW w:w="760" w:type="pct"/>
            <w:tcBorders>
              <w:left w:val="nil"/>
              <w:right w:val="nil"/>
            </w:tcBorders>
            <w:shd w:val="clear" w:color="auto" w:fill="auto"/>
          </w:tcPr>
          <w:p w14:paraId="6E267F77" w14:textId="77777777" w:rsidR="00A34908" w:rsidRPr="000367E9" w:rsidRDefault="00A34908" w:rsidP="00EA58E6">
            <w:pPr>
              <w:pStyle w:val="TableText"/>
              <w:jc w:val="center"/>
            </w:pPr>
            <w:r w:rsidRPr="000367E9">
              <w:t>R</w:t>
            </w:r>
          </w:p>
        </w:tc>
        <w:tc>
          <w:tcPr>
            <w:tcW w:w="761" w:type="pct"/>
            <w:tcBorders>
              <w:left w:val="nil"/>
              <w:right w:val="nil"/>
            </w:tcBorders>
            <w:shd w:val="clear" w:color="auto" w:fill="auto"/>
          </w:tcPr>
          <w:p w14:paraId="55F4F237" w14:textId="77777777" w:rsidR="00A34908" w:rsidRPr="000367E9" w:rsidRDefault="00A34908" w:rsidP="00EA58E6">
            <w:pPr>
              <w:pStyle w:val="TableText"/>
              <w:jc w:val="center"/>
            </w:pPr>
            <w:r w:rsidRPr="000367E9">
              <w:t>R</w:t>
            </w:r>
          </w:p>
        </w:tc>
      </w:tr>
      <w:tr w:rsidR="00EA58E6" w:rsidRPr="00B30E8D" w14:paraId="41DBF736" w14:textId="77777777" w:rsidTr="00EA58E6">
        <w:trPr>
          <w:cantSplit/>
        </w:trPr>
        <w:tc>
          <w:tcPr>
            <w:tcW w:w="2720" w:type="pct"/>
            <w:tcBorders>
              <w:left w:val="nil"/>
              <w:right w:val="nil"/>
            </w:tcBorders>
            <w:shd w:val="clear" w:color="auto" w:fill="auto"/>
          </w:tcPr>
          <w:p w14:paraId="77079244" w14:textId="77777777" w:rsidR="00A34908" w:rsidRPr="00EA58E6" w:rsidRDefault="00A34908" w:rsidP="00EA58E6">
            <w:pPr>
              <w:pStyle w:val="TableText"/>
              <w:ind w:right="113"/>
              <w:rPr>
                <w:bCs/>
              </w:rPr>
            </w:pPr>
            <w:r w:rsidRPr="00EA58E6">
              <w:t>Management systems</w:t>
            </w:r>
          </w:p>
        </w:tc>
        <w:tc>
          <w:tcPr>
            <w:tcW w:w="760" w:type="pct"/>
            <w:tcBorders>
              <w:left w:val="nil"/>
              <w:right w:val="nil"/>
            </w:tcBorders>
            <w:shd w:val="clear" w:color="auto" w:fill="auto"/>
          </w:tcPr>
          <w:p w14:paraId="78833342" w14:textId="77777777" w:rsidR="00A34908" w:rsidRPr="000367E9" w:rsidRDefault="00A34908" w:rsidP="00EA58E6">
            <w:pPr>
              <w:pStyle w:val="TableText"/>
              <w:jc w:val="center"/>
            </w:pPr>
            <w:r w:rsidRPr="000367E9">
              <w:t>A/R</w:t>
            </w:r>
          </w:p>
        </w:tc>
        <w:tc>
          <w:tcPr>
            <w:tcW w:w="760" w:type="pct"/>
            <w:tcBorders>
              <w:left w:val="nil"/>
              <w:right w:val="nil"/>
            </w:tcBorders>
            <w:shd w:val="clear" w:color="auto" w:fill="auto"/>
          </w:tcPr>
          <w:p w14:paraId="5C527538" w14:textId="77777777" w:rsidR="00A34908" w:rsidRPr="000367E9" w:rsidRDefault="00A34908" w:rsidP="00EA58E6">
            <w:pPr>
              <w:pStyle w:val="TableText"/>
              <w:jc w:val="center"/>
            </w:pPr>
            <w:r w:rsidRPr="000367E9">
              <w:t>R</w:t>
            </w:r>
          </w:p>
        </w:tc>
        <w:tc>
          <w:tcPr>
            <w:tcW w:w="761" w:type="pct"/>
            <w:tcBorders>
              <w:left w:val="nil"/>
              <w:right w:val="nil"/>
            </w:tcBorders>
            <w:shd w:val="clear" w:color="auto" w:fill="auto"/>
          </w:tcPr>
          <w:p w14:paraId="6267C420" w14:textId="77777777" w:rsidR="00A34908" w:rsidRPr="000367E9" w:rsidRDefault="00A34908" w:rsidP="00EA58E6">
            <w:pPr>
              <w:pStyle w:val="TableText"/>
              <w:jc w:val="center"/>
            </w:pPr>
            <w:r w:rsidRPr="000367E9">
              <w:t>R</w:t>
            </w:r>
          </w:p>
        </w:tc>
      </w:tr>
      <w:bookmarkEnd w:id="36"/>
      <w:tr w:rsidR="00EA58E6" w:rsidRPr="00B30E8D" w14:paraId="16124DE7" w14:textId="77777777" w:rsidTr="00EA58E6">
        <w:trPr>
          <w:cantSplit/>
        </w:trPr>
        <w:tc>
          <w:tcPr>
            <w:tcW w:w="2720" w:type="pct"/>
            <w:tcBorders>
              <w:left w:val="nil"/>
              <w:right w:val="nil"/>
            </w:tcBorders>
            <w:shd w:val="clear" w:color="auto" w:fill="auto"/>
          </w:tcPr>
          <w:p w14:paraId="2EA7A890" w14:textId="77777777" w:rsidR="00A34908" w:rsidRPr="00EA58E6" w:rsidRDefault="00A34908" w:rsidP="00EA58E6">
            <w:pPr>
              <w:pStyle w:val="TableText"/>
              <w:ind w:right="113"/>
              <w:rPr>
                <w:bCs/>
              </w:rPr>
            </w:pPr>
            <w:r w:rsidRPr="00EA58E6">
              <w:t>Asset management information systems</w:t>
            </w:r>
          </w:p>
        </w:tc>
        <w:tc>
          <w:tcPr>
            <w:tcW w:w="760" w:type="pct"/>
            <w:tcBorders>
              <w:left w:val="nil"/>
              <w:right w:val="nil"/>
            </w:tcBorders>
            <w:shd w:val="clear" w:color="auto" w:fill="auto"/>
          </w:tcPr>
          <w:p w14:paraId="70FA5CE6" w14:textId="77777777" w:rsidR="00A34908" w:rsidRPr="000367E9" w:rsidRDefault="00A34908" w:rsidP="00EA58E6">
            <w:pPr>
              <w:pStyle w:val="TableText"/>
              <w:jc w:val="center"/>
            </w:pPr>
            <w:r w:rsidRPr="000367E9">
              <w:t>A/R</w:t>
            </w:r>
          </w:p>
        </w:tc>
        <w:tc>
          <w:tcPr>
            <w:tcW w:w="760" w:type="pct"/>
            <w:tcBorders>
              <w:left w:val="nil"/>
              <w:right w:val="nil"/>
            </w:tcBorders>
            <w:shd w:val="clear" w:color="auto" w:fill="auto"/>
          </w:tcPr>
          <w:p w14:paraId="4FCAD36C" w14:textId="77777777" w:rsidR="00A34908" w:rsidRPr="000367E9" w:rsidRDefault="00A34908" w:rsidP="00EA58E6">
            <w:pPr>
              <w:pStyle w:val="TableText"/>
              <w:jc w:val="center"/>
            </w:pPr>
            <w:r w:rsidRPr="000367E9">
              <w:t>A</w:t>
            </w:r>
          </w:p>
        </w:tc>
        <w:tc>
          <w:tcPr>
            <w:tcW w:w="761" w:type="pct"/>
            <w:tcBorders>
              <w:left w:val="nil"/>
              <w:right w:val="nil"/>
            </w:tcBorders>
            <w:shd w:val="clear" w:color="auto" w:fill="auto"/>
          </w:tcPr>
          <w:p w14:paraId="331DB76B" w14:textId="77777777" w:rsidR="00A34908" w:rsidRPr="000367E9" w:rsidRDefault="00A34908" w:rsidP="00EA58E6">
            <w:pPr>
              <w:pStyle w:val="TableText"/>
              <w:jc w:val="center"/>
            </w:pPr>
            <w:r w:rsidRPr="000367E9">
              <w:t>R</w:t>
            </w:r>
          </w:p>
        </w:tc>
      </w:tr>
      <w:tr w:rsidR="00EA58E6" w:rsidRPr="00B30E8D" w14:paraId="0499393E" w14:textId="77777777" w:rsidTr="00EA58E6">
        <w:trPr>
          <w:cantSplit/>
        </w:trPr>
        <w:tc>
          <w:tcPr>
            <w:tcW w:w="2720" w:type="pct"/>
            <w:tcBorders>
              <w:left w:val="nil"/>
              <w:right w:val="nil"/>
            </w:tcBorders>
            <w:shd w:val="clear" w:color="auto" w:fill="auto"/>
          </w:tcPr>
          <w:p w14:paraId="57435C13" w14:textId="77777777" w:rsidR="00A34908" w:rsidRPr="00EA58E6" w:rsidRDefault="00A34908" w:rsidP="00EA58E6">
            <w:pPr>
              <w:pStyle w:val="TableText"/>
              <w:ind w:right="113"/>
              <w:rPr>
                <w:bCs/>
              </w:rPr>
            </w:pPr>
            <w:r w:rsidRPr="00EA58E6">
              <w:t>Service delivery mechanisms</w:t>
            </w:r>
          </w:p>
        </w:tc>
        <w:tc>
          <w:tcPr>
            <w:tcW w:w="760" w:type="pct"/>
            <w:tcBorders>
              <w:left w:val="nil"/>
              <w:right w:val="nil"/>
            </w:tcBorders>
            <w:shd w:val="clear" w:color="auto" w:fill="auto"/>
          </w:tcPr>
          <w:p w14:paraId="4E3037D8" w14:textId="77777777" w:rsidR="00A34908" w:rsidRPr="000367E9" w:rsidRDefault="00A34908" w:rsidP="00EA58E6">
            <w:pPr>
              <w:pStyle w:val="TableText"/>
              <w:jc w:val="center"/>
            </w:pPr>
            <w:r w:rsidRPr="000367E9">
              <w:t>S</w:t>
            </w:r>
          </w:p>
        </w:tc>
        <w:tc>
          <w:tcPr>
            <w:tcW w:w="760" w:type="pct"/>
            <w:tcBorders>
              <w:left w:val="nil"/>
              <w:right w:val="nil"/>
            </w:tcBorders>
            <w:shd w:val="clear" w:color="auto" w:fill="auto"/>
          </w:tcPr>
          <w:p w14:paraId="2ADB255F" w14:textId="77777777" w:rsidR="00A34908" w:rsidRPr="000367E9" w:rsidRDefault="00A34908" w:rsidP="00EA58E6">
            <w:pPr>
              <w:pStyle w:val="TableText"/>
              <w:jc w:val="center"/>
            </w:pPr>
          </w:p>
        </w:tc>
        <w:tc>
          <w:tcPr>
            <w:tcW w:w="761" w:type="pct"/>
            <w:tcBorders>
              <w:left w:val="nil"/>
              <w:right w:val="nil"/>
            </w:tcBorders>
            <w:shd w:val="clear" w:color="auto" w:fill="auto"/>
          </w:tcPr>
          <w:p w14:paraId="3435876D" w14:textId="77777777" w:rsidR="00A34908" w:rsidRPr="000367E9" w:rsidRDefault="00A34908" w:rsidP="00EA58E6">
            <w:pPr>
              <w:pStyle w:val="TableText"/>
              <w:jc w:val="center"/>
            </w:pPr>
            <w:r w:rsidRPr="000367E9">
              <w:t>A</w:t>
            </w:r>
          </w:p>
        </w:tc>
      </w:tr>
      <w:tr w:rsidR="00EA58E6" w:rsidRPr="00B30E8D" w14:paraId="47DD2030" w14:textId="77777777" w:rsidTr="00EA58E6">
        <w:trPr>
          <w:cantSplit/>
        </w:trPr>
        <w:tc>
          <w:tcPr>
            <w:tcW w:w="2720" w:type="pct"/>
            <w:tcBorders>
              <w:left w:val="nil"/>
              <w:right w:val="nil"/>
            </w:tcBorders>
            <w:shd w:val="clear" w:color="auto" w:fill="auto"/>
          </w:tcPr>
          <w:p w14:paraId="0535AE6F" w14:textId="77777777" w:rsidR="00A34908" w:rsidRPr="00EA58E6" w:rsidRDefault="00A34908" w:rsidP="00EA58E6">
            <w:pPr>
              <w:pStyle w:val="TableText"/>
              <w:ind w:right="113"/>
              <w:rPr>
                <w:bCs/>
              </w:rPr>
            </w:pPr>
            <w:r w:rsidRPr="00EA58E6">
              <w:t>Audit and improvement</w:t>
            </w:r>
          </w:p>
        </w:tc>
        <w:tc>
          <w:tcPr>
            <w:tcW w:w="760" w:type="pct"/>
            <w:tcBorders>
              <w:left w:val="nil"/>
              <w:right w:val="nil"/>
            </w:tcBorders>
            <w:shd w:val="clear" w:color="auto" w:fill="auto"/>
          </w:tcPr>
          <w:p w14:paraId="7771808F" w14:textId="77777777" w:rsidR="00A34908" w:rsidRPr="000367E9" w:rsidRDefault="00A34908" w:rsidP="00EA58E6">
            <w:pPr>
              <w:pStyle w:val="TableText"/>
              <w:jc w:val="center"/>
            </w:pPr>
            <w:r w:rsidRPr="000367E9">
              <w:t>A/R</w:t>
            </w:r>
          </w:p>
        </w:tc>
        <w:tc>
          <w:tcPr>
            <w:tcW w:w="760" w:type="pct"/>
            <w:tcBorders>
              <w:left w:val="nil"/>
              <w:right w:val="nil"/>
            </w:tcBorders>
            <w:shd w:val="clear" w:color="auto" w:fill="auto"/>
          </w:tcPr>
          <w:p w14:paraId="585DDC8B" w14:textId="77777777" w:rsidR="00A34908" w:rsidRPr="000367E9" w:rsidRDefault="00A34908" w:rsidP="00EA58E6">
            <w:pPr>
              <w:pStyle w:val="TableText"/>
              <w:jc w:val="center"/>
            </w:pPr>
            <w:r w:rsidRPr="000367E9">
              <w:t>A</w:t>
            </w:r>
          </w:p>
        </w:tc>
        <w:tc>
          <w:tcPr>
            <w:tcW w:w="761" w:type="pct"/>
            <w:tcBorders>
              <w:left w:val="nil"/>
              <w:right w:val="nil"/>
            </w:tcBorders>
            <w:shd w:val="clear" w:color="auto" w:fill="auto"/>
          </w:tcPr>
          <w:p w14:paraId="23E29E3C" w14:textId="77777777" w:rsidR="00A34908" w:rsidRPr="000367E9" w:rsidRDefault="00A34908" w:rsidP="00EA58E6">
            <w:pPr>
              <w:pStyle w:val="TableText"/>
              <w:jc w:val="center"/>
            </w:pPr>
            <w:r w:rsidRPr="000367E9">
              <w:t>R</w:t>
            </w:r>
          </w:p>
        </w:tc>
      </w:tr>
    </w:tbl>
    <w:p w14:paraId="0928BAB7" w14:textId="77777777" w:rsidR="00A34908" w:rsidRDefault="00A34908" w:rsidP="00EA58E6">
      <w:pPr>
        <w:pStyle w:val="Note"/>
      </w:pPr>
      <w:r w:rsidRPr="003D6CFE">
        <w:rPr>
          <w:b/>
        </w:rPr>
        <w:t>Key:</w:t>
      </w:r>
      <w:r w:rsidRPr="00C21FA6">
        <w:t xml:space="preserve"> A= Accountable. R = Responsible. S = Support. C = Consulted. D = Define Expectations</w:t>
      </w:r>
    </w:p>
    <w:p w14:paraId="7A8FB9D2" w14:textId="77777777" w:rsidR="00EA58E6" w:rsidRPr="00EA58E6" w:rsidRDefault="00EA58E6" w:rsidP="00EA58E6"/>
    <w:p w14:paraId="76D8A818" w14:textId="77777777" w:rsidR="00A34908" w:rsidRPr="00CF60ED" w:rsidRDefault="00A34908" w:rsidP="00EA58E6">
      <w:pPr>
        <w:pStyle w:val="Heading1"/>
      </w:pPr>
      <w:bookmarkStart w:id="37" w:name="_Toc39582388"/>
      <w:bookmarkStart w:id="38" w:name="_Toc52807997"/>
      <w:bookmarkStart w:id="39" w:name="_Toc54353510"/>
      <w:r w:rsidRPr="00CF60ED">
        <w:lastRenderedPageBreak/>
        <w:t>R</w:t>
      </w:r>
      <w:r>
        <w:t>eview period</w:t>
      </w:r>
      <w:bookmarkEnd w:id="37"/>
      <w:bookmarkEnd w:id="38"/>
      <w:bookmarkEnd w:id="39"/>
    </w:p>
    <w:p w14:paraId="70B595D4" w14:textId="77777777" w:rsidR="00A34908" w:rsidRDefault="00A34908" w:rsidP="00EA58E6">
      <w:r w:rsidRPr="00C21FA6">
        <w:t>Th</w:t>
      </w:r>
      <w:r>
        <w:t>e Ministry will review th</w:t>
      </w:r>
      <w:r w:rsidRPr="00C21FA6">
        <w:t>is policy every three years, in line with the national asset management planning cycle</w:t>
      </w:r>
      <w:bookmarkStart w:id="40" w:name="_Hlk53391915"/>
      <w:r w:rsidRPr="00C21FA6">
        <w:t xml:space="preserve"> or when major changes to the planning frameworks and expectations are made.</w:t>
      </w:r>
      <w:r w:rsidRPr="00CD0B71">
        <w:t xml:space="preserve"> </w:t>
      </w:r>
      <w:bookmarkEnd w:id="40"/>
      <w:r w:rsidRPr="00CD0B71">
        <w:t>The review will be subject to input from the HAMI group and other relevant stakeholders.</w:t>
      </w:r>
    </w:p>
    <w:p w14:paraId="0141E2A0" w14:textId="77777777" w:rsidR="0082081A" w:rsidRDefault="0082081A" w:rsidP="00EA58E6"/>
    <w:sectPr w:rsidR="0082081A" w:rsidSect="002B7BEC">
      <w:footerReference w:type="even" r:id="rId26"/>
      <w:footerReference w:type="default" r:id="rId27"/>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A8427" w14:textId="77777777" w:rsidR="00DC6668" w:rsidRDefault="00DC6668">
      <w:r>
        <w:separator/>
      </w:r>
    </w:p>
    <w:p w14:paraId="188CB85E" w14:textId="77777777" w:rsidR="00DC6668" w:rsidRDefault="00DC6668"/>
  </w:endnote>
  <w:endnote w:type="continuationSeparator" w:id="0">
    <w:p w14:paraId="61B3B5A8" w14:textId="77777777" w:rsidR="00DC6668" w:rsidRDefault="00DC6668">
      <w:r>
        <w:continuationSeparator/>
      </w:r>
    </w:p>
    <w:p w14:paraId="464CCB51" w14:textId="77777777" w:rsidR="00DC6668" w:rsidRDefault="00DC6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F5278" w14:textId="77777777" w:rsidR="00105770" w:rsidRPr="00581136" w:rsidRDefault="00105770" w:rsidP="005A79E5">
    <w:pPr>
      <w:pStyle w:val="Footer"/>
      <w:pBdr>
        <w:bottom w:val="single" w:sz="4" w:space="1" w:color="auto"/>
      </w:pBdr>
      <w:tabs>
        <w:tab w:val="right" w:pos="9639"/>
      </w:tabs>
      <w:rPr>
        <w:b/>
      </w:rPr>
    </w:pPr>
    <w:r w:rsidRPr="00581136">
      <w:rPr>
        <w:b/>
      </w:rPr>
      <w:t>Released 20</w:t>
    </w:r>
    <w:r w:rsidR="00FB0A5B">
      <w:rPr>
        <w:b/>
      </w:rPr>
      <w:t>20</w:t>
    </w:r>
    <w:r w:rsidRPr="00581136">
      <w:rPr>
        <w:b/>
      </w:rPr>
      <w:tab/>
      <w:t>health.govt.nz</w:t>
    </w:r>
  </w:p>
  <w:p w14:paraId="2DFB8283" w14:textId="77777777" w:rsidR="00105770" w:rsidRPr="005A79E5" w:rsidRDefault="0010577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43C" w14:textId="77777777" w:rsidR="00105770" w:rsidRDefault="00105770"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264E2" w14:textId="77777777" w:rsidR="00105770" w:rsidRDefault="001057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05770" w14:paraId="5CFDF757" w14:textId="77777777" w:rsidTr="00D662F8">
      <w:trPr>
        <w:cantSplit/>
      </w:trPr>
      <w:tc>
        <w:tcPr>
          <w:tcW w:w="709" w:type="dxa"/>
          <w:vAlign w:val="center"/>
        </w:tcPr>
        <w:p w14:paraId="47B0F245" w14:textId="77777777" w:rsidR="00105770" w:rsidRPr="00931466" w:rsidRDefault="0010577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FB0A5B">
            <w:rPr>
              <w:rStyle w:val="PageNumber"/>
              <w:noProof/>
            </w:rPr>
            <w:t>vi</w:t>
          </w:r>
          <w:r w:rsidRPr="00931466">
            <w:rPr>
              <w:rStyle w:val="PageNumber"/>
            </w:rPr>
            <w:fldChar w:fldCharType="end"/>
          </w:r>
        </w:p>
      </w:tc>
      <w:tc>
        <w:tcPr>
          <w:tcW w:w="8080" w:type="dxa"/>
          <w:vAlign w:val="center"/>
        </w:tcPr>
        <w:p w14:paraId="6A4B11FD" w14:textId="77777777" w:rsidR="00105770" w:rsidRDefault="00245748" w:rsidP="00117F59">
          <w:pPr>
            <w:pStyle w:val="RectoFooter"/>
            <w:jc w:val="left"/>
          </w:pPr>
          <w:r>
            <w:t>[title]: [subhead]</w:t>
          </w:r>
        </w:p>
      </w:tc>
    </w:tr>
  </w:tbl>
  <w:p w14:paraId="1606BC0B" w14:textId="77777777" w:rsidR="00105770" w:rsidRPr="00571223" w:rsidRDefault="0010577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36E7D686" w14:textId="77777777" w:rsidTr="006E2886">
      <w:trPr>
        <w:cantSplit/>
      </w:trPr>
      <w:tc>
        <w:tcPr>
          <w:tcW w:w="8080" w:type="dxa"/>
          <w:vAlign w:val="center"/>
        </w:tcPr>
        <w:p w14:paraId="1BB48132" w14:textId="77777777" w:rsidR="00105770" w:rsidRDefault="002C2DC0" w:rsidP="002C2DC0">
          <w:pPr>
            <w:pStyle w:val="RectoFooter"/>
          </w:pPr>
          <w:r>
            <w:t xml:space="preserve">district health board </w:t>
          </w:r>
          <w:r w:rsidR="00C756D3">
            <w:t xml:space="preserve">sector </w:t>
          </w:r>
          <w:r>
            <w:t>asset management framework: policy</w:t>
          </w:r>
        </w:p>
      </w:tc>
      <w:tc>
        <w:tcPr>
          <w:tcW w:w="709" w:type="dxa"/>
          <w:vAlign w:val="center"/>
        </w:tcPr>
        <w:p w14:paraId="76CD23EB"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B5D1D">
            <w:rPr>
              <w:rStyle w:val="PageNumber"/>
              <w:noProof/>
            </w:rPr>
            <w:t>iii</w:t>
          </w:r>
          <w:r w:rsidRPr="00931466">
            <w:rPr>
              <w:rStyle w:val="PageNumber"/>
            </w:rPr>
            <w:fldChar w:fldCharType="end"/>
          </w:r>
        </w:p>
      </w:tc>
    </w:tr>
  </w:tbl>
  <w:p w14:paraId="771D98BC" w14:textId="77777777" w:rsidR="00105770" w:rsidRPr="00581EB8" w:rsidRDefault="00105770"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105770" w14:paraId="21C664A6" w14:textId="77777777" w:rsidTr="006E2886">
      <w:trPr>
        <w:cantSplit/>
      </w:trPr>
      <w:tc>
        <w:tcPr>
          <w:tcW w:w="675" w:type="dxa"/>
          <w:vAlign w:val="center"/>
        </w:tcPr>
        <w:p w14:paraId="5C1CFF50" w14:textId="77777777" w:rsidR="00105770" w:rsidRPr="00931466" w:rsidRDefault="00105770"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B5D1D">
            <w:rPr>
              <w:rStyle w:val="PageNumber"/>
              <w:noProof/>
            </w:rPr>
            <w:t>8</w:t>
          </w:r>
          <w:r w:rsidRPr="00931466">
            <w:rPr>
              <w:rStyle w:val="PageNumber"/>
            </w:rPr>
            <w:fldChar w:fldCharType="end"/>
          </w:r>
        </w:p>
      </w:tc>
      <w:tc>
        <w:tcPr>
          <w:tcW w:w="9072" w:type="dxa"/>
          <w:vAlign w:val="center"/>
        </w:tcPr>
        <w:p w14:paraId="5F7B8C68" w14:textId="77777777" w:rsidR="00105770" w:rsidRDefault="002C2DC0" w:rsidP="00FB0A5B">
          <w:pPr>
            <w:pStyle w:val="RectoFooter"/>
            <w:ind w:left="-108"/>
            <w:jc w:val="left"/>
          </w:pPr>
          <w:r>
            <w:t xml:space="preserve">district health board </w:t>
          </w:r>
          <w:r w:rsidR="00C756D3">
            <w:t xml:space="preserve">sector </w:t>
          </w:r>
          <w:r>
            <w:t>asset management framework: policy</w:t>
          </w:r>
        </w:p>
      </w:tc>
    </w:tr>
  </w:tbl>
  <w:p w14:paraId="530FF93D" w14:textId="77777777" w:rsidR="00105770" w:rsidRPr="00571223" w:rsidRDefault="0010577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7BF60607" w14:textId="77777777" w:rsidTr="006E2886">
      <w:trPr>
        <w:cantSplit/>
      </w:trPr>
      <w:tc>
        <w:tcPr>
          <w:tcW w:w="8080" w:type="dxa"/>
          <w:vAlign w:val="center"/>
        </w:tcPr>
        <w:p w14:paraId="7FBE916D" w14:textId="77777777" w:rsidR="00105770" w:rsidRDefault="002C2DC0" w:rsidP="002C2DC0">
          <w:pPr>
            <w:pStyle w:val="RectoFooter"/>
          </w:pPr>
          <w:r>
            <w:t xml:space="preserve">district health board </w:t>
          </w:r>
          <w:r w:rsidR="00C756D3">
            <w:t xml:space="preserve">sector </w:t>
          </w:r>
          <w:r>
            <w:t>asset management framework: policy</w:t>
          </w:r>
        </w:p>
      </w:tc>
      <w:tc>
        <w:tcPr>
          <w:tcW w:w="709" w:type="dxa"/>
          <w:vAlign w:val="center"/>
        </w:tcPr>
        <w:p w14:paraId="4CDE01C0"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B5D1D">
            <w:rPr>
              <w:rStyle w:val="PageNumber"/>
              <w:noProof/>
            </w:rPr>
            <w:t>7</w:t>
          </w:r>
          <w:r w:rsidRPr="00931466">
            <w:rPr>
              <w:rStyle w:val="PageNumber"/>
            </w:rPr>
            <w:fldChar w:fldCharType="end"/>
          </w:r>
        </w:p>
      </w:tc>
    </w:tr>
  </w:tbl>
  <w:p w14:paraId="28522E3C" w14:textId="77777777" w:rsidR="00105770" w:rsidRPr="00581EB8" w:rsidRDefault="0010577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31EC1" w14:textId="77777777" w:rsidR="00DC6668" w:rsidRPr="00A26E6B" w:rsidRDefault="00DC6668" w:rsidP="00A26E6B"/>
  </w:footnote>
  <w:footnote w:type="continuationSeparator" w:id="0">
    <w:p w14:paraId="6661ABD8" w14:textId="77777777" w:rsidR="00DC6668" w:rsidRDefault="00DC6668">
      <w:r>
        <w:continuationSeparator/>
      </w:r>
    </w:p>
    <w:p w14:paraId="4C0A5D4D" w14:textId="77777777" w:rsidR="00DC6668" w:rsidRDefault="00DC6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105770" w14:paraId="6DB4E7BB" w14:textId="77777777" w:rsidTr="005A79E5">
      <w:trPr>
        <w:cantSplit/>
      </w:trPr>
      <w:tc>
        <w:tcPr>
          <w:tcW w:w="5210" w:type="dxa"/>
        </w:tcPr>
        <w:p w14:paraId="02B524F0" w14:textId="77777777" w:rsidR="00105770" w:rsidRDefault="00105770" w:rsidP="008814E8">
          <w:pPr>
            <w:pStyle w:val="Header"/>
          </w:pPr>
          <w:r>
            <w:rPr>
              <w:noProof/>
              <w:lang w:eastAsia="en-NZ"/>
            </w:rPr>
            <w:drawing>
              <wp:inline distT="0" distB="0" distL="0" distR="0" wp14:anchorId="1652479F" wp14:editId="6D925EBF">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7A56C448" w14:textId="77777777" w:rsidR="00105770" w:rsidRDefault="00105770" w:rsidP="008814E8">
          <w:pPr>
            <w:pStyle w:val="Header"/>
            <w:jc w:val="right"/>
          </w:pPr>
          <w:r>
            <w:rPr>
              <w:noProof/>
              <w:lang w:eastAsia="en-NZ"/>
            </w:rPr>
            <w:drawing>
              <wp:inline distT="0" distB="0" distL="0" distR="0" wp14:anchorId="2349CA3D" wp14:editId="60E03B95">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502ADF27" w14:textId="77777777" w:rsidR="00105770" w:rsidRDefault="00105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EE69" w14:textId="77777777" w:rsidR="00105770" w:rsidRDefault="00105770"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ED5D" w14:textId="77777777" w:rsidR="00105770" w:rsidRDefault="0010577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ED38FF5E"/>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72"/>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6D2281"/>
    <w:multiLevelType w:val="multilevel"/>
    <w:tmpl w:val="C49C2AE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72"/>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6"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5CF13AA"/>
    <w:multiLevelType w:val="hybridMultilevel"/>
    <w:tmpl w:val="050009D8"/>
    <w:lvl w:ilvl="0" w:tplc="814E2670">
      <w:start w:val="7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9"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0BE0544C"/>
    <w:multiLevelType w:val="hybridMultilevel"/>
    <w:tmpl w:val="95FA33A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2"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4"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6"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1600BB1"/>
    <w:multiLevelType w:val="multilevel"/>
    <w:tmpl w:val="99F4A96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72"/>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0"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1"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2"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4"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8"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9"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51655434"/>
    <w:multiLevelType w:val="hybridMultilevel"/>
    <w:tmpl w:val="1A52304A"/>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2A25B4A"/>
    <w:multiLevelType w:val="hybridMultilevel"/>
    <w:tmpl w:val="F2E042F6"/>
    <w:lvl w:ilvl="0" w:tplc="0B54DF2E">
      <w:numFmt w:val="bullet"/>
      <w:lvlText w:val="•"/>
      <w:lvlJc w:val="left"/>
      <w:pPr>
        <w:ind w:left="930" w:hanging="570"/>
      </w:pPr>
      <w:rPr>
        <w:rFonts w:ascii="Segoe UI" w:eastAsia="Times New Roman"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6"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7"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9"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0" w15:restartNumberingAfterBreak="0">
    <w:nsid w:val="5D647DEF"/>
    <w:multiLevelType w:val="hybridMultilevel"/>
    <w:tmpl w:val="68AC1676"/>
    <w:lvl w:ilvl="0" w:tplc="14090011">
      <w:start w:val="1"/>
      <w:numFmt w:val="decimal"/>
      <w:lvlText w:val="%1)"/>
      <w:lvlJc w:val="left"/>
      <w:pPr>
        <w:ind w:left="720" w:hanging="360"/>
      </w:pPr>
    </w:lvl>
    <w:lvl w:ilvl="1" w:tplc="2AC2C940">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7"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8"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7"/>
  </w:num>
  <w:num w:numId="2">
    <w:abstractNumId w:val="25"/>
  </w:num>
  <w:num w:numId="3">
    <w:abstractNumId w:val="26"/>
  </w:num>
  <w:num w:numId="4">
    <w:abstractNumId w:val="5"/>
  </w:num>
  <w:num w:numId="5">
    <w:abstractNumId w:val="1"/>
  </w:num>
  <w:num w:numId="6">
    <w:abstractNumId w:val="30"/>
  </w:num>
  <w:num w:numId="7">
    <w:abstractNumId w:val="41"/>
  </w:num>
  <w:num w:numId="8">
    <w:abstractNumId w:val="3"/>
  </w:num>
  <w:num w:numId="9">
    <w:abstractNumId w:val="42"/>
  </w:num>
  <w:num w:numId="10">
    <w:abstractNumId w:val="32"/>
  </w:num>
  <w:num w:numId="11">
    <w:abstractNumId w:val="19"/>
  </w:num>
  <w:num w:numId="12">
    <w:abstractNumId w:val="24"/>
  </w:num>
  <w:num w:numId="13">
    <w:abstractNumId w:val="0"/>
  </w:num>
  <w:num w:numId="14">
    <w:abstractNumId w:val="15"/>
  </w:num>
  <w:num w:numId="15">
    <w:abstractNumId w:val="22"/>
  </w:num>
  <w:num w:numId="16">
    <w:abstractNumId w:val="35"/>
  </w:num>
  <w:num w:numId="17">
    <w:abstractNumId w:val="10"/>
  </w:num>
  <w:num w:numId="18">
    <w:abstractNumId w:val="17"/>
  </w:num>
  <w:num w:numId="19">
    <w:abstractNumId w:val="12"/>
  </w:num>
  <w:num w:numId="20">
    <w:abstractNumId w:val="8"/>
  </w:num>
  <w:num w:numId="21">
    <w:abstractNumId w:val="45"/>
  </w:num>
  <w:num w:numId="22">
    <w:abstractNumId w:val="16"/>
  </w:num>
  <w:num w:numId="23">
    <w:abstractNumId w:val="43"/>
  </w:num>
  <w:num w:numId="24">
    <w:abstractNumId w:val="2"/>
  </w:num>
  <w:num w:numId="25">
    <w:abstractNumId w:val="9"/>
  </w:num>
  <w:num w:numId="26">
    <w:abstractNumId w:val="6"/>
  </w:num>
  <w:num w:numId="27">
    <w:abstractNumId w:val="37"/>
  </w:num>
  <w:num w:numId="28">
    <w:abstractNumId w:val="44"/>
  </w:num>
  <w:num w:numId="29">
    <w:abstractNumId w:val="21"/>
  </w:num>
  <w:num w:numId="30">
    <w:abstractNumId w:val="14"/>
  </w:num>
  <w:num w:numId="31">
    <w:abstractNumId w:val="31"/>
  </w:num>
  <w:num w:numId="32">
    <w:abstractNumId w:val="23"/>
  </w:num>
  <w:num w:numId="33">
    <w:abstractNumId w:val="48"/>
  </w:num>
  <w:num w:numId="34">
    <w:abstractNumId w:val="20"/>
  </w:num>
  <w:num w:numId="35">
    <w:abstractNumId w:val="39"/>
  </w:num>
  <w:num w:numId="36">
    <w:abstractNumId w:val="36"/>
  </w:num>
  <w:num w:numId="37">
    <w:abstractNumId w:val="46"/>
  </w:num>
  <w:num w:numId="38">
    <w:abstractNumId w:val="38"/>
  </w:num>
  <w:num w:numId="39">
    <w:abstractNumId w:val="27"/>
  </w:num>
  <w:num w:numId="40">
    <w:abstractNumId w:val="28"/>
  </w:num>
  <w:num w:numId="41">
    <w:abstractNumId w:val="13"/>
  </w:num>
  <w:num w:numId="42">
    <w:abstractNumId w:val="29"/>
  </w:num>
  <w:num w:numId="43">
    <w:abstractNumId w:val="34"/>
  </w:num>
  <w:num w:numId="44">
    <w:abstractNumId w:val="7"/>
  </w:num>
  <w:num w:numId="45">
    <w:abstractNumId w:val="40"/>
  </w:num>
  <w:num w:numId="46">
    <w:abstractNumId w:val="33"/>
  </w:num>
  <w:num w:numId="47">
    <w:abstractNumId w:val="11"/>
  </w:num>
  <w:num w:numId="48">
    <w:abstractNumId w:val="18"/>
  </w:num>
  <w:num w:numId="49">
    <w:abstractNumId w:val="4"/>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0E97"/>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64F75"/>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32E9F"/>
    <w:rsid w:val="00245748"/>
    <w:rsid w:val="00246DB1"/>
    <w:rsid w:val="002476B5"/>
    <w:rsid w:val="002520CC"/>
    <w:rsid w:val="00253ECF"/>
    <w:rsid w:val="00254044"/>
    <w:rsid w:val="002546A1"/>
    <w:rsid w:val="002575E8"/>
    <w:rsid w:val="00257EF1"/>
    <w:rsid w:val="002628F4"/>
    <w:rsid w:val="00275D08"/>
    <w:rsid w:val="002839AF"/>
    <w:rsid w:val="00284229"/>
    <w:rsid w:val="002858E3"/>
    <w:rsid w:val="0029190A"/>
    <w:rsid w:val="00292C5A"/>
    <w:rsid w:val="00295241"/>
    <w:rsid w:val="002A4DFC"/>
    <w:rsid w:val="002B047D"/>
    <w:rsid w:val="002B732B"/>
    <w:rsid w:val="002B76A7"/>
    <w:rsid w:val="002B7BEC"/>
    <w:rsid w:val="002C2219"/>
    <w:rsid w:val="002C2552"/>
    <w:rsid w:val="002C2DC0"/>
    <w:rsid w:val="002C380A"/>
    <w:rsid w:val="002D0DF2"/>
    <w:rsid w:val="002D23BD"/>
    <w:rsid w:val="002E0B47"/>
    <w:rsid w:val="002F3A0D"/>
    <w:rsid w:val="002F4685"/>
    <w:rsid w:val="002F7213"/>
    <w:rsid w:val="0030382F"/>
    <w:rsid w:val="0030408D"/>
    <w:rsid w:val="003060E4"/>
    <w:rsid w:val="003160E7"/>
    <w:rsid w:val="0031739E"/>
    <w:rsid w:val="00317DA3"/>
    <w:rsid w:val="00321381"/>
    <w:rsid w:val="00321C5D"/>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E38"/>
    <w:rsid w:val="00395B7A"/>
    <w:rsid w:val="003A26A5"/>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3A17"/>
    <w:rsid w:val="0044584B"/>
    <w:rsid w:val="00447CB7"/>
    <w:rsid w:val="00455CC9"/>
    <w:rsid w:val="00460826"/>
    <w:rsid w:val="00460B1E"/>
    <w:rsid w:val="00460EA7"/>
    <w:rsid w:val="0046195B"/>
    <w:rsid w:val="0046362D"/>
    <w:rsid w:val="0046596D"/>
    <w:rsid w:val="004852AB"/>
    <w:rsid w:val="00487C04"/>
    <w:rsid w:val="004907E1"/>
    <w:rsid w:val="00494C8E"/>
    <w:rsid w:val="004A035B"/>
    <w:rsid w:val="004A2108"/>
    <w:rsid w:val="004A38D7"/>
    <w:rsid w:val="004A778C"/>
    <w:rsid w:val="004B055D"/>
    <w:rsid w:val="004B14DD"/>
    <w:rsid w:val="004B48C7"/>
    <w:rsid w:val="004B5D1D"/>
    <w:rsid w:val="004C2E6A"/>
    <w:rsid w:val="004C64B8"/>
    <w:rsid w:val="004D2A2D"/>
    <w:rsid w:val="004D479F"/>
    <w:rsid w:val="004D6689"/>
    <w:rsid w:val="004E1D1D"/>
    <w:rsid w:val="004E7AC8"/>
    <w:rsid w:val="004F05F4"/>
    <w:rsid w:val="004F0C94"/>
    <w:rsid w:val="005019AE"/>
    <w:rsid w:val="00503749"/>
    <w:rsid w:val="00503D59"/>
    <w:rsid w:val="00504CF4"/>
    <w:rsid w:val="0050635B"/>
    <w:rsid w:val="005075B3"/>
    <w:rsid w:val="005151C2"/>
    <w:rsid w:val="00526D4A"/>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D034C"/>
    <w:rsid w:val="005E226E"/>
    <w:rsid w:val="005E2636"/>
    <w:rsid w:val="006015D7"/>
    <w:rsid w:val="00601B21"/>
    <w:rsid w:val="006041F0"/>
    <w:rsid w:val="00605C6D"/>
    <w:rsid w:val="006120CA"/>
    <w:rsid w:val="0061443A"/>
    <w:rsid w:val="00624174"/>
    <w:rsid w:val="00625390"/>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7E2E"/>
    <w:rsid w:val="006A25A2"/>
    <w:rsid w:val="006A393F"/>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3C47"/>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1EEB"/>
    <w:rsid w:val="0082081A"/>
    <w:rsid w:val="00822F2C"/>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621"/>
    <w:rsid w:val="00880D94"/>
    <w:rsid w:val="008814E8"/>
    <w:rsid w:val="00886F64"/>
    <w:rsid w:val="008924DE"/>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7B8A"/>
    <w:rsid w:val="00982971"/>
    <w:rsid w:val="009845AD"/>
    <w:rsid w:val="00984835"/>
    <w:rsid w:val="0098771F"/>
    <w:rsid w:val="009933EF"/>
    <w:rsid w:val="00995BA0"/>
    <w:rsid w:val="009A418B"/>
    <w:rsid w:val="009A426F"/>
    <w:rsid w:val="009A42D5"/>
    <w:rsid w:val="009A4473"/>
    <w:rsid w:val="009A719B"/>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34908"/>
    <w:rsid w:val="00A41002"/>
    <w:rsid w:val="00A41AE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59F1"/>
    <w:rsid w:val="00BD488E"/>
    <w:rsid w:val="00BF1130"/>
    <w:rsid w:val="00BF3DE1"/>
    <w:rsid w:val="00BF4843"/>
    <w:rsid w:val="00BF5205"/>
    <w:rsid w:val="00C05132"/>
    <w:rsid w:val="00C12508"/>
    <w:rsid w:val="00C141FE"/>
    <w:rsid w:val="00C23728"/>
    <w:rsid w:val="00C3026C"/>
    <w:rsid w:val="00C313A9"/>
    <w:rsid w:val="00C347C8"/>
    <w:rsid w:val="00C358E4"/>
    <w:rsid w:val="00C418EE"/>
    <w:rsid w:val="00C441CF"/>
    <w:rsid w:val="00C45AA2"/>
    <w:rsid w:val="00C4617E"/>
    <w:rsid w:val="00C4792C"/>
    <w:rsid w:val="00C55BEF"/>
    <w:rsid w:val="00C57C00"/>
    <w:rsid w:val="00C601AF"/>
    <w:rsid w:val="00C61A63"/>
    <w:rsid w:val="00C66296"/>
    <w:rsid w:val="00C7394D"/>
    <w:rsid w:val="00C756B7"/>
    <w:rsid w:val="00C756D3"/>
    <w:rsid w:val="00C77282"/>
    <w:rsid w:val="00C84DE5"/>
    <w:rsid w:val="00C86248"/>
    <w:rsid w:val="00C90B31"/>
    <w:rsid w:val="00CA0D6F"/>
    <w:rsid w:val="00CA4C33"/>
    <w:rsid w:val="00CA6F4A"/>
    <w:rsid w:val="00CB3483"/>
    <w:rsid w:val="00CB6427"/>
    <w:rsid w:val="00CC0FBE"/>
    <w:rsid w:val="00CD077C"/>
    <w:rsid w:val="00CD2119"/>
    <w:rsid w:val="00CD237A"/>
    <w:rsid w:val="00CD36AC"/>
    <w:rsid w:val="00CE13A3"/>
    <w:rsid w:val="00CE36BC"/>
    <w:rsid w:val="00CF1747"/>
    <w:rsid w:val="00CF60ED"/>
    <w:rsid w:val="00D05D74"/>
    <w:rsid w:val="00D162CB"/>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C6668"/>
    <w:rsid w:val="00DD0BCD"/>
    <w:rsid w:val="00DD447A"/>
    <w:rsid w:val="00DE2892"/>
    <w:rsid w:val="00DE3B20"/>
    <w:rsid w:val="00DE6C94"/>
    <w:rsid w:val="00DE6FD7"/>
    <w:rsid w:val="00DF0C7C"/>
    <w:rsid w:val="00E10B18"/>
    <w:rsid w:val="00E23271"/>
    <w:rsid w:val="00E24F80"/>
    <w:rsid w:val="00E259F3"/>
    <w:rsid w:val="00E30985"/>
    <w:rsid w:val="00E31CB9"/>
    <w:rsid w:val="00E33238"/>
    <w:rsid w:val="00E33934"/>
    <w:rsid w:val="00E376B7"/>
    <w:rsid w:val="00E42F5D"/>
    <w:rsid w:val="00E4486C"/>
    <w:rsid w:val="00E460B6"/>
    <w:rsid w:val="00E511D5"/>
    <w:rsid w:val="00E53A9F"/>
    <w:rsid w:val="00E57349"/>
    <w:rsid w:val="00E60249"/>
    <w:rsid w:val="00E62238"/>
    <w:rsid w:val="00E65269"/>
    <w:rsid w:val="00E76D66"/>
    <w:rsid w:val="00EA58E6"/>
    <w:rsid w:val="00EA796A"/>
    <w:rsid w:val="00EB1856"/>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7381"/>
    <w:rsid w:val="00F5180D"/>
    <w:rsid w:val="00F54E74"/>
    <w:rsid w:val="00F63781"/>
    <w:rsid w:val="00F67496"/>
    <w:rsid w:val="00F7421E"/>
    <w:rsid w:val="00F801BA"/>
    <w:rsid w:val="00F807AD"/>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D67DD"/>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0A7E07"/>
  <w15:docId w15:val="{12E66C42-7D59-465A-A9BC-4228202D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49"/>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EA58E6"/>
    <w:pPr>
      <w:tabs>
        <w:tab w:val="right" w:pos="8080"/>
      </w:tabs>
      <w:spacing w:before="120"/>
      <w:ind w:left="1134" w:right="567" w:hanging="1134"/>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2C2DC0"/>
    <w:pPr>
      <w:spacing w:before="840"/>
      <w:ind w:right="3402"/>
    </w:pPr>
    <w:rPr>
      <w:rFonts w:ascii="Segoe UI Semibold" w:hAnsi="Segoe UI Semibold" w:cs="Segoe UI Semibold"/>
      <w:sz w:val="48"/>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395B7A"/>
    <w:pPr>
      <w:numPr>
        <w:ilvl w:val="3"/>
        <w:numId w:val="49"/>
      </w:numPr>
      <w:spacing w:before="120"/>
    </w:pPr>
    <w:rPr>
      <w:szCs w:val="24"/>
    </w:rPr>
  </w:style>
  <w:style w:type="paragraph" w:customStyle="1" w:styleId="Letter">
    <w:name w:val="Letter"/>
    <w:basedOn w:val="Normal"/>
    <w:qFormat/>
    <w:rsid w:val="00F140B2"/>
    <w:pPr>
      <w:numPr>
        <w:ilvl w:val="4"/>
        <w:numId w:val="49"/>
      </w:numPr>
      <w:spacing w:before="120"/>
    </w:pPr>
  </w:style>
  <w:style w:type="paragraph" w:customStyle="1" w:styleId="Introductoryparagraph">
    <w:name w:val="Introductory paragraph"/>
    <w:basedOn w:val="Normal"/>
    <w:next w:val="Normal"/>
    <w:qFormat/>
    <w:rsid w:val="00625390"/>
    <w:pPr>
      <w:spacing w:after="240" w:line="216" w:lineRule="auto"/>
    </w:pPr>
    <w:rPr>
      <w:rFonts w:ascii="Segoe UI Light" w:hAnsi="Segoe UI Light"/>
      <w:color w:val="404040" w:themeColor="text1" w:themeTint="BF"/>
      <w:sz w:val="36"/>
    </w:rPr>
  </w:style>
  <w:style w:type="paragraph" w:customStyle="1" w:styleId="Roman">
    <w:name w:val="Roman"/>
    <w:basedOn w:val="Normal"/>
    <w:qFormat/>
    <w:rsid w:val="00AD6293"/>
    <w:pPr>
      <w:numPr>
        <w:ilvl w:val="5"/>
        <w:numId w:val="49"/>
      </w:numPr>
      <w:spacing w:before="90"/>
    </w:pPr>
    <w:rPr>
      <w:rFonts w:eastAsia="Arial Unicode MS"/>
    </w:rPr>
  </w:style>
  <w:style w:type="paragraph" w:styleId="Caption">
    <w:name w:val="caption"/>
    <w:basedOn w:val="Normal"/>
    <w:next w:val="Normal"/>
    <w:unhideWhenUsed/>
    <w:qFormat/>
    <w:rsid w:val="00164F75"/>
    <w:pPr>
      <w:spacing w:after="200"/>
    </w:pPr>
    <w:rPr>
      <w:b/>
      <w:bCs/>
      <w:color w:val="4F81BD" w:themeColor="accent1"/>
      <w:sz w:val="18"/>
      <w:szCs w:val="18"/>
    </w:rPr>
  </w:style>
  <w:style w:type="paragraph" w:styleId="BalloonText">
    <w:name w:val="Balloon Text"/>
    <w:basedOn w:val="Normal"/>
    <w:link w:val="BalloonTextChar"/>
    <w:semiHidden/>
    <w:unhideWhenUsed/>
    <w:rsid w:val="00C141FE"/>
    <w:rPr>
      <w:rFonts w:cs="Segoe UI"/>
      <w:sz w:val="18"/>
      <w:szCs w:val="18"/>
    </w:rPr>
  </w:style>
  <w:style w:type="character" w:customStyle="1" w:styleId="BalloonTextChar">
    <w:name w:val="Balloon Text Char"/>
    <w:basedOn w:val="DefaultParagraphFont"/>
    <w:link w:val="BalloonText"/>
    <w:semiHidden/>
    <w:rsid w:val="00C141FE"/>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QuickStyle" Target="diagrams/quickStyle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Layout" Target="diagrams/layout1.xml"/><Relationship Id="rId27" Type="http://schemas.openxmlformats.org/officeDocument/2006/relationships/footer" Target="footer7.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2C952D-EAB1-446A-A133-DC2DBFA7C75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20538BF6-7611-487E-8378-BE2433FD5C77}">
      <dgm:prSet phldrT="[Text]" custT="1"/>
      <dgm:spPr>
        <a:solidFill>
          <a:srgbClr val="0A6AB4"/>
        </a:solidFill>
        <a:ln>
          <a:solidFill>
            <a:srgbClr val="0A6AB4"/>
          </a:solidFill>
        </a:ln>
        <a:effectLst>
          <a:outerShdw blurRad="50800" dist="88900" dir="2700000" algn="tl" rotWithShape="0">
            <a:prstClr val="black">
              <a:alpha val="40000"/>
            </a:prstClr>
          </a:outerShdw>
        </a:effectLst>
      </dgm:spPr>
      <dgm:t>
        <a:bodyPr/>
        <a:lstStyle/>
        <a:p>
          <a:pPr algn="ctr"/>
          <a:r>
            <a:rPr lang="en-NZ" sz="1100">
              <a:latin typeface="Segoe UI" panose="020B0502040204020203" pitchFamily="34" charset="0"/>
              <a:cs typeface="Segoe UI" panose="020B0502040204020203" pitchFamily="34" charset="0"/>
            </a:rPr>
            <a:t>DHB Sector Asset</a:t>
          </a:r>
          <a:br>
            <a:rPr lang="en-NZ" sz="1100">
              <a:latin typeface="Segoe UI" panose="020B0502040204020203" pitchFamily="34" charset="0"/>
              <a:cs typeface="Segoe UI" panose="020B0502040204020203" pitchFamily="34" charset="0"/>
            </a:rPr>
          </a:br>
          <a:r>
            <a:rPr lang="en-NZ" sz="1100">
              <a:latin typeface="Segoe UI" panose="020B0502040204020203" pitchFamily="34" charset="0"/>
              <a:cs typeface="Segoe UI" panose="020B0502040204020203" pitchFamily="34" charset="0"/>
            </a:rPr>
            <a:t>Management: Policy</a:t>
          </a:r>
        </a:p>
      </dgm:t>
    </dgm:pt>
    <dgm:pt modelId="{767B9D23-4D09-45FE-AF37-A1CC6A38FF3C}" type="parTrans" cxnId="{553943F8-9A56-4933-B1AC-9BE04BC1D340}">
      <dgm:prSet/>
      <dgm:spPr>
        <a:ln>
          <a:solidFill>
            <a:srgbClr val="0A6AB4"/>
          </a:solidFill>
        </a:ln>
      </dgm:spPr>
      <dgm:t>
        <a:bodyPr/>
        <a:lstStyle/>
        <a:p>
          <a:pPr algn="ctr"/>
          <a:endParaRPr lang="en-NZ"/>
        </a:p>
      </dgm:t>
    </dgm:pt>
    <dgm:pt modelId="{1042C2A8-7E6F-40A2-8B44-7805A3AC0098}" type="sibTrans" cxnId="{553943F8-9A56-4933-B1AC-9BE04BC1D340}">
      <dgm:prSet/>
      <dgm:spPr/>
      <dgm:t>
        <a:bodyPr/>
        <a:lstStyle/>
        <a:p>
          <a:pPr algn="ctr"/>
          <a:endParaRPr lang="en-NZ"/>
        </a:p>
      </dgm:t>
    </dgm:pt>
    <dgm:pt modelId="{AB4BEBDA-3A72-42CD-835B-795ECC20FB53}">
      <dgm:prSet phldrT="[Text]" custT="1"/>
      <dgm:spPr>
        <a:solidFill>
          <a:srgbClr val="23305D"/>
        </a:solidFill>
        <a:ln>
          <a:solidFill>
            <a:srgbClr val="23305D"/>
          </a:solidFill>
        </a:ln>
        <a:effectLst>
          <a:outerShdw blurRad="50800" dist="88900" dir="2700000" algn="tl" rotWithShape="0">
            <a:prstClr val="black">
              <a:alpha val="40000"/>
            </a:prstClr>
          </a:outerShdw>
        </a:effectLst>
      </dgm:spPr>
      <dgm:t>
        <a:bodyPr/>
        <a:lstStyle/>
        <a:p>
          <a:pPr algn="ctr"/>
          <a:r>
            <a:rPr lang="en-NZ" sz="1100">
              <a:latin typeface="Segoe UI" panose="020B0502040204020203" pitchFamily="34" charset="0"/>
              <a:cs typeface="Segoe UI" panose="020B0502040204020203" pitchFamily="34" charset="0"/>
            </a:rPr>
            <a:t>DHB Sector Asset Management</a:t>
          </a:r>
          <a:br>
            <a:rPr lang="en-NZ" sz="1100">
              <a:latin typeface="Segoe UI" panose="020B0502040204020203" pitchFamily="34" charset="0"/>
              <a:cs typeface="Segoe UI" panose="020B0502040204020203" pitchFamily="34" charset="0"/>
            </a:rPr>
          </a:br>
          <a:r>
            <a:rPr lang="en-NZ" sz="1100">
              <a:latin typeface="Segoe UI" panose="020B0502040204020203" pitchFamily="34" charset="0"/>
              <a:cs typeface="Segoe UI" panose="020B0502040204020203" pitchFamily="34" charset="0"/>
            </a:rPr>
            <a:t>Framework: Overview</a:t>
          </a:r>
        </a:p>
      </dgm:t>
    </dgm:pt>
    <dgm:pt modelId="{F402C63B-E19A-4914-B921-62C929A40776}" type="parTrans" cxnId="{A171B777-155E-4E89-A524-FCF91A7F7A42}">
      <dgm:prSet/>
      <dgm:spPr/>
      <dgm:t>
        <a:bodyPr/>
        <a:lstStyle/>
        <a:p>
          <a:pPr algn="ctr"/>
          <a:endParaRPr lang="en-NZ"/>
        </a:p>
      </dgm:t>
    </dgm:pt>
    <dgm:pt modelId="{26113362-D2B0-46D0-98D6-E2D98DA66C19}" type="sibTrans" cxnId="{A171B777-155E-4E89-A524-FCF91A7F7A42}">
      <dgm:prSet/>
      <dgm:spPr/>
      <dgm:t>
        <a:bodyPr/>
        <a:lstStyle/>
        <a:p>
          <a:pPr algn="ctr"/>
          <a:endParaRPr lang="en-NZ"/>
        </a:p>
      </dgm:t>
    </dgm:pt>
    <dgm:pt modelId="{2C017486-B4E1-4548-8E67-F31A9C02061C}">
      <dgm:prSet phldrT="[Text]" custT="1"/>
      <dgm:spPr>
        <a:solidFill>
          <a:srgbClr val="0A6AB4"/>
        </a:solidFill>
        <a:ln>
          <a:solidFill>
            <a:srgbClr val="0A6AB4"/>
          </a:solidFill>
        </a:ln>
        <a:effectLst>
          <a:outerShdw blurRad="50800" dist="88900" dir="2700000" algn="tl" rotWithShape="0">
            <a:prstClr val="black">
              <a:alpha val="40000"/>
            </a:prstClr>
          </a:outerShdw>
        </a:effectLst>
      </dgm:spPr>
      <dgm:t>
        <a:bodyPr/>
        <a:lstStyle/>
        <a:p>
          <a:pPr algn="ctr"/>
          <a:r>
            <a:rPr lang="en-NZ" sz="1100">
              <a:latin typeface="Segoe UI" panose="020B0502040204020203" pitchFamily="34" charset="0"/>
              <a:cs typeface="Segoe UI" panose="020B0502040204020203" pitchFamily="34" charset="0"/>
            </a:rPr>
            <a:t>DHB Sector Asset</a:t>
          </a:r>
          <a:br>
            <a:rPr lang="en-NZ" sz="1100">
              <a:latin typeface="Segoe UI" panose="020B0502040204020203" pitchFamily="34" charset="0"/>
              <a:cs typeface="Segoe UI" panose="020B0502040204020203" pitchFamily="34" charset="0"/>
            </a:rPr>
          </a:br>
          <a:r>
            <a:rPr lang="en-NZ" sz="1100">
              <a:latin typeface="Segoe UI" panose="020B0502040204020203" pitchFamily="34" charset="0"/>
              <a:cs typeface="Segoe UI" panose="020B0502040204020203" pitchFamily="34" charset="0"/>
            </a:rPr>
            <a:t>Management: Strategy</a:t>
          </a:r>
        </a:p>
      </dgm:t>
    </dgm:pt>
    <dgm:pt modelId="{80523F1A-15E4-4FA7-BDDC-7CEB647AB573}" type="sibTrans" cxnId="{E140526D-B3D6-4F69-B477-7E2E92919747}">
      <dgm:prSet/>
      <dgm:spPr/>
      <dgm:t>
        <a:bodyPr/>
        <a:lstStyle/>
        <a:p>
          <a:pPr algn="ctr"/>
          <a:endParaRPr lang="en-NZ"/>
        </a:p>
      </dgm:t>
    </dgm:pt>
    <dgm:pt modelId="{B0DA9247-D931-4E3E-BA8C-06A75E3EC740}" type="parTrans" cxnId="{E140526D-B3D6-4F69-B477-7E2E92919747}">
      <dgm:prSet/>
      <dgm:spPr>
        <a:ln>
          <a:solidFill>
            <a:srgbClr val="0A6AB4"/>
          </a:solidFill>
        </a:ln>
      </dgm:spPr>
      <dgm:t>
        <a:bodyPr/>
        <a:lstStyle/>
        <a:p>
          <a:pPr algn="ctr"/>
          <a:endParaRPr lang="en-NZ"/>
        </a:p>
      </dgm:t>
    </dgm:pt>
    <dgm:pt modelId="{D5754CE2-865E-47B6-B144-60D8803DBB89}" type="pres">
      <dgm:prSet presAssocID="{082C952D-EAB1-446A-A133-DC2DBFA7C757}" presName="hierChild1" presStyleCnt="0">
        <dgm:presLayoutVars>
          <dgm:orgChart val="1"/>
          <dgm:chPref val="1"/>
          <dgm:dir/>
          <dgm:animOne val="branch"/>
          <dgm:animLvl val="lvl"/>
          <dgm:resizeHandles/>
        </dgm:presLayoutVars>
      </dgm:prSet>
      <dgm:spPr/>
    </dgm:pt>
    <dgm:pt modelId="{0C18273A-A784-483C-AE2E-F901F83F6E93}" type="pres">
      <dgm:prSet presAssocID="{AB4BEBDA-3A72-42CD-835B-795ECC20FB53}" presName="hierRoot1" presStyleCnt="0">
        <dgm:presLayoutVars>
          <dgm:hierBranch val="init"/>
        </dgm:presLayoutVars>
      </dgm:prSet>
      <dgm:spPr/>
    </dgm:pt>
    <dgm:pt modelId="{0B86BCA5-B5FB-44E7-9E16-9FD318764ECC}" type="pres">
      <dgm:prSet presAssocID="{AB4BEBDA-3A72-42CD-835B-795ECC20FB53}" presName="rootComposite1" presStyleCnt="0"/>
      <dgm:spPr/>
    </dgm:pt>
    <dgm:pt modelId="{BB02CB0C-A9CE-4BC6-984E-1E8B539E0E25}" type="pres">
      <dgm:prSet presAssocID="{AB4BEBDA-3A72-42CD-835B-795ECC20FB53}" presName="rootText1" presStyleLbl="node0" presStyleIdx="0" presStyleCnt="1" custScaleX="147619" custScaleY="76654" custLinFactNeighborY="-11400">
        <dgm:presLayoutVars>
          <dgm:chPref val="3"/>
        </dgm:presLayoutVars>
      </dgm:prSet>
      <dgm:spPr/>
    </dgm:pt>
    <dgm:pt modelId="{27180084-8F80-42EA-97C2-988A4DE6F140}" type="pres">
      <dgm:prSet presAssocID="{AB4BEBDA-3A72-42CD-835B-795ECC20FB53}" presName="rootConnector1" presStyleLbl="node1" presStyleIdx="0" presStyleCnt="0"/>
      <dgm:spPr/>
    </dgm:pt>
    <dgm:pt modelId="{A099E33E-2914-4AA5-AD83-5E462CA896DF}" type="pres">
      <dgm:prSet presAssocID="{AB4BEBDA-3A72-42CD-835B-795ECC20FB53}" presName="hierChild2" presStyleCnt="0"/>
      <dgm:spPr/>
    </dgm:pt>
    <dgm:pt modelId="{44D96B03-F92D-4B63-847C-4E9D2760AEDA}" type="pres">
      <dgm:prSet presAssocID="{767B9D23-4D09-45FE-AF37-A1CC6A38FF3C}" presName="Name37" presStyleLbl="parChTrans1D2" presStyleIdx="0" presStyleCnt="2"/>
      <dgm:spPr/>
    </dgm:pt>
    <dgm:pt modelId="{A69EC5B8-F189-4453-94AC-7A0E421D76B0}" type="pres">
      <dgm:prSet presAssocID="{20538BF6-7611-487E-8378-BE2433FD5C77}" presName="hierRoot2" presStyleCnt="0">
        <dgm:presLayoutVars>
          <dgm:hierBranch/>
        </dgm:presLayoutVars>
      </dgm:prSet>
      <dgm:spPr/>
    </dgm:pt>
    <dgm:pt modelId="{B87713CB-72E6-40A3-BEBE-4619026F6389}" type="pres">
      <dgm:prSet presAssocID="{20538BF6-7611-487E-8378-BE2433FD5C77}" presName="rootComposite" presStyleCnt="0"/>
      <dgm:spPr/>
    </dgm:pt>
    <dgm:pt modelId="{42E5AC45-F569-45D2-9CA9-FE1225078C19}" type="pres">
      <dgm:prSet presAssocID="{20538BF6-7611-487E-8378-BE2433FD5C77}" presName="rootText" presStyleLbl="node2" presStyleIdx="0" presStyleCnt="2" custScaleX="114420" custScaleY="72795">
        <dgm:presLayoutVars>
          <dgm:chPref val="3"/>
        </dgm:presLayoutVars>
      </dgm:prSet>
      <dgm:spPr/>
    </dgm:pt>
    <dgm:pt modelId="{88900B0B-0719-4BCC-AC71-E1A26A97AA44}" type="pres">
      <dgm:prSet presAssocID="{20538BF6-7611-487E-8378-BE2433FD5C77}" presName="rootConnector" presStyleLbl="node2" presStyleIdx="0" presStyleCnt="2"/>
      <dgm:spPr/>
    </dgm:pt>
    <dgm:pt modelId="{01E3F3E7-3BC3-443D-AAF2-B2C722CC5523}" type="pres">
      <dgm:prSet presAssocID="{20538BF6-7611-487E-8378-BE2433FD5C77}" presName="hierChild4" presStyleCnt="0"/>
      <dgm:spPr/>
    </dgm:pt>
    <dgm:pt modelId="{1884D283-EE1D-4CDA-94AF-C0CED8DB8037}" type="pres">
      <dgm:prSet presAssocID="{20538BF6-7611-487E-8378-BE2433FD5C77}" presName="hierChild5" presStyleCnt="0"/>
      <dgm:spPr/>
    </dgm:pt>
    <dgm:pt modelId="{3CCCF307-BE5C-4A44-AB7C-A18FB9464921}" type="pres">
      <dgm:prSet presAssocID="{B0DA9247-D931-4E3E-BA8C-06A75E3EC740}" presName="Name37" presStyleLbl="parChTrans1D2" presStyleIdx="1" presStyleCnt="2"/>
      <dgm:spPr/>
    </dgm:pt>
    <dgm:pt modelId="{637CC4AC-3AFF-43E5-99C5-7A8BDA3E582A}" type="pres">
      <dgm:prSet presAssocID="{2C017486-B4E1-4548-8E67-F31A9C02061C}" presName="hierRoot2" presStyleCnt="0">
        <dgm:presLayoutVars>
          <dgm:hierBranch val="init"/>
        </dgm:presLayoutVars>
      </dgm:prSet>
      <dgm:spPr/>
    </dgm:pt>
    <dgm:pt modelId="{232D0E96-19FB-49E6-92B1-D35953B0F7A9}" type="pres">
      <dgm:prSet presAssocID="{2C017486-B4E1-4548-8E67-F31A9C02061C}" presName="rootComposite" presStyleCnt="0"/>
      <dgm:spPr/>
    </dgm:pt>
    <dgm:pt modelId="{E3E9F49C-3D98-4879-A2B3-F1B93627074B}" type="pres">
      <dgm:prSet presAssocID="{2C017486-B4E1-4548-8E67-F31A9C02061C}" presName="rootText" presStyleLbl="node2" presStyleIdx="1" presStyleCnt="2" custScaleX="114420" custScaleY="72795">
        <dgm:presLayoutVars>
          <dgm:chPref val="3"/>
        </dgm:presLayoutVars>
      </dgm:prSet>
      <dgm:spPr/>
    </dgm:pt>
    <dgm:pt modelId="{E2B7B828-2EA5-4662-861B-C0B73963C8E8}" type="pres">
      <dgm:prSet presAssocID="{2C017486-B4E1-4548-8E67-F31A9C02061C}" presName="rootConnector" presStyleLbl="node2" presStyleIdx="1" presStyleCnt="2"/>
      <dgm:spPr/>
    </dgm:pt>
    <dgm:pt modelId="{6C6C9B48-F55C-4690-977D-10CFAE70333A}" type="pres">
      <dgm:prSet presAssocID="{2C017486-B4E1-4548-8E67-F31A9C02061C}" presName="hierChild4" presStyleCnt="0"/>
      <dgm:spPr/>
    </dgm:pt>
    <dgm:pt modelId="{C98BCAED-EABC-4234-B992-F9BDABA8C605}" type="pres">
      <dgm:prSet presAssocID="{2C017486-B4E1-4548-8E67-F31A9C02061C}" presName="hierChild5" presStyleCnt="0"/>
      <dgm:spPr/>
    </dgm:pt>
    <dgm:pt modelId="{27847846-E75C-4A0E-8708-459EA68D79ED}" type="pres">
      <dgm:prSet presAssocID="{AB4BEBDA-3A72-42CD-835B-795ECC20FB53}" presName="hierChild3" presStyleCnt="0"/>
      <dgm:spPr/>
    </dgm:pt>
  </dgm:ptLst>
  <dgm:cxnLst>
    <dgm:cxn modelId="{37C2121A-BD20-42E1-9A04-3E2153A58467}" type="presOf" srcId="{2C017486-B4E1-4548-8E67-F31A9C02061C}" destId="{E2B7B828-2EA5-4662-861B-C0B73963C8E8}" srcOrd="1" destOrd="0" presId="urn:microsoft.com/office/officeart/2005/8/layout/orgChart1"/>
    <dgm:cxn modelId="{5E81B665-EB33-40DF-95D7-C63EB6C06866}" type="presOf" srcId="{767B9D23-4D09-45FE-AF37-A1CC6A38FF3C}" destId="{44D96B03-F92D-4B63-847C-4E9D2760AEDA}" srcOrd="0" destOrd="0" presId="urn:microsoft.com/office/officeart/2005/8/layout/orgChart1"/>
    <dgm:cxn modelId="{DED3154D-93BB-4EE5-B529-9349E95BC8A8}" type="presOf" srcId="{AB4BEBDA-3A72-42CD-835B-795ECC20FB53}" destId="{BB02CB0C-A9CE-4BC6-984E-1E8B539E0E25}" srcOrd="0" destOrd="0" presId="urn:microsoft.com/office/officeart/2005/8/layout/orgChart1"/>
    <dgm:cxn modelId="{E140526D-B3D6-4F69-B477-7E2E92919747}" srcId="{AB4BEBDA-3A72-42CD-835B-795ECC20FB53}" destId="{2C017486-B4E1-4548-8E67-F31A9C02061C}" srcOrd="1" destOrd="0" parTransId="{B0DA9247-D931-4E3E-BA8C-06A75E3EC740}" sibTransId="{80523F1A-15E4-4FA7-BDDC-7CEB647AB573}"/>
    <dgm:cxn modelId="{1EDA2D55-C80B-4C46-8BA6-C4D02FE1A0DA}" type="presOf" srcId="{B0DA9247-D931-4E3E-BA8C-06A75E3EC740}" destId="{3CCCF307-BE5C-4A44-AB7C-A18FB9464921}" srcOrd="0" destOrd="0" presId="urn:microsoft.com/office/officeart/2005/8/layout/orgChart1"/>
    <dgm:cxn modelId="{A171B777-155E-4E89-A524-FCF91A7F7A42}" srcId="{082C952D-EAB1-446A-A133-DC2DBFA7C757}" destId="{AB4BEBDA-3A72-42CD-835B-795ECC20FB53}" srcOrd="0" destOrd="0" parTransId="{F402C63B-E19A-4914-B921-62C929A40776}" sibTransId="{26113362-D2B0-46D0-98D6-E2D98DA66C19}"/>
    <dgm:cxn modelId="{6E0DB67A-F2F1-4BC7-B1C9-FDE77E656B45}" type="presOf" srcId="{082C952D-EAB1-446A-A133-DC2DBFA7C757}" destId="{D5754CE2-865E-47B6-B144-60D8803DBB89}" srcOrd="0" destOrd="0" presId="urn:microsoft.com/office/officeart/2005/8/layout/orgChart1"/>
    <dgm:cxn modelId="{10877C85-45A8-4F59-A67A-F0475067774D}" type="presOf" srcId="{2C017486-B4E1-4548-8E67-F31A9C02061C}" destId="{E3E9F49C-3D98-4879-A2B3-F1B93627074B}" srcOrd="0" destOrd="0" presId="urn:microsoft.com/office/officeart/2005/8/layout/orgChart1"/>
    <dgm:cxn modelId="{1B253A90-F77E-443C-9C74-2820BD803A84}" type="presOf" srcId="{20538BF6-7611-487E-8378-BE2433FD5C77}" destId="{88900B0B-0719-4BCC-AC71-E1A26A97AA44}" srcOrd="1" destOrd="0" presId="urn:microsoft.com/office/officeart/2005/8/layout/orgChart1"/>
    <dgm:cxn modelId="{873D8DB5-C287-4536-8C84-268CC842FD92}" type="presOf" srcId="{AB4BEBDA-3A72-42CD-835B-795ECC20FB53}" destId="{27180084-8F80-42EA-97C2-988A4DE6F140}" srcOrd="1" destOrd="0" presId="urn:microsoft.com/office/officeart/2005/8/layout/orgChart1"/>
    <dgm:cxn modelId="{553943F8-9A56-4933-B1AC-9BE04BC1D340}" srcId="{AB4BEBDA-3A72-42CD-835B-795ECC20FB53}" destId="{20538BF6-7611-487E-8378-BE2433FD5C77}" srcOrd="0" destOrd="0" parTransId="{767B9D23-4D09-45FE-AF37-A1CC6A38FF3C}" sibTransId="{1042C2A8-7E6F-40A2-8B44-7805A3AC0098}"/>
    <dgm:cxn modelId="{FF5937FB-DA36-4F84-8036-95B12E466FEE}" type="presOf" srcId="{20538BF6-7611-487E-8378-BE2433FD5C77}" destId="{42E5AC45-F569-45D2-9CA9-FE1225078C19}" srcOrd="0" destOrd="0" presId="urn:microsoft.com/office/officeart/2005/8/layout/orgChart1"/>
    <dgm:cxn modelId="{40D7C6FE-9A00-4C4D-946C-D664A5A5EBA3}" type="presParOf" srcId="{D5754CE2-865E-47B6-B144-60D8803DBB89}" destId="{0C18273A-A784-483C-AE2E-F901F83F6E93}" srcOrd="0" destOrd="0" presId="urn:microsoft.com/office/officeart/2005/8/layout/orgChart1"/>
    <dgm:cxn modelId="{A13D9513-5192-49EB-9011-22BFA536F3A8}" type="presParOf" srcId="{0C18273A-A784-483C-AE2E-F901F83F6E93}" destId="{0B86BCA5-B5FB-44E7-9E16-9FD318764ECC}" srcOrd="0" destOrd="0" presId="urn:microsoft.com/office/officeart/2005/8/layout/orgChart1"/>
    <dgm:cxn modelId="{FAFE171A-01A6-4D28-888F-A7243EC01518}" type="presParOf" srcId="{0B86BCA5-B5FB-44E7-9E16-9FD318764ECC}" destId="{BB02CB0C-A9CE-4BC6-984E-1E8B539E0E25}" srcOrd="0" destOrd="0" presId="urn:microsoft.com/office/officeart/2005/8/layout/orgChart1"/>
    <dgm:cxn modelId="{D7E8D961-E68E-4CEA-8200-530CB20340C1}" type="presParOf" srcId="{0B86BCA5-B5FB-44E7-9E16-9FD318764ECC}" destId="{27180084-8F80-42EA-97C2-988A4DE6F140}" srcOrd="1" destOrd="0" presId="urn:microsoft.com/office/officeart/2005/8/layout/orgChart1"/>
    <dgm:cxn modelId="{57B3C26D-BE30-43DB-8F2C-8AD6818FB906}" type="presParOf" srcId="{0C18273A-A784-483C-AE2E-F901F83F6E93}" destId="{A099E33E-2914-4AA5-AD83-5E462CA896DF}" srcOrd="1" destOrd="0" presId="urn:microsoft.com/office/officeart/2005/8/layout/orgChart1"/>
    <dgm:cxn modelId="{98CD5459-D4AB-4835-BBCE-725352D58077}" type="presParOf" srcId="{A099E33E-2914-4AA5-AD83-5E462CA896DF}" destId="{44D96B03-F92D-4B63-847C-4E9D2760AEDA}" srcOrd="0" destOrd="0" presId="urn:microsoft.com/office/officeart/2005/8/layout/orgChart1"/>
    <dgm:cxn modelId="{28786AAE-466C-4C43-B4CC-189D3236645D}" type="presParOf" srcId="{A099E33E-2914-4AA5-AD83-5E462CA896DF}" destId="{A69EC5B8-F189-4453-94AC-7A0E421D76B0}" srcOrd="1" destOrd="0" presId="urn:microsoft.com/office/officeart/2005/8/layout/orgChart1"/>
    <dgm:cxn modelId="{3D72ABC4-D9DE-45B0-A176-11A603BF160F}" type="presParOf" srcId="{A69EC5B8-F189-4453-94AC-7A0E421D76B0}" destId="{B87713CB-72E6-40A3-BEBE-4619026F6389}" srcOrd="0" destOrd="0" presId="urn:microsoft.com/office/officeart/2005/8/layout/orgChart1"/>
    <dgm:cxn modelId="{C16EF0E7-5AFA-4D91-9C9C-B59F48EDAAFC}" type="presParOf" srcId="{B87713CB-72E6-40A3-BEBE-4619026F6389}" destId="{42E5AC45-F569-45D2-9CA9-FE1225078C19}" srcOrd="0" destOrd="0" presId="urn:microsoft.com/office/officeart/2005/8/layout/orgChart1"/>
    <dgm:cxn modelId="{492328A7-432C-404F-853B-5F4C08C676D5}" type="presParOf" srcId="{B87713CB-72E6-40A3-BEBE-4619026F6389}" destId="{88900B0B-0719-4BCC-AC71-E1A26A97AA44}" srcOrd="1" destOrd="0" presId="urn:microsoft.com/office/officeart/2005/8/layout/orgChart1"/>
    <dgm:cxn modelId="{63D04FF7-E67C-4B75-862B-6FAD2F52A6A8}" type="presParOf" srcId="{A69EC5B8-F189-4453-94AC-7A0E421D76B0}" destId="{01E3F3E7-3BC3-443D-AAF2-B2C722CC5523}" srcOrd="1" destOrd="0" presId="urn:microsoft.com/office/officeart/2005/8/layout/orgChart1"/>
    <dgm:cxn modelId="{E30736C5-F822-4C7A-8B31-A894FFB1A31B}" type="presParOf" srcId="{A69EC5B8-F189-4453-94AC-7A0E421D76B0}" destId="{1884D283-EE1D-4CDA-94AF-C0CED8DB8037}" srcOrd="2" destOrd="0" presId="urn:microsoft.com/office/officeart/2005/8/layout/orgChart1"/>
    <dgm:cxn modelId="{4B39CEEC-75B1-413D-B0F7-0BEE68105AE8}" type="presParOf" srcId="{A099E33E-2914-4AA5-AD83-5E462CA896DF}" destId="{3CCCF307-BE5C-4A44-AB7C-A18FB9464921}" srcOrd="2" destOrd="0" presId="urn:microsoft.com/office/officeart/2005/8/layout/orgChart1"/>
    <dgm:cxn modelId="{DAC36413-1F5D-4B5D-9B0C-AA0534C0E86C}" type="presParOf" srcId="{A099E33E-2914-4AA5-AD83-5E462CA896DF}" destId="{637CC4AC-3AFF-43E5-99C5-7A8BDA3E582A}" srcOrd="3" destOrd="0" presId="urn:microsoft.com/office/officeart/2005/8/layout/orgChart1"/>
    <dgm:cxn modelId="{1E5F2546-BE2B-4A96-8B80-B723FDDF7244}" type="presParOf" srcId="{637CC4AC-3AFF-43E5-99C5-7A8BDA3E582A}" destId="{232D0E96-19FB-49E6-92B1-D35953B0F7A9}" srcOrd="0" destOrd="0" presId="urn:microsoft.com/office/officeart/2005/8/layout/orgChart1"/>
    <dgm:cxn modelId="{347B75C5-BE36-418A-B426-A267C605C15E}" type="presParOf" srcId="{232D0E96-19FB-49E6-92B1-D35953B0F7A9}" destId="{E3E9F49C-3D98-4879-A2B3-F1B93627074B}" srcOrd="0" destOrd="0" presId="urn:microsoft.com/office/officeart/2005/8/layout/orgChart1"/>
    <dgm:cxn modelId="{D1D8E5A5-60FC-4542-9E06-08EFF3F9B349}" type="presParOf" srcId="{232D0E96-19FB-49E6-92B1-D35953B0F7A9}" destId="{E2B7B828-2EA5-4662-861B-C0B73963C8E8}" srcOrd="1" destOrd="0" presId="urn:microsoft.com/office/officeart/2005/8/layout/orgChart1"/>
    <dgm:cxn modelId="{06DEDCF7-89E9-4C31-837E-E31E956BE3B3}" type="presParOf" srcId="{637CC4AC-3AFF-43E5-99C5-7A8BDA3E582A}" destId="{6C6C9B48-F55C-4690-977D-10CFAE70333A}" srcOrd="1" destOrd="0" presId="urn:microsoft.com/office/officeart/2005/8/layout/orgChart1"/>
    <dgm:cxn modelId="{5ADD6CF4-EA69-41D0-8A7B-9A19C0A84291}" type="presParOf" srcId="{637CC4AC-3AFF-43E5-99C5-7A8BDA3E582A}" destId="{C98BCAED-EABC-4234-B992-F9BDABA8C605}" srcOrd="2" destOrd="0" presId="urn:microsoft.com/office/officeart/2005/8/layout/orgChart1"/>
    <dgm:cxn modelId="{0A4E008B-0BDE-4C44-BD26-4794C9E908CA}" type="presParOf" srcId="{0C18273A-A784-483C-AE2E-F901F83F6E93}" destId="{27847846-E75C-4A0E-8708-459EA68D79ED}"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CCF307-BE5C-4A44-AB7C-A18FB9464921}">
      <dsp:nvSpPr>
        <dsp:cNvPr id="0" name=""/>
        <dsp:cNvSpPr/>
      </dsp:nvSpPr>
      <dsp:spPr>
        <a:xfrm>
          <a:off x="1824643" y="592377"/>
          <a:ext cx="987829" cy="389529"/>
        </a:xfrm>
        <a:custGeom>
          <a:avLst/>
          <a:gdLst/>
          <a:ahLst/>
          <a:cxnLst/>
          <a:rect l="0" t="0" r="0" b="0"/>
          <a:pathLst>
            <a:path>
              <a:moveTo>
                <a:pt x="0" y="0"/>
              </a:moveTo>
              <a:lnTo>
                <a:pt x="0" y="236343"/>
              </a:lnTo>
              <a:lnTo>
                <a:pt x="987829" y="236343"/>
              </a:lnTo>
              <a:lnTo>
                <a:pt x="987829" y="389529"/>
              </a:lnTo>
            </a:path>
          </a:pathLst>
        </a:custGeom>
        <a:noFill/>
        <a:ln w="25400" cap="flat" cmpd="sng" algn="ctr">
          <a:solidFill>
            <a:srgbClr val="0A6AB4"/>
          </a:solidFill>
          <a:prstDash val="solid"/>
        </a:ln>
        <a:effectLst/>
      </dsp:spPr>
      <dsp:style>
        <a:lnRef idx="2">
          <a:scrgbClr r="0" g="0" b="0"/>
        </a:lnRef>
        <a:fillRef idx="0">
          <a:scrgbClr r="0" g="0" b="0"/>
        </a:fillRef>
        <a:effectRef idx="0">
          <a:scrgbClr r="0" g="0" b="0"/>
        </a:effectRef>
        <a:fontRef idx="minor"/>
      </dsp:style>
    </dsp:sp>
    <dsp:sp modelId="{44D96B03-F92D-4B63-847C-4E9D2760AEDA}">
      <dsp:nvSpPr>
        <dsp:cNvPr id="0" name=""/>
        <dsp:cNvSpPr/>
      </dsp:nvSpPr>
      <dsp:spPr>
        <a:xfrm>
          <a:off x="836813" y="592377"/>
          <a:ext cx="987829" cy="389529"/>
        </a:xfrm>
        <a:custGeom>
          <a:avLst/>
          <a:gdLst/>
          <a:ahLst/>
          <a:cxnLst/>
          <a:rect l="0" t="0" r="0" b="0"/>
          <a:pathLst>
            <a:path>
              <a:moveTo>
                <a:pt x="987829" y="0"/>
              </a:moveTo>
              <a:lnTo>
                <a:pt x="987829" y="236343"/>
              </a:lnTo>
              <a:lnTo>
                <a:pt x="0" y="236343"/>
              </a:lnTo>
              <a:lnTo>
                <a:pt x="0" y="389529"/>
              </a:lnTo>
            </a:path>
          </a:pathLst>
        </a:custGeom>
        <a:noFill/>
        <a:ln w="25400" cap="flat" cmpd="sng" algn="ctr">
          <a:solidFill>
            <a:srgbClr val="0A6AB4"/>
          </a:solidFill>
          <a:prstDash val="solid"/>
        </a:ln>
        <a:effectLst/>
      </dsp:spPr>
      <dsp:style>
        <a:lnRef idx="2">
          <a:scrgbClr r="0" g="0" b="0"/>
        </a:lnRef>
        <a:fillRef idx="0">
          <a:scrgbClr r="0" g="0" b="0"/>
        </a:fillRef>
        <a:effectRef idx="0">
          <a:scrgbClr r="0" g="0" b="0"/>
        </a:effectRef>
        <a:fontRef idx="minor"/>
      </dsp:style>
    </dsp:sp>
    <dsp:sp modelId="{BB02CB0C-A9CE-4BC6-984E-1E8B539E0E25}">
      <dsp:nvSpPr>
        <dsp:cNvPr id="0" name=""/>
        <dsp:cNvSpPr/>
      </dsp:nvSpPr>
      <dsp:spPr>
        <a:xfrm>
          <a:off x="747827" y="33220"/>
          <a:ext cx="2153632" cy="559157"/>
        </a:xfrm>
        <a:prstGeom prst="rect">
          <a:avLst/>
        </a:prstGeom>
        <a:solidFill>
          <a:srgbClr val="23305D"/>
        </a:solidFill>
        <a:ln w="25400" cap="flat" cmpd="sng" algn="ctr">
          <a:solidFill>
            <a:srgbClr val="23305D"/>
          </a:solidFill>
          <a:prstDash val="solid"/>
        </a:ln>
        <a:effectLst>
          <a:outerShdw blurRad="50800" dist="889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Segoe UI" panose="020B0502040204020203" pitchFamily="34" charset="0"/>
              <a:cs typeface="Segoe UI" panose="020B0502040204020203" pitchFamily="34" charset="0"/>
            </a:rPr>
            <a:t>DHB Sector Asset Management</a:t>
          </a:r>
          <a:br>
            <a:rPr lang="en-NZ" sz="1100" kern="1200">
              <a:latin typeface="Segoe UI" panose="020B0502040204020203" pitchFamily="34" charset="0"/>
              <a:cs typeface="Segoe UI" panose="020B0502040204020203" pitchFamily="34" charset="0"/>
            </a:rPr>
          </a:br>
          <a:r>
            <a:rPr lang="en-NZ" sz="1100" kern="1200">
              <a:latin typeface="Segoe UI" panose="020B0502040204020203" pitchFamily="34" charset="0"/>
              <a:cs typeface="Segoe UI" panose="020B0502040204020203" pitchFamily="34" charset="0"/>
            </a:rPr>
            <a:t>Framework: Overview</a:t>
          </a:r>
        </a:p>
      </dsp:txBody>
      <dsp:txXfrm>
        <a:off x="747827" y="33220"/>
        <a:ext cx="2153632" cy="559157"/>
      </dsp:txXfrm>
    </dsp:sp>
    <dsp:sp modelId="{42E5AC45-F569-45D2-9CA9-FE1225078C19}">
      <dsp:nvSpPr>
        <dsp:cNvPr id="0" name=""/>
        <dsp:cNvSpPr/>
      </dsp:nvSpPr>
      <dsp:spPr>
        <a:xfrm>
          <a:off x="2169" y="981907"/>
          <a:ext cx="1669288" cy="531007"/>
        </a:xfrm>
        <a:prstGeom prst="rect">
          <a:avLst/>
        </a:prstGeom>
        <a:solidFill>
          <a:srgbClr val="0A6AB4"/>
        </a:solidFill>
        <a:ln w="25400" cap="flat" cmpd="sng" algn="ctr">
          <a:solidFill>
            <a:srgbClr val="0A6AB4"/>
          </a:solidFill>
          <a:prstDash val="solid"/>
        </a:ln>
        <a:effectLst>
          <a:outerShdw blurRad="50800" dist="889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Segoe UI" panose="020B0502040204020203" pitchFamily="34" charset="0"/>
              <a:cs typeface="Segoe UI" panose="020B0502040204020203" pitchFamily="34" charset="0"/>
            </a:rPr>
            <a:t>DHB Sector Asset</a:t>
          </a:r>
          <a:br>
            <a:rPr lang="en-NZ" sz="1100" kern="1200">
              <a:latin typeface="Segoe UI" panose="020B0502040204020203" pitchFamily="34" charset="0"/>
              <a:cs typeface="Segoe UI" panose="020B0502040204020203" pitchFamily="34" charset="0"/>
            </a:rPr>
          </a:br>
          <a:r>
            <a:rPr lang="en-NZ" sz="1100" kern="1200">
              <a:latin typeface="Segoe UI" panose="020B0502040204020203" pitchFamily="34" charset="0"/>
              <a:cs typeface="Segoe UI" panose="020B0502040204020203" pitchFamily="34" charset="0"/>
            </a:rPr>
            <a:t>Management: Policy</a:t>
          </a:r>
        </a:p>
      </dsp:txBody>
      <dsp:txXfrm>
        <a:off x="2169" y="981907"/>
        <a:ext cx="1669288" cy="531007"/>
      </dsp:txXfrm>
    </dsp:sp>
    <dsp:sp modelId="{E3E9F49C-3D98-4879-A2B3-F1B93627074B}">
      <dsp:nvSpPr>
        <dsp:cNvPr id="0" name=""/>
        <dsp:cNvSpPr/>
      </dsp:nvSpPr>
      <dsp:spPr>
        <a:xfrm>
          <a:off x="1977829" y="981907"/>
          <a:ext cx="1669288" cy="531007"/>
        </a:xfrm>
        <a:prstGeom prst="rect">
          <a:avLst/>
        </a:prstGeom>
        <a:solidFill>
          <a:srgbClr val="0A6AB4"/>
        </a:solidFill>
        <a:ln w="25400" cap="flat" cmpd="sng" algn="ctr">
          <a:solidFill>
            <a:srgbClr val="0A6AB4"/>
          </a:solidFill>
          <a:prstDash val="solid"/>
        </a:ln>
        <a:effectLst>
          <a:outerShdw blurRad="50800" dist="889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NZ" sz="1100" kern="1200">
              <a:latin typeface="Segoe UI" panose="020B0502040204020203" pitchFamily="34" charset="0"/>
              <a:cs typeface="Segoe UI" panose="020B0502040204020203" pitchFamily="34" charset="0"/>
            </a:rPr>
            <a:t>DHB Sector Asset</a:t>
          </a:r>
          <a:br>
            <a:rPr lang="en-NZ" sz="1100" kern="1200">
              <a:latin typeface="Segoe UI" panose="020B0502040204020203" pitchFamily="34" charset="0"/>
              <a:cs typeface="Segoe UI" panose="020B0502040204020203" pitchFamily="34" charset="0"/>
            </a:rPr>
          </a:br>
          <a:r>
            <a:rPr lang="en-NZ" sz="1100" kern="1200">
              <a:latin typeface="Segoe UI" panose="020B0502040204020203" pitchFamily="34" charset="0"/>
              <a:cs typeface="Segoe UI" panose="020B0502040204020203" pitchFamily="34" charset="0"/>
            </a:rPr>
            <a:t>Management: Strategy</a:t>
          </a:r>
        </a:p>
      </dsp:txBody>
      <dsp:txXfrm>
        <a:off x="1977829" y="981907"/>
        <a:ext cx="1669288" cy="5310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2" ma:contentTypeDescription="Create a new document." ma:contentTypeScope="" ma:versionID="c8689b3299440aed37092910ffa64892">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64f610fa763eba65adbbbc13f7fcc698"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78E8-EAC4-4EDB-9886-D90AA8BEA6E1}">
  <ds:schemaRefs>
    <ds:schemaRef ds:uri="http://purl.org/dc/elements/1.1/"/>
    <ds:schemaRef ds:uri="http://schemas.microsoft.com/office/2006/metadata/properties"/>
    <ds:schemaRef ds:uri="http://purl.org/dc/terms/"/>
    <ds:schemaRef ds:uri="417601d8-b133-4bfa-a841-9972946f34d2"/>
    <ds:schemaRef ds:uri="http://schemas.openxmlformats.org/package/2006/metadata/core-properties"/>
    <ds:schemaRef ds:uri="http://schemas.microsoft.com/office/2006/documentManagement/types"/>
    <ds:schemaRef ds:uri="http://schemas.microsoft.com/office/infopath/2007/PartnerControls"/>
    <ds:schemaRef ds:uri="d59ea6e6-a59c-44b8-a0cc-c20c48781dd0"/>
    <ds:schemaRef ds:uri="http://www.w3.org/XML/1998/namespace"/>
    <ds:schemaRef ds:uri="http://purl.org/dc/dcmitype/"/>
  </ds:schemaRefs>
</ds:datastoreItem>
</file>

<file path=customXml/itemProps2.xml><?xml version="1.0" encoding="utf-8"?>
<ds:datastoreItem xmlns:ds="http://schemas.openxmlformats.org/officeDocument/2006/customXml" ds:itemID="{14C5056D-F6C5-4195-9CAA-4D0D1558EA06}">
  <ds:schemaRefs>
    <ds:schemaRef ds:uri="http://schemas.microsoft.com/sharepoint/v3/contenttype/forms"/>
  </ds:schemaRefs>
</ds:datastoreItem>
</file>

<file path=customXml/itemProps3.xml><?xml version="1.0" encoding="utf-8"?>
<ds:datastoreItem xmlns:ds="http://schemas.openxmlformats.org/officeDocument/2006/customXml" ds:itemID="{79C04479-78AC-4C52-8AEB-3BECD7D50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25413-8537-4E71-84E6-58E94F9C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1</TotalTime>
  <Pages>12</Pages>
  <Words>1622</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District Health Board Sector Asset Management Framework: Policy</vt:lpstr>
    </vt:vector>
  </TitlesOfParts>
  <Company>Microsoft</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Health Board Sector Asset Management Framework: Policy</dc:title>
  <dc:creator>Ministry of Health</dc:creator>
  <cp:lastModifiedBy>Ministry of Health</cp:lastModifiedBy>
  <cp:revision>2</cp:revision>
  <cp:lastPrinted>2020-10-28T03:07:00Z</cp:lastPrinted>
  <dcterms:created xsi:type="dcterms:W3CDTF">2020-11-03T21:35:00Z</dcterms:created>
  <dcterms:modified xsi:type="dcterms:W3CDTF">2020-11-03T21:35:00Z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