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0053" w14:textId="77777777" w:rsidR="00C86248" w:rsidRDefault="002C2DC0" w:rsidP="00B26F0E">
      <w:pPr>
        <w:pStyle w:val="Title"/>
        <w:ind w:right="2268"/>
      </w:pPr>
      <w:bookmarkStart w:id="0" w:name="_GoBack"/>
      <w:bookmarkEnd w:id="0"/>
      <w:r>
        <w:t xml:space="preserve">District Health Board </w:t>
      </w:r>
      <w:r w:rsidR="00B26F0E">
        <w:t xml:space="preserve">Sector </w:t>
      </w:r>
      <w:r>
        <w:t>Asset</w:t>
      </w:r>
      <w:r w:rsidR="00B26F0E">
        <w:t> </w:t>
      </w:r>
      <w:r>
        <w:t>Management Framework</w:t>
      </w:r>
    </w:p>
    <w:p w14:paraId="3E9D6A36" w14:textId="77777777" w:rsidR="00D27922" w:rsidRDefault="00B26F0E" w:rsidP="00D27922">
      <w:pPr>
        <w:pStyle w:val="Subhead"/>
      </w:pPr>
      <w:r>
        <w:t>Overview</w:t>
      </w:r>
    </w:p>
    <w:p w14:paraId="38006F69" w14:textId="77777777" w:rsidR="00D27922" w:rsidRPr="00D27922" w:rsidRDefault="002C2DC0" w:rsidP="00D27922">
      <w:pPr>
        <w:pStyle w:val="Year"/>
      </w:pPr>
      <w:r>
        <w:t>November 2020</w:t>
      </w:r>
    </w:p>
    <w:p w14:paraId="03BEE82A" w14:textId="77777777" w:rsidR="00C05132" w:rsidRDefault="00C05132" w:rsidP="00A06BE4"/>
    <w:p w14:paraId="4DDD3EA4"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3BB8F9F0"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2C2DC0">
        <w:rPr>
          <w:rFonts w:cs="Segoe UI"/>
        </w:rPr>
        <w:t>2020</w:t>
      </w:r>
      <w:r w:rsidR="00442C1C" w:rsidRPr="00C05132">
        <w:rPr>
          <w:rFonts w:cs="Segoe UI"/>
        </w:rPr>
        <w:t xml:space="preserve">. </w:t>
      </w:r>
      <w:r w:rsidR="002C2DC0">
        <w:rPr>
          <w:rFonts w:cs="Segoe UI"/>
          <w:i/>
        </w:rPr>
        <w:t xml:space="preserve">District Health Board </w:t>
      </w:r>
      <w:r w:rsidR="008F038D">
        <w:rPr>
          <w:rFonts w:cs="Segoe UI"/>
          <w:i/>
        </w:rPr>
        <w:t xml:space="preserve">Sector </w:t>
      </w:r>
      <w:r w:rsidR="002C2DC0">
        <w:rPr>
          <w:rFonts w:cs="Segoe UI"/>
          <w:i/>
        </w:rPr>
        <w:t xml:space="preserve">Asset Management </w:t>
      </w:r>
      <w:r w:rsidR="00D162CB">
        <w:rPr>
          <w:rFonts w:cs="Segoe UI"/>
          <w:i/>
        </w:rPr>
        <w:t>Framework</w:t>
      </w:r>
      <w:r w:rsidR="002C2DC0">
        <w:rPr>
          <w:rFonts w:cs="Segoe UI"/>
          <w:i/>
        </w:rPr>
        <w:t xml:space="preserve">: </w:t>
      </w:r>
      <w:r w:rsidR="00B26F0E">
        <w:rPr>
          <w:rFonts w:cs="Segoe UI"/>
          <w:i/>
        </w:rPr>
        <w:t>Overview</w:t>
      </w:r>
      <w:r w:rsidR="002C2DC0">
        <w:rPr>
          <w:rFonts w:cs="Segoe UI"/>
        </w:rPr>
        <w:t xml:space="preserve">. </w:t>
      </w:r>
      <w:r w:rsidR="00442C1C" w:rsidRPr="002C2DC0">
        <w:rPr>
          <w:rFonts w:cs="Segoe UI"/>
        </w:rPr>
        <w:t>Wellington</w:t>
      </w:r>
      <w:r w:rsidR="00442C1C" w:rsidRPr="00C05132">
        <w:rPr>
          <w:rFonts w:cs="Segoe UI"/>
        </w:rPr>
        <w:t>: Ministry of Health.</w:t>
      </w:r>
    </w:p>
    <w:p w14:paraId="4259364B" w14:textId="77777777" w:rsidR="00C86248" w:rsidRDefault="00C86248">
      <w:pPr>
        <w:pStyle w:val="Imprint"/>
      </w:pPr>
      <w:r>
        <w:t xml:space="preserve">Published in </w:t>
      </w:r>
      <w:r w:rsidR="002C2DC0">
        <w:t xml:space="preserve">November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384A75F" w14:textId="62DD57D8" w:rsidR="00082CD6" w:rsidRPr="009C0F2D" w:rsidRDefault="002C2DC0" w:rsidP="00082CD6">
      <w:pPr>
        <w:pStyle w:val="Imprint"/>
      </w:pPr>
      <w:r>
        <w:t xml:space="preserve">ISBN </w:t>
      </w:r>
      <w:r w:rsidR="00E63332" w:rsidRPr="00E63332">
        <w:t>978-1-99-002956-1</w:t>
      </w:r>
      <w:r w:rsidR="00E63332">
        <w:t xml:space="preserve"> </w:t>
      </w:r>
      <w:r>
        <w:t>(online)</w:t>
      </w:r>
      <w:r w:rsidR="00082CD6">
        <w:br/>
      </w:r>
      <w:r w:rsidR="00082CD6" w:rsidRPr="009C0F2D">
        <w:t xml:space="preserve">HP </w:t>
      </w:r>
      <w:r w:rsidR="00E63332">
        <w:t>7502</w:t>
      </w:r>
    </w:p>
    <w:p w14:paraId="4315D655" w14:textId="77777777" w:rsidR="00C86248" w:rsidRDefault="008C64C4" w:rsidP="00D27922">
      <w:pPr>
        <w:spacing w:before="360"/>
      </w:pPr>
      <w:r>
        <w:rPr>
          <w:noProof/>
          <w:lang w:eastAsia="en-NZ"/>
        </w:rPr>
        <w:drawing>
          <wp:inline distT="0" distB="0" distL="0" distR="0" wp14:anchorId="44360B3A" wp14:editId="2240691F">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7CC473B"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15A3EB2" w14:textId="77777777" w:rsidTr="00A63DFF">
        <w:trPr>
          <w:cantSplit/>
        </w:trPr>
        <w:tc>
          <w:tcPr>
            <w:tcW w:w="1526" w:type="dxa"/>
          </w:tcPr>
          <w:p w14:paraId="32D57FCC"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F76B105" wp14:editId="1771F80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3947506"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6E24127F" w14:textId="77777777" w:rsidR="007E74F1" w:rsidRPr="001F45A7" w:rsidRDefault="007E74F1" w:rsidP="006E2886">
      <w:pPr>
        <w:pStyle w:val="Imprint"/>
      </w:pPr>
    </w:p>
    <w:p w14:paraId="78E67830" w14:textId="77777777" w:rsidR="00C86248" w:rsidRDefault="00C86248">
      <w:pPr>
        <w:jc w:val="center"/>
        <w:sectPr w:rsidR="00C86248" w:rsidSect="00925892">
          <w:footerReference w:type="even" r:id="rId15"/>
          <w:footerReference w:type="default" r:id="rId16"/>
          <w:pgSz w:w="11907" w:h="16834" w:code="9"/>
          <w:pgMar w:top="1701" w:right="2268" w:bottom="1134" w:left="2268" w:header="0" w:footer="0" w:gutter="0"/>
          <w:cols w:space="720"/>
          <w:vAlign w:val="bottom"/>
        </w:sectPr>
      </w:pPr>
    </w:p>
    <w:p w14:paraId="3C9DB290" w14:textId="77777777" w:rsidR="00C86248" w:rsidRDefault="00C86248" w:rsidP="00025A6F">
      <w:pPr>
        <w:pStyle w:val="IntroHead"/>
      </w:pPr>
      <w:bookmarkStart w:id="1" w:name="_Toc405792991"/>
      <w:bookmarkStart w:id="2" w:name="_Toc405793224"/>
      <w:r>
        <w:lastRenderedPageBreak/>
        <w:t>Contents</w:t>
      </w:r>
      <w:bookmarkEnd w:id="1"/>
      <w:bookmarkEnd w:id="2"/>
    </w:p>
    <w:p w14:paraId="55459CBD" w14:textId="7A89C31C" w:rsidR="00C47EAB" w:rsidRDefault="00C47EA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4353261" w:history="1">
        <w:r w:rsidRPr="00537872">
          <w:rPr>
            <w:rStyle w:val="Hyperlink"/>
            <w:noProof/>
          </w:rPr>
          <w:t>Introduction</w:t>
        </w:r>
        <w:r>
          <w:rPr>
            <w:noProof/>
            <w:webHidden/>
          </w:rPr>
          <w:tab/>
        </w:r>
        <w:r>
          <w:rPr>
            <w:noProof/>
            <w:webHidden/>
          </w:rPr>
          <w:fldChar w:fldCharType="begin"/>
        </w:r>
        <w:r>
          <w:rPr>
            <w:noProof/>
            <w:webHidden/>
          </w:rPr>
          <w:instrText xml:space="preserve"> PAGEREF _Toc54353261 \h </w:instrText>
        </w:r>
        <w:r>
          <w:rPr>
            <w:noProof/>
            <w:webHidden/>
          </w:rPr>
        </w:r>
        <w:r>
          <w:rPr>
            <w:noProof/>
            <w:webHidden/>
          </w:rPr>
          <w:fldChar w:fldCharType="separate"/>
        </w:r>
        <w:r w:rsidR="00CD5619">
          <w:rPr>
            <w:noProof/>
            <w:webHidden/>
          </w:rPr>
          <w:t>1</w:t>
        </w:r>
        <w:r>
          <w:rPr>
            <w:noProof/>
            <w:webHidden/>
          </w:rPr>
          <w:fldChar w:fldCharType="end"/>
        </w:r>
      </w:hyperlink>
    </w:p>
    <w:p w14:paraId="6A9AD487" w14:textId="65D382DA" w:rsidR="00C47EAB" w:rsidRDefault="00DD4DDC">
      <w:pPr>
        <w:pStyle w:val="TOC1"/>
        <w:rPr>
          <w:rFonts w:asciiTheme="minorHAnsi" w:eastAsiaTheme="minorEastAsia" w:hAnsiTheme="minorHAnsi" w:cstheme="minorBidi"/>
          <w:noProof/>
          <w:sz w:val="22"/>
          <w:szCs w:val="22"/>
          <w:lang w:eastAsia="en-NZ"/>
        </w:rPr>
      </w:pPr>
      <w:hyperlink w:anchor="_Toc54353262" w:history="1">
        <w:r w:rsidR="00C47EAB" w:rsidRPr="00537872">
          <w:rPr>
            <w:rStyle w:val="Hyperlink"/>
            <w:noProof/>
          </w:rPr>
          <w:t>Scope</w:t>
        </w:r>
        <w:r w:rsidR="00C47EAB">
          <w:rPr>
            <w:noProof/>
            <w:webHidden/>
          </w:rPr>
          <w:tab/>
        </w:r>
        <w:r w:rsidR="00C47EAB">
          <w:rPr>
            <w:noProof/>
            <w:webHidden/>
          </w:rPr>
          <w:fldChar w:fldCharType="begin"/>
        </w:r>
        <w:r w:rsidR="00C47EAB">
          <w:rPr>
            <w:noProof/>
            <w:webHidden/>
          </w:rPr>
          <w:instrText xml:space="preserve"> PAGEREF _Toc54353262 \h </w:instrText>
        </w:r>
        <w:r w:rsidR="00C47EAB">
          <w:rPr>
            <w:noProof/>
            <w:webHidden/>
          </w:rPr>
        </w:r>
        <w:r w:rsidR="00C47EAB">
          <w:rPr>
            <w:noProof/>
            <w:webHidden/>
          </w:rPr>
          <w:fldChar w:fldCharType="separate"/>
        </w:r>
        <w:r w:rsidR="00CD5619">
          <w:rPr>
            <w:noProof/>
            <w:webHidden/>
          </w:rPr>
          <w:t>2</w:t>
        </w:r>
        <w:r w:rsidR="00C47EAB">
          <w:rPr>
            <w:noProof/>
            <w:webHidden/>
          </w:rPr>
          <w:fldChar w:fldCharType="end"/>
        </w:r>
      </w:hyperlink>
    </w:p>
    <w:p w14:paraId="50D81F07" w14:textId="55520314" w:rsidR="00C47EAB" w:rsidRDefault="00DD4DDC">
      <w:pPr>
        <w:pStyle w:val="TOC1"/>
        <w:rPr>
          <w:rFonts w:asciiTheme="minorHAnsi" w:eastAsiaTheme="minorEastAsia" w:hAnsiTheme="minorHAnsi" w:cstheme="minorBidi"/>
          <w:noProof/>
          <w:sz w:val="22"/>
          <w:szCs w:val="22"/>
          <w:lang w:eastAsia="en-NZ"/>
        </w:rPr>
      </w:pPr>
      <w:hyperlink w:anchor="_Toc54353263" w:history="1">
        <w:r w:rsidR="00C47EAB" w:rsidRPr="00537872">
          <w:rPr>
            <w:rStyle w:val="Hyperlink"/>
            <w:noProof/>
          </w:rPr>
          <w:t>Structure of the framework</w:t>
        </w:r>
        <w:r w:rsidR="00C47EAB">
          <w:rPr>
            <w:noProof/>
            <w:webHidden/>
          </w:rPr>
          <w:tab/>
        </w:r>
        <w:r w:rsidR="00C47EAB">
          <w:rPr>
            <w:noProof/>
            <w:webHidden/>
          </w:rPr>
          <w:fldChar w:fldCharType="begin"/>
        </w:r>
        <w:r w:rsidR="00C47EAB">
          <w:rPr>
            <w:noProof/>
            <w:webHidden/>
          </w:rPr>
          <w:instrText xml:space="preserve"> PAGEREF _Toc54353263 \h </w:instrText>
        </w:r>
        <w:r w:rsidR="00C47EAB">
          <w:rPr>
            <w:noProof/>
            <w:webHidden/>
          </w:rPr>
        </w:r>
        <w:r w:rsidR="00C47EAB">
          <w:rPr>
            <w:noProof/>
            <w:webHidden/>
          </w:rPr>
          <w:fldChar w:fldCharType="separate"/>
        </w:r>
        <w:r w:rsidR="00CD5619">
          <w:rPr>
            <w:noProof/>
            <w:webHidden/>
          </w:rPr>
          <w:t>3</w:t>
        </w:r>
        <w:r w:rsidR="00C47EAB">
          <w:rPr>
            <w:noProof/>
            <w:webHidden/>
          </w:rPr>
          <w:fldChar w:fldCharType="end"/>
        </w:r>
      </w:hyperlink>
    </w:p>
    <w:p w14:paraId="0E2B1D2C" w14:textId="10760F8E" w:rsidR="00C47EAB" w:rsidRDefault="00DD4DDC">
      <w:pPr>
        <w:pStyle w:val="TOC1"/>
        <w:rPr>
          <w:rFonts w:asciiTheme="minorHAnsi" w:eastAsiaTheme="minorEastAsia" w:hAnsiTheme="minorHAnsi" w:cstheme="minorBidi"/>
          <w:noProof/>
          <w:sz w:val="22"/>
          <w:szCs w:val="22"/>
          <w:lang w:eastAsia="en-NZ"/>
        </w:rPr>
      </w:pPr>
      <w:hyperlink w:anchor="_Toc54353264" w:history="1">
        <w:r w:rsidR="00C47EAB" w:rsidRPr="00537872">
          <w:rPr>
            <w:rStyle w:val="Hyperlink"/>
            <w:noProof/>
          </w:rPr>
          <w:t>Development of the framework</w:t>
        </w:r>
        <w:r w:rsidR="00C47EAB">
          <w:rPr>
            <w:noProof/>
            <w:webHidden/>
          </w:rPr>
          <w:tab/>
        </w:r>
        <w:r w:rsidR="00C47EAB">
          <w:rPr>
            <w:noProof/>
            <w:webHidden/>
          </w:rPr>
          <w:fldChar w:fldCharType="begin"/>
        </w:r>
        <w:r w:rsidR="00C47EAB">
          <w:rPr>
            <w:noProof/>
            <w:webHidden/>
          </w:rPr>
          <w:instrText xml:space="preserve"> PAGEREF _Toc54353264 \h </w:instrText>
        </w:r>
        <w:r w:rsidR="00C47EAB">
          <w:rPr>
            <w:noProof/>
            <w:webHidden/>
          </w:rPr>
        </w:r>
        <w:r w:rsidR="00C47EAB">
          <w:rPr>
            <w:noProof/>
            <w:webHidden/>
          </w:rPr>
          <w:fldChar w:fldCharType="separate"/>
        </w:r>
        <w:r w:rsidR="00CD5619">
          <w:rPr>
            <w:noProof/>
            <w:webHidden/>
          </w:rPr>
          <w:t>7</w:t>
        </w:r>
        <w:r w:rsidR="00C47EAB">
          <w:rPr>
            <w:noProof/>
            <w:webHidden/>
          </w:rPr>
          <w:fldChar w:fldCharType="end"/>
        </w:r>
      </w:hyperlink>
    </w:p>
    <w:p w14:paraId="270ADB5B" w14:textId="46BF00E2" w:rsidR="00C47EAB" w:rsidRDefault="00DD4DDC">
      <w:pPr>
        <w:pStyle w:val="TOC1"/>
        <w:rPr>
          <w:rFonts w:asciiTheme="minorHAnsi" w:eastAsiaTheme="minorEastAsia" w:hAnsiTheme="minorHAnsi" w:cstheme="minorBidi"/>
          <w:noProof/>
          <w:sz w:val="22"/>
          <w:szCs w:val="22"/>
          <w:lang w:eastAsia="en-NZ"/>
        </w:rPr>
      </w:pPr>
      <w:hyperlink w:anchor="_Toc54353265" w:history="1">
        <w:r w:rsidR="00C47EAB" w:rsidRPr="00537872">
          <w:rPr>
            <w:rStyle w:val="Hyperlink"/>
            <w:noProof/>
          </w:rPr>
          <w:t>External source documents</w:t>
        </w:r>
        <w:r w:rsidR="00C47EAB">
          <w:rPr>
            <w:noProof/>
            <w:webHidden/>
          </w:rPr>
          <w:tab/>
        </w:r>
        <w:r w:rsidR="00C47EAB">
          <w:rPr>
            <w:noProof/>
            <w:webHidden/>
          </w:rPr>
          <w:fldChar w:fldCharType="begin"/>
        </w:r>
        <w:r w:rsidR="00C47EAB">
          <w:rPr>
            <w:noProof/>
            <w:webHidden/>
          </w:rPr>
          <w:instrText xml:space="preserve"> PAGEREF _Toc54353265 \h </w:instrText>
        </w:r>
        <w:r w:rsidR="00C47EAB">
          <w:rPr>
            <w:noProof/>
            <w:webHidden/>
          </w:rPr>
        </w:r>
        <w:r w:rsidR="00C47EAB">
          <w:rPr>
            <w:noProof/>
            <w:webHidden/>
          </w:rPr>
          <w:fldChar w:fldCharType="separate"/>
        </w:r>
        <w:r w:rsidR="00CD5619">
          <w:rPr>
            <w:noProof/>
            <w:webHidden/>
          </w:rPr>
          <w:t>8</w:t>
        </w:r>
        <w:r w:rsidR="00C47EAB">
          <w:rPr>
            <w:noProof/>
            <w:webHidden/>
          </w:rPr>
          <w:fldChar w:fldCharType="end"/>
        </w:r>
      </w:hyperlink>
    </w:p>
    <w:p w14:paraId="70B40C98" w14:textId="668DF8A4" w:rsidR="00C86248" w:rsidRDefault="00C47EAB">
      <w:r>
        <w:rPr>
          <w:rFonts w:ascii="Segoe UI Semibold" w:hAnsi="Segoe UI Semibold"/>
          <w:b/>
          <w:sz w:val="24"/>
        </w:rPr>
        <w:fldChar w:fldCharType="end"/>
      </w:r>
    </w:p>
    <w:p w14:paraId="465407D9" w14:textId="77777777" w:rsidR="002B76A7" w:rsidRDefault="002B76A7" w:rsidP="002B76A7">
      <w:pPr>
        <w:pStyle w:val="TOC1"/>
        <w:keepNext/>
      </w:pPr>
      <w:r>
        <w:t>List of Tables</w:t>
      </w:r>
    </w:p>
    <w:p w14:paraId="347D0C2D" w14:textId="49323C25" w:rsidR="00C47EAB" w:rsidRDefault="00C47EAB">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54353270" w:history="1">
        <w:r w:rsidRPr="007B69D6">
          <w:rPr>
            <w:rStyle w:val="Hyperlink"/>
            <w:noProof/>
          </w:rPr>
          <w:t>Table 1: District Health Board Sector Asset Management Framework documents</w:t>
        </w:r>
        <w:r>
          <w:rPr>
            <w:noProof/>
            <w:webHidden/>
          </w:rPr>
          <w:tab/>
        </w:r>
        <w:r>
          <w:rPr>
            <w:noProof/>
            <w:webHidden/>
          </w:rPr>
          <w:fldChar w:fldCharType="begin"/>
        </w:r>
        <w:r>
          <w:rPr>
            <w:noProof/>
            <w:webHidden/>
          </w:rPr>
          <w:instrText xml:space="preserve"> PAGEREF _Toc54353270 \h </w:instrText>
        </w:r>
        <w:r>
          <w:rPr>
            <w:noProof/>
            <w:webHidden/>
          </w:rPr>
        </w:r>
        <w:r>
          <w:rPr>
            <w:noProof/>
            <w:webHidden/>
          </w:rPr>
          <w:fldChar w:fldCharType="separate"/>
        </w:r>
        <w:r w:rsidR="00CD5619">
          <w:rPr>
            <w:noProof/>
            <w:webHidden/>
          </w:rPr>
          <w:t>4</w:t>
        </w:r>
        <w:r>
          <w:rPr>
            <w:noProof/>
            <w:webHidden/>
          </w:rPr>
          <w:fldChar w:fldCharType="end"/>
        </w:r>
      </w:hyperlink>
    </w:p>
    <w:p w14:paraId="3069C0C7" w14:textId="3C48E906" w:rsidR="002B76A7" w:rsidRDefault="00C47EAB" w:rsidP="003A5FEA">
      <w:r>
        <w:rPr>
          <w:sz w:val="20"/>
        </w:rPr>
        <w:fldChar w:fldCharType="end"/>
      </w:r>
    </w:p>
    <w:p w14:paraId="64156BFB" w14:textId="77777777" w:rsidR="0033448B" w:rsidRDefault="0033448B" w:rsidP="0033448B">
      <w:pPr>
        <w:pStyle w:val="TOC1"/>
        <w:keepNext/>
      </w:pPr>
      <w:r>
        <w:t>List of Figures</w:t>
      </w:r>
    </w:p>
    <w:p w14:paraId="180ABDE6" w14:textId="7CF79A8B" w:rsidR="00C47EAB" w:rsidRDefault="00C47EAB">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4353279" w:history="1">
        <w:r w:rsidRPr="00A62F71">
          <w:rPr>
            <w:rStyle w:val="Hyperlink"/>
            <w:noProof/>
          </w:rPr>
          <w:t>Figure 1: District Health Board Sector Asset Management Framework documents</w:t>
        </w:r>
        <w:r>
          <w:rPr>
            <w:noProof/>
            <w:webHidden/>
          </w:rPr>
          <w:tab/>
        </w:r>
        <w:r>
          <w:rPr>
            <w:noProof/>
            <w:webHidden/>
          </w:rPr>
          <w:fldChar w:fldCharType="begin"/>
        </w:r>
        <w:r>
          <w:rPr>
            <w:noProof/>
            <w:webHidden/>
          </w:rPr>
          <w:instrText xml:space="preserve"> PAGEREF _Toc54353279 \h </w:instrText>
        </w:r>
        <w:r>
          <w:rPr>
            <w:noProof/>
            <w:webHidden/>
          </w:rPr>
        </w:r>
        <w:r>
          <w:rPr>
            <w:noProof/>
            <w:webHidden/>
          </w:rPr>
          <w:fldChar w:fldCharType="separate"/>
        </w:r>
        <w:r w:rsidR="00CD5619">
          <w:rPr>
            <w:noProof/>
            <w:webHidden/>
          </w:rPr>
          <w:t>1</w:t>
        </w:r>
        <w:r>
          <w:rPr>
            <w:noProof/>
            <w:webHidden/>
          </w:rPr>
          <w:fldChar w:fldCharType="end"/>
        </w:r>
      </w:hyperlink>
    </w:p>
    <w:p w14:paraId="6F23E483" w14:textId="4B51863A" w:rsidR="00C47EAB" w:rsidRDefault="00DD4DDC">
      <w:pPr>
        <w:pStyle w:val="TOC3"/>
        <w:rPr>
          <w:rFonts w:asciiTheme="minorHAnsi" w:eastAsiaTheme="minorEastAsia" w:hAnsiTheme="minorHAnsi" w:cstheme="minorBidi"/>
          <w:noProof/>
          <w:sz w:val="22"/>
          <w:szCs w:val="22"/>
          <w:lang w:eastAsia="en-NZ"/>
        </w:rPr>
      </w:pPr>
      <w:hyperlink w:anchor="_Toc54353280" w:history="1">
        <w:r w:rsidR="00C47EAB" w:rsidRPr="00A62F71">
          <w:rPr>
            <w:rStyle w:val="Hyperlink"/>
            <w:noProof/>
          </w:rPr>
          <w:t>Figure 2: Plans in District Health Board Sector Asset Management Framework</w:t>
        </w:r>
        <w:r w:rsidR="00C47EAB">
          <w:rPr>
            <w:noProof/>
            <w:webHidden/>
          </w:rPr>
          <w:tab/>
        </w:r>
        <w:r w:rsidR="00C47EAB">
          <w:rPr>
            <w:noProof/>
            <w:webHidden/>
          </w:rPr>
          <w:fldChar w:fldCharType="begin"/>
        </w:r>
        <w:r w:rsidR="00C47EAB">
          <w:rPr>
            <w:noProof/>
            <w:webHidden/>
          </w:rPr>
          <w:instrText xml:space="preserve"> PAGEREF _Toc54353280 \h </w:instrText>
        </w:r>
        <w:r w:rsidR="00C47EAB">
          <w:rPr>
            <w:noProof/>
            <w:webHidden/>
          </w:rPr>
        </w:r>
        <w:r w:rsidR="00C47EAB">
          <w:rPr>
            <w:noProof/>
            <w:webHidden/>
          </w:rPr>
          <w:fldChar w:fldCharType="separate"/>
        </w:r>
        <w:r w:rsidR="00CD5619">
          <w:rPr>
            <w:noProof/>
            <w:webHidden/>
          </w:rPr>
          <w:t>3</w:t>
        </w:r>
        <w:r w:rsidR="00C47EAB">
          <w:rPr>
            <w:noProof/>
            <w:webHidden/>
          </w:rPr>
          <w:fldChar w:fldCharType="end"/>
        </w:r>
      </w:hyperlink>
    </w:p>
    <w:p w14:paraId="388047DC" w14:textId="4F026C20" w:rsidR="0033448B" w:rsidRPr="000A0158" w:rsidRDefault="00C47EAB" w:rsidP="0033448B">
      <w:r>
        <w:fldChar w:fldCharType="end"/>
      </w:r>
    </w:p>
    <w:p w14:paraId="2C5195B8" w14:textId="77777777" w:rsidR="00FB0A5B" w:rsidRDefault="00FB0A5B" w:rsidP="003A5FEA"/>
    <w:p w14:paraId="50E982AB" w14:textId="77777777" w:rsidR="001D3E4E" w:rsidRDefault="001D3E4E" w:rsidP="003A5FEA">
      <w:pPr>
        <w:sectPr w:rsidR="001D3E4E" w:rsidSect="00925892">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2946B742" w14:textId="77777777" w:rsidR="008C2973" w:rsidRDefault="00FC2F86" w:rsidP="00F54E74">
      <w:pPr>
        <w:pStyle w:val="Heading1"/>
      </w:pPr>
      <w:bookmarkStart w:id="3" w:name="_Toc54353261"/>
      <w:r>
        <w:lastRenderedPageBreak/>
        <w:t>Introduction</w:t>
      </w:r>
      <w:bookmarkEnd w:id="3"/>
    </w:p>
    <w:p w14:paraId="18F1305A" w14:textId="77777777" w:rsidR="00A34908" w:rsidRPr="0043478F" w:rsidRDefault="00FC2F86" w:rsidP="00164F75">
      <w:pPr>
        <w:rPr>
          <w:rFonts w:eastAsia="Arial Unicode MS"/>
        </w:rPr>
      </w:pPr>
      <w:bookmarkStart w:id="4" w:name="_Hlk43984760"/>
      <w:r w:rsidRPr="00FC2F86">
        <w:t>This overview of the District Health Board Sector Asset Management Framework identifies the documents and plans that inform the asset management activities of the Ministry of Health and district health boards (DHBs). The framework defines the overall approach for managing the key assets required to deliver health services in New Zealand. It aims to provide a clear line of sight between operational asset use and the strategic objectives</w:t>
      </w:r>
      <w:r>
        <w:t xml:space="preserve"> and risks in the health sector</w:t>
      </w:r>
      <w:r w:rsidR="00A34908">
        <w:t>.</w:t>
      </w:r>
    </w:p>
    <w:bookmarkEnd w:id="4"/>
    <w:p w14:paraId="77D8AA35" w14:textId="77777777" w:rsidR="00A34908" w:rsidRDefault="00A34908" w:rsidP="00164F75"/>
    <w:p w14:paraId="4E06B853" w14:textId="77777777" w:rsidR="00010E97" w:rsidRDefault="00A34908" w:rsidP="00164F75">
      <w:r>
        <w:t>This is not a stand-alone document and should be read alongside its companion documents, which are:</w:t>
      </w:r>
    </w:p>
    <w:p w14:paraId="72DA38C4" w14:textId="77777777" w:rsidR="00A34908" w:rsidRPr="00164F75" w:rsidRDefault="00A34908" w:rsidP="00164F75">
      <w:pPr>
        <w:pStyle w:val="Bullet"/>
        <w:rPr>
          <w:i/>
        </w:rPr>
      </w:pPr>
      <w:r w:rsidRPr="00164F75">
        <w:rPr>
          <w:i/>
        </w:rPr>
        <w:t xml:space="preserve">District Health Board </w:t>
      </w:r>
      <w:r w:rsidR="008F038D">
        <w:rPr>
          <w:i/>
        </w:rPr>
        <w:t xml:space="preserve">Sector </w:t>
      </w:r>
      <w:r w:rsidRPr="00164F75">
        <w:rPr>
          <w:i/>
        </w:rPr>
        <w:t xml:space="preserve">Asset Management Framework: </w:t>
      </w:r>
      <w:r w:rsidR="008F038D">
        <w:rPr>
          <w:i/>
        </w:rPr>
        <w:t>Policy</w:t>
      </w:r>
    </w:p>
    <w:p w14:paraId="38C0B7A2" w14:textId="77777777" w:rsidR="00A34908" w:rsidRDefault="00A34908" w:rsidP="00164F75">
      <w:pPr>
        <w:pStyle w:val="Bullet"/>
      </w:pPr>
      <w:bookmarkStart w:id="5" w:name="_Hlk44404632"/>
      <w:r w:rsidRPr="00164F75">
        <w:rPr>
          <w:i/>
        </w:rPr>
        <w:t xml:space="preserve">District Health Board </w:t>
      </w:r>
      <w:r w:rsidR="008F038D">
        <w:rPr>
          <w:i/>
        </w:rPr>
        <w:t xml:space="preserve">Sector </w:t>
      </w:r>
      <w:r w:rsidRPr="00164F75">
        <w:rPr>
          <w:i/>
        </w:rPr>
        <w:t>Asset Management Framework: Strategy</w:t>
      </w:r>
      <w:r w:rsidR="00164F75">
        <w:t>.</w:t>
      </w:r>
    </w:p>
    <w:p w14:paraId="54518237" w14:textId="77777777" w:rsidR="00164F75" w:rsidRPr="00485507" w:rsidRDefault="00164F75" w:rsidP="00164F75"/>
    <w:p w14:paraId="55FD52F1" w14:textId="0787E5DA" w:rsidR="00A34908" w:rsidRDefault="00164F75" w:rsidP="00164F75">
      <w:pPr>
        <w:pStyle w:val="Figure"/>
      </w:pPr>
      <w:bookmarkStart w:id="6" w:name="_Toc44928355"/>
      <w:bookmarkStart w:id="7" w:name="_Toc54353279"/>
      <w:bookmarkEnd w:id="5"/>
      <w:r>
        <w:t xml:space="preserve">Figure </w:t>
      </w:r>
      <w:fldSimple w:instr=" SEQ Figure \* ARABIC ">
        <w:r w:rsidR="00CD5619">
          <w:rPr>
            <w:noProof/>
          </w:rPr>
          <w:t>1</w:t>
        </w:r>
      </w:fldSimple>
      <w:r w:rsidR="00A34908" w:rsidRPr="003653D1">
        <w:t xml:space="preserve">: </w:t>
      </w:r>
      <w:r w:rsidR="00A34908">
        <w:t>District Health Board</w:t>
      </w:r>
      <w:r w:rsidR="00A34908" w:rsidRPr="003653D1">
        <w:t xml:space="preserve"> </w:t>
      </w:r>
      <w:r w:rsidR="008F038D">
        <w:t xml:space="preserve">Sector </w:t>
      </w:r>
      <w:r w:rsidR="00A34908">
        <w:t>A</w:t>
      </w:r>
      <w:r w:rsidR="00A34908" w:rsidRPr="003653D1">
        <w:t xml:space="preserve">sset </w:t>
      </w:r>
      <w:r w:rsidR="00A34908">
        <w:t>M</w:t>
      </w:r>
      <w:r w:rsidR="00A34908" w:rsidRPr="003653D1">
        <w:t>anagement</w:t>
      </w:r>
      <w:r w:rsidR="00A34908">
        <w:t xml:space="preserve"> F</w:t>
      </w:r>
      <w:r w:rsidR="00A34908" w:rsidRPr="003653D1">
        <w:t>ramework documents</w:t>
      </w:r>
      <w:bookmarkEnd w:id="6"/>
      <w:bookmarkEnd w:id="7"/>
    </w:p>
    <w:p w14:paraId="7263D505" w14:textId="77777777" w:rsidR="008E3F73" w:rsidRPr="008E3F73" w:rsidRDefault="008E3F73" w:rsidP="008E3F73"/>
    <w:p w14:paraId="7AF0091D" w14:textId="77777777" w:rsidR="006A393F" w:rsidRDefault="009A719B" w:rsidP="00FC2F86">
      <w:pPr>
        <w:rPr>
          <w:w w:val="105"/>
        </w:rPr>
      </w:pPr>
      <w:r>
        <w:rPr>
          <w:noProof/>
          <w:w w:val="105"/>
          <w:lang w:eastAsia="en-NZ"/>
        </w:rPr>
        <w:drawing>
          <wp:inline distT="0" distB="0" distL="0" distR="0" wp14:anchorId="0A456EB4" wp14:editId="78FCCA79">
            <wp:extent cx="3649287" cy="1629294"/>
            <wp:effectExtent l="0" t="0" r="123190" b="9525"/>
            <wp:docPr id="9" name="Diagram 9" descr="DHB Sector Asset Management Framework: Overview includes DHB Sector Asset Management: Policy and DHB sector asset management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B63DB1F" w14:textId="77777777" w:rsidR="00C47EAB" w:rsidRDefault="00C47EAB" w:rsidP="00FC2F86">
      <w:pPr>
        <w:rPr>
          <w:w w:val="105"/>
        </w:rPr>
      </w:pPr>
    </w:p>
    <w:p w14:paraId="659A97BE" w14:textId="14F08D27" w:rsidR="00FC2F86" w:rsidRDefault="00FC2F86" w:rsidP="00FC2F86">
      <w:pPr>
        <w:rPr>
          <w:w w:val="105"/>
        </w:rPr>
      </w:pPr>
      <w:r w:rsidRPr="0040484F">
        <w:rPr>
          <w:w w:val="105"/>
        </w:rPr>
        <w:t xml:space="preserve">The Ministry of Health has </w:t>
      </w:r>
      <w:r>
        <w:rPr>
          <w:w w:val="105"/>
        </w:rPr>
        <w:t>oversight of</w:t>
      </w:r>
      <w:r w:rsidRPr="0040484F">
        <w:rPr>
          <w:w w:val="105"/>
        </w:rPr>
        <w:t xml:space="preserve"> the health </w:t>
      </w:r>
      <w:r>
        <w:rPr>
          <w:w w:val="105"/>
        </w:rPr>
        <w:t xml:space="preserve">and disability </w:t>
      </w:r>
      <w:r w:rsidRPr="0040484F">
        <w:rPr>
          <w:w w:val="105"/>
        </w:rPr>
        <w:t>sector. Although DHBs own the</w:t>
      </w:r>
      <w:r>
        <w:rPr>
          <w:w w:val="105"/>
        </w:rPr>
        <w:t>ir own</w:t>
      </w:r>
      <w:r w:rsidRPr="0040484F">
        <w:rPr>
          <w:w w:val="105"/>
        </w:rPr>
        <w:t xml:space="preserve"> property, </w:t>
      </w:r>
      <w:r>
        <w:rPr>
          <w:w w:val="105"/>
        </w:rPr>
        <w:t>information and communications technology</w:t>
      </w:r>
      <w:r w:rsidRPr="0040484F">
        <w:rPr>
          <w:w w:val="105"/>
        </w:rPr>
        <w:t xml:space="preserve"> and clinical health care assets, the Ministry of Health </w:t>
      </w:r>
      <w:r>
        <w:rPr>
          <w:w w:val="105"/>
        </w:rPr>
        <w:t>is k</w:t>
      </w:r>
      <w:r w:rsidRPr="0040484F">
        <w:rPr>
          <w:w w:val="105"/>
        </w:rPr>
        <w:t>aitiaki (guardian) of th</w:t>
      </w:r>
      <w:r>
        <w:rPr>
          <w:w w:val="105"/>
        </w:rPr>
        <w:t>e health and disability system.</w:t>
      </w:r>
    </w:p>
    <w:p w14:paraId="76BC37C0" w14:textId="77777777" w:rsidR="00FC2F86" w:rsidRPr="0040484F" w:rsidRDefault="00FC2F86" w:rsidP="00FC2F86">
      <w:pPr>
        <w:rPr>
          <w:w w:val="105"/>
        </w:rPr>
      </w:pPr>
    </w:p>
    <w:p w14:paraId="2DB3B7E3" w14:textId="77777777" w:rsidR="00FC2F86" w:rsidRDefault="00FC2F86" w:rsidP="00FC2F86">
      <w:pPr>
        <w:rPr>
          <w:w w:val="105"/>
        </w:rPr>
      </w:pPr>
      <w:r w:rsidRPr="0040484F">
        <w:rPr>
          <w:w w:val="105"/>
        </w:rPr>
        <w:t xml:space="preserve">The </w:t>
      </w:r>
      <w:r>
        <w:rPr>
          <w:w w:val="105"/>
        </w:rPr>
        <w:t>a</w:t>
      </w:r>
      <w:r w:rsidRPr="0040484F">
        <w:rPr>
          <w:w w:val="105"/>
        </w:rPr>
        <w:t xml:space="preserve">sset </w:t>
      </w:r>
      <w:r>
        <w:rPr>
          <w:w w:val="105"/>
        </w:rPr>
        <w:t>m</w:t>
      </w:r>
      <w:r w:rsidRPr="0040484F">
        <w:rPr>
          <w:w w:val="105"/>
        </w:rPr>
        <w:t xml:space="preserve">anagement </w:t>
      </w:r>
      <w:r>
        <w:rPr>
          <w:w w:val="105"/>
        </w:rPr>
        <w:t>f</w:t>
      </w:r>
      <w:r w:rsidRPr="0040484F">
        <w:rPr>
          <w:w w:val="105"/>
        </w:rPr>
        <w:t xml:space="preserve">ramework provides a structured set of actions aimed at </w:t>
      </w:r>
      <w:r>
        <w:rPr>
          <w:w w:val="105"/>
        </w:rPr>
        <w:t xml:space="preserve">bringing </w:t>
      </w:r>
      <w:r w:rsidRPr="0040484F">
        <w:rPr>
          <w:w w:val="105"/>
        </w:rPr>
        <w:t xml:space="preserve">the </w:t>
      </w:r>
      <w:r>
        <w:rPr>
          <w:w w:val="105"/>
        </w:rPr>
        <w:t xml:space="preserve">district health boards’ </w:t>
      </w:r>
      <w:r w:rsidRPr="0040484F">
        <w:rPr>
          <w:w w:val="105"/>
        </w:rPr>
        <w:t>practices in asset management to an appropriate level.</w:t>
      </w:r>
      <w:r>
        <w:rPr>
          <w:w w:val="105"/>
        </w:rPr>
        <w:t xml:space="preserve"> This approach is also consistent with the maturity levels in the Asset Management Maturity assessments completed as part of the Treasury’s Investor Confidence Rating (ICR).</w:t>
      </w:r>
    </w:p>
    <w:p w14:paraId="62A2521C" w14:textId="77777777" w:rsidR="00FC2F86" w:rsidRDefault="00FC2F86" w:rsidP="00FC2F86">
      <w:pPr>
        <w:rPr>
          <w:w w:val="105"/>
        </w:rPr>
      </w:pPr>
    </w:p>
    <w:p w14:paraId="0834E36D" w14:textId="77777777" w:rsidR="00FC2F86" w:rsidRDefault="00FC2F86" w:rsidP="00FC2F86">
      <w:pPr>
        <w:rPr>
          <w:w w:val="105"/>
        </w:rPr>
      </w:pPr>
      <w:r w:rsidRPr="00B32212">
        <w:rPr>
          <w:w w:val="105"/>
        </w:rPr>
        <w:t>Further information on the ICR</w:t>
      </w:r>
      <w:r>
        <w:rPr>
          <w:w w:val="105"/>
        </w:rPr>
        <w:t>,</w:t>
      </w:r>
      <w:r w:rsidRPr="00B32212">
        <w:rPr>
          <w:w w:val="105"/>
        </w:rPr>
        <w:t xml:space="preserve"> including past results can be found at:</w:t>
      </w:r>
      <w:r>
        <w:rPr>
          <w:w w:val="105"/>
        </w:rPr>
        <w:br/>
      </w:r>
      <w:hyperlink r:id="rId26" w:history="1">
        <w:r w:rsidRPr="00FC2F86">
          <w:rPr>
            <w:rStyle w:val="Hyperlink"/>
          </w:rPr>
          <w:t>http://www.treasury.govt.nz/statesector/investmentmanagement/review/icr</w:t>
        </w:r>
      </w:hyperlink>
    </w:p>
    <w:p w14:paraId="70058B9C" w14:textId="77777777" w:rsidR="00FC2F86" w:rsidRDefault="00FC2F86" w:rsidP="00FC2F86">
      <w:pPr>
        <w:rPr>
          <w:w w:val="105"/>
        </w:rPr>
      </w:pPr>
    </w:p>
    <w:p w14:paraId="4A129A13" w14:textId="77777777" w:rsidR="00FC3668" w:rsidRDefault="00FC3668" w:rsidP="00FC2F86">
      <w:pPr>
        <w:keepNext/>
        <w:rPr>
          <w:w w:val="105"/>
        </w:rPr>
        <w:sectPr w:rsidR="00FC3668" w:rsidSect="002B7BEC">
          <w:footerReference w:type="even" r:id="rId27"/>
          <w:footerReference w:type="default" r:id="rId28"/>
          <w:pgSz w:w="11907" w:h="16834" w:code="9"/>
          <w:pgMar w:top="1418" w:right="1701" w:bottom="1134" w:left="1843" w:header="284" w:footer="425" w:gutter="284"/>
          <w:pgNumType w:start="1"/>
          <w:cols w:space="720"/>
          <w:docGrid w:linePitch="286"/>
        </w:sectPr>
      </w:pPr>
    </w:p>
    <w:p w14:paraId="1FC9D6A9" w14:textId="3A397A38" w:rsidR="00FC2F86" w:rsidRDefault="00FC2F86" w:rsidP="00FC2F86">
      <w:pPr>
        <w:keepNext/>
        <w:rPr>
          <w:w w:val="105"/>
        </w:rPr>
      </w:pPr>
      <w:r>
        <w:rPr>
          <w:w w:val="105"/>
        </w:rPr>
        <w:lastRenderedPageBreak/>
        <w:t>There are many benefits to improving asset management practices, particularly in the health sector context, including the following.</w:t>
      </w:r>
    </w:p>
    <w:p w14:paraId="1D3CD5F5" w14:textId="1EC46BB4" w:rsidR="00FC2F86" w:rsidRPr="006B017F" w:rsidRDefault="00FC2F86" w:rsidP="00FC2F86">
      <w:pPr>
        <w:pStyle w:val="Bullet"/>
        <w:keepNext/>
        <w:spacing w:before="120"/>
        <w:rPr>
          <w:w w:val="105"/>
        </w:rPr>
      </w:pPr>
      <w:r w:rsidRPr="006B017F">
        <w:rPr>
          <w:b/>
          <w:w w:val="105"/>
        </w:rPr>
        <w:t xml:space="preserve">Investment </w:t>
      </w:r>
      <w:r>
        <w:rPr>
          <w:b/>
          <w:w w:val="105"/>
        </w:rPr>
        <w:t>p</w:t>
      </w:r>
      <w:r w:rsidRPr="006B017F">
        <w:rPr>
          <w:b/>
          <w:w w:val="105"/>
        </w:rPr>
        <w:t>ipeline:</w:t>
      </w:r>
      <w:r w:rsidRPr="006B017F">
        <w:rPr>
          <w:w w:val="105"/>
        </w:rPr>
        <w:t xml:space="preserve"> </w:t>
      </w:r>
      <w:r>
        <w:rPr>
          <w:w w:val="105"/>
        </w:rPr>
        <w:t xml:space="preserve">Improved asset management practices will help enable </w:t>
      </w:r>
      <w:r w:rsidRPr="006B017F">
        <w:rPr>
          <w:w w:val="105"/>
        </w:rPr>
        <w:t>better long-term planning</w:t>
      </w:r>
      <w:r>
        <w:rPr>
          <w:w w:val="105"/>
        </w:rPr>
        <w:t xml:space="preserve"> for</w:t>
      </w:r>
      <w:r w:rsidRPr="006B017F">
        <w:rPr>
          <w:w w:val="105"/>
        </w:rPr>
        <w:t>, visibility</w:t>
      </w:r>
      <w:r>
        <w:rPr>
          <w:w w:val="105"/>
        </w:rPr>
        <w:t xml:space="preserve"> of</w:t>
      </w:r>
      <w:r w:rsidRPr="006B017F">
        <w:rPr>
          <w:w w:val="105"/>
        </w:rPr>
        <w:t xml:space="preserve"> and prioritisation over investments at </w:t>
      </w:r>
      <w:r>
        <w:rPr>
          <w:w w:val="105"/>
        </w:rPr>
        <w:t>different levels (DHB, regional, national)</w:t>
      </w:r>
      <w:r w:rsidRPr="006B017F">
        <w:rPr>
          <w:w w:val="105"/>
        </w:rPr>
        <w:t xml:space="preserve">, which can </w:t>
      </w:r>
      <w:r>
        <w:rPr>
          <w:w w:val="105"/>
        </w:rPr>
        <w:t xml:space="preserve">inform strategic documents </w:t>
      </w:r>
      <w:r w:rsidRPr="006B017F">
        <w:rPr>
          <w:w w:val="105"/>
        </w:rPr>
        <w:t>such as Long-Term Investment Plans (LTIPs)</w:t>
      </w:r>
      <w:r>
        <w:rPr>
          <w:w w:val="105"/>
        </w:rPr>
        <w:t xml:space="preserve"> or business cases.</w:t>
      </w:r>
    </w:p>
    <w:p w14:paraId="41E8D333" w14:textId="77777777" w:rsidR="00FC2F86" w:rsidRPr="006B017F" w:rsidRDefault="00FC2F86" w:rsidP="00FC2F86">
      <w:pPr>
        <w:pStyle w:val="Bullet"/>
        <w:spacing w:before="120"/>
        <w:rPr>
          <w:w w:val="105"/>
        </w:rPr>
      </w:pPr>
      <w:r w:rsidRPr="006B017F">
        <w:rPr>
          <w:b/>
          <w:w w:val="105"/>
        </w:rPr>
        <w:t>Comparability</w:t>
      </w:r>
      <w:r w:rsidRPr="006B017F">
        <w:rPr>
          <w:w w:val="105"/>
        </w:rPr>
        <w:t xml:space="preserve">: Standardising </w:t>
      </w:r>
      <w:r>
        <w:rPr>
          <w:w w:val="105"/>
        </w:rPr>
        <w:t xml:space="preserve">asset management </w:t>
      </w:r>
      <w:r w:rsidRPr="006B017F">
        <w:rPr>
          <w:w w:val="105"/>
        </w:rPr>
        <w:t xml:space="preserve">practices at </w:t>
      </w:r>
      <w:r>
        <w:rPr>
          <w:w w:val="105"/>
        </w:rPr>
        <w:t xml:space="preserve">a </w:t>
      </w:r>
      <w:r w:rsidRPr="006B017F">
        <w:rPr>
          <w:w w:val="105"/>
        </w:rPr>
        <w:t>national level will enable us to accurately compare DHBs across the sector</w:t>
      </w:r>
      <w:r>
        <w:rPr>
          <w:w w:val="105"/>
        </w:rPr>
        <w:t>,</w:t>
      </w:r>
      <w:r w:rsidRPr="006B017F">
        <w:rPr>
          <w:w w:val="105"/>
        </w:rPr>
        <w:t xml:space="preserve"> to identify strengths or areas that require additional uplift</w:t>
      </w:r>
      <w:r>
        <w:rPr>
          <w:w w:val="105"/>
        </w:rPr>
        <w:t>, and to share best practice.</w:t>
      </w:r>
    </w:p>
    <w:p w14:paraId="1BFB120A" w14:textId="77777777" w:rsidR="00FC2F86" w:rsidRPr="00FC2F86" w:rsidRDefault="00FC2F86" w:rsidP="00FC2F86">
      <w:pPr>
        <w:pStyle w:val="Bullet"/>
        <w:spacing w:before="120"/>
        <w:rPr>
          <w:w w:val="105"/>
        </w:rPr>
      </w:pPr>
      <w:r w:rsidRPr="00FC2F86">
        <w:rPr>
          <w:b/>
          <w:w w:val="105"/>
        </w:rPr>
        <w:t>Value</w:t>
      </w:r>
      <w:r w:rsidRPr="00FC2F86">
        <w:rPr>
          <w:w w:val="105"/>
        </w:rPr>
        <w:t>: Good asset management should support greater value for money (at DHB, regional and national levels) via better informed investment decisions and give us the ability to prioritise investments across the wider sector.</w:t>
      </w:r>
    </w:p>
    <w:p w14:paraId="09EFBA31" w14:textId="77777777" w:rsidR="00FC2F86" w:rsidRPr="00FC2F86" w:rsidRDefault="00FC2F86" w:rsidP="00FC2F86">
      <w:pPr>
        <w:pStyle w:val="Bullet"/>
        <w:spacing w:before="120"/>
      </w:pPr>
      <w:r>
        <w:rPr>
          <w:b/>
          <w:w w:val="105"/>
        </w:rPr>
        <w:t>Meeting strategic objectives</w:t>
      </w:r>
      <w:r w:rsidRPr="007D63BE">
        <w:rPr>
          <w:w w:val="105"/>
        </w:rPr>
        <w:t>:</w:t>
      </w:r>
      <w:r>
        <w:rPr>
          <w:w w:val="105"/>
        </w:rPr>
        <w:t xml:space="preserve"> </w:t>
      </w:r>
      <w:r w:rsidRPr="00DE6C09">
        <w:rPr>
          <w:w w:val="105"/>
        </w:rPr>
        <w:t>A demonstrated ability to effectively manage assets through their lifecycles will bring us</w:t>
      </w:r>
      <w:r w:rsidRPr="00DE6C09">
        <w:rPr>
          <w:w w:val="105"/>
          <w:sz w:val="22"/>
        </w:rPr>
        <w:t xml:space="preserve"> </w:t>
      </w:r>
      <w:r>
        <w:rPr>
          <w:w w:val="105"/>
        </w:rPr>
        <w:t>t</w:t>
      </w:r>
      <w:r w:rsidRPr="007D63BE">
        <w:rPr>
          <w:w w:val="105"/>
        </w:rPr>
        <w:t xml:space="preserve">he ability to </w:t>
      </w:r>
      <w:r>
        <w:rPr>
          <w:w w:val="105"/>
        </w:rPr>
        <w:t>efficiently meet organisational strategic objectives and outcomes and improve stakeholder confidence.</w:t>
      </w:r>
    </w:p>
    <w:p w14:paraId="4CC691E3" w14:textId="77777777" w:rsidR="00FC2F86" w:rsidRDefault="00FC2F86" w:rsidP="00FC2F86">
      <w:pPr>
        <w:rPr>
          <w:w w:val="105"/>
        </w:rPr>
      </w:pPr>
    </w:p>
    <w:p w14:paraId="78D7921F" w14:textId="77777777" w:rsidR="00970514" w:rsidRDefault="00FC2F86" w:rsidP="00970514">
      <w:pPr>
        <w:rPr>
          <w:w w:val="105"/>
        </w:rPr>
      </w:pPr>
      <w:r w:rsidRPr="008F4A49">
        <w:rPr>
          <w:w w:val="105"/>
        </w:rPr>
        <w:t xml:space="preserve">As noted in the Health and Disability System Review </w:t>
      </w:r>
      <w:r>
        <w:rPr>
          <w:w w:val="105"/>
        </w:rPr>
        <w:t xml:space="preserve">interim </w:t>
      </w:r>
      <w:r w:rsidRPr="008F4A49">
        <w:rPr>
          <w:w w:val="105"/>
        </w:rPr>
        <w:t>report</w:t>
      </w:r>
      <w:r>
        <w:rPr>
          <w:w w:val="105"/>
        </w:rPr>
        <w:t>:</w:t>
      </w:r>
      <w:r w:rsidRPr="00D35670">
        <w:rPr>
          <w:w w:val="105"/>
        </w:rPr>
        <w:t xml:space="preserve"> </w:t>
      </w:r>
      <w:r w:rsidRPr="00BA6817">
        <w:rPr>
          <w:w w:val="105"/>
        </w:rPr>
        <w:t>‘</w:t>
      </w:r>
      <w:r w:rsidRPr="00DE6C09">
        <w:rPr>
          <w:w w:val="105"/>
        </w:rPr>
        <w:t>the current state of DHB assets is not good and there is little in the way of long-term planning which can give any confidence that the problem is under control’.</w:t>
      </w:r>
    </w:p>
    <w:p w14:paraId="010D953E" w14:textId="77777777" w:rsidR="00FC2F86" w:rsidRDefault="00FC2F86" w:rsidP="00970514">
      <w:pPr>
        <w:rPr>
          <w:w w:val="105"/>
        </w:rPr>
      </w:pPr>
    </w:p>
    <w:p w14:paraId="0123273F" w14:textId="77777777" w:rsidR="00970514" w:rsidRDefault="00FC2F86" w:rsidP="00970514">
      <w:pPr>
        <w:rPr>
          <w:w w:val="105"/>
        </w:rPr>
      </w:pPr>
      <w:r>
        <w:rPr>
          <w:w w:val="105"/>
        </w:rPr>
        <w:t>The recently released final report made the following recommendations:</w:t>
      </w:r>
    </w:p>
    <w:p w14:paraId="3CA54673" w14:textId="77777777" w:rsidR="00970514" w:rsidRDefault="00FC2F86" w:rsidP="00970514">
      <w:pPr>
        <w:pStyle w:val="Quote"/>
        <w:rPr>
          <w:w w:val="105"/>
        </w:rPr>
      </w:pPr>
      <w:r w:rsidRPr="00BA6817">
        <w:rPr>
          <w:w w:val="105"/>
        </w:rPr>
        <w:t>‘</w:t>
      </w:r>
      <w:r w:rsidRPr="00660BC2">
        <w:rPr>
          <w:w w:val="105"/>
        </w:rPr>
        <w:t xml:space="preserve">The Review recognises the importance of good asset management practice at DHB level and the requirement for a </w:t>
      </w:r>
      <w:r>
        <w:rPr>
          <w:w w:val="105"/>
        </w:rPr>
        <w:t>[national asset management plan (</w:t>
      </w:r>
      <w:r w:rsidRPr="00660BC2">
        <w:rPr>
          <w:w w:val="105"/>
        </w:rPr>
        <w:t>NAMP</w:t>
      </w:r>
      <w:r>
        <w:rPr>
          <w:w w:val="105"/>
        </w:rPr>
        <w:t>)]</w:t>
      </w:r>
      <w:r w:rsidRPr="00660BC2">
        <w:rPr>
          <w:w w:val="105"/>
        </w:rPr>
        <w:t xml:space="preserve"> as a core component of the NZ Health Plan. Next steps should include developments such as future capacity planning and the modelling of investment scenarios.</w:t>
      </w:r>
    </w:p>
    <w:p w14:paraId="2B8C6F59" w14:textId="77777777" w:rsidR="00FC2F86" w:rsidRPr="00660BC2" w:rsidRDefault="00FC2F86" w:rsidP="00970514">
      <w:pPr>
        <w:pStyle w:val="Quote"/>
        <w:rPr>
          <w:w w:val="105"/>
        </w:rPr>
      </w:pPr>
      <w:r w:rsidRPr="00660BC2">
        <w:rPr>
          <w:w w:val="105"/>
        </w:rPr>
        <w:t xml:space="preserve">The further development of the NAMP, setting asset performance standards, monitoring performance and support for DHB asset management practice would be </w:t>
      </w:r>
      <w:r w:rsidRPr="00660BC2">
        <w:t>functions</w:t>
      </w:r>
      <w:r w:rsidRPr="00660BC2">
        <w:rPr>
          <w:w w:val="105"/>
        </w:rPr>
        <w:t xml:space="preserve"> of the </w:t>
      </w:r>
      <w:r>
        <w:rPr>
          <w:w w:val="105"/>
        </w:rPr>
        <w:t>[Health Infrastructure Unit (</w:t>
      </w:r>
      <w:r w:rsidRPr="00660BC2">
        <w:rPr>
          <w:w w:val="105"/>
        </w:rPr>
        <w:t>HIU</w:t>
      </w:r>
      <w:r>
        <w:rPr>
          <w:w w:val="105"/>
        </w:rPr>
        <w:t>)]</w:t>
      </w:r>
      <w:r w:rsidRPr="00660BC2">
        <w:rPr>
          <w:w w:val="105"/>
        </w:rPr>
        <w:t>. The Review expects the HIU to build on work done to date, including the creation of a robust and transparent asset monitoring framework.</w:t>
      </w:r>
    </w:p>
    <w:p w14:paraId="45987216" w14:textId="77777777" w:rsidR="00FC2F86" w:rsidRPr="00660BC2" w:rsidRDefault="00FC2F86" w:rsidP="00970514">
      <w:pPr>
        <w:pStyle w:val="Quote"/>
        <w:rPr>
          <w:w w:val="105"/>
        </w:rPr>
      </w:pPr>
      <w:r w:rsidRPr="00660BC2">
        <w:rPr>
          <w:w w:val="105"/>
        </w:rPr>
        <w:t>As discussed in the Systems Settings section, the proposed system should have a nationwide planning framework with clear decision-rights so that investment (and disinvestment) decisions are strategic, evidence based, and made with present and future demands in mind.’</w:t>
      </w:r>
    </w:p>
    <w:p w14:paraId="045D9E25" w14:textId="77777777" w:rsidR="00FC2F86" w:rsidRPr="00BA6817" w:rsidRDefault="00FC2F86" w:rsidP="00970514">
      <w:pPr>
        <w:rPr>
          <w:w w:val="105"/>
        </w:rPr>
      </w:pPr>
    </w:p>
    <w:p w14:paraId="1688B75A" w14:textId="77777777" w:rsidR="00FC2F86" w:rsidRDefault="00FC2F86" w:rsidP="00970514">
      <w:pPr>
        <w:rPr>
          <w:w w:val="105"/>
        </w:rPr>
      </w:pPr>
      <w:r w:rsidRPr="008F4A49">
        <w:rPr>
          <w:w w:val="105"/>
        </w:rPr>
        <w:t xml:space="preserve">Feedback from DHBs has urged the Ministry of Health to take a more proactive role in providing guidance </w:t>
      </w:r>
      <w:r>
        <w:rPr>
          <w:w w:val="105"/>
        </w:rPr>
        <w:t xml:space="preserve">for DHBs on their </w:t>
      </w:r>
      <w:r w:rsidRPr="008F4A49">
        <w:rPr>
          <w:w w:val="105"/>
        </w:rPr>
        <w:t xml:space="preserve">asset management activities. </w:t>
      </w:r>
      <w:r>
        <w:rPr>
          <w:w w:val="105"/>
        </w:rPr>
        <w:t>The three documents</w:t>
      </w:r>
      <w:r w:rsidRPr="008F4A49">
        <w:rPr>
          <w:w w:val="105"/>
        </w:rPr>
        <w:t xml:space="preserve"> </w:t>
      </w:r>
      <w:r>
        <w:rPr>
          <w:w w:val="105"/>
        </w:rPr>
        <w:t xml:space="preserve">in this set (Overview, Policy and Strategy) </w:t>
      </w:r>
      <w:r w:rsidRPr="008F4A49">
        <w:rPr>
          <w:w w:val="105"/>
        </w:rPr>
        <w:t xml:space="preserve">set out the </w:t>
      </w:r>
      <w:r>
        <w:rPr>
          <w:w w:val="105"/>
        </w:rPr>
        <w:t xml:space="preserve">Ministry’s </w:t>
      </w:r>
      <w:r w:rsidRPr="008F4A49">
        <w:rPr>
          <w:w w:val="105"/>
        </w:rPr>
        <w:t>new expectations and direction</w:t>
      </w:r>
      <w:r>
        <w:rPr>
          <w:w w:val="105"/>
        </w:rPr>
        <w:t>,</w:t>
      </w:r>
      <w:r w:rsidRPr="008F4A49">
        <w:rPr>
          <w:w w:val="105"/>
        </w:rPr>
        <w:t xml:space="preserve"> to enable the health sector</w:t>
      </w:r>
      <w:r>
        <w:rPr>
          <w:w w:val="105"/>
        </w:rPr>
        <w:t xml:space="preserve">, the </w:t>
      </w:r>
      <w:r w:rsidRPr="00776B86">
        <w:rPr>
          <w:w w:val="105"/>
        </w:rPr>
        <w:t>Ministry</w:t>
      </w:r>
      <w:r w:rsidRPr="008F4A49">
        <w:rPr>
          <w:w w:val="105"/>
        </w:rPr>
        <w:t xml:space="preserve"> of Health and DHBs to </w:t>
      </w:r>
      <w:r>
        <w:rPr>
          <w:w w:val="105"/>
        </w:rPr>
        <w:t xml:space="preserve">collaboratively </w:t>
      </w:r>
      <w:r w:rsidRPr="008F4A49">
        <w:rPr>
          <w:w w:val="105"/>
        </w:rPr>
        <w:t xml:space="preserve">achieve a cohesive and fit-for-purpose </w:t>
      </w:r>
      <w:r>
        <w:rPr>
          <w:w w:val="105"/>
        </w:rPr>
        <w:t xml:space="preserve">nationwide asset management </w:t>
      </w:r>
      <w:r w:rsidRPr="008F4A49">
        <w:rPr>
          <w:w w:val="105"/>
        </w:rPr>
        <w:t xml:space="preserve">framework </w:t>
      </w:r>
      <w:r w:rsidRPr="00776B86">
        <w:rPr>
          <w:w w:val="105"/>
        </w:rPr>
        <w:t>that describes how things should work and who should do what</w:t>
      </w:r>
      <w:r w:rsidRPr="008F4A49">
        <w:rPr>
          <w:w w:val="105"/>
        </w:rPr>
        <w:t>.</w:t>
      </w:r>
    </w:p>
    <w:p w14:paraId="15EEBD3B" w14:textId="77777777" w:rsidR="00970514" w:rsidRDefault="00970514" w:rsidP="00970514">
      <w:pPr>
        <w:rPr>
          <w:i/>
          <w:w w:val="105"/>
        </w:rPr>
      </w:pPr>
    </w:p>
    <w:p w14:paraId="02DE497E" w14:textId="77777777" w:rsidR="00FC2F86" w:rsidRPr="0043478F" w:rsidRDefault="00FC2F86" w:rsidP="00970514">
      <w:pPr>
        <w:pStyle w:val="Heading1"/>
      </w:pPr>
      <w:bookmarkStart w:id="8" w:name="_Toc53133004"/>
      <w:bookmarkStart w:id="9" w:name="_Toc54353262"/>
      <w:r>
        <w:lastRenderedPageBreak/>
        <w:t>Scope</w:t>
      </w:r>
      <w:bookmarkEnd w:id="8"/>
      <w:bookmarkEnd w:id="9"/>
    </w:p>
    <w:p w14:paraId="24B61E13" w14:textId="77777777" w:rsidR="00FC2F86" w:rsidRDefault="00FC2F86" w:rsidP="00DC0605">
      <w:r>
        <w:t>This framework applies to the lifecycle management of all assets that are owned or leased by DHBs and their regional shared service providers. The asset groups that this framework covers are:</w:t>
      </w:r>
    </w:p>
    <w:p w14:paraId="79AC7453" w14:textId="77777777" w:rsidR="00FC2F86" w:rsidRPr="00655055" w:rsidRDefault="00FC2F86" w:rsidP="00DC0605">
      <w:pPr>
        <w:pStyle w:val="Bullet"/>
      </w:pPr>
      <w:r>
        <w:t>l</w:t>
      </w:r>
      <w:r w:rsidRPr="00655055">
        <w:t>and</w:t>
      </w:r>
    </w:p>
    <w:p w14:paraId="67F7988C" w14:textId="77777777" w:rsidR="00FC2F86" w:rsidRPr="00655055" w:rsidRDefault="00FC2F86" w:rsidP="00DC0605">
      <w:pPr>
        <w:pStyle w:val="Bullet"/>
      </w:pPr>
      <w:r>
        <w:t>b</w:t>
      </w:r>
      <w:r w:rsidRPr="00655055">
        <w:t>uildings</w:t>
      </w:r>
    </w:p>
    <w:p w14:paraId="20A43191" w14:textId="77777777" w:rsidR="00FC2F86" w:rsidRPr="00655055" w:rsidRDefault="00FC2F86" w:rsidP="00DC0605">
      <w:pPr>
        <w:pStyle w:val="Bullet"/>
      </w:pPr>
      <w:r>
        <w:t>b</w:t>
      </w:r>
      <w:r w:rsidRPr="00655055">
        <w:t>uilding fitout</w:t>
      </w:r>
    </w:p>
    <w:p w14:paraId="560E4112" w14:textId="77777777" w:rsidR="00FC2F86" w:rsidRPr="00655055" w:rsidRDefault="00FC2F86" w:rsidP="00DC0605">
      <w:pPr>
        <w:pStyle w:val="Bullet"/>
      </w:pPr>
      <w:r>
        <w:t>s</w:t>
      </w:r>
      <w:r w:rsidRPr="00655055">
        <w:t>ervices, plant, and infrastructure</w:t>
      </w:r>
    </w:p>
    <w:p w14:paraId="7BE32E9F" w14:textId="77777777" w:rsidR="00FC2F86" w:rsidRPr="00655055" w:rsidRDefault="00FC2F86" w:rsidP="00DC0605">
      <w:pPr>
        <w:pStyle w:val="Bullet"/>
      </w:pPr>
      <w:r>
        <w:t>c</w:t>
      </w:r>
      <w:r w:rsidRPr="00655055">
        <w:t>linical equipment</w:t>
      </w:r>
    </w:p>
    <w:p w14:paraId="558076DB" w14:textId="77777777" w:rsidR="00FC2F86" w:rsidRPr="00655055" w:rsidRDefault="00FC2F86" w:rsidP="00DC0605">
      <w:pPr>
        <w:pStyle w:val="Bullet"/>
      </w:pPr>
      <w:r>
        <w:t>n</w:t>
      </w:r>
      <w:r w:rsidRPr="00655055">
        <w:t>on-</w:t>
      </w:r>
      <w:r>
        <w:t>c</w:t>
      </w:r>
      <w:r w:rsidRPr="00655055">
        <w:t>linical equipment</w:t>
      </w:r>
    </w:p>
    <w:p w14:paraId="3C5C9B62" w14:textId="77777777" w:rsidR="00FC2F86" w:rsidRPr="00655055" w:rsidRDefault="00FC2F86" w:rsidP="00DC0605">
      <w:pPr>
        <w:pStyle w:val="Bullet"/>
      </w:pPr>
      <w:r>
        <w:t>m</w:t>
      </w:r>
      <w:r w:rsidRPr="00655055">
        <w:t>otor vehicles</w:t>
      </w:r>
    </w:p>
    <w:p w14:paraId="47C1C0B0" w14:textId="77777777" w:rsidR="00FC2F86" w:rsidRPr="00655055" w:rsidRDefault="00FC2F86" w:rsidP="00DC0605">
      <w:pPr>
        <w:pStyle w:val="Bullet"/>
      </w:pPr>
      <w:r>
        <w:t>i</w:t>
      </w:r>
      <w:r w:rsidRPr="00655055">
        <w:t xml:space="preserve">nformation </w:t>
      </w:r>
      <w:r>
        <w:t>c</w:t>
      </w:r>
      <w:r w:rsidRPr="00655055">
        <w:t xml:space="preserve">ommunications </w:t>
      </w:r>
      <w:r>
        <w:t>t</w:t>
      </w:r>
      <w:r w:rsidRPr="00655055">
        <w:t>echnology (ICT).</w:t>
      </w:r>
    </w:p>
    <w:p w14:paraId="6F0A01B7" w14:textId="77777777" w:rsidR="00DC0605" w:rsidRDefault="00DC0605" w:rsidP="00DC0605"/>
    <w:p w14:paraId="6DF0CB41" w14:textId="77777777" w:rsidR="00FC2F86" w:rsidRPr="0043478F" w:rsidRDefault="00FC2F86" w:rsidP="00DC0605">
      <w:r>
        <w:t>Financial, human, goodwill, and intellectual property are excluded (out of scope). Assets in scope are those owned and/or operated by DHBs in New Zealand.</w:t>
      </w:r>
    </w:p>
    <w:p w14:paraId="49B26D88" w14:textId="77777777" w:rsidR="00FC2F86" w:rsidRDefault="00FC2F86" w:rsidP="00DC0605"/>
    <w:p w14:paraId="5D20CA0E" w14:textId="77777777" w:rsidR="00FC2F86" w:rsidRPr="0043478F" w:rsidRDefault="00FC2F86" w:rsidP="00A73111">
      <w:pPr>
        <w:pStyle w:val="Heading1"/>
      </w:pPr>
      <w:bookmarkStart w:id="10" w:name="_Toc53133005"/>
      <w:bookmarkStart w:id="11" w:name="_Toc54353263"/>
      <w:r>
        <w:lastRenderedPageBreak/>
        <w:t>Structure of the framework</w:t>
      </w:r>
      <w:bookmarkEnd w:id="10"/>
      <w:bookmarkEnd w:id="11"/>
    </w:p>
    <w:p w14:paraId="4DF45825" w14:textId="77777777" w:rsidR="00FC2F86" w:rsidRPr="00E26BA4" w:rsidRDefault="00FC2F86" w:rsidP="008B62E1">
      <w:bookmarkStart w:id="12" w:name="_bookmark7"/>
      <w:bookmarkEnd w:id="12"/>
      <w:r>
        <w:t>The District Health Board Sector Asset Management Framework</w:t>
      </w:r>
      <w:r w:rsidRPr="00E26BA4">
        <w:t xml:space="preserve"> defines the overall approach for managing the key assets required to deliver health services in New</w:t>
      </w:r>
      <w:r w:rsidR="005444E2">
        <w:t> </w:t>
      </w:r>
      <w:r w:rsidRPr="00E26BA4">
        <w:t>Zealand.</w:t>
      </w:r>
    </w:p>
    <w:p w14:paraId="31E67436" w14:textId="77777777" w:rsidR="00FC2F86" w:rsidRDefault="00FC2F86" w:rsidP="008B62E1">
      <w:pPr>
        <w:rPr>
          <w:w w:val="105"/>
        </w:rPr>
      </w:pPr>
    </w:p>
    <w:p w14:paraId="7104FD40" w14:textId="77777777" w:rsidR="00FC2F86" w:rsidRDefault="00FC2F86" w:rsidP="008B62E1">
      <w:r w:rsidRPr="0040484F">
        <w:t>The framework consists of policies, plans and strategies</w:t>
      </w:r>
      <w:r>
        <w:t>,</w:t>
      </w:r>
      <w:r w:rsidRPr="0040484F">
        <w:t xml:space="preserve"> </w:t>
      </w:r>
      <w:r>
        <w:t xml:space="preserve">in </w:t>
      </w:r>
      <w:r w:rsidRPr="0040484F">
        <w:t>the following hierarchy</w:t>
      </w:r>
      <w:r>
        <w:t>.</w:t>
      </w:r>
    </w:p>
    <w:p w14:paraId="677484F2" w14:textId="77777777" w:rsidR="00FC2F86" w:rsidRDefault="00FC2F86" w:rsidP="008B62E1"/>
    <w:p w14:paraId="7C1D2C20" w14:textId="4B010493" w:rsidR="00FC2F86" w:rsidRDefault="008B62E1" w:rsidP="008B62E1">
      <w:pPr>
        <w:pStyle w:val="Figure"/>
      </w:pPr>
      <w:bookmarkStart w:id="13" w:name="_Toc53133009"/>
      <w:bookmarkStart w:id="14" w:name="_Toc54353280"/>
      <w:r>
        <w:t xml:space="preserve">Figure </w:t>
      </w:r>
      <w:fldSimple w:instr=" SEQ Figure \* ARABIC ">
        <w:r w:rsidR="00CD5619">
          <w:rPr>
            <w:noProof/>
          </w:rPr>
          <w:t>2</w:t>
        </w:r>
      </w:fldSimple>
      <w:r w:rsidR="00FC2F86" w:rsidRPr="000B2EAC">
        <w:t xml:space="preserve">: Plans </w:t>
      </w:r>
      <w:r w:rsidR="00FC2F86">
        <w:t>in District Health Board Sector Asset Management Framework</w:t>
      </w:r>
      <w:bookmarkEnd w:id="13"/>
      <w:bookmarkEnd w:id="14"/>
    </w:p>
    <w:p w14:paraId="0632BD44" w14:textId="77777777" w:rsidR="00D95E47" w:rsidRDefault="00D95E47" w:rsidP="00012C5F">
      <w:r w:rsidRPr="00D95E47">
        <w:rPr>
          <w:noProof/>
        </w:rPr>
        <w:drawing>
          <wp:inline distT="0" distB="0" distL="0" distR="0" wp14:anchorId="67554D79" wp14:editId="79F6DAC5">
            <wp:extent cx="5769032" cy="4027517"/>
            <wp:effectExtent l="0" t="0" r="3175" b="0"/>
            <wp:docPr id="4" name="Picture 4" descr="This pyramid shows how the Ministry of Health's strategic plans and policies (for example, the New Zealand Health Strategy 2016, the Ministry of Health Output Plan 2018/19 and National Health IT Plan) feed into DHB sector asset management framework (overview, policy, strategy, guidance and templates), then into the national asset management plan (long-term national asset management plan providing investment priorities for the DHB sector). This feeds into and gets feedback from DHBS through asset management planning (strategic plans, asset management policies, strategies plans which should follow Ministry of Health guidelines) and operational plans and work programmes (for example, maintenance and renewal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9032" cy="4027517"/>
                    </a:xfrm>
                    <a:prstGeom prst="rect">
                      <a:avLst/>
                    </a:prstGeom>
                    <a:noFill/>
                    <a:ln>
                      <a:noFill/>
                    </a:ln>
                  </pic:spPr>
                </pic:pic>
              </a:graphicData>
            </a:graphic>
          </wp:inline>
        </w:drawing>
      </w:r>
    </w:p>
    <w:p w14:paraId="63939412" w14:textId="77777777" w:rsidR="00D95E47" w:rsidRDefault="00D95E47" w:rsidP="00012C5F"/>
    <w:p w14:paraId="2FA4637C" w14:textId="6EF2F611" w:rsidR="00970514" w:rsidRDefault="00FC2F86" w:rsidP="00012C5F">
      <w:r w:rsidRPr="00553128">
        <w:t xml:space="preserve">For a full list of all relevant documents, see </w:t>
      </w:r>
      <w:r w:rsidR="00012C5F">
        <w:fldChar w:fldCharType="begin"/>
      </w:r>
      <w:r w:rsidR="00012C5F">
        <w:instrText xml:space="preserve"> REF _Ref54253980 \h </w:instrText>
      </w:r>
      <w:r w:rsidR="00012C5F">
        <w:fldChar w:fldCharType="separate"/>
      </w:r>
      <w:r w:rsidR="00CD5619">
        <w:t xml:space="preserve">Table </w:t>
      </w:r>
      <w:r w:rsidR="00CD5619">
        <w:rPr>
          <w:noProof/>
        </w:rPr>
        <w:t>1</w:t>
      </w:r>
      <w:r w:rsidR="00012C5F">
        <w:fldChar w:fldCharType="end"/>
      </w:r>
      <w:r w:rsidRPr="00553128">
        <w:t>.</w:t>
      </w:r>
    </w:p>
    <w:p w14:paraId="508969EE" w14:textId="77777777" w:rsidR="00FC2F86" w:rsidRDefault="00FC2F86" w:rsidP="00012C5F"/>
    <w:p w14:paraId="42B1C027" w14:textId="77777777" w:rsidR="00FC2F86" w:rsidRDefault="00FC2F86" w:rsidP="00012C5F">
      <w:r>
        <w:t>District health boards are responsible for owning, managing, maintaining and renewing their assets to deliver health services to New Zealanders. The Ministry of Health has stewardship responsibilities for health infrastructure.</w:t>
      </w:r>
    </w:p>
    <w:p w14:paraId="38257933" w14:textId="77777777" w:rsidR="00FC2F86" w:rsidRDefault="00FC2F86" w:rsidP="00012C5F"/>
    <w:p w14:paraId="10A77BFD" w14:textId="1FEEB19E" w:rsidR="00FC2F86" w:rsidRDefault="00012C5F" w:rsidP="00012C5F">
      <w:r>
        <w:fldChar w:fldCharType="begin"/>
      </w:r>
      <w:r>
        <w:instrText xml:space="preserve"> REF _Ref54253980 \h </w:instrText>
      </w:r>
      <w:r>
        <w:fldChar w:fldCharType="separate"/>
      </w:r>
      <w:r w:rsidR="00CD5619">
        <w:t xml:space="preserve">Table </w:t>
      </w:r>
      <w:r w:rsidR="00CD5619">
        <w:rPr>
          <w:noProof/>
        </w:rPr>
        <w:t>1</w:t>
      </w:r>
      <w:r>
        <w:fldChar w:fldCharType="end"/>
      </w:r>
      <w:r w:rsidR="00FC2F86">
        <w:t xml:space="preserve"> sets out the documents within and relevant to the asset management framework and their status. The Ministry will note the expected use of these documents and links to their location will be added as documents are finalised.</w:t>
      </w:r>
    </w:p>
    <w:p w14:paraId="044C3FF4" w14:textId="77777777" w:rsidR="00FC2F86" w:rsidRPr="00E26BA4" w:rsidRDefault="00FC2F86" w:rsidP="00012C5F">
      <w:bookmarkStart w:id="15" w:name="_Toc36729457"/>
    </w:p>
    <w:p w14:paraId="7C3E191A" w14:textId="3D8DF601" w:rsidR="00FC2F86" w:rsidRDefault="00012C5F" w:rsidP="00012C5F">
      <w:pPr>
        <w:pStyle w:val="Table"/>
      </w:pPr>
      <w:bookmarkStart w:id="16" w:name="_Ref54253980"/>
      <w:bookmarkStart w:id="17" w:name="_Toc37069223"/>
      <w:bookmarkStart w:id="18" w:name="_Toc44487255"/>
      <w:bookmarkStart w:id="19" w:name="_Toc53133010"/>
      <w:bookmarkStart w:id="20" w:name="_Toc53133011"/>
      <w:bookmarkStart w:id="21" w:name="_Toc54353270"/>
      <w:r>
        <w:lastRenderedPageBreak/>
        <w:t xml:space="preserve">Table </w:t>
      </w:r>
      <w:fldSimple w:instr=" SEQ Table \* ARABIC ">
        <w:r w:rsidR="00CD5619">
          <w:rPr>
            <w:noProof/>
          </w:rPr>
          <w:t>1</w:t>
        </w:r>
      </w:fldSimple>
      <w:bookmarkEnd w:id="16"/>
      <w:r w:rsidR="00FC2F86" w:rsidRPr="00655055">
        <w:t xml:space="preserve">: </w:t>
      </w:r>
      <w:r w:rsidR="00FC2F86">
        <w:t>District Health Board Sector Asset Management Framework</w:t>
      </w:r>
      <w:r w:rsidR="00FC2F86" w:rsidRPr="00655055">
        <w:t xml:space="preserve"> documents</w:t>
      </w:r>
      <w:bookmarkEnd w:id="15"/>
      <w:bookmarkEnd w:id="17"/>
      <w:bookmarkEnd w:id="18"/>
      <w:bookmarkEnd w:id="19"/>
      <w:bookmarkEnd w:id="20"/>
      <w:bookmarkEnd w:id="21"/>
    </w:p>
    <w:tbl>
      <w:tblPr>
        <w:tblW w:w="8080" w:type="dxa"/>
        <w:tblInd w:w="57" w:type="dxa"/>
        <w:tblLayout w:type="fixed"/>
        <w:tblCellMar>
          <w:left w:w="57" w:type="dxa"/>
          <w:right w:w="57" w:type="dxa"/>
        </w:tblCellMar>
        <w:tblLook w:val="04A0" w:firstRow="1" w:lastRow="0" w:firstColumn="1" w:lastColumn="0" w:noHBand="0" w:noVBand="1"/>
      </w:tblPr>
      <w:tblGrid>
        <w:gridCol w:w="562"/>
        <w:gridCol w:w="431"/>
        <w:gridCol w:w="2835"/>
        <w:gridCol w:w="4252"/>
      </w:tblGrid>
      <w:tr w:rsidR="005F14FC" w14:paraId="0EF1B938" w14:textId="77777777" w:rsidTr="00C3777C">
        <w:trPr>
          <w:tblHeader/>
        </w:trPr>
        <w:tc>
          <w:tcPr>
            <w:tcW w:w="562" w:type="dxa"/>
            <w:vMerge w:val="restart"/>
            <w:tcBorders>
              <w:right w:val="single" w:sz="4" w:space="0" w:color="FFFFFF" w:themeColor="background1"/>
            </w:tcBorders>
            <w:shd w:val="clear" w:color="auto" w:fill="D9D9D9" w:themeFill="background1" w:themeFillShade="D9"/>
            <w:textDirection w:val="btLr"/>
            <w:vAlign w:val="center"/>
          </w:tcPr>
          <w:p w14:paraId="7555F3C0" w14:textId="77777777" w:rsidR="005F14FC" w:rsidRPr="009F54F0" w:rsidRDefault="005F14FC" w:rsidP="005F14FC">
            <w:pPr>
              <w:pStyle w:val="TableText"/>
              <w:spacing w:before="0" w:after="0"/>
              <w:jc w:val="center"/>
              <w:rPr>
                <w:b/>
              </w:rPr>
            </w:pPr>
          </w:p>
        </w:tc>
        <w:tc>
          <w:tcPr>
            <w:tcW w:w="7518" w:type="dxa"/>
            <w:gridSpan w:val="3"/>
            <w:tcBorders>
              <w:left w:val="single" w:sz="4" w:space="0" w:color="FFFFFF" w:themeColor="background1"/>
            </w:tcBorders>
            <w:shd w:val="clear" w:color="auto" w:fill="D9D9D9" w:themeFill="background1" w:themeFillShade="D9"/>
          </w:tcPr>
          <w:p w14:paraId="7D750FF2" w14:textId="77777777" w:rsidR="005F14FC" w:rsidRPr="009F54F0" w:rsidRDefault="005F14FC" w:rsidP="009F54F0">
            <w:pPr>
              <w:pStyle w:val="TableText"/>
              <w:jc w:val="center"/>
              <w:rPr>
                <w:b/>
              </w:rPr>
            </w:pPr>
            <w:r w:rsidRPr="009F54F0">
              <w:rPr>
                <w:b/>
              </w:rPr>
              <w:t>Ministry of Health</w:t>
            </w:r>
          </w:p>
        </w:tc>
      </w:tr>
      <w:tr w:rsidR="005F14FC" w14:paraId="13FBBEBA" w14:textId="77777777" w:rsidTr="00C3777C">
        <w:trPr>
          <w:tblHeader/>
        </w:trPr>
        <w:tc>
          <w:tcPr>
            <w:tcW w:w="562" w:type="dxa"/>
            <w:vMerge/>
            <w:tcBorders>
              <w:right w:val="single" w:sz="4" w:space="0" w:color="FFFFFF" w:themeColor="background1"/>
            </w:tcBorders>
            <w:shd w:val="clear" w:color="auto" w:fill="D9D9D9" w:themeFill="background1" w:themeFillShade="D9"/>
          </w:tcPr>
          <w:p w14:paraId="6A5B4806" w14:textId="77777777" w:rsidR="005F14FC" w:rsidRPr="000A6115" w:rsidRDefault="005F14FC" w:rsidP="00A74378">
            <w:pPr>
              <w:pStyle w:val="TableText"/>
              <w:jc w:val="right"/>
            </w:pPr>
          </w:p>
        </w:tc>
        <w:tc>
          <w:tcPr>
            <w:tcW w:w="3266" w:type="dxa"/>
            <w:gridSpan w:val="2"/>
            <w:tcBorders>
              <w:left w:val="single" w:sz="4" w:space="0" w:color="FFFFFF" w:themeColor="background1"/>
            </w:tcBorders>
            <w:shd w:val="clear" w:color="auto" w:fill="F2F2F2" w:themeFill="background1" w:themeFillShade="F2"/>
          </w:tcPr>
          <w:p w14:paraId="4AE6EE3D" w14:textId="77777777" w:rsidR="005F14FC" w:rsidRPr="00673D28" w:rsidRDefault="005F14FC" w:rsidP="00A74378">
            <w:pPr>
              <w:pStyle w:val="TableText"/>
              <w:rPr>
                <w:b/>
              </w:rPr>
            </w:pPr>
            <w:r w:rsidRPr="00673D28">
              <w:rPr>
                <w:b/>
              </w:rPr>
              <w:t>Document</w:t>
            </w:r>
          </w:p>
        </w:tc>
        <w:tc>
          <w:tcPr>
            <w:tcW w:w="4252" w:type="dxa"/>
            <w:shd w:val="clear" w:color="auto" w:fill="F2F2F2" w:themeFill="background1" w:themeFillShade="F2"/>
          </w:tcPr>
          <w:p w14:paraId="184E6EC2" w14:textId="77777777" w:rsidR="005F14FC" w:rsidRPr="00673D28" w:rsidRDefault="005F14FC" w:rsidP="00A74378">
            <w:pPr>
              <w:pStyle w:val="TableText"/>
              <w:rPr>
                <w:b/>
              </w:rPr>
            </w:pPr>
            <w:r w:rsidRPr="00673D28">
              <w:rPr>
                <w:b/>
              </w:rPr>
              <w:t>Description</w:t>
            </w:r>
          </w:p>
        </w:tc>
      </w:tr>
      <w:tr w:rsidR="005F14FC" w14:paraId="1E8C7B42" w14:textId="77777777" w:rsidTr="00C3777C">
        <w:tc>
          <w:tcPr>
            <w:tcW w:w="562" w:type="dxa"/>
            <w:vMerge w:val="restart"/>
            <w:tcBorders>
              <w:right w:val="single" w:sz="4" w:space="0" w:color="FFFFFF" w:themeColor="background1"/>
            </w:tcBorders>
            <w:shd w:val="clear" w:color="auto" w:fill="D9D9D9" w:themeFill="background1" w:themeFillShade="D9"/>
            <w:textDirection w:val="btLr"/>
          </w:tcPr>
          <w:p w14:paraId="3BD0AC87" w14:textId="77777777" w:rsidR="005F14FC" w:rsidRDefault="005F14FC" w:rsidP="00DB58BE">
            <w:pPr>
              <w:pStyle w:val="TableText"/>
              <w:ind w:left="113" w:right="113"/>
              <w:jc w:val="center"/>
            </w:pPr>
            <w:r w:rsidRPr="009F54F0">
              <w:rPr>
                <w:b/>
              </w:rPr>
              <w:t xml:space="preserve">The </w:t>
            </w:r>
            <w:r>
              <w:rPr>
                <w:b/>
              </w:rPr>
              <w:t>national a</w:t>
            </w:r>
            <w:r w:rsidRPr="009F54F0">
              <w:rPr>
                <w:b/>
              </w:rPr>
              <w:t>sset management progra</w:t>
            </w:r>
            <w:r w:rsidR="00DB58BE">
              <w:rPr>
                <w:b/>
              </w:rPr>
              <w:t>mme</w:t>
            </w:r>
          </w:p>
        </w:tc>
        <w:tc>
          <w:tcPr>
            <w:tcW w:w="3266" w:type="dxa"/>
            <w:gridSpan w:val="2"/>
            <w:tcBorders>
              <w:left w:val="single" w:sz="4" w:space="0" w:color="FFFFFF" w:themeColor="background1"/>
              <w:bottom w:val="single" w:sz="4" w:space="0" w:color="A6A6A6" w:themeColor="background1" w:themeShade="A6"/>
            </w:tcBorders>
            <w:shd w:val="clear" w:color="auto" w:fill="auto"/>
          </w:tcPr>
          <w:p w14:paraId="4F779168" w14:textId="77777777" w:rsidR="005F14FC" w:rsidRPr="00673D28" w:rsidRDefault="005F14FC" w:rsidP="003D425A">
            <w:pPr>
              <w:pStyle w:val="TableText"/>
              <w:ind w:right="113"/>
              <w:rPr>
                <w:b/>
              </w:rPr>
            </w:pPr>
            <w:r w:rsidRPr="00673D28">
              <w:rPr>
                <w:b/>
              </w:rPr>
              <w:t>Organisational Strategic Plans:</w:t>
            </w:r>
          </w:p>
          <w:p w14:paraId="39121EDE" w14:textId="77777777" w:rsidR="005F14FC" w:rsidRPr="004C366A" w:rsidRDefault="005F14FC" w:rsidP="003D425A">
            <w:pPr>
              <w:pStyle w:val="TableBullet"/>
              <w:ind w:right="113"/>
            </w:pPr>
            <w:r w:rsidRPr="004C366A">
              <w:t>New Zealand Health Strategy 2016</w:t>
            </w:r>
          </w:p>
          <w:p w14:paraId="07370D8F" w14:textId="77777777" w:rsidR="005F14FC" w:rsidRPr="004C366A" w:rsidRDefault="005F14FC" w:rsidP="003D425A">
            <w:pPr>
              <w:pStyle w:val="TableBullet"/>
              <w:ind w:right="113"/>
            </w:pPr>
            <w:r w:rsidRPr="004C366A">
              <w:t>Ministry of Health Output Plan 2018/19</w:t>
            </w:r>
          </w:p>
          <w:p w14:paraId="660FD16E" w14:textId="77777777" w:rsidR="005F14FC" w:rsidRDefault="005F14FC" w:rsidP="003D425A">
            <w:pPr>
              <w:pStyle w:val="TableBullet"/>
              <w:ind w:right="113"/>
            </w:pPr>
            <w:r w:rsidRPr="004C366A">
              <w:t>National Health IT Plan (and Update)</w:t>
            </w:r>
          </w:p>
          <w:p w14:paraId="07E268CB" w14:textId="77777777" w:rsidR="005F14FC" w:rsidRPr="004C366A" w:rsidRDefault="005F14FC" w:rsidP="003D425A">
            <w:pPr>
              <w:pStyle w:val="TableBullet"/>
              <w:ind w:right="113"/>
            </w:pPr>
            <w:r>
              <w:t>HISO Interoperability Roadmap 2020</w:t>
            </w:r>
          </w:p>
          <w:p w14:paraId="13DAE294" w14:textId="77777777" w:rsidR="005F14FC" w:rsidRPr="004C366A" w:rsidRDefault="005F14FC" w:rsidP="003D425A">
            <w:pPr>
              <w:pStyle w:val="TableBullet"/>
              <w:ind w:right="113"/>
            </w:pPr>
            <w:r w:rsidRPr="004C366A">
              <w:t>Building a Healthy Future</w:t>
            </w:r>
          </w:p>
          <w:p w14:paraId="4F330F65" w14:textId="77777777" w:rsidR="005F14FC" w:rsidRPr="004C366A" w:rsidRDefault="005F14FC" w:rsidP="003D425A">
            <w:pPr>
              <w:pStyle w:val="TableBullet"/>
              <w:ind w:right="113"/>
            </w:pPr>
            <w:r w:rsidRPr="004C366A">
              <w:t>Statement of Strategic Intentions 2017</w:t>
            </w:r>
            <w:r>
              <w:t>–</w:t>
            </w:r>
            <w:r w:rsidRPr="004C366A">
              <w:t>2021</w:t>
            </w:r>
          </w:p>
          <w:p w14:paraId="74E28867" w14:textId="77777777" w:rsidR="005F14FC" w:rsidRPr="004C366A" w:rsidRDefault="005F14FC" w:rsidP="003D425A">
            <w:pPr>
              <w:pStyle w:val="TableBullet"/>
              <w:ind w:right="113"/>
            </w:pPr>
            <w:r w:rsidRPr="004C366A">
              <w:t>Faiva Ora 2016–2021</w:t>
            </w:r>
            <w:r>
              <w:t>:</w:t>
            </w:r>
            <w:r w:rsidRPr="004C366A">
              <w:t xml:space="preserve"> National Pasifika Disability Plan</w:t>
            </w:r>
          </w:p>
          <w:p w14:paraId="3197DB25" w14:textId="77777777" w:rsidR="005F14FC" w:rsidRPr="004C366A" w:rsidRDefault="005F14FC" w:rsidP="003D425A">
            <w:pPr>
              <w:pStyle w:val="TableBullet"/>
              <w:ind w:right="113"/>
            </w:pPr>
            <w:r w:rsidRPr="004C366A">
              <w:t>Delivering Better Public Services: A</w:t>
            </w:r>
            <w:r>
              <w:t> </w:t>
            </w:r>
            <w:r w:rsidRPr="004C366A">
              <w:t>Good Start to Life</w:t>
            </w:r>
          </w:p>
          <w:p w14:paraId="29BEDA82" w14:textId="77777777" w:rsidR="005F14FC" w:rsidRPr="004C366A" w:rsidRDefault="005F14FC" w:rsidP="003D425A">
            <w:pPr>
              <w:pStyle w:val="TableBullet"/>
              <w:ind w:right="113"/>
            </w:pPr>
            <w:r w:rsidRPr="004C366A">
              <w:t>National Radiation Oncology Plan 2017</w:t>
            </w:r>
            <w:r>
              <w:t>–</w:t>
            </w:r>
            <w:r w:rsidRPr="004C366A">
              <w:t>2021</w:t>
            </w:r>
          </w:p>
          <w:p w14:paraId="19D16C52" w14:textId="77777777" w:rsidR="005F14FC" w:rsidRPr="004E0AA3" w:rsidRDefault="005F14FC" w:rsidP="003D425A">
            <w:pPr>
              <w:pStyle w:val="TableBullet"/>
              <w:ind w:right="113"/>
            </w:pPr>
            <w:r w:rsidRPr="004C366A">
              <w:t>Ageing New Zealand and Health and Disability Services 2001–2021</w:t>
            </w:r>
          </w:p>
        </w:tc>
        <w:tc>
          <w:tcPr>
            <w:tcW w:w="4252" w:type="dxa"/>
            <w:tcBorders>
              <w:bottom w:val="single" w:sz="4" w:space="0" w:color="A6A6A6" w:themeColor="background1" w:themeShade="A6"/>
            </w:tcBorders>
            <w:shd w:val="clear" w:color="auto" w:fill="auto"/>
          </w:tcPr>
          <w:p w14:paraId="12353705" w14:textId="77777777" w:rsidR="005F14FC" w:rsidRPr="0060298A" w:rsidRDefault="005F14FC" w:rsidP="00A74378">
            <w:pPr>
              <w:pStyle w:val="TableText"/>
              <w:rPr>
                <w:szCs w:val="21"/>
              </w:rPr>
            </w:pPr>
            <w:r w:rsidRPr="0060298A">
              <w:rPr>
                <w:szCs w:val="21"/>
              </w:rPr>
              <w:t>Strategy documents published by MoH that impact on asset management activities</w:t>
            </w:r>
            <w:r>
              <w:rPr>
                <w:szCs w:val="21"/>
              </w:rPr>
              <w:t>. See website for full list of documents.</w:t>
            </w:r>
          </w:p>
        </w:tc>
      </w:tr>
      <w:tr w:rsidR="005F14FC" w14:paraId="55D51F5C" w14:textId="77777777" w:rsidTr="00C3777C">
        <w:tc>
          <w:tcPr>
            <w:tcW w:w="562" w:type="dxa"/>
            <w:vMerge/>
            <w:tcBorders>
              <w:right w:val="single" w:sz="4" w:space="0" w:color="FFFFFF" w:themeColor="background1"/>
            </w:tcBorders>
            <w:shd w:val="clear" w:color="auto" w:fill="D9D9D9" w:themeFill="background1" w:themeFillShade="D9"/>
          </w:tcPr>
          <w:p w14:paraId="0E614E8C" w14:textId="77777777" w:rsidR="005F14FC" w:rsidRDefault="005F14FC" w:rsidP="00A74378">
            <w:pPr>
              <w:pStyle w:val="TableText"/>
              <w:jc w:val="right"/>
            </w:pPr>
          </w:p>
        </w:tc>
        <w:tc>
          <w:tcPr>
            <w:tcW w:w="431" w:type="dxa"/>
            <w:vMerge w:val="restart"/>
            <w:tcBorders>
              <w:top w:val="single" w:sz="4" w:space="0" w:color="A6A6A6" w:themeColor="background1" w:themeShade="A6"/>
              <w:left w:val="single" w:sz="4" w:space="0" w:color="FFFFFF" w:themeColor="background1"/>
              <w:bottom w:val="single" w:sz="4" w:space="0" w:color="F2F2F2" w:themeColor="background1" w:themeShade="F2"/>
              <w:right w:val="single" w:sz="4" w:space="0" w:color="FFFFFF" w:themeColor="background1"/>
            </w:tcBorders>
            <w:shd w:val="clear" w:color="auto" w:fill="F2F2F2" w:themeFill="background1" w:themeFillShade="F2"/>
            <w:textDirection w:val="btLr"/>
          </w:tcPr>
          <w:p w14:paraId="460F13D8" w14:textId="77777777" w:rsidR="005F14FC" w:rsidRPr="00FE119A" w:rsidRDefault="005F14FC" w:rsidP="00FE119A">
            <w:pPr>
              <w:pStyle w:val="TableText"/>
              <w:spacing w:before="0" w:after="0"/>
              <w:jc w:val="center"/>
              <w:rPr>
                <w:b/>
              </w:rPr>
            </w:pPr>
            <w:r w:rsidRPr="00FE119A">
              <w:rPr>
                <w:b/>
              </w:rPr>
              <w:t>District Health Board Sector Asset Management Framework</w:t>
            </w:r>
          </w:p>
        </w:tc>
        <w:tc>
          <w:tcPr>
            <w:tcW w:w="2835" w:type="dxa"/>
            <w:tcBorders>
              <w:top w:val="single" w:sz="4" w:space="0" w:color="A6A6A6" w:themeColor="background1" w:themeShade="A6"/>
              <w:left w:val="single" w:sz="4" w:space="0" w:color="FFFFFF" w:themeColor="background1"/>
              <w:bottom w:val="single" w:sz="4" w:space="0" w:color="A6A6A6" w:themeColor="background1" w:themeShade="A6"/>
            </w:tcBorders>
            <w:shd w:val="clear" w:color="auto" w:fill="auto"/>
          </w:tcPr>
          <w:p w14:paraId="4B792E25" w14:textId="77777777" w:rsidR="005F14FC" w:rsidRPr="005D2A6A" w:rsidRDefault="005F14FC" w:rsidP="005D2A6A">
            <w:pPr>
              <w:pStyle w:val="TableText"/>
              <w:ind w:right="113"/>
              <w:rPr>
                <w:b/>
              </w:rPr>
            </w:pPr>
            <w:r w:rsidRPr="005D2A6A">
              <w:rPr>
                <w:b/>
                <w:iCs/>
              </w:rPr>
              <w:t>District Health Board Sector Asset Management Framework: Policy</w:t>
            </w:r>
          </w:p>
        </w:tc>
        <w:tc>
          <w:tcPr>
            <w:tcW w:w="4252" w:type="dxa"/>
            <w:tcBorders>
              <w:top w:val="single" w:sz="4" w:space="0" w:color="A6A6A6" w:themeColor="background1" w:themeShade="A6"/>
              <w:bottom w:val="single" w:sz="4" w:space="0" w:color="A6A6A6" w:themeColor="background1" w:themeShade="A6"/>
            </w:tcBorders>
            <w:shd w:val="clear" w:color="auto" w:fill="auto"/>
          </w:tcPr>
          <w:p w14:paraId="02EC11C5" w14:textId="77777777" w:rsidR="005F14FC" w:rsidRDefault="005F14FC" w:rsidP="00A74378">
            <w:pPr>
              <w:pStyle w:val="TableText"/>
            </w:pPr>
            <w:r w:rsidRPr="00AB6715">
              <w:t xml:space="preserve">Documents the approach to </w:t>
            </w:r>
            <w:r>
              <w:t xml:space="preserve">asset management </w:t>
            </w:r>
            <w:r w:rsidRPr="00AB6715">
              <w:t>planning and processes and specifies improvement actions.</w:t>
            </w:r>
            <w:r>
              <w:t xml:space="preserve"> Sets out:</w:t>
            </w:r>
          </w:p>
          <w:p w14:paraId="35725B41" w14:textId="77777777" w:rsidR="005F14FC" w:rsidRPr="00A54CA3" w:rsidRDefault="005F14FC" w:rsidP="00673D28">
            <w:pPr>
              <w:pStyle w:val="TableBullet"/>
            </w:pPr>
            <w:r>
              <w:t>the o</w:t>
            </w:r>
            <w:r w:rsidRPr="00A54CA3">
              <w:t xml:space="preserve">rganisational context and importance of </w:t>
            </w:r>
            <w:r>
              <w:t>asset management</w:t>
            </w:r>
          </w:p>
          <w:p w14:paraId="7F23984A" w14:textId="77777777" w:rsidR="005F14FC" w:rsidRPr="00A54CA3" w:rsidRDefault="005F14FC" w:rsidP="00673D28">
            <w:pPr>
              <w:pStyle w:val="TableBullet"/>
            </w:pPr>
            <w:r>
              <w:t xml:space="preserve">the </w:t>
            </w:r>
            <w:r w:rsidRPr="00A54CA3">
              <w:t>National Policy Statement</w:t>
            </w:r>
          </w:p>
          <w:p w14:paraId="13965143" w14:textId="77777777" w:rsidR="005F14FC" w:rsidRPr="00A54CA3" w:rsidRDefault="005F14FC" w:rsidP="00673D28">
            <w:pPr>
              <w:pStyle w:val="TableBullet"/>
            </w:pPr>
            <w:r>
              <w:t>k</w:t>
            </w:r>
            <w:r w:rsidRPr="00A54CA3">
              <w:t>ey national requirements</w:t>
            </w:r>
          </w:p>
          <w:p w14:paraId="08B82CEB" w14:textId="77777777" w:rsidR="005F14FC" w:rsidRPr="00A54CA3" w:rsidRDefault="005F14FC" w:rsidP="00673D28">
            <w:pPr>
              <w:pStyle w:val="TableBullet"/>
            </w:pPr>
            <w:r w:rsidRPr="00A54CA3">
              <w:t>principles</w:t>
            </w:r>
          </w:p>
          <w:p w14:paraId="1C9FE1FB" w14:textId="77777777" w:rsidR="005F14FC" w:rsidRDefault="005F14FC" w:rsidP="00673D28">
            <w:pPr>
              <w:pStyle w:val="TableBullet"/>
            </w:pPr>
            <w:r w:rsidRPr="00A54CA3">
              <w:t>roles and responsibilities</w:t>
            </w:r>
          </w:p>
          <w:p w14:paraId="3CAD0CE9" w14:textId="77777777" w:rsidR="005F14FC" w:rsidRPr="004E0AA3" w:rsidRDefault="005F14FC" w:rsidP="00673D28">
            <w:pPr>
              <w:pStyle w:val="TableBullet"/>
            </w:pPr>
            <w:r>
              <w:t>the a</w:t>
            </w:r>
            <w:r w:rsidRPr="00A54CA3">
              <w:t>udit, review and updating process</w:t>
            </w:r>
          </w:p>
        </w:tc>
      </w:tr>
      <w:tr w:rsidR="005F14FC" w14:paraId="06D69839" w14:textId="77777777" w:rsidTr="00C3777C">
        <w:tc>
          <w:tcPr>
            <w:tcW w:w="562" w:type="dxa"/>
            <w:vMerge/>
            <w:tcBorders>
              <w:bottom w:val="single" w:sz="4" w:space="0" w:color="FFFFFF" w:themeColor="background1"/>
              <w:right w:val="single" w:sz="4" w:space="0" w:color="FFFFFF" w:themeColor="background1"/>
            </w:tcBorders>
            <w:shd w:val="clear" w:color="auto" w:fill="D9D9D9" w:themeFill="background1" w:themeFillShade="D9"/>
          </w:tcPr>
          <w:p w14:paraId="6C20E8A8" w14:textId="77777777" w:rsidR="005F14FC" w:rsidRDefault="005F14FC" w:rsidP="00A74378">
            <w:pPr>
              <w:pStyle w:val="TableText"/>
              <w:jc w:val="right"/>
            </w:pPr>
          </w:p>
        </w:tc>
        <w:tc>
          <w:tcPr>
            <w:tcW w:w="431" w:type="dxa"/>
            <w:vMerge/>
            <w:tcBorders>
              <w:top w:val="single" w:sz="4" w:space="0" w:color="A6A6A6" w:themeColor="background1" w:themeShade="A6"/>
              <w:left w:val="single" w:sz="4" w:space="0" w:color="FFFFFF" w:themeColor="background1"/>
              <w:bottom w:val="single" w:sz="4" w:space="0" w:color="F2F2F2" w:themeColor="background1" w:themeShade="F2"/>
              <w:right w:val="single" w:sz="4" w:space="0" w:color="FFFFFF" w:themeColor="background1"/>
            </w:tcBorders>
            <w:shd w:val="clear" w:color="auto" w:fill="F2F2F2" w:themeFill="background1" w:themeFillShade="F2"/>
          </w:tcPr>
          <w:p w14:paraId="458A65E0" w14:textId="77777777" w:rsidR="005F14FC" w:rsidRDefault="005F14FC" w:rsidP="00A74378">
            <w:pPr>
              <w:pStyle w:val="TableText"/>
              <w:jc w:val="right"/>
            </w:pPr>
          </w:p>
        </w:tc>
        <w:tc>
          <w:tcPr>
            <w:tcW w:w="2835" w:type="dxa"/>
            <w:tcBorders>
              <w:top w:val="single" w:sz="4" w:space="0" w:color="A6A6A6" w:themeColor="background1" w:themeShade="A6"/>
              <w:left w:val="single" w:sz="4" w:space="0" w:color="FFFFFF" w:themeColor="background1"/>
            </w:tcBorders>
            <w:shd w:val="clear" w:color="auto" w:fill="auto"/>
          </w:tcPr>
          <w:p w14:paraId="69730B21" w14:textId="77777777" w:rsidR="005F14FC" w:rsidRPr="005D2A6A" w:rsidRDefault="005F14FC" w:rsidP="005D2A6A">
            <w:pPr>
              <w:pStyle w:val="TableText"/>
              <w:ind w:right="113"/>
              <w:rPr>
                <w:b/>
              </w:rPr>
            </w:pPr>
            <w:r w:rsidRPr="005D2A6A">
              <w:rPr>
                <w:b/>
              </w:rPr>
              <w:t>District Health Board Sector Asset Management Framework: Strategy</w:t>
            </w:r>
          </w:p>
        </w:tc>
        <w:tc>
          <w:tcPr>
            <w:tcW w:w="4252" w:type="dxa"/>
            <w:tcBorders>
              <w:top w:val="single" w:sz="4" w:space="0" w:color="A6A6A6" w:themeColor="background1" w:themeShade="A6"/>
            </w:tcBorders>
            <w:shd w:val="clear" w:color="auto" w:fill="auto"/>
          </w:tcPr>
          <w:p w14:paraId="7D7ED923" w14:textId="77777777" w:rsidR="005F14FC" w:rsidRDefault="005F14FC" w:rsidP="00A74378">
            <w:pPr>
              <w:pStyle w:val="TableText"/>
            </w:pPr>
            <w:r w:rsidRPr="00AB6715">
              <w:t xml:space="preserve">Documents the approach to </w:t>
            </w:r>
            <w:r>
              <w:t xml:space="preserve">asset management </w:t>
            </w:r>
            <w:r w:rsidRPr="00AB6715">
              <w:t>planning and processes and specifies improvement actions.</w:t>
            </w:r>
            <w:r>
              <w:t xml:space="preserve"> Covers:</w:t>
            </w:r>
          </w:p>
          <w:p w14:paraId="065CFFFD" w14:textId="77777777" w:rsidR="005F14FC" w:rsidRPr="00A54CA3" w:rsidRDefault="005F14FC" w:rsidP="00673D28">
            <w:pPr>
              <w:pStyle w:val="TableBullet"/>
            </w:pPr>
            <w:r>
              <w:t>the s</w:t>
            </w:r>
            <w:r w:rsidRPr="00A54CA3">
              <w:t>trategic context – analysis of key internal and external drivers</w:t>
            </w:r>
          </w:p>
          <w:p w14:paraId="38D55285" w14:textId="77777777" w:rsidR="005F14FC" w:rsidRPr="00A54CA3" w:rsidRDefault="005F14FC" w:rsidP="00673D28">
            <w:pPr>
              <w:pStyle w:val="TableBullet"/>
            </w:pPr>
            <w:r>
              <w:t>a</w:t>
            </w:r>
            <w:r w:rsidRPr="00A54CA3">
              <w:t xml:space="preserve">sset </w:t>
            </w:r>
            <w:r>
              <w:t>s</w:t>
            </w:r>
            <w:r w:rsidRPr="00A54CA3">
              <w:t>ummary</w:t>
            </w:r>
          </w:p>
          <w:p w14:paraId="6ACB8856" w14:textId="77777777" w:rsidR="005F14FC" w:rsidRPr="00A54CA3" w:rsidRDefault="005F14FC" w:rsidP="00673D28">
            <w:pPr>
              <w:pStyle w:val="TableBullet"/>
            </w:pPr>
            <w:r>
              <w:t xml:space="preserve">the </w:t>
            </w:r>
            <w:r w:rsidRPr="00A54CA3">
              <w:t>National Strategic Framework</w:t>
            </w:r>
          </w:p>
          <w:p w14:paraId="1D3A4B26" w14:textId="77777777" w:rsidR="005F14FC" w:rsidRPr="00A54CA3" w:rsidRDefault="005F14FC" w:rsidP="00673D28">
            <w:pPr>
              <w:pStyle w:val="TableBullet"/>
            </w:pPr>
            <w:r w:rsidRPr="00A54CA3">
              <w:t>Asset Management Maturity</w:t>
            </w:r>
          </w:p>
          <w:p w14:paraId="6061A6AD" w14:textId="77777777" w:rsidR="005F14FC" w:rsidRDefault="005F14FC" w:rsidP="00673D28">
            <w:pPr>
              <w:pStyle w:val="TableBullet"/>
            </w:pPr>
            <w:r>
              <w:t>the o</w:t>
            </w:r>
            <w:r w:rsidRPr="00A54CA3">
              <w:t>rganisational context</w:t>
            </w:r>
          </w:p>
          <w:p w14:paraId="1D442BB1" w14:textId="77777777" w:rsidR="005F14FC" w:rsidRPr="00A54CA3" w:rsidRDefault="005F14FC" w:rsidP="00673D28">
            <w:pPr>
              <w:pStyle w:val="TableBullet"/>
            </w:pPr>
            <w:r>
              <w:t>i</w:t>
            </w:r>
            <w:r w:rsidRPr="00A54CA3">
              <w:t xml:space="preserve">ssues, </w:t>
            </w:r>
            <w:r>
              <w:t>r</w:t>
            </w:r>
            <w:r w:rsidRPr="00A54CA3">
              <w:t>isks and challenges</w:t>
            </w:r>
          </w:p>
          <w:p w14:paraId="5B4CEDE8" w14:textId="77777777" w:rsidR="005F14FC" w:rsidRPr="00A54CA3" w:rsidRDefault="005F14FC" w:rsidP="00673D28">
            <w:pPr>
              <w:pStyle w:val="TableBullet"/>
            </w:pPr>
            <w:r w:rsidRPr="00A54CA3">
              <w:t>objectives and principles</w:t>
            </w:r>
          </w:p>
          <w:p w14:paraId="314FB77F" w14:textId="77777777" w:rsidR="005F14FC" w:rsidRPr="00A54CA3" w:rsidRDefault="005F14FC" w:rsidP="00673D28">
            <w:pPr>
              <w:pStyle w:val="TableBullet"/>
            </w:pPr>
            <w:r w:rsidRPr="00A54CA3">
              <w:t>key strategies and programmes to deliver objectives</w:t>
            </w:r>
          </w:p>
          <w:p w14:paraId="5A3F5149" w14:textId="77777777" w:rsidR="005F14FC" w:rsidRPr="00A54CA3" w:rsidRDefault="005F14FC" w:rsidP="00673D28">
            <w:pPr>
              <w:pStyle w:val="TableBullet"/>
            </w:pPr>
            <w:r>
              <w:t>the a</w:t>
            </w:r>
            <w:r w:rsidRPr="00A54CA3">
              <w:t>udit, improvement and review process</w:t>
            </w:r>
          </w:p>
          <w:p w14:paraId="4A1E48AB" w14:textId="77777777" w:rsidR="005F14FC" w:rsidRPr="004E0AA3" w:rsidRDefault="005F14FC" w:rsidP="00673D28">
            <w:pPr>
              <w:pStyle w:val="TableBullet"/>
            </w:pPr>
            <w:r>
              <w:t>a g</w:t>
            </w:r>
            <w:r w:rsidRPr="00A54CA3">
              <w:t>lossary of terms</w:t>
            </w:r>
          </w:p>
        </w:tc>
      </w:tr>
      <w:tr w:rsidR="007A5247" w14:paraId="4ABE470A" w14:textId="77777777" w:rsidTr="00C3777C">
        <w:trPr>
          <w:cantSplit/>
        </w:trPr>
        <w:tc>
          <w:tcPr>
            <w:tcW w:w="562" w:type="dxa"/>
            <w:vMerge w:val="restart"/>
            <w:tcBorders>
              <w:top w:val="single" w:sz="4" w:space="0" w:color="FFFFFF" w:themeColor="background1"/>
              <w:right w:val="single" w:sz="4" w:space="0" w:color="FFFFFF" w:themeColor="background1"/>
            </w:tcBorders>
            <w:shd w:val="clear" w:color="auto" w:fill="D9D9D9" w:themeFill="background1" w:themeFillShade="D9"/>
            <w:textDirection w:val="btLr"/>
          </w:tcPr>
          <w:p w14:paraId="719A7CD9" w14:textId="77777777" w:rsidR="007A5247" w:rsidRDefault="007A5247" w:rsidP="00956430">
            <w:pPr>
              <w:pStyle w:val="TableText"/>
              <w:keepNext/>
              <w:ind w:left="113" w:right="113"/>
              <w:jc w:val="center"/>
            </w:pPr>
            <w:r w:rsidRPr="009F54F0">
              <w:rPr>
                <w:b/>
              </w:rPr>
              <w:lastRenderedPageBreak/>
              <w:t>The national asset management programme</w:t>
            </w:r>
          </w:p>
        </w:tc>
        <w:tc>
          <w:tcPr>
            <w:tcW w:w="431" w:type="dxa"/>
            <w:tcBorders>
              <w:top w:val="single" w:sz="4" w:space="0" w:color="F2F2F2" w:themeColor="background1" w:themeShade="F2"/>
              <w:left w:val="single" w:sz="4" w:space="0" w:color="FFFFFF" w:themeColor="background1"/>
              <w:bottom w:val="single" w:sz="4" w:space="0" w:color="A6A6A6" w:themeColor="background1" w:themeShade="A6"/>
              <w:right w:val="single" w:sz="4" w:space="0" w:color="FFFFFF" w:themeColor="background1"/>
            </w:tcBorders>
            <w:shd w:val="clear" w:color="auto" w:fill="F2F2F2" w:themeFill="background1" w:themeFillShade="F2"/>
            <w:textDirection w:val="btLr"/>
          </w:tcPr>
          <w:p w14:paraId="4EB48F3C" w14:textId="77777777" w:rsidR="007A5247" w:rsidRPr="00956430" w:rsidRDefault="007A5247" w:rsidP="00956430">
            <w:pPr>
              <w:pStyle w:val="TableText"/>
              <w:keepNext/>
              <w:ind w:left="113" w:right="113"/>
              <w:jc w:val="center"/>
              <w:rPr>
                <w:spacing w:val="-2"/>
              </w:rPr>
            </w:pPr>
            <w:r w:rsidRPr="00956430">
              <w:rPr>
                <w:b/>
                <w:spacing w:val="-2"/>
              </w:rPr>
              <w:t>District Health Board Sector Asset Management Framework</w:t>
            </w:r>
          </w:p>
        </w:tc>
        <w:tc>
          <w:tcPr>
            <w:tcW w:w="2835" w:type="dxa"/>
            <w:tcBorders>
              <w:left w:val="single" w:sz="4" w:space="0" w:color="FFFFFF" w:themeColor="background1"/>
              <w:bottom w:val="single" w:sz="4" w:space="0" w:color="A6A6A6" w:themeColor="background1" w:themeShade="A6"/>
            </w:tcBorders>
            <w:shd w:val="clear" w:color="auto" w:fill="auto"/>
          </w:tcPr>
          <w:p w14:paraId="7FE7DB1E" w14:textId="77777777" w:rsidR="007A5247" w:rsidRPr="005D2A6A" w:rsidRDefault="007A5247" w:rsidP="005D2A6A">
            <w:pPr>
              <w:pStyle w:val="TableText"/>
              <w:keepNext/>
              <w:ind w:right="113"/>
              <w:rPr>
                <w:b/>
              </w:rPr>
            </w:pPr>
            <w:r w:rsidRPr="005D2A6A">
              <w:rPr>
                <w:b/>
              </w:rPr>
              <w:t>Asset Management Guidance</w:t>
            </w:r>
          </w:p>
        </w:tc>
        <w:tc>
          <w:tcPr>
            <w:tcW w:w="4252" w:type="dxa"/>
            <w:tcBorders>
              <w:bottom w:val="single" w:sz="4" w:space="0" w:color="A6A6A6" w:themeColor="background1" w:themeShade="A6"/>
            </w:tcBorders>
            <w:shd w:val="clear" w:color="auto" w:fill="auto"/>
          </w:tcPr>
          <w:p w14:paraId="7CCE046E" w14:textId="77777777" w:rsidR="007A5247" w:rsidRDefault="007A5247" w:rsidP="00070C0E">
            <w:pPr>
              <w:pStyle w:val="TableText"/>
              <w:keepNext/>
              <w:rPr>
                <w:rFonts w:eastAsiaTheme="minorEastAsia"/>
                <w:szCs w:val="21"/>
              </w:rPr>
            </w:pPr>
            <w:r>
              <w:t xml:space="preserve">As part of the </w:t>
            </w:r>
            <w:r w:rsidRPr="004E0AA3">
              <w:t>NAMP work programme</w:t>
            </w:r>
            <w:r>
              <w:t>, the Ministry will produce g</w:t>
            </w:r>
            <w:r w:rsidRPr="00AB6715">
              <w:rPr>
                <w:rFonts w:eastAsiaTheme="minorEastAsia"/>
                <w:szCs w:val="21"/>
              </w:rPr>
              <w:t>uidance documents as required</w:t>
            </w:r>
            <w:r>
              <w:rPr>
                <w:rFonts w:eastAsiaTheme="minorEastAsia"/>
                <w:szCs w:val="21"/>
              </w:rPr>
              <w:t>, including:</w:t>
            </w:r>
          </w:p>
          <w:p w14:paraId="068CFDF4" w14:textId="77777777" w:rsidR="007A5247" w:rsidRPr="00AB6715" w:rsidRDefault="007A5247" w:rsidP="00070C0E">
            <w:pPr>
              <w:pStyle w:val="TableBullet"/>
              <w:keepNext/>
            </w:pPr>
            <w:r>
              <w:t>a</w:t>
            </w:r>
            <w:r w:rsidRPr="00AB6715">
              <w:t xml:space="preserve"> template for DHBs to use to for </w:t>
            </w:r>
            <w:r>
              <w:t xml:space="preserve">asset management </w:t>
            </w:r>
            <w:r w:rsidRPr="00AB6715">
              <w:t xml:space="preserve">plans (based on </w:t>
            </w:r>
            <w:r>
              <w:t xml:space="preserve">the </w:t>
            </w:r>
            <w:r w:rsidRPr="000C7F5F">
              <w:t xml:space="preserve">International Infrastructure Management </w:t>
            </w:r>
            <w:r w:rsidRPr="00AB1DCF">
              <w:t xml:space="preserve">Manual </w:t>
            </w:r>
            <w:r w:rsidRPr="00DE6C09">
              <w:t>(</w:t>
            </w:r>
            <w:r w:rsidRPr="00AB6715">
              <w:t>IIMM</w:t>
            </w:r>
            <w:r>
              <w:t>)</w:t>
            </w:r>
            <w:r w:rsidRPr="00AB6715">
              <w:t xml:space="preserve"> and ISO 55000 standards)</w:t>
            </w:r>
          </w:p>
          <w:p w14:paraId="69F73535" w14:textId="77777777" w:rsidR="007A5247" w:rsidRDefault="007A5247" w:rsidP="00070C0E">
            <w:pPr>
              <w:pStyle w:val="TableBullet"/>
              <w:keepNext/>
            </w:pPr>
            <w:r>
              <w:t>g</w:t>
            </w:r>
            <w:r w:rsidRPr="00A54CA3">
              <w:t xml:space="preserve">uidance on how to apply asset management and what should be included in an </w:t>
            </w:r>
            <w:r>
              <w:t>asset management p</w:t>
            </w:r>
            <w:r w:rsidRPr="00A54CA3">
              <w:t>lan</w:t>
            </w:r>
            <w:r>
              <w:t>,</w:t>
            </w:r>
            <w:r w:rsidRPr="00A54CA3">
              <w:t xml:space="preserve"> including how this would link to other </w:t>
            </w:r>
            <w:r>
              <w:t>information, strategies, policies and plans</w:t>
            </w:r>
          </w:p>
          <w:p w14:paraId="4BC11B9A" w14:textId="77777777" w:rsidR="007A5247" w:rsidRPr="00A54CA3" w:rsidRDefault="007A5247" w:rsidP="00070C0E">
            <w:pPr>
              <w:pStyle w:val="TableBullet"/>
              <w:keepNext/>
            </w:pPr>
            <w:r>
              <w:t>d</w:t>
            </w:r>
            <w:r w:rsidRPr="00A54CA3">
              <w:t>esign guidelines</w:t>
            </w:r>
          </w:p>
          <w:p w14:paraId="4A4CCB9F" w14:textId="77777777" w:rsidR="007A5247" w:rsidRPr="00A54CA3" w:rsidRDefault="007A5247" w:rsidP="00070C0E">
            <w:pPr>
              <w:pStyle w:val="TableBullet"/>
              <w:keepNext/>
            </w:pPr>
            <w:r w:rsidRPr="00A54CA3">
              <w:t>training material</w:t>
            </w:r>
          </w:p>
          <w:p w14:paraId="7F2C6315" w14:textId="77777777" w:rsidR="007A5247" w:rsidRPr="00A54CA3" w:rsidRDefault="007A5247" w:rsidP="00070C0E">
            <w:pPr>
              <w:pStyle w:val="TableBullet"/>
              <w:keepNext/>
            </w:pPr>
            <w:r w:rsidRPr="00A54CA3">
              <w:t>templates/guidance</w:t>
            </w:r>
          </w:p>
          <w:p w14:paraId="64E2120A" w14:textId="77777777" w:rsidR="007A5247" w:rsidRPr="00A54CA3" w:rsidRDefault="007A5247" w:rsidP="00070C0E">
            <w:pPr>
              <w:pStyle w:val="TableBullet"/>
              <w:keepNext/>
            </w:pPr>
            <w:r>
              <w:t xml:space="preserve">guidance on the </w:t>
            </w:r>
            <w:r w:rsidRPr="00A54CA3">
              <w:t>Capital pipeline</w:t>
            </w:r>
          </w:p>
          <w:p w14:paraId="4FDAFBBF" w14:textId="77777777" w:rsidR="007A5247" w:rsidRPr="00A54CA3" w:rsidRDefault="007A5247" w:rsidP="00070C0E">
            <w:pPr>
              <w:pStyle w:val="TableBullet"/>
              <w:keepNext/>
            </w:pPr>
            <w:r>
              <w:t>guidance on b</w:t>
            </w:r>
            <w:r w:rsidRPr="00A54CA3">
              <w:t>usiness cases</w:t>
            </w:r>
          </w:p>
          <w:p w14:paraId="1EF8C0BB" w14:textId="77777777" w:rsidR="007A5247" w:rsidRPr="00A54CA3" w:rsidRDefault="007A5247" w:rsidP="00070C0E">
            <w:pPr>
              <w:pStyle w:val="TableBullet"/>
              <w:keepNext/>
            </w:pPr>
            <w:r>
              <w:t>guidance on the a</w:t>
            </w:r>
            <w:r w:rsidRPr="00A54CA3">
              <w:t>sset assurance framework</w:t>
            </w:r>
          </w:p>
          <w:p w14:paraId="48068074" w14:textId="77777777" w:rsidR="007A5247" w:rsidRPr="00A54CA3" w:rsidRDefault="007A5247" w:rsidP="00070C0E">
            <w:pPr>
              <w:pStyle w:val="TableBullet"/>
              <w:keepNext/>
            </w:pPr>
            <w:r>
              <w:t>guidance on p</w:t>
            </w:r>
            <w:r w:rsidRPr="00A54CA3">
              <w:t>erformance monitoring</w:t>
            </w:r>
          </w:p>
          <w:p w14:paraId="3C7AB6A9" w14:textId="77777777" w:rsidR="007A5247" w:rsidRDefault="007A5247" w:rsidP="00070C0E">
            <w:pPr>
              <w:pStyle w:val="TableBullet"/>
              <w:keepNext/>
            </w:pPr>
            <w:r>
              <w:t>a</w:t>
            </w:r>
            <w:r w:rsidRPr="00A54CA3">
              <w:t>sset register data/information</w:t>
            </w:r>
          </w:p>
        </w:tc>
      </w:tr>
      <w:tr w:rsidR="007A5247" w14:paraId="6C1F6E20" w14:textId="77777777" w:rsidTr="00C3777C">
        <w:tc>
          <w:tcPr>
            <w:tcW w:w="562" w:type="dxa"/>
            <w:vMerge/>
            <w:tcBorders>
              <w:right w:val="single" w:sz="4" w:space="0" w:color="FFFFFF" w:themeColor="background1"/>
            </w:tcBorders>
            <w:shd w:val="clear" w:color="auto" w:fill="D9D9D9" w:themeFill="background1" w:themeFillShade="D9"/>
          </w:tcPr>
          <w:p w14:paraId="00B815B7" w14:textId="77777777" w:rsidR="007A5247" w:rsidRDefault="007A5247" w:rsidP="00A74378">
            <w:pPr>
              <w:pStyle w:val="TableText"/>
              <w:jc w:val="right"/>
            </w:pPr>
          </w:p>
        </w:tc>
        <w:tc>
          <w:tcPr>
            <w:tcW w:w="3266" w:type="dxa"/>
            <w:gridSpan w:val="2"/>
            <w:tcBorders>
              <w:top w:val="single" w:sz="4" w:space="0" w:color="A6A6A6" w:themeColor="background1" w:themeShade="A6"/>
              <w:left w:val="single" w:sz="4" w:space="0" w:color="FFFFFF" w:themeColor="background1"/>
              <w:bottom w:val="single" w:sz="4" w:space="0" w:color="FFFFFF" w:themeColor="background1"/>
            </w:tcBorders>
            <w:shd w:val="clear" w:color="auto" w:fill="auto"/>
          </w:tcPr>
          <w:p w14:paraId="3125C11B" w14:textId="77777777" w:rsidR="007A5247" w:rsidRPr="00956430" w:rsidRDefault="007A5247" w:rsidP="00A74378">
            <w:pPr>
              <w:pStyle w:val="TableText"/>
              <w:rPr>
                <w:b/>
              </w:rPr>
            </w:pPr>
            <w:r w:rsidRPr="00956430">
              <w:rPr>
                <w:b/>
              </w:rPr>
              <w:t>National Asset Management Plan</w:t>
            </w:r>
          </w:p>
        </w:tc>
        <w:tc>
          <w:tcPr>
            <w:tcW w:w="4252" w:type="dxa"/>
            <w:tcBorders>
              <w:top w:val="single" w:sz="4" w:space="0" w:color="A6A6A6" w:themeColor="background1" w:themeShade="A6"/>
              <w:bottom w:val="single" w:sz="4" w:space="0" w:color="FFFFFF" w:themeColor="background1"/>
            </w:tcBorders>
            <w:shd w:val="clear" w:color="auto" w:fill="auto"/>
          </w:tcPr>
          <w:p w14:paraId="106E086C" w14:textId="77777777" w:rsidR="007A5247" w:rsidRPr="00673D28" w:rsidRDefault="007A5247" w:rsidP="00A74378">
            <w:pPr>
              <w:pStyle w:val="TableText"/>
            </w:pPr>
            <w:r>
              <w:t>A l</w:t>
            </w:r>
            <w:r w:rsidRPr="004F7C80">
              <w:t>ong</w:t>
            </w:r>
            <w:r>
              <w:t>-</w:t>
            </w:r>
            <w:r w:rsidRPr="004F7C80">
              <w:t>term asset management plan providing investment priorities for the DHB</w:t>
            </w:r>
            <w:r>
              <w:t>s</w:t>
            </w:r>
          </w:p>
          <w:p w14:paraId="6845CD85" w14:textId="77777777" w:rsidR="007A5247" w:rsidRPr="00673D28" w:rsidRDefault="007A5247" w:rsidP="00A74378">
            <w:pPr>
              <w:pStyle w:val="TableText"/>
              <w:rPr>
                <w:b/>
                <w:bCs/>
              </w:rPr>
            </w:pPr>
            <w:r w:rsidRPr="00673D28">
              <w:rPr>
                <w:b/>
              </w:rPr>
              <w:t>National Asset Management Plan – Stage 1: Current state assessment report</w:t>
            </w:r>
          </w:p>
          <w:p w14:paraId="58EA44F0" w14:textId="77777777" w:rsidR="007A5247" w:rsidRPr="008D2249" w:rsidRDefault="007A5247" w:rsidP="00A74378">
            <w:pPr>
              <w:pStyle w:val="TableText"/>
            </w:pPr>
            <w:r>
              <w:t>This report, published</w:t>
            </w:r>
            <w:r w:rsidRPr="008D2249">
              <w:t xml:space="preserve"> in May 2020</w:t>
            </w:r>
            <w:r>
              <w:t>:</w:t>
            </w:r>
          </w:p>
          <w:p w14:paraId="2E6396A3" w14:textId="77777777" w:rsidR="007A5247" w:rsidRPr="00A54CA3" w:rsidRDefault="007A5247" w:rsidP="00673D28">
            <w:pPr>
              <w:pStyle w:val="TableBullet"/>
            </w:pPr>
            <w:r w:rsidRPr="00A54CA3">
              <w:t>identifies relative investment priorities and the relative condition of buildings, side-wide infrastructure, clinical facility fitness-for-purpose and information technology</w:t>
            </w:r>
          </w:p>
          <w:p w14:paraId="3D96B0D3" w14:textId="77777777" w:rsidR="007A5247" w:rsidRDefault="007A5247" w:rsidP="00673D28">
            <w:pPr>
              <w:pStyle w:val="TableBullet"/>
            </w:pPr>
            <w:r w:rsidRPr="00A54CA3">
              <w:t>is an interim report, produced in advance of the more comprehensive NAMP</w:t>
            </w:r>
          </w:p>
          <w:p w14:paraId="590A5EAD" w14:textId="77777777" w:rsidR="007A5247" w:rsidRPr="00A54CA3" w:rsidRDefault="007A5247" w:rsidP="00673D28">
            <w:pPr>
              <w:pStyle w:val="TableBullet"/>
            </w:pPr>
            <w:r w:rsidRPr="00A54CA3">
              <w:t>expenditure and funding requirements</w:t>
            </w:r>
          </w:p>
          <w:p w14:paraId="7DDEEC62" w14:textId="77777777" w:rsidR="007A5247" w:rsidRPr="00DE6A58" w:rsidRDefault="007A5247" w:rsidP="00673D28">
            <w:pPr>
              <w:pStyle w:val="TableBullet"/>
            </w:pPr>
            <w:r>
              <w:t>a</w:t>
            </w:r>
            <w:r w:rsidRPr="00A54CA3">
              <w:t>sset improvement items</w:t>
            </w:r>
          </w:p>
        </w:tc>
      </w:tr>
      <w:tr w:rsidR="007A5247" w14:paraId="6E9F4A64" w14:textId="77777777" w:rsidTr="00C3777C">
        <w:trPr>
          <w:cantSplit/>
          <w:trHeight w:val="1134"/>
        </w:trPr>
        <w:tc>
          <w:tcPr>
            <w:tcW w:w="562" w:type="dxa"/>
            <w:tcBorders>
              <w:right w:val="single" w:sz="4" w:space="0" w:color="FFFFFF" w:themeColor="background1"/>
            </w:tcBorders>
            <w:shd w:val="clear" w:color="auto" w:fill="D9D9D9" w:themeFill="background1" w:themeFillShade="D9"/>
            <w:textDirection w:val="btLr"/>
          </w:tcPr>
          <w:p w14:paraId="0CD0ABA7" w14:textId="77777777" w:rsidR="007A5247" w:rsidRDefault="00D25970" w:rsidP="00D25970">
            <w:pPr>
              <w:pStyle w:val="TableText"/>
              <w:ind w:left="113" w:right="113"/>
              <w:jc w:val="center"/>
            </w:pPr>
            <w:r w:rsidRPr="009F54F0">
              <w:rPr>
                <w:b/>
              </w:rPr>
              <w:lastRenderedPageBreak/>
              <w:t>The national asset management programme</w:t>
            </w:r>
          </w:p>
        </w:tc>
        <w:tc>
          <w:tcPr>
            <w:tcW w:w="3266" w:type="dxa"/>
            <w:gridSpan w:val="2"/>
            <w:tcBorders>
              <w:top w:val="single" w:sz="4" w:space="0" w:color="FFFFFF" w:themeColor="background1"/>
              <w:left w:val="single" w:sz="4" w:space="0" w:color="FFFFFF" w:themeColor="background1"/>
            </w:tcBorders>
            <w:shd w:val="clear" w:color="auto" w:fill="auto"/>
          </w:tcPr>
          <w:p w14:paraId="3C55DA0B" w14:textId="77777777" w:rsidR="007A5247" w:rsidRPr="00956430" w:rsidRDefault="00CB0336" w:rsidP="00A74378">
            <w:pPr>
              <w:pStyle w:val="TableText"/>
              <w:rPr>
                <w:b/>
              </w:rPr>
            </w:pPr>
            <w:r w:rsidRPr="00956430">
              <w:rPr>
                <w:b/>
              </w:rPr>
              <w:t>National Asset Management Plan</w:t>
            </w:r>
          </w:p>
        </w:tc>
        <w:tc>
          <w:tcPr>
            <w:tcW w:w="4252" w:type="dxa"/>
            <w:tcBorders>
              <w:top w:val="single" w:sz="4" w:space="0" w:color="FFFFFF" w:themeColor="background1"/>
            </w:tcBorders>
            <w:shd w:val="clear" w:color="auto" w:fill="auto"/>
          </w:tcPr>
          <w:p w14:paraId="449AB090" w14:textId="77777777" w:rsidR="007A5247" w:rsidRPr="00673D28" w:rsidRDefault="007A5247" w:rsidP="007A5247">
            <w:pPr>
              <w:pStyle w:val="TableText"/>
              <w:rPr>
                <w:rFonts w:eastAsiaTheme="minorEastAsia"/>
              </w:rPr>
            </w:pPr>
            <w:r w:rsidRPr="008D2249">
              <w:rPr>
                <w:b/>
              </w:rPr>
              <w:t xml:space="preserve">National Asset Management Plan Stage 2 – </w:t>
            </w:r>
            <w:r w:rsidRPr="008D2249">
              <w:rPr>
                <w:rFonts w:eastAsiaTheme="minorEastAsia"/>
              </w:rPr>
              <w:t>Due</w:t>
            </w:r>
            <w:r>
              <w:rPr>
                <w:rFonts w:eastAsiaTheme="minorEastAsia"/>
              </w:rPr>
              <w:t> </w:t>
            </w:r>
            <w:r w:rsidRPr="008D2249">
              <w:rPr>
                <w:rFonts w:eastAsiaTheme="minorEastAsia"/>
              </w:rPr>
              <w:t>2022</w:t>
            </w:r>
            <w:r>
              <w:rPr>
                <w:rFonts w:eastAsiaTheme="minorEastAsia"/>
              </w:rPr>
              <w:t>:</w:t>
            </w:r>
          </w:p>
          <w:p w14:paraId="7D74529C" w14:textId="77777777" w:rsidR="007A5247" w:rsidRPr="00EA308E" w:rsidRDefault="007A5247" w:rsidP="006D2F12">
            <w:pPr>
              <w:pStyle w:val="TableText"/>
              <w:spacing w:after="30"/>
              <w:rPr>
                <w:rFonts w:eastAsiaTheme="minorEastAsia"/>
                <w:bCs/>
              </w:rPr>
            </w:pPr>
            <w:r w:rsidRPr="00EA308E">
              <w:rPr>
                <w:bCs/>
              </w:rPr>
              <w:t xml:space="preserve">This report will </w:t>
            </w:r>
            <w:r w:rsidRPr="00EA308E">
              <w:rPr>
                <w:rFonts w:eastAsiaTheme="minorEastAsia"/>
                <w:bCs/>
              </w:rPr>
              <w:t>contain:</w:t>
            </w:r>
          </w:p>
          <w:p w14:paraId="729223C1" w14:textId="77777777" w:rsidR="007A5247" w:rsidRPr="00A54CA3" w:rsidRDefault="007A5247" w:rsidP="006D2F12">
            <w:pPr>
              <w:pStyle w:val="TableBullet"/>
              <w:spacing w:after="30"/>
            </w:pPr>
            <w:r>
              <w:t>an e</w:t>
            </w:r>
            <w:r w:rsidRPr="00A54CA3">
              <w:t>xecutive summary</w:t>
            </w:r>
          </w:p>
          <w:p w14:paraId="6B729155" w14:textId="77777777" w:rsidR="007A5247" w:rsidRDefault="007A5247" w:rsidP="006D2F12">
            <w:pPr>
              <w:pStyle w:val="TableBullet"/>
              <w:spacing w:after="30"/>
            </w:pPr>
            <w:r>
              <w:t xml:space="preserve">the </w:t>
            </w:r>
            <w:r w:rsidRPr="00A54CA3">
              <w:t>Ministry</w:t>
            </w:r>
            <w:r>
              <w:t>‘s s</w:t>
            </w:r>
            <w:r w:rsidRPr="00A54CA3">
              <w:t xml:space="preserve">ervices, </w:t>
            </w:r>
            <w:r>
              <w:t>g</w:t>
            </w:r>
            <w:r w:rsidRPr="00A54CA3">
              <w:t xml:space="preserve">oals and </w:t>
            </w:r>
            <w:r>
              <w:t>o</w:t>
            </w:r>
            <w:r w:rsidRPr="00A54CA3">
              <w:t>bjectives</w:t>
            </w:r>
          </w:p>
          <w:p w14:paraId="253E4B36" w14:textId="77777777" w:rsidR="007A5247" w:rsidRPr="00A54CA3" w:rsidRDefault="007A5247" w:rsidP="006D2F12">
            <w:pPr>
              <w:pStyle w:val="TableBullet"/>
              <w:spacing w:after="30"/>
            </w:pPr>
            <w:r>
              <w:t>a</w:t>
            </w:r>
            <w:r w:rsidRPr="00A54CA3">
              <w:t xml:space="preserve">sset </w:t>
            </w:r>
            <w:r>
              <w:t>i</w:t>
            </w:r>
            <w:r w:rsidRPr="00A54CA3">
              <w:t xml:space="preserve">nvestment </w:t>
            </w:r>
            <w:r>
              <w:t>o</w:t>
            </w:r>
            <w:r w:rsidRPr="00A54CA3">
              <w:t>bjectives</w:t>
            </w:r>
          </w:p>
          <w:p w14:paraId="61D82EA8" w14:textId="77777777" w:rsidR="007A5247" w:rsidRPr="00A54CA3" w:rsidRDefault="007A5247" w:rsidP="006D2F12">
            <w:pPr>
              <w:pStyle w:val="TableBullet"/>
              <w:spacing w:after="30"/>
            </w:pPr>
            <w:r>
              <w:t>p</w:t>
            </w:r>
            <w:r w:rsidRPr="00A54CA3">
              <w:t>lanning assumptions</w:t>
            </w:r>
          </w:p>
          <w:p w14:paraId="3D82CD48" w14:textId="77777777" w:rsidR="007A5247" w:rsidRPr="00A54CA3" w:rsidRDefault="007A5247" w:rsidP="006D2F12">
            <w:pPr>
              <w:pStyle w:val="TableBullet"/>
              <w:spacing w:after="30"/>
            </w:pPr>
            <w:r>
              <w:t>d</w:t>
            </w:r>
            <w:r w:rsidRPr="00A54CA3">
              <w:t>emand forecasts</w:t>
            </w:r>
          </w:p>
          <w:p w14:paraId="5E0A0C5C" w14:textId="77777777" w:rsidR="007A5247" w:rsidRPr="00A54CA3" w:rsidRDefault="007A5247" w:rsidP="006D2F12">
            <w:pPr>
              <w:pStyle w:val="TableBullet"/>
              <w:spacing w:after="30"/>
            </w:pPr>
            <w:r>
              <w:t>a</w:t>
            </w:r>
            <w:r w:rsidRPr="00A54CA3">
              <w:t xml:space="preserve">sset </w:t>
            </w:r>
            <w:r>
              <w:t>l</w:t>
            </w:r>
            <w:r w:rsidRPr="00A54CA3">
              <w:t>evels of service – quantity and quality including measures of performance</w:t>
            </w:r>
          </w:p>
          <w:p w14:paraId="42891105" w14:textId="77777777" w:rsidR="007A5247" w:rsidRPr="00A54CA3" w:rsidRDefault="007A5247" w:rsidP="006D2F12">
            <w:pPr>
              <w:pStyle w:val="TableBullet"/>
              <w:spacing w:after="30"/>
            </w:pPr>
            <w:r>
              <w:t>d</w:t>
            </w:r>
            <w:r w:rsidRPr="00A54CA3">
              <w:t xml:space="preserve">escription of </w:t>
            </w:r>
            <w:r>
              <w:t xml:space="preserve">the </w:t>
            </w:r>
            <w:r w:rsidRPr="00A54CA3">
              <w:t xml:space="preserve">asset portfolio and current </w:t>
            </w:r>
            <w:r>
              <w:t>s</w:t>
            </w:r>
            <w:r w:rsidRPr="00A54CA3">
              <w:t>tate assessment</w:t>
            </w:r>
          </w:p>
          <w:p w14:paraId="1F5EC05D" w14:textId="77777777" w:rsidR="007A5247" w:rsidRPr="00A54CA3" w:rsidRDefault="007A5247" w:rsidP="006D2F12">
            <w:pPr>
              <w:pStyle w:val="TableBullet"/>
              <w:spacing w:after="30"/>
            </w:pPr>
            <w:r>
              <w:t>guidance on r</w:t>
            </w:r>
            <w:r w:rsidRPr="00A54CA3">
              <w:t xml:space="preserve">isk </w:t>
            </w:r>
            <w:r>
              <w:t>m</w:t>
            </w:r>
            <w:r w:rsidRPr="00A54CA3">
              <w:t>anagement</w:t>
            </w:r>
          </w:p>
          <w:p w14:paraId="11067792" w14:textId="77777777" w:rsidR="007A5247" w:rsidRPr="00A54CA3" w:rsidRDefault="007A5247" w:rsidP="006D2F12">
            <w:pPr>
              <w:pStyle w:val="TableBullet"/>
              <w:spacing w:after="30"/>
            </w:pPr>
            <w:r>
              <w:t>l</w:t>
            </w:r>
            <w:r w:rsidRPr="00A54CA3">
              <w:t>ifecycle management plans for buildings, infrastructure, critical clinical equipment and ICT</w:t>
            </w:r>
          </w:p>
          <w:p w14:paraId="4025CFF7" w14:textId="77777777" w:rsidR="007A5247" w:rsidRPr="00A54CA3" w:rsidRDefault="007A5247" w:rsidP="006D2F12">
            <w:pPr>
              <w:pStyle w:val="TableBullet"/>
              <w:spacing w:after="30"/>
            </w:pPr>
            <w:r>
              <w:t>i</w:t>
            </w:r>
            <w:r w:rsidRPr="00A54CA3">
              <w:t>nvestment scenarios – options and recommendations</w:t>
            </w:r>
          </w:p>
          <w:p w14:paraId="05A80BDA" w14:textId="77777777" w:rsidR="007A5247" w:rsidRDefault="007A5247" w:rsidP="006D2F12">
            <w:pPr>
              <w:pStyle w:val="TableBullet"/>
              <w:spacing w:after="30"/>
            </w:pPr>
            <w:r>
              <w:t>a f</w:t>
            </w:r>
            <w:r w:rsidRPr="00A54CA3">
              <w:t xml:space="preserve">inancial </w:t>
            </w:r>
            <w:r>
              <w:t>s</w:t>
            </w:r>
            <w:r w:rsidRPr="00A54CA3">
              <w:t xml:space="preserve">ummary – high-level long-term </w:t>
            </w:r>
            <w:r>
              <w:t>expenditure and funding requirements</w:t>
            </w:r>
          </w:p>
          <w:p w14:paraId="1ADB6ADC" w14:textId="77777777" w:rsidR="007A5247" w:rsidRDefault="007A5247" w:rsidP="007A5247">
            <w:pPr>
              <w:pStyle w:val="TableBullet"/>
            </w:pPr>
            <w:r>
              <w:t>asset improvement items</w:t>
            </w:r>
          </w:p>
        </w:tc>
      </w:tr>
      <w:tr w:rsidR="00FC2F86" w:rsidRPr="00D25970" w14:paraId="46DF93B9" w14:textId="77777777" w:rsidTr="00C3777C">
        <w:tc>
          <w:tcPr>
            <w:tcW w:w="8080" w:type="dxa"/>
            <w:gridSpan w:val="4"/>
            <w:tcBorders>
              <w:right w:val="single" w:sz="4" w:space="0" w:color="FFFFFF" w:themeColor="background1"/>
            </w:tcBorders>
            <w:shd w:val="clear" w:color="auto" w:fill="D9D9D9" w:themeFill="background1" w:themeFillShade="D9"/>
          </w:tcPr>
          <w:p w14:paraId="6FF5E1AD" w14:textId="77777777" w:rsidR="00FC2F86" w:rsidRPr="00D25970" w:rsidRDefault="00673D28" w:rsidP="00D25970">
            <w:pPr>
              <w:pStyle w:val="TableText"/>
              <w:jc w:val="center"/>
              <w:rPr>
                <w:b/>
              </w:rPr>
            </w:pPr>
            <w:r w:rsidRPr="00D25970">
              <w:rPr>
                <w:b/>
              </w:rPr>
              <w:t>DHBs</w:t>
            </w:r>
          </w:p>
        </w:tc>
      </w:tr>
      <w:tr w:rsidR="009F54F0" w:rsidRPr="00673D28" w14:paraId="518DC352" w14:textId="77777777" w:rsidTr="00C3777C">
        <w:tc>
          <w:tcPr>
            <w:tcW w:w="3828" w:type="dxa"/>
            <w:gridSpan w:val="3"/>
            <w:tcBorders>
              <w:right w:val="single" w:sz="4" w:space="0" w:color="FFFFFF" w:themeColor="background1"/>
            </w:tcBorders>
            <w:shd w:val="clear" w:color="auto" w:fill="F2F2F2" w:themeFill="background1" w:themeFillShade="F2"/>
          </w:tcPr>
          <w:p w14:paraId="0A32ED03" w14:textId="77777777" w:rsidR="00FC2F86" w:rsidRPr="00673D28" w:rsidRDefault="00FC2F86" w:rsidP="00A74378">
            <w:pPr>
              <w:pStyle w:val="TableText"/>
              <w:rPr>
                <w:b/>
              </w:rPr>
            </w:pPr>
            <w:r w:rsidRPr="00673D28">
              <w:rPr>
                <w:b/>
              </w:rPr>
              <w:t>Document</w:t>
            </w:r>
          </w:p>
        </w:tc>
        <w:tc>
          <w:tcPr>
            <w:tcW w:w="4252" w:type="dxa"/>
            <w:tcBorders>
              <w:left w:val="single" w:sz="4" w:space="0" w:color="FFFFFF" w:themeColor="background1"/>
            </w:tcBorders>
            <w:shd w:val="clear" w:color="auto" w:fill="F2F2F2" w:themeFill="background1" w:themeFillShade="F2"/>
          </w:tcPr>
          <w:p w14:paraId="5EBB4688" w14:textId="77777777" w:rsidR="00FC2F86" w:rsidRPr="00673D28" w:rsidRDefault="00FC2F86" w:rsidP="00A74378">
            <w:pPr>
              <w:pStyle w:val="TableText"/>
              <w:rPr>
                <w:b/>
              </w:rPr>
            </w:pPr>
            <w:r w:rsidRPr="00673D28">
              <w:rPr>
                <w:b/>
              </w:rPr>
              <w:t>Description/related documents</w:t>
            </w:r>
          </w:p>
        </w:tc>
      </w:tr>
      <w:tr w:rsidR="00673D28" w14:paraId="019891D1" w14:textId="77777777" w:rsidTr="00C3777C">
        <w:tc>
          <w:tcPr>
            <w:tcW w:w="3828" w:type="dxa"/>
            <w:gridSpan w:val="3"/>
            <w:tcBorders>
              <w:bottom w:val="single" w:sz="4" w:space="0" w:color="A6A6A6" w:themeColor="background1" w:themeShade="A6"/>
              <w:right w:val="single" w:sz="4" w:space="0" w:color="FFFFFF" w:themeColor="background1"/>
            </w:tcBorders>
            <w:shd w:val="clear" w:color="auto" w:fill="auto"/>
          </w:tcPr>
          <w:p w14:paraId="468AFA8E" w14:textId="77777777" w:rsidR="00673D28" w:rsidRPr="00EE25CD" w:rsidRDefault="00673D28" w:rsidP="00A74378">
            <w:pPr>
              <w:pStyle w:val="TableText"/>
              <w:rPr>
                <w:b/>
              </w:rPr>
            </w:pPr>
            <w:r w:rsidRPr="00EE25CD">
              <w:rPr>
                <w:b/>
              </w:rPr>
              <w:t>Organisational Strategic Plans</w:t>
            </w:r>
          </w:p>
          <w:p w14:paraId="5CBAE44A" w14:textId="77777777" w:rsidR="00673D28" w:rsidRPr="004C366A" w:rsidRDefault="00673D28" w:rsidP="00EE25CD">
            <w:pPr>
              <w:pStyle w:val="TableBullet"/>
            </w:pPr>
            <w:r>
              <w:t>DHB A</w:t>
            </w:r>
            <w:r w:rsidRPr="004C366A">
              <w:t xml:space="preserve">nnual </w:t>
            </w:r>
            <w:r>
              <w:t>P</w:t>
            </w:r>
            <w:r w:rsidRPr="004C366A">
              <w:t xml:space="preserve">lans </w:t>
            </w:r>
            <w:r>
              <w:t>a</w:t>
            </w:r>
            <w:r w:rsidRPr="004C366A">
              <w:t xml:space="preserve">nd </w:t>
            </w:r>
            <w:r>
              <w:t>R</w:t>
            </w:r>
            <w:r w:rsidRPr="004C366A">
              <w:t>eports</w:t>
            </w:r>
          </w:p>
          <w:p w14:paraId="08D4C866" w14:textId="77777777" w:rsidR="00673D28" w:rsidRPr="004C366A" w:rsidRDefault="00673D28" w:rsidP="00EE25CD">
            <w:pPr>
              <w:pStyle w:val="TableBullet"/>
            </w:pPr>
            <w:r>
              <w:t>DHB S</w:t>
            </w:r>
            <w:r w:rsidRPr="004C366A">
              <w:t xml:space="preserve">tatements </w:t>
            </w:r>
            <w:r>
              <w:t>o</w:t>
            </w:r>
            <w:r w:rsidRPr="004C366A">
              <w:t xml:space="preserve">f </w:t>
            </w:r>
            <w:r>
              <w:t>I</w:t>
            </w:r>
            <w:r w:rsidRPr="004C366A">
              <w:t>ntent</w:t>
            </w:r>
          </w:p>
          <w:p w14:paraId="6618988A" w14:textId="77777777" w:rsidR="00673D28" w:rsidRPr="004C366A" w:rsidRDefault="00673D28" w:rsidP="00EE25CD">
            <w:pPr>
              <w:pStyle w:val="TableBullet"/>
            </w:pPr>
            <w:r>
              <w:t>DHB H</w:t>
            </w:r>
            <w:r w:rsidRPr="004C366A">
              <w:t xml:space="preserve">ealth </w:t>
            </w:r>
            <w:r>
              <w:t>S</w:t>
            </w:r>
            <w:r w:rsidRPr="004C366A">
              <w:t>trategies</w:t>
            </w:r>
          </w:p>
          <w:p w14:paraId="58A0DBC5" w14:textId="77777777" w:rsidR="00673D28" w:rsidRPr="00AB6715" w:rsidRDefault="00673D28" w:rsidP="00EE25CD">
            <w:pPr>
              <w:pStyle w:val="TableBullet"/>
              <w:rPr>
                <w:b/>
              </w:rPr>
            </w:pPr>
            <w:r>
              <w:t>DHB Long-Term Plans</w:t>
            </w:r>
          </w:p>
        </w:tc>
        <w:tc>
          <w:tcPr>
            <w:tcW w:w="4252" w:type="dxa"/>
            <w:tcBorders>
              <w:left w:val="single" w:sz="4" w:space="0" w:color="FFFFFF" w:themeColor="background1"/>
              <w:bottom w:val="single" w:sz="4" w:space="0" w:color="A6A6A6" w:themeColor="background1" w:themeShade="A6"/>
            </w:tcBorders>
            <w:shd w:val="clear" w:color="auto" w:fill="auto"/>
          </w:tcPr>
          <w:p w14:paraId="2E1BF527" w14:textId="77777777" w:rsidR="00673D28" w:rsidRDefault="00673D28" w:rsidP="00A74378">
            <w:pPr>
              <w:pStyle w:val="TableText"/>
            </w:pPr>
            <w:r>
              <w:t xml:space="preserve">Should </w:t>
            </w:r>
            <w:r w:rsidRPr="009F4EF4">
              <w:t xml:space="preserve">align </w:t>
            </w:r>
            <w:r>
              <w:t xml:space="preserve">with Ministry </w:t>
            </w:r>
            <w:r w:rsidRPr="009F4EF4">
              <w:t xml:space="preserve">guidelines and feed into the </w:t>
            </w:r>
            <w:r>
              <w:t xml:space="preserve">asset management </w:t>
            </w:r>
            <w:r w:rsidRPr="009F4EF4">
              <w:t>framework</w:t>
            </w:r>
          </w:p>
        </w:tc>
      </w:tr>
      <w:tr w:rsidR="00673D28" w14:paraId="78A75D13" w14:textId="77777777" w:rsidTr="00C3777C">
        <w:tc>
          <w:tcPr>
            <w:tcW w:w="3828" w:type="dxa"/>
            <w:gridSpan w:val="3"/>
            <w:tcBorders>
              <w:top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551EBEB0" w14:textId="77777777" w:rsidR="00673D28" w:rsidRPr="00EE25CD" w:rsidRDefault="00673D28" w:rsidP="00A74378">
            <w:pPr>
              <w:pStyle w:val="TableText"/>
              <w:rPr>
                <w:b/>
              </w:rPr>
            </w:pPr>
            <w:r w:rsidRPr="00EE25CD">
              <w:rPr>
                <w:b/>
              </w:rPr>
              <w:t>Asset Management Policy</w:t>
            </w:r>
          </w:p>
        </w:tc>
        <w:tc>
          <w:tcPr>
            <w:tcW w:w="4252" w:type="dxa"/>
            <w:tcBorders>
              <w:top w:val="single" w:sz="4" w:space="0" w:color="A6A6A6" w:themeColor="background1" w:themeShade="A6"/>
              <w:left w:val="single" w:sz="4" w:space="0" w:color="FFFFFF" w:themeColor="background1"/>
              <w:bottom w:val="single" w:sz="4" w:space="0" w:color="A6A6A6" w:themeColor="background1" w:themeShade="A6"/>
            </w:tcBorders>
            <w:shd w:val="clear" w:color="auto" w:fill="auto"/>
          </w:tcPr>
          <w:p w14:paraId="178655E2" w14:textId="77777777" w:rsidR="00673D28" w:rsidRDefault="00673D28" w:rsidP="00A74378">
            <w:pPr>
              <w:pStyle w:val="TableText"/>
            </w:pPr>
            <w:r w:rsidRPr="00A54CA3">
              <w:t xml:space="preserve">Policy document that outlines principles, roles and responsibilities for </w:t>
            </w:r>
            <w:r>
              <w:t xml:space="preserve">asset management </w:t>
            </w:r>
            <w:r w:rsidRPr="00A54CA3">
              <w:t>planning</w:t>
            </w:r>
          </w:p>
          <w:p w14:paraId="17998C48" w14:textId="77777777" w:rsidR="00673D28" w:rsidRDefault="00673D28" w:rsidP="00EE25CD">
            <w:pPr>
              <w:pStyle w:val="TableText"/>
            </w:pPr>
            <w:r>
              <w:t>Should align with Ministry guidance and support asset management plan creation</w:t>
            </w:r>
          </w:p>
        </w:tc>
      </w:tr>
      <w:tr w:rsidR="00673D28" w14:paraId="5C2B5D14" w14:textId="77777777" w:rsidTr="00C3777C">
        <w:tc>
          <w:tcPr>
            <w:tcW w:w="3828" w:type="dxa"/>
            <w:gridSpan w:val="3"/>
            <w:tcBorders>
              <w:top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47AAA793" w14:textId="77777777" w:rsidR="00673D28" w:rsidRPr="00EE25CD" w:rsidRDefault="00673D28" w:rsidP="00EE25CD">
            <w:pPr>
              <w:pStyle w:val="TableText"/>
              <w:rPr>
                <w:b/>
              </w:rPr>
            </w:pPr>
            <w:r w:rsidRPr="00EE25CD">
              <w:rPr>
                <w:b/>
              </w:rPr>
              <w:t>Asset Management Strategy</w:t>
            </w:r>
          </w:p>
        </w:tc>
        <w:tc>
          <w:tcPr>
            <w:tcW w:w="4252" w:type="dxa"/>
            <w:tcBorders>
              <w:top w:val="single" w:sz="4" w:space="0" w:color="A6A6A6" w:themeColor="background1" w:themeShade="A6"/>
              <w:left w:val="single" w:sz="4" w:space="0" w:color="FFFFFF" w:themeColor="background1"/>
              <w:bottom w:val="single" w:sz="4" w:space="0" w:color="A6A6A6" w:themeColor="background1" w:themeShade="A6"/>
            </w:tcBorders>
            <w:shd w:val="clear" w:color="auto" w:fill="auto"/>
          </w:tcPr>
          <w:p w14:paraId="78EB8E09" w14:textId="77777777" w:rsidR="00673D28" w:rsidRPr="00AB6715" w:rsidRDefault="00673D28" w:rsidP="00A74378">
            <w:pPr>
              <w:pStyle w:val="TableText"/>
            </w:pPr>
            <w:r w:rsidRPr="00AB6715">
              <w:t xml:space="preserve">Documents the approach to </w:t>
            </w:r>
            <w:r>
              <w:t xml:space="preserve">asset management </w:t>
            </w:r>
            <w:r w:rsidRPr="00AB6715">
              <w:t>planning and processes an</w:t>
            </w:r>
            <w:r w:rsidR="00EE25CD">
              <w:t>d specifies improvement actions</w:t>
            </w:r>
          </w:p>
          <w:p w14:paraId="7FB4F517" w14:textId="77777777" w:rsidR="00673D28" w:rsidRDefault="00673D28" w:rsidP="00EE25CD">
            <w:pPr>
              <w:pStyle w:val="TableText"/>
            </w:pPr>
            <w:r>
              <w:t>Should align with Ministry guidance and support asset management plan creation</w:t>
            </w:r>
          </w:p>
        </w:tc>
      </w:tr>
      <w:tr w:rsidR="00673D28" w14:paraId="1903A275" w14:textId="77777777" w:rsidTr="00C3777C">
        <w:tc>
          <w:tcPr>
            <w:tcW w:w="3828" w:type="dxa"/>
            <w:gridSpan w:val="3"/>
            <w:tcBorders>
              <w:top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069EAD7F" w14:textId="77777777" w:rsidR="00673D28" w:rsidRPr="00EE25CD" w:rsidRDefault="00673D28" w:rsidP="00A74378">
            <w:pPr>
              <w:pStyle w:val="TableText"/>
              <w:rPr>
                <w:b/>
              </w:rPr>
            </w:pPr>
            <w:r w:rsidRPr="00EE25CD">
              <w:rPr>
                <w:rFonts w:eastAsiaTheme="minorEastAsia"/>
                <w:b/>
              </w:rPr>
              <w:t>Asset Management Plan</w:t>
            </w:r>
          </w:p>
        </w:tc>
        <w:tc>
          <w:tcPr>
            <w:tcW w:w="4252" w:type="dxa"/>
            <w:tcBorders>
              <w:top w:val="single" w:sz="4" w:space="0" w:color="A6A6A6" w:themeColor="background1" w:themeShade="A6"/>
              <w:left w:val="single" w:sz="4" w:space="0" w:color="FFFFFF" w:themeColor="background1"/>
              <w:bottom w:val="single" w:sz="4" w:space="0" w:color="A6A6A6" w:themeColor="background1" w:themeShade="A6"/>
            </w:tcBorders>
            <w:shd w:val="clear" w:color="auto" w:fill="auto"/>
          </w:tcPr>
          <w:p w14:paraId="1072A3D3" w14:textId="77777777" w:rsidR="00673D28" w:rsidRDefault="00673D28" w:rsidP="00A74378">
            <w:pPr>
              <w:pStyle w:val="TableText"/>
            </w:pPr>
            <w:r w:rsidRPr="00A54CA3">
              <w:t>Long</w:t>
            </w:r>
            <w:r>
              <w:t>-</w:t>
            </w:r>
            <w:r w:rsidRPr="00A54CA3">
              <w:t xml:space="preserve">term </w:t>
            </w:r>
            <w:r>
              <w:t xml:space="preserve">asset management </w:t>
            </w:r>
            <w:r w:rsidRPr="00A54CA3">
              <w:t>plan</w:t>
            </w:r>
            <w:r>
              <w:t xml:space="preserve"> by the DHB setting out </w:t>
            </w:r>
            <w:r w:rsidRPr="00A54CA3">
              <w:t>investment priorities</w:t>
            </w:r>
          </w:p>
        </w:tc>
      </w:tr>
      <w:tr w:rsidR="00673D28" w14:paraId="6CA2DA8D" w14:textId="77777777" w:rsidTr="00C3777C">
        <w:tc>
          <w:tcPr>
            <w:tcW w:w="3828" w:type="dxa"/>
            <w:gridSpan w:val="3"/>
            <w:tcBorders>
              <w:top w:val="single" w:sz="4" w:space="0" w:color="A6A6A6" w:themeColor="background1" w:themeShade="A6"/>
              <w:bottom w:val="single" w:sz="4" w:space="0" w:color="A6A6A6" w:themeColor="background1" w:themeShade="A6"/>
              <w:right w:val="single" w:sz="4" w:space="0" w:color="FFFFFF" w:themeColor="background1"/>
            </w:tcBorders>
            <w:shd w:val="clear" w:color="auto" w:fill="auto"/>
          </w:tcPr>
          <w:p w14:paraId="3B7C1CF3" w14:textId="77777777" w:rsidR="00673D28" w:rsidRPr="00EE25CD" w:rsidRDefault="00673D28" w:rsidP="00A74378">
            <w:pPr>
              <w:pStyle w:val="TableText"/>
              <w:rPr>
                <w:rFonts w:eastAsiaTheme="minorEastAsia"/>
                <w:b/>
              </w:rPr>
            </w:pPr>
            <w:r w:rsidRPr="00EE25CD">
              <w:rPr>
                <w:rFonts w:eastAsiaTheme="minorEastAsia"/>
                <w:b/>
              </w:rPr>
              <w:t>Operational Plans and Work Programmes</w:t>
            </w:r>
          </w:p>
        </w:tc>
        <w:tc>
          <w:tcPr>
            <w:tcW w:w="4252" w:type="dxa"/>
            <w:tcBorders>
              <w:top w:val="single" w:sz="4" w:space="0" w:color="A6A6A6" w:themeColor="background1" w:themeShade="A6"/>
              <w:left w:val="single" w:sz="4" w:space="0" w:color="FFFFFF" w:themeColor="background1"/>
              <w:bottom w:val="single" w:sz="4" w:space="0" w:color="A6A6A6" w:themeColor="background1" w:themeShade="A6"/>
            </w:tcBorders>
            <w:shd w:val="clear" w:color="auto" w:fill="auto"/>
          </w:tcPr>
          <w:p w14:paraId="236F63D5" w14:textId="77777777" w:rsidR="00673D28" w:rsidRDefault="00673D28" w:rsidP="006D2F12">
            <w:pPr>
              <w:pStyle w:val="TableText"/>
              <w:spacing w:after="30"/>
              <w:rPr>
                <w:rFonts w:eastAsiaTheme="minorEastAsia"/>
              </w:rPr>
            </w:pPr>
            <w:r w:rsidRPr="00AB6715">
              <w:rPr>
                <w:rFonts w:eastAsiaTheme="minorEastAsia"/>
              </w:rPr>
              <w:t>DHB</w:t>
            </w:r>
            <w:r>
              <w:rPr>
                <w:rFonts w:eastAsiaTheme="minorEastAsia"/>
              </w:rPr>
              <w:t>s</w:t>
            </w:r>
            <w:r w:rsidRPr="00AB6715">
              <w:rPr>
                <w:rFonts w:eastAsiaTheme="minorEastAsia"/>
              </w:rPr>
              <w:t xml:space="preserve"> operational plans</w:t>
            </w:r>
            <w:r>
              <w:rPr>
                <w:rFonts w:eastAsiaTheme="minorEastAsia"/>
              </w:rPr>
              <w:t xml:space="preserve"> such as:</w:t>
            </w:r>
          </w:p>
          <w:p w14:paraId="035595C9" w14:textId="77777777" w:rsidR="00673D28" w:rsidRPr="004C366A" w:rsidRDefault="00673D28" w:rsidP="006D2F12">
            <w:pPr>
              <w:pStyle w:val="TableBullet"/>
              <w:spacing w:after="30"/>
            </w:pPr>
            <w:r>
              <w:t>maintenance plans</w:t>
            </w:r>
          </w:p>
          <w:p w14:paraId="055FE45D" w14:textId="77777777" w:rsidR="00673D28" w:rsidRPr="00AB6715" w:rsidRDefault="00673D28" w:rsidP="006D2F12">
            <w:pPr>
              <w:pStyle w:val="TableBullet"/>
              <w:spacing w:after="30"/>
            </w:pPr>
            <w:r>
              <w:t>r</w:t>
            </w:r>
            <w:r w:rsidRPr="00AB6715">
              <w:t xml:space="preserve">enewal </w:t>
            </w:r>
            <w:r>
              <w:t>p</w:t>
            </w:r>
            <w:r w:rsidRPr="00AB6715">
              <w:t>lans</w:t>
            </w:r>
          </w:p>
          <w:p w14:paraId="4AC87AEF" w14:textId="77777777" w:rsidR="00673D28" w:rsidRPr="00AB6715" w:rsidRDefault="00673D28" w:rsidP="006D2F12">
            <w:pPr>
              <w:pStyle w:val="TableBullet"/>
              <w:spacing w:after="30"/>
            </w:pPr>
            <w:r>
              <w:t>a</w:t>
            </w:r>
            <w:r w:rsidRPr="00AB6715">
              <w:t>sset register data/information</w:t>
            </w:r>
          </w:p>
          <w:p w14:paraId="0820F0AE" w14:textId="77777777" w:rsidR="00673D28" w:rsidRPr="00AB6715" w:rsidRDefault="00673D28" w:rsidP="006D2F12">
            <w:pPr>
              <w:pStyle w:val="TableBullet"/>
              <w:spacing w:after="30"/>
            </w:pPr>
            <w:r>
              <w:t>b</w:t>
            </w:r>
            <w:r w:rsidRPr="00AB6715">
              <w:t>usiness cases</w:t>
            </w:r>
          </w:p>
          <w:p w14:paraId="72BDEC1E" w14:textId="77777777" w:rsidR="00673D28" w:rsidRPr="00AB6715" w:rsidRDefault="00673D28" w:rsidP="006D2F12">
            <w:pPr>
              <w:pStyle w:val="TableBullet"/>
              <w:spacing w:after="30"/>
            </w:pPr>
            <w:r>
              <w:t>s</w:t>
            </w:r>
            <w:r w:rsidRPr="00AB6715">
              <w:t>ite masterplans</w:t>
            </w:r>
          </w:p>
          <w:p w14:paraId="7B1841D7" w14:textId="77777777" w:rsidR="00673D28" w:rsidRPr="00AB6715" w:rsidRDefault="00673D28" w:rsidP="00CB0336">
            <w:pPr>
              <w:pStyle w:val="TableBullet"/>
            </w:pPr>
            <w:r>
              <w:t>d</w:t>
            </w:r>
            <w:r w:rsidRPr="00AB6715">
              <w:t>esign guidelines</w:t>
            </w:r>
          </w:p>
        </w:tc>
      </w:tr>
    </w:tbl>
    <w:p w14:paraId="3EA74065" w14:textId="77777777" w:rsidR="00970514" w:rsidRDefault="00FC2F86" w:rsidP="00A74378">
      <w:pPr>
        <w:pStyle w:val="Heading1"/>
      </w:pPr>
      <w:bookmarkStart w:id="22" w:name="_bookmark21"/>
      <w:bookmarkStart w:id="23" w:name="_Toc53133006"/>
      <w:bookmarkStart w:id="24" w:name="_Toc54353264"/>
      <w:bookmarkEnd w:id="22"/>
      <w:r>
        <w:lastRenderedPageBreak/>
        <w:t>Development of the framework</w:t>
      </w:r>
      <w:bookmarkEnd w:id="23"/>
      <w:bookmarkEnd w:id="24"/>
    </w:p>
    <w:p w14:paraId="315E2F32" w14:textId="15863787" w:rsidR="00FC2F86" w:rsidRDefault="00FC2F86" w:rsidP="00A74378">
      <w:r>
        <w:t xml:space="preserve">The Ministry </w:t>
      </w:r>
      <w:r w:rsidR="00A21CF9">
        <w:t>has developed</w:t>
      </w:r>
      <w:r>
        <w:t xml:space="preserve"> this District Health Board Sector Asset Management Framework </w:t>
      </w:r>
      <w:r w:rsidRPr="00483D56">
        <w:rPr>
          <w:bCs/>
        </w:rPr>
        <w:t>in collaboration with DHBs through</w:t>
      </w:r>
      <w:r>
        <w:t xml:space="preserve"> the Health Asset Management Improvement (HAMI) forum and regional groups such as the Northern Regional Alliance.</w:t>
      </w:r>
    </w:p>
    <w:p w14:paraId="0545561A" w14:textId="77777777" w:rsidR="00FC2F86" w:rsidRDefault="00FC2F86" w:rsidP="00A74378"/>
    <w:p w14:paraId="5004DB1E" w14:textId="77777777" w:rsidR="00970514" w:rsidRDefault="00FC2F86" w:rsidP="00A74378">
      <w:r>
        <w:t xml:space="preserve">In February 2020, the HAMI group held a workshop at which it presented the asset management framework and reviewed goals and objectives. District health board representatives at this workshop expressed a desire for </w:t>
      </w:r>
      <w:r w:rsidRPr="0040484F">
        <w:rPr>
          <w:w w:val="105"/>
        </w:rPr>
        <w:t xml:space="preserve">Ministry of Health </w:t>
      </w:r>
      <w:r>
        <w:t>guidance on producing asset management plans and suggested that national and DHB asset management plans should be closely aligned.</w:t>
      </w:r>
    </w:p>
    <w:p w14:paraId="6556E629" w14:textId="77777777" w:rsidR="00FC2F86" w:rsidRDefault="00FC2F86" w:rsidP="00A74378"/>
    <w:p w14:paraId="51C8B20C" w14:textId="4E65EB31" w:rsidR="00970514" w:rsidRDefault="00FC2F86" w:rsidP="00A74378">
      <w:r>
        <w:t xml:space="preserve">The </w:t>
      </w:r>
      <w:r w:rsidRPr="0040484F">
        <w:rPr>
          <w:w w:val="105"/>
        </w:rPr>
        <w:t>Ministry of Health</w:t>
      </w:r>
      <w:r>
        <w:rPr>
          <w:w w:val="105"/>
        </w:rPr>
        <w:t xml:space="preserve">’s </w:t>
      </w:r>
      <w:r>
        <w:t xml:space="preserve">District Health Board Sector Asset Management Framework has also been co-developed alongside the Northern Region asset management policy and strategy. This work will </w:t>
      </w:r>
      <w:r w:rsidR="00A21CF9">
        <w:t xml:space="preserve">support the </w:t>
      </w:r>
      <w:r>
        <w:t>develop</w:t>
      </w:r>
      <w:r w:rsidR="00A21CF9">
        <w:t>ment of</w:t>
      </w:r>
      <w:r>
        <w:t xml:space="preserve"> asset management policy and strategy templates for DHBs to adapt to their own needs.</w:t>
      </w:r>
    </w:p>
    <w:p w14:paraId="1B635991" w14:textId="77777777" w:rsidR="00FC2F86" w:rsidRDefault="00FC2F86" w:rsidP="00A74378"/>
    <w:p w14:paraId="4D6FD608" w14:textId="77777777" w:rsidR="00FC2F86" w:rsidRDefault="00FC2F86" w:rsidP="00A74378">
      <w:r>
        <w:t>DHBs were consulted by email on the draft asset management framework documents.</w:t>
      </w:r>
    </w:p>
    <w:p w14:paraId="5672E040" w14:textId="77777777" w:rsidR="00A74378" w:rsidRDefault="00A74378" w:rsidP="00A74378"/>
    <w:p w14:paraId="1011CDF2" w14:textId="77777777" w:rsidR="00FC2F86" w:rsidRPr="00CF60ED" w:rsidRDefault="00FC2F86" w:rsidP="00A74378">
      <w:pPr>
        <w:pStyle w:val="Heading1"/>
      </w:pPr>
      <w:bookmarkStart w:id="25" w:name="_bookmark70"/>
      <w:bookmarkStart w:id="26" w:name="_Toc53133007"/>
      <w:bookmarkStart w:id="27" w:name="_Toc54353265"/>
      <w:bookmarkEnd w:id="25"/>
      <w:r>
        <w:lastRenderedPageBreak/>
        <w:t>External source documents</w:t>
      </w:r>
      <w:bookmarkEnd w:id="26"/>
      <w:bookmarkEnd w:id="27"/>
    </w:p>
    <w:p w14:paraId="16167676" w14:textId="77777777" w:rsidR="00FC2F86" w:rsidRDefault="00FC2F86" w:rsidP="00A74378">
      <w:r>
        <w:t>The key national requirements for effective asset management across New Zealand are specified in the Cabinet Office Circular CO (19) 6, which states:</w:t>
      </w:r>
    </w:p>
    <w:p w14:paraId="76CB5386" w14:textId="77777777" w:rsidR="00FC2F86" w:rsidRPr="00D55E05" w:rsidRDefault="00FC2F86" w:rsidP="00A74378">
      <w:pPr>
        <w:pStyle w:val="Quote"/>
      </w:pPr>
      <w:r w:rsidRPr="00D55E05">
        <w:t>‘The primary objective of the investment management system is to optimise value from new and existing investments and assets for current and future generations of New Zealanders.’</w:t>
      </w:r>
    </w:p>
    <w:p w14:paraId="71502088" w14:textId="77777777" w:rsidR="00FC2F86" w:rsidRDefault="00FC2F86" w:rsidP="00A74378"/>
    <w:p w14:paraId="29FCEE21" w14:textId="77777777" w:rsidR="00FC2F86" w:rsidRDefault="00FC2F86" w:rsidP="00A74378">
      <w:r>
        <w:t xml:space="preserve">See: </w:t>
      </w:r>
      <w:hyperlink r:id="rId30" w:history="1">
        <w:r w:rsidRPr="00661782">
          <w:rPr>
            <w:rStyle w:val="Hyperlink"/>
          </w:rPr>
          <w:t>https://dpmc.govt.nz/publications/co-19-6-investment-management-and-asset-performance-state-services</w:t>
        </w:r>
      </w:hyperlink>
    </w:p>
    <w:p w14:paraId="6748310B" w14:textId="77777777" w:rsidR="00FC2F86" w:rsidRDefault="00FC2F86" w:rsidP="00A74378"/>
    <w:p w14:paraId="578E50A8" w14:textId="77777777" w:rsidR="00970514" w:rsidRDefault="00FC2F86" w:rsidP="00A74378">
      <w:r>
        <w:t xml:space="preserve">The International Infrastructure Management Manual (IIMM 2015) is a widely recognised guide for asset </w:t>
      </w:r>
      <w:r w:rsidR="008E3F73">
        <w:t>management and</w:t>
      </w:r>
      <w:r>
        <w:t xml:space="preserve"> aligns to global standard for asset management ISO 55:001. The IIMM and ISO 55:000 recommend that organisations develop an overarching asset management framework (system) to demonstrate the links between strategic objectives, asset management objectives and organisational processes.</w:t>
      </w:r>
    </w:p>
    <w:p w14:paraId="09B918D2" w14:textId="77777777" w:rsidR="00FC2F86" w:rsidRDefault="00FC2F86" w:rsidP="00A74378"/>
    <w:p w14:paraId="1CF9F753" w14:textId="77777777" w:rsidR="00FC2F86" w:rsidRDefault="00FC2F86" w:rsidP="00A74378">
      <w:r>
        <w:t>These documents are subject to commercial copyright and are available to purchase.</w:t>
      </w:r>
    </w:p>
    <w:p w14:paraId="3C91E61F" w14:textId="77777777" w:rsidR="00FC2F86" w:rsidRDefault="00FC2F86" w:rsidP="00A74378"/>
    <w:sectPr w:rsidR="00FC2F86" w:rsidSect="002B7BEC">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502B" w14:textId="77777777" w:rsidR="000054CD" w:rsidRDefault="000054CD">
      <w:r>
        <w:separator/>
      </w:r>
    </w:p>
    <w:p w14:paraId="5E892789" w14:textId="77777777" w:rsidR="000054CD" w:rsidRDefault="000054CD"/>
  </w:endnote>
  <w:endnote w:type="continuationSeparator" w:id="0">
    <w:p w14:paraId="7EA0D44A" w14:textId="77777777" w:rsidR="000054CD" w:rsidRDefault="000054CD">
      <w:r>
        <w:continuationSeparator/>
      </w:r>
    </w:p>
    <w:p w14:paraId="7AFD1862" w14:textId="77777777" w:rsidR="000054CD" w:rsidRDefault="00005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E21D"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20</w:t>
    </w:r>
    <w:r w:rsidRPr="00581136">
      <w:rPr>
        <w:b/>
      </w:rPr>
      <w:tab/>
      <w:t>health.govt.nz</w:t>
    </w:r>
  </w:p>
  <w:p w14:paraId="43D05990"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3102"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5A05"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34F68854" w14:textId="77777777" w:rsidTr="00D662F8">
      <w:trPr>
        <w:cantSplit/>
      </w:trPr>
      <w:tc>
        <w:tcPr>
          <w:tcW w:w="709" w:type="dxa"/>
          <w:vAlign w:val="center"/>
        </w:tcPr>
        <w:p w14:paraId="51DEEF4B"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708EE510" w14:textId="77777777" w:rsidR="00105770" w:rsidRDefault="00245748" w:rsidP="00117F59">
          <w:pPr>
            <w:pStyle w:val="RectoFooter"/>
            <w:jc w:val="left"/>
          </w:pPr>
          <w:r>
            <w:t>[title]: [subhead]</w:t>
          </w:r>
        </w:p>
      </w:tc>
    </w:tr>
  </w:tbl>
  <w:p w14:paraId="70D8DF8C"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1A272533" w14:textId="77777777" w:rsidTr="006E2886">
      <w:trPr>
        <w:cantSplit/>
      </w:trPr>
      <w:tc>
        <w:tcPr>
          <w:tcW w:w="8080" w:type="dxa"/>
          <w:vAlign w:val="center"/>
        </w:tcPr>
        <w:p w14:paraId="151E50FB" w14:textId="77777777" w:rsidR="00105770" w:rsidRDefault="002C2DC0" w:rsidP="008F038D">
          <w:pPr>
            <w:pStyle w:val="RectoFooter"/>
          </w:pPr>
          <w:r>
            <w:t xml:space="preserve">district health board </w:t>
          </w:r>
          <w:r w:rsidR="008F038D">
            <w:t xml:space="preserve">sector </w:t>
          </w:r>
          <w:r>
            <w:t xml:space="preserve">asset management framework: </w:t>
          </w:r>
          <w:r w:rsidR="008F038D">
            <w:t>overview</w:t>
          </w:r>
        </w:p>
      </w:tc>
      <w:tc>
        <w:tcPr>
          <w:tcW w:w="709" w:type="dxa"/>
          <w:vAlign w:val="center"/>
        </w:tcPr>
        <w:p w14:paraId="47156096"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95E47">
            <w:rPr>
              <w:rStyle w:val="PageNumber"/>
              <w:noProof/>
            </w:rPr>
            <w:t>iii</w:t>
          </w:r>
          <w:r w:rsidRPr="00931466">
            <w:rPr>
              <w:rStyle w:val="PageNumber"/>
            </w:rPr>
            <w:fldChar w:fldCharType="end"/>
          </w:r>
        </w:p>
      </w:tc>
    </w:tr>
  </w:tbl>
  <w:p w14:paraId="6ACACCAC"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105770" w14:paraId="52717E06" w14:textId="77777777" w:rsidTr="006E2886">
      <w:trPr>
        <w:cantSplit/>
      </w:trPr>
      <w:tc>
        <w:tcPr>
          <w:tcW w:w="675" w:type="dxa"/>
          <w:vAlign w:val="center"/>
        </w:tcPr>
        <w:p w14:paraId="7DAB605F"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95E47">
            <w:rPr>
              <w:rStyle w:val="PageNumber"/>
              <w:noProof/>
            </w:rPr>
            <w:t>4</w:t>
          </w:r>
          <w:r w:rsidRPr="00931466">
            <w:rPr>
              <w:rStyle w:val="PageNumber"/>
            </w:rPr>
            <w:fldChar w:fldCharType="end"/>
          </w:r>
        </w:p>
      </w:tc>
      <w:tc>
        <w:tcPr>
          <w:tcW w:w="9072" w:type="dxa"/>
          <w:vAlign w:val="center"/>
        </w:tcPr>
        <w:p w14:paraId="329D2A6E" w14:textId="77777777" w:rsidR="00105770" w:rsidRDefault="008F038D" w:rsidP="00FB0A5B">
          <w:pPr>
            <w:pStyle w:val="RectoFooter"/>
            <w:ind w:left="-108"/>
            <w:jc w:val="left"/>
          </w:pPr>
          <w:r>
            <w:t>district health board sector asset management framework: overview</w:t>
          </w:r>
        </w:p>
      </w:tc>
    </w:tr>
  </w:tbl>
  <w:p w14:paraId="66FC91A1"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0CEC38FB" w14:textId="77777777" w:rsidTr="006E2886">
      <w:trPr>
        <w:cantSplit/>
      </w:trPr>
      <w:tc>
        <w:tcPr>
          <w:tcW w:w="8080" w:type="dxa"/>
          <w:vAlign w:val="center"/>
        </w:tcPr>
        <w:p w14:paraId="7C6894D9" w14:textId="77777777" w:rsidR="00105770" w:rsidRDefault="008F038D" w:rsidP="002C2DC0">
          <w:pPr>
            <w:pStyle w:val="RectoFooter"/>
          </w:pPr>
          <w:r>
            <w:t>district health board sector asset management framework: overview</w:t>
          </w:r>
        </w:p>
      </w:tc>
      <w:tc>
        <w:tcPr>
          <w:tcW w:w="709" w:type="dxa"/>
          <w:vAlign w:val="center"/>
        </w:tcPr>
        <w:p w14:paraId="53235121"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95E47">
            <w:rPr>
              <w:rStyle w:val="PageNumber"/>
              <w:noProof/>
            </w:rPr>
            <w:t>5</w:t>
          </w:r>
          <w:r w:rsidRPr="00931466">
            <w:rPr>
              <w:rStyle w:val="PageNumber"/>
            </w:rPr>
            <w:fldChar w:fldCharType="end"/>
          </w:r>
        </w:p>
      </w:tc>
    </w:tr>
  </w:tbl>
  <w:p w14:paraId="5D52AE6D"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E060" w14:textId="77777777" w:rsidR="000054CD" w:rsidRPr="00A26E6B" w:rsidRDefault="000054CD" w:rsidP="00A26E6B"/>
  </w:footnote>
  <w:footnote w:type="continuationSeparator" w:id="0">
    <w:p w14:paraId="3A3A8294" w14:textId="77777777" w:rsidR="000054CD" w:rsidRDefault="000054CD">
      <w:r>
        <w:continuationSeparator/>
      </w:r>
    </w:p>
    <w:p w14:paraId="71B04619" w14:textId="77777777" w:rsidR="000054CD" w:rsidRDefault="00005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5F91B677" w14:textId="77777777" w:rsidTr="005A79E5">
      <w:trPr>
        <w:cantSplit/>
      </w:trPr>
      <w:tc>
        <w:tcPr>
          <w:tcW w:w="5210" w:type="dxa"/>
        </w:tcPr>
        <w:p w14:paraId="65140B07" w14:textId="77777777" w:rsidR="00105770" w:rsidRDefault="00105770" w:rsidP="008814E8">
          <w:pPr>
            <w:pStyle w:val="Header"/>
          </w:pPr>
          <w:r>
            <w:rPr>
              <w:noProof/>
              <w:lang w:eastAsia="en-NZ"/>
            </w:rPr>
            <w:drawing>
              <wp:inline distT="0" distB="0" distL="0" distR="0" wp14:anchorId="29CDAE84" wp14:editId="19EC0F9B">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CF7F57E" w14:textId="77777777" w:rsidR="00105770" w:rsidRDefault="00105770" w:rsidP="008814E8">
          <w:pPr>
            <w:pStyle w:val="Header"/>
            <w:jc w:val="right"/>
          </w:pPr>
          <w:r>
            <w:rPr>
              <w:noProof/>
              <w:lang w:eastAsia="en-NZ"/>
            </w:rPr>
            <w:drawing>
              <wp:inline distT="0" distB="0" distL="0" distR="0" wp14:anchorId="49613521" wp14:editId="61640BCC">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411EF4F"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98CE"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938"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281"/>
    <w:multiLevelType w:val="multilevel"/>
    <w:tmpl w:val="C49C2AE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72"/>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4CD"/>
    <w:rsid w:val="00005BB5"/>
    <w:rsid w:val="00010E97"/>
    <w:rsid w:val="00012C5F"/>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0C0E"/>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64F75"/>
    <w:rsid w:val="0017070E"/>
    <w:rsid w:val="00174F02"/>
    <w:rsid w:val="0018376C"/>
    <w:rsid w:val="0018662D"/>
    <w:rsid w:val="00197427"/>
    <w:rsid w:val="001A21B4"/>
    <w:rsid w:val="001A5CF5"/>
    <w:rsid w:val="001B39D2"/>
    <w:rsid w:val="001B4BF8"/>
    <w:rsid w:val="001B5754"/>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4229"/>
    <w:rsid w:val="002858E3"/>
    <w:rsid w:val="0029190A"/>
    <w:rsid w:val="00292C5A"/>
    <w:rsid w:val="00295241"/>
    <w:rsid w:val="002A4DFC"/>
    <w:rsid w:val="002B047D"/>
    <w:rsid w:val="002B732B"/>
    <w:rsid w:val="002B76A7"/>
    <w:rsid w:val="002B7BEC"/>
    <w:rsid w:val="002C2219"/>
    <w:rsid w:val="002C2552"/>
    <w:rsid w:val="002C2DC0"/>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95B7A"/>
    <w:rsid w:val="00396E47"/>
    <w:rsid w:val="003A26A5"/>
    <w:rsid w:val="003A3761"/>
    <w:rsid w:val="003A512D"/>
    <w:rsid w:val="003A5FEA"/>
    <w:rsid w:val="003A710B"/>
    <w:rsid w:val="003B1D10"/>
    <w:rsid w:val="003C310C"/>
    <w:rsid w:val="003C76D4"/>
    <w:rsid w:val="003D137D"/>
    <w:rsid w:val="003D2CC5"/>
    <w:rsid w:val="003D3E5C"/>
    <w:rsid w:val="003D425A"/>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3A17"/>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6D4A"/>
    <w:rsid w:val="005275E8"/>
    <w:rsid w:val="005309FE"/>
    <w:rsid w:val="0053199F"/>
    <w:rsid w:val="00531E12"/>
    <w:rsid w:val="00533B90"/>
    <w:rsid w:val="005410F8"/>
    <w:rsid w:val="005444E2"/>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D2A6A"/>
    <w:rsid w:val="005E226E"/>
    <w:rsid w:val="005E2636"/>
    <w:rsid w:val="005F14FC"/>
    <w:rsid w:val="006015D7"/>
    <w:rsid w:val="00601B21"/>
    <w:rsid w:val="006041F0"/>
    <w:rsid w:val="00605C6D"/>
    <w:rsid w:val="006120CA"/>
    <w:rsid w:val="0061443A"/>
    <w:rsid w:val="00624174"/>
    <w:rsid w:val="00625390"/>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036E"/>
    <w:rsid w:val="00671078"/>
    <w:rsid w:val="00673D28"/>
    <w:rsid w:val="006758CA"/>
    <w:rsid w:val="00680A04"/>
    <w:rsid w:val="00686D80"/>
    <w:rsid w:val="00694895"/>
    <w:rsid w:val="00697E2E"/>
    <w:rsid w:val="006A25A2"/>
    <w:rsid w:val="006A393F"/>
    <w:rsid w:val="006A3B87"/>
    <w:rsid w:val="006B0A88"/>
    <w:rsid w:val="006B0E73"/>
    <w:rsid w:val="006B1E3D"/>
    <w:rsid w:val="006B4A4D"/>
    <w:rsid w:val="006B5695"/>
    <w:rsid w:val="006B62E6"/>
    <w:rsid w:val="006B7B2E"/>
    <w:rsid w:val="006C78EB"/>
    <w:rsid w:val="006D1660"/>
    <w:rsid w:val="006D2F12"/>
    <w:rsid w:val="006D63E5"/>
    <w:rsid w:val="006E1753"/>
    <w:rsid w:val="006E2886"/>
    <w:rsid w:val="006E3911"/>
    <w:rsid w:val="006E69F4"/>
    <w:rsid w:val="006F1B67"/>
    <w:rsid w:val="006F4D9C"/>
    <w:rsid w:val="0070091D"/>
    <w:rsid w:val="00702854"/>
    <w:rsid w:val="0071741C"/>
    <w:rsid w:val="007320B3"/>
    <w:rsid w:val="00742B90"/>
    <w:rsid w:val="0074434D"/>
    <w:rsid w:val="00752E53"/>
    <w:rsid w:val="007570C4"/>
    <w:rsid w:val="007605B8"/>
    <w:rsid w:val="00771B1E"/>
    <w:rsid w:val="00773C95"/>
    <w:rsid w:val="0078171E"/>
    <w:rsid w:val="0078658E"/>
    <w:rsid w:val="007920E2"/>
    <w:rsid w:val="0079566E"/>
    <w:rsid w:val="00795B34"/>
    <w:rsid w:val="007A067F"/>
    <w:rsid w:val="007A5247"/>
    <w:rsid w:val="007B1770"/>
    <w:rsid w:val="007B3C47"/>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2E1"/>
    <w:rsid w:val="008B6F83"/>
    <w:rsid w:val="008B7FD8"/>
    <w:rsid w:val="008C2973"/>
    <w:rsid w:val="008C6324"/>
    <w:rsid w:val="008C64C4"/>
    <w:rsid w:val="008D2CDD"/>
    <w:rsid w:val="008D74D5"/>
    <w:rsid w:val="008D7C9F"/>
    <w:rsid w:val="008E04BA"/>
    <w:rsid w:val="008E0ED1"/>
    <w:rsid w:val="008E1A08"/>
    <w:rsid w:val="008E2083"/>
    <w:rsid w:val="008E3A07"/>
    <w:rsid w:val="008E3F73"/>
    <w:rsid w:val="008E537B"/>
    <w:rsid w:val="008F038D"/>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56430"/>
    <w:rsid w:val="00964AB6"/>
    <w:rsid w:val="00966F9A"/>
    <w:rsid w:val="00970514"/>
    <w:rsid w:val="00977B8A"/>
    <w:rsid w:val="00982971"/>
    <w:rsid w:val="009845AD"/>
    <w:rsid w:val="00984835"/>
    <w:rsid w:val="009933EF"/>
    <w:rsid w:val="00995BA0"/>
    <w:rsid w:val="009A418B"/>
    <w:rsid w:val="009A426F"/>
    <w:rsid w:val="009A42D5"/>
    <w:rsid w:val="009A4473"/>
    <w:rsid w:val="009A719B"/>
    <w:rsid w:val="009B05C9"/>
    <w:rsid w:val="009B286C"/>
    <w:rsid w:val="009C151C"/>
    <w:rsid w:val="009C440A"/>
    <w:rsid w:val="009D5125"/>
    <w:rsid w:val="009D60B8"/>
    <w:rsid w:val="009D7D4B"/>
    <w:rsid w:val="009E36ED"/>
    <w:rsid w:val="009E3B47"/>
    <w:rsid w:val="009E3C8C"/>
    <w:rsid w:val="009E6B77"/>
    <w:rsid w:val="009F4372"/>
    <w:rsid w:val="009F460A"/>
    <w:rsid w:val="009F54F0"/>
    <w:rsid w:val="00A043FB"/>
    <w:rsid w:val="00A06BE4"/>
    <w:rsid w:val="00A0729C"/>
    <w:rsid w:val="00A073CF"/>
    <w:rsid w:val="00A07779"/>
    <w:rsid w:val="00A1166A"/>
    <w:rsid w:val="00A20B2E"/>
    <w:rsid w:val="00A21CF9"/>
    <w:rsid w:val="00A24F33"/>
    <w:rsid w:val="00A25069"/>
    <w:rsid w:val="00A26E6B"/>
    <w:rsid w:val="00A3068F"/>
    <w:rsid w:val="00A3145B"/>
    <w:rsid w:val="00A331B6"/>
    <w:rsid w:val="00A339D0"/>
    <w:rsid w:val="00A3415C"/>
    <w:rsid w:val="00A34908"/>
    <w:rsid w:val="00A4090D"/>
    <w:rsid w:val="00A41002"/>
    <w:rsid w:val="00A4201A"/>
    <w:rsid w:val="00A5465D"/>
    <w:rsid w:val="00A553CE"/>
    <w:rsid w:val="00A5677A"/>
    <w:rsid w:val="00A56DCC"/>
    <w:rsid w:val="00A625E8"/>
    <w:rsid w:val="00A63DFF"/>
    <w:rsid w:val="00A64496"/>
    <w:rsid w:val="00A6490D"/>
    <w:rsid w:val="00A67033"/>
    <w:rsid w:val="00A73111"/>
    <w:rsid w:val="00A7415D"/>
    <w:rsid w:val="00A74378"/>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26F0E"/>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3777C"/>
    <w:rsid w:val="00C418EE"/>
    <w:rsid w:val="00C441CF"/>
    <w:rsid w:val="00C45AA2"/>
    <w:rsid w:val="00C4792C"/>
    <w:rsid w:val="00C47EAB"/>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0336"/>
    <w:rsid w:val="00CB3483"/>
    <w:rsid w:val="00CB6427"/>
    <w:rsid w:val="00CC0FBE"/>
    <w:rsid w:val="00CD077C"/>
    <w:rsid w:val="00CD2119"/>
    <w:rsid w:val="00CD237A"/>
    <w:rsid w:val="00CD36AC"/>
    <w:rsid w:val="00CD5619"/>
    <w:rsid w:val="00CE13A3"/>
    <w:rsid w:val="00CE36BC"/>
    <w:rsid w:val="00CF1747"/>
    <w:rsid w:val="00CF60ED"/>
    <w:rsid w:val="00D00E80"/>
    <w:rsid w:val="00D05D74"/>
    <w:rsid w:val="00D162CB"/>
    <w:rsid w:val="00D20C59"/>
    <w:rsid w:val="00D23323"/>
    <w:rsid w:val="00D2392A"/>
    <w:rsid w:val="00D25970"/>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E47"/>
    <w:rsid w:val="00DA0232"/>
    <w:rsid w:val="00DA7F9E"/>
    <w:rsid w:val="00DB39CF"/>
    <w:rsid w:val="00DB58BE"/>
    <w:rsid w:val="00DB7256"/>
    <w:rsid w:val="00DC0401"/>
    <w:rsid w:val="00DC0605"/>
    <w:rsid w:val="00DC20BD"/>
    <w:rsid w:val="00DD0BCD"/>
    <w:rsid w:val="00DD447A"/>
    <w:rsid w:val="00DD4DDC"/>
    <w:rsid w:val="00DE2892"/>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3332"/>
    <w:rsid w:val="00E65269"/>
    <w:rsid w:val="00E76D66"/>
    <w:rsid w:val="00EA58E6"/>
    <w:rsid w:val="00EA796A"/>
    <w:rsid w:val="00EB1856"/>
    <w:rsid w:val="00EC50CE"/>
    <w:rsid w:val="00EC5B34"/>
    <w:rsid w:val="00ED021E"/>
    <w:rsid w:val="00ED323C"/>
    <w:rsid w:val="00EE25CD"/>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335"/>
    <w:rsid w:val="00F63781"/>
    <w:rsid w:val="00F67496"/>
    <w:rsid w:val="00F7421E"/>
    <w:rsid w:val="00F801BA"/>
    <w:rsid w:val="00F807AD"/>
    <w:rsid w:val="00F9366A"/>
    <w:rsid w:val="00F946C9"/>
    <w:rsid w:val="00FA0EA5"/>
    <w:rsid w:val="00FA68C7"/>
    <w:rsid w:val="00FA74EE"/>
    <w:rsid w:val="00FB0A5B"/>
    <w:rsid w:val="00FB1B8E"/>
    <w:rsid w:val="00FC2F86"/>
    <w:rsid w:val="00FC3668"/>
    <w:rsid w:val="00FC3711"/>
    <w:rsid w:val="00FC46E7"/>
    <w:rsid w:val="00FC5D25"/>
    <w:rsid w:val="00FD0D7E"/>
    <w:rsid w:val="00FD16C4"/>
    <w:rsid w:val="00FD362F"/>
    <w:rsid w:val="00FD47FE"/>
    <w:rsid w:val="00FD4FFB"/>
    <w:rsid w:val="00FD67DD"/>
    <w:rsid w:val="00FE022F"/>
    <w:rsid w:val="00FE119A"/>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FFD596"/>
  <w15:docId w15:val="{12E66C42-7D59-465A-A9BC-4228202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EA58E6"/>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2C2DC0"/>
    <w:pPr>
      <w:spacing w:before="840"/>
      <w:ind w:right="3402"/>
    </w:pPr>
    <w:rPr>
      <w:rFonts w:ascii="Segoe UI Semibold" w:hAnsi="Segoe UI Semibold" w:cs="Segoe UI Semibold"/>
      <w:sz w:val="48"/>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95B7A"/>
    <w:pPr>
      <w:numPr>
        <w:ilvl w:val="3"/>
        <w:numId w:val="5"/>
      </w:numPr>
      <w:spacing w:before="12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625390"/>
    <w:pPr>
      <w:spacing w:after="240" w:line="216" w:lineRule="auto"/>
    </w:pPr>
    <w:rPr>
      <w:rFonts w:ascii="Segoe UI Light" w:hAnsi="Segoe UI Light"/>
      <w:color w:val="404040" w:themeColor="text1" w:themeTint="BF"/>
      <w:sz w:val="36"/>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164F75"/>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E3F73"/>
    <w:rPr>
      <w:sz w:val="16"/>
      <w:szCs w:val="16"/>
    </w:rPr>
  </w:style>
  <w:style w:type="paragraph" w:styleId="CommentText">
    <w:name w:val="annotation text"/>
    <w:basedOn w:val="Normal"/>
    <w:link w:val="CommentTextChar"/>
    <w:uiPriority w:val="99"/>
    <w:semiHidden/>
    <w:unhideWhenUsed/>
    <w:rsid w:val="008E3F73"/>
    <w:rPr>
      <w:sz w:val="20"/>
    </w:rPr>
  </w:style>
  <w:style w:type="character" w:customStyle="1" w:styleId="CommentTextChar">
    <w:name w:val="Comment Text Char"/>
    <w:basedOn w:val="DefaultParagraphFont"/>
    <w:link w:val="CommentText"/>
    <w:uiPriority w:val="99"/>
    <w:semiHidden/>
    <w:rsid w:val="008E3F73"/>
    <w:rPr>
      <w:rFonts w:ascii="Segoe UI" w:hAnsi="Segoe UI"/>
      <w:lang w:eastAsia="en-GB"/>
    </w:rPr>
  </w:style>
  <w:style w:type="paragraph" w:styleId="CommentSubject">
    <w:name w:val="annotation subject"/>
    <w:basedOn w:val="CommentText"/>
    <w:next w:val="CommentText"/>
    <w:link w:val="CommentSubjectChar"/>
    <w:semiHidden/>
    <w:unhideWhenUsed/>
    <w:rsid w:val="008E3F73"/>
    <w:rPr>
      <w:b/>
      <w:bCs/>
    </w:rPr>
  </w:style>
  <w:style w:type="character" w:customStyle="1" w:styleId="CommentSubjectChar">
    <w:name w:val="Comment Subject Char"/>
    <w:basedOn w:val="CommentTextChar"/>
    <w:link w:val="CommentSubject"/>
    <w:semiHidden/>
    <w:rsid w:val="008E3F73"/>
    <w:rPr>
      <w:rFonts w:ascii="Segoe UI" w:hAnsi="Segoe UI"/>
      <w:b/>
      <w:bCs/>
      <w:lang w:eastAsia="en-GB"/>
    </w:rPr>
  </w:style>
  <w:style w:type="paragraph" w:styleId="BalloonText">
    <w:name w:val="Balloon Text"/>
    <w:basedOn w:val="Normal"/>
    <w:link w:val="BalloonTextChar"/>
    <w:semiHidden/>
    <w:unhideWhenUsed/>
    <w:rsid w:val="008E3F73"/>
    <w:rPr>
      <w:rFonts w:cs="Segoe UI"/>
      <w:sz w:val="18"/>
      <w:szCs w:val="18"/>
    </w:rPr>
  </w:style>
  <w:style w:type="character" w:customStyle="1" w:styleId="BalloonTextChar">
    <w:name w:val="Balloon Text Char"/>
    <w:basedOn w:val="DefaultParagraphFont"/>
    <w:link w:val="BalloonText"/>
    <w:semiHidden/>
    <w:rsid w:val="008E3F73"/>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www.treasury.govt.nz/statesector/investmentmanagement/review/icr"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footer" Target="footer6.xml"/><Relationship Id="rId30" Type="http://schemas.openxmlformats.org/officeDocument/2006/relationships/hyperlink" Target="https://dpmc.govt.nz/publications/co-19-6-investment-management-and-asset-performance-state-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C952D-EAB1-446A-A133-DC2DBFA7C7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20538BF6-7611-487E-8378-BE2433FD5C77}">
      <dgm:prSet phldrT="[Text]" custT="1"/>
      <dgm:spPr>
        <a:solidFill>
          <a:srgbClr val="0A6AB4"/>
        </a:solidFill>
        <a:ln>
          <a:solidFill>
            <a:srgbClr val="0A6AB4"/>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Management: Policy</a:t>
          </a:r>
        </a:p>
      </dgm:t>
    </dgm:pt>
    <dgm:pt modelId="{767B9D23-4D09-45FE-AF37-A1CC6A38FF3C}" type="parTrans" cxnId="{553943F8-9A56-4933-B1AC-9BE04BC1D340}">
      <dgm:prSet/>
      <dgm:spPr>
        <a:ln>
          <a:solidFill>
            <a:srgbClr val="0A6AB4"/>
          </a:solidFill>
        </a:ln>
      </dgm:spPr>
      <dgm:t>
        <a:bodyPr/>
        <a:lstStyle/>
        <a:p>
          <a:pPr algn="ctr"/>
          <a:endParaRPr lang="en-NZ"/>
        </a:p>
      </dgm:t>
    </dgm:pt>
    <dgm:pt modelId="{1042C2A8-7E6F-40A2-8B44-7805A3AC0098}" type="sibTrans" cxnId="{553943F8-9A56-4933-B1AC-9BE04BC1D340}">
      <dgm:prSet/>
      <dgm:spPr/>
      <dgm:t>
        <a:bodyPr/>
        <a:lstStyle/>
        <a:p>
          <a:pPr algn="ctr"/>
          <a:endParaRPr lang="en-NZ"/>
        </a:p>
      </dgm:t>
    </dgm:pt>
    <dgm:pt modelId="{AB4BEBDA-3A72-42CD-835B-795ECC20FB53}">
      <dgm:prSet phldrT="[Text]" custT="1"/>
      <dgm:spPr>
        <a:solidFill>
          <a:srgbClr val="23305D"/>
        </a:solidFill>
        <a:ln>
          <a:solidFill>
            <a:srgbClr val="23305D"/>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 Management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Framework: Overview</a:t>
          </a:r>
        </a:p>
      </dgm:t>
    </dgm:pt>
    <dgm:pt modelId="{F402C63B-E19A-4914-B921-62C929A40776}" type="parTrans" cxnId="{A171B777-155E-4E89-A524-FCF91A7F7A42}">
      <dgm:prSet/>
      <dgm:spPr/>
      <dgm:t>
        <a:bodyPr/>
        <a:lstStyle/>
        <a:p>
          <a:pPr algn="ctr"/>
          <a:endParaRPr lang="en-NZ"/>
        </a:p>
      </dgm:t>
    </dgm:pt>
    <dgm:pt modelId="{26113362-D2B0-46D0-98D6-E2D98DA66C19}" type="sibTrans" cxnId="{A171B777-155E-4E89-A524-FCF91A7F7A42}">
      <dgm:prSet/>
      <dgm:spPr/>
      <dgm:t>
        <a:bodyPr/>
        <a:lstStyle/>
        <a:p>
          <a:pPr algn="ctr"/>
          <a:endParaRPr lang="en-NZ"/>
        </a:p>
      </dgm:t>
    </dgm:pt>
    <dgm:pt modelId="{2C017486-B4E1-4548-8E67-F31A9C02061C}">
      <dgm:prSet phldrT="[Text]" custT="1"/>
      <dgm:spPr>
        <a:solidFill>
          <a:srgbClr val="0A6AB4"/>
        </a:solidFill>
        <a:ln>
          <a:solidFill>
            <a:srgbClr val="0A6AB4"/>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Management: Strategy</a:t>
          </a:r>
        </a:p>
      </dgm:t>
    </dgm:pt>
    <dgm:pt modelId="{80523F1A-15E4-4FA7-BDDC-7CEB647AB573}" type="sibTrans" cxnId="{E140526D-B3D6-4F69-B477-7E2E92919747}">
      <dgm:prSet/>
      <dgm:spPr/>
      <dgm:t>
        <a:bodyPr/>
        <a:lstStyle/>
        <a:p>
          <a:pPr algn="ctr"/>
          <a:endParaRPr lang="en-NZ"/>
        </a:p>
      </dgm:t>
    </dgm:pt>
    <dgm:pt modelId="{B0DA9247-D931-4E3E-BA8C-06A75E3EC740}" type="parTrans" cxnId="{E140526D-B3D6-4F69-B477-7E2E92919747}">
      <dgm:prSet/>
      <dgm:spPr>
        <a:ln>
          <a:solidFill>
            <a:srgbClr val="0A6AB4"/>
          </a:solidFill>
        </a:ln>
      </dgm:spPr>
      <dgm:t>
        <a:bodyPr/>
        <a:lstStyle/>
        <a:p>
          <a:pPr algn="ctr"/>
          <a:endParaRPr lang="en-NZ"/>
        </a:p>
      </dgm:t>
    </dgm:pt>
    <dgm:pt modelId="{D5754CE2-865E-47B6-B144-60D8803DBB89}" type="pres">
      <dgm:prSet presAssocID="{082C952D-EAB1-446A-A133-DC2DBFA7C757}" presName="hierChild1" presStyleCnt="0">
        <dgm:presLayoutVars>
          <dgm:orgChart val="1"/>
          <dgm:chPref val="1"/>
          <dgm:dir/>
          <dgm:animOne val="branch"/>
          <dgm:animLvl val="lvl"/>
          <dgm:resizeHandles/>
        </dgm:presLayoutVars>
      </dgm:prSet>
      <dgm:spPr/>
    </dgm:pt>
    <dgm:pt modelId="{0C18273A-A784-483C-AE2E-F901F83F6E93}" type="pres">
      <dgm:prSet presAssocID="{AB4BEBDA-3A72-42CD-835B-795ECC20FB53}" presName="hierRoot1" presStyleCnt="0">
        <dgm:presLayoutVars>
          <dgm:hierBranch val="init"/>
        </dgm:presLayoutVars>
      </dgm:prSet>
      <dgm:spPr/>
    </dgm:pt>
    <dgm:pt modelId="{0B86BCA5-B5FB-44E7-9E16-9FD318764ECC}" type="pres">
      <dgm:prSet presAssocID="{AB4BEBDA-3A72-42CD-835B-795ECC20FB53}" presName="rootComposite1" presStyleCnt="0"/>
      <dgm:spPr/>
    </dgm:pt>
    <dgm:pt modelId="{BB02CB0C-A9CE-4BC6-984E-1E8B539E0E25}" type="pres">
      <dgm:prSet presAssocID="{AB4BEBDA-3A72-42CD-835B-795ECC20FB53}" presName="rootText1" presStyleLbl="node0" presStyleIdx="0" presStyleCnt="1" custScaleX="147619" custScaleY="76654" custLinFactNeighborY="-11400">
        <dgm:presLayoutVars>
          <dgm:chPref val="3"/>
        </dgm:presLayoutVars>
      </dgm:prSet>
      <dgm:spPr/>
    </dgm:pt>
    <dgm:pt modelId="{27180084-8F80-42EA-97C2-988A4DE6F140}" type="pres">
      <dgm:prSet presAssocID="{AB4BEBDA-3A72-42CD-835B-795ECC20FB53}" presName="rootConnector1" presStyleLbl="node1" presStyleIdx="0" presStyleCnt="0"/>
      <dgm:spPr/>
    </dgm:pt>
    <dgm:pt modelId="{A099E33E-2914-4AA5-AD83-5E462CA896DF}" type="pres">
      <dgm:prSet presAssocID="{AB4BEBDA-3A72-42CD-835B-795ECC20FB53}" presName="hierChild2" presStyleCnt="0"/>
      <dgm:spPr/>
    </dgm:pt>
    <dgm:pt modelId="{44D96B03-F92D-4B63-847C-4E9D2760AEDA}" type="pres">
      <dgm:prSet presAssocID="{767B9D23-4D09-45FE-AF37-A1CC6A38FF3C}" presName="Name37" presStyleLbl="parChTrans1D2" presStyleIdx="0" presStyleCnt="2"/>
      <dgm:spPr/>
    </dgm:pt>
    <dgm:pt modelId="{A69EC5B8-F189-4453-94AC-7A0E421D76B0}" type="pres">
      <dgm:prSet presAssocID="{20538BF6-7611-487E-8378-BE2433FD5C77}" presName="hierRoot2" presStyleCnt="0">
        <dgm:presLayoutVars>
          <dgm:hierBranch/>
        </dgm:presLayoutVars>
      </dgm:prSet>
      <dgm:spPr/>
    </dgm:pt>
    <dgm:pt modelId="{B87713CB-72E6-40A3-BEBE-4619026F6389}" type="pres">
      <dgm:prSet presAssocID="{20538BF6-7611-487E-8378-BE2433FD5C77}" presName="rootComposite" presStyleCnt="0"/>
      <dgm:spPr/>
    </dgm:pt>
    <dgm:pt modelId="{42E5AC45-F569-45D2-9CA9-FE1225078C19}" type="pres">
      <dgm:prSet presAssocID="{20538BF6-7611-487E-8378-BE2433FD5C77}" presName="rootText" presStyleLbl="node2" presStyleIdx="0" presStyleCnt="2" custScaleX="114420" custScaleY="72795">
        <dgm:presLayoutVars>
          <dgm:chPref val="3"/>
        </dgm:presLayoutVars>
      </dgm:prSet>
      <dgm:spPr/>
    </dgm:pt>
    <dgm:pt modelId="{88900B0B-0719-4BCC-AC71-E1A26A97AA44}" type="pres">
      <dgm:prSet presAssocID="{20538BF6-7611-487E-8378-BE2433FD5C77}" presName="rootConnector" presStyleLbl="node2" presStyleIdx="0" presStyleCnt="2"/>
      <dgm:spPr/>
    </dgm:pt>
    <dgm:pt modelId="{01E3F3E7-3BC3-443D-AAF2-B2C722CC5523}" type="pres">
      <dgm:prSet presAssocID="{20538BF6-7611-487E-8378-BE2433FD5C77}" presName="hierChild4" presStyleCnt="0"/>
      <dgm:spPr/>
    </dgm:pt>
    <dgm:pt modelId="{1884D283-EE1D-4CDA-94AF-C0CED8DB8037}" type="pres">
      <dgm:prSet presAssocID="{20538BF6-7611-487E-8378-BE2433FD5C77}" presName="hierChild5" presStyleCnt="0"/>
      <dgm:spPr/>
    </dgm:pt>
    <dgm:pt modelId="{3CCCF307-BE5C-4A44-AB7C-A18FB9464921}" type="pres">
      <dgm:prSet presAssocID="{B0DA9247-D931-4E3E-BA8C-06A75E3EC740}" presName="Name37" presStyleLbl="parChTrans1D2" presStyleIdx="1" presStyleCnt="2"/>
      <dgm:spPr/>
    </dgm:pt>
    <dgm:pt modelId="{637CC4AC-3AFF-43E5-99C5-7A8BDA3E582A}" type="pres">
      <dgm:prSet presAssocID="{2C017486-B4E1-4548-8E67-F31A9C02061C}" presName="hierRoot2" presStyleCnt="0">
        <dgm:presLayoutVars>
          <dgm:hierBranch val="init"/>
        </dgm:presLayoutVars>
      </dgm:prSet>
      <dgm:spPr/>
    </dgm:pt>
    <dgm:pt modelId="{232D0E96-19FB-49E6-92B1-D35953B0F7A9}" type="pres">
      <dgm:prSet presAssocID="{2C017486-B4E1-4548-8E67-F31A9C02061C}" presName="rootComposite" presStyleCnt="0"/>
      <dgm:spPr/>
    </dgm:pt>
    <dgm:pt modelId="{E3E9F49C-3D98-4879-A2B3-F1B93627074B}" type="pres">
      <dgm:prSet presAssocID="{2C017486-B4E1-4548-8E67-F31A9C02061C}" presName="rootText" presStyleLbl="node2" presStyleIdx="1" presStyleCnt="2" custScaleX="114420" custScaleY="72795">
        <dgm:presLayoutVars>
          <dgm:chPref val="3"/>
        </dgm:presLayoutVars>
      </dgm:prSet>
      <dgm:spPr/>
    </dgm:pt>
    <dgm:pt modelId="{E2B7B828-2EA5-4662-861B-C0B73963C8E8}" type="pres">
      <dgm:prSet presAssocID="{2C017486-B4E1-4548-8E67-F31A9C02061C}" presName="rootConnector" presStyleLbl="node2" presStyleIdx="1" presStyleCnt="2"/>
      <dgm:spPr/>
    </dgm:pt>
    <dgm:pt modelId="{6C6C9B48-F55C-4690-977D-10CFAE70333A}" type="pres">
      <dgm:prSet presAssocID="{2C017486-B4E1-4548-8E67-F31A9C02061C}" presName="hierChild4" presStyleCnt="0"/>
      <dgm:spPr/>
    </dgm:pt>
    <dgm:pt modelId="{C98BCAED-EABC-4234-B992-F9BDABA8C605}" type="pres">
      <dgm:prSet presAssocID="{2C017486-B4E1-4548-8E67-F31A9C02061C}" presName="hierChild5" presStyleCnt="0"/>
      <dgm:spPr/>
    </dgm:pt>
    <dgm:pt modelId="{27847846-E75C-4A0E-8708-459EA68D79ED}" type="pres">
      <dgm:prSet presAssocID="{AB4BEBDA-3A72-42CD-835B-795ECC20FB53}" presName="hierChild3" presStyleCnt="0"/>
      <dgm:spPr/>
    </dgm:pt>
  </dgm:ptLst>
  <dgm:cxnLst>
    <dgm:cxn modelId="{E3C39612-485B-4082-B09C-9C58CBA60D49}" type="presOf" srcId="{AB4BEBDA-3A72-42CD-835B-795ECC20FB53}" destId="{27180084-8F80-42EA-97C2-988A4DE6F140}" srcOrd="1" destOrd="0" presId="urn:microsoft.com/office/officeart/2005/8/layout/orgChart1"/>
    <dgm:cxn modelId="{AFE6F328-16BE-4609-A95C-12F01A65F566}" type="presOf" srcId="{082C952D-EAB1-446A-A133-DC2DBFA7C757}" destId="{D5754CE2-865E-47B6-B144-60D8803DBB89}" srcOrd="0" destOrd="0" presId="urn:microsoft.com/office/officeart/2005/8/layout/orgChart1"/>
    <dgm:cxn modelId="{FB1A562A-2790-4902-B504-D4D5734E0E68}" type="presOf" srcId="{767B9D23-4D09-45FE-AF37-A1CC6A38FF3C}" destId="{44D96B03-F92D-4B63-847C-4E9D2760AEDA}" srcOrd="0" destOrd="0" presId="urn:microsoft.com/office/officeart/2005/8/layout/orgChart1"/>
    <dgm:cxn modelId="{A47B225D-1EC5-4984-AACB-EF7F1585F602}" type="presOf" srcId="{2C017486-B4E1-4548-8E67-F31A9C02061C}" destId="{E3E9F49C-3D98-4879-A2B3-F1B93627074B}" srcOrd="0" destOrd="0" presId="urn:microsoft.com/office/officeart/2005/8/layout/orgChart1"/>
    <dgm:cxn modelId="{7287E55F-1B6A-42F3-B3D8-C5A175D1BA56}" type="presOf" srcId="{2C017486-B4E1-4548-8E67-F31A9C02061C}" destId="{E2B7B828-2EA5-4662-861B-C0B73963C8E8}" srcOrd="1" destOrd="0" presId="urn:microsoft.com/office/officeart/2005/8/layout/orgChart1"/>
    <dgm:cxn modelId="{02AD0062-ECDD-45E7-8D10-8935FB568F4C}" type="presOf" srcId="{AB4BEBDA-3A72-42CD-835B-795ECC20FB53}" destId="{BB02CB0C-A9CE-4BC6-984E-1E8B539E0E25}" srcOrd="0" destOrd="0" presId="urn:microsoft.com/office/officeart/2005/8/layout/orgChart1"/>
    <dgm:cxn modelId="{E140526D-B3D6-4F69-B477-7E2E92919747}" srcId="{AB4BEBDA-3A72-42CD-835B-795ECC20FB53}" destId="{2C017486-B4E1-4548-8E67-F31A9C02061C}" srcOrd="1" destOrd="0" parTransId="{B0DA9247-D931-4E3E-BA8C-06A75E3EC740}" sibTransId="{80523F1A-15E4-4FA7-BDDC-7CEB647AB573}"/>
    <dgm:cxn modelId="{23A6F24E-76F1-4944-B0F7-44C6F3B9BFB6}" type="presOf" srcId="{B0DA9247-D931-4E3E-BA8C-06A75E3EC740}" destId="{3CCCF307-BE5C-4A44-AB7C-A18FB9464921}" srcOrd="0" destOrd="0" presId="urn:microsoft.com/office/officeart/2005/8/layout/orgChart1"/>
    <dgm:cxn modelId="{A171B777-155E-4E89-A524-FCF91A7F7A42}" srcId="{082C952D-EAB1-446A-A133-DC2DBFA7C757}" destId="{AB4BEBDA-3A72-42CD-835B-795ECC20FB53}" srcOrd="0" destOrd="0" parTransId="{F402C63B-E19A-4914-B921-62C929A40776}" sibTransId="{26113362-D2B0-46D0-98D6-E2D98DA66C19}"/>
    <dgm:cxn modelId="{993564B0-092D-4DB2-AC58-0C3F921C8D5C}" type="presOf" srcId="{20538BF6-7611-487E-8378-BE2433FD5C77}" destId="{88900B0B-0719-4BCC-AC71-E1A26A97AA44}" srcOrd="1" destOrd="0" presId="urn:microsoft.com/office/officeart/2005/8/layout/orgChart1"/>
    <dgm:cxn modelId="{B5DC53E1-C7C0-46BE-9C7E-77EFB61042D6}" type="presOf" srcId="{20538BF6-7611-487E-8378-BE2433FD5C77}" destId="{42E5AC45-F569-45D2-9CA9-FE1225078C19}" srcOrd="0" destOrd="0" presId="urn:microsoft.com/office/officeart/2005/8/layout/orgChart1"/>
    <dgm:cxn modelId="{553943F8-9A56-4933-B1AC-9BE04BC1D340}" srcId="{AB4BEBDA-3A72-42CD-835B-795ECC20FB53}" destId="{20538BF6-7611-487E-8378-BE2433FD5C77}" srcOrd="0" destOrd="0" parTransId="{767B9D23-4D09-45FE-AF37-A1CC6A38FF3C}" sibTransId="{1042C2A8-7E6F-40A2-8B44-7805A3AC0098}"/>
    <dgm:cxn modelId="{673748C8-8316-4F20-B52E-88D8EFC85A1E}" type="presParOf" srcId="{D5754CE2-865E-47B6-B144-60D8803DBB89}" destId="{0C18273A-A784-483C-AE2E-F901F83F6E93}" srcOrd="0" destOrd="0" presId="urn:microsoft.com/office/officeart/2005/8/layout/orgChart1"/>
    <dgm:cxn modelId="{84DA9465-4AB8-41B7-B1CF-8E977504F205}" type="presParOf" srcId="{0C18273A-A784-483C-AE2E-F901F83F6E93}" destId="{0B86BCA5-B5FB-44E7-9E16-9FD318764ECC}" srcOrd="0" destOrd="0" presId="urn:microsoft.com/office/officeart/2005/8/layout/orgChart1"/>
    <dgm:cxn modelId="{28F126BF-A0F0-4012-8D24-1218EF06E198}" type="presParOf" srcId="{0B86BCA5-B5FB-44E7-9E16-9FD318764ECC}" destId="{BB02CB0C-A9CE-4BC6-984E-1E8B539E0E25}" srcOrd="0" destOrd="0" presId="urn:microsoft.com/office/officeart/2005/8/layout/orgChart1"/>
    <dgm:cxn modelId="{5850F203-4A69-4854-A217-A322B703E647}" type="presParOf" srcId="{0B86BCA5-B5FB-44E7-9E16-9FD318764ECC}" destId="{27180084-8F80-42EA-97C2-988A4DE6F140}" srcOrd="1" destOrd="0" presId="urn:microsoft.com/office/officeart/2005/8/layout/orgChart1"/>
    <dgm:cxn modelId="{FD9A18DD-33E8-4E1D-8EAA-4597CB68FEF3}" type="presParOf" srcId="{0C18273A-A784-483C-AE2E-F901F83F6E93}" destId="{A099E33E-2914-4AA5-AD83-5E462CA896DF}" srcOrd="1" destOrd="0" presId="urn:microsoft.com/office/officeart/2005/8/layout/orgChart1"/>
    <dgm:cxn modelId="{DA5480E8-78DA-4A81-8F50-06311541CB90}" type="presParOf" srcId="{A099E33E-2914-4AA5-AD83-5E462CA896DF}" destId="{44D96B03-F92D-4B63-847C-4E9D2760AEDA}" srcOrd="0" destOrd="0" presId="urn:microsoft.com/office/officeart/2005/8/layout/orgChart1"/>
    <dgm:cxn modelId="{D078CDF2-0084-4B1A-8A25-9F903481ACF6}" type="presParOf" srcId="{A099E33E-2914-4AA5-AD83-5E462CA896DF}" destId="{A69EC5B8-F189-4453-94AC-7A0E421D76B0}" srcOrd="1" destOrd="0" presId="urn:microsoft.com/office/officeart/2005/8/layout/orgChart1"/>
    <dgm:cxn modelId="{D1A2F16E-3110-4DD5-9E0A-7AFE81991E30}" type="presParOf" srcId="{A69EC5B8-F189-4453-94AC-7A0E421D76B0}" destId="{B87713CB-72E6-40A3-BEBE-4619026F6389}" srcOrd="0" destOrd="0" presId="urn:microsoft.com/office/officeart/2005/8/layout/orgChart1"/>
    <dgm:cxn modelId="{E5EC6A9D-6052-4F56-BF10-563CD005B6DB}" type="presParOf" srcId="{B87713CB-72E6-40A3-BEBE-4619026F6389}" destId="{42E5AC45-F569-45D2-9CA9-FE1225078C19}" srcOrd="0" destOrd="0" presId="urn:microsoft.com/office/officeart/2005/8/layout/orgChart1"/>
    <dgm:cxn modelId="{AFD8C672-FC3D-406A-A8C8-F681CE0DB2AA}" type="presParOf" srcId="{B87713CB-72E6-40A3-BEBE-4619026F6389}" destId="{88900B0B-0719-4BCC-AC71-E1A26A97AA44}" srcOrd="1" destOrd="0" presId="urn:microsoft.com/office/officeart/2005/8/layout/orgChart1"/>
    <dgm:cxn modelId="{7C4D6FAF-F997-4FEC-9C0F-0C55C857477C}" type="presParOf" srcId="{A69EC5B8-F189-4453-94AC-7A0E421D76B0}" destId="{01E3F3E7-3BC3-443D-AAF2-B2C722CC5523}" srcOrd="1" destOrd="0" presId="urn:microsoft.com/office/officeart/2005/8/layout/orgChart1"/>
    <dgm:cxn modelId="{81C6DC17-55D9-4664-8FD9-6B5A4F60CA9C}" type="presParOf" srcId="{A69EC5B8-F189-4453-94AC-7A0E421D76B0}" destId="{1884D283-EE1D-4CDA-94AF-C0CED8DB8037}" srcOrd="2" destOrd="0" presId="urn:microsoft.com/office/officeart/2005/8/layout/orgChart1"/>
    <dgm:cxn modelId="{9558551F-EC9F-4E81-B1FA-05C69D084B6A}" type="presParOf" srcId="{A099E33E-2914-4AA5-AD83-5E462CA896DF}" destId="{3CCCF307-BE5C-4A44-AB7C-A18FB9464921}" srcOrd="2" destOrd="0" presId="urn:microsoft.com/office/officeart/2005/8/layout/orgChart1"/>
    <dgm:cxn modelId="{1382A763-56AE-4EFC-AE51-2D174FA08776}" type="presParOf" srcId="{A099E33E-2914-4AA5-AD83-5E462CA896DF}" destId="{637CC4AC-3AFF-43E5-99C5-7A8BDA3E582A}" srcOrd="3" destOrd="0" presId="urn:microsoft.com/office/officeart/2005/8/layout/orgChart1"/>
    <dgm:cxn modelId="{9DFDF13D-495D-4DC7-A3C5-5E1A35ABCAAC}" type="presParOf" srcId="{637CC4AC-3AFF-43E5-99C5-7A8BDA3E582A}" destId="{232D0E96-19FB-49E6-92B1-D35953B0F7A9}" srcOrd="0" destOrd="0" presId="urn:microsoft.com/office/officeart/2005/8/layout/orgChart1"/>
    <dgm:cxn modelId="{BDE7C4F8-2F11-43D5-ABF1-629A88F82AAC}" type="presParOf" srcId="{232D0E96-19FB-49E6-92B1-D35953B0F7A9}" destId="{E3E9F49C-3D98-4879-A2B3-F1B93627074B}" srcOrd="0" destOrd="0" presId="urn:microsoft.com/office/officeart/2005/8/layout/orgChart1"/>
    <dgm:cxn modelId="{4D080BD9-8598-4B11-AEFE-647146034E60}" type="presParOf" srcId="{232D0E96-19FB-49E6-92B1-D35953B0F7A9}" destId="{E2B7B828-2EA5-4662-861B-C0B73963C8E8}" srcOrd="1" destOrd="0" presId="urn:microsoft.com/office/officeart/2005/8/layout/orgChart1"/>
    <dgm:cxn modelId="{9F2D6B1D-CD73-4085-8D02-57E1B82F8373}" type="presParOf" srcId="{637CC4AC-3AFF-43E5-99C5-7A8BDA3E582A}" destId="{6C6C9B48-F55C-4690-977D-10CFAE70333A}" srcOrd="1" destOrd="0" presId="urn:microsoft.com/office/officeart/2005/8/layout/orgChart1"/>
    <dgm:cxn modelId="{B4A0C187-F860-4F35-8B24-75B940894FB4}" type="presParOf" srcId="{637CC4AC-3AFF-43E5-99C5-7A8BDA3E582A}" destId="{C98BCAED-EABC-4234-B992-F9BDABA8C605}" srcOrd="2" destOrd="0" presId="urn:microsoft.com/office/officeart/2005/8/layout/orgChart1"/>
    <dgm:cxn modelId="{99C8233E-A79B-48ED-8E52-0082659AF15B}" type="presParOf" srcId="{0C18273A-A784-483C-AE2E-F901F83F6E93}" destId="{27847846-E75C-4A0E-8708-459EA68D79ED}"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CF307-BE5C-4A44-AB7C-A18FB9464921}">
      <dsp:nvSpPr>
        <dsp:cNvPr id="0" name=""/>
        <dsp:cNvSpPr/>
      </dsp:nvSpPr>
      <dsp:spPr>
        <a:xfrm>
          <a:off x="1824643" y="592377"/>
          <a:ext cx="987829" cy="389529"/>
        </a:xfrm>
        <a:custGeom>
          <a:avLst/>
          <a:gdLst/>
          <a:ahLst/>
          <a:cxnLst/>
          <a:rect l="0" t="0" r="0" b="0"/>
          <a:pathLst>
            <a:path>
              <a:moveTo>
                <a:pt x="0" y="0"/>
              </a:moveTo>
              <a:lnTo>
                <a:pt x="0" y="236343"/>
              </a:lnTo>
              <a:lnTo>
                <a:pt x="987829" y="236343"/>
              </a:lnTo>
              <a:lnTo>
                <a:pt x="987829" y="389529"/>
              </a:lnTo>
            </a:path>
          </a:pathLst>
        </a:custGeom>
        <a:noFill/>
        <a:ln w="25400" cap="flat" cmpd="sng" algn="ctr">
          <a:solidFill>
            <a:srgbClr val="0A6AB4"/>
          </a:solidFill>
          <a:prstDash val="solid"/>
        </a:ln>
        <a:effectLst/>
      </dsp:spPr>
      <dsp:style>
        <a:lnRef idx="2">
          <a:scrgbClr r="0" g="0" b="0"/>
        </a:lnRef>
        <a:fillRef idx="0">
          <a:scrgbClr r="0" g="0" b="0"/>
        </a:fillRef>
        <a:effectRef idx="0">
          <a:scrgbClr r="0" g="0" b="0"/>
        </a:effectRef>
        <a:fontRef idx="minor"/>
      </dsp:style>
    </dsp:sp>
    <dsp:sp modelId="{44D96B03-F92D-4B63-847C-4E9D2760AEDA}">
      <dsp:nvSpPr>
        <dsp:cNvPr id="0" name=""/>
        <dsp:cNvSpPr/>
      </dsp:nvSpPr>
      <dsp:spPr>
        <a:xfrm>
          <a:off x="836813" y="592377"/>
          <a:ext cx="987829" cy="389529"/>
        </a:xfrm>
        <a:custGeom>
          <a:avLst/>
          <a:gdLst/>
          <a:ahLst/>
          <a:cxnLst/>
          <a:rect l="0" t="0" r="0" b="0"/>
          <a:pathLst>
            <a:path>
              <a:moveTo>
                <a:pt x="987829" y="0"/>
              </a:moveTo>
              <a:lnTo>
                <a:pt x="987829" y="236343"/>
              </a:lnTo>
              <a:lnTo>
                <a:pt x="0" y="236343"/>
              </a:lnTo>
              <a:lnTo>
                <a:pt x="0" y="389529"/>
              </a:lnTo>
            </a:path>
          </a:pathLst>
        </a:custGeom>
        <a:noFill/>
        <a:ln w="25400" cap="flat" cmpd="sng" algn="ctr">
          <a:solidFill>
            <a:srgbClr val="0A6AB4"/>
          </a:solidFill>
          <a:prstDash val="solid"/>
        </a:ln>
        <a:effectLst/>
      </dsp:spPr>
      <dsp:style>
        <a:lnRef idx="2">
          <a:scrgbClr r="0" g="0" b="0"/>
        </a:lnRef>
        <a:fillRef idx="0">
          <a:scrgbClr r="0" g="0" b="0"/>
        </a:fillRef>
        <a:effectRef idx="0">
          <a:scrgbClr r="0" g="0" b="0"/>
        </a:effectRef>
        <a:fontRef idx="minor"/>
      </dsp:style>
    </dsp:sp>
    <dsp:sp modelId="{BB02CB0C-A9CE-4BC6-984E-1E8B539E0E25}">
      <dsp:nvSpPr>
        <dsp:cNvPr id="0" name=""/>
        <dsp:cNvSpPr/>
      </dsp:nvSpPr>
      <dsp:spPr>
        <a:xfrm>
          <a:off x="747827" y="33220"/>
          <a:ext cx="2153632" cy="559157"/>
        </a:xfrm>
        <a:prstGeom prst="rect">
          <a:avLst/>
        </a:prstGeom>
        <a:solidFill>
          <a:srgbClr val="23305D"/>
        </a:solidFill>
        <a:ln w="25400" cap="flat" cmpd="sng" algn="ctr">
          <a:solidFill>
            <a:srgbClr val="23305D"/>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 Management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Framework: Overview</a:t>
          </a:r>
        </a:p>
      </dsp:txBody>
      <dsp:txXfrm>
        <a:off x="747827" y="33220"/>
        <a:ext cx="2153632" cy="559157"/>
      </dsp:txXfrm>
    </dsp:sp>
    <dsp:sp modelId="{42E5AC45-F569-45D2-9CA9-FE1225078C19}">
      <dsp:nvSpPr>
        <dsp:cNvPr id="0" name=""/>
        <dsp:cNvSpPr/>
      </dsp:nvSpPr>
      <dsp:spPr>
        <a:xfrm>
          <a:off x="2169" y="981907"/>
          <a:ext cx="1669288" cy="531007"/>
        </a:xfrm>
        <a:prstGeom prst="rect">
          <a:avLst/>
        </a:prstGeom>
        <a:solidFill>
          <a:srgbClr val="0A6AB4"/>
        </a:solidFill>
        <a:ln w="25400" cap="flat" cmpd="sng" algn="ctr">
          <a:solidFill>
            <a:srgbClr val="0A6AB4"/>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Management: Policy</a:t>
          </a:r>
        </a:p>
      </dsp:txBody>
      <dsp:txXfrm>
        <a:off x="2169" y="981907"/>
        <a:ext cx="1669288" cy="531007"/>
      </dsp:txXfrm>
    </dsp:sp>
    <dsp:sp modelId="{E3E9F49C-3D98-4879-A2B3-F1B93627074B}">
      <dsp:nvSpPr>
        <dsp:cNvPr id="0" name=""/>
        <dsp:cNvSpPr/>
      </dsp:nvSpPr>
      <dsp:spPr>
        <a:xfrm>
          <a:off x="1977829" y="981907"/>
          <a:ext cx="1669288" cy="531007"/>
        </a:xfrm>
        <a:prstGeom prst="rect">
          <a:avLst/>
        </a:prstGeom>
        <a:solidFill>
          <a:srgbClr val="0A6AB4"/>
        </a:solidFill>
        <a:ln w="25400" cap="flat" cmpd="sng" algn="ctr">
          <a:solidFill>
            <a:srgbClr val="0A6AB4"/>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Management: Strategy</a:t>
          </a:r>
        </a:p>
      </dsp:txBody>
      <dsp:txXfrm>
        <a:off x="1977829" y="981907"/>
        <a:ext cx="1669288" cy="5310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C39F-0A8B-4C3F-A1B7-BC16FA99AD8F}">
  <ds:schemaRefs>
    <ds:schemaRef ds:uri="http://purl.org/dc/elements/1.1/"/>
    <ds:schemaRef ds:uri="d59ea6e6-a59c-44b8-a0cc-c20c48781dd0"/>
    <ds:schemaRef ds:uri="http://schemas.microsoft.com/office/2006/metadata/properties"/>
    <ds:schemaRef ds:uri="http://purl.org/dc/term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A6A253-6E8C-4801-BBD2-7630700C26C9}">
  <ds:schemaRefs>
    <ds:schemaRef ds:uri="http://schemas.microsoft.com/sharepoint/v3/contenttype/forms"/>
  </ds:schemaRefs>
</ds:datastoreItem>
</file>

<file path=customXml/itemProps3.xml><?xml version="1.0" encoding="utf-8"?>
<ds:datastoreItem xmlns:ds="http://schemas.openxmlformats.org/officeDocument/2006/customXml" ds:itemID="{B8C3A0AA-17AF-4FD5-BB51-4CFE9383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42403-3A6A-427C-A3D5-47CE7EAC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14</Pages>
  <Words>1899</Words>
  <Characters>12555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Health Board Sector Asset Management Framework: Overview</dc:title>
  <dc:creator>Ministry of Health</dc:creator>
  <cp:lastModifiedBy>Ministry of Health</cp:lastModifiedBy>
  <cp:revision>2</cp:revision>
  <cp:lastPrinted>2020-10-30T02:00:00Z</cp:lastPrinted>
  <dcterms:created xsi:type="dcterms:W3CDTF">2020-11-03T21:39:00Z</dcterms:created>
  <dcterms:modified xsi:type="dcterms:W3CDTF">2020-11-03T21:39:00Z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