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63E1F" w14:textId="77777777" w:rsidR="00C86248" w:rsidRDefault="008A1644" w:rsidP="00926083">
      <w:pPr>
        <w:pStyle w:val="Title"/>
      </w:pPr>
      <w:r>
        <w:t>Summary of Feedback</w:t>
      </w:r>
    </w:p>
    <w:p w14:paraId="30763E20" w14:textId="77777777" w:rsidR="00D27922" w:rsidRDefault="008A1644" w:rsidP="00D27922">
      <w:pPr>
        <w:pStyle w:val="Subhead"/>
      </w:pPr>
      <w:r>
        <w:t xml:space="preserve">Kia Kaha, Kia </w:t>
      </w:r>
      <w:proofErr w:type="spellStart"/>
      <w:r>
        <w:t>Māia</w:t>
      </w:r>
      <w:proofErr w:type="spellEnd"/>
      <w:r>
        <w:t>, Kia Ora Aotearoa:</w:t>
      </w:r>
      <w:r>
        <w:br/>
      </w:r>
      <w:r w:rsidR="00DA6633">
        <w:t>COVID</w:t>
      </w:r>
      <w:r w:rsidR="00DA6633">
        <w:noBreakHyphen/>
        <w:t>19</w:t>
      </w:r>
      <w:r>
        <w:t xml:space="preserve"> Psychosocial and Mental Wellbeing Recovery Plan</w:t>
      </w:r>
    </w:p>
    <w:p w14:paraId="30763E21" w14:textId="77777777" w:rsidR="00D27922" w:rsidRPr="00D27922" w:rsidRDefault="008A1644" w:rsidP="00D27922">
      <w:pPr>
        <w:pStyle w:val="Year"/>
      </w:pPr>
      <w:r>
        <w:t>September 2020</w:t>
      </w:r>
    </w:p>
    <w:p w14:paraId="30763E22" w14:textId="77777777" w:rsidR="00C05132" w:rsidRDefault="00C05132" w:rsidP="00A06BE4"/>
    <w:p w14:paraId="30763E23"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30763E24" w14:textId="77777777" w:rsidR="00A80363" w:rsidRPr="00C05132" w:rsidRDefault="00A80363" w:rsidP="008A1644">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8A1644">
        <w:rPr>
          <w:rFonts w:cs="Segoe UI"/>
        </w:rPr>
        <w:t>2020</w:t>
      </w:r>
      <w:r w:rsidR="00442C1C" w:rsidRPr="00C05132">
        <w:rPr>
          <w:rFonts w:cs="Segoe UI"/>
        </w:rPr>
        <w:t xml:space="preserve">. </w:t>
      </w:r>
      <w:r w:rsidR="008A1644">
        <w:rPr>
          <w:rFonts w:cs="Segoe UI"/>
          <w:i/>
        </w:rPr>
        <w:t>Summary of Feedback</w:t>
      </w:r>
      <w:r w:rsidR="00D27922">
        <w:rPr>
          <w:rFonts w:cs="Segoe UI"/>
          <w:i/>
        </w:rPr>
        <w:t xml:space="preserve">: </w:t>
      </w:r>
      <w:r w:rsidR="008A1644" w:rsidRPr="008A1644">
        <w:rPr>
          <w:rFonts w:cs="Segoe UI"/>
          <w:i/>
        </w:rPr>
        <w:t xml:space="preserve">Kia Kaha, Kia </w:t>
      </w:r>
      <w:proofErr w:type="spellStart"/>
      <w:r w:rsidR="008A1644" w:rsidRPr="008A1644">
        <w:rPr>
          <w:rFonts w:cs="Segoe UI"/>
          <w:i/>
        </w:rPr>
        <w:t>Māia</w:t>
      </w:r>
      <w:proofErr w:type="spellEnd"/>
      <w:r w:rsidR="008A1644" w:rsidRPr="008A1644">
        <w:rPr>
          <w:rFonts w:cs="Segoe UI"/>
          <w:i/>
        </w:rPr>
        <w:t>, Kia</w:t>
      </w:r>
      <w:r w:rsidR="008A1644">
        <w:rPr>
          <w:rFonts w:cs="Segoe UI"/>
          <w:i/>
        </w:rPr>
        <w:t> </w:t>
      </w:r>
      <w:r w:rsidR="008A1644" w:rsidRPr="008A1644">
        <w:rPr>
          <w:rFonts w:cs="Segoe UI"/>
          <w:i/>
        </w:rPr>
        <w:t>Ora Aotearoa:</w:t>
      </w:r>
      <w:r w:rsidR="008A1644">
        <w:rPr>
          <w:rFonts w:cs="Segoe UI"/>
          <w:i/>
        </w:rPr>
        <w:t xml:space="preserve"> </w:t>
      </w:r>
      <w:r w:rsidR="00DA6633">
        <w:rPr>
          <w:rFonts w:cs="Segoe UI"/>
          <w:i/>
        </w:rPr>
        <w:t>COVID</w:t>
      </w:r>
      <w:r w:rsidR="00DA6633">
        <w:rPr>
          <w:rFonts w:cs="Segoe UI"/>
          <w:i/>
        </w:rPr>
        <w:noBreakHyphen/>
        <w:t>19</w:t>
      </w:r>
      <w:r w:rsidR="008A1644" w:rsidRPr="008A1644">
        <w:rPr>
          <w:rFonts w:cs="Segoe UI"/>
          <w:i/>
        </w:rPr>
        <w:t xml:space="preserve"> Psychosocial and Mental Wellbeing Recovery Plan</w:t>
      </w:r>
      <w:r w:rsidR="00442C1C" w:rsidRPr="00C05132">
        <w:rPr>
          <w:rFonts w:cs="Segoe UI"/>
        </w:rPr>
        <w:t>. Wellington: Ministry of Health.</w:t>
      </w:r>
    </w:p>
    <w:p w14:paraId="30763E25" w14:textId="77777777" w:rsidR="00C86248" w:rsidRDefault="00C86248">
      <w:pPr>
        <w:pStyle w:val="Imprint"/>
      </w:pPr>
      <w:r>
        <w:t xml:space="preserve">Published in </w:t>
      </w:r>
      <w:r w:rsidR="008A1644">
        <w:t>September</w:t>
      </w:r>
      <w:r w:rsidR="00D27922">
        <w:t xml:space="preserve"> </w:t>
      </w:r>
      <w:r w:rsidR="003235C6">
        <w:t>20</w:t>
      </w:r>
      <w:r w:rsidR="00FB0A5B">
        <w:t>20</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30763E26" w14:textId="3C4CCDA4" w:rsidR="00082CD6" w:rsidRPr="009C0F2D" w:rsidRDefault="00D863D0" w:rsidP="00082CD6">
      <w:pPr>
        <w:pStyle w:val="Imprint"/>
      </w:pPr>
      <w:r>
        <w:t>ISBN</w:t>
      </w:r>
      <w:r w:rsidR="00442C1C">
        <w:t xml:space="preserve"> </w:t>
      </w:r>
      <w:r w:rsidR="004017BE" w:rsidRPr="004017BE">
        <w:t>978-1-99-002948-6</w:t>
      </w:r>
      <w:r w:rsidR="004017BE">
        <w:t xml:space="preserve"> </w:t>
      </w:r>
      <w:r>
        <w:t>(</w:t>
      </w:r>
      <w:r w:rsidR="00442C1C">
        <w:t>online</w:t>
      </w:r>
      <w:r>
        <w:t>)</w:t>
      </w:r>
      <w:r w:rsidR="00082CD6">
        <w:br/>
      </w:r>
      <w:r w:rsidR="00082CD6" w:rsidRPr="009C0F2D">
        <w:t xml:space="preserve">HP </w:t>
      </w:r>
      <w:r w:rsidR="00837A8B">
        <w:t>7479</w:t>
      </w:r>
    </w:p>
    <w:p w14:paraId="30763E27" w14:textId="77777777" w:rsidR="00C86248" w:rsidRDefault="008C64C4" w:rsidP="00D27922">
      <w:pPr>
        <w:spacing w:before="360"/>
      </w:pPr>
      <w:bookmarkStart w:id="0" w:name="_GoBack"/>
      <w:r>
        <w:rPr>
          <w:noProof/>
          <w:lang w:eastAsia="en-NZ"/>
        </w:rPr>
        <w:drawing>
          <wp:inline distT="0" distB="0" distL="0" distR="0" wp14:anchorId="30763FC9" wp14:editId="797FD881">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bookmarkEnd w:id="0"/>
    </w:p>
    <w:p w14:paraId="30763E28" w14:textId="77777777" w:rsidR="00A63DFF" w:rsidRDefault="00A63DFF" w:rsidP="00A63DFF">
      <w:pPr>
        <w:pStyle w:val="Imprint"/>
        <w:spacing w:before="240" w:after="480"/>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30763E2B" w14:textId="77777777" w:rsidTr="00A63DFF">
        <w:trPr>
          <w:cantSplit/>
        </w:trPr>
        <w:tc>
          <w:tcPr>
            <w:tcW w:w="1526" w:type="dxa"/>
          </w:tcPr>
          <w:p w14:paraId="30763E29"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30763FCB" wp14:editId="30763FC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0763E2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w:t>
            </w:r>
            <w:proofErr w:type="gramStart"/>
            <w:r w:rsidRPr="00A63DFF">
              <w:rPr>
                <w:rFonts w:cs="Segoe UI"/>
                <w:sz w:val="15"/>
                <w:szCs w:val="15"/>
              </w:rPr>
              <w:t xml:space="preserve">In essence, </w:t>
            </w:r>
            <w:r w:rsidRPr="00A63DFF">
              <w:rPr>
                <w:rFonts w:cs="Segoe UI"/>
                <w:bCs/>
                <w:sz w:val="15"/>
                <w:szCs w:val="15"/>
              </w:rPr>
              <w:t>you</w:t>
            </w:r>
            <w:proofErr w:type="gramEnd"/>
            <w:r w:rsidRPr="00A63DFF">
              <w:rPr>
                <w:rFonts w:cs="Segoe UI"/>
                <w:bCs/>
                <w:sz w:val="15"/>
                <w:szCs w:val="15"/>
              </w:rPr>
              <w:t xml:space="preserve">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30763E2C" w14:textId="77777777" w:rsidR="007E74F1" w:rsidRPr="001F45A7" w:rsidRDefault="007E74F1" w:rsidP="006E2886">
      <w:pPr>
        <w:pStyle w:val="Imprint"/>
      </w:pPr>
    </w:p>
    <w:p w14:paraId="30763E2D" w14:textId="77777777" w:rsidR="00C86248" w:rsidRDefault="00C86248">
      <w:pPr>
        <w:jc w:val="center"/>
        <w:sectPr w:rsidR="00C86248" w:rsidSect="00925892">
          <w:footerReference w:type="even" r:id="rId12"/>
          <w:footerReference w:type="default" r:id="rId13"/>
          <w:pgSz w:w="11907" w:h="16834" w:code="9"/>
          <w:pgMar w:top="1701" w:right="2268" w:bottom="1134" w:left="2268" w:header="0" w:footer="0" w:gutter="0"/>
          <w:cols w:space="720"/>
          <w:vAlign w:val="bottom"/>
        </w:sectPr>
      </w:pPr>
    </w:p>
    <w:p w14:paraId="30763E2E" w14:textId="77777777" w:rsidR="00C86248" w:rsidRDefault="00C86248" w:rsidP="00025A6F">
      <w:pPr>
        <w:pStyle w:val="IntroHead"/>
      </w:pPr>
      <w:bookmarkStart w:id="1" w:name="_Toc405792991"/>
      <w:bookmarkStart w:id="2" w:name="_Toc405793224"/>
      <w:r>
        <w:lastRenderedPageBreak/>
        <w:t>Contents</w:t>
      </w:r>
      <w:bookmarkEnd w:id="1"/>
      <w:bookmarkEnd w:id="2"/>
    </w:p>
    <w:p w14:paraId="096B0F62" w14:textId="7DE2F634" w:rsidR="00A900A4" w:rsidRDefault="00A900A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2284893" w:history="1">
        <w:r w:rsidRPr="00E06E61">
          <w:rPr>
            <w:rStyle w:val="Hyperlink"/>
            <w:noProof/>
          </w:rPr>
          <w:t>About the Plan and request for feedback</w:t>
        </w:r>
        <w:r>
          <w:rPr>
            <w:noProof/>
            <w:webHidden/>
          </w:rPr>
          <w:tab/>
        </w:r>
        <w:r>
          <w:rPr>
            <w:noProof/>
            <w:webHidden/>
          </w:rPr>
          <w:fldChar w:fldCharType="begin"/>
        </w:r>
        <w:r>
          <w:rPr>
            <w:noProof/>
            <w:webHidden/>
          </w:rPr>
          <w:instrText xml:space="preserve"> PAGEREF _Toc52284893 \h </w:instrText>
        </w:r>
        <w:r>
          <w:rPr>
            <w:noProof/>
            <w:webHidden/>
          </w:rPr>
        </w:r>
        <w:r>
          <w:rPr>
            <w:noProof/>
            <w:webHidden/>
          </w:rPr>
          <w:fldChar w:fldCharType="separate"/>
        </w:r>
        <w:r w:rsidR="000D33E1">
          <w:rPr>
            <w:noProof/>
            <w:webHidden/>
          </w:rPr>
          <w:t>1</w:t>
        </w:r>
        <w:r>
          <w:rPr>
            <w:noProof/>
            <w:webHidden/>
          </w:rPr>
          <w:fldChar w:fldCharType="end"/>
        </w:r>
      </w:hyperlink>
    </w:p>
    <w:p w14:paraId="6B39C8D0" w14:textId="0367CBF6" w:rsidR="00A900A4" w:rsidRDefault="00A900A4">
      <w:pPr>
        <w:pStyle w:val="TOC1"/>
        <w:rPr>
          <w:rFonts w:asciiTheme="minorHAnsi" w:eastAsiaTheme="minorEastAsia" w:hAnsiTheme="minorHAnsi" w:cstheme="minorBidi"/>
          <w:noProof/>
          <w:sz w:val="22"/>
          <w:szCs w:val="22"/>
          <w:lang w:eastAsia="en-NZ"/>
        </w:rPr>
      </w:pPr>
      <w:hyperlink w:anchor="_Toc52284894" w:history="1">
        <w:r w:rsidRPr="00E06E61">
          <w:rPr>
            <w:rStyle w:val="Hyperlink"/>
            <w:noProof/>
          </w:rPr>
          <w:t>Who provided feedback?</w:t>
        </w:r>
        <w:r>
          <w:rPr>
            <w:noProof/>
            <w:webHidden/>
          </w:rPr>
          <w:tab/>
        </w:r>
        <w:r>
          <w:rPr>
            <w:noProof/>
            <w:webHidden/>
          </w:rPr>
          <w:fldChar w:fldCharType="begin"/>
        </w:r>
        <w:r>
          <w:rPr>
            <w:noProof/>
            <w:webHidden/>
          </w:rPr>
          <w:instrText xml:space="preserve"> PAGEREF _Toc52284894 \h </w:instrText>
        </w:r>
        <w:r>
          <w:rPr>
            <w:noProof/>
            <w:webHidden/>
          </w:rPr>
        </w:r>
        <w:r>
          <w:rPr>
            <w:noProof/>
            <w:webHidden/>
          </w:rPr>
          <w:fldChar w:fldCharType="separate"/>
        </w:r>
        <w:r w:rsidR="000D33E1">
          <w:rPr>
            <w:noProof/>
            <w:webHidden/>
          </w:rPr>
          <w:t>2</w:t>
        </w:r>
        <w:r>
          <w:rPr>
            <w:noProof/>
            <w:webHidden/>
          </w:rPr>
          <w:fldChar w:fldCharType="end"/>
        </w:r>
      </w:hyperlink>
    </w:p>
    <w:p w14:paraId="22D9C5D5" w14:textId="197BC830" w:rsidR="00A900A4" w:rsidRDefault="00A900A4">
      <w:pPr>
        <w:pStyle w:val="TOC1"/>
        <w:rPr>
          <w:rFonts w:asciiTheme="minorHAnsi" w:eastAsiaTheme="minorEastAsia" w:hAnsiTheme="minorHAnsi" w:cstheme="minorBidi"/>
          <w:noProof/>
          <w:sz w:val="22"/>
          <w:szCs w:val="22"/>
          <w:lang w:eastAsia="en-NZ"/>
        </w:rPr>
      </w:pPr>
      <w:hyperlink w:anchor="_Toc52284895" w:history="1">
        <w:r w:rsidRPr="00E06E61">
          <w:rPr>
            <w:rStyle w:val="Hyperlink"/>
            <w:noProof/>
          </w:rPr>
          <w:t>Feedback on the overall framing of the Plan</w:t>
        </w:r>
        <w:r>
          <w:rPr>
            <w:noProof/>
            <w:webHidden/>
          </w:rPr>
          <w:tab/>
        </w:r>
        <w:r>
          <w:rPr>
            <w:noProof/>
            <w:webHidden/>
          </w:rPr>
          <w:fldChar w:fldCharType="begin"/>
        </w:r>
        <w:r>
          <w:rPr>
            <w:noProof/>
            <w:webHidden/>
          </w:rPr>
          <w:instrText xml:space="preserve"> PAGEREF _Toc52284895 \h </w:instrText>
        </w:r>
        <w:r>
          <w:rPr>
            <w:noProof/>
            <w:webHidden/>
          </w:rPr>
        </w:r>
        <w:r>
          <w:rPr>
            <w:noProof/>
            <w:webHidden/>
          </w:rPr>
          <w:fldChar w:fldCharType="separate"/>
        </w:r>
        <w:r w:rsidR="000D33E1">
          <w:rPr>
            <w:noProof/>
            <w:webHidden/>
          </w:rPr>
          <w:t>3</w:t>
        </w:r>
        <w:r>
          <w:rPr>
            <w:noProof/>
            <w:webHidden/>
          </w:rPr>
          <w:fldChar w:fldCharType="end"/>
        </w:r>
      </w:hyperlink>
    </w:p>
    <w:p w14:paraId="17873002" w14:textId="031F52EA" w:rsidR="00A900A4" w:rsidRDefault="00A900A4">
      <w:pPr>
        <w:pStyle w:val="TOC1"/>
        <w:rPr>
          <w:rFonts w:asciiTheme="minorHAnsi" w:eastAsiaTheme="minorEastAsia" w:hAnsiTheme="minorHAnsi" w:cstheme="minorBidi"/>
          <w:noProof/>
          <w:sz w:val="22"/>
          <w:szCs w:val="22"/>
          <w:lang w:eastAsia="en-NZ"/>
        </w:rPr>
      </w:pPr>
      <w:hyperlink w:anchor="_Toc52284896" w:history="1">
        <w:r w:rsidRPr="00E06E61">
          <w:rPr>
            <w:rStyle w:val="Hyperlink"/>
            <w:noProof/>
          </w:rPr>
          <w:t>Feedback on the principles</w:t>
        </w:r>
        <w:r>
          <w:rPr>
            <w:noProof/>
            <w:webHidden/>
          </w:rPr>
          <w:tab/>
        </w:r>
        <w:r>
          <w:rPr>
            <w:noProof/>
            <w:webHidden/>
          </w:rPr>
          <w:fldChar w:fldCharType="begin"/>
        </w:r>
        <w:r>
          <w:rPr>
            <w:noProof/>
            <w:webHidden/>
          </w:rPr>
          <w:instrText xml:space="preserve"> PAGEREF _Toc52284896 \h </w:instrText>
        </w:r>
        <w:r>
          <w:rPr>
            <w:noProof/>
            <w:webHidden/>
          </w:rPr>
        </w:r>
        <w:r>
          <w:rPr>
            <w:noProof/>
            <w:webHidden/>
          </w:rPr>
          <w:fldChar w:fldCharType="separate"/>
        </w:r>
        <w:r w:rsidR="000D33E1">
          <w:rPr>
            <w:noProof/>
            <w:webHidden/>
          </w:rPr>
          <w:t>5</w:t>
        </w:r>
        <w:r>
          <w:rPr>
            <w:noProof/>
            <w:webHidden/>
          </w:rPr>
          <w:fldChar w:fldCharType="end"/>
        </w:r>
      </w:hyperlink>
    </w:p>
    <w:p w14:paraId="384975F9" w14:textId="54EC4EA0" w:rsidR="00A900A4" w:rsidRDefault="00A900A4">
      <w:pPr>
        <w:pStyle w:val="TOC1"/>
        <w:rPr>
          <w:rFonts w:asciiTheme="minorHAnsi" w:eastAsiaTheme="minorEastAsia" w:hAnsiTheme="minorHAnsi" w:cstheme="minorBidi"/>
          <w:noProof/>
          <w:sz w:val="22"/>
          <w:szCs w:val="22"/>
          <w:lang w:eastAsia="en-NZ"/>
        </w:rPr>
      </w:pPr>
      <w:hyperlink w:anchor="_Toc52284897" w:history="1">
        <w:r w:rsidRPr="00E06E61">
          <w:rPr>
            <w:rStyle w:val="Hyperlink"/>
            <w:noProof/>
          </w:rPr>
          <w:t>Feedback on the focus areas</w:t>
        </w:r>
        <w:r>
          <w:rPr>
            <w:noProof/>
            <w:webHidden/>
          </w:rPr>
          <w:tab/>
        </w:r>
        <w:r>
          <w:rPr>
            <w:noProof/>
            <w:webHidden/>
          </w:rPr>
          <w:fldChar w:fldCharType="begin"/>
        </w:r>
        <w:r>
          <w:rPr>
            <w:noProof/>
            <w:webHidden/>
          </w:rPr>
          <w:instrText xml:space="preserve"> PAGEREF _Toc52284897 \h </w:instrText>
        </w:r>
        <w:r>
          <w:rPr>
            <w:noProof/>
            <w:webHidden/>
          </w:rPr>
        </w:r>
        <w:r>
          <w:rPr>
            <w:noProof/>
            <w:webHidden/>
          </w:rPr>
          <w:fldChar w:fldCharType="separate"/>
        </w:r>
        <w:r w:rsidR="000D33E1">
          <w:rPr>
            <w:noProof/>
            <w:webHidden/>
          </w:rPr>
          <w:t>7</w:t>
        </w:r>
        <w:r>
          <w:rPr>
            <w:noProof/>
            <w:webHidden/>
          </w:rPr>
          <w:fldChar w:fldCharType="end"/>
        </w:r>
      </w:hyperlink>
    </w:p>
    <w:p w14:paraId="753FA29A" w14:textId="4351826C" w:rsidR="00A900A4" w:rsidRDefault="00A900A4">
      <w:pPr>
        <w:pStyle w:val="TOC1"/>
        <w:rPr>
          <w:rFonts w:asciiTheme="minorHAnsi" w:eastAsiaTheme="minorEastAsia" w:hAnsiTheme="minorHAnsi" w:cstheme="minorBidi"/>
          <w:noProof/>
          <w:sz w:val="22"/>
          <w:szCs w:val="22"/>
          <w:lang w:eastAsia="en-NZ"/>
        </w:rPr>
      </w:pPr>
      <w:hyperlink w:anchor="_Toc52284898" w:history="1">
        <w:r w:rsidRPr="00E06E61">
          <w:rPr>
            <w:rStyle w:val="Hyperlink"/>
            <w:noProof/>
          </w:rPr>
          <w:t>Feedback on enablers</w:t>
        </w:r>
        <w:r>
          <w:rPr>
            <w:noProof/>
            <w:webHidden/>
          </w:rPr>
          <w:tab/>
        </w:r>
        <w:r>
          <w:rPr>
            <w:noProof/>
            <w:webHidden/>
          </w:rPr>
          <w:fldChar w:fldCharType="begin"/>
        </w:r>
        <w:r>
          <w:rPr>
            <w:noProof/>
            <w:webHidden/>
          </w:rPr>
          <w:instrText xml:space="preserve"> PAGEREF _Toc52284898 \h </w:instrText>
        </w:r>
        <w:r>
          <w:rPr>
            <w:noProof/>
            <w:webHidden/>
          </w:rPr>
        </w:r>
        <w:r>
          <w:rPr>
            <w:noProof/>
            <w:webHidden/>
          </w:rPr>
          <w:fldChar w:fldCharType="separate"/>
        </w:r>
        <w:r w:rsidR="000D33E1">
          <w:rPr>
            <w:noProof/>
            <w:webHidden/>
          </w:rPr>
          <w:t>10</w:t>
        </w:r>
        <w:r>
          <w:rPr>
            <w:noProof/>
            <w:webHidden/>
          </w:rPr>
          <w:fldChar w:fldCharType="end"/>
        </w:r>
      </w:hyperlink>
    </w:p>
    <w:p w14:paraId="254DE349" w14:textId="47E598DA" w:rsidR="00A900A4" w:rsidRDefault="00A900A4">
      <w:pPr>
        <w:pStyle w:val="TOC1"/>
        <w:rPr>
          <w:rFonts w:asciiTheme="minorHAnsi" w:eastAsiaTheme="minorEastAsia" w:hAnsiTheme="minorHAnsi" w:cstheme="minorBidi"/>
          <w:noProof/>
          <w:sz w:val="22"/>
          <w:szCs w:val="22"/>
          <w:lang w:eastAsia="en-NZ"/>
        </w:rPr>
      </w:pPr>
      <w:hyperlink w:anchor="_Toc52284899" w:history="1">
        <w:r w:rsidRPr="00E06E61">
          <w:rPr>
            <w:rStyle w:val="Hyperlink"/>
            <w:noProof/>
          </w:rPr>
          <w:t>Who is impacted?</w:t>
        </w:r>
        <w:r>
          <w:rPr>
            <w:noProof/>
            <w:webHidden/>
          </w:rPr>
          <w:tab/>
        </w:r>
        <w:r>
          <w:rPr>
            <w:noProof/>
            <w:webHidden/>
          </w:rPr>
          <w:fldChar w:fldCharType="begin"/>
        </w:r>
        <w:r>
          <w:rPr>
            <w:noProof/>
            <w:webHidden/>
          </w:rPr>
          <w:instrText xml:space="preserve"> PAGEREF _Toc52284899 \h </w:instrText>
        </w:r>
        <w:r>
          <w:rPr>
            <w:noProof/>
            <w:webHidden/>
          </w:rPr>
        </w:r>
        <w:r>
          <w:rPr>
            <w:noProof/>
            <w:webHidden/>
          </w:rPr>
          <w:fldChar w:fldCharType="separate"/>
        </w:r>
        <w:r w:rsidR="000D33E1">
          <w:rPr>
            <w:noProof/>
            <w:webHidden/>
          </w:rPr>
          <w:t>12</w:t>
        </w:r>
        <w:r>
          <w:rPr>
            <w:noProof/>
            <w:webHidden/>
          </w:rPr>
          <w:fldChar w:fldCharType="end"/>
        </w:r>
      </w:hyperlink>
    </w:p>
    <w:p w14:paraId="38152C61" w14:textId="1AAEFE7A" w:rsidR="00A900A4" w:rsidRDefault="00A900A4">
      <w:pPr>
        <w:pStyle w:val="TOC1"/>
        <w:rPr>
          <w:rFonts w:asciiTheme="minorHAnsi" w:eastAsiaTheme="minorEastAsia" w:hAnsiTheme="minorHAnsi" w:cstheme="minorBidi"/>
          <w:noProof/>
          <w:sz w:val="22"/>
          <w:szCs w:val="22"/>
          <w:lang w:eastAsia="en-NZ"/>
        </w:rPr>
      </w:pPr>
      <w:hyperlink w:anchor="_Toc52284900" w:history="1">
        <w:r w:rsidRPr="00E06E61">
          <w:rPr>
            <w:rStyle w:val="Hyperlink"/>
            <w:noProof/>
          </w:rPr>
          <w:t>Positive examples and contributions</w:t>
        </w:r>
        <w:r>
          <w:rPr>
            <w:noProof/>
            <w:webHidden/>
          </w:rPr>
          <w:tab/>
        </w:r>
        <w:r>
          <w:rPr>
            <w:noProof/>
            <w:webHidden/>
          </w:rPr>
          <w:fldChar w:fldCharType="begin"/>
        </w:r>
        <w:r>
          <w:rPr>
            <w:noProof/>
            <w:webHidden/>
          </w:rPr>
          <w:instrText xml:space="preserve"> PAGEREF _Toc52284900 \h </w:instrText>
        </w:r>
        <w:r>
          <w:rPr>
            <w:noProof/>
            <w:webHidden/>
          </w:rPr>
        </w:r>
        <w:r>
          <w:rPr>
            <w:noProof/>
            <w:webHidden/>
          </w:rPr>
          <w:fldChar w:fldCharType="separate"/>
        </w:r>
        <w:r w:rsidR="000D33E1">
          <w:rPr>
            <w:noProof/>
            <w:webHidden/>
          </w:rPr>
          <w:t>14</w:t>
        </w:r>
        <w:r>
          <w:rPr>
            <w:noProof/>
            <w:webHidden/>
          </w:rPr>
          <w:fldChar w:fldCharType="end"/>
        </w:r>
      </w:hyperlink>
    </w:p>
    <w:p w14:paraId="1F545C4F" w14:textId="367FF670" w:rsidR="00A900A4" w:rsidRDefault="00A900A4">
      <w:pPr>
        <w:pStyle w:val="TOC1"/>
        <w:rPr>
          <w:rFonts w:asciiTheme="minorHAnsi" w:eastAsiaTheme="minorEastAsia" w:hAnsiTheme="minorHAnsi" w:cstheme="minorBidi"/>
          <w:noProof/>
          <w:sz w:val="22"/>
          <w:szCs w:val="22"/>
          <w:lang w:eastAsia="en-NZ"/>
        </w:rPr>
      </w:pPr>
      <w:hyperlink w:anchor="_Toc52284901" w:history="1">
        <w:r w:rsidRPr="00E06E61">
          <w:rPr>
            <w:rStyle w:val="Hyperlink"/>
            <w:noProof/>
          </w:rPr>
          <w:t>How to progress the Plan</w:t>
        </w:r>
        <w:r>
          <w:rPr>
            <w:noProof/>
            <w:webHidden/>
          </w:rPr>
          <w:tab/>
        </w:r>
        <w:r>
          <w:rPr>
            <w:noProof/>
            <w:webHidden/>
          </w:rPr>
          <w:fldChar w:fldCharType="begin"/>
        </w:r>
        <w:r>
          <w:rPr>
            <w:noProof/>
            <w:webHidden/>
          </w:rPr>
          <w:instrText xml:space="preserve"> PAGEREF _Toc52284901 \h </w:instrText>
        </w:r>
        <w:r>
          <w:rPr>
            <w:noProof/>
            <w:webHidden/>
          </w:rPr>
        </w:r>
        <w:r>
          <w:rPr>
            <w:noProof/>
            <w:webHidden/>
          </w:rPr>
          <w:fldChar w:fldCharType="separate"/>
        </w:r>
        <w:r w:rsidR="000D33E1">
          <w:rPr>
            <w:noProof/>
            <w:webHidden/>
          </w:rPr>
          <w:t>16</w:t>
        </w:r>
        <w:r>
          <w:rPr>
            <w:noProof/>
            <w:webHidden/>
          </w:rPr>
          <w:fldChar w:fldCharType="end"/>
        </w:r>
      </w:hyperlink>
    </w:p>
    <w:p w14:paraId="0265F8BA" w14:textId="248BF4CF" w:rsidR="00A900A4" w:rsidRDefault="00A900A4">
      <w:pPr>
        <w:pStyle w:val="TOC1"/>
        <w:rPr>
          <w:rFonts w:asciiTheme="minorHAnsi" w:eastAsiaTheme="minorEastAsia" w:hAnsiTheme="minorHAnsi" w:cstheme="minorBidi"/>
          <w:noProof/>
          <w:sz w:val="22"/>
          <w:szCs w:val="22"/>
          <w:lang w:eastAsia="en-NZ"/>
        </w:rPr>
      </w:pPr>
      <w:hyperlink w:anchor="_Toc52284902" w:history="1">
        <w:r w:rsidRPr="00E06E61">
          <w:rPr>
            <w:rStyle w:val="Hyperlink"/>
            <w:noProof/>
          </w:rPr>
          <w:t>Next steps</w:t>
        </w:r>
        <w:r>
          <w:rPr>
            <w:noProof/>
            <w:webHidden/>
          </w:rPr>
          <w:tab/>
        </w:r>
        <w:r>
          <w:rPr>
            <w:noProof/>
            <w:webHidden/>
          </w:rPr>
          <w:fldChar w:fldCharType="begin"/>
        </w:r>
        <w:r>
          <w:rPr>
            <w:noProof/>
            <w:webHidden/>
          </w:rPr>
          <w:instrText xml:space="preserve"> PAGEREF _Toc52284902 \h </w:instrText>
        </w:r>
        <w:r>
          <w:rPr>
            <w:noProof/>
            <w:webHidden/>
          </w:rPr>
        </w:r>
        <w:r>
          <w:rPr>
            <w:noProof/>
            <w:webHidden/>
          </w:rPr>
          <w:fldChar w:fldCharType="separate"/>
        </w:r>
        <w:r w:rsidR="000D33E1">
          <w:rPr>
            <w:noProof/>
            <w:webHidden/>
          </w:rPr>
          <w:t>18</w:t>
        </w:r>
        <w:r>
          <w:rPr>
            <w:noProof/>
            <w:webHidden/>
          </w:rPr>
          <w:fldChar w:fldCharType="end"/>
        </w:r>
      </w:hyperlink>
    </w:p>
    <w:p w14:paraId="1D03A9A0" w14:textId="0A089762" w:rsidR="00A900A4" w:rsidRDefault="00A900A4">
      <w:pPr>
        <w:pStyle w:val="TOC1"/>
        <w:rPr>
          <w:rFonts w:asciiTheme="minorHAnsi" w:eastAsiaTheme="minorEastAsia" w:hAnsiTheme="minorHAnsi" w:cstheme="minorBidi"/>
          <w:noProof/>
          <w:sz w:val="22"/>
          <w:szCs w:val="22"/>
          <w:lang w:eastAsia="en-NZ"/>
        </w:rPr>
      </w:pPr>
      <w:hyperlink w:anchor="_Toc52284903" w:history="1">
        <w:r w:rsidRPr="00E06E61">
          <w:rPr>
            <w:rStyle w:val="Hyperlink"/>
            <w:noProof/>
          </w:rPr>
          <w:t>Appendix A: COVID</w:t>
        </w:r>
        <w:r w:rsidRPr="00E06E61">
          <w:rPr>
            <w:rStyle w:val="Hyperlink"/>
            <w:noProof/>
          </w:rPr>
          <w:noBreakHyphen/>
          <w:t>19 Psychosocial and Mental Wellbeing Recovery Framework, May 2020</w:t>
        </w:r>
        <w:r>
          <w:rPr>
            <w:noProof/>
            <w:webHidden/>
          </w:rPr>
          <w:tab/>
        </w:r>
        <w:r>
          <w:rPr>
            <w:noProof/>
            <w:webHidden/>
          </w:rPr>
          <w:fldChar w:fldCharType="begin"/>
        </w:r>
        <w:r>
          <w:rPr>
            <w:noProof/>
            <w:webHidden/>
          </w:rPr>
          <w:instrText xml:space="preserve"> PAGEREF _Toc52284903 \h </w:instrText>
        </w:r>
        <w:r>
          <w:rPr>
            <w:noProof/>
            <w:webHidden/>
          </w:rPr>
        </w:r>
        <w:r>
          <w:rPr>
            <w:noProof/>
            <w:webHidden/>
          </w:rPr>
          <w:fldChar w:fldCharType="separate"/>
        </w:r>
        <w:r w:rsidR="000D33E1">
          <w:rPr>
            <w:noProof/>
            <w:webHidden/>
          </w:rPr>
          <w:t>19</w:t>
        </w:r>
        <w:r>
          <w:rPr>
            <w:noProof/>
            <w:webHidden/>
          </w:rPr>
          <w:fldChar w:fldCharType="end"/>
        </w:r>
      </w:hyperlink>
    </w:p>
    <w:p w14:paraId="30763E55" w14:textId="11FE72D0" w:rsidR="00C86248" w:rsidRDefault="00A900A4">
      <w:r>
        <w:rPr>
          <w:rFonts w:ascii="Segoe UI Semibold" w:hAnsi="Segoe UI Semibold"/>
          <w:b/>
          <w:sz w:val="24"/>
        </w:rPr>
        <w:fldChar w:fldCharType="end"/>
      </w:r>
    </w:p>
    <w:p w14:paraId="30763E56" w14:textId="77777777" w:rsidR="00FB0A5B" w:rsidRDefault="00FB0A5B" w:rsidP="003A5FEA"/>
    <w:p w14:paraId="30763E57" w14:textId="77777777" w:rsidR="001D3E4E" w:rsidRDefault="001D3E4E" w:rsidP="003A5FEA">
      <w:pPr>
        <w:sectPr w:rsidR="001D3E4E"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30763E58" w14:textId="77777777" w:rsidR="008A1644" w:rsidRPr="008337A0" w:rsidRDefault="008A1644" w:rsidP="008A1644">
      <w:pPr>
        <w:pStyle w:val="Heading1"/>
      </w:pPr>
      <w:bookmarkStart w:id="3" w:name="_Toc52284893"/>
      <w:r w:rsidRPr="008337A0">
        <w:lastRenderedPageBreak/>
        <w:t xml:space="preserve">About the </w:t>
      </w:r>
      <w:r>
        <w:t>P</w:t>
      </w:r>
      <w:r w:rsidRPr="008337A0">
        <w:t>lan and request for feedback</w:t>
      </w:r>
      <w:bookmarkEnd w:id="3"/>
    </w:p>
    <w:p w14:paraId="30763E59" w14:textId="77777777" w:rsidR="008A1644" w:rsidRPr="00E06A8C" w:rsidRDefault="008A1644" w:rsidP="008A1644">
      <w:r w:rsidRPr="008A1644">
        <w:rPr>
          <w:i/>
        </w:rPr>
        <w:t xml:space="preserve">Kia Kaha, Kia </w:t>
      </w:r>
      <w:proofErr w:type="spellStart"/>
      <w:r w:rsidRPr="008A1644">
        <w:rPr>
          <w:i/>
        </w:rPr>
        <w:t>Māia</w:t>
      </w:r>
      <w:proofErr w:type="spellEnd"/>
      <w:r w:rsidRPr="008A1644">
        <w:rPr>
          <w:i/>
        </w:rPr>
        <w:t xml:space="preserve">, Kia Ora Aotearoa: </w:t>
      </w:r>
      <w:r w:rsidR="00DA6633">
        <w:rPr>
          <w:i/>
        </w:rPr>
        <w:t>COVID</w:t>
      </w:r>
      <w:r w:rsidR="00DA6633">
        <w:rPr>
          <w:i/>
        </w:rPr>
        <w:noBreakHyphen/>
        <w:t>19</w:t>
      </w:r>
      <w:r w:rsidRPr="008A1644">
        <w:rPr>
          <w:i/>
        </w:rPr>
        <w:t xml:space="preserve"> Psychosocial and Mental Wellbeing Recovery Plan</w:t>
      </w:r>
      <w:r w:rsidRPr="00E06A8C">
        <w:t xml:space="preserve"> (the Plan) was published on the Ministry of Health website on 16 May 2020.</w:t>
      </w:r>
    </w:p>
    <w:p w14:paraId="30763E5A" w14:textId="77777777" w:rsidR="00DA6633" w:rsidRDefault="00DA6633" w:rsidP="00DA6633"/>
    <w:p w14:paraId="30763E5B" w14:textId="77777777" w:rsidR="00183207" w:rsidRDefault="008A1644" w:rsidP="00DA6633">
      <w:r w:rsidRPr="00E06A8C">
        <w:t>The Plan provides a framework to guide national, regional and local action to support mental wellbeing as the nation responds</w:t>
      </w:r>
      <w:r>
        <w:t xml:space="preserve"> to</w:t>
      </w:r>
      <w:r w:rsidRPr="00E06A8C">
        <w:t xml:space="preserve"> and recovers from the </w:t>
      </w:r>
      <w:r w:rsidR="00DA6633">
        <w:t>COVID</w:t>
      </w:r>
      <w:r w:rsidR="00DA6633">
        <w:noBreakHyphen/>
        <w:t>19</w:t>
      </w:r>
      <w:r w:rsidRPr="00E06A8C">
        <w:t xml:space="preserve"> pandemic.</w:t>
      </w:r>
    </w:p>
    <w:p w14:paraId="30763E5C" w14:textId="77777777" w:rsidR="00DA6633" w:rsidRDefault="00DA6633" w:rsidP="00DA6633"/>
    <w:p w14:paraId="30763E5D" w14:textId="77777777" w:rsidR="008A1644" w:rsidRPr="00E06A8C" w:rsidRDefault="008A1644" w:rsidP="00DA6633">
      <w:r w:rsidRPr="00E06A8C">
        <w:t>Drawing on the directions for mental wellbeing proposed in</w:t>
      </w:r>
      <w:r w:rsidR="00DA6633">
        <w:rPr>
          <w:color w:val="333333"/>
          <w:shd w:val="clear" w:color="auto" w:fill="FFFFFF"/>
        </w:rPr>
        <w:t xml:space="preserve"> </w:t>
      </w:r>
      <w:hyperlink r:id="rId18" w:tgtFrame="_blank" w:history="1">
        <w:r w:rsidRPr="00DA6633">
          <w:rPr>
            <w:rFonts w:eastAsia="MS Gothic"/>
            <w:i/>
          </w:rPr>
          <w:t xml:space="preserve">He Ara </w:t>
        </w:r>
        <w:proofErr w:type="spellStart"/>
        <w:r w:rsidRPr="00DA6633">
          <w:rPr>
            <w:rFonts w:eastAsia="MS Gothic"/>
            <w:i/>
          </w:rPr>
          <w:t>Oranga</w:t>
        </w:r>
        <w:proofErr w:type="spellEnd"/>
        <w:r w:rsidRPr="00DA6633">
          <w:rPr>
            <w:rFonts w:eastAsia="MS Gothic"/>
            <w:i/>
          </w:rPr>
          <w:t>: Report of the Government Inquiry into Mental Health and Addiction</w:t>
        </w:r>
      </w:hyperlink>
      <w:r w:rsidRPr="00DA6633">
        <w:rPr>
          <w:rFonts w:eastAsia="MS Gothic"/>
        </w:rPr>
        <w:t xml:space="preserve"> </w:t>
      </w:r>
      <w:r w:rsidRPr="00DA6633">
        <w:t>(</w:t>
      </w:r>
      <w:r w:rsidRPr="001677E7">
        <w:rPr>
          <w:i/>
        </w:rPr>
        <w:t xml:space="preserve">He Ara </w:t>
      </w:r>
      <w:proofErr w:type="spellStart"/>
      <w:r w:rsidRPr="001677E7">
        <w:rPr>
          <w:i/>
        </w:rPr>
        <w:t>Oranga</w:t>
      </w:r>
      <w:proofErr w:type="spellEnd"/>
      <w:r w:rsidRPr="009831B7">
        <w:rPr>
          <w:iCs/>
        </w:rPr>
        <w:t>)</w:t>
      </w:r>
      <w:r w:rsidRPr="001677E7">
        <w:rPr>
          <w:i/>
          <w:color w:val="333333"/>
          <w:shd w:val="clear" w:color="auto" w:fill="FFFFFF"/>
        </w:rPr>
        <w:t xml:space="preserve"> </w:t>
      </w:r>
      <w:r w:rsidRPr="001677E7">
        <w:t>the</w:t>
      </w:r>
      <w:r w:rsidRPr="00E06A8C">
        <w:t xml:space="preserve"> </w:t>
      </w:r>
      <w:r>
        <w:t>P</w:t>
      </w:r>
      <w:r w:rsidRPr="00E06A8C">
        <w:t xml:space="preserve">lan provides a vision, principles and focus areas to guide actions </w:t>
      </w:r>
      <w:r>
        <w:t xml:space="preserve">in this area </w:t>
      </w:r>
      <w:r w:rsidRPr="00E06A8C">
        <w:t>for the next 12</w:t>
      </w:r>
      <w:r>
        <w:t>–</w:t>
      </w:r>
      <w:r w:rsidRPr="00E06A8C">
        <w:t xml:space="preserve">18 months. Recognising that recovery will take several years, the </w:t>
      </w:r>
      <w:r>
        <w:t>P</w:t>
      </w:r>
      <w:r w:rsidRPr="00E06A8C">
        <w:t xml:space="preserve">lan is a </w:t>
      </w:r>
      <w:r w:rsidR="00183207">
        <w:t>‘</w:t>
      </w:r>
      <w:r w:rsidRPr="00E06A8C">
        <w:t>living document</w:t>
      </w:r>
      <w:r w:rsidR="00183207">
        <w:t>’</w:t>
      </w:r>
      <w:r>
        <w:t xml:space="preserve">, to be refreshed as the Ministry of Health </w:t>
      </w:r>
      <w:r w:rsidRPr="00E06A8C">
        <w:t>assess</w:t>
      </w:r>
      <w:r>
        <w:t>es</w:t>
      </w:r>
      <w:r w:rsidRPr="00E06A8C">
        <w:t xml:space="preserve"> the ongoing impacts of </w:t>
      </w:r>
      <w:r w:rsidR="00DA6633">
        <w:t>COVID</w:t>
      </w:r>
      <w:r w:rsidR="00DA6633">
        <w:noBreakHyphen/>
        <w:t>19.</w:t>
      </w:r>
    </w:p>
    <w:p w14:paraId="30763E5E" w14:textId="77777777" w:rsidR="00DA6633" w:rsidRDefault="00DA6633" w:rsidP="00DA6633"/>
    <w:p w14:paraId="30763E5F" w14:textId="77777777" w:rsidR="00183207" w:rsidRDefault="008A1644" w:rsidP="00DA6633">
      <w:r w:rsidRPr="00E06A8C">
        <w:t xml:space="preserve">The </w:t>
      </w:r>
      <w:r>
        <w:t>Ministry widely distributed the P</w:t>
      </w:r>
      <w:r w:rsidRPr="00E06A8C">
        <w:t xml:space="preserve">lan </w:t>
      </w:r>
      <w:r>
        <w:t>to stakeholders in the mental health and addiction sector for feedback</w:t>
      </w:r>
      <w:r w:rsidRPr="00E06A8C">
        <w:t xml:space="preserve">, and invited feedback </w:t>
      </w:r>
      <w:r>
        <w:t xml:space="preserve">from the public </w:t>
      </w:r>
      <w:r w:rsidRPr="00E06A8C">
        <w:t>via the Ministry</w:t>
      </w:r>
      <w:r w:rsidR="00183207">
        <w:t>’</w:t>
      </w:r>
      <w:r>
        <w:t>s Consultation Hub from 16 May to 17 June 2020.</w:t>
      </w:r>
    </w:p>
    <w:p w14:paraId="30763E60" w14:textId="77777777" w:rsidR="00DA6633" w:rsidRDefault="00DA6633" w:rsidP="00DA6633"/>
    <w:p w14:paraId="30763E61" w14:textId="77777777" w:rsidR="008A1644" w:rsidRDefault="008A1644" w:rsidP="00DA6633">
      <w:r>
        <w:t>F</w:t>
      </w:r>
      <w:r w:rsidRPr="00172356">
        <w:t xml:space="preserve">eedback </w:t>
      </w:r>
      <w:r>
        <w:t xml:space="preserve">was sought </w:t>
      </w:r>
      <w:r w:rsidRPr="00172356">
        <w:t xml:space="preserve">on the </w:t>
      </w:r>
      <w:r>
        <w:t>Plan</w:t>
      </w:r>
      <w:r w:rsidR="00183207">
        <w:t>’</w:t>
      </w:r>
      <w:r>
        <w:t xml:space="preserve">s </w:t>
      </w:r>
      <w:r w:rsidRPr="00172356">
        <w:t>vision, purpose and focus areas; how organisations see their role in</w:t>
      </w:r>
      <w:r>
        <w:t xml:space="preserve"> implementing</w:t>
      </w:r>
      <w:r w:rsidRPr="00172356">
        <w:t xml:space="preserve"> the </w:t>
      </w:r>
      <w:r>
        <w:t>P</w:t>
      </w:r>
      <w:r w:rsidRPr="00172356">
        <w:t xml:space="preserve">lan; factors critical to </w:t>
      </w:r>
      <w:r>
        <w:t xml:space="preserve">the </w:t>
      </w:r>
      <w:r w:rsidRPr="00172356">
        <w:t xml:space="preserve">success of the </w:t>
      </w:r>
      <w:r>
        <w:t>P</w:t>
      </w:r>
      <w:r w:rsidRPr="00172356">
        <w:t>lan; positive examples of actions to support mental and social wellbeing; and whether there was anything missing.</w:t>
      </w:r>
    </w:p>
    <w:p w14:paraId="30763E62" w14:textId="77777777" w:rsidR="00DA6633" w:rsidRDefault="00DA6633" w:rsidP="00DA6633"/>
    <w:p w14:paraId="30763E63" w14:textId="77777777" w:rsidR="00183207" w:rsidRDefault="008A1644" w:rsidP="00DA6633">
      <w:r w:rsidRPr="00E06A8C">
        <w:t xml:space="preserve">This report summarises the prominent themes from </w:t>
      </w:r>
      <w:r>
        <w:t xml:space="preserve">that </w:t>
      </w:r>
      <w:r w:rsidRPr="00E06A8C">
        <w:t xml:space="preserve">feedback and includes examples of specific suggestions. </w:t>
      </w:r>
      <w:r>
        <w:t xml:space="preserve">Although it is not possible to outline </w:t>
      </w:r>
      <w:r w:rsidRPr="00E06A8C">
        <w:t xml:space="preserve">all </w:t>
      </w:r>
      <w:r>
        <w:t xml:space="preserve">the </w:t>
      </w:r>
      <w:r w:rsidRPr="00E06A8C">
        <w:t xml:space="preserve">comments </w:t>
      </w:r>
      <w:r>
        <w:t>we received</w:t>
      </w:r>
      <w:r w:rsidRPr="00E06A8C">
        <w:t xml:space="preserve">, </w:t>
      </w:r>
      <w:r>
        <w:t xml:space="preserve">we are considering them </w:t>
      </w:r>
      <w:r w:rsidRPr="00E06A8C">
        <w:t xml:space="preserve">all </w:t>
      </w:r>
      <w:r>
        <w:t xml:space="preserve">as we </w:t>
      </w:r>
      <w:r w:rsidRPr="00E06A8C">
        <w:t xml:space="preserve">shape a further iteration of the </w:t>
      </w:r>
      <w:r>
        <w:t>P</w:t>
      </w:r>
      <w:r w:rsidRPr="00E06A8C">
        <w:t>lan.</w:t>
      </w:r>
    </w:p>
    <w:p w14:paraId="30763E64" w14:textId="77777777" w:rsidR="00DA6633" w:rsidRDefault="00DA6633" w:rsidP="00DA6633"/>
    <w:p w14:paraId="30763E65" w14:textId="77777777" w:rsidR="00183207" w:rsidRDefault="008A1644" w:rsidP="00DA6633">
      <w:r w:rsidRPr="00E06A8C">
        <w:t xml:space="preserve">The feedback </w:t>
      </w:r>
      <w:r>
        <w:t xml:space="preserve">we received </w:t>
      </w:r>
      <w:r w:rsidRPr="00E06A8C">
        <w:t xml:space="preserve">has helped </w:t>
      </w:r>
      <w:r>
        <w:t xml:space="preserve">us </w:t>
      </w:r>
      <w:r w:rsidRPr="00E06A8C">
        <w:t xml:space="preserve">build a collective picture of actions </w:t>
      </w:r>
      <w:r>
        <w:t xml:space="preserve">supporting mental wellbeing taken </w:t>
      </w:r>
      <w:r w:rsidRPr="00E06A8C">
        <w:t xml:space="preserve">by government agencies, community organisations and other contributors during </w:t>
      </w:r>
      <w:r>
        <w:t xml:space="preserve">the March–May 2020 </w:t>
      </w:r>
      <w:r w:rsidRPr="00E06A8C">
        <w:t>lockdown.</w:t>
      </w:r>
    </w:p>
    <w:p w14:paraId="30763E66" w14:textId="77777777" w:rsidR="00DA6633" w:rsidRDefault="00DA6633" w:rsidP="00DA6633"/>
    <w:p w14:paraId="30763E67" w14:textId="77777777" w:rsidR="008A1644" w:rsidRDefault="008A1644" w:rsidP="00DA6633">
      <w:r w:rsidRPr="00E06A8C">
        <w:t xml:space="preserve">We thank all submitters for taking the time to provide </w:t>
      </w:r>
      <w:r>
        <w:t xml:space="preserve">their </w:t>
      </w:r>
      <w:r w:rsidRPr="00E06A8C">
        <w:t xml:space="preserve">considered comments to assist </w:t>
      </w:r>
      <w:r>
        <w:t xml:space="preserve">us in producing </w:t>
      </w:r>
      <w:r w:rsidRPr="00E06A8C">
        <w:t>the next iteration</w:t>
      </w:r>
      <w:r>
        <w:t xml:space="preserve"> of the Plan, which we intend to publish before the end of 2020.</w:t>
      </w:r>
    </w:p>
    <w:p w14:paraId="30763E68" w14:textId="77777777" w:rsidR="00DA6633" w:rsidRPr="00E06A8C" w:rsidRDefault="00DA6633" w:rsidP="00DA6633"/>
    <w:p w14:paraId="30763E69" w14:textId="77777777" w:rsidR="008A1644" w:rsidRPr="008337A0" w:rsidRDefault="008A1644" w:rsidP="008A1644">
      <w:pPr>
        <w:pStyle w:val="Heading1"/>
      </w:pPr>
      <w:bookmarkStart w:id="4" w:name="_Toc52284894"/>
      <w:r>
        <w:lastRenderedPageBreak/>
        <w:t>Who provided feedback?</w:t>
      </w:r>
      <w:bookmarkEnd w:id="4"/>
    </w:p>
    <w:p w14:paraId="30763E6A" w14:textId="77777777" w:rsidR="008A1644" w:rsidRDefault="008A1644" w:rsidP="00DA6633">
      <w:r w:rsidRPr="00172356">
        <w:t>We received 147 responses from a range of organisations, individuals and</w:t>
      </w:r>
      <w:r w:rsidR="00DA6633">
        <w:t xml:space="preserve"> networks.</w:t>
      </w:r>
    </w:p>
    <w:p w14:paraId="30763E6B" w14:textId="77777777" w:rsidR="00DA6633" w:rsidRPr="00172356" w:rsidRDefault="00DA6633" w:rsidP="00DA6633"/>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670"/>
        <w:gridCol w:w="709"/>
      </w:tblGrid>
      <w:tr w:rsidR="008A1644" w:rsidRPr="00DA6633" w14:paraId="30763E6E" w14:textId="77777777" w:rsidTr="00DA6633">
        <w:trPr>
          <w:cantSplit/>
        </w:trPr>
        <w:tc>
          <w:tcPr>
            <w:tcW w:w="5670" w:type="dxa"/>
            <w:tcBorders>
              <w:top w:val="nil"/>
              <w:bottom w:val="nil"/>
            </w:tcBorders>
            <w:shd w:val="clear" w:color="auto" w:fill="D9D9D9" w:themeFill="background1" w:themeFillShade="D9"/>
          </w:tcPr>
          <w:p w14:paraId="30763E6C" w14:textId="77777777" w:rsidR="008A1644" w:rsidRPr="00DA6633" w:rsidRDefault="008A1644" w:rsidP="00DA6633">
            <w:pPr>
              <w:pStyle w:val="TableText"/>
              <w:rPr>
                <w:b/>
              </w:rPr>
            </w:pPr>
            <w:r w:rsidRPr="00DA6633">
              <w:rPr>
                <w:b/>
              </w:rPr>
              <w:t>Who provided feedback</w:t>
            </w:r>
          </w:p>
        </w:tc>
        <w:tc>
          <w:tcPr>
            <w:tcW w:w="709" w:type="dxa"/>
            <w:tcBorders>
              <w:top w:val="nil"/>
              <w:bottom w:val="nil"/>
            </w:tcBorders>
            <w:shd w:val="clear" w:color="auto" w:fill="D9D9D9" w:themeFill="background1" w:themeFillShade="D9"/>
          </w:tcPr>
          <w:p w14:paraId="30763E6D" w14:textId="77777777" w:rsidR="008A1644" w:rsidRPr="00DA6633" w:rsidRDefault="008A1644" w:rsidP="00DA6633">
            <w:pPr>
              <w:pStyle w:val="TableText"/>
              <w:ind w:right="57"/>
              <w:jc w:val="right"/>
              <w:rPr>
                <w:b/>
                <w:bCs/>
              </w:rPr>
            </w:pPr>
          </w:p>
        </w:tc>
      </w:tr>
      <w:tr w:rsidR="008A1644" w:rsidRPr="00E908E1" w14:paraId="30763E71" w14:textId="77777777" w:rsidTr="00DA6633">
        <w:trPr>
          <w:cantSplit/>
        </w:trPr>
        <w:tc>
          <w:tcPr>
            <w:tcW w:w="5670" w:type="dxa"/>
            <w:tcBorders>
              <w:top w:val="nil"/>
            </w:tcBorders>
          </w:tcPr>
          <w:p w14:paraId="30763E6F" w14:textId="77777777" w:rsidR="008A1644" w:rsidRPr="00E908E1" w:rsidRDefault="008A1644" w:rsidP="00DA6633">
            <w:pPr>
              <w:pStyle w:val="TableText"/>
            </w:pPr>
            <w:r>
              <w:t>Government agencies (c</w:t>
            </w:r>
            <w:r w:rsidRPr="00E908E1">
              <w:t xml:space="preserve">entral </w:t>
            </w:r>
            <w:r>
              <w:t>g</w:t>
            </w:r>
            <w:r w:rsidRPr="00E908E1">
              <w:t>overnment and Crown entities</w:t>
            </w:r>
            <w:r>
              <w:t>)</w:t>
            </w:r>
          </w:p>
        </w:tc>
        <w:tc>
          <w:tcPr>
            <w:tcW w:w="709" w:type="dxa"/>
            <w:tcBorders>
              <w:top w:val="nil"/>
            </w:tcBorders>
          </w:tcPr>
          <w:p w14:paraId="30763E70" w14:textId="77777777" w:rsidR="008A1644" w:rsidRPr="00E908E1" w:rsidRDefault="008A1644" w:rsidP="00DA6633">
            <w:pPr>
              <w:pStyle w:val="TableText"/>
              <w:ind w:right="57"/>
              <w:jc w:val="right"/>
            </w:pPr>
            <w:r w:rsidRPr="00E908E1">
              <w:t>21</w:t>
            </w:r>
          </w:p>
        </w:tc>
      </w:tr>
      <w:tr w:rsidR="008A1644" w:rsidRPr="00E908E1" w14:paraId="30763E74" w14:textId="77777777" w:rsidTr="00DA6633">
        <w:trPr>
          <w:cantSplit/>
        </w:trPr>
        <w:tc>
          <w:tcPr>
            <w:tcW w:w="5670" w:type="dxa"/>
          </w:tcPr>
          <w:p w14:paraId="30763E72" w14:textId="77777777" w:rsidR="008A1644" w:rsidRPr="00E908E1" w:rsidRDefault="008A1644" w:rsidP="00DA6633">
            <w:pPr>
              <w:pStyle w:val="TableText"/>
            </w:pPr>
            <w:r w:rsidRPr="00E908E1">
              <w:t>D</w:t>
            </w:r>
            <w:r>
              <w:t>istrict health boards</w:t>
            </w:r>
          </w:p>
        </w:tc>
        <w:tc>
          <w:tcPr>
            <w:tcW w:w="709" w:type="dxa"/>
          </w:tcPr>
          <w:p w14:paraId="30763E73" w14:textId="77777777" w:rsidR="008A1644" w:rsidRPr="00E908E1" w:rsidRDefault="008A1644" w:rsidP="00DA6633">
            <w:pPr>
              <w:pStyle w:val="TableText"/>
              <w:ind w:right="57"/>
              <w:jc w:val="right"/>
            </w:pPr>
            <w:r w:rsidRPr="00E908E1">
              <w:t>26</w:t>
            </w:r>
          </w:p>
        </w:tc>
      </w:tr>
      <w:tr w:rsidR="008A1644" w:rsidRPr="00E908E1" w14:paraId="30763E77" w14:textId="77777777" w:rsidTr="00DA6633">
        <w:trPr>
          <w:cantSplit/>
        </w:trPr>
        <w:tc>
          <w:tcPr>
            <w:tcW w:w="5670" w:type="dxa"/>
          </w:tcPr>
          <w:p w14:paraId="30763E75" w14:textId="77777777" w:rsidR="008A1644" w:rsidRPr="00E908E1" w:rsidRDefault="008A1644" w:rsidP="00DA6633">
            <w:pPr>
              <w:pStyle w:val="TableText"/>
            </w:pPr>
            <w:r w:rsidRPr="00E908E1">
              <w:t xml:space="preserve">Local </w:t>
            </w:r>
            <w:r>
              <w:t>authorities</w:t>
            </w:r>
          </w:p>
        </w:tc>
        <w:tc>
          <w:tcPr>
            <w:tcW w:w="709" w:type="dxa"/>
          </w:tcPr>
          <w:p w14:paraId="30763E76" w14:textId="77777777" w:rsidR="008A1644" w:rsidRPr="00E908E1" w:rsidRDefault="008A1644" w:rsidP="00DA6633">
            <w:pPr>
              <w:pStyle w:val="TableText"/>
              <w:ind w:right="57"/>
              <w:jc w:val="right"/>
            </w:pPr>
            <w:r w:rsidRPr="00E908E1">
              <w:t>10</w:t>
            </w:r>
          </w:p>
        </w:tc>
      </w:tr>
      <w:tr w:rsidR="008A1644" w:rsidRPr="00E908E1" w14:paraId="30763E7A" w14:textId="77777777" w:rsidTr="00DA6633">
        <w:trPr>
          <w:cantSplit/>
        </w:trPr>
        <w:tc>
          <w:tcPr>
            <w:tcW w:w="5670" w:type="dxa"/>
          </w:tcPr>
          <w:p w14:paraId="30763E78" w14:textId="77777777" w:rsidR="008A1644" w:rsidRPr="00E908E1" w:rsidRDefault="008A1644" w:rsidP="00DA6633">
            <w:pPr>
              <w:pStyle w:val="TableText"/>
            </w:pPr>
            <w:r w:rsidRPr="00B1106E">
              <w:t>Primary health organisations and general practices</w:t>
            </w:r>
          </w:p>
        </w:tc>
        <w:tc>
          <w:tcPr>
            <w:tcW w:w="709" w:type="dxa"/>
          </w:tcPr>
          <w:p w14:paraId="30763E79" w14:textId="77777777" w:rsidR="008A1644" w:rsidRPr="00E908E1" w:rsidRDefault="008A1644" w:rsidP="00DA6633">
            <w:pPr>
              <w:pStyle w:val="TableText"/>
              <w:ind w:right="57"/>
              <w:jc w:val="right"/>
            </w:pPr>
            <w:r w:rsidRPr="00E908E1">
              <w:t>11</w:t>
            </w:r>
          </w:p>
        </w:tc>
      </w:tr>
      <w:tr w:rsidR="008A1644" w:rsidRPr="00E908E1" w14:paraId="30763E7D" w14:textId="77777777" w:rsidTr="00DA6633">
        <w:trPr>
          <w:cantSplit/>
        </w:trPr>
        <w:tc>
          <w:tcPr>
            <w:tcW w:w="5670" w:type="dxa"/>
          </w:tcPr>
          <w:p w14:paraId="30763E7B" w14:textId="77777777" w:rsidR="008A1644" w:rsidRPr="00E908E1" w:rsidRDefault="008A1644" w:rsidP="00DA6633">
            <w:pPr>
              <w:pStyle w:val="TableText"/>
            </w:pPr>
            <w:r w:rsidRPr="00E908E1">
              <w:t xml:space="preserve">Health </w:t>
            </w:r>
            <w:r>
              <w:t>non-government organisations (</w:t>
            </w:r>
            <w:r w:rsidRPr="00E908E1">
              <w:t>NGO</w:t>
            </w:r>
            <w:r>
              <w:t>s)</w:t>
            </w:r>
            <w:r w:rsidRPr="00E908E1">
              <w:t xml:space="preserve"> </w:t>
            </w:r>
            <w:r>
              <w:t>and networks</w:t>
            </w:r>
          </w:p>
        </w:tc>
        <w:tc>
          <w:tcPr>
            <w:tcW w:w="709" w:type="dxa"/>
          </w:tcPr>
          <w:p w14:paraId="30763E7C" w14:textId="77777777" w:rsidR="008A1644" w:rsidRPr="00E908E1" w:rsidRDefault="008A1644" w:rsidP="00DA6633">
            <w:pPr>
              <w:pStyle w:val="TableText"/>
              <w:ind w:right="57"/>
              <w:jc w:val="right"/>
            </w:pPr>
            <w:r w:rsidRPr="00E908E1">
              <w:t>38</w:t>
            </w:r>
          </w:p>
        </w:tc>
      </w:tr>
      <w:tr w:rsidR="008A1644" w:rsidRPr="00E908E1" w14:paraId="30763E80" w14:textId="77777777" w:rsidTr="00DA6633">
        <w:trPr>
          <w:cantSplit/>
        </w:trPr>
        <w:tc>
          <w:tcPr>
            <w:tcW w:w="5670" w:type="dxa"/>
          </w:tcPr>
          <w:p w14:paraId="30763E7E" w14:textId="77777777" w:rsidR="008A1644" w:rsidRPr="00E908E1" w:rsidRDefault="008A1644" w:rsidP="00DA6633">
            <w:pPr>
              <w:pStyle w:val="TableText"/>
            </w:pPr>
            <w:r w:rsidRPr="00E908E1">
              <w:t xml:space="preserve">Social </w:t>
            </w:r>
            <w:r>
              <w:t>s</w:t>
            </w:r>
            <w:r w:rsidRPr="00E908E1">
              <w:t>ervice</w:t>
            </w:r>
            <w:r>
              <w:t>s</w:t>
            </w:r>
            <w:r w:rsidRPr="00E908E1">
              <w:t>/</w:t>
            </w:r>
            <w:r>
              <w:t>o</w:t>
            </w:r>
            <w:r w:rsidRPr="00E908E1">
              <w:t>ther NGO</w:t>
            </w:r>
            <w:r>
              <w:t>s</w:t>
            </w:r>
          </w:p>
        </w:tc>
        <w:tc>
          <w:tcPr>
            <w:tcW w:w="709" w:type="dxa"/>
          </w:tcPr>
          <w:p w14:paraId="30763E7F" w14:textId="77777777" w:rsidR="008A1644" w:rsidRPr="00E908E1" w:rsidRDefault="008A1644" w:rsidP="00DA6633">
            <w:pPr>
              <w:pStyle w:val="TableText"/>
              <w:ind w:right="57"/>
              <w:jc w:val="right"/>
            </w:pPr>
            <w:r w:rsidRPr="00E908E1">
              <w:t>19</w:t>
            </w:r>
          </w:p>
        </w:tc>
      </w:tr>
      <w:tr w:rsidR="008A1644" w:rsidRPr="00E908E1" w14:paraId="30763E83" w14:textId="77777777" w:rsidTr="00DA6633">
        <w:trPr>
          <w:cantSplit/>
        </w:trPr>
        <w:tc>
          <w:tcPr>
            <w:tcW w:w="5670" w:type="dxa"/>
          </w:tcPr>
          <w:p w14:paraId="30763E81" w14:textId="77777777" w:rsidR="008A1644" w:rsidRPr="00E908E1" w:rsidRDefault="008A1644" w:rsidP="00DA6633">
            <w:pPr>
              <w:pStyle w:val="TableText"/>
            </w:pPr>
            <w:r>
              <w:t>Tertiary e</w:t>
            </w:r>
            <w:r w:rsidRPr="00E908E1">
              <w:t xml:space="preserve">ducation </w:t>
            </w:r>
            <w:r w:rsidR="00DA6633">
              <w:t>providers</w:t>
            </w:r>
          </w:p>
        </w:tc>
        <w:tc>
          <w:tcPr>
            <w:tcW w:w="709" w:type="dxa"/>
          </w:tcPr>
          <w:p w14:paraId="30763E82" w14:textId="77777777" w:rsidR="008A1644" w:rsidRPr="00E908E1" w:rsidRDefault="008A1644" w:rsidP="00DA6633">
            <w:pPr>
              <w:pStyle w:val="TableText"/>
              <w:ind w:right="57"/>
              <w:jc w:val="right"/>
            </w:pPr>
            <w:r w:rsidRPr="00E908E1">
              <w:t>4</w:t>
            </w:r>
          </w:p>
        </w:tc>
      </w:tr>
      <w:tr w:rsidR="008A1644" w:rsidRPr="00E908E1" w14:paraId="30763E86" w14:textId="77777777" w:rsidTr="00DA6633">
        <w:trPr>
          <w:cantSplit/>
        </w:trPr>
        <w:tc>
          <w:tcPr>
            <w:tcW w:w="5670" w:type="dxa"/>
          </w:tcPr>
          <w:p w14:paraId="30763E84" w14:textId="77777777" w:rsidR="008A1644" w:rsidRPr="00E908E1" w:rsidRDefault="008A1644" w:rsidP="00DA6633">
            <w:pPr>
              <w:pStyle w:val="TableText"/>
            </w:pPr>
            <w:r w:rsidRPr="00E908E1">
              <w:t xml:space="preserve">International </w:t>
            </w:r>
            <w:r>
              <w:t>submitters</w:t>
            </w:r>
          </w:p>
        </w:tc>
        <w:tc>
          <w:tcPr>
            <w:tcW w:w="709" w:type="dxa"/>
          </w:tcPr>
          <w:p w14:paraId="30763E85" w14:textId="77777777" w:rsidR="008A1644" w:rsidRPr="00E908E1" w:rsidRDefault="008A1644" w:rsidP="00DA6633">
            <w:pPr>
              <w:pStyle w:val="TableText"/>
              <w:ind w:right="57"/>
              <w:jc w:val="right"/>
            </w:pPr>
            <w:r w:rsidRPr="00E908E1">
              <w:t>1</w:t>
            </w:r>
          </w:p>
        </w:tc>
      </w:tr>
      <w:tr w:rsidR="008A1644" w:rsidRPr="00E908E1" w14:paraId="30763E89" w14:textId="77777777" w:rsidTr="00DA6633">
        <w:trPr>
          <w:cantSplit/>
        </w:trPr>
        <w:tc>
          <w:tcPr>
            <w:tcW w:w="5670" w:type="dxa"/>
          </w:tcPr>
          <w:p w14:paraId="30763E87" w14:textId="77777777" w:rsidR="008A1644" w:rsidRPr="00E908E1" w:rsidRDefault="008A1644" w:rsidP="00DA6633">
            <w:pPr>
              <w:pStyle w:val="TableText"/>
            </w:pPr>
            <w:r w:rsidRPr="00E908E1">
              <w:t>Individual/</w:t>
            </w:r>
            <w:r>
              <w:t>u</w:t>
            </w:r>
            <w:r w:rsidR="00DA6633">
              <w:t>nspecified</w:t>
            </w:r>
          </w:p>
        </w:tc>
        <w:tc>
          <w:tcPr>
            <w:tcW w:w="709" w:type="dxa"/>
          </w:tcPr>
          <w:p w14:paraId="30763E88" w14:textId="77777777" w:rsidR="008A1644" w:rsidRPr="00E908E1" w:rsidRDefault="008A1644" w:rsidP="00DA6633">
            <w:pPr>
              <w:pStyle w:val="TableText"/>
              <w:ind w:right="57"/>
              <w:jc w:val="right"/>
            </w:pPr>
            <w:r w:rsidRPr="00E908E1">
              <w:t>17</w:t>
            </w:r>
          </w:p>
        </w:tc>
      </w:tr>
      <w:tr w:rsidR="008A1644" w:rsidRPr="00DA6633" w14:paraId="30763E8C" w14:textId="77777777" w:rsidTr="00DA6633">
        <w:trPr>
          <w:cantSplit/>
        </w:trPr>
        <w:tc>
          <w:tcPr>
            <w:tcW w:w="5670" w:type="dxa"/>
          </w:tcPr>
          <w:p w14:paraId="30763E8A" w14:textId="77777777" w:rsidR="008A1644" w:rsidRPr="00DA6633" w:rsidRDefault="008A1644" w:rsidP="00DA6633">
            <w:pPr>
              <w:pStyle w:val="TableText"/>
              <w:rPr>
                <w:b/>
              </w:rPr>
            </w:pPr>
            <w:r w:rsidRPr="00DA6633">
              <w:rPr>
                <w:b/>
              </w:rPr>
              <w:t>Total</w:t>
            </w:r>
          </w:p>
        </w:tc>
        <w:tc>
          <w:tcPr>
            <w:tcW w:w="709" w:type="dxa"/>
          </w:tcPr>
          <w:p w14:paraId="30763E8B" w14:textId="77777777" w:rsidR="008A1644" w:rsidRPr="00DA6633" w:rsidRDefault="008A1644" w:rsidP="00DA6633">
            <w:pPr>
              <w:pStyle w:val="TableText"/>
              <w:ind w:right="57"/>
              <w:jc w:val="right"/>
              <w:rPr>
                <w:b/>
              </w:rPr>
            </w:pPr>
            <w:r w:rsidRPr="00DA6633">
              <w:rPr>
                <w:b/>
              </w:rPr>
              <w:t>147</w:t>
            </w:r>
          </w:p>
        </w:tc>
      </w:tr>
    </w:tbl>
    <w:p w14:paraId="30763E8D" w14:textId="77777777" w:rsidR="008A1644" w:rsidRDefault="008A1644" w:rsidP="00DA6633"/>
    <w:p w14:paraId="30763E8E" w14:textId="77777777" w:rsidR="00183207" w:rsidRDefault="008A1644" w:rsidP="00DA6633">
      <w:r>
        <w:t>We received m</w:t>
      </w:r>
      <w:r w:rsidRPr="006F2B1E">
        <w:t xml:space="preserve">ost responses </w:t>
      </w:r>
      <w:r>
        <w:t xml:space="preserve">(99) </w:t>
      </w:r>
      <w:r w:rsidRPr="006F2B1E">
        <w:t>via the Ministry</w:t>
      </w:r>
      <w:r w:rsidR="00183207">
        <w:t>’</w:t>
      </w:r>
      <w:r>
        <w:t>s</w:t>
      </w:r>
      <w:r w:rsidRPr="006F2B1E">
        <w:t xml:space="preserve"> </w:t>
      </w:r>
      <w:r>
        <w:t>C</w:t>
      </w:r>
      <w:r w:rsidRPr="006F2B1E">
        <w:t xml:space="preserve">onsultation </w:t>
      </w:r>
      <w:r>
        <w:t>H</w:t>
      </w:r>
      <w:r w:rsidRPr="006F2B1E">
        <w:t>ub</w:t>
      </w:r>
      <w:r>
        <w:t>,</w:t>
      </w:r>
      <w:r w:rsidRPr="006F2B1E">
        <w:t xml:space="preserve"> and some </w:t>
      </w:r>
      <w:r>
        <w:t xml:space="preserve">(48) </w:t>
      </w:r>
      <w:r w:rsidRPr="006F2B1E">
        <w:t xml:space="preserve">by email. Where </w:t>
      </w:r>
      <w:r>
        <w:t xml:space="preserve">we received </w:t>
      </w:r>
      <w:r w:rsidRPr="006F2B1E">
        <w:t>feedback via both</w:t>
      </w:r>
      <w:r>
        <w:t xml:space="preserve"> channels</w:t>
      </w:r>
      <w:r w:rsidRPr="006F2B1E">
        <w:t xml:space="preserve">, </w:t>
      </w:r>
      <w:r>
        <w:t xml:space="preserve">we </w:t>
      </w:r>
      <w:r w:rsidRPr="006F2B1E">
        <w:t xml:space="preserve">recorded </w:t>
      </w:r>
      <w:r>
        <w:t xml:space="preserve">it </w:t>
      </w:r>
      <w:r w:rsidRPr="006F2B1E">
        <w:t xml:space="preserve">as </w:t>
      </w:r>
      <w:r>
        <w:t xml:space="preserve">having been received </w:t>
      </w:r>
      <w:r w:rsidRPr="006F2B1E">
        <w:t>via the hub.</w:t>
      </w:r>
    </w:p>
    <w:p w14:paraId="30763E8F" w14:textId="77777777" w:rsidR="00DA6633" w:rsidRDefault="00DA6633" w:rsidP="00DA6633"/>
    <w:p w14:paraId="30763E90" w14:textId="77777777" w:rsidR="008A1644" w:rsidRPr="008337A0" w:rsidRDefault="008A1644" w:rsidP="008A1644">
      <w:pPr>
        <w:pStyle w:val="Heading1"/>
      </w:pPr>
      <w:bookmarkStart w:id="5" w:name="_Toc52284895"/>
      <w:r>
        <w:lastRenderedPageBreak/>
        <w:t>Feedback on the overall framing of the Plan</w:t>
      </w:r>
      <w:bookmarkEnd w:id="5"/>
    </w:p>
    <w:p w14:paraId="30763E91" w14:textId="77777777" w:rsidR="008A1644" w:rsidRDefault="008A1644" w:rsidP="00DA6633">
      <w:r w:rsidRPr="00172356">
        <w:t>Overall, feedback was very positive</w:t>
      </w:r>
      <w:r>
        <w:t>,</w:t>
      </w:r>
      <w:r w:rsidRPr="00172356">
        <w:t xml:space="preserve"> and supported the </w:t>
      </w:r>
      <w:r>
        <w:t>P</w:t>
      </w:r>
      <w:r w:rsidRPr="00172356">
        <w:t>lan</w:t>
      </w:r>
      <w:r w:rsidR="00183207">
        <w:t>’</w:t>
      </w:r>
      <w:r w:rsidRPr="00172356">
        <w:t>s direction.</w:t>
      </w:r>
    </w:p>
    <w:p w14:paraId="30763E92" w14:textId="77777777" w:rsidR="00DA6633" w:rsidRPr="00172356" w:rsidRDefault="00DA6633" w:rsidP="00DA6633"/>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080"/>
      </w:tblGrid>
      <w:tr w:rsidR="008A1644" w:rsidRPr="00DA6633" w14:paraId="30763E94" w14:textId="77777777" w:rsidTr="00DA6633">
        <w:trPr>
          <w:cantSplit/>
        </w:trPr>
        <w:tc>
          <w:tcPr>
            <w:tcW w:w="8080" w:type="dxa"/>
            <w:tcBorders>
              <w:top w:val="nil"/>
              <w:bottom w:val="nil"/>
            </w:tcBorders>
            <w:shd w:val="clear" w:color="auto" w:fill="D9D9D9" w:themeFill="background1" w:themeFillShade="D9"/>
          </w:tcPr>
          <w:p w14:paraId="30763E93" w14:textId="77777777" w:rsidR="008A1644" w:rsidRPr="00DA6633" w:rsidRDefault="008A1644" w:rsidP="00DA6633">
            <w:pPr>
              <w:pStyle w:val="TableText"/>
              <w:rPr>
                <w:b/>
                <w:sz w:val="20"/>
                <w:szCs w:val="20"/>
              </w:rPr>
            </w:pPr>
            <w:r w:rsidRPr="00DA6633">
              <w:rPr>
                <w:b/>
              </w:rPr>
              <w:t>We asked: Do the vision, principles and focus areas in the Plan resonate with you?</w:t>
            </w:r>
          </w:p>
        </w:tc>
      </w:tr>
      <w:tr w:rsidR="008A1644" w:rsidRPr="00E908E1" w14:paraId="30763E9A" w14:textId="77777777" w:rsidTr="00DA6633">
        <w:trPr>
          <w:cantSplit/>
        </w:trPr>
        <w:tc>
          <w:tcPr>
            <w:tcW w:w="8080" w:type="dxa"/>
            <w:tcBorders>
              <w:top w:val="nil"/>
            </w:tcBorders>
            <w:shd w:val="clear" w:color="auto" w:fill="auto"/>
          </w:tcPr>
          <w:p w14:paraId="30763E95" w14:textId="77777777" w:rsidR="008A1644" w:rsidRPr="00AF08B4" w:rsidRDefault="008A1644" w:rsidP="00DA6633">
            <w:pPr>
              <w:pStyle w:val="TableText"/>
            </w:pPr>
            <w:r>
              <w:t>122</w:t>
            </w:r>
            <w:r w:rsidRPr="00E908E1">
              <w:t xml:space="preserve"> submissions specifically</w:t>
            </w:r>
            <w:r>
              <w:t xml:space="preserve"> addressed the </w:t>
            </w:r>
            <w:r w:rsidRPr="00533453">
              <w:t>vision, principles and focus</w:t>
            </w:r>
            <w:r>
              <w:t xml:space="preserve"> areas. Of these:</w:t>
            </w:r>
          </w:p>
          <w:p w14:paraId="30763E96" w14:textId="77777777" w:rsidR="008A1644" w:rsidRPr="008337A0" w:rsidRDefault="008A1644" w:rsidP="00DA6633">
            <w:pPr>
              <w:pStyle w:val="TableBullet"/>
            </w:pPr>
            <w:r>
              <w:t>87</w:t>
            </w:r>
            <w:r w:rsidRPr="008337A0">
              <w:t xml:space="preserve"> expres</w:t>
            </w:r>
            <w:r>
              <w:t xml:space="preserve">sly supported the </w:t>
            </w:r>
            <w:r w:rsidRPr="00533453">
              <w:t>vision, principles and focus</w:t>
            </w:r>
            <w:r>
              <w:t xml:space="preserve"> areas</w:t>
            </w:r>
          </w:p>
          <w:p w14:paraId="30763E97" w14:textId="77777777" w:rsidR="008A1644" w:rsidRPr="008337A0" w:rsidRDefault="008A1644" w:rsidP="00DA6633">
            <w:pPr>
              <w:pStyle w:val="TableBullet"/>
            </w:pPr>
            <w:r>
              <w:t>25</w:t>
            </w:r>
            <w:r w:rsidRPr="008337A0">
              <w:t xml:space="preserve"> expressed partial support, or support with reservations (for example, </w:t>
            </w:r>
            <w:r>
              <w:t xml:space="preserve">saying </w:t>
            </w:r>
            <w:r w:rsidR="00183207">
              <w:t>‘</w:t>
            </w:r>
            <w:r w:rsidRPr="008337A0">
              <w:t>the principles are good, but we want to see concrete actions</w:t>
            </w:r>
            <w:r w:rsidR="00183207">
              <w:t>’</w:t>
            </w:r>
            <w:r w:rsidRPr="008337A0">
              <w:t>)</w:t>
            </w:r>
          </w:p>
          <w:p w14:paraId="30763E98" w14:textId="77777777" w:rsidR="008A1644" w:rsidRPr="008337A0" w:rsidRDefault="008A1644" w:rsidP="00DA6633">
            <w:pPr>
              <w:pStyle w:val="TableBullet"/>
            </w:pPr>
            <w:r w:rsidRPr="008337A0">
              <w:t xml:space="preserve">7 explicitly did not support the </w:t>
            </w:r>
            <w:r w:rsidRPr="00533453">
              <w:t>vision, principles and focus areas</w:t>
            </w:r>
          </w:p>
          <w:p w14:paraId="30763E99" w14:textId="77777777" w:rsidR="008A1644" w:rsidRPr="008337A0" w:rsidRDefault="008A1644" w:rsidP="00DA6633">
            <w:pPr>
              <w:pStyle w:val="TableBullet"/>
            </w:pPr>
            <w:r w:rsidRPr="008337A0">
              <w:t xml:space="preserve">3 </w:t>
            </w:r>
            <w:r>
              <w:t xml:space="preserve">were </w:t>
            </w:r>
            <w:r w:rsidRPr="008337A0">
              <w:t>unclear as to whether they did or did not support</w:t>
            </w:r>
            <w:r>
              <w:t xml:space="preserve"> the </w:t>
            </w:r>
            <w:r w:rsidRPr="00533453">
              <w:t>vision, principles and focus areas</w:t>
            </w:r>
            <w:r w:rsidRPr="008337A0">
              <w:t>.</w:t>
            </w:r>
          </w:p>
        </w:tc>
      </w:tr>
    </w:tbl>
    <w:p w14:paraId="30763E9B" w14:textId="77777777" w:rsidR="008A1644" w:rsidRDefault="008A1644" w:rsidP="00DA6633">
      <w:bookmarkStart w:id="6" w:name="_Hlk45197438"/>
    </w:p>
    <w:p w14:paraId="30763E9C" w14:textId="77777777" w:rsidR="008A1644" w:rsidRDefault="008A1644" w:rsidP="00740DB7">
      <w:pPr>
        <w:pStyle w:val="Heading4"/>
      </w:pPr>
      <w:r>
        <w:t xml:space="preserve">The </w:t>
      </w:r>
      <w:r w:rsidR="00DA6633">
        <w:t>COVID</w:t>
      </w:r>
      <w:r w:rsidR="00DA6633">
        <w:noBreakHyphen/>
        <w:t>19</w:t>
      </w:r>
      <w:r w:rsidRPr="00F63809">
        <w:t xml:space="preserve"> </w:t>
      </w:r>
      <w:r>
        <w:t xml:space="preserve">Psychosocial and </w:t>
      </w:r>
      <w:r w:rsidRPr="007F5C6E">
        <w:t xml:space="preserve">Mental Wellbeing Recovery Framework </w:t>
      </w:r>
      <w:r>
        <w:t>diagram</w:t>
      </w:r>
    </w:p>
    <w:p w14:paraId="30763E9D" w14:textId="77777777" w:rsidR="008A1644" w:rsidRDefault="008A1644" w:rsidP="00DA6633">
      <w:r>
        <w:t>T</w:t>
      </w:r>
      <w:r w:rsidRPr="00B77496">
        <w:t>he</w:t>
      </w:r>
      <w:r>
        <w:t xml:space="preserve"> Plan included a </w:t>
      </w:r>
      <w:r w:rsidR="00DA6633">
        <w:t>COVID</w:t>
      </w:r>
      <w:r w:rsidR="00DA6633">
        <w:noBreakHyphen/>
        <w:t>19</w:t>
      </w:r>
      <w:r w:rsidRPr="00172356">
        <w:t xml:space="preserve"> Psychosocial and Mental Wellbeing Recovery Framework (see </w:t>
      </w:r>
      <w:r w:rsidRPr="00CB6CDD">
        <w:rPr>
          <w:b/>
        </w:rPr>
        <w:t>Appendix A</w:t>
      </w:r>
      <w:r w:rsidRPr="00172356">
        <w:t>)</w:t>
      </w:r>
      <w:r>
        <w:t xml:space="preserve">. </w:t>
      </w:r>
      <w:proofErr w:type="gramStart"/>
      <w:r>
        <w:t>Overall</w:t>
      </w:r>
      <w:proofErr w:type="gramEnd"/>
      <w:r>
        <w:t xml:space="preserve"> there wa</w:t>
      </w:r>
      <w:r w:rsidRPr="00B77496">
        <w:t xml:space="preserve">s </w:t>
      </w:r>
      <w:r>
        <w:t>broad</w:t>
      </w:r>
      <w:r w:rsidRPr="00B77496">
        <w:t xml:space="preserve"> support for </w:t>
      </w:r>
      <w:r>
        <w:t xml:space="preserve">the Framework but some submitters provided </w:t>
      </w:r>
      <w:r w:rsidRPr="00172356">
        <w:t>specific suggestions</w:t>
      </w:r>
      <w:r>
        <w:t xml:space="preserve"> for improvement</w:t>
      </w:r>
      <w:r w:rsidR="00DA6633">
        <w:t>.</w:t>
      </w:r>
    </w:p>
    <w:p w14:paraId="30763E9E" w14:textId="77777777" w:rsidR="00975F08" w:rsidRDefault="00975F08" w:rsidP="00DA6633"/>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975F08" w:rsidRPr="00975F08" w14:paraId="30763EA1" w14:textId="77777777" w:rsidTr="00975F08">
        <w:trPr>
          <w:cantSplit/>
        </w:trPr>
        <w:tc>
          <w:tcPr>
            <w:tcW w:w="6946" w:type="dxa"/>
          </w:tcPr>
          <w:p w14:paraId="30763E9F" w14:textId="77777777" w:rsidR="00975F08" w:rsidRPr="00975F08" w:rsidRDefault="00975F08" w:rsidP="00975F08">
            <w:pPr>
              <w:pStyle w:val="TableText"/>
              <w:spacing w:before="120" w:after="0"/>
              <w:rPr>
                <w:lang w:eastAsia="en-NZ"/>
              </w:rPr>
            </w:pPr>
            <w:r w:rsidRPr="00975F08">
              <w:rPr>
                <w:lang w:eastAsia="en-NZ"/>
              </w:rPr>
              <w:t>We support the visual representation of the vision, principles and focus areas. The inverted triangle implies working together rather than a top down approach.</w:t>
            </w:r>
          </w:p>
          <w:p w14:paraId="30763EA0" w14:textId="77777777" w:rsidR="00975F08" w:rsidRPr="00975F08" w:rsidRDefault="00975F08" w:rsidP="00975F08">
            <w:pPr>
              <w:pStyle w:val="TableText"/>
              <w:spacing w:before="0"/>
              <w:jc w:val="right"/>
              <w:rPr>
                <w:lang w:eastAsia="en-NZ"/>
              </w:rPr>
            </w:pPr>
            <w:r w:rsidRPr="00975F08">
              <w:t>Health NGO</w:t>
            </w:r>
          </w:p>
        </w:tc>
      </w:tr>
      <w:tr w:rsidR="00975F08" w:rsidRPr="00975F08" w14:paraId="30763EA4" w14:textId="77777777" w:rsidTr="00975F08">
        <w:trPr>
          <w:cantSplit/>
        </w:trPr>
        <w:tc>
          <w:tcPr>
            <w:tcW w:w="6946" w:type="dxa"/>
          </w:tcPr>
          <w:p w14:paraId="30763EA2" w14:textId="77777777" w:rsidR="00975F08" w:rsidRPr="00975F08" w:rsidRDefault="00975F08" w:rsidP="00975F08">
            <w:pPr>
              <w:pStyle w:val="TableText"/>
              <w:spacing w:before="120" w:after="0"/>
              <w:rPr>
                <w:lang w:eastAsia="en-NZ"/>
              </w:rPr>
            </w:pPr>
            <w:r w:rsidRPr="00975F08">
              <w:rPr>
                <w:lang w:eastAsia="en-NZ"/>
              </w:rPr>
              <w:t>The vision, principles and focus areas in the Plan resonate because of the investment in primary, community and wellbeing support and growing the workforce, both regulated and non-regulated.</w:t>
            </w:r>
          </w:p>
          <w:p w14:paraId="30763EA3" w14:textId="77777777" w:rsidR="00975F08" w:rsidRPr="00975F08" w:rsidRDefault="00975F08" w:rsidP="00975F08">
            <w:pPr>
              <w:pStyle w:val="TableText"/>
              <w:spacing w:before="0"/>
              <w:jc w:val="right"/>
              <w:rPr>
                <w:lang w:eastAsia="en-NZ"/>
              </w:rPr>
            </w:pPr>
            <w:r w:rsidRPr="00975F08">
              <w:t>Social service/other NGO</w:t>
            </w:r>
          </w:p>
        </w:tc>
      </w:tr>
    </w:tbl>
    <w:p w14:paraId="30763EA5" w14:textId="77777777" w:rsidR="00DA6633" w:rsidRDefault="00DA6633" w:rsidP="00975F08"/>
    <w:p w14:paraId="30763EA6" w14:textId="77777777" w:rsidR="00183207" w:rsidRDefault="008A1644" w:rsidP="00DA6633">
      <w:r w:rsidRPr="00172356">
        <w:t>Examples of suggested amendments included:</w:t>
      </w:r>
    </w:p>
    <w:p w14:paraId="30763EA7" w14:textId="77777777" w:rsidR="008A1644" w:rsidRPr="00172356" w:rsidRDefault="008A1644" w:rsidP="00DA6633">
      <w:pPr>
        <w:pStyle w:val="Bullet"/>
      </w:pPr>
      <w:r>
        <w:t xml:space="preserve">giving </w:t>
      </w:r>
      <w:r w:rsidRPr="00172356">
        <w:t xml:space="preserve">the vision and goal more prominence </w:t>
      </w:r>
      <w:r>
        <w:t>(</w:t>
      </w:r>
      <w:r w:rsidRPr="00172356">
        <w:t xml:space="preserve">they </w:t>
      </w:r>
      <w:r>
        <w:t xml:space="preserve">do </w:t>
      </w:r>
      <w:r w:rsidRPr="00172356">
        <w:t xml:space="preserve">not </w:t>
      </w:r>
      <w:r>
        <w:t xml:space="preserve">appear </w:t>
      </w:r>
      <w:r w:rsidRPr="00172356">
        <w:t>in the body of the text, only in the diagram</w:t>
      </w:r>
      <w:r>
        <w:t>)</w:t>
      </w:r>
    </w:p>
    <w:p w14:paraId="30763EA8" w14:textId="77777777" w:rsidR="00183207" w:rsidRDefault="008A1644" w:rsidP="00DA6633">
      <w:pPr>
        <w:pStyle w:val="Bullet"/>
      </w:pPr>
      <w:r w:rsidRPr="00172356">
        <w:t>a revised vision</w:t>
      </w:r>
      <w:r>
        <w:t xml:space="preserve"> such as</w:t>
      </w:r>
      <w:r w:rsidRPr="00172356">
        <w:t xml:space="preserve"> </w:t>
      </w:r>
      <w:r w:rsidR="00183207">
        <w:t>‘</w:t>
      </w:r>
      <w:r w:rsidRPr="00FF4FC6">
        <w:t>an equitable and thriving N</w:t>
      </w:r>
      <w:r>
        <w:t xml:space="preserve">ew </w:t>
      </w:r>
      <w:r w:rsidRPr="00FF4FC6">
        <w:t>Z</w:t>
      </w:r>
      <w:r>
        <w:t>ealand</w:t>
      </w:r>
      <w:r w:rsidRPr="00FF4FC6">
        <w:t xml:space="preserve"> in which mental wellbeing is promoted, protected and supported</w:t>
      </w:r>
      <w:r w:rsidR="00183207">
        <w:t>’</w:t>
      </w:r>
      <w:r w:rsidRPr="00FF4FC6">
        <w:t>.</w:t>
      </w:r>
    </w:p>
    <w:p w14:paraId="30763EA9" w14:textId="77777777" w:rsidR="00DA6633" w:rsidRDefault="00DA6633" w:rsidP="00DA6633"/>
    <w:p w14:paraId="30763EAA" w14:textId="77777777" w:rsidR="008A1644" w:rsidRPr="00E66BF9" w:rsidRDefault="008A1644" w:rsidP="00740DB7">
      <w:pPr>
        <w:pStyle w:val="Heading4"/>
      </w:pPr>
      <w:proofErr w:type="spellStart"/>
      <w:r w:rsidRPr="00E66BF9">
        <w:t>Te</w:t>
      </w:r>
      <w:proofErr w:type="spellEnd"/>
      <w:r w:rsidRPr="00E66BF9">
        <w:t xml:space="preserve"> </w:t>
      </w:r>
      <w:proofErr w:type="spellStart"/>
      <w:r w:rsidRPr="00E66BF9">
        <w:t>Ao</w:t>
      </w:r>
      <w:proofErr w:type="spellEnd"/>
      <w:r w:rsidRPr="00E66BF9">
        <w:t xml:space="preserve"> Māori</w:t>
      </w:r>
    </w:p>
    <w:p w14:paraId="30763EAB" w14:textId="77777777" w:rsidR="008A1644" w:rsidRPr="00172356" w:rsidRDefault="008A1644" w:rsidP="00DA6633">
      <w:r w:rsidRPr="00172356">
        <w:t xml:space="preserve">Some comments </w:t>
      </w:r>
      <w:r>
        <w:t xml:space="preserve">focused on strengthening the </w:t>
      </w:r>
      <w:r w:rsidRPr="00172356">
        <w:t xml:space="preserve">Māori </w:t>
      </w:r>
      <w:r>
        <w:t>world view, for instance</w:t>
      </w:r>
      <w:r w:rsidRPr="00172356">
        <w:t>:</w:t>
      </w:r>
    </w:p>
    <w:p w14:paraId="30763EAC" w14:textId="77777777" w:rsidR="008A1644" w:rsidRPr="000D165B" w:rsidRDefault="008A1644" w:rsidP="00DA6633">
      <w:pPr>
        <w:pStyle w:val="Bullet"/>
      </w:pPr>
      <w:r>
        <w:t>the</w:t>
      </w:r>
      <w:r w:rsidRPr="00BD4D1A">
        <w:t xml:space="preserve"> </w:t>
      </w:r>
      <w:r>
        <w:t>P</w:t>
      </w:r>
      <w:r w:rsidRPr="00BD4D1A">
        <w:t xml:space="preserve">lan needs </w:t>
      </w:r>
      <w:r>
        <w:t>more</w:t>
      </w:r>
      <w:r w:rsidRPr="00BD4D1A">
        <w:t xml:space="preserve"> resonance with </w:t>
      </w:r>
      <w:r>
        <w:t xml:space="preserve">a </w:t>
      </w:r>
      <w:proofErr w:type="spellStart"/>
      <w:r>
        <w:t>Te</w:t>
      </w:r>
      <w:proofErr w:type="spellEnd"/>
      <w:r>
        <w:t xml:space="preserve"> </w:t>
      </w:r>
      <w:proofErr w:type="spellStart"/>
      <w:r>
        <w:t>Ao</w:t>
      </w:r>
      <w:proofErr w:type="spellEnd"/>
      <w:r w:rsidRPr="00BD4D1A">
        <w:t xml:space="preserve"> Māori world view</w:t>
      </w:r>
    </w:p>
    <w:p w14:paraId="30763EAD" w14:textId="77777777" w:rsidR="008A1644" w:rsidRDefault="008A1644" w:rsidP="00DA6633">
      <w:pPr>
        <w:pStyle w:val="Bullet"/>
      </w:pPr>
      <w:r>
        <w:t>t</w:t>
      </w:r>
      <w:r w:rsidRPr="00172356">
        <w:t xml:space="preserve">he framework could more strongly embrace the vibrancy and </w:t>
      </w:r>
      <w:proofErr w:type="spellStart"/>
      <w:r w:rsidRPr="00172356">
        <w:t>wairua</w:t>
      </w:r>
      <w:proofErr w:type="spellEnd"/>
      <w:r w:rsidRPr="00172356">
        <w:t xml:space="preserve"> (spirit) of the land, mountains, lakes and people</w:t>
      </w:r>
    </w:p>
    <w:p w14:paraId="30763EAE" w14:textId="77777777" w:rsidR="00183207" w:rsidRDefault="008A1644" w:rsidP="00DA6633">
      <w:pPr>
        <w:pStyle w:val="Bullet"/>
      </w:pPr>
      <w:r>
        <w:lastRenderedPageBreak/>
        <w:t>a</w:t>
      </w:r>
      <w:r w:rsidRPr="00172356">
        <w:t xml:space="preserve"> holistic approach such as </w:t>
      </w:r>
      <w:proofErr w:type="spellStart"/>
      <w:r>
        <w:t>Te</w:t>
      </w:r>
      <w:proofErr w:type="spellEnd"/>
      <w:r w:rsidRPr="00172356">
        <w:t xml:space="preserve"> </w:t>
      </w:r>
      <w:proofErr w:type="spellStart"/>
      <w:r w:rsidRPr="00172356">
        <w:t>Whare</w:t>
      </w:r>
      <w:proofErr w:type="spellEnd"/>
      <w:r w:rsidRPr="00172356">
        <w:t xml:space="preserve"> Tapa </w:t>
      </w:r>
      <w:proofErr w:type="spellStart"/>
      <w:r w:rsidRPr="00172356">
        <w:t>Whā</w:t>
      </w:r>
      <w:proofErr w:type="spellEnd"/>
      <w:r w:rsidRPr="00172356">
        <w:t xml:space="preserve"> model could be given more prominence at the front of the document</w:t>
      </w:r>
    </w:p>
    <w:p w14:paraId="30763EAF" w14:textId="77777777" w:rsidR="008A1644" w:rsidRDefault="008A1644" w:rsidP="00DA6633">
      <w:pPr>
        <w:pStyle w:val="Bullet"/>
      </w:pPr>
      <w:r>
        <w:t>t</w:t>
      </w:r>
      <w:r w:rsidRPr="00172356">
        <w:t xml:space="preserve">he </w:t>
      </w:r>
      <w:proofErr w:type="spellStart"/>
      <w:r w:rsidRPr="00172356">
        <w:t>kaupapa</w:t>
      </w:r>
      <w:proofErr w:type="spellEnd"/>
      <w:r w:rsidRPr="00172356">
        <w:t xml:space="preserve"> of Whānau Ora is an excellent model of wellbeing that could be applied</w:t>
      </w:r>
      <w:r>
        <w:t xml:space="preserve"> to the Plan</w:t>
      </w:r>
      <w:r w:rsidRPr="00172356">
        <w:t>.</w:t>
      </w:r>
    </w:p>
    <w:p w14:paraId="30763EB0" w14:textId="77777777" w:rsidR="00DA6633" w:rsidRDefault="00DA6633" w:rsidP="00975F08"/>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975F08" w:rsidRPr="00975F08" w14:paraId="30763EB3" w14:textId="77777777" w:rsidTr="00A04D50">
        <w:trPr>
          <w:cantSplit/>
        </w:trPr>
        <w:tc>
          <w:tcPr>
            <w:tcW w:w="6946" w:type="dxa"/>
          </w:tcPr>
          <w:p w14:paraId="30763EB1" w14:textId="77777777" w:rsidR="00975F08" w:rsidRDefault="00975F08" w:rsidP="00975F08">
            <w:pPr>
              <w:pStyle w:val="TableText"/>
              <w:spacing w:before="120" w:after="0"/>
              <w:rPr>
                <w:lang w:eastAsia="en-NZ"/>
              </w:rPr>
            </w:pPr>
            <w:r>
              <w:rPr>
                <w:lang w:eastAsia="en-NZ"/>
              </w:rPr>
              <w:t xml:space="preserve">The understanding of wellbeing could have been better articulated using a </w:t>
            </w:r>
            <w:proofErr w:type="spellStart"/>
            <w:r>
              <w:rPr>
                <w:lang w:eastAsia="en-NZ"/>
              </w:rPr>
              <w:t>Whare</w:t>
            </w:r>
            <w:proofErr w:type="spellEnd"/>
            <w:r>
              <w:rPr>
                <w:lang w:eastAsia="en-NZ"/>
              </w:rPr>
              <w:t xml:space="preserve"> Tapa </w:t>
            </w:r>
            <w:proofErr w:type="spellStart"/>
            <w:r>
              <w:rPr>
                <w:lang w:eastAsia="en-NZ"/>
              </w:rPr>
              <w:t>Whā</w:t>
            </w:r>
            <w:proofErr w:type="spellEnd"/>
            <w:r>
              <w:rPr>
                <w:lang w:eastAsia="en-NZ"/>
              </w:rPr>
              <w:t xml:space="preserve"> model, including the physical, spiritual and whānau aspects of health to a greater degree. There is too much focus on the mental aspects of wellbeing.</w:t>
            </w:r>
          </w:p>
          <w:p w14:paraId="30763EB2" w14:textId="77777777" w:rsidR="00975F08" w:rsidRPr="00975F08" w:rsidRDefault="00975F08" w:rsidP="00975F08">
            <w:pPr>
              <w:pStyle w:val="TableText"/>
              <w:spacing w:before="0"/>
              <w:jc w:val="right"/>
              <w:rPr>
                <w:lang w:eastAsia="en-NZ"/>
              </w:rPr>
            </w:pPr>
            <w:r>
              <w:rPr>
                <w:lang w:eastAsia="en-NZ"/>
              </w:rPr>
              <w:t>District Health Board</w:t>
            </w:r>
          </w:p>
        </w:tc>
      </w:tr>
    </w:tbl>
    <w:p w14:paraId="30763EB4" w14:textId="77777777" w:rsidR="00975F08" w:rsidRPr="00DA6633" w:rsidRDefault="00975F08" w:rsidP="00DA6633"/>
    <w:p w14:paraId="30763EB5" w14:textId="77777777" w:rsidR="008A1644" w:rsidRDefault="008A1644" w:rsidP="008A1644">
      <w:pPr>
        <w:pStyle w:val="Heading1"/>
      </w:pPr>
      <w:bookmarkStart w:id="7" w:name="_Toc52284896"/>
      <w:r>
        <w:lastRenderedPageBreak/>
        <w:t>Feedback on t</w:t>
      </w:r>
      <w:r w:rsidRPr="00F63809">
        <w:t>he principles</w:t>
      </w:r>
      <w:bookmarkEnd w:id="7"/>
    </w:p>
    <w:p w14:paraId="30763EB6" w14:textId="77777777" w:rsidR="008A1644" w:rsidRDefault="008A1644" w:rsidP="00DA6633">
      <w:r w:rsidRPr="000D165B">
        <w:t xml:space="preserve">In general, </w:t>
      </w:r>
      <w:r>
        <w:t>submitters expressed strong support for the Plan</w:t>
      </w:r>
      <w:r w:rsidR="00183207">
        <w:t>’</w:t>
      </w:r>
      <w:r>
        <w:t>s principles</w:t>
      </w:r>
      <w:r w:rsidR="00DA6633">
        <w:t>.</w:t>
      </w:r>
    </w:p>
    <w:p w14:paraId="30763EB7" w14:textId="77777777" w:rsidR="00975F08" w:rsidRDefault="00975F08" w:rsidP="00975F08"/>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975F08" w:rsidRPr="00975F08" w14:paraId="30763EBA" w14:textId="77777777" w:rsidTr="00A04D50">
        <w:trPr>
          <w:cantSplit/>
        </w:trPr>
        <w:tc>
          <w:tcPr>
            <w:tcW w:w="6946" w:type="dxa"/>
          </w:tcPr>
          <w:p w14:paraId="30763EB8" w14:textId="77777777" w:rsidR="00975F08" w:rsidRDefault="00975F08" w:rsidP="00975F08">
            <w:pPr>
              <w:pStyle w:val="TableText"/>
              <w:spacing w:before="120" w:after="0"/>
              <w:rPr>
                <w:lang w:eastAsia="en-NZ"/>
              </w:rPr>
            </w:pPr>
            <w:r>
              <w:rPr>
                <w:lang w:eastAsia="en-NZ"/>
              </w:rPr>
              <w:t>The principles of this Plan support a bottom-up approach. They appreciate that one size does not fit all, and that different approaches will be required to achieving the vision of a thriving New Zealand.</w:t>
            </w:r>
          </w:p>
          <w:p w14:paraId="30763EB9" w14:textId="77777777" w:rsidR="00975F08" w:rsidRPr="00975F08" w:rsidRDefault="00975F08" w:rsidP="00975F08">
            <w:pPr>
              <w:pStyle w:val="TableText"/>
              <w:spacing w:before="0"/>
              <w:jc w:val="right"/>
              <w:rPr>
                <w:lang w:eastAsia="en-NZ"/>
              </w:rPr>
            </w:pPr>
            <w:r>
              <w:rPr>
                <w:lang w:eastAsia="en-NZ"/>
              </w:rPr>
              <w:t>Health NGO</w:t>
            </w:r>
          </w:p>
        </w:tc>
      </w:tr>
      <w:tr w:rsidR="00975F08" w:rsidRPr="00975F08" w14:paraId="30763EBD" w14:textId="77777777" w:rsidTr="00A04D50">
        <w:trPr>
          <w:cantSplit/>
        </w:trPr>
        <w:tc>
          <w:tcPr>
            <w:tcW w:w="6946" w:type="dxa"/>
          </w:tcPr>
          <w:p w14:paraId="30763EBB" w14:textId="77777777" w:rsidR="00975F08" w:rsidRDefault="00975F08" w:rsidP="00975F08">
            <w:pPr>
              <w:pStyle w:val="TableText"/>
              <w:spacing w:before="120" w:after="0"/>
              <w:rPr>
                <w:lang w:eastAsia="en-NZ"/>
              </w:rPr>
            </w:pPr>
            <w:r>
              <w:rPr>
                <w:lang w:eastAsia="en-NZ"/>
              </w:rPr>
              <w:t>The principles provide an excellent foundation for strong psychosocial and mental wellbeing recovery. These principles will ideally also underpin New Zealand’s economic recovery.</w:t>
            </w:r>
          </w:p>
          <w:p w14:paraId="30763EBC" w14:textId="77777777" w:rsidR="00975F08" w:rsidRDefault="00975F08" w:rsidP="00975F08">
            <w:pPr>
              <w:pStyle w:val="TableText"/>
              <w:spacing w:before="0"/>
              <w:jc w:val="right"/>
              <w:rPr>
                <w:lang w:eastAsia="en-NZ"/>
              </w:rPr>
            </w:pPr>
            <w:r>
              <w:rPr>
                <w:lang w:eastAsia="en-NZ"/>
              </w:rPr>
              <w:t>Social service/other NGO</w:t>
            </w:r>
          </w:p>
        </w:tc>
      </w:tr>
    </w:tbl>
    <w:p w14:paraId="30763EBE" w14:textId="77777777" w:rsidR="00975F08" w:rsidRDefault="00975F08" w:rsidP="00975F08"/>
    <w:p w14:paraId="30763EBF" w14:textId="77777777" w:rsidR="00183207" w:rsidRDefault="008A1644" w:rsidP="00740DB7">
      <w:pPr>
        <w:pStyle w:val="Heading4"/>
      </w:pPr>
      <w:r>
        <w:t xml:space="preserve">Upholding </w:t>
      </w:r>
      <w:proofErr w:type="spellStart"/>
      <w:r w:rsidRPr="00013AE5">
        <w:t>Te</w:t>
      </w:r>
      <w:proofErr w:type="spellEnd"/>
      <w:r w:rsidRPr="00013AE5">
        <w:t xml:space="preserve"> </w:t>
      </w:r>
      <w:proofErr w:type="spellStart"/>
      <w:r w:rsidRPr="00013AE5">
        <w:t>Tiriti</w:t>
      </w:r>
      <w:proofErr w:type="spellEnd"/>
      <w:r w:rsidRPr="00013AE5">
        <w:t xml:space="preserve"> o Waitangi</w:t>
      </w:r>
    </w:p>
    <w:p w14:paraId="30763EC0" w14:textId="77777777" w:rsidR="00183207" w:rsidRDefault="008A1644" w:rsidP="00DA6633">
      <w:r>
        <w:t xml:space="preserve">Submitters emphasised the primary importance of upholding </w:t>
      </w:r>
      <w:proofErr w:type="spellStart"/>
      <w:r>
        <w:t>Te</w:t>
      </w:r>
      <w:proofErr w:type="spellEnd"/>
      <w:r>
        <w:t xml:space="preserve"> </w:t>
      </w:r>
      <w:proofErr w:type="spellStart"/>
      <w:r>
        <w:t>Tiriti</w:t>
      </w:r>
      <w:proofErr w:type="spellEnd"/>
      <w:r>
        <w:t xml:space="preserve"> o Waitangi (principle</w:t>
      </w:r>
      <w:r w:rsidR="00DA6633">
        <w:t> </w:t>
      </w:r>
      <w:r>
        <w:t>3). Comments included:</w:t>
      </w:r>
    </w:p>
    <w:p w14:paraId="30763EC1" w14:textId="77777777" w:rsidR="008A1644" w:rsidRPr="000D165B" w:rsidRDefault="00183207" w:rsidP="00DA6633">
      <w:pPr>
        <w:pStyle w:val="Bullet"/>
      </w:pPr>
      <w:r>
        <w:t>‘</w:t>
      </w:r>
      <w:r w:rsidR="008A1644">
        <w:t xml:space="preserve">upholding </w:t>
      </w:r>
      <w:proofErr w:type="spellStart"/>
      <w:r w:rsidR="008A1644" w:rsidRPr="000D165B">
        <w:t>Te</w:t>
      </w:r>
      <w:proofErr w:type="spellEnd"/>
      <w:r w:rsidR="008A1644" w:rsidRPr="000D165B">
        <w:t xml:space="preserve"> </w:t>
      </w:r>
      <w:proofErr w:type="spellStart"/>
      <w:r w:rsidR="008A1644" w:rsidRPr="000D165B">
        <w:t>Tiriti</w:t>
      </w:r>
      <w:proofErr w:type="spellEnd"/>
      <w:r w:rsidR="008A1644" w:rsidRPr="000D165B">
        <w:t xml:space="preserve"> o Waitangi</w:t>
      </w:r>
      <w:r>
        <w:t>’</w:t>
      </w:r>
      <w:r w:rsidR="008A1644" w:rsidRPr="000D165B">
        <w:t xml:space="preserve"> should be the first listed principle</w:t>
      </w:r>
    </w:p>
    <w:p w14:paraId="30763EC2" w14:textId="77777777" w:rsidR="008A1644" w:rsidRPr="00172356" w:rsidRDefault="008A1644" w:rsidP="00DA6633">
      <w:pPr>
        <w:pStyle w:val="Bullet"/>
      </w:pPr>
      <w:proofErr w:type="spellStart"/>
      <w:r>
        <w:t>t</w:t>
      </w:r>
      <w:r w:rsidRPr="00CB43E4">
        <w:t>ino</w:t>
      </w:r>
      <w:proofErr w:type="spellEnd"/>
      <w:r w:rsidRPr="00CB43E4">
        <w:t xml:space="preserve"> rangatiratanga </w:t>
      </w:r>
      <w:r>
        <w:t>must be emphasised; words like</w:t>
      </w:r>
      <w:r w:rsidRPr="00CB43E4">
        <w:t xml:space="preserve"> </w:t>
      </w:r>
      <w:r w:rsidR="00183207">
        <w:t>‘</w:t>
      </w:r>
      <w:r w:rsidRPr="00172356">
        <w:t>support</w:t>
      </w:r>
      <w:r w:rsidR="00183207">
        <w:t>’</w:t>
      </w:r>
      <w:r w:rsidRPr="00172356">
        <w:t xml:space="preserve"> and </w:t>
      </w:r>
      <w:r w:rsidR="00183207">
        <w:t>‘</w:t>
      </w:r>
      <w:r w:rsidRPr="00172356">
        <w:t>enable</w:t>
      </w:r>
      <w:r w:rsidR="00183207">
        <w:t>’</w:t>
      </w:r>
      <w:r w:rsidRPr="00172356">
        <w:t xml:space="preserve"> may be viewed as </w:t>
      </w:r>
      <w:r w:rsidR="00183207">
        <w:t>‘</w:t>
      </w:r>
      <w:r w:rsidRPr="00172356">
        <w:t>doing to</w:t>
      </w:r>
      <w:r w:rsidR="00183207">
        <w:t>’</w:t>
      </w:r>
    </w:p>
    <w:p w14:paraId="30763EC3" w14:textId="77777777" w:rsidR="008A1644" w:rsidRDefault="00183207" w:rsidP="00DA6633">
      <w:pPr>
        <w:pStyle w:val="Bullet"/>
      </w:pPr>
      <w:r>
        <w:t>‘</w:t>
      </w:r>
      <w:r w:rsidR="008A1644">
        <w:t>u</w:t>
      </w:r>
      <w:r w:rsidR="008A1644" w:rsidRPr="00172356">
        <w:t xml:space="preserve">pholding </w:t>
      </w:r>
      <w:proofErr w:type="spellStart"/>
      <w:r w:rsidR="008A1644" w:rsidRPr="00172356">
        <w:t>Te</w:t>
      </w:r>
      <w:proofErr w:type="spellEnd"/>
      <w:r w:rsidR="008A1644" w:rsidRPr="00172356">
        <w:t xml:space="preserve"> </w:t>
      </w:r>
      <w:proofErr w:type="spellStart"/>
      <w:r w:rsidR="008A1644" w:rsidRPr="00172356">
        <w:t>Tiriti</w:t>
      </w:r>
      <w:proofErr w:type="spellEnd"/>
      <w:r w:rsidR="008A1644" w:rsidRPr="00172356">
        <w:t xml:space="preserve"> o Waitangi</w:t>
      </w:r>
      <w:r>
        <w:t>’</w:t>
      </w:r>
      <w:r w:rsidR="008A1644" w:rsidRPr="00172356">
        <w:t xml:space="preserve"> should be built into each principle and focus area, </w:t>
      </w:r>
      <w:r w:rsidR="008A1644">
        <w:t xml:space="preserve">and there should be </w:t>
      </w:r>
      <w:r w:rsidR="008A1644" w:rsidRPr="00172356">
        <w:t>expectations on mainstream services to include Māori approaches.</w:t>
      </w:r>
    </w:p>
    <w:p w14:paraId="30763EC4" w14:textId="77777777" w:rsidR="00975F08" w:rsidRDefault="00975F08" w:rsidP="00975F08"/>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975F08" w:rsidRPr="00975F08" w14:paraId="30763EC7" w14:textId="77777777" w:rsidTr="00A04D50">
        <w:trPr>
          <w:cantSplit/>
        </w:trPr>
        <w:tc>
          <w:tcPr>
            <w:tcW w:w="6946" w:type="dxa"/>
          </w:tcPr>
          <w:p w14:paraId="30763EC5" w14:textId="77777777" w:rsidR="00975F08" w:rsidRDefault="00975F08" w:rsidP="00975F08">
            <w:pPr>
              <w:pStyle w:val="TableText"/>
              <w:spacing w:after="0"/>
              <w:rPr>
                <w:lang w:eastAsia="en-NZ"/>
              </w:rPr>
            </w:pPr>
            <w:r>
              <w:rPr>
                <w:lang w:eastAsia="en-NZ"/>
              </w:rPr>
              <w:t>When considering the development of a model and/or a framework, co-design with mana whenua/Māori/</w:t>
            </w:r>
            <w:proofErr w:type="spellStart"/>
            <w:r>
              <w:rPr>
                <w:lang w:eastAsia="en-NZ"/>
              </w:rPr>
              <w:t>tangata</w:t>
            </w:r>
            <w:proofErr w:type="spellEnd"/>
            <w:r>
              <w:rPr>
                <w:lang w:eastAsia="en-NZ"/>
              </w:rPr>
              <w:t xml:space="preserve"> whenua [is essential], so that whatever you do descends from a Māori world view.</w:t>
            </w:r>
          </w:p>
          <w:p w14:paraId="30763EC6" w14:textId="77777777" w:rsidR="00975F08" w:rsidRPr="00975F08" w:rsidRDefault="00975F08" w:rsidP="00975F08">
            <w:pPr>
              <w:pStyle w:val="TableText"/>
              <w:spacing w:before="0"/>
              <w:jc w:val="right"/>
              <w:rPr>
                <w:lang w:eastAsia="en-NZ"/>
              </w:rPr>
            </w:pPr>
            <w:r>
              <w:rPr>
                <w:lang w:eastAsia="en-NZ"/>
              </w:rPr>
              <w:t>District Health Board</w:t>
            </w:r>
          </w:p>
        </w:tc>
      </w:tr>
      <w:tr w:rsidR="00975F08" w:rsidRPr="00975F08" w14:paraId="30763ECA" w14:textId="77777777" w:rsidTr="00A04D50">
        <w:trPr>
          <w:cantSplit/>
        </w:trPr>
        <w:tc>
          <w:tcPr>
            <w:tcW w:w="6946" w:type="dxa"/>
          </w:tcPr>
          <w:p w14:paraId="30763EC8" w14:textId="77777777" w:rsidR="00975F08" w:rsidRDefault="00975F08" w:rsidP="00975F08">
            <w:pPr>
              <w:pStyle w:val="TableText"/>
              <w:spacing w:before="120" w:after="0"/>
              <w:rPr>
                <w:lang w:eastAsia="en-NZ"/>
              </w:rPr>
            </w:pPr>
            <w:r>
              <w:rPr>
                <w:lang w:eastAsia="en-NZ"/>
              </w:rPr>
              <w:t xml:space="preserve">Māori will only achieve equitable outcomes in mental wellbeing when Māori are able to shape their own destiny. The path to equity is through </w:t>
            </w:r>
            <w:proofErr w:type="spellStart"/>
            <w:r>
              <w:rPr>
                <w:lang w:eastAsia="en-NZ"/>
              </w:rPr>
              <w:t>tino</w:t>
            </w:r>
            <w:proofErr w:type="spellEnd"/>
            <w:r>
              <w:rPr>
                <w:lang w:eastAsia="en-NZ"/>
              </w:rPr>
              <w:t xml:space="preserve"> rangatiratanga.</w:t>
            </w:r>
          </w:p>
          <w:p w14:paraId="30763EC9" w14:textId="77777777" w:rsidR="00975F08" w:rsidRDefault="00975F08" w:rsidP="00975F08">
            <w:pPr>
              <w:pStyle w:val="TableText"/>
              <w:spacing w:before="0"/>
              <w:jc w:val="right"/>
              <w:rPr>
                <w:lang w:eastAsia="en-NZ"/>
              </w:rPr>
            </w:pPr>
            <w:r>
              <w:rPr>
                <w:lang w:eastAsia="en-NZ"/>
              </w:rPr>
              <w:t>Government agency</w:t>
            </w:r>
          </w:p>
        </w:tc>
      </w:tr>
    </w:tbl>
    <w:p w14:paraId="30763ECB" w14:textId="77777777" w:rsidR="00DA6633" w:rsidRPr="00DA6633" w:rsidRDefault="00DA6633" w:rsidP="00DA6633"/>
    <w:p w14:paraId="30763ECC" w14:textId="77777777" w:rsidR="008A1644" w:rsidRDefault="008A1644" w:rsidP="00740DB7">
      <w:pPr>
        <w:pStyle w:val="Heading4"/>
      </w:pPr>
      <w:r>
        <w:t>Suggested changes to other principles</w:t>
      </w:r>
    </w:p>
    <w:p w14:paraId="30763ECD" w14:textId="77777777" w:rsidR="008A1644" w:rsidRDefault="008A1644" w:rsidP="00975F08">
      <w:pPr>
        <w:keepNext/>
      </w:pPr>
      <w:r>
        <w:t>Other comments on the principles included the following.</w:t>
      </w:r>
    </w:p>
    <w:p w14:paraId="30763ECE" w14:textId="77777777" w:rsidR="008A1644" w:rsidRDefault="008A1644" w:rsidP="00DA6633">
      <w:pPr>
        <w:pStyle w:val="Bullet"/>
      </w:pPr>
      <w:r>
        <w:rPr>
          <w:i/>
        </w:rPr>
        <w:t>P</w:t>
      </w:r>
      <w:r w:rsidRPr="00172356">
        <w:rPr>
          <w:i/>
        </w:rPr>
        <w:t>eople and whānau-centred</w:t>
      </w:r>
      <w:bookmarkStart w:id="8" w:name="_Hlk50712131"/>
      <w:r>
        <w:rPr>
          <w:i/>
        </w:rPr>
        <w:t xml:space="preserve"> </w:t>
      </w:r>
      <w:r w:rsidRPr="00F05DC0">
        <w:rPr>
          <w:iCs/>
        </w:rPr>
        <w:t>(principle 1)</w:t>
      </w:r>
      <w:bookmarkEnd w:id="8"/>
      <w:r w:rsidRPr="00172356">
        <w:t xml:space="preserve">: </w:t>
      </w:r>
      <w:r w:rsidRPr="000D165B">
        <w:t xml:space="preserve">statements like </w:t>
      </w:r>
      <w:r w:rsidR="00183207">
        <w:t>‘</w:t>
      </w:r>
      <w:r w:rsidRPr="000D165B">
        <w:t>where people have capacity, they lead their recovery and wellbeing with support from services</w:t>
      </w:r>
      <w:r w:rsidR="00183207">
        <w:t>’</w:t>
      </w:r>
      <w:r>
        <w:t xml:space="preserve"> could be included.</w:t>
      </w:r>
    </w:p>
    <w:p w14:paraId="30763ECF" w14:textId="77777777" w:rsidR="008A1644" w:rsidRPr="000D165B" w:rsidRDefault="008A1644" w:rsidP="00DA6633">
      <w:pPr>
        <w:pStyle w:val="Bullet"/>
      </w:pPr>
      <w:r>
        <w:rPr>
          <w:i/>
        </w:rPr>
        <w:t>C</w:t>
      </w:r>
      <w:r w:rsidRPr="00172356">
        <w:rPr>
          <w:i/>
        </w:rPr>
        <w:t>ommunity-led</w:t>
      </w:r>
      <w:r>
        <w:rPr>
          <w:i/>
        </w:rPr>
        <w:t xml:space="preserve"> </w:t>
      </w:r>
      <w:r>
        <w:rPr>
          <w:iCs/>
        </w:rPr>
        <w:t>(principle 2)</w:t>
      </w:r>
      <w:r w:rsidRPr="00172356">
        <w:t xml:space="preserve">: </w:t>
      </w:r>
      <w:r w:rsidRPr="000D165B">
        <w:t xml:space="preserve">some submitters noted that </w:t>
      </w:r>
      <w:r>
        <w:t xml:space="preserve">government-led activity to design and deliver community-based services is not the same as </w:t>
      </w:r>
      <w:r w:rsidR="00183207">
        <w:t>‘</w:t>
      </w:r>
      <w:r>
        <w:t>community-led</w:t>
      </w:r>
      <w:r w:rsidR="00183207">
        <w:t>’</w:t>
      </w:r>
      <w:r>
        <w:t xml:space="preserve"> activity.</w:t>
      </w:r>
    </w:p>
    <w:p w14:paraId="30763ED0" w14:textId="77777777" w:rsidR="008A1644" w:rsidRPr="00172356" w:rsidRDefault="008A1644" w:rsidP="00DA6633">
      <w:pPr>
        <w:pStyle w:val="Bullet"/>
      </w:pPr>
      <w:r>
        <w:rPr>
          <w:i/>
        </w:rPr>
        <w:lastRenderedPageBreak/>
        <w:t>Achieve e</w:t>
      </w:r>
      <w:r w:rsidRPr="00172356">
        <w:rPr>
          <w:i/>
        </w:rPr>
        <w:t>quity</w:t>
      </w:r>
      <w:r>
        <w:rPr>
          <w:i/>
        </w:rPr>
        <w:t xml:space="preserve"> </w:t>
      </w:r>
      <w:r w:rsidRPr="00F05DC0">
        <w:rPr>
          <w:iCs/>
        </w:rPr>
        <w:t xml:space="preserve">(principle </w:t>
      </w:r>
      <w:r>
        <w:rPr>
          <w:iCs/>
        </w:rPr>
        <w:t>4</w:t>
      </w:r>
      <w:r w:rsidRPr="00F05DC0">
        <w:rPr>
          <w:iCs/>
        </w:rPr>
        <w:t>)</w:t>
      </w:r>
      <w:r w:rsidRPr="00172356">
        <w:t xml:space="preserve">: </w:t>
      </w:r>
      <w:proofErr w:type="gramStart"/>
      <w:r>
        <w:t>the</w:t>
      </w:r>
      <w:proofErr w:type="gramEnd"/>
      <w:r>
        <w:t xml:space="preserve"> Plan could include </w:t>
      </w:r>
      <w:r w:rsidRPr="000D165B">
        <w:t xml:space="preserve">examples of groups </w:t>
      </w:r>
      <w:r>
        <w:t xml:space="preserve">that experience </w:t>
      </w:r>
      <w:r w:rsidRPr="000D165B">
        <w:t>inequitable outcomes</w:t>
      </w:r>
      <w:r>
        <w:t>.</w:t>
      </w:r>
    </w:p>
    <w:p w14:paraId="30763ED1" w14:textId="77777777" w:rsidR="008A1644" w:rsidRPr="00533453" w:rsidRDefault="008A1644" w:rsidP="00DA6633">
      <w:pPr>
        <w:pStyle w:val="Bullet"/>
      </w:pPr>
      <w:r>
        <w:rPr>
          <w:i/>
        </w:rPr>
        <w:t>Protect h</w:t>
      </w:r>
      <w:r w:rsidRPr="00172356">
        <w:rPr>
          <w:i/>
        </w:rPr>
        <w:t>uman rights</w:t>
      </w:r>
      <w:r>
        <w:rPr>
          <w:i/>
        </w:rPr>
        <w:t xml:space="preserve"> </w:t>
      </w:r>
      <w:r w:rsidRPr="00F05DC0">
        <w:rPr>
          <w:iCs/>
        </w:rPr>
        <w:t xml:space="preserve">(principle </w:t>
      </w:r>
      <w:r>
        <w:rPr>
          <w:iCs/>
        </w:rPr>
        <w:t>5</w:t>
      </w:r>
      <w:r w:rsidRPr="00F05DC0">
        <w:rPr>
          <w:iCs/>
        </w:rPr>
        <w:t>)</w:t>
      </w:r>
      <w:r w:rsidRPr="00172356">
        <w:t xml:space="preserve">: </w:t>
      </w:r>
      <w:r w:rsidRPr="000D165B">
        <w:t xml:space="preserve">this should </w:t>
      </w:r>
      <w:r>
        <w:t xml:space="preserve">mention </w:t>
      </w:r>
      <w:r w:rsidRPr="000D165B">
        <w:t>the United Nations Convention on Torture and the Convention on the Elimination of all Forms of Discrimination Against Women</w:t>
      </w:r>
      <w:r>
        <w:t>.</w:t>
      </w:r>
    </w:p>
    <w:p w14:paraId="30763ED2" w14:textId="77777777" w:rsidR="008A1644" w:rsidRDefault="008A1644" w:rsidP="00DA6633">
      <w:pPr>
        <w:pStyle w:val="Bullet"/>
      </w:pPr>
      <w:r w:rsidRPr="00B22B01">
        <w:rPr>
          <w:i/>
        </w:rPr>
        <w:t xml:space="preserve">Work together </w:t>
      </w:r>
      <w:r w:rsidRPr="00B22B01">
        <w:rPr>
          <w:iCs/>
        </w:rPr>
        <w:t>(principle 6)</w:t>
      </w:r>
      <w:r w:rsidRPr="00B22B01">
        <w:t xml:space="preserve">: submitters wanted more direction on how collaboration will be </w:t>
      </w:r>
      <w:proofErr w:type="gramStart"/>
      <w:r w:rsidRPr="00B22B01">
        <w:t>achieved</w:t>
      </w:r>
      <w:proofErr w:type="gramEnd"/>
      <w:r w:rsidRPr="00B22B01">
        <w:t xml:space="preserve"> and the strategic direction will be embedded.</w:t>
      </w:r>
    </w:p>
    <w:p w14:paraId="30763ED3" w14:textId="77777777" w:rsidR="00DA6633" w:rsidRDefault="00DA6633" w:rsidP="00DA6633"/>
    <w:p w14:paraId="30763ED4" w14:textId="77777777" w:rsidR="008A1644" w:rsidRPr="008337A0" w:rsidRDefault="008A1644" w:rsidP="008A1644">
      <w:pPr>
        <w:pStyle w:val="Heading1"/>
      </w:pPr>
      <w:bookmarkStart w:id="9" w:name="_Toc52284897"/>
      <w:r w:rsidRPr="008337A0">
        <w:lastRenderedPageBreak/>
        <w:t>Feedback on the focus areas</w:t>
      </w:r>
      <w:bookmarkEnd w:id="9"/>
    </w:p>
    <w:p w14:paraId="30763ED5" w14:textId="77777777" w:rsidR="00183207" w:rsidRDefault="008A1644" w:rsidP="00DA6633">
      <w:r>
        <w:t xml:space="preserve">The five focus area themes (see </w:t>
      </w:r>
      <w:r w:rsidRPr="00B70027">
        <w:rPr>
          <w:b/>
        </w:rPr>
        <w:t>Appendix A</w:t>
      </w:r>
      <w:r>
        <w:t xml:space="preserve">) were well supported in the feedback, although there was a strong call for more concrete actions, </w:t>
      </w:r>
      <w:r w:rsidRPr="002A16D9">
        <w:t>assigned responsibilities and timeframes</w:t>
      </w:r>
      <w:r>
        <w:t xml:space="preserve"> (see </w:t>
      </w:r>
      <w:r w:rsidR="00183207">
        <w:t>‘</w:t>
      </w:r>
      <w:r w:rsidRPr="00186770">
        <w:rPr>
          <w:iCs/>
        </w:rPr>
        <w:t>How to progress the Plan</w:t>
      </w:r>
      <w:r w:rsidR="00183207">
        <w:t>’</w:t>
      </w:r>
      <w:r>
        <w:t xml:space="preserve"> below).</w:t>
      </w:r>
    </w:p>
    <w:p w14:paraId="30763ED6" w14:textId="77777777" w:rsidR="008A1644" w:rsidRDefault="008A1644" w:rsidP="00DA6633"/>
    <w:p w14:paraId="30763ED7" w14:textId="77777777" w:rsidR="00183207" w:rsidRDefault="008A1644" w:rsidP="00740DB7">
      <w:pPr>
        <w:pStyle w:val="Heading4"/>
      </w:pPr>
      <w:r w:rsidRPr="008455E5">
        <w:t xml:space="preserve">Focus </w:t>
      </w:r>
      <w:r>
        <w:t>a</w:t>
      </w:r>
      <w:r w:rsidRPr="008455E5">
        <w:t xml:space="preserve">rea 1: </w:t>
      </w:r>
      <w:r>
        <w:t>Collectively b</w:t>
      </w:r>
      <w:r w:rsidRPr="008455E5">
        <w:t>uilding the social and economic foundations for psychosocial and mental wellbeing</w:t>
      </w:r>
    </w:p>
    <w:p w14:paraId="30763ED8" w14:textId="77777777" w:rsidR="008A1644" w:rsidRDefault="008A1644" w:rsidP="0092146C">
      <w:r>
        <w:t>This focus area encompasses the</w:t>
      </w:r>
      <w:r w:rsidRPr="00245014">
        <w:t xml:space="preserve"> wider determinants</w:t>
      </w:r>
      <w:r>
        <w:t xml:space="preserve"> that influence mental wellbeing. There was wide support for this concept. Some submitters wanted detail</w:t>
      </w:r>
      <w:r w:rsidRPr="00245014">
        <w:t xml:space="preserve"> about actions across </w:t>
      </w:r>
      <w:r>
        <w:t>government</w:t>
      </w:r>
      <w:r w:rsidRPr="00245014">
        <w:t xml:space="preserve"> agencies</w:t>
      </w:r>
      <w:r>
        <w:t xml:space="preserve">, for instance, the role of schools in supporting mental wellbeing and work on homelessness. Several submitters called for the inclusion of </w:t>
      </w:r>
      <w:r w:rsidR="00183207">
        <w:t>‘</w:t>
      </w:r>
      <w:r w:rsidRPr="0019120F">
        <w:t>culture</w:t>
      </w:r>
      <w:r w:rsidR="00183207">
        <w:t>’</w:t>
      </w:r>
      <w:r w:rsidRPr="0019120F">
        <w:t xml:space="preserve"> as a determinant</w:t>
      </w:r>
      <w:r>
        <w:t>/foundation</w:t>
      </w:r>
      <w:r w:rsidRPr="0019120F">
        <w:t xml:space="preserve"> of wellbeing</w:t>
      </w:r>
      <w:r>
        <w:t>.</w:t>
      </w:r>
    </w:p>
    <w:p w14:paraId="30763ED9" w14:textId="77777777" w:rsidR="0092146C" w:rsidRPr="00A5199E" w:rsidRDefault="0092146C" w:rsidP="0092146C"/>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8A1644" w:rsidRPr="00C651D3" w14:paraId="30763EDC" w14:textId="77777777" w:rsidTr="0092146C">
        <w:trPr>
          <w:cantSplit/>
        </w:trPr>
        <w:tc>
          <w:tcPr>
            <w:tcW w:w="6946" w:type="dxa"/>
          </w:tcPr>
          <w:p w14:paraId="30763EDA" w14:textId="77777777" w:rsidR="008A1644" w:rsidRPr="00B51B23" w:rsidRDefault="008A1644" w:rsidP="0092146C">
            <w:pPr>
              <w:pStyle w:val="TableText"/>
              <w:spacing w:before="120" w:after="0"/>
            </w:pPr>
            <w:r w:rsidRPr="00B51B23">
              <w:t>The response needs to include much wider agencies than the mental health and addictions sector, as supporting people through the economic and job loss impacts may require a range of specific interventions.</w:t>
            </w:r>
          </w:p>
          <w:p w14:paraId="30763EDB" w14:textId="77777777" w:rsidR="008A1644" w:rsidRPr="00FD085E" w:rsidRDefault="008A1644" w:rsidP="0092146C">
            <w:pPr>
              <w:pStyle w:val="TableText"/>
              <w:spacing w:before="0"/>
              <w:jc w:val="right"/>
            </w:pPr>
            <w:r w:rsidRPr="00CD0D41">
              <w:t>Health NGO</w:t>
            </w:r>
          </w:p>
        </w:tc>
      </w:tr>
      <w:tr w:rsidR="008A1644" w:rsidRPr="00E908E1" w14:paraId="30763EDF" w14:textId="77777777" w:rsidTr="0092146C">
        <w:trPr>
          <w:cantSplit/>
        </w:trPr>
        <w:tc>
          <w:tcPr>
            <w:tcW w:w="6946" w:type="dxa"/>
          </w:tcPr>
          <w:p w14:paraId="30763EDD" w14:textId="77777777" w:rsidR="008A1644" w:rsidRPr="00B51B23" w:rsidRDefault="008A1644" w:rsidP="0092146C">
            <w:pPr>
              <w:pStyle w:val="TableText"/>
              <w:spacing w:before="120" w:after="0"/>
            </w:pPr>
            <w:r w:rsidRPr="00B51B23">
              <w:t xml:space="preserve">An A3 easy read of all the plans related to </w:t>
            </w:r>
            <w:r w:rsidR="00DA6633">
              <w:t>COVID</w:t>
            </w:r>
            <w:r w:rsidR="00DA6633">
              <w:noBreakHyphen/>
              <w:t>19</w:t>
            </w:r>
            <w:r w:rsidRPr="00B51B23">
              <w:t xml:space="preserve"> that are developed by government would be useful. This would also show the common activities and show a coordinated approach.</w:t>
            </w:r>
          </w:p>
          <w:p w14:paraId="30763EDE" w14:textId="77777777" w:rsidR="008A1644" w:rsidRPr="004018D3" w:rsidRDefault="008A1644" w:rsidP="0092146C">
            <w:pPr>
              <w:pStyle w:val="TableText"/>
              <w:spacing w:before="0"/>
              <w:jc w:val="right"/>
            </w:pPr>
            <w:r>
              <w:t>Health NGO</w:t>
            </w:r>
          </w:p>
        </w:tc>
      </w:tr>
    </w:tbl>
    <w:p w14:paraId="30763EE0" w14:textId="77777777" w:rsidR="008A1644" w:rsidRDefault="008A1644" w:rsidP="0092146C"/>
    <w:p w14:paraId="30763EE1" w14:textId="77777777" w:rsidR="00183207" w:rsidRDefault="008A1644" w:rsidP="00740DB7">
      <w:pPr>
        <w:pStyle w:val="Heading4"/>
      </w:pPr>
      <w:r w:rsidRPr="008455E5">
        <w:t xml:space="preserve">Focus </w:t>
      </w:r>
      <w:r>
        <w:t>a</w:t>
      </w:r>
      <w:r w:rsidRPr="008455E5">
        <w:t>rea 2: Empower community-led response and recovery</w:t>
      </w:r>
    </w:p>
    <w:p w14:paraId="30763EE2" w14:textId="77777777" w:rsidR="00183207" w:rsidRDefault="008A1644" w:rsidP="00093F01">
      <w:pPr>
        <w:keepNext/>
      </w:pPr>
      <w:r>
        <w:t xml:space="preserve">Submitters praised the prominence of community activity in the Plan. Many submitters highlighted positive actions that had already been undertaken at a community level during the </w:t>
      </w:r>
      <w:r w:rsidR="00DA6633">
        <w:t>COVID</w:t>
      </w:r>
      <w:r w:rsidR="00DA6633">
        <w:noBreakHyphen/>
        <w:t>19</w:t>
      </w:r>
      <w:r>
        <w:t xml:space="preserve"> lockdown.</w:t>
      </w:r>
    </w:p>
    <w:p w14:paraId="30763EE3" w14:textId="77777777" w:rsidR="00093F01" w:rsidRDefault="00093F01" w:rsidP="00093F01">
      <w:pPr>
        <w:keepNext/>
      </w:pPr>
    </w:p>
    <w:p w14:paraId="30763EE4" w14:textId="77777777" w:rsidR="00183207" w:rsidRDefault="008A1644" w:rsidP="00093F01">
      <w:r>
        <w:t>Many</w:t>
      </w:r>
      <w:r w:rsidRPr="00EE2CF8">
        <w:t xml:space="preserve"> </w:t>
      </w:r>
      <w:r>
        <w:t xml:space="preserve">submitters </w:t>
      </w:r>
      <w:r w:rsidRPr="00EE2CF8">
        <w:t>emphasis</w:t>
      </w:r>
      <w:r>
        <w:t>ed</w:t>
      </w:r>
      <w:r w:rsidRPr="00EE2CF8">
        <w:t xml:space="preserve"> </w:t>
      </w:r>
      <w:r>
        <w:t xml:space="preserve">the significant roles of people with </w:t>
      </w:r>
      <w:r w:rsidRPr="00EE2CF8">
        <w:t>lived experience, whānau, neighbou</w:t>
      </w:r>
      <w:r>
        <w:t>r</w:t>
      </w:r>
      <w:r w:rsidRPr="00EE2CF8">
        <w:t>s</w:t>
      </w:r>
      <w:r>
        <w:t xml:space="preserve">, </w:t>
      </w:r>
      <w:r w:rsidRPr="00EE2CF8">
        <w:t>community organisations</w:t>
      </w:r>
      <w:r>
        <w:t xml:space="preserve"> and volunteers. Submitters identified shifts needed in the system to enable communities to lead responses, noting that resourcing is a key issue.</w:t>
      </w:r>
    </w:p>
    <w:p w14:paraId="30763EE5" w14:textId="77777777" w:rsidR="00093F01" w:rsidRDefault="00093F01" w:rsidP="00093F01"/>
    <w:p w14:paraId="30763EE6" w14:textId="77777777" w:rsidR="008A1644" w:rsidRPr="00EE2CF8" w:rsidRDefault="008A1644" w:rsidP="00093F01">
      <w:r>
        <w:t>Other comments included that:</w:t>
      </w:r>
    </w:p>
    <w:p w14:paraId="30763EE7" w14:textId="77777777" w:rsidR="008A1644" w:rsidRPr="00172356" w:rsidRDefault="008A1644" w:rsidP="00093F01">
      <w:pPr>
        <w:pStyle w:val="Bullet"/>
      </w:pPr>
      <w:r>
        <w:t>t</w:t>
      </w:r>
      <w:r w:rsidRPr="00172356">
        <w:t xml:space="preserve">he </w:t>
      </w:r>
      <w:r>
        <w:t>P</w:t>
      </w:r>
      <w:r w:rsidRPr="00172356">
        <w:t xml:space="preserve">lan should clarify which initiatives should be national </w:t>
      </w:r>
      <w:r>
        <w:t xml:space="preserve">and which </w:t>
      </w:r>
      <w:r w:rsidRPr="00172356">
        <w:t>community-led</w:t>
      </w:r>
    </w:p>
    <w:p w14:paraId="30763EE8" w14:textId="77777777" w:rsidR="008A1644" w:rsidRPr="00172356" w:rsidRDefault="008A1644" w:rsidP="00093F01">
      <w:pPr>
        <w:pStyle w:val="Bullet"/>
      </w:pPr>
      <w:r>
        <w:t>c</w:t>
      </w:r>
      <w:r w:rsidRPr="00172356">
        <w:t xml:space="preserve">ommunity-led approaches </w:t>
      </w:r>
      <w:r>
        <w:t xml:space="preserve">should be </w:t>
      </w:r>
      <w:r w:rsidRPr="00172356">
        <w:t xml:space="preserve">about addressing power imbalances and deficits in communities that hinder </w:t>
      </w:r>
      <w:r>
        <w:t>communities</w:t>
      </w:r>
      <w:r w:rsidR="00183207">
        <w:t>’</w:t>
      </w:r>
      <w:r>
        <w:t xml:space="preserve"> </w:t>
      </w:r>
      <w:r w:rsidRPr="00172356">
        <w:t>ability to implement their own solutions</w:t>
      </w:r>
      <w:r>
        <w:t xml:space="preserve"> to local issues</w:t>
      </w:r>
    </w:p>
    <w:p w14:paraId="30763EE9" w14:textId="77777777" w:rsidR="008A1644" w:rsidRPr="00172356" w:rsidRDefault="008A1644" w:rsidP="00093F01">
      <w:pPr>
        <w:pStyle w:val="Bullet"/>
      </w:pPr>
      <w:r>
        <w:lastRenderedPageBreak/>
        <w:t xml:space="preserve">the verb </w:t>
      </w:r>
      <w:r w:rsidR="00183207">
        <w:t>‘</w:t>
      </w:r>
      <w:r w:rsidRPr="00172356">
        <w:t>empower</w:t>
      </w:r>
      <w:r w:rsidR="00183207">
        <w:t>’</w:t>
      </w:r>
      <w:r>
        <w:t xml:space="preserve"> in this focus area </w:t>
      </w:r>
      <w:r w:rsidRPr="00172356">
        <w:t>has a government-in-charge flavour</w:t>
      </w:r>
      <w:r>
        <w:t xml:space="preserve">, and </w:t>
      </w:r>
      <w:r w:rsidRPr="00172356">
        <w:t xml:space="preserve">could be changed to </w:t>
      </w:r>
      <w:r w:rsidR="00183207">
        <w:t>‘</w:t>
      </w:r>
      <w:r w:rsidRPr="00172356">
        <w:t>prioritise and support</w:t>
      </w:r>
      <w:r w:rsidR="00183207">
        <w:t>’</w:t>
      </w:r>
      <w:r w:rsidRPr="00172356">
        <w:t xml:space="preserve">, while </w:t>
      </w:r>
      <w:r w:rsidR="00183207">
        <w:t>‘</w:t>
      </w:r>
      <w:r w:rsidRPr="00172356">
        <w:t>resilience</w:t>
      </w:r>
      <w:r w:rsidR="00183207">
        <w:t>’</w:t>
      </w:r>
      <w:r w:rsidRPr="00172356">
        <w:t xml:space="preserve"> could be used instead of </w:t>
      </w:r>
      <w:r w:rsidR="00183207">
        <w:t>‘</w:t>
      </w:r>
      <w:r w:rsidRPr="00172356">
        <w:t>recovery</w:t>
      </w:r>
      <w:r w:rsidR="00183207">
        <w:t>’</w:t>
      </w:r>
    </w:p>
    <w:p w14:paraId="30763EEA" w14:textId="77777777" w:rsidR="008A1644" w:rsidRPr="00172356" w:rsidRDefault="008A1644" w:rsidP="00093F01">
      <w:pPr>
        <w:pStyle w:val="Bullet"/>
      </w:pPr>
      <w:r>
        <w:t xml:space="preserve">the Plan should include </w:t>
      </w:r>
      <w:r w:rsidRPr="00172356">
        <w:t>actions related to community arts, sport and cultural activities</w:t>
      </w:r>
    </w:p>
    <w:p w14:paraId="30763EEB" w14:textId="77777777" w:rsidR="008A1644" w:rsidRDefault="00183207" w:rsidP="00093F01">
      <w:pPr>
        <w:pStyle w:val="Bullet"/>
      </w:pPr>
      <w:r>
        <w:t>‘</w:t>
      </w:r>
      <w:r w:rsidR="008A1644" w:rsidRPr="00172356">
        <w:t>encourage communities to reimagine our future</w:t>
      </w:r>
      <w:r>
        <w:t>’</w:t>
      </w:r>
      <w:r w:rsidR="008A1644">
        <w:t xml:space="preserve"> was an example of a listed action where responsibility was not clear</w:t>
      </w:r>
      <w:r w:rsidR="008A1644" w:rsidRPr="00172356">
        <w:t>.</w:t>
      </w:r>
    </w:p>
    <w:p w14:paraId="30763EEC" w14:textId="77777777" w:rsidR="00093F01" w:rsidRDefault="00093F01" w:rsidP="00093F01"/>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6D2C49" w:rsidRPr="00975F08" w14:paraId="30763EEF" w14:textId="77777777" w:rsidTr="00A04D50">
        <w:trPr>
          <w:cantSplit/>
        </w:trPr>
        <w:tc>
          <w:tcPr>
            <w:tcW w:w="6946" w:type="dxa"/>
          </w:tcPr>
          <w:p w14:paraId="30763EED" w14:textId="77777777" w:rsidR="006D2C49" w:rsidRDefault="006D2C49" w:rsidP="006D2C49">
            <w:pPr>
              <w:pStyle w:val="TableText"/>
              <w:spacing w:before="120" w:after="0"/>
              <w:rPr>
                <w:lang w:eastAsia="en-NZ"/>
              </w:rPr>
            </w:pPr>
            <w:r>
              <w:rPr>
                <w:lang w:eastAsia="en-NZ"/>
              </w:rPr>
              <w:t>The community sector and voluntary sector pick up addressing much of grassroots level impact of COVID 19. They will require funding, resourcing and autonomy to act and meet the needs of individuals, whānau and communities.</w:t>
            </w:r>
          </w:p>
          <w:p w14:paraId="30763EEE" w14:textId="77777777" w:rsidR="006D2C49" w:rsidRDefault="006D2C49" w:rsidP="006D2C49">
            <w:pPr>
              <w:pStyle w:val="TableText"/>
              <w:spacing w:before="0"/>
              <w:jc w:val="right"/>
              <w:rPr>
                <w:lang w:eastAsia="en-NZ"/>
              </w:rPr>
            </w:pPr>
            <w:r>
              <w:rPr>
                <w:lang w:eastAsia="en-NZ"/>
              </w:rPr>
              <w:t>Social service/other NGO</w:t>
            </w:r>
          </w:p>
        </w:tc>
      </w:tr>
    </w:tbl>
    <w:p w14:paraId="30763EF0" w14:textId="77777777" w:rsidR="006D2C49" w:rsidRPr="00172356" w:rsidRDefault="006D2C49" w:rsidP="00093F01"/>
    <w:p w14:paraId="30763EF1" w14:textId="77777777" w:rsidR="00183207" w:rsidRDefault="008A1644" w:rsidP="00740DB7">
      <w:pPr>
        <w:pStyle w:val="Heading4"/>
      </w:pPr>
      <w:r w:rsidRPr="008455E5">
        <w:t xml:space="preserve">Focus </w:t>
      </w:r>
      <w:r>
        <w:t>a</w:t>
      </w:r>
      <w:r w:rsidRPr="008455E5">
        <w:t xml:space="preserve">rea 3: Equip people to look after their own </w:t>
      </w:r>
      <w:r>
        <w:t xml:space="preserve">mental </w:t>
      </w:r>
      <w:r w:rsidRPr="008455E5">
        <w:t>wellbeing</w:t>
      </w:r>
    </w:p>
    <w:p w14:paraId="30763EF2" w14:textId="77777777" w:rsidR="008A1644" w:rsidRDefault="008A1644" w:rsidP="006D2C49">
      <w:pPr>
        <w:keepNext/>
      </w:pPr>
      <w:r>
        <w:t>Although most responses did not specifically address this focus area, those that did included that:</w:t>
      </w:r>
    </w:p>
    <w:p w14:paraId="30763EF3" w14:textId="77777777" w:rsidR="008A1644" w:rsidRPr="00172356" w:rsidRDefault="008A1644" w:rsidP="006D2C49">
      <w:pPr>
        <w:pStyle w:val="Bullet"/>
        <w:keepNext/>
      </w:pPr>
      <w:r>
        <w:t>t</w:t>
      </w:r>
      <w:r w:rsidRPr="00172356">
        <w:t>h</w:t>
      </w:r>
      <w:r>
        <w:t>is</w:t>
      </w:r>
      <w:r w:rsidRPr="00172356">
        <w:t xml:space="preserve"> is too focused on the individual</w:t>
      </w:r>
      <w:r>
        <w:t>,</w:t>
      </w:r>
      <w:r w:rsidRPr="00172356">
        <w:t xml:space="preserve"> and needs to place people within the context of their whānau</w:t>
      </w:r>
    </w:p>
    <w:p w14:paraId="30763EF4" w14:textId="77777777" w:rsidR="008A1644" w:rsidRDefault="008A1644" w:rsidP="006D2C49">
      <w:pPr>
        <w:pStyle w:val="Bullet"/>
        <w:keepNext/>
      </w:pPr>
      <w:r>
        <w:t>people</w:t>
      </w:r>
      <w:r w:rsidR="00183207">
        <w:t>’</w:t>
      </w:r>
      <w:r>
        <w:t xml:space="preserve">s </w:t>
      </w:r>
      <w:r w:rsidRPr="00172356">
        <w:t xml:space="preserve">different learning styles and needs </w:t>
      </w:r>
      <w:r>
        <w:t>should be acknowledged</w:t>
      </w:r>
      <w:r w:rsidRPr="00172356">
        <w:t>.</w:t>
      </w:r>
    </w:p>
    <w:p w14:paraId="30763EF5" w14:textId="77777777" w:rsidR="00093F01" w:rsidRDefault="00093F01" w:rsidP="006D2C49">
      <w:pPr>
        <w:keepNext/>
      </w:pPr>
    </w:p>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6D2C49" w:rsidRPr="00975F08" w14:paraId="30763EF8" w14:textId="77777777" w:rsidTr="00A04D50">
        <w:trPr>
          <w:cantSplit/>
        </w:trPr>
        <w:tc>
          <w:tcPr>
            <w:tcW w:w="6946" w:type="dxa"/>
          </w:tcPr>
          <w:p w14:paraId="30763EF6" w14:textId="77777777" w:rsidR="006D2C49" w:rsidRDefault="006D2C49" w:rsidP="006D2C49">
            <w:pPr>
              <w:pStyle w:val="TableText"/>
              <w:spacing w:before="120" w:after="0"/>
              <w:rPr>
                <w:lang w:eastAsia="en-NZ"/>
              </w:rPr>
            </w:pPr>
            <w:r>
              <w:rPr>
                <w:lang w:eastAsia="en-NZ"/>
              </w:rPr>
              <w:t>The focus areas need to be a bit broader to reflect that workplaces are considered part of the community and will contribute significantly to strengthening and equipping people to look after their own wellbeing.</w:t>
            </w:r>
          </w:p>
          <w:p w14:paraId="30763EF7" w14:textId="77777777" w:rsidR="006D2C49" w:rsidRDefault="006D2C49" w:rsidP="006D2C49">
            <w:pPr>
              <w:pStyle w:val="TableText"/>
              <w:spacing w:before="0"/>
              <w:jc w:val="right"/>
              <w:rPr>
                <w:lang w:eastAsia="en-NZ"/>
              </w:rPr>
            </w:pPr>
            <w:r>
              <w:rPr>
                <w:lang w:eastAsia="en-NZ"/>
              </w:rPr>
              <w:t>Individual</w:t>
            </w:r>
          </w:p>
        </w:tc>
      </w:tr>
    </w:tbl>
    <w:p w14:paraId="30763EF9" w14:textId="77777777" w:rsidR="006D2C49" w:rsidRPr="00172356" w:rsidRDefault="006D2C49" w:rsidP="00093F01"/>
    <w:p w14:paraId="30763EFA" w14:textId="77777777" w:rsidR="00183207" w:rsidRDefault="008A1644" w:rsidP="00740DB7">
      <w:pPr>
        <w:pStyle w:val="Heading4"/>
      </w:pPr>
      <w:r w:rsidRPr="008455E5">
        <w:t xml:space="preserve">Focus </w:t>
      </w:r>
      <w:r>
        <w:t>a</w:t>
      </w:r>
      <w:r w:rsidRPr="008455E5">
        <w:t>rea 4: Strengthen primary mental health and addiction support in communities</w:t>
      </w:r>
    </w:p>
    <w:p w14:paraId="30763EFB" w14:textId="77777777" w:rsidR="00183207" w:rsidRDefault="008A1644" w:rsidP="00093F01">
      <w:r>
        <w:t>Feedback for this focus area was positive, although many comments focused on the continuing demand and resourcing pressures.</w:t>
      </w:r>
    </w:p>
    <w:p w14:paraId="30763EFC" w14:textId="77777777" w:rsidR="00093F01" w:rsidRDefault="00093F01" w:rsidP="00093F01"/>
    <w:p w14:paraId="30763EFD" w14:textId="77777777" w:rsidR="00183207" w:rsidRDefault="008A1644" w:rsidP="00093F01">
      <w:r>
        <w:t xml:space="preserve">General practices sought clearer </w:t>
      </w:r>
      <w:r w:rsidRPr="002D4CE2">
        <w:t>acknowledg</w:t>
      </w:r>
      <w:r>
        <w:t>ment of their role and</w:t>
      </w:r>
      <w:r w:rsidRPr="002D4CE2">
        <w:t xml:space="preserve"> </w:t>
      </w:r>
      <w:r>
        <w:t>expressed a desire for</w:t>
      </w:r>
      <w:r w:rsidRPr="002D4CE2">
        <w:t xml:space="preserve"> longer consultations and </w:t>
      </w:r>
      <w:r>
        <w:t>more access to</w:t>
      </w:r>
      <w:r w:rsidRPr="002D4CE2">
        <w:t xml:space="preserve"> psychologists</w:t>
      </w:r>
      <w:r>
        <w:t xml:space="preserve">. Some comments highlighted the essential role and resourcing needs of emergency departments, </w:t>
      </w:r>
      <w:proofErr w:type="spellStart"/>
      <w:r w:rsidRPr="003F4B49">
        <w:t>kaupapa</w:t>
      </w:r>
      <w:proofErr w:type="spellEnd"/>
      <w:r w:rsidRPr="003F4B49">
        <w:t xml:space="preserve"> Māori services and alcohol and other drugs services.</w:t>
      </w:r>
    </w:p>
    <w:p w14:paraId="30763EFE" w14:textId="77777777" w:rsidR="00093F01" w:rsidRDefault="00093F01" w:rsidP="00093F01"/>
    <w:p w14:paraId="30763EFF" w14:textId="77777777" w:rsidR="008A1644" w:rsidRDefault="008A1644" w:rsidP="00093F01">
      <w:r>
        <w:t>P</w:t>
      </w:r>
      <w:r w:rsidRPr="00DF5D54">
        <w:t>opulation-focused action</w:t>
      </w:r>
      <w:r>
        <w:t>s were recommended, for instance to recognise that services for ethnic populations need to be provided in culturally appropriate ways.</w:t>
      </w:r>
    </w:p>
    <w:p w14:paraId="30763F00" w14:textId="77777777" w:rsidR="00093F01" w:rsidRDefault="00093F01" w:rsidP="00093F01"/>
    <w:p w14:paraId="30763F01" w14:textId="77777777" w:rsidR="008A1644" w:rsidRPr="006D2C49" w:rsidRDefault="008A1644" w:rsidP="006D2C49">
      <w:pPr>
        <w:ind w:right="-142"/>
        <w:rPr>
          <w:spacing w:val="-2"/>
        </w:rPr>
      </w:pPr>
      <w:r w:rsidRPr="006D2C49">
        <w:rPr>
          <w:spacing w:val="-2"/>
        </w:rPr>
        <w:t>Issues for community organisations were highlighted, particularly the need for sustainable funding. Several suggested government tendering processes needed changing, for instance to support collaboration, build in evaluation and strengthen equity.</w:t>
      </w:r>
    </w:p>
    <w:p w14:paraId="30763F02" w14:textId="77777777" w:rsidR="00093F01" w:rsidRDefault="00093F01" w:rsidP="00093F01"/>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6D2C49" w:rsidRPr="00975F08" w14:paraId="30763F05" w14:textId="77777777" w:rsidTr="00A04D50">
        <w:trPr>
          <w:cantSplit/>
        </w:trPr>
        <w:tc>
          <w:tcPr>
            <w:tcW w:w="6946" w:type="dxa"/>
          </w:tcPr>
          <w:p w14:paraId="30763F03" w14:textId="77777777" w:rsidR="006D2C49" w:rsidRDefault="006D2C49" w:rsidP="006D2C49">
            <w:pPr>
              <w:pStyle w:val="TableText"/>
              <w:spacing w:before="120" w:after="0"/>
              <w:rPr>
                <w:lang w:eastAsia="en-NZ"/>
              </w:rPr>
            </w:pPr>
            <w:r>
              <w:rPr>
                <w:lang w:eastAsia="en-NZ"/>
              </w:rPr>
              <w:lastRenderedPageBreak/>
              <w:t>We need to see widespread access to mental health and addiction support available free in communities and primary care.</w:t>
            </w:r>
          </w:p>
          <w:p w14:paraId="30763F04" w14:textId="77777777" w:rsidR="006D2C49" w:rsidRDefault="006D2C49" w:rsidP="006D2C49">
            <w:pPr>
              <w:pStyle w:val="TableText"/>
              <w:spacing w:before="0"/>
              <w:jc w:val="right"/>
              <w:rPr>
                <w:lang w:eastAsia="en-NZ"/>
              </w:rPr>
            </w:pPr>
            <w:r>
              <w:rPr>
                <w:lang w:eastAsia="en-NZ"/>
              </w:rPr>
              <w:t>General practice/primary health organisation</w:t>
            </w:r>
          </w:p>
        </w:tc>
      </w:tr>
      <w:tr w:rsidR="006D2C49" w:rsidRPr="00975F08" w14:paraId="30763F08" w14:textId="77777777" w:rsidTr="00A04D50">
        <w:trPr>
          <w:cantSplit/>
        </w:trPr>
        <w:tc>
          <w:tcPr>
            <w:tcW w:w="6946" w:type="dxa"/>
          </w:tcPr>
          <w:p w14:paraId="30763F06" w14:textId="77777777" w:rsidR="006D2C49" w:rsidRDefault="006D2C49" w:rsidP="006D2C49">
            <w:pPr>
              <w:pStyle w:val="TableText"/>
              <w:spacing w:before="120" w:after="0"/>
              <w:rPr>
                <w:lang w:eastAsia="en-NZ"/>
              </w:rPr>
            </w:pPr>
            <w:r>
              <w:rPr>
                <w:lang w:eastAsia="en-NZ"/>
              </w:rPr>
              <w:t>Continue to engage with, work with and trust the community sector and NGOs, who have demonstrated their strength in collaboration, to support government initiatives. NGOs need to be funded appropriately, to allow longevity and creativity.</w:t>
            </w:r>
          </w:p>
          <w:p w14:paraId="30763F07" w14:textId="77777777" w:rsidR="006D2C49" w:rsidRDefault="006D2C49" w:rsidP="006D2C49">
            <w:pPr>
              <w:pStyle w:val="TableText"/>
              <w:spacing w:before="0"/>
              <w:jc w:val="right"/>
              <w:rPr>
                <w:lang w:eastAsia="en-NZ"/>
              </w:rPr>
            </w:pPr>
            <w:r>
              <w:rPr>
                <w:lang w:eastAsia="en-NZ"/>
              </w:rPr>
              <w:t>Health NGO</w:t>
            </w:r>
          </w:p>
        </w:tc>
      </w:tr>
    </w:tbl>
    <w:p w14:paraId="30763F09" w14:textId="77777777" w:rsidR="00183207" w:rsidRDefault="008A1644" w:rsidP="00740DB7">
      <w:pPr>
        <w:pStyle w:val="Heading4"/>
      </w:pPr>
      <w:r w:rsidRPr="008455E5">
        <w:t xml:space="preserve">Focus </w:t>
      </w:r>
      <w:r>
        <w:t>a</w:t>
      </w:r>
      <w:r w:rsidRPr="008455E5">
        <w:t>rea 5: Support specialist services</w:t>
      </w:r>
    </w:p>
    <w:p w14:paraId="30763F0A" w14:textId="77777777" w:rsidR="008A1644" w:rsidRDefault="008A1644" w:rsidP="00093F01">
      <w:r>
        <w:t xml:space="preserve">Responses highlighted the pressure services were already under prior to </w:t>
      </w:r>
      <w:r w:rsidR="00DA6633">
        <w:t>COVID</w:t>
      </w:r>
      <w:r w:rsidR="00DA6633">
        <w:noBreakHyphen/>
        <w:t>19</w:t>
      </w:r>
      <w:r>
        <w:t xml:space="preserve">, and actions needed </w:t>
      </w:r>
      <w:r w:rsidRPr="00C44F2C">
        <w:t>to address waitlists.</w:t>
      </w:r>
      <w:r>
        <w:t xml:space="preserve"> Funding and staffing were outlined as main concerns, particularly if </w:t>
      </w:r>
      <w:r w:rsidR="00DA6633">
        <w:t>COVID</w:t>
      </w:r>
      <w:r w:rsidR="00DA6633">
        <w:noBreakHyphen/>
        <w:t>19</w:t>
      </w:r>
      <w:r>
        <w:t xml:space="preserve"> impacts were to increase.</w:t>
      </w:r>
    </w:p>
    <w:p w14:paraId="30763F0B" w14:textId="77777777" w:rsidR="00093F01" w:rsidRDefault="00093F01" w:rsidP="00093F01"/>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6D2C49" w:rsidRPr="00975F08" w14:paraId="30763F0E" w14:textId="77777777" w:rsidTr="00A04D50">
        <w:trPr>
          <w:cantSplit/>
        </w:trPr>
        <w:tc>
          <w:tcPr>
            <w:tcW w:w="6946" w:type="dxa"/>
          </w:tcPr>
          <w:p w14:paraId="30763F0C" w14:textId="77777777" w:rsidR="006D2C49" w:rsidRDefault="006D2C49" w:rsidP="006D2C49">
            <w:pPr>
              <w:pStyle w:val="TableText"/>
              <w:spacing w:before="120" w:after="0"/>
              <w:rPr>
                <w:lang w:eastAsia="en-NZ"/>
              </w:rPr>
            </w:pPr>
            <w:r>
              <w:rPr>
                <w:lang w:eastAsia="en-NZ"/>
              </w:rPr>
              <w:t xml:space="preserve">Impacts on specialist services will need monitoring now that staff are </w:t>
            </w:r>
            <w:proofErr w:type="gramStart"/>
            <w:r>
              <w:rPr>
                <w:lang w:eastAsia="en-NZ"/>
              </w:rPr>
              <w:t>returning</w:t>
            </w:r>
            <w:proofErr w:type="gramEnd"/>
            <w:r>
              <w:rPr>
                <w:lang w:eastAsia="en-NZ"/>
              </w:rPr>
              <w:t xml:space="preserve"> and referrals are flooding in.</w:t>
            </w:r>
          </w:p>
          <w:p w14:paraId="30763F0D" w14:textId="77777777" w:rsidR="006D2C49" w:rsidRDefault="006D2C49" w:rsidP="006D2C49">
            <w:pPr>
              <w:pStyle w:val="TableText"/>
              <w:spacing w:before="0"/>
              <w:jc w:val="right"/>
              <w:rPr>
                <w:lang w:eastAsia="en-NZ"/>
              </w:rPr>
            </w:pPr>
            <w:r>
              <w:rPr>
                <w:lang w:eastAsia="en-NZ"/>
              </w:rPr>
              <w:t>Health NGO</w:t>
            </w:r>
          </w:p>
        </w:tc>
      </w:tr>
    </w:tbl>
    <w:p w14:paraId="30763F0F" w14:textId="77777777" w:rsidR="006D2C49" w:rsidRDefault="006D2C49" w:rsidP="00093F01"/>
    <w:p w14:paraId="30763F10" w14:textId="77777777" w:rsidR="008A1644" w:rsidRPr="00E943D5" w:rsidRDefault="008A1644" w:rsidP="00740DB7">
      <w:pPr>
        <w:pStyle w:val="Heading4"/>
      </w:pPr>
      <w:r w:rsidRPr="00E943D5">
        <w:t>Overarching comments on focus areas</w:t>
      </w:r>
    </w:p>
    <w:p w14:paraId="30763F11" w14:textId="77777777" w:rsidR="008A1644" w:rsidRPr="00E1297D" w:rsidRDefault="008A1644" w:rsidP="00093F01">
      <w:r w:rsidRPr="00E1297D">
        <w:t xml:space="preserve">Some overarching comments </w:t>
      </w:r>
      <w:r>
        <w:t xml:space="preserve">on the focus areas </w:t>
      </w:r>
      <w:r w:rsidRPr="00E1297D">
        <w:t>included</w:t>
      </w:r>
      <w:r>
        <w:t xml:space="preserve"> that:</w:t>
      </w:r>
    </w:p>
    <w:p w14:paraId="30763F12" w14:textId="77777777" w:rsidR="008A1644" w:rsidRPr="00E1297D" w:rsidRDefault="008A1644" w:rsidP="00093F01">
      <w:pPr>
        <w:pStyle w:val="Bullet"/>
      </w:pPr>
      <w:r w:rsidRPr="00E1297D">
        <w:t xml:space="preserve">the </w:t>
      </w:r>
      <w:r>
        <w:t>P</w:t>
      </w:r>
      <w:r w:rsidRPr="00E1297D">
        <w:t>lan does not address mental health and addictions equally; most actions are singularly focused on mental wellbeing, or do not recognise that addiction covers more than just substance harm</w:t>
      </w:r>
    </w:p>
    <w:p w14:paraId="30763F13" w14:textId="77777777" w:rsidR="008A1644" w:rsidRDefault="008A1644" w:rsidP="00093F01">
      <w:pPr>
        <w:pStyle w:val="Bullet"/>
      </w:pPr>
      <w:proofErr w:type="gramStart"/>
      <w:r>
        <w:t>i</w:t>
      </w:r>
      <w:r w:rsidRPr="00E1297D">
        <w:t xml:space="preserve">n order </w:t>
      </w:r>
      <w:r>
        <w:t>for</w:t>
      </w:r>
      <w:proofErr w:type="gramEnd"/>
      <w:r>
        <w:t xml:space="preserve"> the Plan to</w:t>
      </w:r>
      <w:r w:rsidRPr="00E1297D">
        <w:t xml:space="preserve"> apply equitably to rainbow communities, references to whānau must be interpreted more broadly than birth or whakapapa whānau.</w:t>
      </w:r>
    </w:p>
    <w:p w14:paraId="30763F14" w14:textId="77777777" w:rsidR="00093F01" w:rsidRPr="00E1297D" w:rsidRDefault="00093F01" w:rsidP="00093F01"/>
    <w:p w14:paraId="30763F15" w14:textId="77777777" w:rsidR="008A1644" w:rsidRPr="008337A0" w:rsidRDefault="008A1644" w:rsidP="008A1644">
      <w:pPr>
        <w:pStyle w:val="Heading1"/>
      </w:pPr>
      <w:bookmarkStart w:id="10" w:name="_Toc52284898"/>
      <w:r w:rsidRPr="008337A0">
        <w:lastRenderedPageBreak/>
        <w:t>Feedback on enablers</w:t>
      </w:r>
      <w:bookmarkEnd w:id="10"/>
    </w:p>
    <w:p w14:paraId="30763F16" w14:textId="77777777" w:rsidR="00183207" w:rsidRDefault="008A1644" w:rsidP="00093F01">
      <w:r>
        <w:t>The Plan identified certain enablers as tools that allow the Ministry of Health and other organisations to put the Plan into action: information and data, workforce capacity and capability, and policy and regulation.</w:t>
      </w:r>
    </w:p>
    <w:p w14:paraId="30763F17" w14:textId="77777777" w:rsidR="00093F01" w:rsidRDefault="00093F01" w:rsidP="00093F01"/>
    <w:p w14:paraId="30763F18" w14:textId="77777777" w:rsidR="008A1644" w:rsidRDefault="008A1644" w:rsidP="00093F01">
      <w:r>
        <w:t>Submitters suggested additional areas that could be considered enablers: collaboration and cooperation, funding for services, communications and access to technology.</w:t>
      </w:r>
    </w:p>
    <w:p w14:paraId="30763F19" w14:textId="77777777" w:rsidR="00093F01" w:rsidRDefault="00093F01" w:rsidP="00093F01"/>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9002E3" w:rsidRPr="00975F08" w14:paraId="30763F1C" w14:textId="77777777" w:rsidTr="00A04D50">
        <w:trPr>
          <w:cantSplit/>
        </w:trPr>
        <w:tc>
          <w:tcPr>
            <w:tcW w:w="6946" w:type="dxa"/>
          </w:tcPr>
          <w:p w14:paraId="30763F1A" w14:textId="77777777" w:rsidR="009002E3" w:rsidRDefault="009002E3" w:rsidP="009002E3">
            <w:pPr>
              <w:pStyle w:val="TableText"/>
              <w:spacing w:before="120" w:after="0"/>
              <w:rPr>
                <w:lang w:eastAsia="en-NZ"/>
              </w:rPr>
            </w:pPr>
            <w:proofErr w:type="gramStart"/>
            <w:r>
              <w:rPr>
                <w:lang w:eastAsia="en-NZ"/>
              </w:rPr>
              <w:t>In particular, we</w:t>
            </w:r>
            <w:proofErr w:type="gramEnd"/>
            <w:r>
              <w:rPr>
                <w:lang w:eastAsia="en-NZ"/>
              </w:rPr>
              <w:t xml:space="preserve"> are pleased to see that the gathering and sharing of mental health and wellbeing data is recognised as a key enabler for all actions in the Plan.</w:t>
            </w:r>
          </w:p>
          <w:p w14:paraId="30763F1B" w14:textId="77777777" w:rsidR="009002E3" w:rsidRDefault="009002E3" w:rsidP="009002E3">
            <w:pPr>
              <w:pStyle w:val="TableText"/>
              <w:spacing w:before="0"/>
              <w:jc w:val="right"/>
              <w:rPr>
                <w:lang w:eastAsia="en-NZ"/>
              </w:rPr>
            </w:pPr>
            <w:r>
              <w:rPr>
                <w:lang w:eastAsia="en-NZ"/>
              </w:rPr>
              <w:t>Health NGO</w:t>
            </w:r>
          </w:p>
        </w:tc>
      </w:tr>
    </w:tbl>
    <w:p w14:paraId="30763F1D" w14:textId="77777777" w:rsidR="009002E3" w:rsidRDefault="009002E3" w:rsidP="00093F01"/>
    <w:p w14:paraId="30763F1E" w14:textId="77777777" w:rsidR="00183207" w:rsidRDefault="008A1644" w:rsidP="00740DB7">
      <w:pPr>
        <w:pStyle w:val="Heading4"/>
      </w:pPr>
      <w:r w:rsidRPr="008455E5">
        <w:t>Workforce</w:t>
      </w:r>
    </w:p>
    <w:p w14:paraId="30763F1F" w14:textId="77777777" w:rsidR="008A1644" w:rsidRDefault="008A1644" w:rsidP="00093F01">
      <w:r>
        <w:t xml:space="preserve">A range of organisations agreed with the continuing importance of diversifying and expanding the mental health and addiction workforce, </w:t>
      </w:r>
      <w:proofErr w:type="gramStart"/>
      <w:r>
        <w:t>taking into account</w:t>
      </w:r>
      <w:proofErr w:type="gramEnd"/>
      <w:r>
        <w:t xml:space="preserve"> additional pressures from responding to </w:t>
      </w:r>
      <w:r w:rsidR="00DA6633">
        <w:t>COVID</w:t>
      </w:r>
      <w:r w:rsidR="00DA6633">
        <w:noBreakHyphen/>
        <w:t>19</w:t>
      </w:r>
      <w:r>
        <w:t xml:space="preserve">. Submitters noted that workforce goals should include increasing </w:t>
      </w:r>
      <w:r w:rsidRPr="00B558AD">
        <w:t>Māori</w:t>
      </w:r>
      <w:r>
        <w:t xml:space="preserve"> and </w:t>
      </w:r>
      <w:r w:rsidRPr="00B558AD">
        <w:t xml:space="preserve">Pacific health </w:t>
      </w:r>
      <w:r w:rsidRPr="008337A0">
        <w:t>workforces and peer support.</w:t>
      </w:r>
    </w:p>
    <w:p w14:paraId="30763F20" w14:textId="77777777" w:rsidR="00093F01" w:rsidRDefault="00093F01" w:rsidP="00093F01"/>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9002E3" w:rsidRPr="00975F08" w14:paraId="30763F23" w14:textId="77777777" w:rsidTr="00A04D50">
        <w:trPr>
          <w:cantSplit/>
        </w:trPr>
        <w:tc>
          <w:tcPr>
            <w:tcW w:w="6946" w:type="dxa"/>
          </w:tcPr>
          <w:p w14:paraId="30763F21" w14:textId="77777777" w:rsidR="009002E3" w:rsidRDefault="009002E3" w:rsidP="009002E3">
            <w:pPr>
              <w:pStyle w:val="TableText"/>
              <w:spacing w:before="120" w:after="0"/>
              <w:rPr>
                <w:lang w:eastAsia="en-NZ"/>
              </w:rPr>
            </w:pPr>
            <w:r>
              <w:rPr>
                <w:lang w:eastAsia="en-NZ"/>
              </w:rPr>
              <w:t>It is good to see staff included and a focus on workforce development.</w:t>
            </w:r>
          </w:p>
          <w:p w14:paraId="30763F22" w14:textId="77777777" w:rsidR="009002E3" w:rsidRDefault="009002E3" w:rsidP="009002E3">
            <w:pPr>
              <w:pStyle w:val="TableText"/>
              <w:spacing w:before="0"/>
              <w:jc w:val="right"/>
              <w:rPr>
                <w:lang w:eastAsia="en-NZ"/>
              </w:rPr>
            </w:pPr>
            <w:r>
              <w:rPr>
                <w:lang w:eastAsia="en-NZ"/>
              </w:rPr>
              <w:t>District Heath Board</w:t>
            </w:r>
          </w:p>
        </w:tc>
      </w:tr>
      <w:tr w:rsidR="009002E3" w:rsidRPr="00975F08" w14:paraId="30763F26" w14:textId="77777777" w:rsidTr="00A04D50">
        <w:trPr>
          <w:cantSplit/>
        </w:trPr>
        <w:tc>
          <w:tcPr>
            <w:tcW w:w="6946" w:type="dxa"/>
          </w:tcPr>
          <w:p w14:paraId="30763F24" w14:textId="77777777" w:rsidR="009002E3" w:rsidRDefault="009002E3" w:rsidP="009002E3">
            <w:pPr>
              <w:pStyle w:val="TableText"/>
              <w:spacing w:before="120" w:after="0"/>
              <w:rPr>
                <w:lang w:eastAsia="en-NZ"/>
              </w:rPr>
            </w:pPr>
            <w:r>
              <w:rPr>
                <w:lang w:eastAsia="en-NZ"/>
              </w:rPr>
              <w:t>A well-trained and motivated workforce with the right skills, knowledge, competencies and attitudes is required to ensure that people with mental health and addiction issues receive high-quality care and support. We especially see the need to grow and develop the Māori, Pacific and Asian workforce.</w:t>
            </w:r>
          </w:p>
          <w:p w14:paraId="30763F25" w14:textId="77777777" w:rsidR="009002E3" w:rsidRDefault="009002E3" w:rsidP="009002E3">
            <w:pPr>
              <w:pStyle w:val="TableText"/>
              <w:spacing w:before="120"/>
              <w:jc w:val="right"/>
              <w:rPr>
                <w:lang w:eastAsia="en-NZ"/>
              </w:rPr>
            </w:pPr>
            <w:r>
              <w:rPr>
                <w:lang w:eastAsia="en-NZ"/>
              </w:rPr>
              <w:t>Health NGO</w:t>
            </w:r>
          </w:p>
        </w:tc>
      </w:tr>
    </w:tbl>
    <w:p w14:paraId="30763F27" w14:textId="77777777" w:rsidR="009002E3" w:rsidRPr="008337A0" w:rsidRDefault="009002E3" w:rsidP="00093F01"/>
    <w:p w14:paraId="30763F28" w14:textId="77777777" w:rsidR="008A1644" w:rsidRPr="008337A0" w:rsidRDefault="008A1644" w:rsidP="00740DB7">
      <w:pPr>
        <w:pStyle w:val="Heading4"/>
      </w:pPr>
      <w:r w:rsidRPr="008337A0">
        <w:t>Collaboration and cooperation</w:t>
      </w:r>
    </w:p>
    <w:p w14:paraId="30763F29" w14:textId="77777777" w:rsidR="00183207" w:rsidRDefault="008A1644" w:rsidP="009002E3">
      <w:pPr>
        <w:keepNext/>
      </w:pPr>
      <w:r w:rsidRPr="008337A0">
        <w:t xml:space="preserve">Submitters emphasised that </w:t>
      </w:r>
      <w:r>
        <w:t>the Plan</w:t>
      </w:r>
      <w:r w:rsidR="00183207">
        <w:t>’</w:t>
      </w:r>
      <w:r>
        <w:t xml:space="preserve">s success depends on the </w:t>
      </w:r>
      <w:r w:rsidRPr="008337A0">
        <w:t>participation of many players</w:t>
      </w:r>
      <w:r>
        <w:t>,</w:t>
      </w:r>
      <w:r w:rsidRPr="008337A0">
        <w:t xml:space="preserve"> including iwi/</w:t>
      </w:r>
      <w:proofErr w:type="spellStart"/>
      <w:r w:rsidRPr="008337A0">
        <w:t>hapū</w:t>
      </w:r>
      <w:proofErr w:type="spellEnd"/>
      <w:r w:rsidRPr="008337A0">
        <w:t>/whānau, central and local government, district health boards, general practices, community organisations, lived experience networks and businesses.</w:t>
      </w:r>
    </w:p>
    <w:p w14:paraId="30763F2A" w14:textId="77777777" w:rsidR="00093F01" w:rsidRDefault="00093F01" w:rsidP="009002E3">
      <w:pPr>
        <w:keepNext/>
      </w:pPr>
    </w:p>
    <w:p w14:paraId="30763F2B" w14:textId="77777777" w:rsidR="008A1644" w:rsidRDefault="008A1644" w:rsidP="009002E3">
      <w:pPr>
        <w:keepNext/>
      </w:pPr>
      <w:r>
        <w:t>The</w:t>
      </w:r>
      <w:r w:rsidRPr="008337A0">
        <w:t xml:space="preserve"> importance of collaboration</w:t>
      </w:r>
      <w:r>
        <w:t xml:space="preserve"> was emphasised</w:t>
      </w:r>
      <w:r w:rsidRPr="008337A0">
        <w:t xml:space="preserve">, both nationally and locally, </w:t>
      </w:r>
      <w:r>
        <w:t xml:space="preserve">to ensure </w:t>
      </w:r>
      <w:r w:rsidRPr="008337A0">
        <w:t xml:space="preserve">people </w:t>
      </w:r>
      <w:r>
        <w:t>can</w:t>
      </w:r>
      <w:r w:rsidRPr="008337A0">
        <w:t xml:space="preserve"> easily move between services (</w:t>
      </w:r>
      <w:r>
        <w:t xml:space="preserve">that is, the concept that </w:t>
      </w:r>
      <w:r w:rsidR="00183207">
        <w:t>‘</w:t>
      </w:r>
      <w:r w:rsidRPr="008337A0">
        <w:t>no door is the wrong door</w:t>
      </w:r>
      <w:r w:rsidR="00183207">
        <w:t>’</w:t>
      </w:r>
      <w:r w:rsidRPr="008337A0">
        <w:t>).</w:t>
      </w:r>
      <w:r>
        <w:t xml:space="preserve"> The </w:t>
      </w:r>
      <w:r w:rsidRPr="008337A0">
        <w:t xml:space="preserve">value of leadership that shares decision-making power and </w:t>
      </w:r>
      <w:r>
        <w:t>lessons learnt was noted</w:t>
      </w:r>
      <w:r w:rsidRPr="008337A0">
        <w:t xml:space="preserve">. </w:t>
      </w:r>
      <w:r>
        <w:t>Some identified that competition for contracts can be a b</w:t>
      </w:r>
      <w:r w:rsidRPr="008337A0">
        <w:t>arrier to community organisations collaborating</w:t>
      </w:r>
      <w:r>
        <w:t xml:space="preserve"> with each other</w:t>
      </w:r>
      <w:r w:rsidRPr="008337A0">
        <w:t>.</w:t>
      </w:r>
    </w:p>
    <w:p w14:paraId="30763F2C" w14:textId="77777777" w:rsidR="00093F01" w:rsidRDefault="00093F01" w:rsidP="009002E3">
      <w:pPr>
        <w:keepNext/>
      </w:pPr>
    </w:p>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9002E3" w:rsidRPr="00975F08" w14:paraId="30763F2F" w14:textId="77777777" w:rsidTr="00A04D50">
        <w:trPr>
          <w:cantSplit/>
        </w:trPr>
        <w:tc>
          <w:tcPr>
            <w:tcW w:w="6946" w:type="dxa"/>
          </w:tcPr>
          <w:p w14:paraId="30763F2D" w14:textId="77777777" w:rsidR="009002E3" w:rsidRDefault="009002E3" w:rsidP="009002E3">
            <w:pPr>
              <w:pStyle w:val="TableText"/>
              <w:spacing w:before="120" w:after="0"/>
              <w:rPr>
                <w:lang w:eastAsia="en-NZ"/>
              </w:rPr>
            </w:pPr>
            <w:r>
              <w:rPr>
                <w:lang w:eastAsia="en-NZ"/>
              </w:rPr>
              <w:t>A critical success factor is the need to take a whole-of-system and cross-sector view and commitment to supporting our community, in collaboration with common purpose and no conflicting agendas, working in rhythm with one another: ‘He waka eke noa’.</w:t>
            </w:r>
          </w:p>
          <w:p w14:paraId="30763F2E" w14:textId="77777777" w:rsidR="009002E3" w:rsidRDefault="009002E3" w:rsidP="009002E3">
            <w:pPr>
              <w:pStyle w:val="TableText"/>
              <w:spacing w:before="0"/>
              <w:jc w:val="right"/>
              <w:rPr>
                <w:lang w:eastAsia="en-NZ"/>
              </w:rPr>
            </w:pPr>
            <w:r>
              <w:rPr>
                <w:lang w:eastAsia="en-NZ"/>
              </w:rPr>
              <w:t>District Health Board</w:t>
            </w:r>
          </w:p>
        </w:tc>
      </w:tr>
      <w:tr w:rsidR="009002E3" w:rsidRPr="00975F08" w14:paraId="30763F32" w14:textId="77777777" w:rsidTr="00A04D50">
        <w:trPr>
          <w:cantSplit/>
        </w:trPr>
        <w:tc>
          <w:tcPr>
            <w:tcW w:w="6946" w:type="dxa"/>
          </w:tcPr>
          <w:p w14:paraId="30763F30" w14:textId="77777777" w:rsidR="009002E3" w:rsidRDefault="009002E3" w:rsidP="009002E3">
            <w:pPr>
              <w:pStyle w:val="TableText"/>
              <w:spacing w:before="120" w:after="0"/>
              <w:rPr>
                <w:lang w:eastAsia="en-NZ"/>
              </w:rPr>
            </w:pPr>
            <w:r>
              <w:rPr>
                <w:lang w:eastAsia="en-NZ"/>
              </w:rPr>
              <w:lastRenderedPageBreak/>
              <w:t>Collaboration and communication at a regional level as well as nationally is a key factor.</w:t>
            </w:r>
          </w:p>
          <w:p w14:paraId="30763F31" w14:textId="77777777" w:rsidR="009002E3" w:rsidRDefault="009002E3" w:rsidP="009002E3">
            <w:pPr>
              <w:pStyle w:val="TableText"/>
              <w:spacing w:before="0"/>
              <w:jc w:val="right"/>
              <w:rPr>
                <w:lang w:eastAsia="en-NZ"/>
              </w:rPr>
            </w:pPr>
            <w:r>
              <w:rPr>
                <w:lang w:eastAsia="en-NZ"/>
              </w:rPr>
              <w:t>Social service/other NGO</w:t>
            </w:r>
          </w:p>
        </w:tc>
      </w:tr>
    </w:tbl>
    <w:p w14:paraId="30763F33" w14:textId="77777777" w:rsidR="009002E3" w:rsidRPr="008337A0" w:rsidRDefault="009002E3" w:rsidP="00093F01"/>
    <w:p w14:paraId="30763F34" w14:textId="77777777" w:rsidR="008A1644" w:rsidRPr="008455E5" w:rsidRDefault="008A1644" w:rsidP="00740DB7">
      <w:pPr>
        <w:pStyle w:val="Heading4"/>
      </w:pPr>
      <w:r>
        <w:t>Resourcing</w:t>
      </w:r>
      <w:r w:rsidRPr="008455E5">
        <w:t xml:space="preserve"> </w:t>
      </w:r>
      <w:r w:rsidRPr="00EA74F7">
        <w:t>mental health and addiction</w:t>
      </w:r>
      <w:r>
        <w:rPr>
          <w:iCs/>
          <w:color w:val="333333"/>
          <w:lang w:eastAsia="en-NZ"/>
        </w:rPr>
        <w:t xml:space="preserve"> </w:t>
      </w:r>
      <w:r w:rsidRPr="008455E5">
        <w:t>services</w:t>
      </w:r>
    </w:p>
    <w:p w14:paraId="30763F35" w14:textId="77777777" w:rsidR="00183207" w:rsidRDefault="008A1644" w:rsidP="00093F01">
      <w:r w:rsidRPr="00E1297D">
        <w:t xml:space="preserve">Funding was highlighted as </w:t>
      </w:r>
      <w:r>
        <w:t xml:space="preserve">an </w:t>
      </w:r>
      <w:r w:rsidRPr="00E1297D">
        <w:t xml:space="preserve">essential </w:t>
      </w:r>
      <w:r>
        <w:t xml:space="preserve">enabler of </w:t>
      </w:r>
      <w:r w:rsidRPr="00E1297D">
        <w:t>effective response and recovery</w:t>
      </w:r>
      <w:r>
        <w:t>. Submitters noted the importance of resourcing in many contexts, including social services and across the spectrum of mental health and addiction services.</w:t>
      </w:r>
    </w:p>
    <w:p w14:paraId="30763F36" w14:textId="77777777" w:rsidR="008A1644" w:rsidRDefault="008A1644" w:rsidP="00093F01"/>
    <w:p w14:paraId="30763F37" w14:textId="77777777" w:rsidR="008A1644" w:rsidRPr="008455E5" w:rsidRDefault="008A1644" w:rsidP="00740DB7">
      <w:pPr>
        <w:pStyle w:val="Heading4"/>
      </w:pPr>
      <w:r w:rsidRPr="008455E5">
        <w:t>Communications/sharing information</w:t>
      </w:r>
    </w:p>
    <w:p w14:paraId="30763F38" w14:textId="77777777" w:rsidR="008A1644" w:rsidRDefault="008A1644" w:rsidP="00093F01">
      <w:r>
        <w:t>One critical success factor highlighted by many submitters was effective communication. Submitters recommended:</w:t>
      </w:r>
    </w:p>
    <w:p w14:paraId="30763F39" w14:textId="77777777" w:rsidR="008A1644" w:rsidRPr="00E1297D" w:rsidRDefault="008A1644" w:rsidP="00093F01">
      <w:pPr>
        <w:pStyle w:val="Bullet"/>
      </w:pPr>
      <w:r w:rsidRPr="00E1297D">
        <w:t>use of multiple channels to ensure information reaches the most vulnerable</w:t>
      </w:r>
      <w:r>
        <w:t xml:space="preserve"> people</w:t>
      </w:r>
    </w:p>
    <w:p w14:paraId="30763F3A" w14:textId="77777777" w:rsidR="008A1644" w:rsidRPr="00E1297D" w:rsidRDefault="008A1644" w:rsidP="00093F01">
      <w:pPr>
        <w:pStyle w:val="Bullet"/>
      </w:pPr>
      <w:r>
        <w:t xml:space="preserve">a </w:t>
      </w:r>
      <w:r w:rsidRPr="00E1297D">
        <w:t>continu</w:t>
      </w:r>
      <w:r>
        <w:t>ed</w:t>
      </w:r>
      <w:r w:rsidRPr="00E1297D">
        <w:t xml:space="preserve"> </w:t>
      </w:r>
      <w:r>
        <w:t xml:space="preserve">focus on </w:t>
      </w:r>
      <w:r w:rsidRPr="00E1297D">
        <w:t>positive messaging to build a sense of unity, and good news stories</w:t>
      </w:r>
    </w:p>
    <w:p w14:paraId="30763F3B" w14:textId="77777777" w:rsidR="00183207" w:rsidRDefault="008A1644" w:rsidP="00093F01">
      <w:pPr>
        <w:pStyle w:val="Bullet"/>
      </w:pPr>
      <w:r w:rsidRPr="00E1297D">
        <w:t>communication of work happening across government and elsewhere.</w:t>
      </w:r>
    </w:p>
    <w:p w14:paraId="30763F3C" w14:textId="77777777" w:rsidR="008A1644" w:rsidRDefault="008A1644" w:rsidP="00093F01"/>
    <w:p w14:paraId="30763F3D" w14:textId="77777777" w:rsidR="008A1644" w:rsidRPr="00E1297D" w:rsidRDefault="008A1644" w:rsidP="00740DB7">
      <w:pPr>
        <w:pStyle w:val="Heading4"/>
      </w:pPr>
      <w:r w:rsidRPr="00E1297D">
        <w:t>Access to technology</w:t>
      </w:r>
    </w:p>
    <w:p w14:paraId="30763F3E" w14:textId="77777777" w:rsidR="008A1644" w:rsidRDefault="008A1644" w:rsidP="00093F01">
      <w:r w:rsidRPr="00E1297D">
        <w:t>S</w:t>
      </w:r>
      <w:r>
        <w:t>ubmitters acknowledged the s</w:t>
      </w:r>
      <w:r w:rsidRPr="00E1297D">
        <w:t xml:space="preserve">uccess of telehealth, e-therapy, video conferencing via </w:t>
      </w:r>
      <w:r>
        <w:t>Z</w:t>
      </w:r>
      <w:r w:rsidRPr="00E1297D">
        <w:t xml:space="preserve">oom and other uses of technology </w:t>
      </w:r>
      <w:r>
        <w:t xml:space="preserve">in the context of the </w:t>
      </w:r>
      <w:r w:rsidR="00DA6633">
        <w:t>COVID</w:t>
      </w:r>
      <w:r w:rsidR="00DA6633">
        <w:noBreakHyphen/>
        <w:t>19</w:t>
      </w:r>
      <w:r>
        <w:t xml:space="preserve"> response</w:t>
      </w:r>
      <w:r w:rsidRPr="00E1297D">
        <w:t xml:space="preserve">. However, </w:t>
      </w:r>
      <w:r>
        <w:t xml:space="preserve">some </w:t>
      </w:r>
      <w:r w:rsidRPr="00E1297D">
        <w:t xml:space="preserve">concerns </w:t>
      </w:r>
      <w:r>
        <w:t xml:space="preserve">were raised </w:t>
      </w:r>
      <w:r w:rsidRPr="00E1297D">
        <w:t>about people who struggle to access this support</w:t>
      </w:r>
      <w:r>
        <w:t>; f</w:t>
      </w:r>
      <w:r w:rsidRPr="00E1297D">
        <w:t>or instance</w:t>
      </w:r>
      <w:r>
        <w:t>,</w:t>
      </w:r>
      <w:r w:rsidRPr="00E1297D">
        <w:t xml:space="preserve"> due to poverty, remoteness, a lack of resources, language barriers </w:t>
      </w:r>
      <w:r>
        <w:t xml:space="preserve">or </w:t>
      </w:r>
      <w:r w:rsidRPr="00E1297D">
        <w:t>learning difficulties.</w:t>
      </w:r>
    </w:p>
    <w:p w14:paraId="30763F3F" w14:textId="77777777" w:rsidR="00093F01" w:rsidRDefault="00093F01" w:rsidP="00093F01"/>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9002E3" w:rsidRPr="00975F08" w14:paraId="30763F42" w14:textId="77777777" w:rsidTr="00A04D50">
        <w:trPr>
          <w:cantSplit/>
        </w:trPr>
        <w:tc>
          <w:tcPr>
            <w:tcW w:w="6946" w:type="dxa"/>
          </w:tcPr>
          <w:p w14:paraId="30763F40" w14:textId="77777777" w:rsidR="009002E3" w:rsidRDefault="009002E3" w:rsidP="009002E3">
            <w:pPr>
              <w:pStyle w:val="TableText"/>
              <w:spacing w:before="120"/>
              <w:rPr>
                <w:lang w:eastAsia="en-NZ"/>
              </w:rPr>
            </w:pPr>
            <w:r>
              <w:rPr>
                <w:lang w:eastAsia="en-NZ"/>
              </w:rPr>
              <w:t>People, particularly vulnerable people, face multiple barriers to accessing treatment services. We saw this during lockdown, as some people were cut off from support because they didn’t have access to the right technology.</w:t>
            </w:r>
          </w:p>
          <w:p w14:paraId="30763F41" w14:textId="77777777" w:rsidR="009002E3" w:rsidRDefault="009002E3" w:rsidP="009002E3">
            <w:pPr>
              <w:pStyle w:val="TableText"/>
              <w:spacing w:before="0"/>
              <w:jc w:val="right"/>
              <w:rPr>
                <w:lang w:eastAsia="en-NZ"/>
              </w:rPr>
            </w:pPr>
            <w:r>
              <w:rPr>
                <w:lang w:eastAsia="en-NZ"/>
              </w:rPr>
              <w:t>Health NGO</w:t>
            </w:r>
          </w:p>
        </w:tc>
      </w:tr>
    </w:tbl>
    <w:p w14:paraId="30763F43" w14:textId="77777777" w:rsidR="009002E3" w:rsidRPr="00E1297D" w:rsidRDefault="009002E3" w:rsidP="00093F01"/>
    <w:p w14:paraId="30763F44" w14:textId="77777777" w:rsidR="008A1644" w:rsidRPr="008337A0" w:rsidRDefault="008A1644" w:rsidP="008A1644">
      <w:pPr>
        <w:pStyle w:val="Heading1"/>
      </w:pPr>
      <w:bookmarkStart w:id="11" w:name="_Toc52284899"/>
      <w:r w:rsidRPr="008337A0">
        <w:lastRenderedPageBreak/>
        <w:t>Who is impacted?</w:t>
      </w:r>
      <w:bookmarkEnd w:id="11"/>
    </w:p>
    <w:p w14:paraId="30763F45" w14:textId="77777777" w:rsidR="00183207" w:rsidRDefault="008A1644" w:rsidP="00E43BA6">
      <w:r w:rsidRPr="003F1D0C">
        <w:t xml:space="preserve">Many submitters commented on </w:t>
      </w:r>
      <w:r>
        <w:t>certain</w:t>
      </w:r>
      <w:r w:rsidRPr="003F1D0C">
        <w:t xml:space="preserve"> groups particularly affected by </w:t>
      </w:r>
      <w:r>
        <w:t xml:space="preserve">the </w:t>
      </w:r>
      <w:r w:rsidR="00DA6633">
        <w:t>COVID</w:t>
      </w:r>
      <w:r w:rsidR="00DA6633">
        <w:noBreakHyphen/>
        <w:t>19</w:t>
      </w:r>
      <w:r w:rsidRPr="003F1D0C">
        <w:t xml:space="preserve"> lockdown</w:t>
      </w:r>
      <w:r>
        <w:t>,</w:t>
      </w:r>
      <w:r w:rsidRPr="003F1D0C">
        <w:t xml:space="preserve"> and populations requiring specific attention in the recovery phase and </w:t>
      </w:r>
      <w:r>
        <w:t xml:space="preserve">the </w:t>
      </w:r>
      <w:r w:rsidRPr="003F1D0C">
        <w:t>longer</w:t>
      </w:r>
      <w:r>
        <w:t xml:space="preserve"> </w:t>
      </w:r>
      <w:r w:rsidRPr="003F1D0C">
        <w:t>term.</w:t>
      </w:r>
    </w:p>
    <w:bookmarkEnd w:id="6"/>
    <w:p w14:paraId="30763F46" w14:textId="77777777" w:rsidR="008A1644" w:rsidRDefault="008A1644" w:rsidP="00E43BA6"/>
    <w:p w14:paraId="30763F47" w14:textId="77777777" w:rsidR="008A1644" w:rsidRPr="00F843C2" w:rsidRDefault="008A1644" w:rsidP="00740DB7">
      <w:pPr>
        <w:pStyle w:val="Heading4"/>
      </w:pPr>
      <w:r>
        <w:t>Impacts on populations during lockdown</w:t>
      </w:r>
    </w:p>
    <w:p w14:paraId="30763F48" w14:textId="77777777" w:rsidR="008A1644" w:rsidRPr="003F1D0C" w:rsidRDefault="008A1644" w:rsidP="00E43BA6">
      <w:r w:rsidRPr="003F1D0C">
        <w:t xml:space="preserve">Submitters elaborated on </w:t>
      </w:r>
      <w:r>
        <w:t xml:space="preserve">the impacts of </w:t>
      </w:r>
      <w:r w:rsidRPr="003F1D0C">
        <w:t xml:space="preserve">lockdown </w:t>
      </w:r>
      <w:r>
        <w:t xml:space="preserve">on </w:t>
      </w:r>
      <w:proofErr w:type="gramStart"/>
      <w:r>
        <w:t>particular groups</w:t>
      </w:r>
      <w:proofErr w:type="gramEnd"/>
      <w:r>
        <w:t xml:space="preserve"> of people; for example, the stress experienced by</w:t>
      </w:r>
      <w:r w:rsidRPr="003F1D0C">
        <w:t>:</w:t>
      </w:r>
    </w:p>
    <w:p w14:paraId="30763F49" w14:textId="77777777" w:rsidR="008A1644" w:rsidRPr="00E1297D" w:rsidRDefault="008A1644" w:rsidP="00E43BA6">
      <w:pPr>
        <w:pStyle w:val="Bullet"/>
      </w:pPr>
      <w:r w:rsidRPr="00E1297D">
        <w:t>the workforce</w:t>
      </w:r>
      <w:r>
        <w:t xml:space="preserve"> – </w:t>
      </w:r>
      <w:r w:rsidRPr="00E1297D">
        <w:t>particularly frontline health staff and carers</w:t>
      </w:r>
    </w:p>
    <w:p w14:paraId="30763F4A" w14:textId="77777777" w:rsidR="008A1644" w:rsidRPr="00E1297D" w:rsidRDefault="008A1644" w:rsidP="00E43BA6">
      <w:pPr>
        <w:pStyle w:val="Bullet"/>
      </w:pPr>
      <w:r w:rsidRPr="00E1297D">
        <w:t>people in quarantine facilities and managed isolation and their whānau</w:t>
      </w:r>
    </w:p>
    <w:p w14:paraId="30763F4B" w14:textId="77777777" w:rsidR="008A1644" w:rsidRPr="00E1297D" w:rsidRDefault="008A1644" w:rsidP="00E43BA6">
      <w:pPr>
        <w:pStyle w:val="Bullet"/>
      </w:pPr>
      <w:r w:rsidRPr="00E1297D">
        <w:t xml:space="preserve">newly unemployed </w:t>
      </w:r>
      <w:r>
        <w:t>people</w:t>
      </w:r>
    </w:p>
    <w:p w14:paraId="30763F4C" w14:textId="77777777" w:rsidR="008A1644" w:rsidRPr="00E1297D" w:rsidRDefault="008A1644" w:rsidP="00E43BA6">
      <w:pPr>
        <w:pStyle w:val="Bullet"/>
      </w:pPr>
      <w:r w:rsidRPr="00E1297D">
        <w:t xml:space="preserve">people </w:t>
      </w:r>
      <w:r>
        <w:t xml:space="preserve">whose </w:t>
      </w:r>
      <w:r w:rsidRPr="00E1297D">
        <w:t>health treatments</w:t>
      </w:r>
      <w:r>
        <w:t xml:space="preserve"> were postponed</w:t>
      </w:r>
    </w:p>
    <w:p w14:paraId="30763F4D" w14:textId="77777777" w:rsidR="008A1644" w:rsidRPr="00E1297D" w:rsidRDefault="008A1644" w:rsidP="00E43BA6">
      <w:pPr>
        <w:pStyle w:val="Bullet"/>
      </w:pPr>
      <w:r>
        <w:t xml:space="preserve">people </w:t>
      </w:r>
      <w:r w:rsidRPr="00E1297D">
        <w:t>unable to help whānau members in court or prison</w:t>
      </w:r>
    </w:p>
    <w:p w14:paraId="30763F4E" w14:textId="77777777" w:rsidR="008A1644" w:rsidRPr="00E1297D" w:rsidRDefault="008A1644" w:rsidP="00E43BA6">
      <w:pPr>
        <w:pStyle w:val="Bullet"/>
      </w:pPr>
      <w:r w:rsidRPr="00E1297D">
        <w:t>women giving birth and new mothers</w:t>
      </w:r>
    </w:p>
    <w:p w14:paraId="30763F4F" w14:textId="77777777" w:rsidR="008A1644" w:rsidRPr="00E1297D" w:rsidRDefault="008A1644" w:rsidP="00E43BA6">
      <w:pPr>
        <w:pStyle w:val="Bullet"/>
      </w:pPr>
      <w:r w:rsidRPr="00E1297D">
        <w:t xml:space="preserve">whānau exposed to family violence and </w:t>
      </w:r>
      <w:r>
        <w:t xml:space="preserve">the </w:t>
      </w:r>
      <w:r w:rsidRPr="00E1297D">
        <w:t xml:space="preserve">impacts of alcohol or </w:t>
      </w:r>
      <w:proofErr w:type="gramStart"/>
      <w:r w:rsidRPr="00E1297D">
        <w:t>other</w:t>
      </w:r>
      <w:proofErr w:type="gramEnd"/>
      <w:r w:rsidRPr="00E1297D">
        <w:t xml:space="preserve"> drug use</w:t>
      </w:r>
    </w:p>
    <w:p w14:paraId="30763F50" w14:textId="77777777" w:rsidR="008A1644" w:rsidRDefault="008A1644" w:rsidP="00E43BA6">
      <w:pPr>
        <w:pStyle w:val="Bullet"/>
      </w:pPr>
      <w:r w:rsidRPr="00E1297D">
        <w:t xml:space="preserve">community organisations </w:t>
      </w:r>
      <w:r>
        <w:t>reliant on grant-making trusts which</w:t>
      </w:r>
      <w:r w:rsidRPr="00E1297D">
        <w:t xml:space="preserve"> </w:t>
      </w:r>
      <w:r>
        <w:t>stopped distributing funds during lockdown</w:t>
      </w:r>
      <w:r w:rsidRPr="00E1297D">
        <w:t>.</w:t>
      </w:r>
    </w:p>
    <w:p w14:paraId="30763F51" w14:textId="77777777" w:rsidR="00E43BA6" w:rsidRDefault="00E43BA6" w:rsidP="00CF553B"/>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4A40EA" w:rsidRPr="00975F08" w14:paraId="30763F54" w14:textId="77777777" w:rsidTr="00A04D50">
        <w:trPr>
          <w:cantSplit/>
        </w:trPr>
        <w:tc>
          <w:tcPr>
            <w:tcW w:w="6946" w:type="dxa"/>
          </w:tcPr>
          <w:p w14:paraId="30763F52" w14:textId="77777777" w:rsidR="004A40EA" w:rsidRDefault="004A40EA" w:rsidP="004A40EA">
            <w:pPr>
              <w:pStyle w:val="TableText"/>
              <w:spacing w:before="120" w:after="0"/>
              <w:rPr>
                <w:lang w:eastAsia="en-NZ"/>
              </w:rPr>
            </w:pPr>
            <w:r>
              <w:rPr>
                <w:lang w:eastAsia="en-NZ"/>
              </w:rPr>
              <w:t>Carers of older people, people with dementia, disabled people and children, who would usually have some respite through respite care, day programmes and school had significant additional pressures to take on.</w:t>
            </w:r>
          </w:p>
          <w:p w14:paraId="30763F53" w14:textId="77777777" w:rsidR="004A40EA" w:rsidRDefault="004A40EA" w:rsidP="004A40EA">
            <w:pPr>
              <w:pStyle w:val="TableText"/>
              <w:spacing w:before="0"/>
              <w:jc w:val="right"/>
              <w:rPr>
                <w:lang w:eastAsia="en-NZ"/>
              </w:rPr>
            </w:pPr>
            <w:r>
              <w:rPr>
                <w:lang w:eastAsia="en-NZ"/>
              </w:rPr>
              <w:t>Government agency</w:t>
            </w:r>
          </w:p>
        </w:tc>
      </w:tr>
    </w:tbl>
    <w:p w14:paraId="30763F55" w14:textId="77777777" w:rsidR="004A40EA" w:rsidRPr="00E1297D" w:rsidRDefault="004A40EA" w:rsidP="00CF553B"/>
    <w:p w14:paraId="30763F56" w14:textId="77777777" w:rsidR="008A1644" w:rsidRPr="009E5E93" w:rsidRDefault="008A1644" w:rsidP="00740DB7">
      <w:pPr>
        <w:pStyle w:val="Heading4"/>
      </w:pPr>
      <w:r>
        <w:t>Impacts on Māori</w:t>
      </w:r>
    </w:p>
    <w:p w14:paraId="30763F57" w14:textId="77777777" w:rsidR="008A1644" w:rsidRPr="003F1D0C" w:rsidRDefault="008A1644" w:rsidP="004A40EA">
      <w:pPr>
        <w:keepNext/>
      </w:pPr>
      <w:r>
        <w:t xml:space="preserve">Regarding the </w:t>
      </w:r>
      <w:r w:rsidRPr="003F1D0C">
        <w:t xml:space="preserve">needs of Māori </w:t>
      </w:r>
      <w:r>
        <w:t>communities</w:t>
      </w:r>
      <w:r w:rsidRPr="003F1D0C">
        <w:t xml:space="preserve">, submitters commented that the </w:t>
      </w:r>
      <w:r>
        <w:t>P</w:t>
      </w:r>
      <w:r w:rsidRPr="003F1D0C">
        <w:t xml:space="preserve">lan needs </w:t>
      </w:r>
      <w:r>
        <w:t xml:space="preserve">to </w:t>
      </w:r>
      <w:proofErr w:type="gramStart"/>
      <w:r w:rsidRPr="003F1D0C">
        <w:t>take into account</w:t>
      </w:r>
      <w:proofErr w:type="gramEnd"/>
      <w:r w:rsidRPr="003F1D0C">
        <w:t>:</w:t>
      </w:r>
    </w:p>
    <w:p w14:paraId="30763F58" w14:textId="77777777" w:rsidR="008A1644" w:rsidRPr="00E1297D" w:rsidRDefault="008A1644" w:rsidP="004A40EA">
      <w:pPr>
        <w:pStyle w:val="Bullet"/>
        <w:keepNext/>
      </w:pPr>
      <w:r w:rsidRPr="00E1297D">
        <w:t>the cumulative and generational impacts of colonisation</w:t>
      </w:r>
    </w:p>
    <w:p w14:paraId="30763F59" w14:textId="77777777" w:rsidR="008A1644" w:rsidRPr="00E1297D" w:rsidRDefault="008A1644" w:rsidP="004A40EA">
      <w:pPr>
        <w:pStyle w:val="Bullet"/>
        <w:keepNext/>
      </w:pPr>
      <w:r>
        <w:t xml:space="preserve">the </w:t>
      </w:r>
      <w:r w:rsidRPr="00E1297D">
        <w:t>impacts of racial discrimination</w:t>
      </w:r>
    </w:p>
    <w:p w14:paraId="30763F5A" w14:textId="77777777" w:rsidR="008A1644" w:rsidRPr="00E1297D" w:rsidRDefault="008A1644" w:rsidP="004A40EA">
      <w:pPr>
        <w:pStyle w:val="Bullet"/>
        <w:keepNext/>
      </w:pPr>
      <w:r w:rsidRPr="00E1297D">
        <w:t>long-standing inequit</w:t>
      </w:r>
      <w:r>
        <w:t>ies</w:t>
      </w:r>
      <w:r w:rsidRPr="00E1297D">
        <w:t xml:space="preserve"> in services </w:t>
      </w:r>
      <w:r>
        <w:t xml:space="preserve">available </w:t>
      </w:r>
      <w:r w:rsidRPr="00E1297D">
        <w:t>for Māori.</w:t>
      </w:r>
    </w:p>
    <w:p w14:paraId="30763F5B" w14:textId="77777777" w:rsidR="00CF553B" w:rsidRDefault="00CF553B" w:rsidP="004A40EA">
      <w:pPr>
        <w:keepNext/>
      </w:pPr>
    </w:p>
    <w:p w14:paraId="30763F5C" w14:textId="77777777" w:rsidR="008A1644" w:rsidRDefault="008A1644" w:rsidP="004A40EA">
      <w:pPr>
        <w:keepNext/>
      </w:pPr>
      <w:r>
        <w:t>The need</w:t>
      </w:r>
      <w:r w:rsidRPr="003F1D0C">
        <w:t xml:space="preserve"> to retain links to the Ministry of Health</w:t>
      </w:r>
      <w:r w:rsidR="00183207">
        <w:t>’</w:t>
      </w:r>
      <w:r w:rsidRPr="003F1D0C">
        <w:t xml:space="preserve">s </w:t>
      </w:r>
      <w:r w:rsidRPr="003F1D0C">
        <w:rPr>
          <w:i/>
        </w:rPr>
        <w:t xml:space="preserve">Updated </w:t>
      </w:r>
      <w:r w:rsidR="00DA6633">
        <w:rPr>
          <w:i/>
        </w:rPr>
        <w:t>COVID</w:t>
      </w:r>
      <w:r w:rsidR="00DA6633">
        <w:rPr>
          <w:i/>
        </w:rPr>
        <w:noBreakHyphen/>
        <w:t>19</w:t>
      </w:r>
      <w:r w:rsidRPr="003F1D0C">
        <w:rPr>
          <w:i/>
        </w:rPr>
        <w:t xml:space="preserve"> Māori Response Action Plan</w:t>
      </w:r>
      <w:r>
        <w:rPr>
          <w:i/>
        </w:rPr>
        <w:t xml:space="preserve"> </w:t>
      </w:r>
      <w:r>
        <w:t>was noted</w:t>
      </w:r>
      <w:r w:rsidRPr="003F1D0C">
        <w:t>.</w:t>
      </w:r>
    </w:p>
    <w:p w14:paraId="30763F5D" w14:textId="77777777" w:rsidR="00CF553B" w:rsidRDefault="00CF553B" w:rsidP="004A40EA">
      <w:pPr>
        <w:keepNext/>
      </w:pPr>
    </w:p>
    <w:tbl>
      <w:tblPr>
        <w:tblStyle w:val="TableGrid"/>
        <w:tblW w:w="0" w:type="auto"/>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4A40EA" w:rsidRPr="00975F08" w14:paraId="30763F60" w14:textId="77777777" w:rsidTr="00A04D50">
        <w:trPr>
          <w:cantSplit/>
        </w:trPr>
        <w:tc>
          <w:tcPr>
            <w:tcW w:w="6946" w:type="dxa"/>
          </w:tcPr>
          <w:p w14:paraId="30763F5E" w14:textId="77777777" w:rsidR="004A40EA" w:rsidRDefault="004A40EA" w:rsidP="004A40EA">
            <w:pPr>
              <w:pStyle w:val="TableText"/>
              <w:spacing w:before="120" w:after="0"/>
              <w:rPr>
                <w:lang w:eastAsia="en-NZ"/>
              </w:rPr>
            </w:pPr>
            <w:r>
              <w:rPr>
                <w:lang w:eastAsia="en-NZ"/>
              </w:rPr>
              <w:t xml:space="preserve">Māori are likely to be disproportionately impacted, with the Plan needing to be explicit about the impact, and specific mitigating actions, for Māori whānau, </w:t>
            </w:r>
            <w:proofErr w:type="spellStart"/>
            <w:r>
              <w:rPr>
                <w:lang w:eastAsia="en-NZ"/>
              </w:rPr>
              <w:t>hapū</w:t>
            </w:r>
            <w:proofErr w:type="spellEnd"/>
            <w:r>
              <w:rPr>
                <w:lang w:eastAsia="en-NZ"/>
              </w:rPr>
              <w:t>, iwi and marae.</w:t>
            </w:r>
          </w:p>
          <w:p w14:paraId="30763F5F" w14:textId="77777777" w:rsidR="004A40EA" w:rsidRDefault="004A40EA" w:rsidP="004A40EA">
            <w:pPr>
              <w:pStyle w:val="TableText"/>
              <w:spacing w:before="0"/>
              <w:jc w:val="right"/>
              <w:rPr>
                <w:lang w:eastAsia="en-NZ"/>
              </w:rPr>
            </w:pPr>
            <w:r>
              <w:rPr>
                <w:lang w:eastAsia="en-NZ"/>
              </w:rPr>
              <w:t>District Heath Board</w:t>
            </w:r>
          </w:p>
        </w:tc>
      </w:tr>
    </w:tbl>
    <w:p w14:paraId="30763F61" w14:textId="77777777" w:rsidR="004A40EA" w:rsidRPr="003F1D0C" w:rsidRDefault="004A40EA" w:rsidP="00CF553B"/>
    <w:p w14:paraId="30763F62" w14:textId="77777777" w:rsidR="00183207" w:rsidRDefault="008A1644" w:rsidP="00740DB7">
      <w:pPr>
        <w:pStyle w:val="Heading4"/>
      </w:pPr>
      <w:r>
        <w:lastRenderedPageBreak/>
        <w:t>Mental wellbeing of diverse p</w:t>
      </w:r>
      <w:r w:rsidRPr="009E5E93">
        <w:t>opulation</w:t>
      </w:r>
      <w:r>
        <w:t xml:space="preserve"> groups</w:t>
      </w:r>
    </w:p>
    <w:p w14:paraId="30763F63" w14:textId="77777777" w:rsidR="008A1644" w:rsidRDefault="008A1644" w:rsidP="00CF553B">
      <w:r>
        <w:t xml:space="preserve">Many submitters wrote of population groups with specific mental wellbeing needs, including pregnant women and </w:t>
      </w:r>
      <w:r w:rsidRPr="00291D8D">
        <w:t>new mothers, infants and children, youth, rainbow communities, ethnic communities and refugees, older people, people with disabilities, prisoners and rural communities.</w:t>
      </w:r>
    </w:p>
    <w:p w14:paraId="30763F64" w14:textId="77777777" w:rsidR="00CF553B" w:rsidRDefault="00CF553B" w:rsidP="00CF553B"/>
    <w:p w14:paraId="30763F65" w14:textId="77777777" w:rsidR="008A1644" w:rsidRDefault="008A1644" w:rsidP="00CF553B">
      <w:r>
        <w:t>Many submissions provided e</w:t>
      </w:r>
      <w:r w:rsidRPr="00291D8D">
        <w:t>vidence supporting the need</w:t>
      </w:r>
      <w:r>
        <w:t>s</w:t>
      </w:r>
      <w:r w:rsidRPr="00291D8D">
        <w:t xml:space="preserve"> </w:t>
      </w:r>
      <w:r>
        <w:t>of these groups</w:t>
      </w:r>
      <w:r w:rsidRPr="00291D8D">
        <w:t xml:space="preserve">. Several mentioned </w:t>
      </w:r>
      <w:r>
        <w:t xml:space="preserve">the </w:t>
      </w:r>
      <w:r w:rsidRPr="00291D8D">
        <w:t>intersect</w:t>
      </w:r>
      <w:r>
        <w:t>ion</w:t>
      </w:r>
      <w:r w:rsidRPr="00291D8D">
        <w:t xml:space="preserve"> of needs</w:t>
      </w:r>
      <w:r>
        <w:t>,</w:t>
      </w:r>
      <w:r w:rsidRPr="00291D8D">
        <w:t xml:space="preserve"> and the value of taking a life</w:t>
      </w:r>
      <w:r>
        <w:t>-</w:t>
      </w:r>
      <w:r w:rsidRPr="00291D8D">
        <w:t>course approach</w:t>
      </w:r>
      <w:r>
        <w:t xml:space="preserve"> to addressing these needs</w:t>
      </w:r>
      <w:r w:rsidRPr="00291D8D">
        <w:t>.</w:t>
      </w:r>
    </w:p>
    <w:p w14:paraId="30763F66" w14:textId="77777777" w:rsidR="00CF553B" w:rsidRDefault="00CF553B" w:rsidP="00CF553B"/>
    <w:tbl>
      <w:tblPr>
        <w:tblStyle w:val="TableGrid"/>
        <w:tblW w:w="6946"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4A40EA" w:rsidRPr="00975F08" w14:paraId="30763F69" w14:textId="77777777" w:rsidTr="004A40EA">
        <w:trPr>
          <w:cantSplit/>
        </w:trPr>
        <w:tc>
          <w:tcPr>
            <w:tcW w:w="6946" w:type="dxa"/>
          </w:tcPr>
          <w:p w14:paraId="30763F67" w14:textId="77777777" w:rsidR="004A40EA" w:rsidRPr="00D57B7C" w:rsidRDefault="004A40EA" w:rsidP="004A40EA">
            <w:pPr>
              <w:pStyle w:val="TableText"/>
              <w:spacing w:before="120" w:after="0"/>
            </w:pPr>
            <w:r w:rsidRPr="00D57B7C">
              <w:t>Attention also needs to be paid to the impact on Pacific people and cultures, including what long-term border closures may mean for people</w:t>
            </w:r>
            <w:r>
              <w:t>’</w:t>
            </w:r>
            <w:r w:rsidRPr="00D57B7C">
              <w:t xml:space="preserve">s connectedness to Pacific nation </w:t>
            </w:r>
            <w:proofErr w:type="spellStart"/>
            <w:r w:rsidRPr="00D57B7C">
              <w:t>fanau</w:t>
            </w:r>
            <w:proofErr w:type="spellEnd"/>
            <w:r w:rsidRPr="00D57B7C">
              <w:t>.</w:t>
            </w:r>
          </w:p>
          <w:p w14:paraId="30763F68" w14:textId="77777777" w:rsidR="004A40EA" w:rsidRPr="00AB0DB5" w:rsidRDefault="004A40EA" w:rsidP="004A40EA">
            <w:pPr>
              <w:pStyle w:val="TableText"/>
              <w:spacing w:before="0"/>
              <w:jc w:val="right"/>
            </w:pPr>
            <w:r w:rsidRPr="00B0782A">
              <w:t xml:space="preserve">District </w:t>
            </w:r>
            <w:r>
              <w:t>H</w:t>
            </w:r>
            <w:r w:rsidRPr="00B0782A">
              <w:t xml:space="preserve">eath </w:t>
            </w:r>
            <w:r>
              <w:t>B</w:t>
            </w:r>
            <w:r w:rsidRPr="00B0782A">
              <w:t>oard</w:t>
            </w:r>
          </w:p>
        </w:tc>
      </w:tr>
      <w:tr w:rsidR="004A40EA" w:rsidRPr="00975F08" w14:paraId="30763F6C" w14:textId="77777777" w:rsidTr="004A40EA">
        <w:trPr>
          <w:cantSplit/>
        </w:trPr>
        <w:tc>
          <w:tcPr>
            <w:tcW w:w="6946" w:type="dxa"/>
          </w:tcPr>
          <w:p w14:paraId="30763F6A" w14:textId="77777777" w:rsidR="004A40EA" w:rsidRPr="00D57B7C" w:rsidRDefault="004A40EA" w:rsidP="004A40EA">
            <w:pPr>
              <w:pStyle w:val="TableText"/>
              <w:spacing w:before="120" w:after="0"/>
            </w:pPr>
            <w:r w:rsidRPr="00D57B7C">
              <w:t>Culturally and linguistically targeted and tailored approaches will be needed, which recognise the psychosocial impact of the refugee experience and of settlement in a new society.</w:t>
            </w:r>
          </w:p>
          <w:p w14:paraId="30763F6B" w14:textId="77777777" w:rsidR="004A40EA" w:rsidRPr="00792EB9" w:rsidRDefault="004A40EA" w:rsidP="004A40EA">
            <w:pPr>
              <w:pStyle w:val="TableText"/>
              <w:spacing w:before="0"/>
              <w:jc w:val="right"/>
            </w:pPr>
            <w:r w:rsidRPr="00792EB9">
              <w:t>Social service/</w:t>
            </w:r>
            <w:r>
              <w:t>o</w:t>
            </w:r>
            <w:r w:rsidRPr="00792EB9">
              <w:t>ther NGO</w:t>
            </w:r>
          </w:p>
        </w:tc>
      </w:tr>
      <w:tr w:rsidR="004A40EA" w:rsidRPr="00975F08" w14:paraId="30763F6F" w14:textId="77777777" w:rsidTr="004A40EA">
        <w:trPr>
          <w:cantSplit/>
        </w:trPr>
        <w:tc>
          <w:tcPr>
            <w:tcW w:w="6946" w:type="dxa"/>
          </w:tcPr>
          <w:p w14:paraId="30763F6D" w14:textId="77777777" w:rsidR="004A40EA" w:rsidRPr="00D57B7C" w:rsidRDefault="004A40EA" w:rsidP="004A40EA">
            <w:pPr>
              <w:pStyle w:val="TableText"/>
              <w:spacing w:before="120" w:after="0"/>
            </w:pPr>
            <w:r w:rsidRPr="00D57B7C">
              <w:t>Rainbow communities need to be named throughout the Plan as a priority population that continues to experience stigma and discrimination resulting in higher rates of mental illness and suicide.</w:t>
            </w:r>
          </w:p>
          <w:p w14:paraId="30763F6E" w14:textId="77777777" w:rsidR="004A40EA" w:rsidRPr="00AB0DB5" w:rsidRDefault="004A40EA" w:rsidP="004A40EA">
            <w:pPr>
              <w:pStyle w:val="TableText"/>
              <w:spacing w:before="0"/>
              <w:jc w:val="right"/>
            </w:pPr>
            <w:r w:rsidRPr="008E56E1">
              <w:t>Health NGO</w:t>
            </w:r>
          </w:p>
        </w:tc>
      </w:tr>
      <w:tr w:rsidR="004A40EA" w:rsidRPr="00975F08" w14:paraId="30763F72" w14:textId="77777777" w:rsidTr="004A40EA">
        <w:trPr>
          <w:cantSplit/>
        </w:trPr>
        <w:tc>
          <w:tcPr>
            <w:tcW w:w="6946" w:type="dxa"/>
          </w:tcPr>
          <w:p w14:paraId="30763F70" w14:textId="77777777" w:rsidR="004A40EA" w:rsidRPr="00D57B7C" w:rsidRDefault="004A40EA" w:rsidP="004A40EA">
            <w:pPr>
              <w:pStyle w:val="TableText"/>
              <w:spacing w:before="120" w:after="0"/>
            </w:pPr>
            <w:r w:rsidRPr="00D57B7C">
              <w:t>Based on the international evidence around economic downturns disproportionately impacting young people, it will be critical to ensure prevention and early intervention is prioritised.</w:t>
            </w:r>
          </w:p>
          <w:p w14:paraId="30763F71" w14:textId="77777777" w:rsidR="004A40EA" w:rsidRPr="00792EB9" w:rsidRDefault="004A40EA" w:rsidP="004A40EA">
            <w:pPr>
              <w:pStyle w:val="TableText"/>
              <w:spacing w:before="0"/>
              <w:jc w:val="right"/>
            </w:pPr>
            <w:r w:rsidRPr="00792EB9">
              <w:t>Social service/</w:t>
            </w:r>
            <w:r>
              <w:t>o</w:t>
            </w:r>
            <w:r w:rsidRPr="00792EB9">
              <w:t>ther NGO</w:t>
            </w:r>
          </w:p>
        </w:tc>
      </w:tr>
      <w:tr w:rsidR="004A40EA" w:rsidRPr="00975F08" w14:paraId="30763F75" w14:textId="77777777" w:rsidTr="004A40EA">
        <w:trPr>
          <w:cantSplit/>
        </w:trPr>
        <w:tc>
          <w:tcPr>
            <w:tcW w:w="6946" w:type="dxa"/>
          </w:tcPr>
          <w:p w14:paraId="30763F73" w14:textId="77777777" w:rsidR="004A40EA" w:rsidRPr="00D57B7C" w:rsidRDefault="004A40EA" w:rsidP="004A40EA">
            <w:pPr>
              <w:pStyle w:val="TableText"/>
              <w:spacing w:before="120" w:after="0"/>
            </w:pPr>
            <w:r w:rsidRPr="00D57B7C">
              <w:t xml:space="preserve">Supporting mothering and parenting is an investment and all efforts to support perinatal mental health and wellbeing are critically important not only </w:t>
            </w:r>
            <w:r>
              <w:t xml:space="preserve">for </w:t>
            </w:r>
            <w:r w:rsidRPr="00D57B7C">
              <w:t>women but for infants, children and whānau.</w:t>
            </w:r>
          </w:p>
          <w:p w14:paraId="30763F74" w14:textId="77777777" w:rsidR="004A40EA" w:rsidRPr="003478C5" w:rsidRDefault="004A40EA" w:rsidP="004A40EA">
            <w:pPr>
              <w:pStyle w:val="TableText"/>
              <w:spacing w:before="0"/>
              <w:jc w:val="right"/>
              <w:rPr>
                <w:i/>
              </w:rPr>
            </w:pPr>
            <w:r w:rsidRPr="00AB457F">
              <w:t>Health NGO</w:t>
            </w:r>
          </w:p>
        </w:tc>
      </w:tr>
      <w:tr w:rsidR="004A40EA" w:rsidRPr="00975F08" w14:paraId="30763F78" w14:textId="77777777" w:rsidTr="004A40EA">
        <w:trPr>
          <w:cantSplit/>
        </w:trPr>
        <w:tc>
          <w:tcPr>
            <w:tcW w:w="6946" w:type="dxa"/>
          </w:tcPr>
          <w:p w14:paraId="30763F76" w14:textId="77777777" w:rsidR="004A40EA" w:rsidRPr="00D57B7C" w:rsidRDefault="004A40EA" w:rsidP="004A40EA">
            <w:pPr>
              <w:pStyle w:val="TableText"/>
              <w:spacing w:before="120" w:after="0"/>
            </w:pPr>
            <w:r w:rsidRPr="00D57B7C">
              <w:t>We would like to see the needs of rural communities more visibly acknowledged as a group with specific needs.</w:t>
            </w:r>
          </w:p>
          <w:p w14:paraId="30763F77" w14:textId="77777777" w:rsidR="004A40EA" w:rsidRPr="00AB457F" w:rsidRDefault="004A40EA" w:rsidP="004A40EA">
            <w:pPr>
              <w:pStyle w:val="TableText"/>
              <w:spacing w:before="0"/>
              <w:jc w:val="right"/>
              <w:rPr>
                <w:i/>
              </w:rPr>
            </w:pPr>
            <w:r w:rsidRPr="00AB457F">
              <w:t>Government agency</w:t>
            </w:r>
          </w:p>
        </w:tc>
      </w:tr>
    </w:tbl>
    <w:p w14:paraId="30763F79" w14:textId="77777777" w:rsidR="008A1644" w:rsidRDefault="008A1644" w:rsidP="00CF553B"/>
    <w:p w14:paraId="30763F7A" w14:textId="77777777" w:rsidR="00183207" w:rsidRDefault="008A1644" w:rsidP="008A1644">
      <w:pPr>
        <w:pStyle w:val="Heading1"/>
      </w:pPr>
      <w:bookmarkStart w:id="12" w:name="_Toc52284900"/>
      <w:r w:rsidRPr="008337A0">
        <w:lastRenderedPageBreak/>
        <w:t>Positive examples and contributions</w:t>
      </w:r>
      <w:bookmarkEnd w:id="12"/>
    </w:p>
    <w:p w14:paraId="30763F7B" w14:textId="77777777" w:rsidR="008A1644" w:rsidRPr="00164B35" w:rsidRDefault="008A1644" w:rsidP="00740DB7">
      <w:pPr>
        <w:pStyle w:val="Heading4"/>
      </w:pPr>
      <w:r w:rsidRPr="00164B35">
        <w:t xml:space="preserve">Positive examples of mental and social wellbeing support during </w:t>
      </w:r>
      <w:r w:rsidR="00DA6633">
        <w:t>COVID</w:t>
      </w:r>
      <w:r w:rsidR="00DA6633">
        <w:noBreakHyphen/>
        <w:t>19</w:t>
      </w:r>
    </w:p>
    <w:p w14:paraId="30763F7C" w14:textId="77777777" w:rsidR="00183207" w:rsidRDefault="008A1644" w:rsidP="00CF553B">
      <w:r>
        <w:t xml:space="preserve">Submitters highlighted wide-ranging positive examples of mental and social wellbeing support during the </w:t>
      </w:r>
      <w:r w:rsidR="00DA6633">
        <w:t>COVID</w:t>
      </w:r>
      <w:r w:rsidR="00DA6633">
        <w:noBreakHyphen/>
        <w:t>19</w:t>
      </w:r>
      <w:r>
        <w:t xml:space="preserve"> response, both within programmes that pre-dated </w:t>
      </w:r>
      <w:r w:rsidR="00DA6633">
        <w:t>COVID</w:t>
      </w:r>
      <w:r w:rsidR="00DA6633">
        <w:noBreakHyphen/>
        <w:t>19</w:t>
      </w:r>
      <w:r>
        <w:t xml:space="preserve"> and through new initiatives. Many people expressed support for </w:t>
      </w:r>
      <w:proofErr w:type="gramStart"/>
      <w:r>
        <w:t>particular national</w:t>
      </w:r>
      <w:proofErr w:type="gramEnd"/>
      <w:r>
        <w:t xml:space="preserve"> services (such as telehealth and e-therapy), health promotion campaigns and tailored messaging for specific populations.</w:t>
      </w:r>
    </w:p>
    <w:p w14:paraId="30763F7D" w14:textId="77777777" w:rsidR="00CF553B" w:rsidRDefault="00CF553B" w:rsidP="00CF553B"/>
    <w:p w14:paraId="30763F7E" w14:textId="77777777" w:rsidR="00183207" w:rsidRDefault="008A1644" w:rsidP="00CF553B">
      <w:r>
        <w:t>A diverse range of local initiatives were cited, led by iwi/</w:t>
      </w:r>
      <w:proofErr w:type="spellStart"/>
      <w:r>
        <w:t>hapū</w:t>
      </w:r>
      <w:proofErr w:type="spellEnd"/>
      <w:r>
        <w:t>, community organisations and volunteers, including:</w:t>
      </w:r>
    </w:p>
    <w:p w14:paraId="30763F7F" w14:textId="77777777" w:rsidR="008A1644" w:rsidRPr="00E1297D" w:rsidRDefault="008A1644" w:rsidP="00CF553B">
      <w:pPr>
        <w:pStyle w:val="Bullet"/>
      </w:pPr>
      <w:r w:rsidRPr="00E1297D">
        <w:t>hygiene buckets and precooked meals for older Māori</w:t>
      </w:r>
    </w:p>
    <w:p w14:paraId="30763F80" w14:textId="77777777" w:rsidR="008A1644" w:rsidRPr="00E1297D" w:rsidRDefault="008A1644" w:rsidP="00CF553B">
      <w:pPr>
        <w:pStyle w:val="Bullet"/>
      </w:pPr>
      <w:r w:rsidRPr="00E1297D">
        <w:t>health care mobile units and testing stations led by Pacific communities</w:t>
      </w:r>
    </w:p>
    <w:p w14:paraId="30763F81" w14:textId="77777777" w:rsidR="008A1644" w:rsidRPr="00E1297D" w:rsidRDefault="008A1644" w:rsidP="00CF553B">
      <w:pPr>
        <w:pStyle w:val="Bullet"/>
      </w:pPr>
      <w:r w:rsidRPr="00E1297D">
        <w:t xml:space="preserve">community groups phoning vulnerable members </w:t>
      </w:r>
      <w:r>
        <w:t>to check that they were coping</w:t>
      </w:r>
    </w:p>
    <w:p w14:paraId="30763F82" w14:textId="77777777" w:rsidR="008A1644" w:rsidRPr="00E1297D" w:rsidRDefault="008A1644" w:rsidP="00CF553B">
      <w:pPr>
        <w:pStyle w:val="Bullet"/>
      </w:pPr>
      <w:r w:rsidRPr="00E1297D">
        <w:t>virtual parenting programmes</w:t>
      </w:r>
      <w:r>
        <w:t xml:space="preserve"> and wellbeing events</w:t>
      </w:r>
    </w:p>
    <w:p w14:paraId="30763F83" w14:textId="77777777" w:rsidR="008A1644" w:rsidRPr="00E1297D" w:rsidRDefault="008A1644" w:rsidP="00CF553B">
      <w:pPr>
        <w:pStyle w:val="Bullet"/>
      </w:pPr>
      <w:r w:rsidRPr="00E1297D">
        <w:t>phone and video sessions for people with addiction</w:t>
      </w:r>
      <w:r>
        <w:t>s.</w:t>
      </w:r>
    </w:p>
    <w:p w14:paraId="30763F84" w14:textId="77777777" w:rsidR="00CF553B" w:rsidRDefault="00CF553B" w:rsidP="00CF553B"/>
    <w:p w14:paraId="30763F85" w14:textId="77777777" w:rsidR="008A1644" w:rsidRDefault="008A1644" w:rsidP="00CF553B">
      <w:r>
        <w:t xml:space="preserve">Submitters praised the uptake of </w:t>
      </w:r>
      <w:r w:rsidRPr="000B37B3">
        <w:t>innovative approaches and new initiatives (</w:t>
      </w:r>
      <w:r>
        <w:t>for example, Z</w:t>
      </w:r>
      <w:r w:rsidRPr="000B37B3">
        <w:t>oom</w:t>
      </w:r>
      <w:r>
        <w:t xml:space="preserve"> consultations and meetings</w:t>
      </w:r>
      <w:r w:rsidRPr="000B37B3">
        <w:t xml:space="preserve">) during </w:t>
      </w:r>
      <w:r>
        <w:t xml:space="preserve">the </w:t>
      </w:r>
      <w:r w:rsidR="00DA6633">
        <w:t>COVID</w:t>
      </w:r>
      <w:r w:rsidR="00DA6633">
        <w:noBreakHyphen/>
        <w:t>19</w:t>
      </w:r>
      <w:r w:rsidRPr="000B37B3">
        <w:t xml:space="preserve"> </w:t>
      </w:r>
      <w:r>
        <w:t>response</w:t>
      </w:r>
      <w:r w:rsidRPr="000B37B3">
        <w:t xml:space="preserve">. There were calls for </w:t>
      </w:r>
      <w:r>
        <w:t xml:space="preserve">this focus on </w:t>
      </w:r>
      <w:r w:rsidRPr="000B37B3">
        <w:t>innovation to continue</w:t>
      </w:r>
      <w:r>
        <w:t>,</w:t>
      </w:r>
      <w:r w:rsidRPr="000B37B3">
        <w:t xml:space="preserve"> and for lessons in flexibili</w:t>
      </w:r>
      <w:r w:rsidR="00CF553B">
        <w:t>ty and innovation to be shared.</w:t>
      </w:r>
    </w:p>
    <w:p w14:paraId="30763F86" w14:textId="77777777" w:rsidR="00CF553B" w:rsidRDefault="00CF553B" w:rsidP="00CF553B"/>
    <w:tbl>
      <w:tblPr>
        <w:tblStyle w:val="TableGrid"/>
        <w:tblW w:w="6946"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4A40EA" w:rsidRPr="00975F08" w14:paraId="30763F89" w14:textId="77777777" w:rsidTr="004A40EA">
        <w:trPr>
          <w:cantSplit/>
        </w:trPr>
        <w:tc>
          <w:tcPr>
            <w:tcW w:w="6946" w:type="dxa"/>
          </w:tcPr>
          <w:p w14:paraId="30763F87" w14:textId="77777777" w:rsidR="004A40EA" w:rsidRPr="00814D09" w:rsidRDefault="004A40EA" w:rsidP="004A40EA">
            <w:pPr>
              <w:pStyle w:val="TableText"/>
              <w:spacing w:before="120" w:after="0"/>
            </w:pPr>
            <w:r w:rsidRPr="00E941F8">
              <w:t xml:space="preserve">During alert levels 4, 3 and 2 </w:t>
            </w:r>
            <w:proofErr w:type="spellStart"/>
            <w:r w:rsidRPr="00E941F8">
              <w:t>Tūranga</w:t>
            </w:r>
            <w:proofErr w:type="spellEnd"/>
            <w:r w:rsidRPr="00E941F8">
              <w:t xml:space="preserve"> Health provided 980 precooked meals to iwi</w:t>
            </w:r>
            <w:r>
              <w:t>,</w:t>
            </w:r>
            <w:r w:rsidRPr="00E941F8">
              <w:t xml:space="preserve"> 550 precooked meals for vulnerable </w:t>
            </w:r>
            <w:r>
              <w:t>whanau,</w:t>
            </w:r>
            <w:r w:rsidRPr="00E941F8">
              <w:t xml:space="preserve"> and 2,050 hygiene buckets to iwi and vulnerable whānau. Another 580 hygiene packs from Whānau Ora were delivered. And 350 </w:t>
            </w:r>
            <w:r>
              <w:t>f</w:t>
            </w:r>
            <w:r w:rsidRPr="00C90D9C">
              <w:t xml:space="preserve">lu </w:t>
            </w:r>
            <w:r>
              <w:t>v</w:t>
            </w:r>
            <w:r w:rsidRPr="00C90D9C">
              <w:t>accinations were administered to vulnerable whānau. These reached rural and urban/central communities</w:t>
            </w:r>
            <w:r w:rsidRPr="00814D09">
              <w:t>.</w:t>
            </w:r>
          </w:p>
          <w:p w14:paraId="30763F88" w14:textId="77777777" w:rsidR="004A40EA" w:rsidRPr="004018D3" w:rsidRDefault="004A40EA" w:rsidP="004A40EA">
            <w:pPr>
              <w:pStyle w:val="TableText"/>
              <w:spacing w:before="0"/>
              <w:jc w:val="right"/>
            </w:pPr>
            <w:r w:rsidRPr="005E0FEB">
              <w:t xml:space="preserve">District </w:t>
            </w:r>
            <w:r>
              <w:t>H</w:t>
            </w:r>
            <w:r w:rsidRPr="005E0FEB">
              <w:t xml:space="preserve">ealth </w:t>
            </w:r>
            <w:r>
              <w:t>B</w:t>
            </w:r>
            <w:r w:rsidRPr="005E0FEB">
              <w:t>oard</w:t>
            </w:r>
          </w:p>
        </w:tc>
      </w:tr>
      <w:tr w:rsidR="004A40EA" w:rsidRPr="00975F08" w14:paraId="30763F8C" w14:textId="77777777" w:rsidTr="004A40EA">
        <w:trPr>
          <w:cantSplit/>
        </w:trPr>
        <w:tc>
          <w:tcPr>
            <w:tcW w:w="6946" w:type="dxa"/>
          </w:tcPr>
          <w:p w14:paraId="30763F8A" w14:textId="77777777" w:rsidR="004A40EA" w:rsidRPr="00C90D9C" w:rsidRDefault="004A40EA" w:rsidP="004A40EA">
            <w:pPr>
              <w:pStyle w:val="TableText"/>
              <w:spacing w:before="120" w:after="0"/>
            </w:pPr>
            <w:r w:rsidRPr="00C90D9C">
              <w:t xml:space="preserve">The Council has worked with Ministry of Primary Industries and our Rural Support Services to put together a campaign of practical interventions called </w:t>
            </w:r>
            <w:r>
              <w:t>‘</w:t>
            </w:r>
            <w:r w:rsidRPr="00C90D9C">
              <w:t>Pride in Our Land</w:t>
            </w:r>
            <w:r>
              <w:t>’</w:t>
            </w:r>
            <w:r w:rsidRPr="00C90D9C">
              <w:t xml:space="preserve">. It includes a range of activities and communications </w:t>
            </w:r>
            <w:r>
              <w:t>–</w:t>
            </w:r>
            <w:r w:rsidRPr="00C90D9C">
              <w:t xml:space="preserve"> including arranging a </w:t>
            </w:r>
            <w:r>
              <w:t>‘</w:t>
            </w:r>
            <w:r w:rsidRPr="00C90D9C">
              <w:t>Learn to Fly Fish</w:t>
            </w:r>
            <w:r>
              <w:t>’</w:t>
            </w:r>
            <w:r w:rsidRPr="00C90D9C">
              <w:t xml:space="preserve"> day, a </w:t>
            </w:r>
            <w:r>
              <w:t>‘</w:t>
            </w:r>
            <w:r w:rsidRPr="00C90D9C">
              <w:t>Take the Family tramping</w:t>
            </w:r>
            <w:r>
              <w:t>’</w:t>
            </w:r>
            <w:r w:rsidRPr="00C90D9C">
              <w:t xml:space="preserve"> day, a photo competition and lots of resources from places like </w:t>
            </w:r>
            <w:proofErr w:type="spellStart"/>
            <w:r w:rsidRPr="00C90D9C">
              <w:t>Farm</w:t>
            </w:r>
            <w:r>
              <w:t>s</w:t>
            </w:r>
            <w:r w:rsidRPr="00C90D9C">
              <w:t>trong</w:t>
            </w:r>
            <w:proofErr w:type="spellEnd"/>
            <w:r w:rsidRPr="00C90D9C">
              <w:t>.</w:t>
            </w:r>
          </w:p>
          <w:p w14:paraId="30763F8B" w14:textId="77777777" w:rsidR="004A40EA" w:rsidRPr="00E941F8" w:rsidRDefault="004A40EA" w:rsidP="004A40EA">
            <w:pPr>
              <w:pStyle w:val="TableText"/>
              <w:spacing w:before="0"/>
              <w:jc w:val="right"/>
            </w:pPr>
            <w:r>
              <w:t>Local government</w:t>
            </w:r>
          </w:p>
        </w:tc>
      </w:tr>
    </w:tbl>
    <w:p w14:paraId="30763F8D" w14:textId="77777777" w:rsidR="004A40EA" w:rsidRPr="000B37B3" w:rsidRDefault="004A40EA" w:rsidP="00CF553B"/>
    <w:p w14:paraId="30763F8E" w14:textId="77777777" w:rsidR="008A1644" w:rsidRPr="00164B35" w:rsidRDefault="008A1644" w:rsidP="00740DB7">
      <w:pPr>
        <w:pStyle w:val="Heading4"/>
      </w:pPr>
      <w:r w:rsidRPr="00164B35">
        <w:t>How organisations saw themselves contributing to the recovery</w:t>
      </w:r>
    </w:p>
    <w:p w14:paraId="30763F8F" w14:textId="77777777" w:rsidR="00183207" w:rsidRDefault="008A1644" w:rsidP="00CF553B">
      <w:r>
        <w:t>We asked o</w:t>
      </w:r>
      <w:r w:rsidRPr="003F1D0C">
        <w:t xml:space="preserve">rganisations how they </w:t>
      </w:r>
      <w:r>
        <w:t xml:space="preserve">saw </w:t>
      </w:r>
      <w:r w:rsidRPr="003F1D0C">
        <w:t xml:space="preserve">themselves contributing to the </w:t>
      </w:r>
      <w:r>
        <w:t>P</w:t>
      </w:r>
      <w:r w:rsidRPr="003F1D0C">
        <w:t xml:space="preserve">lan. </w:t>
      </w:r>
      <w:r>
        <w:t>In response, m</w:t>
      </w:r>
      <w:r w:rsidRPr="003F1D0C">
        <w:t xml:space="preserve">any </w:t>
      </w:r>
      <w:r>
        <w:t>described</w:t>
      </w:r>
      <w:r w:rsidRPr="003F1D0C">
        <w:t xml:space="preserve"> the nature of their work to support mental and social wellbeing.</w:t>
      </w:r>
    </w:p>
    <w:p w14:paraId="30763F90" w14:textId="77777777" w:rsidR="00183207" w:rsidRDefault="008A1644" w:rsidP="00CF553B">
      <w:pPr>
        <w:pStyle w:val="Bullet"/>
      </w:pPr>
      <w:r>
        <w:lastRenderedPageBreak/>
        <w:t>District health boards</w:t>
      </w:r>
      <w:r w:rsidRPr="00E1297D">
        <w:t>, including mental health and addiction service</w:t>
      </w:r>
      <w:r>
        <w:t>s</w:t>
      </w:r>
      <w:r w:rsidRPr="00E1297D">
        <w:t>, saw the</w:t>
      </w:r>
      <w:r>
        <w:t xml:space="preserve">ir work as </w:t>
      </w:r>
      <w:r w:rsidRPr="00E1297D">
        <w:t>align</w:t>
      </w:r>
      <w:r>
        <w:t>ed</w:t>
      </w:r>
      <w:r w:rsidRPr="00E1297D">
        <w:t xml:space="preserve"> with the </w:t>
      </w:r>
      <w:r>
        <w:t>P</w:t>
      </w:r>
      <w:r w:rsidRPr="00E1297D">
        <w:t>lan</w:t>
      </w:r>
      <w:r>
        <w:t>.</w:t>
      </w:r>
    </w:p>
    <w:p w14:paraId="30763F91" w14:textId="77777777" w:rsidR="008A1644" w:rsidRPr="00E1297D" w:rsidRDefault="008A1644" w:rsidP="00CF553B">
      <w:pPr>
        <w:pStyle w:val="Bullet"/>
      </w:pPr>
      <w:r>
        <w:t>L</w:t>
      </w:r>
      <w:r w:rsidRPr="00E1297D">
        <w:t>ocal authorities comment</w:t>
      </w:r>
      <w:r>
        <w:t>ed</w:t>
      </w:r>
      <w:r w:rsidRPr="00E1297D">
        <w:t xml:space="preserve"> </w:t>
      </w:r>
      <w:r>
        <w:t xml:space="preserve">on </w:t>
      </w:r>
      <w:r w:rsidRPr="00E1297D">
        <w:t>their role in supporting community-led initiatives, providing facilities and linking economic recovery to social outcomes</w:t>
      </w:r>
      <w:r>
        <w:t>.</w:t>
      </w:r>
    </w:p>
    <w:p w14:paraId="30763F92" w14:textId="77777777" w:rsidR="008A1644" w:rsidRPr="00E1297D" w:rsidRDefault="008A1644" w:rsidP="00CF553B">
      <w:pPr>
        <w:pStyle w:val="Bullet"/>
      </w:pPr>
      <w:r>
        <w:t>G</w:t>
      </w:r>
      <w:r w:rsidRPr="00E1297D">
        <w:t>eneral practitioners discussed their front</w:t>
      </w:r>
      <w:r>
        <w:t>-</w:t>
      </w:r>
      <w:r w:rsidRPr="00E1297D">
        <w:t>line role in providing mental health support</w:t>
      </w:r>
      <w:r>
        <w:t>.</w:t>
      </w:r>
    </w:p>
    <w:p w14:paraId="30763F93" w14:textId="77777777" w:rsidR="008A1644" w:rsidRPr="00E1297D" w:rsidRDefault="008A1644" w:rsidP="00CF553B">
      <w:pPr>
        <w:pStyle w:val="Bullet"/>
      </w:pPr>
      <w:r>
        <w:t>Community organisations</w:t>
      </w:r>
      <w:r w:rsidRPr="00E1297D">
        <w:t xml:space="preserve"> highlighted a wide range of work to support communities and specific population groups</w:t>
      </w:r>
      <w:r>
        <w:t>.</w:t>
      </w:r>
    </w:p>
    <w:p w14:paraId="30763F94" w14:textId="77777777" w:rsidR="008A1644" w:rsidRPr="00E1297D" w:rsidRDefault="008A1644" w:rsidP="00CF553B">
      <w:pPr>
        <w:pStyle w:val="Bullet"/>
      </w:pPr>
      <w:r>
        <w:t>Various</w:t>
      </w:r>
      <w:r w:rsidRPr="00E1297D">
        <w:t xml:space="preserve"> organisations highlighted their role in providing support for people with alcohol and other drug challenges</w:t>
      </w:r>
      <w:r>
        <w:t>.</w:t>
      </w:r>
    </w:p>
    <w:p w14:paraId="30763F95" w14:textId="77777777" w:rsidR="008A1644" w:rsidRDefault="008A1644" w:rsidP="00CF553B">
      <w:pPr>
        <w:pStyle w:val="Bullet"/>
      </w:pPr>
      <w:r>
        <w:t>S</w:t>
      </w:r>
      <w:r w:rsidRPr="00E1297D">
        <w:t xml:space="preserve">everal submitters discussed their role in providing information and intelligence to the Ministry of Health, </w:t>
      </w:r>
      <w:r>
        <w:t>district health board</w:t>
      </w:r>
      <w:r w:rsidRPr="00E1297D">
        <w:t>s and other organisations.</w:t>
      </w:r>
    </w:p>
    <w:p w14:paraId="30763F96" w14:textId="77777777" w:rsidR="00CF553B" w:rsidRDefault="00CF553B" w:rsidP="00CF553B"/>
    <w:tbl>
      <w:tblPr>
        <w:tblStyle w:val="TableGrid"/>
        <w:tblW w:w="6946"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4A40EA" w:rsidRPr="00975F08" w14:paraId="30763F99" w14:textId="77777777" w:rsidTr="00A04D50">
        <w:trPr>
          <w:cantSplit/>
        </w:trPr>
        <w:tc>
          <w:tcPr>
            <w:tcW w:w="6946" w:type="dxa"/>
          </w:tcPr>
          <w:p w14:paraId="30763F97" w14:textId="77777777" w:rsidR="004A40EA" w:rsidRDefault="004A40EA" w:rsidP="004A40EA">
            <w:pPr>
              <w:pStyle w:val="TableText"/>
              <w:spacing w:before="120" w:after="0"/>
            </w:pPr>
            <w:r>
              <w:t>As a District Council, our role is in liaison and promotion. We can (and do) support the coordination of community-led initiatives. We also, as the document points out, contribute to psychosocial wellbeing via the provision of services and spaces such as parks, libraries, pools and a vibrant urban environment.</w:t>
            </w:r>
          </w:p>
          <w:p w14:paraId="30763F98" w14:textId="77777777" w:rsidR="004A40EA" w:rsidRPr="004018D3" w:rsidRDefault="004A40EA" w:rsidP="004A40EA">
            <w:pPr>
              <w:pStyle w:val="TableText"/>
              <w:spacing w:before="0"/>
              <w:jc w:val="right"/>
            </w:pPr>
            <w:r>
              <w:t>Local government</w:t>
            </w:r>
          </w:p>
        </w:tc>
      </w:tr>
      <w:tr w:rsidR="004A40EA" w:rsidRPr="00975F08" w14:paraId="30763F9C" w14:textId="77777777" w:rsidTr="00A04D50">
        <w:trPr>
          <w:cantSplit/>
        </w:trPr>
        <w:tc>
          <w:tcPr>
            <w:tcW w:w="6946" w:type="dxa"/>
          </w:tcPr>
          <w:p w14:paraId="30763F9A" w14:textId="77777777" w:rsidR="004A40EA" w:rsidRDefault="004A40EA" w:rsidP="004A40EA">
            <w:pPr>
              <w:pStyle w:val="TableText"/>
              <w:spacing w:before="120" w:after="0"/>
            </w:pPr>
            <w:r>
              <w:t>DHB provider arms need to do their core work as well as possible, support and advise primary providers, advocate, advise local plans and lend their expertise to upskill non-health provider agencies.</w:t>
            </w:r>
          </w:p>
          <w:p w14:paraId="30763F9B" w14:textId="77777777" w:rsidR="004A40EA" w:rsidRDefault="004A40EA" w:rsidP="004A40EA">
            <w:pPr>
              <w:pStyle w:val="TableText"/>
              <w:spacing w:before="0"/>
              <w:jc w:val="right"/>
            </w:pPr>
            <w:r>
              <w:t>District Health Board</w:t>
            </w:r>
          </w:p>
        </w:tc>
      </w:tr>
    </w:tbl>
    <w:p w14:paraId="30763F9D" w14:textId="77777777" w:rsidR="004A40EA" w:rsidRPr="00E1297D" w:rsidRDefault="004A40EA" w:rsidP="00CF553B"/>
    <w:p w14:paraId="30763F9E" w14:textId="77777777" w:rsidR="00183207" w:rsidRDefault="008A1644" w:rsidP="008A1644">
      <w:pPr>
        <w:pStyle w:val="Heading1"/>
      </w:pPr>
      <w:bookmarkStart w:id="13" w:name="_Toc52284901"/>
      <w:r w:rsidRPr="008337A0">
        <w:lastRenderedPageBreak/>
        <w:t xml:space="preserve">How to progress the </w:t>
      </w:r>
      <w:r>
        <w:t>P</w:t>
      </w:r>
      <w:r w:rsidRPr="008337A0">
        <w:t>lan</w:t>
      </w:r>
      <w:bookmarkEnd w:id="13"/>
    </w:p>
    <w:p w14:paraId="30763F9F" w14:textId="77777777" w:rsidR="008A1644" w:rsidRPr="008455E5" w:rsidRDefault="008A1644" w:rsidP="00740DB7">
      <w:pPr>
        <w:pStyle w:val="Heading4"/>
      </w:pPr>
      <w:r>
        <w:t>General editing comments</w:t>
      </w:r>
    </w:p>
    <w:p w14:paraId="30763FA0" w14:textId="77777777" w:rsidR="00183207" w:rsidRDefault="008A1644" w:rsidP="00225F84">
      <w:r>
        <w:t xml:space="preserve">Many submitters suggested wording changes to the Plan. For instance, while emergency management requirements refer to </w:t>
      </w:r>
      <w:r w:rsidR="00183207">
        <w:t>‘</w:t>
      </w:r>
      <w:r>
        <w:t>psychosocial response</w:t>
      </w:r>
      <w:r w:rsidR="00183207">
        <w:t>’</w:t>
      </w:r>
      <w:r>
        <w:t>, several submitters noted this term is not familiar or accessible to everyone.</w:t>
      </w:r>
    </w:p>
    <w:p w14:paraId="30763FA1" w14:textId="77777777" w:rsidR="00225F84" w:rsidRDefault="00225F84" w:rsidP="00225F84"/>
    <w:p w14:paraId="30763FA2" w14:textId="77777777" w:rsidR="008A1644" w:rsidRDefault="008A1644" w:rsidP="00740DB7">
      <w:pPr>
        <w:pStyle w:val="Heading4"/>
      </w:pPr>
      <w:r>
        <w:t>Timeframes</w:t>
      </w:r>
    </w:p>
    <w:p w14:paraId="30763FA3" w14:textId="77777777" w:rsidR="008A1644" w:rsidRDefault="008A1644" w:rsidP="00225F84">
      <w:r>
        <w:t>Responding to the Plan</w:t>
      </w:r>
      <w:r w:rsidR="00183207">
        <w:t>’</w:t>
      </w:r>
      <w:r>
        <w:t>s 12–18-month timeframe, various</w:t>
      </w:r>
      <w:r w:rsidRPr="00FE4192">
        <w:t xml:space="preserve"> </w:t>
      </w:r>
      <w:r>
        <w:t xml:space="preserve">submitters commented that a longer-term view is needed, tied to the government response to </w:t>
      </w:r>
      <w:proofErr w:type="spellStart"/>
      <w:r w:rsidRPr="00FE4192">
        <w:rPr>
          <w:i/>
        </w:rPr>
        <w:t>He</w:t>
      </w:r>
      <w:proofErr w:type="spellEnd"/>
      <w:r w:rsidRPr="00FE4192">
        <w:rPr>
          <w:i/>
        </w:rPr>
        <w:t xml:space="preserve"> Ara </w:t>
      </w:r>
      <w:proofErr w:type="spellStart"/>
      <w:r w:rsidRPr="00FE4192">
        <w:rPr>
          <w:i/>
        </w:rPr>
        <w:t>Oranga</w:t>
      </w:r>
      <w:proofErr w:type="spellEnd"/>
      <w:r>
        <w:t xml:space="preserve"> rather than just the pandemic</w:t>
      </w:r>
      <w:r w:rsidR="00225F84">
        <w:t>.</w:t>
      </w:r>
    </w:p>
    <w:p w14:paraId="30763FA4" w14:textId="77777777" w:rsidR="00225F84" w:rsidRDefault="00225F84" w:rsidP="00225F84"/>
    <w:tbl>
      <w:tblPr>
        <w:tblStyle w:val="TableGrid"/>
        <w:tblW w:w="6946"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4A40EA" w:rsidRPr="00975F08" w14:paraId="30763FA7" w14:textId="77777777" w:rsidTr="00A04D50">
        <w:trPr>
          <w:cantSplit/>
        </w:trPr>
        <w:tc>
          <w:tcPr>
            <w:tcW w:w="6946" w:type="dxa"/>
          </w:tcPr>
          <w:p w14:paraId="30763FA5" w14:textId="77777777" w:rsidR="004A40EA" w:rsidRDefault="004A40EA" w:rsidP="004A40EA">
            <w:pPr>
              <w:pStyle w:val="TableText"/>
              <w:spacing w:before="120" w:after="0"/>
            </w:pPr>
            <w:r>
              <w:t>There will need to be a seamless and progressive transition from initial recovery planning of the pandemic impacts to the already well-established and researched mental health and addiction needs of our communities.</w:t>
            </w:r>
          </w:p>
          <w:p w14:paraId="30763FA6" w14:textId="77777777" w:rsidR="004A40EA" w:rsidRDefault="004A40EA" w:rsidP="004A40EA">
            <w:pPr>
              <w:pStyle w:val="TableText"/>
              <w:spacing w:before="0"/>
              <w:jc w:val="right"/>
            </w:pPr>
            <w:r>
              <w:t>Health NGO</w:t>
            </w:r>
          </w:p>
        </w:tc>
      </w:tr>
    </w:tbl>
    <w:p w14:paraId="30763FA8" w14:textId="77777777" w:rsidR="004A40EA" w:rsidRDefault="004A40EA" w:rsidP="00225F84"/>
    <w:p w14:paraId="30763FA9" w14:textId="77777777" w:rsidR="008A1644" w:rsidRPr="00FE4192" w:rsidRDefault="008A1644" w:rsidP="00740DB7">
      <w:pPr>
        <w:pStyle w:val="Heading4"/>
      </w:pPr>
      <w:r w:rsidRPr="00FE4192">
        <w:t>Allow for future crises</w:t>
      </w:r>
    </w:p>
    <w:p w14:paraId="30763FAA" w14:textId="77777777" w:rsidR="008A1644" w:rsidRPr="00C46772" w:rsidRDefault="008A1644" w:rsidP="00225F84">
      <w:pPr>
        <w:rPr>
          <w:lang w:eastAsia="en-NZ"/>
        </w:rPr>
      </w:pPr>
      <w:r>
        <w:rPr>
          <w:lang w:eastAsia="en-NZ"/>
        </w:rPr>
        <w:t>The</w:t>
      </w:r>
      <w:r w:rsidRPr="00C46772">
        <w:rPr>
          <w:lang w:eastAsia="en-NZ"/>
        </w:rPr>
        <w:t xml:space="preserve"> need to build community resilience </w:t>
      </w:r>
      <w:r>
        <w:rPr>
          <w:lang w:eastAsia="en-NZ"/>
        </w:rPr>
        <w:t xml:space="preserve">in anticipation of </w:t>
      </w:r>
      <w:r w:rsidRPr="00C46772">
        <w:rPr>
          <w:lang w:eastAsia="en-NZ"/>
        </w:rPr>
        <w:t>inevitable future crises</w:t>
      </w:r>
      <w:r>
        <w:rPr>
          <w:lang w:eastAsia="en-NZ"/>
        </w:rPr>
        <w:t xml:space="preserve"> was noted, as was the need for</w:t>
      </w:r>
      <w:r w:rsidRPr="00C46772">
        <w:rPr>
          <w:lang w:eastAsia="en-NZ"/>
        </w:rPr>
        <w:t xml:space="preserve"> </w:t>
      </w:r>
      <w:r>
        <w:rPr>
          <w:lang w:eastAsia="en-NZ"/>
        </w:rPr>
        <w:t xml:space="preserve">development of </w:t>
      </w:r>
      <w:r w:rsidRPr="00C46772">
        <w:rPr>
          <w:lang w:eastAsia="en-NZ"/>
        </w:rPr>
        <w:t xml:space="preserve">early intervention strategies </w:t>
      </w:r>
      <w:r>
        <w:rPr>
          <w:lang w:eastAsia="en-NZ"/>
        </w:rPr>
        <w:t xml:space="preserve">to address potential </w:t>
      </w:r>
      <w:r w:rsidRPr="00C46772">
        <w:rPr>
          <w:lang w:eastAsia="en-NZ"/>
        </w:rPr>
        <w:t xml:space="preserve">further waves of </w:t>
      </w:r>
      <w:r w:rsidR="00DA6633">
        <w:rPr>
          <w:lang w:eastAsia="en-NZ"/>
        </w:rPr>
        <w:t>COVID</w:t>
      </w:r>
      <w:r w:rsidR="00DA6633">
        <w:rPr>
          <w:lang w:eastAsia="en-NZ"/>
        </w:rPr>
        <w:noBreakHyphen/>
        <w:t>19</w:t>
      </w:r>
      <w:r>
        <w:rPr>
          <w:lang w:eastAsia="en-NZ"/>
        </w:rPr>
        <w:t>. This should include</w:t>
      </w:r>
      <w:r w:rsidRPr="00C46772">
        <w:rPr>
          <w:lang w:eastAsia="en-NZ"/>
        </w:rPr>
        <w:t xml:space="preserve"> plan</w:t>
      </w:r>
      <w:r>
        <w:rPr>
          <w:lang w:eastAsia="en-NZ"/>
        </w:rPr>
        <w:t>ning to ensure equity across population groups</w:t>
      </w:r>
      <w:r w:rsidRPr="00C46772">
        <w:rPr>
          <w:lang w:eastAsia="en-NZ"/>
        </w:rPr>
        <w:t>.</w:t>
      </w:r>
    </w:p>
    <w:p w14:paraId="30763FAB" w14:textId="77777777" w:rsidR="008A1644" w:rsidRDefault="008A1644" w:rsidP="00225F84"/>
    <w:p w14:paraId="30763FAC" w14:textId="77777777" w:rsidR="008A1644" w:rsidRPr="000047F6" w:rsidRDefault="008A1644" w:rsidP="00740DB7">
      <w:pPr>
        <w:pStyle w:val="Heading4"/>
      </w:pPr>
      <w:r w:rsidRPr="000047F6">
        <w:t>Updated data on impacts</w:t>
      </w:r>
    </w:p>
    <w:p w14:paraId="30763FAD" w14:textId="77777777" w:rsidR="008A1644" w:rsidRPr="00C46772" w:rsidRDefault="008A1644" w:rsidP="00225F84">
      <w:pPr>
        <w:rPr>
          <w:lang w:eastAsia="en-NZ"/>
        </w:rPr>
      </w:pPr>
      <w:r>
        <w:rPr>
          <w:lang w:eastAsia="en-NZ"/>
        </w:rPr>
        <w:t>Submitters noted that u</w:t>
      </w:r>
      <w:r w:rsidRPr="00C46772">
        <w:rPr>
          <w:lang w:eastAsia="en-NZ"/>
        </w:rPr>
        <w:t xml:space="preserve">pdated information on </w:t>
      </w:r>
      <w:r>
        <w:rPr>
          <w:lang w:eastAsia="en-NZ"/>
        </w:rPr>
        <w:t xml:space="preserve">the </w:t>
      </w:r>
      <w:r w:rsidRPr="00C46772">
        <w:rPr>
          <w:lang w:eastAsia="en-NZ"/>
        </w:rPr>
        <w:t xml:space="preserve">emerging and potential impacts of </w:t>
      </w:r>
      <w:r w:rsidR="00DA6633">
        <w:rPr>
          <w:lang w:eastAsia="en-NZ"/>
        </w:rPr>
        <w:t>COVID</w:t>
      </w:r>
      <w:r w:rsidR="00DA6633">
        <w:rPr>
          <w:lang w:eastAsia="en-NZ"/>
        </w:rPr>
        <w:noBreakHyphen/>
        <w:t>19</w:t>
      </w:r>
      <w:r w:rsidRPr="00C46772">
        <w:rPr>
          <w:lang w:eastAsia="en-NZ"/>
        </w:rPr>
        <w:t xml:space="preserve">, including impacts on </w:t>
      </w:r>
      <w:r>
        <w:rPr>
          <w:lang w:eastAsia="en-NZ"/>
        </w:rPr>
        <w:t xml:space="preserve">specific </w:t>
      </w:r>
      <w:r w:rsidRPr="00C46772">
        <w:rPr>
          <w:lang w:eastAsia="en-NZ"/>
        </w:rPr>
        <w:t xml:space="preserve">populations and services, </w:t>
      </w:r>
      <w:r>
        <w:rPr>
          <w:lang w:eastAsia="en-NZ"/>
        </w:rPr>
        <w:t>will be</w:t>
      </w:r>
      <w:r w:rsidRPr="00C46772">
        <w:rPr>
          <w:lang w:eastAsia="en-NZ"/>
        </w:rPr>
        <w:t xml:space="preserve"> </w:t>
      </w:r>
      <w:r>
        <w:rPr>
          <w:lang w:eastAsia="en-NZ"/>
        </w:rPr>
        <w:t xml:space="preserve">necessary to inform </w:t>
      </w:r>
      <w:r w:rsidRPr="00C46772">
        <w:rPr>
          <w:lang w:eastAsia="en-NZ"/>
        </w:rPr>
        <w:t>the next iteration</w:t>
      </w:r>
      <w:r>
        <w:rPr>
          <w:lang w:eastAsia="en-NZ"/>
        </w:rPr>
        <w:t xml:space="preserve"> of the Plan</w:t>
      </w:r>
      <w:r w:rsidRPr="00C46772">
        <w:rPr>
          <w:lang w:eastAsia="en-NZ"/>
        </w:rPr>
        <w:t>.</w:t>
      </w:r>
    </w:p>
    <w:p w14:paraId="30763FAE" w14:textId="77777777" w:rsidR="008A1644" w:rsidRDefault="008A1644" w:rsidP="00225F84"/>
    <w:p w14:paraId="30763FAF" w14:textId="77777777" w:rsidR="008A1644" w:rsidRPr="00D05D0A" w:rsidRDefault="008A1644" w:rsidP="00740DB7">
      <w:pPr>
        <w:pStyle w:val="Heading4"/>
      </w:pPr>
      <w:r w:rsidRPr="00D05D0A">
        <w:t>Engagement</w:t>
      </w:r>
    </w:p>
    <w:p w14:paraId="30763FB0" w14:textId="77777777" w:rsidR="008A1644" w:rsidRDefault="008A1644" w:rsidP="00225F84">
      <w:pPr>
        <w:rPr>
          <w:lang w:eastAsia="en-NZ"/>
        </w:rPr>
      </w:pPr>
      <w:r>
        <w:rPr>
          <w:lang w:eastAsia="en-NZ"/>
        </w:rPr>
        <w:t>Submitters emphasised that engagement in the evolving Plan should be ongoing, and should reflect the Treaty partnership, involve people with lived experience and focus on communicating progress widely. Collaborative planning needs to take place both nationally and locally.</w:t>
      </w:r>
    </w:p>
    <w:p w14:paraId="30763FB1" w14:textId="77777777" w:rsidR="008A1644" w:rsidRDefault="008A1644" w:rsidP="00225F84"/>
    <w:p w14:paraId="30763FB2" w14:textId="77777777" w:rsidR="00183207" w:rsidRDefault="008A1644" w:rsidP="00740DB7">
      <w:pPr>
        <w:pStyle w:val="Heading4"/>
      </w:pPr>
      <w:r w:rsidRPr="00013AE5">
        <w:lastRenderedPageBreak/>
        <w:t xml:space="preserve">More </w:t>
      </w:r>
      <w:r>
        <w:t xml:space="preserve">detailed </w:t>
      </w:r>
      <w:r w:rsidRPr="00013AE5">
        <w:t>implementation and actions</w:t>
      </w:r>
    </w:p>
    <w:p w14:paraId="30763FB3" w14:textId="77777777" w:rsidR="008A1644" w:rsidRDefault="008A1644" w:rsidP="00225F84">
      <w:r>
        <w:t>The most common feedback was that the Plan should include more detail about its implementation; for example, specific actions with assigned responsibilities, timing and sequencing, and detail about resourcing.</w:t>
      </w:r>
    </w:p>
    <w:p w14:paraId="30763FB4" w14:textId="77777777" w:rsidR="00225F84" w:rsidRDefault="00225F84" w:rsidP="00225F84">
      <w:pPr>
        <w:rPr>
          <w:i/>
        </w:rPr>
      </w:pPr>
    </w:p>
    <w:tbl>
      <w:tblPr>
        <w:tblStyle w:val="TableGrid"/>
        <w:tblW w:w="6946"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4E310D" w:rsidRPr="00975F08" w14:paraId="30763FB7" w14:textId="77777777" w:rsidTr="00A04D50">
        <w:trPr>
          <w:cantSplit/>
        </w:trPr>
        <w:tc>
          <w:tcPr>
            <w:tcW w:w="6946" w:type="dxa"/>
          </w:tcPr>
          <w:p w14:paraId="30763FB5" w14:textId="77777777" w:rsidR="004E310D" w:rsidRPr="00AC1435" w:rsidRDefault="004E310D" w:rsidP="004E310D">
            <w:pPr>
              <w:pStyle w:val="TableText"/>
              <w:spacing w:before="120" w:after="0"/>
            </w:pPr>
            <w:r w:rsidRPr="00AC1435">
              <w:t xml:space="preserve">Stagger the Plan with clear phases that highlight specific actions and expectations from key stakeholders. Include a communications strategy. Clarify the different leadership roles for various stakeholders including DHBs and </w:t>
            </w:r>
            <w:r>
              <w:t>c</w:t>
            </w:r>
            <w:r w:rsidRPr="00AC1435">
              <w:t>ouncils.</w:t>
            </w:r>
          </w:p>
          <w:p w14:paraId="30763FB6" w14:textId="77777777" w:rsidR="004E310D" w:rsidRDefault="004E310D" w:rsidP="004E310D">
            <w:pPr>
              <w:pStyle w:val="TableText"/>
              <w:spacing w:before="0"/>
              <w:jc w:val="right"/>
            </w:pPr>
            <w:r w:rsidRPr="000B0209">
              <w:t>Joint submission</w:t>
            </w:r>
          </w:p>
        </w:tc>
      </w:tr>
      <w:tr w:rsidR="004E310D" w:rsidRPr="00975F08" w14:paraId="30763FBA" w14:textId="77777777" w:rsidTr="00A04D50">
        <w:trPr>
          <w:cantSplit/>
        </w:trPr>
        <w:tc>
          <w:tcPr>
            <w:tcW w:w="6946" w:type="dxa"/>
          </w:tcPr>
          <w:p w14:paraId="30763FB8" w14:textId="77777777" w:rsidR="004E310D" w:rsidRDefault="004E310D" w:rsidP="004E310D">
            <w:pPr>
              <w:pStyle w:val="TableText"/>
              <w:spacing w:before="120" w:after="0"/>
            </w:pPr>
            <w:r>
              <w:t>What will be done differently across key areas of the DHB to realise these areas? What will need to stop? What will any funding be prioritised for?</w:t>
            </w:r>
          </w:p>
          <w:p w14:paraId="30763FB9" w14:textId="77777777" w:rsidR="004E310D" w:rsidRPr="00AC1435" w:rsidRDefault="004E310D" w:rsidP="004E310D">
            <w:pPr>
              <w:pStyle w:val="TableText"/>
              <w:spacing w:before="0"/>
              <w:jc w:val="right"/>
            </w:pPr>
            <w:r>
              <w:t>District Health Board</w:t>
            </w:r>
          </w:p>
        </w:tc>
      </w:tr>
    </w:tbl>
    <w:p w14:paraId="30763FBB" w14:textId="77777777" w:rsidR="004E310D" w:rsidRPr="004E310D" w:rsidRDefault="004E310D" w:rsidP="00225F84">
      <w:pPr>
        <w:rPr>
          <w:i/>
        </w:rPr>
      </w:pPr>
    </w:p>
    <w:p w14:paraId="30763FBC" w14:textId="77777777" w:rsidR="008A1644" w:rsidRPr="00DF5B4D" w:rsidRDefault="008A1644" w:rsidP="00740DB7">
      <w:pPr>
        <w:pStyle w:val="Heading4"/>
      </w:pPr>
      <w:r>
        <w:t>M</w:t>
      </w:r>
      <w:r w:rsidRPr="00DF5B4D">
        <w:t>easures</w:t>
      </w:r>
      <w:r>
        <w:t xml:space="preserve"> and monitoring</w:t>
      </w:r>
    </w:p>
    <w:p w14:paraId="30763FBD" w14:textId="77777777" w:rsidR="008A1644" w:rsidRDefault="008A1644" w:rsidP="00225F84">
      <w:r>
        <w:t>In terms of implementation, submitters requested that the Ministry develop measures for key actions and for monitoring/evaluation of progress.</w:t>
      </w:r>
    </w:p>
    <w:p w14:paraId="30763FBE" w14:textId="77777777" w:rsidR="00225F84" w:rsidRDefault="00225F84" w:rsidP="00225F84"/>
    <w:tbl>
      <w:tblPr>
        <w:tblStyle w:val="TableGrid"/>
        <w:tblW w:w="6946" w:type="dxa"/>
        <w:tblInd w:w="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6"/>
      </w:tblGrid>
      <w:tr w:rsidR="004E310D" w:rsidRPr="00975F08" w14:paraId="30763FC1" w14:textId="77777777" w:rsidTr="00A04D50">
        <w:trPr>
          <w:cantSplit/>
        </w:trPr>
        <w:tc>
          <w:tcPr>
            <w:tcW w:w="6946" w:type="dxa"/>
          </w:tcPr>
          <w:p w14:paraId="30763FBF" w14:textId="77777777" w:rsidR="004E310D" w:rsidRDefault="004E310D" w:rsidP="004E310D">
            <w:pPr>
              <w:pStyle w:val="TableText"/>
              <w:spacing w:before="120" w:after="0"/>
            </w:pPr>
            <w:r>
              <w:t>Continuous monitoring is needed to ensure the supports in place are achieving what they are designed to do and absorbing feedback once the model is up and running.</w:t>
            </w:r>
          </w:p>
          <w:p w14:paraId="30763FC0" w14:textId="77777777" w:rsidR="004E310D" w:rsidRDefault="004E310D" w:rsidP="004E310D">
            <w:pPr>
              <w:pStyle w:val="TableText"/>
              <w:spacing w:before="0"/>
              <w:jc w:val="right"/>
            </w:pPr>
            <w:r>
              <w:t>Government agency</w:t>
            </w:r>
          </w:p>
        </w:tc>
      </w:tr>
    </w:tbl>
    <w:p w14:paraId="30763FC2" w14:textId="77777777" w:rsidR="004E310D" w:rsidRDefault="004E310D" w:rsidP="00225F84"/>
    <w:p w14:paraId="30763FC3" w14:textId="77777777" w:rsidR="00183207" w:rsidRDefault="008A1644" w:rsidP="008A1644">
      <w:pPr>
        <w:pStyle w:val="Heading1"/>
      </w:pPr>
      <w:bookmarkStart w:id="14" w:name="_Toc52284902"/>
      <w:r>
        <w:lastRenderedPageBreak/>
        <w:t>Next steps</w:t>
      </w:r>
      <w:bookmarkEnd w:id="14"/>
    </w:p>
    <w:p w14:paraId="30763FC4" w14:textId="77777777" w:rsidR="008A1644" w:rsidRDefault="008A1644" w:rsidP="00225F84">
      <w:r>
        <w:t xml:space="preserve">The Ministry is developing a further iteration of the Plan that </w:t>
      </w:r>
      <w:proofErr w:type="gramStart"/>
      <w:r>
        <w:t>takes into account</w:t>
      </w:r>
      <w:proofErr w:type="gramEnd"/>
      <w:r>
        <w:t xml:space="preserve"> the feedback provided. This is due to be released before the end of 2020.</w:t>
      </w:r>
    </w:p>
    <w:p w14:paraId="30763FC5" w14:textId="77777777" w:rsidR="008A1644" w:rsidRDefault="008A1644" w:rsidP="00225F84"/>
    <w:p w14:paraId="30763FC6" w14:textId="77777777" w:rsidR="009D3ABC" w:rsidRDefault="009D3ABC" w:rsidP="00225F84">
      <w:pPr>
        <w:pStyle w:val="Heading1"/>
        <w:sectPr w:rsidR="009D3ABC" w:rsidSect="002B7BEC">
          <w:footerReference w:type="even" r:id="rId19"/>
          <w:footerReference w:type="default" r:id="rId20"/>
          <w:pgSz w:w="11907" w:h="16834" w:code="9"/>
          <w:pgMar w:top="1418" w:right="1701" w:bottom="1134" w:left="1843" w:header="284" w:footer="425" w:gutter="284"/>
          <w:pgNumType w:start="1"/>
          <w:cols w:space="720"/>
          <w:docGrid w:linePitch="286"/>
        </w:sectPr>
      </w:pPr>
    </w:p>
    <w:p w14:paraId="30763FC7" w14:textId="77777777" w:rsidR="008A1644" w:rsidRPr="00E9478A" w:rsidRDefault="008A1644" w:rsidP="00800122">
      <w:pPr>
        <w:pStyle w:val="Heading1"/>
        <w:spacing w:after="120"/>
        <w:rPr>
          <w:sz w:val="48"/>
          <w:szCs w:val="48"/>
        </w:rPr>
      </w:pPr>
      <w:bookmarkStart w:id="15" w:name="_Toc52284903"/>
      <w:r w:rsidRPr="00E9478A">
        <w:rPr>
          <w:sz w:val="48"/>
          <w:szCs w:val="48"/>
        </w:rPr>
        <w:lastRenderedPageBreak/>
        <w:t>Appendix A:</w:t>
      </w:r>
      <w:r w:rsidR="00E9478A">
        <w:rPr>
          <w:sz w:val="48"/>
          <w:szCs w:val="48"/>
        </w:rPr>
        <w:t xml:space="preserve"> </w:t>
      </w:r>
      <w:r w:rsidR="00DA6633" w:rsidRPr="00E9478A">
        <w:rPr>
          <w:sz w:val="48"/>
          <w:szCs w:val="48"/>
        </w:rPr>
        <w:t>COVID</w:t>
      </w:r>
      <w:r w:rsidR="00DA6633" w:rsidRPr="00E9478A">
        <w:rPr>
          <w:sz w:val="48"/>
          <w:szCs w:val="48"/>
        </w:rPr>
        <w:noBreakHyphen/>
        <w:t>19</w:t>
      </w:r>
      <w:r w:rsidRPr="00E9478A">
        <w:rPr>
          <w:sz w:val="48"/>
          <w:szCs w:val="48"/>
        </w:rPr>
        <w:t xml:space="preserve"> Psychosocial and Mental Wellbeing Recovery Framework, May 2020</w:t>
      </w:r>
      <w:bookmarkEnd w:id="15"/>
    </w:p>
    <w:p w14:paraId="30763FC8" w14:textId="77777777" w:rsidR="000B0B72" w:rsidRPr="00E9478A" w:rsidRDefault="008A1644" w:rsidP="00685AF2">
      <w:r>
        <w:rPr>
          <w:noProof/>
          <w:lang w:eastAsia="en-NZ"/>
        </w:rPr>
        <w:drawing>
          <wp:inline distT="0" distB="0" distL="0" distR="0" wp14:anchorId="30763FCD" wp14:editId="30763FCE">
            <wp:extent cx="8362604" cy="4993643"/>
            <wp:effectExtent l="0" t="0" r="635" b="0"/>
            <wp:docPr id="8" name="Picture 8" descr="COVID-19 Psychosocial and Mental Wellbeing Recovery Framework&#10;&#10;Principles: People- and whanau-centered, community-led, uphold Te Tiriti o Waitangi, achieve equity, protect human rights, work together.&#10;&#10;Focus areas and outcomes:&#10;Collectively build the social and economic foundations for psychosocial and mental wellbeing: Whanau and communities have the resources and supportive environments on which psychosocial and mental wellbeing is built.&#10;Empower community-led response and recovery: Whanau and communities are supported to respond to mental distress and lead recovery solutions.&#10;Equip people to look after their own mental wellbeing: People know how to look after their mental wellbeing and know where to get help if they need it.&#10;Strengthen primary mental health and addiction support in communities: Whanau and communities have free and easy access to mental wellbeing support services in their communities.&#10;Support specialist services: People with severe mental distress and addictions and their whanau, get high quality and timely mental health and addiction support.&#10;&#10;Goal: Protect and enhance people's mental wellbeing so that they can adapt and thrive after their lives have been disrupted by the COVID-19 pandemic.&#10;&#10;Vision: An equitable and thriving New Zealand in which mental wellbing is promoted and protected, and high-quality mental health and addiction support can be easily accessed. &#10;&#10;Government priority: Improve the wellbeing of New Zealanders and their families. We want every New Zealander to have access to world-class education and healthcare, live in a home that is health and in a community that is safe, and to realise their potential.&#10;&#10;Enablers: Workforce capacity and capability; policy, regulation, information an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593" t="5364" r="593" b="728"/>
                    <a:stretch/>
                  </pic:blipFill>
                  <pic:spPr bwMode="auto">
                    <a:xfrm>
                      <a:off x="0" y="0"/>
                      <a:ext cx="8373182" cy="4999959"/>
                    </a:xfrm>
                    <a:prstGeom prst="rect">
                      <a:avLst/>
                    </a:prstGeom>
                    <a:ln>
                      <a:noFill/>
                    </a:ln>
                    <a:extLst>
                      <a:ext uri="{53640926-AAD7-44D8-BBD7-CCE9431645EC}">
                        <a14:shadowObscured xmlns:a14="http://schemas.microsoft.com/office/drawing/2010/main"/>
                      </a:ext>
                    </a:extLst>
                  </pic:spPr>
                </pic:pic>
              </a:graphicData>
            </a:graphic>
          </wp:inline>
        </w:drawing>
      </w:r>
    </w:p>
    <w:sectPr w:rsidR="000B0B72" w:rsidRPr="00E9478A" w:rsidSect="009D3ABC">
      <w:pgSz w:w="16834" w:h="11907" w:orient="landscape" w:code="9"/>
      <w:pgMar w:top="1134" w:right="1134" w:bottom="1134" w:left="1134" w:header="284" w:footer="42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3882B" w14:textId="77777777" w:rsidR="00FE7DCA" w:rsidRDefault="00FE7DCA">
      <w:r>
        <w:separator/>
      </w:r>
    </w:p>
    <w:p w14:paraId="3A9BAF0A" w14:textId="77777777" w:rsidR="00FE7DCA" w:rsidRDefault="00FE7DCA"/>
  </w:endnote>
  <w:endnote w:type="continuationSeparator" w:id="0">
    <w:p w14:paraId="16622AFA" w14:textId="77777777" w:rsidR="00FE7DCA" w:rsidRDefault="00FE7DCA">
      <w:r>
        <w:continuationSeparator/>
      </w:r>
    </w:p>
    <w:p w14:paraId="4F1770F1" w14:textId="77777777" w:rsidR="00FE7DCA" w:rsidRDefault="00FE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3FDA" w14:textId="77777777" w:rsidR="00105770" w:rsidRPr="00581136" w:rsidRDefault="00105770" w:rsidP="005A79E5">
    <w:pPr>
      <w:pStyle w:val="Footer"/>
      <w:pBdr>
        <w:bottom w:val="single" w:sz="4" w:space="1" w:color="auto"/>
      </w:pBdr>
      <w:tabs>
        <w:tab w:val="right" w:pos="9639"/>
      </w:tabs>
      <w:rPr>
        <w:b/>
      </w:rPr>
    </w:pPr>
    <w:r w:rsidRPr="00581136">
      <w:rPr>
        <w:b/>
      </w:rPr>
      <w:t>Released 20</w:t>
    </w:r>
    <w:r w:rsidR="00FB0A5B">
      <w:rPr>
        <w:b/>
      </w:rPr>
      <w:t>20</w:t>
    </w:r>
    <w:r w:rsidRPr="00581136">
      <w:rPr>
        <w:b/>
      </w:rPr>
      <w:tab/>
      <w:t>health.govt.nz</w:t>
    </w:r>
  </w:p>
  <w:p w14:paraId="30763FDB" w14:textId="77777777" w:rsidR="00105770" w:rsidRPr="005A79E5" w:rsidRDefault="001057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3FDC" w14:textId="77777777" w:rsidR="00105770" w:rsidRDefault="00105770"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3FDD" w14:textId="77777777" w:rsidR="00105770" w:rsidRDefault="00105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105770" w14:paraId="30763FE2" w14:textId="77777777" w:rsidTr="00D662F8">
      <w:trPr>
        <w:cantSplit/>
      </w:trPr>
      <w:tc>
        <w:tcPr>
          <w:tcW w:w="709" w:type="dxa"/>
          <w:vAlign w:val="center"/>
        </w:tcPr>
        <w:p w14:paraId="30763FE0" w14:textId="77777777" w:rsidR="00105770" w:rsidRPr="00931466" w:rsidRDefault="0010577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B0B72">
            <w:rPr>
              <w:rStyle w:val="PageNumber"/>
              <w:noProof/>
            </w:rPr>
            <w:t>iv</w:t>
          </w:r>
          <w:r w:rsidRPr="00931466">
            <w:rPr>
              <w:rStyle w:val="PageNumber"/>
            </w:rPr>
            <w:fldChar w:fldCharType="end"/>
          </w:r>
        </w:p>
      </w:tc>
      <w:tc>
        <w:tcPr>
          <w:tcW w:w="8080" w:type="dxa"/>
          <w:vAlign w:val="center"/>
        </w:tcPr>
        <w:p w14:paraId="30763FE1" w14:textId="77777777" w:rsidR="00105770" w:rsidRDefault="00524B07" w:rsidP="00524B07">
          <w:pPr>
            <w:pStyle w:val="RectoFooter"/>
            <w:jc w:val="left"/>
          </w:pPr>
          <w:r>
            <w:t>summary of feedback: Kia Kaha, Kia Māia, Kia Ora Aotearoa:</w:t>
          </w:r>
          <w:r>
            <w:br/>
            <w:t>COVID</w:t>
          </w:r>
          <w:r>
            <w:noBreakHyphen/>
            <w:t>19 Psychosocial and Mental Wellbeing Recovery Plan</w:t>
          </w:r>
        </w:p>
      </w:tc>
    </w:tr>
  </w:tbl>
  <w:p w14:paraId="30763FE3" w14:textId="77777777" w:rsidR="00105770" w:rsidRPr="00571223" w:rsidRDefault="00105770"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30763FE7" w14:textId="77777777" w:rsidTr="006E2886">
      <w:trPr>
        <w:cantSplit/>
      </w:trPr>
      <w:tc>
        <w:tcPr>
          <w:tcW w:w="8080" w:type="dxa"/>
          <w:vAlign w:val="center"/>
        </w:tcPr>
        <w:p w14:paraId="30763FE4" w14:textId="77777777" w:rsidR="008A1644" w:rsidRDefault="008A1644" w:rsidP="008A1644">
          <w:pPr>
            <w:pStyle w:val="RectoFooter"/>
          </w:pPr>
          <w:r>
            <w:t>summary of feedback: Kia Kaha, Kia Māia, Kia Ora Aotearoa:</w:t>
          </w:r>
        </w:p>
        <w:p w14:paraId="30763FE5" w14:textId="77777777" w:rsidR="00105770" w:rsidRDefault="00DA6633" w:rsidP="008A1644">
          <w:pPr>
            <w:pStyle w:val="RectoFooter"/>
          </w:pPr>
          <w:r>
            <w:t>COVID</w:t>
          </w:r>
          <w:r>
            <w:noBreakHyphen/>
            <w:t>19</w:t>
          </w:r>
          <w:r w:rsidR="008A1644">
            <w:t xml:space="preserve"> Psychosocial and Mental Wellbeing Recovery Plan</w:t>
          </w:r>
        </w:p>
      </w:tc>
      <w:tc>
        <w:tcPr>
          <w:tcW w:w="709" w:type="dxa"/>
          <w:vAlign w:val="center"/>
        </w:tcPr>
        <w:p w14:paraId="30763FE6"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B0B72">
            <w:rPr>
              <w:rStyle w:val="PageNumber"/>
              <w:noProof/>
            </w:rPr>
            <w:t>iii</w:t>
          </w:r>
          <w:r w:rsidRPr="00931466">
            <w:rPr>
              <w:rStyle w:val="PageNumber"/>
            </w:rPr>
            <w:fldChar w:fldCharType="end"/>
          </w:r>
        </w:p>
      </w:tc>
    </w:tr>
  </w:tbl>
  <w:p w14:paraId="30763FE8" w14:textId="77777777" w:rsidR="00105770" w:rsidRPr="00581EB8" w:rsidRDefault="00105770"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105770" w14:paraId="30763FEB" w14:textId="77777777" w:rsidTr="006E2886">
      <w:trPr>
        <w:cantSplit/>
      </w:trPr>
      <w:tc>
        <w:tcPr>
          <w:tcW w:w="675" w:type="dxa"/>
          <w:vAlign w:val="center"/>
        </w:tcPr>
        <w:p w14:paraId="30763FE9" w14:textId="77777777" w:rsidR="00105770" w:rsidRPr="00931466" w:rsidRDefault="00105770"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B0B72">
            <w:rPr>
              <w:rStyle w:val="PageNumber"/>
              <w:noProof/>
            </w:rPr>
            <w:t>22</w:t>
          </w:r>
          <w:r w:rsidRPr="00931466">
            <w:rPr>
              <w:rStyle w:val="PageNumber"/>
            </w:rPr>
            <w:fldChar w:fldCharType="end"/>
          </w:r>
        </w:p>
      </w:tc>
      <w:tc>
        <w:tcPr>
          <w:tcW w:w="9072" w:type="dxa"/>
          <w:vAlign w:val="center"/>
        </w:tcPr>
        <w:p w14:paraId="30763FEA" w14:textId="77777777" w:rsidR="00105770" w:rsidRDefault="008A1644" w:rsidP="008A1644">
          <w:pPr>
            <w:pStyle w:val="RectoFooter"/>
            <w:jc w:val="left"/>
          </w:pPr>
          <w:r>
            <w:t>summary of feedback: Kia Kaha, Kia Māia, Kia Ora Aotearoa:</w:t>
          </w:r>
          <w:r>
            <w:br/>
          </w:r>
          <w:r w:rsidR="00DA6633">
            <w:t>COVID</w:t>
          </w:r>
          <w:r w:rsidR="00DA6633">
            <w:noBreakHyphen/>
            <w:t>19</w:t>
          </w:r>
          <w:r>
            <w:t xml:space="preserve"> Psychosocial and Mental Wellbeing Recovery Plan</w:t>
          </w:r>
        </w:p>
      </w:tc>
    </w:tr>
  </w:tbl>
  <w:p w14:paraId="30763FEC" w14:textId="77777777" w:rsidR="00105770" w:rsidRPr="00571223" w:rsidRDefault="0010577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105770" w14:paraId="30763FF0" w14:textId="77777777" w:rsidTr="006E2886">
      <w:trPr>
        <w:cantSplit/>
      </w:trPr>
      <w:tc>
        <w:tcPr>
          <w:tcW w:w="8080" w:type="dxa"/>
          <w:vAlign w:val="center"/>
        </w:tcPr>
        <w:p w14:paraId="30763FED" w14:textId="77777777" w:rsidR="008A1644" w:rsidRDefault="008A1644" w:rsidP="008A1644">
          <w:pPr>
            <w:pStyle w:val="RectoFooter"/>
          </w:pPr>
          <w:r>
            <w:t>summary of feedback: Kia Kaha, Kia Māia, Kia Ora Aotearoa:</w:t>
          </w:r>
        </w:p>
        <w:p w14:paraId="30763FEE" w14:textId="77777777" w:rsidR="00105770" w:rsidRDefault="00DA6633" w:rsidP="008A1644">
          <w:pPr>
            <w:pStyle w:val="RectoFooter"/>
          </w:pPr>
          <w:r>
            <w:t>COVID</w:t>
          </w:r>
          <w:r>
            <w:noBreakHyphen/>
            <w:t>19</w:t>
          </w:r>
          <w:r w:rsidR="008A1644">
            <w:t xml:space="preserve"> Psychosocial and Mental Wellbeing Recovery Plan</w:t>
          </w:r>
        </w:p>
      </w:tc>
      <w:tc>
        <w:tcPr>
          <w:tcW w:w="709" w:type="dxa"/>
          <w:vAlign w:val="center"/>
        </w:tcPr>
        <w:p w14:paraId="30763FEF" w14:textId="77777777" w:rsidR="00105770" w:rsidRPr="00931466" w:rsidRDefault="0010577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0B0B72">
            <w:rPr>
              <w:rStyle w:val="PageNumber"/>
              <w:noProof/>
            </w:rPr>
            <w:t>21</w:t>
          </w:r>
          <w:r w:rsidRPr="00931466">
            <w:rPr>
              <w:rStyle w:val="PageNumber"/>
            </w:rPr>
            <w:fldChar w:fldCharType="end"/>
          </w:r>
        </w:p>
      </w:tc>
    </w:tr>
  </w:tbl>
  <w:p w14:paraId="30763FF1" w14:textId="77777777" w:rsidR="00105770" w:rsidRPr="00581EB8" w:rsidRDefault="001057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3DCE" w14:textId="77777777" w:rsidR="00FE7DCA" w:rsidRPr="00A26E6B" w:rsidRDefault="00FE7DCA" w:rsidP="00A26E6B"/>
  </w:footnote>
  <w:footnote w:type="continuationSeparator" w:id="0">
    <w:p w14:paraId="4019E633" w14:textId="77777777" w:rsidR="00FE7DCA" w:rsidRDefault="00FE7DCA">
      <w:r>
        <w:continuationSeparator/>
      </w:r>
    </w:p>
    <w:p w14:paraId="3CA0F6CA" w14:textId="77777777" w:rsidR="00FE7DCA" w:rsidRDefault="00FE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105770" w14:paraId="30763FD8" w14:textId="77777777" w:rsidTr="005A79E5">
      <w:trPr>
        <w:cantSplit/>
      </w:trPr>
      <w:tc>
        <w:tcPr>
          <w:tcW w:w="5210" w:type="dxa"/>
        </w:tcPr>
        <w:p w14:paraId="30763FD6" w14:textId="77777777" w:rsidR="00105770" w:rsidRDefault="00105770" w:rsidP="008814E8">
          <w:pPr>
            <w:pStyle w:val="Header"/>
          </w:pPr>
          <w:r>
            <w:rPr>
              <w:noProof/>
              <w:lang w:eastAsia="en-NZ"/>
            </w:rPr>
            <w:drawing>
              <wp:inline distT="0" distB="0" distL="0" distR="0" wp14:anchorId="30763FF2" wp14:editId="38C6D8F5">
                <wp:extent cx="1395076" cy="573578"/>
                <wp:effectExtent l="0" t="0" r="0" b="0"/>
                <wp:docPr id="5" name="Picture 5" descr="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0763FD7" w14:textId="77777777" w:rsidR="00105770" w:rsidRDefault="00105770" w:rsidP="008814E8">
          <w:pPr>
            <w:pStyle w:val="Header"/>
            <w:jc w:val="right"/>
          </w:pPr>
          <w:r>
            <w:rPr>
              <w:noProof/>
              <w:lang w:eastAsia="en-NZ"/>
            </w:rPr>
            <w:drawing>
              <wp:inline distT="0" distB="0" distL="0" distR="0" wp14:anchorId="30763FF4" wp14:editId="41FE9A69">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30763FD9" w14:textId="77777777" w:rsidR="00105770" w:rsidRDefault="0010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3FDE" w14:textId="77777777" w:rsidR="00105770" w:rsidRDefault="0010577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3FDF" w14:textId="77777777" w:rsidR="00105770" w:rsidRDefault="0010577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3F01"/>
    <w:rsid w:val="00094800"/>
    <w:rsid w:val="000A0158"/>
    <w:rsid w:val="000A373D"/>
    <w:rsid w:val="000A41ED"/>
    <w:rsid w:val="000B0730"/>
    <w:rsid w:val="000B0B72"/>
    <w:rsid w:val="000D19F4"/>
    <w:rsid w:val="000D33E1"/>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4D6B"/>
    <w:rsid w:val="001460E0"/>
    <w:rsid w:val="001472F0"/>
    <w:rsid w:val="00147F71"/>
    <w:rsid w:val="00150A6E"/>
    <w:rsid w:val="0016304B"/>
    <w:rsid w:val="0016318F"/>
    <w:rsid w:val="0016468A"/>
    <w:rsid w:val="0017070E"/>
    <w:rsid w:val="00174F02"/>
    <w:rsid w:val="00183207"/>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25F84"/>
    <w:rsid w:val="00232E9F"/>
    <w:rsid w:val="00245748"/>
    <w:rsid w:val="00246DB1"/>
    <w:rsid w:val="00247435"/>
    <w:rsid w:val="002476B5"/>
    <w:rsid w:val="002520CC"/>
    <w:rsid w:val="00253ECF"/>
    <w:rsid w:val="00254044"/>
    <w:rsid w:val="002546A1"/>
    <w:rsid w:val="002575E8"/>
    <w:rsid w:val="00257EF1"/>
    <w:rsid w:val="002628F4"/>
    <w:rsid w:val="00275D08"/>
    <w:rsid w:val="00277101"/>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60E7"/>
    <w:rsid w:val="0031739E"/>
    <w:rsid w:val="00317DA3"/>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17BE"/>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52AB"/>
    <w:rsid w:val="00487C04"/>
    <w:rsid w:val="004907E1"/>
    <w:rsid w:val="00494C8E"/>
    <w:rsid w:val="00496AA0"/>
    <w:rsid w:val="004A035B"/>
    <w:rsid w:val="004A13E9"/>
    <w:rsid w:val="004A2108"/>
    <w:rsid w:val="004A38D7"/>
    <w:rsid w:val="004A40EA"/>
    <w:rsid w:val="004A778C"/>
    <w:rsid w:val="004B14DD"/>
    <w:rsid w:val="004B48C7"/>
    <w:rsid w:val="004C2E6A"/>
    <w:rsid w:val="004C64B8"/>
    <w:rsid w:val="004D2A2D"/>
    <w:rsid w:val="004D479F"/>
    <w:rsid w:val="004D6689"/>
    <w:rsid w:val="004E1D1D"/>
    <w:rsid w:val="004E310D"/>
    <w:rsid w:val="004E7AC8"/>
    <w:rsid w:val="004F05F4"/>
    <w:rsid w:val="004F0C94"/>
    <w:rsid w:val="005019AE"/>
    <w:rsid w:val="00503749"/>
    <w:rsid w:val="00503D59"/>
    <w:rsid w:val="00504CF4"/>
    <w:rsid w:val="0050635B"/>
    <w:rsid w:val="005075B3"/>
    <w:rsid w:val="005151C2"/>
    <w:rsid w:val="00524B07"/>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79E5"/>
    <w:rsid w:val="005D034C"/>
    <w:rsid w:val="005E226E"/>
    <w:rsid w:val="005E2636"/>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5AF2"/>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2C49"/>
    <w:rsid w:val="006D63E5"/>
    <w:rsid w:val="006E1753"/>
    <w:rsid w:val="006E2886"/>
    <w:rsid w:val="006E3911"/>
    <w:rsid w:val="006E3A63"/>
    <w:rsid w:val="006E69F4"/>
    <w:rsid w:val="006F1B67"/>
    <w:rsid w:val="006F4D9C"/>
    <w:rsid w:val="0070091D"/>
    <w:rsid w:val="00702854"/>
    <w:rsid w:val="0071741C"/>
    <w:rsid w:val="00740DB7"/>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C1E"/>
    <w:rsid w:val="007B4D3E"/>
    <w:rsid w:val="007B7C70"/>
    <w:rsid w:val="007B7DEB"/>
    <w:rsid w:val="007C0449"/>
    <w:rsid w:val="007C394F"/>
    <w:rsid w:val="007C43B6"/>
    <w:rsid w:val="007D11CC"/>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122"/>
    <w:rsid w:val="00800A8A"/>
    <w:rsid w:val="0080155C"/>
    <w:rsid w:val="008052E1"/>
    <w:rsid w:val="00811EEB"/>
    <w:rsid w:val="0082081A"/>
    <w:rsid w:val="00822F2C"/>
    <w:rsid w:val="00823DEE"/>
    <w:rsid w:val="008305E8"/>
    <w:rsid w:val="00836165"/>
    <w:rsid w:val="008365B2"/>
    <w:rsid w:val="00837A8B"/>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1644"/>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02E3"/>
    <w:rsid w:val="00902F55"/>
    <w:rsid w:val="0090582B"/>
    <w:rsid w:val="009060C0"/>
    <w:rsid w:val="009133F5"/>
    <w:rsid w:val="0091756F"/>
    <w:rsid w:val="00920A27"/>
    <w:rsid w:val="00921216"/>
    <w:rsid w:val="0092146C"/>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64AB6"/>
    <w:rsid w:val="00966F9A"/>
    <w:rsid w:val="00975F08"/>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3ABC"/>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3AC"/>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1295"/>
    <w:rsid w:val="00A7415D"/>
    <w:rsid w:val="00A80363"/>
    <w:rsid w:val="00A80939"/>
    <w:rsid w:val="00A83E9D"/>
    <w:rsid w:val="00A87C05"/>
    <w:rsid w:val="00A900A4"/>
    <w:rsid w:val="00A9169D"/>
    <w:rsid w:val="00A93598"/>
    <w:rsid w:val="00A97A3A"/>
    <w:rsid w:val="00AA240C"/>
    <w:rsid w:val="00AA2832"/>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2441A"/>
    <w:rsid w:val="00C3026C"/>
    <w:rsid w:val="00C313A9"/>
    <w:rsid w:val="00C347C8"/>
    <w:rsid w:val="00C358E4"/>
    <w:rsid w:val="00C418EE"/>
    <w:rsid w:val="00C441CF"/>
    <w:rsid w:val="00C45AA2"/>
    <w:rsid w:val="00C4792C"/>
    <w:rsid w:val="00C51C40"/>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E13A3"/>
    <w:rsid w:val="00CE36BC"/>
    <w:rsid w:val="00CF1747"/>
    <w:rsid w:val="00CF553B"/>
    <w:rsid w:val="00CF60ED"/>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31B4"/>
    <w:rsid w:val="00D863D0"/>
    <w:rsid w:val="00D86B00"/>
    <w:rsid w:val="00D86FB9"/>
    <w:rsid w:val="00D87C87"/>
    <w:rsid w:val="00D90BB4"/>
    <w:rsid w:val="00D90E07"/>
    <w:rsid w:val="00D932C2"/>
    <w:rsid w:val="00DA0232"/>
    <w:rsid w:val="00DA6633"/>
    <w:rsid w:val="00DA7F9E"/>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3BA6"/>
    <w:rsid w:val="00E4486C"/>
    <w:rsid w:val="00E460B6"/>
    <w:rsid w:val="00E511D5"/>
    <w:rsid w:val="00E53A9F"/>
    <w:rsid w:val="00E57349"/>
    <w:rsid w:val="00E60249"/>
    <w:rsid w:val="00E62238"/>
    <w:rsid w:val="00E65269"/>
    <w:rsid w:val="00E76D66"/>
    <w:rsid w:val="00E9478A"/>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E7DCA"/>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763E1F"/>
  <w15:docId w15:val="{CDAB2021-FBBA-4DEA-ABA5-46B69751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rsid w:val="00975F08"/>
    <w:pPr>
      <w:pBdr>
        <w:top w:val="single" w:sz="4" w:space="6" w:color="A6A6A6" w:themeColor="background1" w:themeShade="A6"/>
        <w:bottom w:val="single" w:sz="4" w:space="6" w:color="A6A6A6" w:themeColor="background1" w:themeShade="A6"/>
      </w:pBdr>
      <w:spacing w:before="240"/>
      <w:ind w:left="284" w:right="284"/>
    </w:pPr>
  </w:style>
  <w:style w:type="character" w:customStyle="1" w:styleId="QuoteChar">
    <w:name w:val="Quote Char"/>
    <w:link w:val="Quote"/>
    <w:rsid w:val="00975F08"/>
    <w:rPr>
      <w:rFonts w:ascii="Segoe UI" w:hAnsi="Segoe UI"/>
      <w:sz w:val="21"/>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8A16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1C40"/>
    <w:rPr>
      <w:rFonts w:cs="Segoe UI"/>
      <w:sz w:val="18"/>
      <w:szCs w:val="18"/>
    </w:rPr>
  </w:style>
  <w:style w:type="character" w:customStyle="1" w:styleId="BalloonTextChar">
    <w:name w:val="Balloon Text Char"/>
    <w:basedOn w:val="DefaultParagraphFont"/>
    <w:link w:val="BalloonText"/>
    <w:uiPriority w:val="99"/>
    <w:semiHidden/>
    <w:rsid w:val="00C51C40"/>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entalhealth.inquiry.govt.nz/inquiry-report/he-ara-oranga"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B60C7-43DC-4A45-A908-DB620CD6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23</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Summary of Feedback: Kia Kaha, Kia Māia, Kia Ora Aotearoa: COVID 19 Psychosocial and Mental Wellbeing Recovery Plan</vt:lpstr>
    </vt:vector>
  </TitlesOfParts>
  <Company>Microsoft</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Feedback: Kia Kaha, Kia Māia, Kia Ora Aotearoa: COVID 19 Psychosocial and Mental Wellbeing Recovery Plan</dc:title>
  <dc:creator>Ministry of Health</dc:creator>
  <cp:lastModifiedBy>Geneva Ruppert-Wise</cp:lastModifiedBy>
  <cp:revision>4</cp:revision>
  <cp:lastPrinted>2020-09-30T02:59:00Z</cp:lastPrinted>
  <dcterms:created xsi:type="dcterms:W3CDTF">2020-09-30T02:58:00Z</dcterms:created>
  <dcterms:modified xsi:type="dcterms:W3CDTF">2020-09-30T02:59:00Z</dcterms:modified>
</cp:coreProperties>
</file>