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0E0" w:rsidRDefault="00C96CC7" w:rsidP="00D03F60">
      <w:pPr>
        <w:ind w:left="284"/>
        <w:jc w:val="center"/>
        <w:rPr>
          <w:rFonts w:ascii="Arial Narrow" w:hAnsi="Arial Narrow"/>
          <w:b/>
          <w:sz w:val="64"/>
          <w:szCs w:val="64"/>
        </w:rPr>
      </w:pPr>
      <w:r>
        <w:rPr>
          <w:rFonts w:ascii="Arial Narrow" w:hAnsi="Arial Narrow"/>
          <w:b/>
          <w:noProof/>
          <w:sz w:val="64"/>
          <w:szCs w:val="64"/>
          <w:lang w:eastAsia="en-NZ"/>
        </w:rPr>
        <mc:AlternateContent>
          <mc:Choice Requires="wps">
            <w:drawing>
              <wp:anchor distT="0" distB="0" distL="114300" distR="114300" simplePos="0" relativeHeight="251659264" behindDoc="0" locked="0" layoutInCell="1" allowOverlap="1" wp14:anchorId="15721BE2" wp14:editId="55A45D94">
                <wp:simplePos x="0" y="0"/>
                <wp:positionH relativeFrom="column">
                  <wp:posOffset>-952102</wp:posOffset>
                </wp:positionH>
                <wp:positionV relativeFrom="paragraph">
                  <wp:posOffset>-1908175</wp:posOffset>
                </wp:positionV>
                <wp:extent cx="968925" cy="10768084"/>
                <wp:effectExtent l="0" t="0" r="22225" b="1460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68925" cy="10768084"/>
                        </a:xfrm>
                        <a:prstGeom prst="rect">
                          <a:avLst/>
                        </a:prstGeom>
                        <a:solidFill>
                          <a:srgbClr val="5E84BA"/>
                        </a:solidFill>
                        <a:ln>
                          <a:solidFill>
                            <a:srgbClr val="5E84B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1E377" id="Rectangle 1" o:spid="_x0000_s1026" style="position:absolute;margin-left:-74.95pt;margin-top:-150.25pt;width:76.3pt;height:84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" fillcolor="#5e84ba" strokecolor="#5e84ba" strokeweight="2pt"/>
            </w:pict>
          </mc:Fallback>
        </mc:AlternateContent>
      </w:r>
      <w:r w:rsidR="00D03F60">
        <w:rPr>
          <w:rFonts w:ascii="Arial Narrow" w:hAnsi="Arial Narrow"/>
          <w:b/>
          <w:sz w:val="64"/>
          <w:szCs w:val="64"/>
        </w:rPr>
        <w:t>Exposures to</w:t>
      </w:r>
      <w:r w:rsidR="00C53560">
        <w:rPr>
          <w:rFonts w:ascii="Arial Narrow" w:hAnsi="Arial Narrow"/>
          <w:b/>
          <w:sz w:val="64"/>
          <w:szCs w:val="64"/>
        </w:rPr>
        <w:t xml:space="preserve"> </w:t>
      </w:r>
      <w:r w:rsidR="00C53560">
        <w:rPr>
          <w:rFonts w:ascii="Arial Narrow" w:hAnsi="Arial Narrow"/>
          <w:b/>
          <w:sz w:val="64"/>
          <w:szCs w:val="64"/>
        </w:rPr>
        <w:br/>
      </w:r>
      <w:r w:rsidR="00F55371">
        <w:rPr>
          <w:rFonts w:ascii="Arial Narrow" w:hAnsi="Arial Narrow"/>
          <w:b/>
          <w:sz w:val="64"/>
          <w:szCs w:val="64"/>
        </w:rPr>
        <w:t>radiofrequency fields</w:t>
      </w:r>
      <w:r w:rsidR="00C53560">
        <w:rPr>
          <w:rFonts w:ascii="Arial Narrow" w:hAnsi="Arial Narrow"/>
          <w:b/>
          <w:sz w:val="64"/>
          <w:szCs w:val="64"/>
        </w:rPr>
        <w:t xml:space="preserve"> </w:t>
      </w:r>
      <w:r w:rsidR="00C53560">
        <w:rPr>
          <w:rFonts w:ascii="Arial Narrow" w:hAnsi="Arial Narrow"/>
          <w:b/>
          <w:sz w:val="64"/>
          <w:szCs w:val="64"/>
        </w:rPr>
        <w:br/>
        <w:t>near 5G cellsites</w:t>
      </w:r>
    </w:p>
    <w:p w:rsidR="009A24EA" w:rsidRDefault="009A24EA" w:rsidP="009A24EA">
      <w:pPr>
        <w:sectPr w:rsidR="009A24EA" w:rsidSect="009A24EA">
          <w:headerReference w:type="default" r:id="rId8"/>
          <w:footerReference w:type="default" r:id="rId9"/>
          <w:pgSz w:w="11906" w:h="16838" w:code="9"/>
          <w:pgMar w:top="3005" w:right="1134" w:bottom="1701" w:left="1134" w:header="709" w:footer="1134" w:gutter="0"/>
          <w:cols w:space="708"/>
          <w:docGrid w:linePitch="360"/>
        </w:sectPr>
      </w:pPr>
    </w:p>
    <w:p w:rsidR="009A24EA" w:rsidRDefault="009A24EA" w:rsidP="009A24EA"/>
    <w:p w:rsidR="00EF678A" w:rsidRDefault="00EF678A" w:rsidP="009A24EA"/>
    <w:p w:rsidR="00F8391F" w:rsidRDefault="00F8391F" w:rsidP="009A24EA"/>
    <w:p w:rsidR="00F8391F" w:rsidRDefault="00F8391F" w:rsidP="009A24EA"/>
    <w:p w:rsidR="00F8391F" w:rsidRDefault="00F8391F" w:rsidP="009A24EA"/>
    <w:p w:rsidR="00DF41C0" w:rsidRDefault="00DF41C0" w:rsidP="009A24EA"/>
    <w:p w:rsidR="00DF41C0" w:rsidRDefault="00DF41C0" w:rsidP="009A24EA"/>
    <w:p w:rsidR="00F8391F" w:rsidRDefault="00F8391F" w:rsidP="009A24E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F8391F" w:rsidTr="00F8391F">
        <w:tc>
          <w:tcPr>
            <w:tcW w:w="8720" w:type="dxa"/>
          </w:tcPr>
          <w:p w:rsidR="00F8391F" w:rsidRDefault="00F8391F" w:rsidP="009A24EA">
            <w:bookmarkStart w:id="0" w:name="_GoBack"/>
            <w:bookmarkEnd w:id="0"/>
            <w:r>
              <w:t>This report was prepared for:</w:t>
            </w:r>
          </w:p>
          <w:p w:rsidR="00882ADF" w:rsidRDefault="00882ADF" w:rsidP="003F70BD"/>
          <w:p w:rsidR="003F70BD" w:rsidRDefault="00C53560" w:rsidP="00875C15">
            <w:pPr>
              <w:jc w:val="left"/>
            </w:pPr>
            <w:r>
              <w:t>Ministry of Health</w:t>
            </w:r>
            <w:r w:rsidR="00875C15">
              <w:br/>
            </w:r>
            <w:r>
              <w:t>P O Box 5013</w:t>
            </w:r>
          </w:p>
          <w:p w:rsidR="008C1B6E" w:rsidRDefault="00C53560" w:rsidP="008C1B6E">
            <w:r>
              <w:t>Wellington</w:t>
            </w:r>
          </w:p>
          <w:p w:rsidR="003F70BD" w:rsidRDefault="003F70BD" w:rsidP="003F70BD"/>
          <w:p w:rsidR="00F8391F" w:rsidRDefault="00F8391F" w:rsidP="009A24EA"/>
        </w:tc>
      </w:tr>
      <w:tr w:rsidR="00F8391F" w:rsidTr="00F8391F">
        <w:tc>
          <w:tcPr>
            <w:tcW w:w="8720" w:type="dxa"/>
          </w:tcPr>
          <w:p w:rsidR="00F8391F" w:rsidRDefault="00F8391F" w:rsidP="009A24EA">
            <w:r>
              <w:t xml:space="preserve">Report prepared by: </w:t>
            </w:r>
            <w:r w:rsidR="003F70BD">
              <w:t>Martin Gledhill</w:t>
            </w:r>
          </w:p>
          <w:p w:rsidR="00F8391F" w:rsidRDefault="00F8391F" w:rsidP="00F76C2B">
            <w:r>
              <w:t>Finalised:</w:t>
            </w:r>
            <w:r w:rsidR="001836F6">
              <w:t xml:space="preserve"> 30 April 2020</w:t>
            </w:r>
          </w:p>
        </w:tc>
      </w:tr>
    </w:tbl>
    <w:p w:rsidR="00F8391F" w:rsidRDefault="00F8391F" w:rsidP="009A24EA"/>
    <w:p w:rsidR="00EF678A" w:rsidRDefault="00EF678A" w:rsidP="00EF678A">
      <w:pPr>
        <w:pStyle w:val="Heading3"/>
      </w:pPr>
      <w:r w:rsidRPr="00EF678A">
        <w:t>About EMF Services and the author of this report</w:t>
      </w:r>
    </w:p>
    <w:p w:rsidR="00EF678A" w:rsidRDefault="00EF678A" w:rsidP="00EF678A">
      <w:r>
        <w:t xml:space="preserve">EMF Services is a division of Monitoring and Advisory Services NZ Ltd (MAASNZ), and provides professional measurement and advisory services related to possible health effects of electromagnetic fields (EMFs), such as the extremely low frequency (ELF) electric and magnetic fields found around any wiring, appliances or infrastructure carrying mains electricity, and the radiofrequency (RF) fields produced by radio transmitters and some industrial equipment.  </w:t>
      </w:r>
    </w:p>
    <w:p w:rsidR="00EF678A" w:rsidRDefault="003F70BD" w:rsidP="00EF678A">
      <w:r>
        <w:t xml:space="preserve">Martin Gledhill has an MA degree in Natural Sciences (Physics) and an MSc in Medical Physics.  </w:t>
      </w:r>
      <w:r w:rsidR="00EF678A">
        <w:t xml:space="preserve">He is a member of the Australasian Radiation Protection Society and of the Bioelectromagnetics Society.  Before forming MAASNZ he was head of the non-ionising radiation section at the National Radiation Laboratory of the New Zealand Ministry of Health.  In this position he provided advice to central and local government, the public and industry on the health effects of EMFs, and carried out measurement and assessment services in this area.  This work included providing policy advice to the Ministries of Health and the Environment, preparation of public information material, presenting expert evidence at local authority and Environment Court hearings, and assessing exposures to EMFs by both measurements and calculations.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3"/>
        <w:gridCol w:w="4281"/>
      </w:tblGrid>
      <w:tr w:rsidR="00F8391F" w:rsidTr="00F8391F">
        <w:tc>
          <w:tcPr>
            <w:tcW w:w="4360" w:type="dxa"/>
          </w:tcPr>
          <w:p w:rsidR="00F8391F" w:rsidRDefault="00F8391F" w:rsidP="00875C15">
            <w:pPr>
              <w:jc w:val="left"/>
            </w:pPr>
            <w:r>
              <w:t>EMF Services</w:t>
            </w:r>
            <w:r>
              <w:br/>
              <w:t xml:space="preserve">P O Box </w:t>
            </w:r>
            <w:r w:rsidR="00875C15">
              <w:t>17</w:t>
            </w:r>
            <w:r>
              <w:br/>
              <w:t>C</w:t>
            </w:r>
            <w:r w:rsidR="00875C15">
              <w:t>lyde 9341</w:t>
            </w:r>
            <w:r>
              <w:br/>
              <w:t>New Zealand</w:t>
            </w:r>
          </w:p>
        </w:tc>
        <w:tc>
          <w:tcPr>
            <w:tcW w:w="4360" w:type="dxa"/>
          </w:tcPr>
          <w:p w:rsidR="00F8391F" w:rsidRPr="009A24EA" w:rsidRDefault="00F8391F" w:rsidP="00F8391F">
            <w:pPr>
              <w:jc w:val="right"/>
            </w:pPr>
            <w:r>
              <w:t>info@emfservices.co.nz</w:t>
            </w:r>
            <w:r>
              <w:br/>
              <w:t>www.emfservices.co.nz</w:t>
            </w:r>
            <w:r>
              <w:br/>
              <w:t>+64 27 545 4217</w:t>
            </w:r>
          </w:p>
          <w:p w:rsidR="00F8391F" w:rsidRDefault="00F8391F" w:rsidP="00EF678A"/>
        </w:tc>
      </w:tr>
    </w:tbl>
    <w:p w:rsidR="00D03F60" w:rsidRDefault="00D03F60" w:rsidP="00D03F60"/>
    <w:p w:rsidR="00D03F60" w:rsidRPr="00D03F60" w:rsidRDefault="00D03F60" w:rsidP="00D03F60">
      <w:pPr>
        <w:sectPr w:rsidR="00D03F60" w:rsidRPr="00D03F60" w:rsidSect="00113315">
          <w:footerReference w:type="default" r:id="rId10"/>
          <w:pgSz w:w="11906" w:h="16838" w:code="9"/>
          <w:pgMar w:top="1440" w:right="1701" w:bottom="1440" w:left="1701" w:header="709" w:footer="851" w:gutter="0"/>
          <w:pgNumType w:start="0"/>
          <w:cols w:space="708"/>
          <w:docGrid w:linePitch="360"/>
        </w:sectPr>
      </w:pPr>
    </w:p>
    <w:p w:rsidR="00F8391F" w:rsidRPr="000635CB" w:rsidRDefault="00D03F60" w:rsidP="00770847">
      <w:pPr>
        <w:pStyle w:val="Title"/>
        <w:rPr>
          <w:sz w:val="48"/>
        </w:rPr>
      </w:pPr>
      <w:r>
        <w:rPr>
          <w:sz w:val="48"/>
        </w:rPr>
        <w:lastRenderedPageBreak/>
        <w:t>Exposures to</w:t>
      </w:r>
      <w:r w:rsidR="00A932F5" w:rsidRPr="000635CB">
        <w:rPr>
          <w:sz w:val="48"/>
        </w:rPr>
        <w:t xml:space="preserve"> radiofrequency fields </w:t>
      </w:r>
      <w:r w:rsidR="00C53560">
        <w:rPr>
          <w:sz w:val="48"/>
        </w:rPr>
        <w:t>near 5G cellsites</w:t>
      </w:r>
    </w:p>
    <w:p w:rsidR="00770847" w:rsidRDefault="000B067F" w:rsidP="00770847">
      <w:pPr>
        <w:pStyle w:val="Heading1"/>
      </w:pPr>
      <w:r>
        <w:t>Introduction and summary</w:t>
      </w:r>
    </w:p>
    <w:p w:rsidR="00C02C61" w:rsidRDefault="000B067F" w:rsidP="00770847">
      <w:r>
        <w:t xml:space="preserve">This report presents the results of measurements of exposures to radiofrequency (RF) fields </w:t>
      </w:r>
      <w:r w:rsidR="00C53560">
        <w:t>near 5G cellsites in Queenstown and Auckland</w:t>
      </w:r>
      <w:r w:rsidR="00CF015C">
        <w:t>.</w:t>
      </w:r>
      <w:r w:rsidR="00875C15">
        <w:t xml:space="preserve">  </w:t>
      </w:r>
      <w:r w:rsidR="00015484">
        <w:t xml:space="preserve">The measurements were made </w:t>
      </w:r>
      <w:r w:rsidR="00C53560">
        <w:t xml:space="preserve">during the day on 25 February and </w:t>
      </w:r>
      <w:r w:rsidR="0062590C">
        <w:t xml:space="preserve">on </w:t>
      </w:r>
      <w:r w:rsidR="00C53560">
        <w:t xml:space="preserve">2, 3 </w:t>
      </w:r>
      <w:r w:rsidR="0062590C">
        <w:t xml:space="preserve">and </w:t>
      </w:r>
      <w:r w:rsidR="00C53560">
        <w:t>4 March 2020</w:t>
      </w:r>
      <w:r w:rsidR="00015484">
        <w:t xml:space="preserve">.  </w:t>
      </w:r>
    </w:p>
    <w:p w:rsidR="00D03F60" w:rsidRDefault="00C02C61" w:rsidP="00770847">
      <w:r>
        <w:t xml:space="preserve">Measurements were made on a total of seven sectors at five different sites.  </w:t>
      </w:r>
      <w:r w:rsidR="0062590C">
        <w:t xml:space="preserve">All the sites also have 2, 3 and 4G transmitters.  </w:t>
      </w:r>
      <w:r>
        <w:t xml:space="preserve">There was a direct line of sight to the antenna at all measurement locations, and measurements were made </w:t>
      </w:r>
      <w:r w:rsidR="00962E27">
        <w:t>in direction</w:t>
      </w:r>
      <w:r w:rsidR="0062590C">
        <w:t>s</w:t>
      </w:r>
      <w:r w:rsidR="00962E27">
        <w:t xml:space="preserve"> very close to the main beam azimuths.  </w:t>
      </w:r>
      <w:r>
        <w:t xml:space="preserve">The measurement probe was mounted on an insulated stand at a height of 1.5 m above the ground.  </w:t>
      </w:r>
    </w:p>
    <w:p w:rsidR="00BC1FD9" w:rsidRDefault="000B067F" w:rsidP="001E1708">
      <w:r>
        <w:t xml:space="preserve">Measurement results are presented in graphs </w:t>
      </w:r>
      <w:r w:rsidR="004F1570">
        <w:t>on the following pages</w:t>
      </w:r>
      <w:r>
        <w:t xml:space="preserve">.  </w:t>
      </w:r>
      <w:r w:rsidR="00BC1FD9">
        <w:t>The exposure to RF fields is shown as the percentage of the limit allowed for the public in</w:t>
      </w:r>
      <w:r w:rsidR="00BC1FD9" w:rsidRPr="008C1B6E">
        <w:t xml:space="preserve"> </w:t>
      </w:r>
      <w:r w:rsidR="00BC1FD9">
        <w:t xml:space="preserve">the New Zealand RF field exposure Standard NZS 2772.1:1999 </w:t>
      </w:r>
      <w:r w:rsidR="00BC1FD9">
        <w:rPr>
          <w:i/>
        </w:rPr>
        <w:t>Radiofrequency Fields Part 1: Maximum exposure levels – 3 kHz to 300 GHz</w:t>
      </w:r>
      <w:r w:rsidR="00870590">
        <w:t xml:space="preserve">.  </w:t>
      </w:r>
    </w:p>
    <w:p w:rsidR="00D25564" w:rsidRDefault="0054786D" w:rsidP="001E1708">
      <w:r>
        <w:t>Each bar of the graph</w:t>
      </w:r>
      <w:r w:rsidR="007E4494">
        <w:t>s</w:t>
      </w:r>
      <w:r>
        <w:t xml:space="preserve"> shows the exposure at </w:t>
      </w:r>
      <w:r w:rsidR="004F1570">
        <w:t>the</w:t>
      </w:r>
      <w:r>
        <w:t xml:space="preserve"> location identified by a letter at the bottom of the bar.</w:t>
      </w:r>
      <w:r w:rsidR="00B75730">
        <w:t xml:space="preserve">  </w:t>
      </w:r>
      <w:r w:rsidR="00C53560">
        <w:t xml:space="preserve">A table below the graphs gives information about the measurement locations.  </w:t>
      </w:r>
      <w:r>
        <w:t xml:space="preserve">The total height of </w:t>
      </w:r>
      <w:r w:rsidR="007E4494">
        <w:t>the</w:t>
      </w:r>
      <w:r>
        <w:t xml:space="preserve"> bar shows the total exposure, as a percentage of the public limit in NZS 2772.1.</w:t>
      </w:r>
      <w:r w:rsidR="00875C15">
        <w:t xml:space="preserve">  The contributions of different transmitters towards that total are shown by the different coloured portions of the bar.  Looking at location </w:t>
      </w:r>
      <w:r w:rsidR="00994080">
        <w:rPr>
          <w:bCs/>
        </w:rPr>
        <w:t xml:space="preserve">G in figure 1, for example, </w:t>
      </w:r>
      <w:r w:rsidR="00875C15">
        <w:t xml:space="preserve">the total exposure was equivalent to </w:t>
      </w:r>
      <w:r w:rsidR="00994080">
        <w:t>4.7</w:t>
      </w:r>
      <w:r w:rsidR="00875C15">
        <w:t>%</w:t>
      </w:r>
      <w:r w:rsidR="00F76C2B">
        <w:t xml:space="preserve"> of</w:t>
      </w:r>
      <w:r w:rsidR="00875C15">
        <w:t xml:space="preserve"> (ie </w:t>
      </w:r>
      <w:r w:rsidR="00994080">
        <w:t>about twenty times</w:t>
      </w:r>
      <w:r w:rsidR="001311D2">
        <w:t xml:space="preserve"> </w:t>
      </w:r>
      <w:r w:rsidR="00D25564">
        <w:t xml:space="preserve">lower than) the public limit in the New Zealand exposure Standard.  </w:t>
      </w:r>
      <w:r w:rsidR="00994080">
        <w:t>Most</w:t>
      </w:r>
      <w:r w:rsidR="001E1708">
        <w:t xml:space="preserve"> </w:t>
      </w:r>
      <w:r w:rsidR="00F76C2B">
        <w:t>of this</w:t>
      </w:r>
      <w:r w:rsidR="00D25564">
        <w:t xml:space="preserve"> was due to </w:t>
      </w:r>
      <w:r w:rsidR="00D03F60">
        <w:t>Vodafone</w:t>
      </w:r>
      <w:r w:rsidR="00D25564">
        <w:t xml:space="preserve"> </w:t>
      </w:r>
      <w:r w:rsidR="00994080">
        <w:t>2, 3 and 4G transmitters</w:t>
      </w:r>
      <w:r w:rsidR="00D25564">
        <w:t xml:space="preserve"> (</w:t>
      </w:r>
      <w:r w:rsidR="001630D5">
        <w:t>red</w:t>
      </w:r>
      <w:r w:rsidR="00D25564">
        <w:t xml:space="preserve"> portion of the bar)</w:t>
      </w:r>
      <w:r w:rsidR="00994080">
        <w:t xml:space="preserve"> and the rest (about one </w:t>
      </w:r>
      <w:r w:rsidR="0062590C">
        <w:t>seventh</w:t>
      </w:r>
      <w:r w:rsidR="00994080">
        <w:t xml:space="preserve"> of the total) due to 5G transmitters</w:t>
      </w:r>
      <w:r w:rsidR="001630D5">
        <w:t xml:space="preserve">.  </w:t>
      </w:r>
    </w:p>
    <w:p w:rsidR="008229C2" w:rsidRDefault="008229C2" w:rsidP="008229C2">
      <w:pPr>
        <w:pStyle w:val="Heading2"/>
      </w:pPr>
      <w:r>
        <w:t xml:space="preserve">Exposures </w:t>
      </w:r>
      <w:r w:rsidR="00994080">
        <w:t>during a download speed test</w:t>
      </w:r>
    </w:p>
    <w:p w:rsidR="008229C2" w:rsidRDefault="00994080" w:rsidP="00770847">
      <w:r>
        <w:t xml:space="preserve">Measurements were </w:t>
      </w:r>
      <w:r w:rsidR="0062590C">
        <w:t>made</w:t>
      </w:r>
      <w:r>
        <w:t xml:space="preserve"> while repeatedly making a download speed test using the 5G carrier, to ensure that this carrier was highly loaded.  (Note that some or all of the 4G carriers could also have been </w:t>
      </w:r>
      <w:r w:rsidR="0062590C">
        <w:t>active</w:t>
      </w:r>
      <w:r>
        <w:t xml:space="preserve"> to increase the download speed.)  Results</w:t>
      </w:r>
      <w:r w:rsidR="000E551A">
        <w:t xml:space="preserve"> are shown in figure</w:t>
      </w:r>
      <w:r>
        <w:t>s</w:t>
      </w:r>
      <w:r w:rsidR="000E551A">
        <w:t xml:space="preserve"> </w:t>
      </w:r>
      <w:r>
        <w:t>1 and 2</w:t>
      </w:r>
      <w:r w:rsidR="000E551A">
        <w:t xml:space="preserve">.  </w:t>
      </w:r>
      <w:r w:rsidR="00495259">
        <w:t xml:space="preserve">The total exposure varied from one measurement location to another, but at most of the sites the exposure due to the 5G carrier was no more than one tenth of the total exposure due to the Vodafone site.  </w:t>
      </w:r>
      <w:r w:rsidR="0062590C">
        <w:t xml:space="preserve">At locations D, E and F there were also small contributions from Spark and 2degrees sites in the same area.  </w:t>
      </w:r>
    </w:p>
    <w:p w:rsidR="00495259" w:rsidRDefault="00495259" w:rsidP="00770847">
      <w:r>
        <w:t xml:space="preserve">The highest 5G exposure, as a fraction of the total exposure due to the Vodafone site, was found at location G, where it was about one seventh of the total.  </w:t>
      </w:r>
    </w:p>
    <w:p w:rsidR="007D1C22" w:rsidRDefault="007D1C22" w:rsidP="007D1C22">
      <w:pPr>
        <w:pStyle w:val="Heading2"/>
      </w:pPr>
      <w:r>
        <w:t>Maximum possible exposures</w:t>
      </w:r>
    </w:p>
    <w:p w:rsidR="007D1C22" w:rsidRDefault="007D1C22" w:rsidP="007D1C22">
      <w:r>
        <w:t xml:space="preserve">Cellsite transmitters adjust their power up and down so as to be just sufficient to handle traffic through the site.  Additional measurements were made at </w:t>
      </w:r>
      <w:r w:rsidR="00495259">
        <w:t xml:space="preserve">all nine </w:t>
      </w:r>
      <w:r>
        <w:t xml:space="preserve">locations </w:t>
      </w:r>
      <w:bookmarkStart w:id="1" w:name="_Hlk27489734"/>
      <w:r>
        <w:t xml:space="preserve">to determine the maximum possible exposures from the </w:t>
      </w:r>
      <w:r w:rsidR="006618D7">
        <w:t>Vodafone</w:t>
      </w:r>
      <w:r>
        <w:t xml:space="preserve"> site</w:t>
      </w:r>
      <w:r w:rsidR="00FC6591">
        <w:t>s</w:t>
      </w:r>
      <w:r>
        <w:t xml:space="preserve"> if the transmitters </w:t>
      </w:r>
      <w:r w:rsidR="00C02C61">
        <w:t xml:space="preserve">(2, 3, 4 and 5G) </w:t>
      </w:r>
      <w:r>
        <w:t>were to operate at full power</w:t>
      </w:r>
      <w:bookmarkEnd w:id="1"/>
      <w:r>
        <w:t xml:space="preserve">.  </w:t>
      </w:r>
      <w:r w:rsidR="006B2BF0">
        <w:t xml:space="preserve">(It should be noted that there is no chance that </w:t>
      </w:r>
      <w:r w:rsidR="006B2BF0">
        <w:lastRenderedPageBreak/>
        <w:t xml:space="preserve">this would actually happen in practice.)  </w:t>
      </w:r>
      <w:r>
        <w:t>The results of these measurements are presented in figure</w:t>
      </w:r>
      <w:r w:rsidR="00495259">
        <w:t>s</w:t>
      </w:r>
      <w:r w:rsidR="006618D7">
        <w:t xml:space="preserve"> 3</w:t>
      </w:r>
      <w:r w:rsidR="00495259">
        <w:t xml:space="preserve"> and 4</w:t>
      </w:r>
      <w:r w:rsidR="006618D7">
        <w:t>.</w:t>
      </w:r>
      <w:r>
        <w:t xml:space="preserve"> </w:t>
      </w:r>
      <w:r w:rsidR="006B2BF0">
        <w:t xml:space="preserve"> </w:t>
      </w:r>
    </w:p>
    <w:p w:rsidR="00B254CC" w:rsidRPr="00C02C61" w:rsidRDefault="00C02C61" w:rsidP="007D1C22">
      <w:r w:rsidRPr="00C02C61">
        <w:t>Maximum possible 5G exposures, as a fraction of th</w:t>
      </w:r>
      <w:r>
        <w:t xml:space="preserve">e total exposure from the Vodafone 5G transmitters, varied between one fiftieth and one quarter of the total, but were mostly around one tenth.  </w:t>
      </w:r>
    </w:p>
    <w:p w:rsidR="000E551A" w:rsidRDefault="000E551A" w:rsidP="00770847"/>
    <w:p w:rsidR="002734EC" w:rsidRDefault="00634987" w:rsidP="002734EC">
      <w:pPr>
        <w:pStyle w:val="Caption"/>
      </w:pPr>
      <w:r w:rsidRPr="00634987">
        <w:rPr>
          <w:noProof/>
        </w:rPr>
        <w:drawing>
          <wp:inline distT="0" distB="0" distL="0" distR="0">
            <wp:extent cx="5400040" cy="27000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700020"/>
                    </a:xfrm>
                    <a:prstGeom prst="rect">
                      <a:avLst/>
                    </a:prstGeom>
                    <a:noFill/>
                    <a:ln>
                      <a:noFill/>
                    </a:ln>
                  </pic:spPr>
                </pic:pic>
              </a:graphicData>
            </a:graphic>
          </wp:inline>
        </w:drawing>
      </w:r>
      <w:r w:rsidR="002734EC">
        <w:br/>
        <w:t xml:space="preserve">Fig </w:t>
      </w:r>
      <w:r w:rsidR="00994080">
        <w:t>1</w:t>
      </w:r>
      <w:r w:rsidR="002734EC">
        <w:t xml:space="preserve">.  Exposures </w:t>
      </w:r>
      <w:r w:rsidR="00994080">
        <w:t>from 5G</w:t>
      </w:r>
      <w:r w:rsidR="006B2BF0">
        <w:t>-equipped</w:t>
      </w:r>
      <w:r w:rsidR="00994080">
        <w:t xml:space="preserve"> sites during a download speed test</w:t>
      </w:r>
      <w:r w:rsidR="002734EC">
        <w:t>, shown as a percentage of the public limit in NZS 2772.1.</w:t>
      </w:r>
    </w:p>
    <w:p w:rsidR="0062590C" w:rsidRPr="0062590C" w:rsidRDefault="0062590C" w:rsidP="0062590C"/>
    <w:p w:rsidR="003C665D" w:rsidRDefault="003C665D" w:rsidP="003C665D">
      <w:pPr>
        <w:pStyle w:val="Caption"/>
      </w:pPr>
      <w:r w:rsidRPr="003C665D">
        <w:t xml:space="preserve"> </w:t>
      </w:r>
      <w:r w:rsidR="00634987" w:rsidRPr="00634987">
        <w:rPr>
          <w:noProof/>
        </w:rPr>
        <w:drawing>
          <wp:inline distT="0" distB="0" distL="0" distR="0">
            <wp:extent cx="5400040" cy="27000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2700020"/>
                    </a:xfrm>
                    <a:prstGeom prst="rect">
                      <a:avLst/>
                    </a:prstGeom>
                    <a:noFill/>
                    <a:ln>
                      <a:noFill/>
                    </a:ln>
                  </pic:spPr>
                </pic:pic>
              </a:graphicData>
            </a:graphic>
          </wp:inline>
        </w:drawing>
      </w:r>
      <w:r>
        <w:br/>
        <w:t xml:space="preserve">Fig </w:t>
      </w:r>
      <w:r w:rsidR="00994080">
        <w:t>2</w:t>
      </w:r>
      <w:r>
        <w:t xml:space="preserve">.  </w:t>
      </w:r>
      <w:r w:rsidR="00994080">
        <w:t>As figure 1, shown on an expanded scale</w:t>
      </w:r>
      <w:r>
        <w:t>.</w:t>
      </w:r>
      <w:r w:rsidR="00994080">
        <w:t xml:space="preserve">  The results for location G are off scale and should be read from figure 1.  </w:t>
      </w:r>
    </w:p>
    <w:p w:rsidR="006B2BF0" w:rsidRDefault="00634987" w:rsidP="006B2BF0">
      <w:pPr>
        <w:pStyle w:val="Caption"/>
      </w:pPr>
      <w:r w:rsidRPr="00634987">
        <w:rPr>
          <w:noProof/>
        </w:rPr>
        <w:lastRenderedPageBreak/>
        <w:drawing>
          <wp:inline distT="0" distB="0" distL="0" distR="0">
            <wp:extent cx="5400040" cy="2695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2695575"/>
                    </a:xfrm>
                    <a:prstGeom prst="rect">
                      <a:avLst/>
                    </a:prstGeom>
                    <a:noFill/>
                    <a:ln>
                      <a:noFill/>
                    </a:ln>
                  </pic:spPr>
                </pic:pic>
              </a:graphicData>
            </a:graphic>
          </wp:inline>
        </w:drawing>
      </w:r>
      <w:r w:rsidR="006B2BF0" w:rsidRPr="006B2BF0">
        <w:t xml:space="preserve"> </w:t>
      </w:r>
      <w:r w:rsidR="006B2BF0">
        <w:br/>
        <w:t>Fig 3.  Maximum possible exposures from 5G-equipped sites, shown as a percentage of the public limit in NZS 2772.1.</w:t>
      </w:r>
    </w:p>
    <w:p w:rsidR="006B2BF0" w:rsidRDefault="00634987" w:rsidP="006B2BF0">
      <w:pPr>
        <w:pStyle w:val="Caption"/>
      </w:pPr>
      <w:r w:rsidRPr="00634987">
        <w:rPr>
          <w:noProof/>
        </w:rPr>
        <w:drawing>
          <wp:inline distT="0" distB="0" distL="0" distR="0">
            <wp:extent cx="5400040" cy="26955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2695575"/>
                    </a:xfrm>
                    <a:prstGeom prst="rect">
                      <a:avLst/>
                    </a:prstGeom>
                    <a:noFill/>
                    <a:ln>
                      <a:noFill/>
                    </a:ln>
                  </pic:spPr>
                </pic:pic>
              </a:graphicData>
            </a:graphic>
          </wp:inline>
        </w:drawing>
      </w:r>
      <w:r w:rsidR="006B2BF0" w:rsidRPr="006B2BF0">
        <w:t xml:space="preserve"> </w:t>
      </w:r>
      <w:r w:rsidR="006B2BF0">
        <w:br/>
        <w:t xml:space="preserve">Fig 4.  As figure 3, shown on an expanded scale.  The results for location G are off scale and should be read from figure 3.  </w:t>
      </w:r>
    </w:p>
    <w:tbl>
      <w:tblPr>
        <w:tblStyle w:val="TableGrid"/>
        <w:tblW w:w="0" w:type="auto"/>
        <w:tblLook w:val="04A0" w:firstRow="1" w:lastRow="0" w:firstColumn="1" w:lastColumn="0" w:noHBand="0" w:noVBand="1"/>
      </w:tblPr>
      <w:tblGrid>
        <w:gridCol w:w="606"/>
        <w:gridCol w:w="689"/>
        <w:gridCol w:w="929"/>
        <w:gridCol w:w="1740"/>
        <w:gridCol w:w="1560"/>
        <w:gridCol w:w="2970"/>
      </w:tblGrid>
      <w:tr w:rsidR="00962E27" w:rsidRPr="000C2D86" w:rsidTr="00962E27">
        <w:tc>
          <w:tcPr>
            <w:tcW w:w="606" w:type="dxa"/>
          </w:tcPr>
          <w:p w:rsidR="00962E27" w:rsidRPr="000C2D86" w:rsidRDefault="00962E27" w:rsidP="00962E27">
            <w:pPr>
              <w:spacing w:before="20" w:after="20"/>
              <w:rPr>
                <w:b/>
                <w:bCs/>
              </w:rPr>
            </w:pPr>
            <w:r w:rsidRPr="000C2D86">
              <w:rPr>
                <w:b/>
                <w:bCs/>
              </w:rPr>
              <w:t>Ref</w:t>
            </w:r>
          </w:p>
        </w:tc>
        <w:tc>
          <w:tcPr>
            <w:tcW w:w="689" w:type="dxa"/>
          </w:tcPr>
          <w:p w:rsidR="00962E27" w:rsidRPr="000C2D86" w:rsidRDefault="00962E27" w:rsidP="00962E27">
            <w:pPr>
              <w:spacing w:before="20" w:after="20"/>
              <w:jc w:val="center"/>
              <w:rPr>
                <w:b/>
                <w:bCs/>
              </w:rPr>
            </w:pPr>
            <w:r w:rsidRPr="000C2D86">
              <w:rPr>
                <w:b/>
                <w:bCs/>
              </w:rPr>
              <w:t>Site</w:t>
            </w:r>
          </w:p>
        </w:tc>
        <w:tc>
          <w:tcPr>
            <w:tcW w:w="929" w:type="dxa"/>
          </w:tcPr>
          <w:p w:rsidR="00962E27" w:rsidRDefault="00962E27" w:rsidP="00962E27">
            <w:pPr>
              <w:spacing w:before="20" w:after="20"/>
              <w:jc w:val="center"/>
              <w:rPr>
                <w:b/>
                <w:bCs/>
              </w:rPr>
            </w:pPr>
            <w:r>
              <w:rPr>
                <w:b/>
                <w:bCs/>
              </w:rPr>
              <w:t>Sector</w:t>
            </w:r>
          </w:p>
        </w:tc>
        <w:tc>
          <w:tcPr>
            <w:tcW w:w="1740" w:type="dxa"/>
          </w:tcPr>
          <w:p w:rsidR="00962E27" w:rsidRPr="000C2D86" w:rsidRDefault="00962E27" w:rsidP="00962E27">
            <w:pPr>
              <w:spacing w:before="20" w:after="20"/>
              <w:jc w:val="center"/>
              <w:rPr>
                <w:b/>
                <w:bCs/>
              </w:rPr>
            </w:pPr>
            <w:r>
              <w:rPr>
                <w:b/>
                <w:bCs/>
              </w:rPr>
              <w:t>Distance from antenna (m)</w:t>
            </w:r>
          </w:p>
        </w:tc>
        <w:tc>
          <w:tcPr>
            <w:tcW w:w="1560" w:type="dxa"/>
          </w:tcPr>
          <w:p w:rsidR="00962E27" w:rsidRPr="000C2D86" w:rsidRDefault="00962E27" w:rsidP="00962E27">
            <w:pPr>
              <w:spacing w:before="20" w:after="20"/>
              <w:jc w:val="center"/>
              <w:rPr>
                <w:b/>
                <w:bCs/>
              </w:rPr>
            </w:pPr>
            <w:r>
              <w:rPr>
                <w:b/>
                <w:bCs/>
              </w:rPr>
              <w:t>Antenna height (m)</w:t>
            </w:r>
          </w:p>
        </w:tc>
        <w:tc>
          <w:tcPr>
            <w:tcW w:w="2970" w:type="dxa"/>
          </w:tcPr>
          <w:p w:rsidR="00962E27" w:rsidRPr="000C2D86" w:rsidRDefault="00962E27" w:rsidP="00962E27">
            <w:pPr>
              <w:spacing w:before="20" w:after="20"/>
              <w:jc w:val="center"/>
              <w:rPr>
                <w:b/>
                <w:bCs/>
              </w:rPr>
            </w:pPr>
            <w:r>
              <w:rPr>
                <w:b/>
                <w:bCs/>
              </w:rPr>
              <w:t>Comments</w:t>
            </w:r>
          </w:p>
        </w:tc>
      </w:tr>
      <w:tr w:rsidR="00962E27" w:rsidTr="00962E27">
        <w:tc>
          <w:tcPr>
            <w:tcW w:w="606" w:type="dxa"/>
          </w:tcPr>
          <w:p w:rsidR="00962E27" w:rsidRDefault="00962E27" w:rsidP="00962E27">
            <w:pPr>
              <w:spacing w:before="20" w:after="20"/>
            </w:pPr>
            <w:r>
              <w:t>A</w:t>
            </w:r>
          </w:p>
        </w:tc>
        <w:tc>
          <w:tcPr>
            <w:tcW w:w="689" w:type="dxa"/>
          </w:tcPr>
          <w:p w:rsidR="00962E27" w:rsidRDefault="00962E27" w:rsidP="00962E27">
            <w:pPr>
              <w:spacing w:before="20" w:after="20"/>
              <w:jc w:val="center"/>
            </w:pPr>
            <w:r>
              <w:t>1</w:t>
            </w:r>
          </w:p>
        </w:tc>
        <w:tc>
          <w:tcPr>
            <w:tcW w:w="929" w:type="dxa"/>
          </w:tcPr>
          <w:p w:rsidR="00962E27" w:rsidRDefault="00962E27" w:rsidP="00962E27">
            <w:pPr>
              <w:spacing w:before="20" w:after="20"/>
              <w:jc w:val="center"/>
            </w:pPr>
            <w:r>
              <w:t>1</w:t>
            </w:r>
          </w:p>
        </w:tc>
        <w:tc>
          <w:tcPr>
            <w:tcW w:w="1740" w:type="dxa"/>
          </w:tcPr>
          <w:p w:rsidR="00962E27" w:rsidRDefault="00962E27" w:rsidP="00962E27">
            <w:pPr>
              <w:spacing w:before="20" w:after="20"/>
              <w:jc w:val="center"/>
            </w:pPr>
            <w:r>
              <w:t>30</w:t>
            </w:r>
          </w:p>
        </w:tc>
        <w:tc>
          <w:tcPr>
            <w:tcW w:w="1560" w:type="dxa"/>
          </w:tcPr>
          <w:p w:rsidR="00962E27" w:rsidRDefault="00962E27" w:rsidP="00962E27">
            <w:pPr>
              <w:spacing w:before="20" w:after="20"/>
              <w:jc w:val="center"/>
            </w:pPr>
            <w:r>
              <w:t>9</w:t>
            </w:r>
          </w:p>
        </w:tc>
        <w:tc>
          <w:tcPr>
            <w:tcW w:w="2970" w:type="dxa"/>
          </w:tcPr>
          <w:p w:rsidR="00962E27" w:rsidRDefault="00962E27" w:rsidP="00634987">
            <w:pPr>
              <w:spacing w:before="20" w:after="20"/>
              <w:jc w:val="left"/>
            </w:pPr>
            <w:r>
              <w:t>Residential street</w:t>
            </w:r>
          </w:p>
        </w:tc>
      </w:tr>
      <w:tr w:rsidR="00962E27" w:rsidTr="00962E27">
        <w:tc>
          <w:tcPr>
            <w:tcW w:w="606" w:type="dxa"/>
          </w:tcPr>
          <w:p w:rsidR="00962E27" w:rsidRDefault="00962E27" w:rsidP="00962E27">
            <w:pPr>
              <w:spacing w:before="20" w:after="20"/>
            </w:pPr>
            <w:r>
              <w:t>B</w:t>
            </w:r>
          </w:p>
        </w:tc>
        <w:tc>
          <w:tcPr>
            <w:tcW w:w="689" w:type="dxa"/>
          </w:tcPr>
          <w:p w:rsidR="00962E27" w:rsidRDefault="00962E27" w:rsidP="00962E27">
            <w:pPr>
              <w:spacing w:before="20" w:after="20"/>
              <w:jc w:val="center"/>
            </w:pPr>
            <w:r>
              <w:t>1</w:t>
            </w:r>
          </w:p>
        </w:tc>
        <w:tc>
          <w:tcPr>
            <w:tcW w:w="929" w:type="dxa"/>
          </w:tcPr>
          <w:p w:rsidR="00962E27" w:rsidRDefault="00962E27" w:rsidP="00962E27">
            <w:pPr>
              <w:spacing w:before="20" w:after="20"/>
              <w:jc w:val="center"/>
            </w:pPr>
            <w:r>
              <w:t>2</w:t>
            </w:r>
          </w:p>
        </w:tc>
        <w:tc>
          <w:tcPr>
            <w:tcW w:w="1740" w:type="dxa"/>
          </w:tcPr>
          <w:p w:rsidR="00962E27" w:rsidRDefault="00962E27" w:rsidP="00962E27">
            <w:pPr>
              <w:spacing w:before="20" w:after="20"/>
              <w:jc w:val="center"/>
            </w:pPr>
            <w:r>
              <w:t>40</w:t>
            </w:r>
          </w:p>
        </w:tc>
        <w:tc>
          <w:tcPr>
            <w:tcW w:w="1560" w:type="dxa"/>
          </w:tcPr>
          <w:p w:rsidR="00962E27" w:rsidRDefault="00962E27" w:rsidP="00962E27">
            <w:pPr>
              <w:spacing w:before="20" w:after="20"/>
              <w:jc w:val="center"/>
            </w:pPr>
            <w:r>
              <w:t>9</w:t>
            </w:r>
          </w:p>
        </w:tc>
        <w:tc>
          <w:tcPr>
            <w:tcW w:w="2970" w:type="dxa"/>
          </w:tcPr>
          <w:p w:rsidR="00962E27" w:rsidRDefault="00962E27" w:rsidP="00634987">
            <w:pPr>
              <w:spacing w:before="20" w:after="20"/>
              <w:jc w:val="left"/>
            </w:pPr>
            <w:r w:rsidRPr="00772145">
              <w:t>Residential street</w:t>
            </w:r>
          </w:p>
        </w:tc>
      </w:tr>
      <w:tr w:rsidR="00962E27" w:rsidTr="00962E27">
        <w:tc>
          <w:tcPr>
            <w:tcW w:w="606" w:type="dxa"/>
          </w:tcPr>
          <w:p w:rsidR="00962E27" w:rsidRDefault="00962E27" w:rsidP="00962E27">
            <w:pPr>
              <w:spacing w:before="20" w:after="20"/>
            </w:pPr>
            <w:r>
              <w:t>C</w:t>
            </w:r>
          </w:p>
        </w:tc>
        <w:tc>
          <w:tcPr>
            <w:tcW w:w="689" w:type="dxa"/>
          </w:tcPr>
          <w:p w:rsidR="00962E27" w:rsidRDefault="00962E27" w:rsidP="00962E27">
            <w:pPr>
              <w:spacing w:before="20" w:after="20"/>
              <w:jc w:val="center"/>
            </w:pPr>
            <w:r>
              <w:t>1</w:t>
            </w:r>
          </w:p>
        </w:tc>
        <w:tc>
          <w:tcPr>
            <w:tcW w:w="929" w:type="dxa"/>
          </w:tcPr>
          <w:p w:rsidR="00962E27" w:rsidRDefault="00962E27" w:rsidP="00962E27">
            <w:pPr>
              <w:spacing w:before="20" w:after="20"/>
              <w:jc w:val="center"/>
            </w:pPr>
            <w:r>
              <w:t>2</w:t>
            </w:r>
          </w:p>
        </w:tc>
        <w:tc>
          <w:tcPr>
            <w:tcW w:w="1740" w:type="dxa"/>
          </w:tcPr>
          <w:p w:rsidR="00962E27" w:rsidRDefault="00962E27" w:rsidP="00962E27">
            <w:pPr>
              <w:spacing w:before="20" w:after="20"/>
              <w:jc w:val="center"/>
            </w:pPr>
            <w:r>
              <w:t>100</w:t>
            </w:r>
          </w:p>
        </w:tc>
        <w:tc>
          <w:tcPr>
            <w:tcW w:w="1560" w:type="dxa"/>
          </w:tcPr>
          <w:p w:rsidR="00962E27" w:rsidRDefault="00962E27" w:rsidP="00962E27">
            <w:pPr>
              <w:spacing w:before="20" w:after="20"/>
              <w:jc w:val="center"/>
            </w:pPr>
            <w:r>
              <w:t>9</w:t>
            </w:r>
          </w:p>
        </w:tc>
        <w:tc>
          <w:tcPr>
            <w:tcW w:w="2970" w:type="dxa"/>
          </w:tcPr>
          <w:p w:rsidR="00962E27" w:rsidRDefault="00962E27" w:rsidP="00634987">
            <w:pPr>
              <w:spacing w:before="20" w:after="20"/>
              <w:jc w:val="left"/>
            </w:pPr>
            <w:r w:rsidRPr="00772145">
              <w:t>Residential street</w:t>
            </w:r>
          </w:p>
        </w:tc>
      </w:tr>
      <w:tr w:rsidR="00962E27" w:rsidTr="00962E27">
        <w:tc>
          <w:tcPr>
            <w:tcW w:w="606" w:type="dxa"/>
          </w:tcPr>
          <w:p w:rsidR="00962E27" w:rsidRDefault="00962E27" w:rsidP="00962E27">
            <w:pPr>
              <w:spacing w:before="20" w:after="20"/>
            </w:pPr>
            <w:r>
              <w:t>D</w:t>
            </w:r>
          </w:p>
        </w:tc>
        <w:tc>
          <w:tcPr>
            <w:tcW w:w="689" w:type="dxa"/>
          </w:tcPr>
          <w:p w:rsidR="00962E27" w:rsidRDefault="00962E27" w:rsidP="00962E27">
            <w:pPr>
              <w:spacing w:before="20" w:after="20"/>
              <w:jc w:val="center"/>
            </w:pPr>
            <w:r>
              <w:t>2</w:t>
            </w:r>
          </w:p>
        </w:tc>
        <w:tc>
          <w:tcPr>
            <w:tcW w:w="929" w:type="dxa"/>
          </w:tcPr>
          <w:p w:rsidR="00962E27" w:rsidRDefault="00962E27" w:rsidP="00962E27">
            <w:pPr>
              <w:spacing w:before="20" w:after="20"/>
              <w:jc w:val="center"/>
            </w:pPr>
            <w:r>
              <w:t>3</w:t>
            </w:r>
          </w:p>
        </w:tc>
        <w:tc>
          <w:tcPr>
            <w:tcW w:w="1740" w:type="dxa"/>
          </w:tcPr>
          <w:p w:rsidR="00962E27" w:rsidRDefault="00962E27" w:rsidP="00962E27">
            <w:pPr>
              <w:spacing w:before="20" w:after="20"/>
              <w:jc w:val="center"/>
            </w:pPr>
            <w:r>
              <w:t>130</w:t>
            </w:r>
          </w:p>
        </w:tc>
        <w:tc>
          <w:tcPr>
            <w:tcW w:w="1560" w:type="dxa"/>
          </w:tcPr>
          <w:p w:rsidR="00962E27" w:rsidRDefault="00962E27" w:rsidP="00962E27">
            <w:pPr>
              <w:spacing w:before="20" w:after="20"/>
              <w:jc w:val="center"/>
            </w:pPr>
            <w:r>
              <w:t>11</w:t>
            </w:r>
          </w:p>
        </w:tc>
        <w:tc>
          <w:tcPr>
            <w:tcW w:w="2970" w:type="dxa"/>
            <w:vMerge w:val="restart"/>
          </w:tcPr>
          <w:p w:rsidR="00962E27" w:rsidRDefault="00962E27" w:rsidP="00634987">
            <w:pPr>
              <w:spacing w:before="20" w:after="20"/>
              <w:jc w:val="left"/>
            </w:pPr>
            <w:r>
              <w:t xml:space="preserve">Public park. Spark and 2degrees sites in the area.  </w:t>
            </w:r>
          </w:p>
        </w:tc>
      </w:tr>
      <w:tr w:rsidR="00962E27" w:rsidTr="00962E27">
        <w:tc>
          <w:tcPr>
            <w:tcW w:w="606" w:type="dxa"/>
          </w:tcPr>
          <w:p w:rsidR="00962E27" w:rsidRDefault="00962E27" w:rsidP="00962E27">
            <w:pPr>
              <w:spacing w:before="20" w:after="20"/>
            </w:pPr>
            <w:r>
              <w:t>E</w:t>
            </w:r>
          </w:p>
        </w:tc>
        <w:tc>
          <w:tcPr>
            <w:tcW w:w="689" w:type="dxa"/>
          </w:tcPr>
          <w:p w:rsidR="00962E27" w:rsidRDefault="00962E27" w:rsidP="00962E27">
            <w:pPr>
              <w:spacing w:before="20" w:after="20"/>
              <w:jc w:val="center"/>
            </w:pPr>
            <w:r>
              <w:t>2</w:t>
            </w:r>
          </w:p>
        </w:tc>
        <w:tc>
          <w:tcPr>
            <w:tcW w:w="929" w:type="dxa"/>
          </w:tcPr>
          <w:p w:rsidR="00962E27" w:rsidRDefault="00962E27" w:rsidP="00962E27">
            <w:pPr>
              <w:spacing w:before="20" w:after="20"/>
              <w:jc w:val="center"/>
            </w:pPr>
            <w:r>
              <w:t>3</w:t>
            </w:r>
          </w:p>
        </w:tc>
        <w:tc>
          <w:tcPr>
            <w:tcW w:w="1740" w:type="dxa"/>
          </w:tcPr>
          <w:p w:rsidR="00962E27" w:rsidRDefault="00962E27" w:rsidP="00962E27">
            <w:pPr>
              <w:spacing w:before="20" w:after="20"/>
              <w:jc w:val="center"/>
            </w:pPr>
            <w:r>
              <w:t>100</w:t>
            </w:r>
          </w:p>
        </w:tc>
        <w:tc>
          <w:tcPr>
            <w:tcW w:w="1560" w:type="dxa"/>
          </w:tcPr>
          <w:p w:rsidR="00962E27" w:rsidRDefault="00962E27" w:rsidP="00962E27">
            <w:pPr>
              <w:spacing w:before="20" w:after="20"/>
              <w:jc w:val="center"/>
            </w:pPr>
            <w:r>
              <w:t>11</w:t>
            </w:r>
          </w:p>
        </w:tc>
        <w:tc>
          <w:tcPr>
            <w:tcW w:w="2970" w:type="dxa"/>
            <w:vMerge/>
          </w:tcPr>
          <w:p w:rsidR="00962E27" w:rsidRDefault="00962E27" w:rsidP="00634987">
            <w:pPr>
              <w:spacing w:before="20" w:after="20"/>
              <w:jc w:val="left"/>
            </w:pPr>
          </w:p>
        </w:tc>
      </w:tr>
      <w:tr w:rsidR="00962E27" w:rsidTr="00962E27">
        <w:tc>
          <w:tcPr>
            <w:tcW w:w="606" w:type="dxa"/>
          </w:tcPr>
          <w:p w:rsidR="00962E27" w:rsidRDefault="00962E27" w:rsidP="00962E27">
            <w:pPr>
              <w:spacing w:before="20" w:after="20"/>
            </w:pPr>
            <w:r>
              <w:t>F</w:t>
            </w:r>
          </w:p>
        </w:tc>
        <w:tc>
          <w:tcPr>
            <w:tcW w:w="689" w:type="dxa"/>
          </w:tcPr>
          <w:p w:rsidR="00962E27" w:rsidRDefault="00962E27" w:rsidP="00962E27">
            <w:pPr>
              <w:spacing w:before="20" w:after="20"/>
              <w:jc w:val="center"/>
            </w:pPr>
            <w:r>
              <w:t>3</w:t>
            </w:r>
          </w:p>
        </w:tc>
        <w:tc>
          <w:tcPr>
            <w:tcW w:w="929" w:type="dxa"/>
          </w:tcPr>
          <w:p w:rsidR="00962E27" w:rsidRDefault="00962E27" w:rsidP="00962E27">
            <w:pPr>
              <w:spacing w:before="20" w:after="20"/>
              <w:jc w:val="center"/>
            </w:pPr>
            <w:r>
              <w:t>3</w:t>
            </w:r>
          </w:p>
        </w:tc>
        <w:tc>
          <w:tcPr>
            <w:tcW w:w="1740" w:type="dxa"/>
          </w:tcPr>
          <w:p w:rsidR="00962E27" w:rsidRDefault="00962E27" w:rsidP="00962E27">
            <w:pPr>
              <w:spacing w:before="20" w:after="20"/>
              <w:jc w:val="center"/>
            </w:pPr>
            <w:r>
              <w:t>130</w:t>
            </w:r>
          </w:p>
        </w:tc>
        <w:tc>
          <w:tcPr>
            <w:tcW w:w="1560" w:type="dxa"/>
          </w:tcPr>
          <w:p w:rsidR="00962E27" w:rsidRDefault="00962E27" w:rsidP="00962E27">
            <w:pPr>
              <w:spacing w:before="20" w:after="20"/>
              <w:jc w:val="center"/>
            </w:pPr>
            <w:r>
              <w:t>9</w:t>
            </w:r>
          </w:p>
        </w:tc>
        <w:tc>
          <w:tcPr>
            <w:tcW w:w="2970" w:type="dxa"/>
          </w:tcPr>
          <w:p w:rsidR="00962E27" w:rsidRDefault="00962E27" w:rsidP="00634987">
            <w:pPr>
              <w:spacing w:before="20" w:after="20"/>
              <w:jc w:val="left"/>
            </w:pPr>
            <w:r>
              <w:t>Shopping centre. Spark site in the area</w:t>
            </w:r>
          </w:p>
        </w:tc>
      </w:tr>
      <w:tr w:rsidR="00962E27" w:rsidTr="00962E27">
        <w:tc>
          <w:tcPr>
            <w:tcW w:w="606" w:type="dxa"/>
          </w:tcPr>
          <w:p w:rsidR="00962E27" w:rsidRDefault="00962E27" w:rsidP="00962E27">
            <w:pPr>
              <w:spacing w:before="20" w:after="20"/>
            </w:pPr>
            <w:r>
              <w:t>G</w:t>
            </w:r>
          </w:p>
        </w:tc>
        <w:tc>
          <w:tcPr>
            <w:tcW w:w="689" w:type="dxa"/>
          </w:tcPr>
          <w:p w:rsidR="00962E27" w:rsidRDefault="00962E27" w:rsidP="00962E27">
            <w:pPr>
              <w:spacing w:before="20" w:after="20"/>
              <w:jc w:val="center"/>
            </w:pPr>
            <w:r>
              <w:t>4</w:t>
            </w:r>
          </w:p>
        </w:tc>
        <w:tc>
          <w:tcPr>
            <w:tcW w:w="929" w:type="dxa"/>
          </w:tcPr>
          <w:p w:rsidR="00962E27" w:rsidRDefault="00962E27" w:rsidP="00962E27">
            <w:pPr>
              <w:spacing w:before="20" w:after="20"/>
              <w:jc w:val="center"/>
            </w:pPr>
            <w:r>
              <w:t>3</w:t>
            </w:r>
          </w:p>
        </w:tc>
        <w:tc>
          <w:tcPr>
            <w:tcW w:w="1740" w:type="dxa"/>
          </w:tcPr>
          <w:p w:rsidR="00962E27" w:rsidRDefault="00962E27" w:rsidP="00962E27">
            <w:pPr>
              <w:spacing w:before="20" w:after="20"/>
              <w:jc w:val="center"/>
            </w:pPr>
            <w:r>
              <w:t>37</w:t>
            </w:r>
          </w:p>
        </w:tc>
        <w:tc>
          <w:tcPr>
            <w:tcW w:w="1560" w:type="dxa"/>
          </w:tcPr>
          <w:p w:rsidR="00962E27" w:rsidRDefault="00962E27" w:rsidP="00962E27">
            <w:pPr>
              <w:spacing w:before="20" w:after="20"/>
              <w:jc w:val="center"/>
            </w:pPr>
            <w:r>
              <w:t>8.5</w:t>
            </w:r>
          </w:p>
        </w:tc>
        <w:tc>
          <w:tcPr>
            <w:tcW w:w="2970" w:type="dxa"/>
          </w:tcPr>
          <w:p w:rsidR="00962E27" w:rsidRDefault="00962E27" w:rsidP="00634987">
            <w:pPr>
              <w:spacing w:before="20" w:after="20"/>
              <w:jc w:val="left"/>
            </w:pPr>
            <w:r>
              <w:t>Rooftop car park</w:t>
            </w:r>
          </w:p>
        </w:tc>
      </w:tr>
      <w:tr w:rsidR="00962E27" w:rsidTr="00962E27">
        <w:tc>
          <w:tcPr>
            <w:tcW w:w="606" w:type="dxa"/>
          </w:tcPr>
          <w:p w:rsidR="00962E27" w:rsidRDefault="00962E27" w:rsidP="00962E27">
            <w:pPr>
              <w:spacing w:before="20" w:after="20"/>
            </w:pPr>
            <w:r>
              <w:t>H</w:t>
            </w:r>
          </w:p>
        </w:tc>
        <w:tc>
          <w:tcPr>
            <w:tcW w:w="689" w:type="dxa"/>
          </w:tcPr>
          <w:p w:rsidR="00962E27" w:rsidRDefault="00962E27" w:rsidP="00962E27">
            <w:pPr>
              <w:spacing w:before="20" w:after="20"/>
              <w:jc w:val="center"/>
            </w:pPr>
            <w:r>
              <w:t>5</w:t>
            </w:r>
          </w:p>
        </w:tc>
        <w:tc>
          <w:tcPr>
            <w:tcW w:w="929" w:type="dxa"/>
          </w:tcPr>
          <w:p w:rsidR="00962E27" w:rsidRDefault="00962E27" w:rsidP="00962E27">
            <w:pPr>
              <w:spacing w:before="20" w:after="20"/>
              <w:jc w:val="center"/>
            </w:pPr>
            <w:r>
              <w:t>1</w:t>
            </w:r>
          </w:p>
        </w:tc>
        <w:tc>
          <w:tcPr>
            <w:tcW w:w="1740" w:type="dxa"/>
          </w:tcPr>
          <w:p w:rsidR="00962E27" w:rsidRDefault="00962E27" w:rsidP="00962E27">
            <w:pPr>
              <w:spacing w:before="20" w:after="20"/>
              <w:jc w:val="center"/>
            </w:pPr>
            <w:r>
              <w:t>30</w:t>
            </w:r>
          </w:p>
        </w:tc>
        <w:tc>
          <w:tcPr>
            <w:tcW w:w="1560" w:type="dxa"/>
          </w:tcPr>
          <w:p w:rsidR="00962E27" w:rsidRDefault="00962E27" w:rsidP="00962E27">
            <w:pPr>
              <w:spacing w:before="20" w:after="20"/>
              <w:jc w:val="center"/>
            </w:pPr>
            <w:r>
              <w:t>9</w:t>
            </w:r>
          </w:p>
        </w:tc>
        <w:tc>
          <w:tcPr>
            <w:tcW w:w="2970" w:type="dxa"/>
          </w:tcPr>
          <w:p w:rsidR="00962E27" w:rsidRDefault="00962E27" w:rsidP="00634987">
            <w:pPr>
              <w:spacing w:before="20" w:after="20"/>
              <w:jc w:val="left"/>
            </w:pPr>
            <w:r w:rsidRPr="00F2365A">
              <w:t>Residential street</w:t>
            </w:r>
          </w:p>
        </w:tc>
      </w:tr>
      <w:tr w:rsidR="00962E27" w:rsidTr="00962E27">
        <w:tc>
          <w:tcPr>
            <w:tcW w:w="606" w:type="dxa"/>
          </w:tcPr>
          <w:p w:rsidR="00962E27" w:rsidRDefault="00962E27" w:rsidP="00962E27">
            <w:pPr>
              <w:spacing w:before="20" w:after="20"/>
            </w:pPr>
            <w:r>
              <w:t>I</w:t>
            </w:r>
          </w:p>
        </w:tc>
        <w:tc>
          <w:tcPr>
            <w:tcW w:w="689" w:type="dxa"/>
          </w:tcPr>
          <w:p w:rsidR="00962E27" w:rsidRDefault="00962E27" w:rsidP="00962E27">
            <w:pPr>
              <w:spacing w:before="20" w:after="20"/>
              <w:jc w:val="center"/>
            </w:pPr>
            <w:r>
              <w:t>5</w:t>
            </w:r>
          </w:p>
        </w:tc>
        <w:tc>
          <w:tcPr>
            <w:tcW w:w="929" w:type="dxa"/>
          </w:tcPr>
          <w:p w:rsidR="00962E27" w:rsidRDefault="00962E27" w:rsidP="00962E27">
            <w:pPr>
              <w:spacing w:before="20" w:after="20"/>
              <w:jc w:val="center"/>
            </w:pPr>
            <w:r>
              <w:t>2</w:t>
            </w:r>
          </w:p>
        </w:tc>
        <w:tc>
          <w:tcPr>
            <w:tcW w:w="1740" w:type="dxa"/>
          </w:tcPr>
          <w:p w:rsidR="00962E27" w:rsidRDefault="00962E27" w:rsidP="00962E27">
            <w:pPr>
              <w:spacing w:before="20" w:after="20"/>
              <w:jc w:val="center"/>
            </w:pPr>
            <w:r>
              <w:t>35</w:t>
            </w:r>
          </w:p>
        </w:tc>
        <w:tc>
          <w:tcPr>
            <w:tcW w:w="1560" w:type="dxa"/>
          </w:tcPr>
          <w:p w:rsidR="00962E27" w:rsidRDefault="00962E27" w:rsidP="00962E27">
            <w:pPr>
              <w:spacing w:before="20" w:after="20"/>
              <w:jc w:val="center"/>
            </w:pPr>
            <w:r>
              <w:t>9</w:t>
            </w:r>
          </w:p>
        </w:tc>
        <w:tc>
          <w:tcPr>
            <w:tcW w:w="2970" w:type="dxa"/>
          </w:tcPr>
          <w:p w:rsidR="00962E27" w:rsidRDefault="00962E27" w:rsidP="00634987">
            <w:pPr>
              <w:spacing w:before="20" w:after="20"/>
              <w:jc w:val="left"/>
            </w:pPr>
            <w:r w:rsidRPr="00F2365A">
              <w:t>Residential street</w:t>
            </w:r>
          </w:p>
        </w:tc>
      </w:tr>
    </w:tbl>
    <w:p w:rsidR="00962E27" w:rsidRDefault="00962E27" w:rsidP="00962E27"/>
    <w:p w:rsidR="00AA64F9" w:rsidRDefault="00AA64F9" w:rsidP="006618D7">
      <w:pPr>
        <w:pStyle w:val="Heading2"/>
      </w:pPr>
      <w:r>
        <w:t>Conclusions</w:t>
      </w:r>
    </w:p>
    <w:p w:rsidR="00AA64F9" w:rsidRDefault="00AA64F9" w:rsidP="00AA64F9">
      <w:r>
        <w:t xml:space="preserve">All exposures </w:t>
      </w:r>
      <w:r w:rsidR="00962E27">
        <w:t>during the download speed test</w:t>
      </w:r>
      <w:r>
        <w:t xml:space="preserve"> were well below the limit allowed for the public in the New Zealand RF field exposure Standard, and would continue to be so if </w:t>
      </w:r>
      <w:r w:rsidR="00A82577">
        <w:t>all</w:t>
      </w:r>
      <w:r>
        <w:t xml:space="preserve"> transmitters </w:t>
      </w:r>
      <w:r w:rsidR="00481848">
        <w:t xml:space="preserve">currently installed </w:t>
      </w:r>
      <w:r w:rsidR="00775BC0">
        <w:t xml:space="preserve">at the Vodafone site </w:t>
      </w:r>
      <w:r w:rsidR="0062590C">
        <w:t xml:space="preserve">were to </w:t>
      </w:r>
      <w:r>
        <w:t xml:space="preserve">operate at their maximum power. </w:t>
      </w:r>
      <w:r w:rsidR="006618D7">
        <w:t xml:space="preserve"> </w:t>
      </w:r>
      <w:r w:rsidR="00962E27">
        <w:t xml:space="preserve">During the speed test the exposure from the 5G transmitters was typically no more than one tenth of the total exposure from the Vodafone site.   </w:t>
      </w:r>
      <w:r>
        <w:t xml:space="preserve"> </w:t>
      </w:r>
    </w:p>
    <w:p w:rsidR="00201DC5" w:rsidRPr="00AA64F9" w:rsidRDefault="00201DC5" w:rsidP="00AA64F9">
      <w:r>
        <w:t>These results give a</w:t>
      </w:r>
      <w:r w:rsidRPr="00201DC5">
        <w:t xml:space="preserve"> </w:t>
      </w:r>
      <w:r>
        <w:t xml:space="preserve">picture of exposures found with the current deployment of 5G technology.  It should be noted that the sites have passive antennas (in other words, they are not beam-forming antennas that form more tightly focussed radio beams directed towards individual users), and results obtained in the future with beam-forming antennas could be different.  </w:t>
      </w:r>
    </w:p>
    <w:p w:rsidR="00377F6D" w:rsidRDefault="005A6075" w:rsidP="006618D7">
      <w:r w:rsidRPr="005A6075">
        <w:t xml:space="preserve"> </w:t>
      </w:r>
      <w:r w:rsidR="006618D7">
        <w:t>Full details of the measurement equipment and procedures, and the New Zealand RF field exposure Standard, are presented in appendices to this report.</w:t>
      </w:r>
    </w:p>
    <w:p w:rsidR="00213522" w:rsidRDefault="00213522" w:rsidP="006618D7"/>
    <w:p w:rsidR="00213522" w:rsidRDefault="00213522" w:rsidP="006618D7"/>
    <w:p w:rsidR="00213522" w:rsidRDefault="00213522">
      <w:pPr>
        <w:spacing w:line="276" w:lineRule="auto"/>
        <w:jc w:val="left"/>
      </w:pPr>
      <w:r>
        <w:br w:type="page"/>
      </w:r>
    </w:p>
    <w:p w:rsidR="00213522" w:rsidRPr="0062590C" w:rsidRDefault="00213522" w:rsidP="00213522">
      <w:pPr>
        <w:pStyle w:val="Heading1"/>
      </w:pPr>
      <w:r w:rsidRPr="0062590C">
        <w:lastRenderedPageBreak/>
        <w:t>Appendix 1</w:t>
      </w:r>
      <w:r w:rsidRPr="0062590C">
        <w:tab/>
        <w:t>Site description</w:t>
      </w:r>
    </w:p>
    <w:p w:rsidR="00213522" w:rsidRDefault="00213522" w:rsidP="00213522">
      <w:r w:rsidRPr="00213522">
        <w:t>Each of the sites h</w:t>
      </w:r>
      <w:r>
        <w:t xml:space="preserve">ad transmitters operating in all of Vodafone’s frequency bands (700, 900, 1800, 2100, 2600 and 3500 MHz) using 2, 3, 4 and 5G technologies.  Each sector has two antennas, one transmitting the 2, 3 and 4G signals, and the other the 3500 MHz 5G signal.  </w:t>
      </w:r>
    </w:p>
    <w:p w:rsidR="00213522" w:rsidRDefault="00213522" w:rsidP="00213522">
      <w:r>
        <w:t>Characteristics of the four technologies are summarised below.</w:t>
      </w:r>
    </w:p>
    <w:p w:rsidR="00213522" w:rsidRPr="00213522" w:rsidRDefault="00213522" w:rsidP="00213522">
      <w:pPr>
        <w:pStyle w:val="Heading2"/>
      </w:pPr>
      <w:r>
        <w:t>1.1</w:t>
      </w:r>
      <w:r>
        <w:tab/>
        <w:t>2G</w:t>
      </w:r>
      <w:r w:rsidR="005374D4">
        <w:t xml:space="preserve"> (GSM)</w:t>
      </w:r>
    </w:p>
    <w:p w:rsidR="00213522" w:rsidRDefault="005374D4" w:rsidP="00213522">
      <w:r>
        <w:t>GSM components are configured to transmit on one Control (BCCH) channel, and one or more Traffic (TCH) channels on each sector.  The control channels transmit continuously at constant power, and the traffic channel power is adjusted as necessary to handle</w:t>
      </w:r>
      <w:r w:rsidR="0062590C">
        <w:t xml:space="preserve"> additional</w:t>
      </w:r>
      <w:r>
        <w:t xml:space="preserve"> traffic.  The maximum power of the traffic channels in each frequency band is the same as that of the control channel in the same band.</w:t>
      </w:r>
    </w:p>
    <w:p w:rsidR="005374D4" w:rsidRPr="00213522" w:rsidRDefault="005374D4" w:rsidP="005374D4">
      <w:pPr>
        <w:pStyle w:val="Heading2"/>
      </w:pPr>
      <w:r>
        <w:t>1.2</w:t>
      </w:r>
      <w:r>
        <w:tab/>
        <w:t>3G (UMTS)</w:t>
      </w:r>
    </w:p>
    <w:p w:rsidR="00213522" w:rsidRDefault="005374D4" w:rsidP="00213522">
      <w:r>
        <w:t>The power of UMTS carriers is adjusted up and down depending on the amount of traffic passing through the site.  Each carrier includes a primary common pilot channel (P-CPICH) which is always transmitted, even if no calls are going through the site, at a constant fraction of the maximum carrier power.</w:t>
      </w:r>
    </w:p>
    <w:p w:rsidR="005374D4" w:rsidRDefault="005374D4" w:rsidP="005374D4">
      <w:pPr>
        <w:pStyle w:val="Heading2"/>
      </w:pPr>
      <w:r>
        <w:t>1.3</w:t>
      </w:r>
      <w:r>
        <w:tab/>
        <w:t>4G (LTE)</w:t>
      </w:r>
    </w:p>
    <w:p w:rsidR="005374D4" w:rsidRDefault="005374D4" w:rsidP="005374D4">
      <w:r>
        <w:t>Like UMTS, the power of the LTE carriers is varied up and down so as to be just sufficient to handle traffic passing through the site.  Reference signals, whose power is constant and bears a fixed relationship to the maximum carrier power, are transmitted regularly across the LTE carrier.</w:t>
      </w:r>
    </w:p>
    <w:p w:rsidR="005374D4" w:rsidRDefault="005374D4" w:rsidP="005374D4">
      <w:pPr>
        <w:pStyle w:val="Heading2"/>
      </w:pPr>
      <w:r>
        <w:t>1.4</w:t>
      </w:r>
      <w:r>
        <w:tab/>
        <w:t>5G (NR)</w:t>
      </w:r>
    </w:p>
    <w:p w:rsidR="005374D4" w:rsidRDefault="005374D4" w:rsidP="005374D4">
      <w:r>
        <w:t xml:space="preserve">5G sites currently implemented </w:t>
      </w:r>
      <w:r w:rsidR="0062590C">
        <w:t xml:space="preserve">by Vodafone </w:t>
      </w:r>
      <w:r>
        <w:t>use passive (non-beamforming) antennas.  Synchronisation signals are transmitted periodically at constant power in the central portion of the carrier spectrum.  There is a fixed ratio between the power of the synchronisation signals and the power of the data signals.</w:t>
      </w:r>
    </w:p>
    <w:p w:rsidR="005374D4" w:rsidRPr="005374D4" w:rsidRDefault="005374D4" w:rsidP="005374D4"/>
    <w:p w:rsidR="00962E27" w:rsidRPr="00213522" w:rsidRDefault="00C77EF1" w:rsidP="00962E27">
      <w:pPr>
        <w:pStyle w:val="Heading1"/>
      </w:pPr>
      <w:r w:rsidRPr="00213522">
        <w:br w:type="page"/>
      </w:r>
    </w:p>
    <w:p w:rsidR="00DE6641" w:rsidRPr="0062590C" w:rsidRDefault="00DE6641" w:rsidP="00B0085D">
      <w:pPr>
        <w:pStyle w:val="Heading1"/>
      </w:pPr>
      <w:r w:rsidRPr="0062590C">
        <w:lastRenderedPageBreak/>
        <w:t xml:space="preserve">Appendix </w:t>
      </w:r>
      <w:r w:rsidR="005374D4" w:rsidRPr="0062590C">
        <w:t>2</w:t>
      </w:r>
      <w:r w:rsidRPr="0062590C">
        <w:tab/>
        <w:t>Exposure Standards</w:t>
      </w:r>
    </w:p>
    <w:p w:rsidR="00DE6641" w:rsidRDefault="00DE6641" w:rsidP="00DE6641">
      <w:r>
        <w:t xml:space="preserve">The New Zealand Ministry of Health recommends using NZS 2772.1:1999 </w:t>
      </w:r>
      <w:r>
        <w:rPr>
          <w:i/>
        </w:rPr>
        <w:t>Radiofrequency Fields Part 1: Maximum exposure levels – 3 kHz to 300 GHz</w:t>
      </w:r>
      <w:r>
        <w:t xml:space="preserve"> to manage exposure to RF fields.  This Standard is based closely on Guidelines published by the International Commission on Non-Ionising Radiation Protection (ICNIRP).  ICNIRP is an independent scientific body recognised by the World Health Organisation for its independence and expertise in this area.  Their exposure Guidelines, which are based on a careful review of the health effects research, were first published in 1998</w:t>
      </w:r>
      <w:r>
        <w:rPr>
          <w:rStyle w:val="FootnoteReference"/>
        </w:rPr>
        <w:footnoteReference w:id="1"/>
      </w:r>
      <w:r>
        <w:t>, and reaffirmed in 2009</w:t>
      </w:r>
      <w:r>
        <w:rPr>
          <w:rStyle w:val="FootnoteReference"/>
        </w:rPr>
        <w:footnoteReference w:id="2"/>
      </w:r>
      <w:r>
        <w:t xml:space="preserve"> following a review of more recent research in this area</w:t>
      </w:r>
      <w:r>
        <w:rPr>
          <w:rStyle w:val="FootnoteReference"/>
        </w:rPr>
        <w:footnoteReference w:id="3"/>
      </w:r>
      <w:r w:rsidR="001A6EC1">
        <w:t>, and again in 2017</w:t>
      </w:r>
      <w:r w:rsidR="001A6EC1">
        <w:rPr>
          <w:rStyle w:val="FootnoteReference"/>
        </w:rPr>
        <w:footnoteReference w:id="4"/>
      </w:r>
      <w:r>
        <w:t>.  Research published since 2009 has been reviewed by a number of other health and scientific bodies</w:t>
      </w:r>
      <w:r>
        <w:rPr>
          <w:rStyle w:val="FootnoteReference"/>
        </w:rPr>
        <w:footnoteReference w:id="5"/>
      </w:r>
      <w:r>
        <w:t xml:space="preserve">, none of which has questioned the underlying basis of the limits used in New Zealand.  </w:t>
      </w:r>
    </w:p>
    <w:p w:rsidR="001A6EC1" w:rsidRDefault="001A6EC1" w:rsidP="001A6EC1">
      <w:r>
        <w:t>NZS 2772.1 sets limits for exposure to the RF fields produced by all types of transmitters, and covers both public and occupational exposures.  Occupational limits should normally be applied only to people who are expected to work on RF sources (eg radio technicians and engineers, riggers, RF welder operators etc), who have received training about potential hazards and precautions which should be taken to avoid them.  Their exposures to occupational levels would normally be limited to the working day and over their working lifetime.  Occupational exposure limits are set at levels 10 times lower than the threshold at which adverse health effects might occur.  Members of the public, on the other hand, includes people of all ages who could be in any state of health, and whose exposures could be of unlimited duration. For these reasons, public limits have a safety factor of 50.</w:t>
      </w:r>
    </w:p>
    <w:p w:rsidR="00DE6641" w:rsidRDefault="00DE6641" w:rsidP="00DE6641">
      <w:r>
        <w:t xml:space="preserve">At the frequencies of interest for this survey, the Standard sets fundamental limits, called </w:t>
      </w:r>
      <w:r>
        <w:rPr>
          <w:i/>
        </w:rPr>
        <w:t>basic restrictions</w:t>
      </w:r>
      <w:r w:rsidRPr="0022443C">
        <w:rPr>
          <w:i/>
        </w:rPr>
        <w:t>,</w:t>
      </w:r>
      <w:r>
        <w:rPr>
          <w:i/>
        </w:rPr>
        <w:t xml:space="preserve"> </w:t>
      </w:r>
      <w:r w:rsidRPr="0022443C">
        <w:t>on the amount of RF power absorbed in the body</w:t>
      </w:r>
      <w:r>
        <w:t xml:space="preserve">.  As absorption of RF power is difficult to measure, the Standard also specifies </w:t>
      </w:r>
      <w:r>
        <w:rPr>
          <w:i/>
        </w:rPr>
        <w:t>reference levels</w:t>
      </w:r>
      <w:r>
        <w:t xml:space="preserve"> in terms of the more readily measured (or calculated) electric and magnetic field strengths, and plane wave equivalent </w:t>
      </w:r>
      <w:r w:rsidR="00347B0A">
        <w:t>power density</w:t>
      </w:r>
      <w:r>
        <w:t>.  Compliance with the reference levels ensures compliance with the basic restrictions, and in many situations they can effectively be regarded as the NZS</w:t>
      </w:r>
      <w:r w:rsidR="00634987">
        <w:t> </w:t>
      </w:r>
      <w:r>
        <w:t xml:space="preserve">2772.1 “exposure limits”, although this term is not used as such in the Standard.  If exposures exceed the reference levels, this does not necessarily mean that the basic restriction has also been exceeded.  However, a more comprehensive analysis is required before compliance can be verified.  </w:t>
      </w:r>
    </w:p>
    <w:p w:rsidR="00DE6641" w:rsidRDefault="00DE6641" w:rsidP="00DE6641">
      <w:r>
        <w:t>The exposure limit, in watts per square metre (W/m</w:t>
      </w:r>
      <w:r w:rsidRPr="005F6FCE">
        <w:rPr>
          <w:vertAlign w:val="superscript"/>
        </w:rPr>
        <w:t>2</w:t>
      </w:r>
      <w:r>
        <w:t xml:space="preserve">) depends on the frequency of the RF field as shown in the table below.  </w:t>
      </w:r>
    </w:p>
    <w:tbl>
      <w:tblPr>
        <w:tblStyle w:val="TableGrid"/>
        <w:tblW w:w="6487" w:type="dxa"/>
        <w:tblLook w:val="04A0" w:firstRow="1" w:lastRow="0" w:firstColumn="1" w:lastColumn="0" w:noHBand="0" w:noVBand="1"/>
      </w:tblPr>
      <w:tblGrid>
        <w:gridCol w:w="2376"/>
        <w:gridCol w:w="4111"/>
      </w:tblGrid>
      <w:tr w:rsidR="00DE6641" w:rsidRPr="00DF786F" w:rsidTr="000C6F96">
        <w:trPr>
          <w:tblHeader/>
        </w:trPr>
        <w:tc>
          <w:tcPr>
            <w:tcW w:w="2376" w:type="dxa"/>
          </w:tcPr>
          <w:p w:rsidR="00DE6641" w:rsidRPr="00DF786F" w:rsidRDefault="00DE6641" w:rsidP="000C6F96">
            <w:pPr>
              <w:keepNext/>
              <w:spacing w:before="20" w:after="20"/>
              <w:rPr>
                <w:b/>
              </w:rPr>
            </w:pPr>
            <w:r w:rsidRPr="00DF786F">
              <w:rPr>
                <w:b/>
              </w:rPr>
              <w:lastRenderedPageBreak/>
              <w:t>Frequency band</w:t>
            </w:r>
          </w:p>
        </w:tc>
        <w:tc>
          <w:tcPr>
            <w:tcW w:w="4111" w:type="dxa"/>
          </w:tcPr>
          <w:p w:rsidR="00DE6641" w:rsidRPr="00DF786F" w:rsidRDefault="00DE6641" w:rsidP="000C6F96">
            <w:pPr>
              <w:keepNext/>
              <w:spacing w:before="20" w:after="20"/>
              <w:jc w:val="center"/>
              <w:rPr>
                <w:b/>
              </w:rPr>
            </w:pPr>
            <w:r>
              <w:rPr>
                <w:b/>
              </w:rPr>
              <w:t>Public l</w:t>
            </w:r>
            <w:r w:rsidRPr="00DF786F">
              <w:rPr>
                <w:b/>
              </w:rPr>
              <w:t>imit</w:t>
            </w:r>
          </w:p>
        </w:tc>
      </w:tr>
      <w:tr w:rsidR="00DE6641" w:rsidTr="000C6F96">
        <w:tc>
          <w:tcPr>
            <w:tcW w:w="2376" w:type="dxa"/>
          </w:tcPr>
          <w:p w:rsidR="00DE6641" w:rsidRDefault="00DE6641" w:rsidP="000C6F96">
            <w:pPr>
              <w:keepNext/>
              <w:spacing w:before="20" w:after="20"/>
            </w:pPr>
            <w:r>
              <w:t>10 MHz – 400 MHz</w:t>
            </w:r>
          </w:p>
        </w:tc>
        <w:tc>
          <w:tcPr>
            <w:tcW w:w="4111" w:type="dxa"/>
          </w:tcPr>
          <w:p w:rsidR="00DE6641" w:rsidRDefault="00DE6641" w:rsidP="000C6F96">
            <w:pPr>
              <w:keepNext/>
              <w:spacing w:before="20" w:after="20"/>
              <w:jc w:val="center"/>
            </w:pPr>
            <w:r>
              <w:t>2W/m</w:t>
            </w:r>
            <w:r w:rsidRPr="005F6FCE">
              <w:rPr>
                <w:vertAlign w:val="superscript"/>
              </w:rPr>
              <w:t>2</w:t>
            </w:r>
          </w:p>
        </w:tc>
      </w:tr>
      <w:tr w:rsidR="00DE6641" w:rsidTr="000C6F96">
        <w:tc>
          <w:tcPr>
            <w:tcW w:w="2376" w:type="dxa"/>
          </w:tcPr>
          <w:p w:rsidR="00DE6641" w:rsidRDefault="00DE6641" w:rsidP="000C6F96">
            <w:pPr>
              <w:keepNext/>
              <w:spacing w:before="20" w:after="20"/>
            </w:pPr>
            <w:r>
              <w:t>400 MHz – 2000 MHz</w:t>
            </w:r>
          </w:p>
        </w:tc>
        <w:tc>
          <w:tcPr>
            <w:tcW w:w="4111" w:type="dxa"/>
          </w:tcPr>
          <w:p w:rsidR="00DE6641" w:rsidRDefault="00DE6641" w:rsidP="000C6F96">
            <w:pPr>
              <w:keepNext/>
              <w:spacing w:before="20" w:after="20"/>
              <w:jc w:val="center"/>
            </w:pPr>
            <w:r>
              <w:t>f/2</w:t>
            </w:r>
            <w:r>
              <w:rPr>
                <w:rFonts w:ascii="Symbol" w:hAnsi="Symbol"/>
              </w:rPr>
              <w:t></w:t>
            </w:r>
            <w:r>
              <w:rPr>
                <w:rFonts w:ascii="Symbol" w:hAnsi="Symbol"/>
              </w:rPr>
              <w:t></w:t>
            </w:r>
            <w:r>
              <w:rPr>
                <w:rFonts w:ascii="Symbol" w:hAnsi="Symbol"/>
              </w:rPr>
              <w:t></w:t>
            </w:r>
            <w:r>
              <w:t>W/m</w:t>
            </w:r>
            <w:r w:rsidRPr="005F6FCE">
              <w:rPr>
                <w:vertAlign w:val="superscript"/>
              </w:rPr>
              <w:t>2</w:t>
            </w:r>
            <w:r>
              <w:t xml:space="preserve"> (f = frequency in MHz)</w:t>
            </w:r>
          </w:p>
        </w:tc>
      </w:tr>
      <w:tr w:rsidR="00DE6641" w:rsidTr="000C6F96">
        <w:tc>
          <w:tcPr>
            <w:tcW w:w="2376" w:type="dxa"/>
          </w:tcPr>
          <w:p w:rsidR="00DE6641" w:rsidRDefault="00DE6641" w:rsidP="000C6F96">
            <w:pPr>
              <w:spacing w:before="20" w:after="20"/>
            </w:pPr>
            <w:r>
              <w:t>&gt;2000 MHz</w:t>
            </w:r>
          </w:p>
        </w:tc>
        <w:tc>
          <w:tcPr>
            <w:tcW w:w="4111" w:type="dxa"/>
          </w:tcPr>
          <w:p w:rsidR="00DE6641" w:rsidRDefault="00DE6641" w:rsidP="000C6F96">
            <w:pPr>
              <w:spacing w:before="20" w:after="20"/>
              <w:jc w:val="center"/>
            </w:pPr>
            <w:r>
              <w:t>10 W/m</w:t>
            </w:r>
            <w:r w:rsidRPr="005F6FCE">
              <w:rPr>
                <w:vertAlign w:val="superscript"/>
              </w:rPr>
              <w:t>2</w:t>
            </w:r>
          </w:p>
        </w:tc>
      </w:tr>
    </w:tbl>
    <w:p w:rsidR="00DE6641" w:rsidRDefault="00DE6641" w:rsidP="00DE6641"/>
    <w:p w:rsidR="00DE6641" w:rsidRDefault="00DE6641" w:rsidP="00DE6641">
      <w:r>
        <w:t>At the frequencies of interest in this survey, the limits prescribed in the Standard are average values over six minutes.  Spatial averaging, at the four corners and centre of a 30 cm square</w:t>
      </w:r>
      <w:r w:rsidR="00AD5EC8">
        <w:t xml:space="preserve"> whose sides are between 4.5 and 30 cm long, depending on the transmitter frequency</w:t>
      </w:r>
      <w:r>
        <w:t xml:space="preserve">, is also permitted.  </w:t>
      </w:r>
      <w:r w:rsidR="006B118C">
        <w:t>Apart from the time averaging noted in Appendix 3.2, no other averaging was carried out in this survey.</w:t>
      </w:r>
    </w:p>
    <w:p w:rsidR="002472E0" w:rsidRDefault="002472E0" w:rsidP="00DE6641">
      <w:r w:rsidRPr="002472E0">
        <w:t xml:space="preserve">ICNIRP published revised Guidelines in April 2020.  </w:t>
      </w:r>
      <w:r>
        <w:t xml:space="preserve">The reference levels relevant to this survey are the same as those in the table above.  However, the averaging time is increased to 30 minutes.  </w:t>
      </w:r>
    </w:p>
    <w:p w:rsidR="00DE6641" w:rsidRDefault="00DE6641">
      <w:pPr>
        <w:spacing w:line="276" w:lineRule="auto"/>
        <w:jc w:val="left"/>
        <w:rPr>
          <w:rFonts w:asciiTheme="majorHAnsi" w:eastAsiaTheme="majorEastAsia" w:hAnsiTheme="majorHAnsi" w:cstheme="majorBidi"/>
          <w:b/>
          <w:bCs/>
          <w:sz w:val="28"/>
          <w:szCs w:val="28"/>
        </w:rPr>
      </w:pPr>
      <w:r>
        <w:br w:type="page"/>
      </w:r>
    </w:p>
    <w:p w:rsidR="005B47F9" w:rsidRDefault="005B47F9" w:rsidP="005B47F9">
      <w:pPr>
        <w:pStyle w:val="Heading1"/>
      </w:pPr>
      <w:r>
        <w:lastRenderedPageBreak/>
        <w:t xml:space="preserve">Appendix </w:t>
      </w:r>
      <w:r w:rsidR="005374D4">
        <w:t>3</w:t>
      </w:r>
      <w:r>
        <w:tab/>
        <w:t>Measurement equipment and techniques</w:t>
      </w:r>
    </w:p>
    <w:p w:rsidR="005B47F9" w:rsidRDefault="005B47F9" w:rsidP="005B47F9">
      <w:r>
        <w:t>The planning, execution and reporting of the measurement survey followed the procedures recommended in AS/NZS 2772.2:201</w:t>
      </w:r>
      <w:r w:rsidR="000A0BB8">
        <w:t>6</w:t>
      </w:r>
      <w:r>
        <w:t xml:space="preserve"> </w:t>
      </w:r>
      <w:r>
        <w:rPr>
          <w:i/>
        </w:rPr>
        <w:t>Radiofrequency fields Part 2: Principles and methods of measurement and computation – 3 kHz to 300 GHz</w:t>
      </w:r>
      <w:r>
        <w:t xml:space="preserve">.  </w:t>
      </w:r>
    </w:p>
    <w:p w:rsidR="00A913DB" w:rsidRDefault="00A913DB" w:rsidP="005B47F9">
      <w:r>
        <w:t>The</w:t>
      </w:r>
      <w:r w:rsidR="001A6EC1">
        <w:t xml:space="preserve"> weather was </w:t>
      </w:r>
      <w:r w:rsidR="001D58F7">
        <w:t>sunny</w:t>
      </w:r>
      <w:r>
        <w:t xml:space="preserve"> </w:t>
      </w:r>
      <w:r w:rsidR="0066694D">
        <w:t xml:space="preserve">or cloudy </w:t>
      </w:r>
      <w:r>
        <w:t>at the time</w:t>
      </w:r>
      <w:r w:rsidR="0066694D">
        <w:t>s the measurements were made</w:t>
      </w:r>
      <w:r>
        <w:t>, with temperature</w:t>
      </w:r>
      <w:r w:rsidR="0066694D">
        <w:t>s in the range17-22</w:t>
      </w:r>
      <w:r>
        <w:t>°C</w:t>
      </w:r>
    </w:p>
    <w:p w:rsidR="005B47F9" w:rsidRDefault="005374D4" w:rsidP="005B47F9">
      <w:pPr>
        <w:pStyle w:val="Heading2"/>
      </w:pPr>
      <w:r>
        <w:t>3</w:t>
      </w:r>
      <w:r w:rsidR="005B47F9">
        <w:t>.1</w:t>
      </w:r>
      <w:r w:rsidR="005B47F9">
        <w:tab/>
        <w:t>Measuring equipment</w:t>
      </w:r>
    </w:p>
    <w:p w:rsidR="005B47F9" w:rsidRDefault="005B47F9" w:rsidP="005B47F9">
      <w:r>
        <w:t xml:space="preserve">RF fields were measured with a Narda SRM-3006 Selective Radiation Meter and three-axis electric field probe connected by a 1.5 m cable.  Full specifications are presented in Annexe A.  </w:t>
      </w:r>
    </w:p>
    <w:p w:rsidR="005B47F9" w:rsidRDefault="005B47F9" w:rsidP="005B47F9">
      <w:r w:rsidRPr="005F3AB0">
        <w:t>The meter</w:t>
      </w:r>
      <w:r>
        <w:t xml:space="preserve"> and probe combination</w:t>
      </w:r>
      <w:r w:rsidRPr="005F3AB0">
        <w:t xml:space="preserve"> measures electric field strength, which is expressed in units of volts per metre (V/m). For ease of comparison with the </w:t>
      </w:r>
      <w:r>
        <w:t xml:space="preserve">exposure </w:t>
      </w:r>
      <w:r w:rsidRPr="005F3AB0">
        <w:t xml:space="preserve">limits </w:t>
      </w:r>
      <w:r>
        <w:t>recommended</w:t>
      </w:r>
      <w:r w:rsidRPr="005F3AB0">
        <w:t xml:space="preserve"> in NZS 2772.1:1999, </w:t>
      </w:r>
      <w:r>
        <w:t>the meter was set to record data as</w:t>
      </w:r>
      <w:r w:rsidRPr="005F3AB0">
        <w:t xml:space="preserve"> the equivalent </w:t>
      </w:r>
      <w:r w:rsidR="00347B0A">
        <w:t>power density</w:t>
      </w:r>
      <w:r w:rsidRPr="005F3AB0">
        <w:t xml:space="preserve"> of a plane wave, </w:t>
      </w:r>
      <w:r>
        <w:t xml:space="preserve">and results </w:t>
      </w:r>
      <w:r w:rsidR="00E37A69">
        <w:t xml:space="preserve">in this report </w:t>
      </w:r>
      <w:r>
        <w:t xml:space="preserve">are presented as a percentage of the </w:t>
      </w:r>
      <w:r w:rsidR="00347B0A">
        <w:t>power density</w:t>
      </w:r>
      <w:r>
        <w:t xml:space="preserve"> reference level recommended in the NZ RF field exposure Standard</w:t>
      </w:r>
      <w:r w:rsidRPr="005F3AB0">
        <w:t>.</w:t>
      </w:r>
    </w:p>
    <w:p w:rsidR="0066694D" w:rsidRDefault="0066694D" w:rsidP="005B47F9">
      <w:r>
        <w:t xml:space="preserve">The probe was mounted on an insulated stand 1.5 m above the ground.  </w:t>
      </w:r>
    </w:p>
    <w:p w:rsidR="005B47F9" w:rsidRDefault="005374D4" w:rsidP="005B47F9">
      <w:pPr>
        <w:pStyle w:val="Heading2"/>
      </w:pPr>
      <w:r>
        <w:t>3</w:t>
      </w:r>
      <w:r w:rsidR="005B47F9">
        <w:t>.2</w:t>
      </w:r>
      <w:r w:rsidR="005B47F9">
        <w:tab/>
        <w:t>Measurement technique</w:t>
      </w:r>
    </w:p>
    <w:p w:rsidR="00433DC8" w:rsidRPr="00433DC8" w:rsidRDefault="005374D4" w:rsidP="00433DC8">
      <w:pPr>
        <w:pStyle w:val="Heading3"/>
      </w:pPr>
      <w:r>
        <w:t>3</w:t>
      </w:r>
      <w:r w:rsidR="00433DC8">
        <w:t>.2.1</w:t>
      </w:r>
      <w:r w:rsidR="00433DC8">
        <w:tab/>
        <w:t xml:space="preserve">Exposures </w:t>
      </w:r>
      <w:r w:rsidR="0066694D">
        <w:t>during a download speed test</w:t>
      </w:r>
    </w:p>
    <w:p w:rsidR="005B47F9" w:rsidRDefault="00B12AB0" w:rsidP="000A0BB8">
      <w:r>
        <w:t>E</w:t>
      </w:r>
      <w:r w:rsidR="005B47F9">
        <w:t xml:space="preserve">xposures </w:t>
      </w:r>
      <w:r w:rsidR="0066694D">
        <w:t>during the download speed test</w:t>
      </w:r>
      <w:r>
        <w:t xml:space="preserve"> were </w:t>
      </w:r>
      <w:r w:rsidR="00433DC8">
        <w:t>measured</w:t>
      </w:r>
      <w:r>
        <w:t xml:space="preserve"> with the meter in </w:t>
      </w:r>
      <w:r w:rsidR="000A0BB8">
        <w:t>safety evaluation</w:t>
      </w:r>
      <w:r w:rsidR="005B47F9">
        <w:t xml:space="preserve"> mode.  </w:t>
      </w:r>
      <w:r w:rsidR="000A0BB8">
        <w:t xml:space="preserve">In this mode, the meter measures the power density in each of a number of preset frequency bands (called “services” in the instrument terminology), plus the total power density of signals which fall outside these bands. The preset frequency bands used, and their approximate detection thresholds (or noise levels) are summarised in Annexe </w:t>
      </w:r>
      <w:r w:rsidR="00220481">
        <w:t>B</w:t>
      </w:r>
      <w:r w:rsidR="000A0BB8">
        <w:t>.</w:t>
      </w:r>
      <w:r>
        <w:t xml:space="preserve"> </w:t>
      </w:r>
      <w:r w:rsidR="00213522">
        <w:t>T</w:t>
      </w:r>
      <w:r w:rsidR="000A0BB8">
        <w:t xml:space="preserve">he preset frequency bands were </w:t>
      </w:r>
      <w:r w:rsidR="00213522">
        <w:t>set up to cover the downlink</w:t>
      </w:r>
      <w:r w:rsidR="000A0BB8">
        <w:t xml:space="preserve"> frequencies used by </w:t>
      </w:r>
      <w:r w:rsidR="00D03F60">
        <w:t>Vodafone</w:t>
      </w:r>
      <w:r w:rsidR="000A0BB8">
        <w:t xml:space="preserve">, as well as </w:t>
      </w:r>
      <w:r w:rsidR="00213522">
        <w:t xml:space="preserve">the downlink frequencies </w:t>
      </w:r>
      <w:r w:rsidR="000A0BB8">
        <w:t xml:space="preserve">used by the other mobile phone operators.  </w:t>
      </w:r>
    </w:p>
    <w:p w:rsidR="006B118C" w:rsidRDefault="006B118C" w:rsidP="005B47F9">
      <w:r>
        <w:t xml:space="preserve">The meter was set to average the readings from </w:t>
      </w:r>
      <w:r w:rsidR="00213522">
        <w:t>16</w:t>
      </w:r>
      <w:r>
        <w:t xml:space="preserve"> successive sweeps through the frequencies of interest.</w:t>
      </w:r>
      <w:r w:rsidR="00213522">
        <w:t xml:space="preserve">  Each sweep too</w:t>
      </w:r>
      <w:r w:rsidR="001E31DC">
        <w:t>k</w:t>
      </w:r>
      <w:r w:rsidR="00213522">
        <w:t xml:space="preserve"> approximately 2.2 seconds.  </w:t>
      </w:r>
      <w:r>
        <w:t xml:space="preserve"> As noted in Appendix 1, the power of the </w:t>
      </w:r>
      <w:r w:rsidR="00D03F60">
        <w:t>Vodafone</w:t>
      </w:r>
      <w:r>
        <w:t xml:space="preserve"> transmitters is adjusted up and down depending on the voice and data traffic through the site.  To take account of this, and obtain a reading </w:t>
      </w:r>
      <w:r w:rsidR="001836F6">
        <w:t>that</w:t>
      </w:r>
      <w:r>
        <w:t xml:space="preserve"> is representative of the transmitters operating at the upper end of their power, the exposure was monitored for </w:t>
      </w:r>
      <w:r w:rsidR="00213522">
        <w:t>three minutes</w:t>
      </w:r>
      <w:r>
        <w:t xml:space="preserve"> in each location and the maximum </w:t>
      </w:r>
      <w:r w:rsidR="00213522">
        <w:t>16</w:t>
      </w:r>
      <w:r>
        <w:t xml:space="preserve">-sweep average </w:t>
      </w:r>
      <w:r w:rsidR="00213522">
        <w:t>recorded every minute.  The highest of these 16-sweep average</w:t>
      </w:r>
      <w:r w:rsidR="005374D4">
        <w:t>s</w:t>
      </w:r>
      <w:r w:rsidR="00213522">
        <w:t xml:space="preserve"> is</w:t>
      </w:r>
      <w:r>
        <w:t xml:space="preserve"> presented in this report.</w:t>
      </w:r>
    </w:p>
    <w:p w:rsidR="00433DC8" w:rsidRDefault="00433DC8" w:rsidP="00433DC8">
      <w:pPr>
        <w:pStyle w:val="Heading3"/>
      </w:pPr>
      <w:r>
        <w:t>3.2.2</w:t>
      </w:r>
      <w:r>
        <w:tab/>
        <w:t>Maximum possible exposures</w:t>
      </w:r>
    </w:p>
    <w:p w:rsidR="00433DC8" w:rsidRDefault="00433DC8" w:rsidP="005B47F9">
      <w:r>
        <w:t xml:space="preserve">Additional measurements were made in order to determine the maximum possible exposure if the </w:t>
      </w:r>
      <w:r w:rsidR="00D03F60">
        <w:t>Vodafone</w:t>
      </w:r>
      <w:r>
        <w:t xml:space="preserve"> transmitters were to operate at their full output powers. </w:t>
      </w:r>
    </w:p>
    <w:p w:rsidR="001D58F7" w:rsidRDefault="001D58F7" w:rsidP="001D58F7">
      <w:pPr>
        <w:pStyle w:val="Heading4"/>
      </w:pPr>
      <w:r>
        <w:t>2G transmitters</w:t>
      </w:r>
    </w:p>
    <w:p w:rsidR="001D58F7" w:rsidRDefault="001D58F7" w:rsidP="001D58F7">
      <w:r>
        <w:t>The exposure from the BCCH control channel</w:t>
      </w:r>
      <w:r w:rsidR="00C40789">
        <w:t>, which transmits at constant power,</w:t>
      </w:r>
      <w:r>
        <w:t xml:space="preserve"> was measured</w:t>
      </w:r>
      <w:r w:rsidR="00377F6D">
        <w:t xml:space="preserve"> in level recorder mode</w:t>
      </w:r>
      <w:r>
        <w:t>, and multiplied by the total number of 2G carriers on the sector.</w:t>
      </w:r>
    </w:p>
    <w:p w:rsidR="001D58F7" w:rsidRPr="001D58F7" w:rsidRDefault="001D58F7" w:rsidP="001D58F7">
      <w:pPr>
        <w:pStyle w:val="Heading4"/>
      </w:pPr>
      <w:r>
        <w:lastRenderedPageBreak/>
        <w:t xml:space="preserve">3G transmitters </w:t>
      </w:r>
    </w:p>
    <w:p w:rsidR="000F69FE" w:rsidRDefault="001D58F7" w:rsidP="005B47F9">
      <w:r>
        <w:t>M</w:t>
      </w:r>
      <w:r w:rsidR="00514740">
        <w:t xml:space="preserve">easurements were made </w:t>
      </w:r>
      <w:r w:rsidR="000F69FE">
        <w:t>in the meter’s UMTS (pilot channel demodulation) mode</w:t>
      </w:r>
      <w:r w:rsidR="00514740">
        <w:t>.</w:t>
      </w:r>
      <w:r w:rsidR="000F69FE">
        <w:t xml:space="preserve">  </w:t>
      </w:r>
      <w:r w:rsidR="000F69FE" w:rsidRPr="000F69FE">
        <w:t xml:space="preserve">In this mode the meter demodulates the pilot channel from the </w:t>
      </w:r>
      <w:r w:rsidR="00DC06A6">
        <w:t xml:space="preserve">3G </w:t>
      </w:r>
      <w:r w:rsidR="00514740">
        <w:t>signal</w:t>
      </w:r>
      <w:r w:rsidR="000F69FE" w:rsidRPr="000F69FE">
        <w:t xml:space="preserve"> and measures its power.  </w:t>
      </w:r>
      <w:r w:rsidR="000F69FE">
        <w:t>From the known</w:t>
      </w:r>
      <w:r w:rsidR="000F69FE" w:rsidRPr="000F69FE">
        <w:t xml:space="preserve"> ratio between the pilot channel power and maximum </w:t>
      </w:r>
      <w:r w:rsidR="00514740">
        <w:t>transmitter</w:t>
      </w:r>
      <w:r w:rsidR="000F69FE" w:rsidRPr="000F69FE">
        <w:t xml:space="preserve"> power the value of the pilot channel power can be scaled to </w:t>
      </w:r>
      <w:r w:rsidR="00F23E0F">
        <w:t>show</w:t>
      </w:r>
      <w:r w:rsidR="000F69FE" w:rsidRPr="000F69FE">
        <w:t xml:space="preserve"> </w:t>
      </w:r>
      <w:r w:rsidR="00F23E0F">
        <w:t>the</w:t>
      </w:r>
      <w:r w:rsidR="000F69FE" w:rsidRPr="000F69FE">
        <w:t xml:space="preserve"> </w:t>
      </w:r>
      <w:r w:rsidR="001E31DC">
        <w:t>theoretical maximum</w:t>
      </w:r>
      <w:r w:rsidR="000F69FE" w:rsidRPr="000F69FE">
        <w:t xml:space="preserve"> exposure when the carri</w:t>
      </w:r>
      <w:r w:rsidR="00914DCB">
        <w:t>er operat</w:t>
      </w:r>
      <w:r w:rsidR="00C00F48">
        <w:t>es</w:t>
      </w:r>
      <w:r w:rsidR="00AD5EC8">
        <w:t xml:space="preserve"> at </w:t>
      </w:r>
      <w:r w:rsidR="001E31DC">
        <w:t>full</w:t>
      </w:r>
      <w:r w:rsidR="00AD5EC8">
        <w:t xml:space="preserve"> power.</w:t>
      </w:r>
      <w:r w:rsidR="00514740">
        <w:t xml:space="preserve"> </w:t>
      </w:r>
    </w:p>
    <w:p w:rsidR="001D58F7" w:rsidRDefault="001D58F7" w:rsidP="001D58F7">
      <w:pPr>
        <w:pStyle w:val="Heading4"/>
      </w:pPr>
      <w:r>
        <w:t>4G transmitters</w:t>
      </w:r>
    </w:p>
    <w:p w:rsidR="00433DC8" w:rsidRDefault="001D58F7" w:rsidP="005B47F9">
      <w:r>
        <w:t>M</w:t>
      </w:r>
      <w:r w:rsidR="00433DC8">
        <w:t>easurements were made in the meter’s LTE-FDD</w:t>
      </w:r>
      <w:r>
        <w:t xml:space="preserve"> (frequency division duplex)</w:t>
      </w:r>
      <w:r w:rsidR="00433DC8">
        <w:t xml:space="preserve"> demodulation mode.  In this mode the meter measures the power in reference signals transmitted at constant power that are distributed throughout the 4G waveform. The reference signal measurement can be scaled to provide the </w:t>
      </w:r>
      <w:r w:rsidR="001E31DC">
        <w:t xml:space="preserve">theoretical </w:t>
      </w:r>
      <w:r w:rsidR="00433DC8">
        <w:t xml:space="preserve">maximum </w:t>
      </w:r>
      <w:r w:rsidR="001E31DC">
        <w:t>exposure</w:t>
      </w:r>
      <w:r w:rsidR="00433DC8">
        <w:t xml:space="preserve"> using the known ratio of the reference signal power to the total carrier power.  </w:t>
      </w:r>
    </w:p>
    <w:p w:rsidR="005374D4" w:rsidRDefault="005374D4" w:rsidP="005374D4">
      <w:pPr>
        <w:pStyle w:val="Heading4"/>
      </w:pPr>
      <w:r>
        <w:t>5G transmitters</w:t>
      </w:r>
    </w:p>
    <w:p w:rsidR="005374D4" w:rsidRPr="005374D4" w:rsidRDefault="005374D4" w:rsidP="005374D4">
      <w:r>
        <w:t>Measurements were made in Level Recorder mode using measurement parameters recommended by Narda</w:t>
      </w:r>
      <w:r>
        <w:rPr>
          <w:rStyle w:val="FootnoteReference"/>
        </w:rPr>
        <w:footnoteReference w:id="6"/>
      </w:r>
      <w:r>
        <w:t>.  The technique measures the exposure from the PSS and SSS signals present in the signal spectrum (usually in the central block), which can then be extrapolated to give the maximum exposure from the whole carrier when it is operating at full power (taking into account differences in the power of the synchronisation and data resource blocks</w:t>
      </w:r>
      <w:r w:rsidR="001836F6">
        <w:t>, and the number of MIMO carriers</w:t>
      </w:r>
      <w:r>
        <w:t>).</w:t>
      </w:r>
    </w:p>
    <w:p w:rsidR="009E1845" w:rsidRDefault="009E1845" w:rsidP="009E1845">
      <w:r>
        <w:t>It should be noted that in practice there is no real possibility that all carriers on all technologies will operate simultaneously at their maximum possible power.  Data from cellphone networks overseas suggests that the average power of 3G carriers during the day, for example, is typically between about 30 and 45% of the maximum possible, and the highest power is less than 76% of the maximum possible</w:t>
      </w:r>
      <w:r>
        <w:rPr>
          <w:rStyle w:val="FootnoteReference"/>
        </w:rPr>
        <w:footnoteReference w:id="7"/>
      </w:r>
      <w:r w:rsidRPr="001D0AF1">
        <w:rPr>
          <w:vertAlign w:val="superscript"/>
        </w:rPr>
        <w:t>,</w:t>
      </w:r>
      <w:r>
        <w:rPr>
          <w:rStyle w:val="FootnoteReference"/>
        </w:rPr>
        <w:footnoteReference w:id="8"/>
      </w:r>
      <w:r>
        <w:t xml:space="preserve">. </w:t>
      </w:r>
    </w:p>
    <w:p w:rsidR="00347B0A" w:rsidRDefault="00347B0A">
      <w:pPr>
        <w:spacing w:line="276" w:lineRule="auto"/>
        <w:jc w:val="left"/>
        <w:rPr>
          <w:rFonts w:asciiTheme="majorHAnsi" w:eastAsiaTheme="majorEastAsia" w:hAnsiTheme="majorHAnsi" w:cstheme="majorBidi"/>
          <w:b/>
          <w:bCs/>
          <w:sz w:val="28"/>
          <w:szCs w:val="28"/>
        </w:rPr>
      </w:pPr>
      <w:r>
        <w:br w:type="page"/>
      </w:r>
    </w:p>
    <w:p w:rsidR="005C7AA5" w:rsidRDefault="005C7AA5" w:rsidP="005C7AA5">
      <w:pPr>
        <w:pStyle w:val="Heading1"/>
      </w:pPr>
      <w:r>
        <w:lastRenderedPageBreak/>
        <w:t>Annexe A</w:t>
      </w:r>
      <w:r>
        <w:tab/>
        <w:t>Measuring equipment specifications and uncertainty</w:t>
      </w:r>
    </w:p>
    <w:p w:rsidR="005C7AA5" w:rsidRDefault="005C7AA5" w:rsidP="005C7AA5">
      <w:pPr>
        <w:pStyle w:val="Heading2"/>
      </w:pPr>
      <w:r>
        <w:t>A1</w:t>
      </w:r>
      <w:r>
        <w:tab/>
        <w:t>Meter specifications</w:t>
      </w:r>
    </w:p>
    <w:tbl>
      <w:tblPr>
        <w:tblStyle w:val="TableGrid"/>
        <w:tblW w:w="0" w:type="auto"/>
        <w:tblLook w:val="04A0" w:firstRow="1" w:lastRow="0" w:firstColumn="1" w:lastColumn="0" w:noHBand="0" w:noVBand="1"/>
      </w:tblPr>
      <w:tblGrid>
        <w:gridCol w:w="2754"/>
        <w:gridCol w:w="5740"/>
      </w:tblGrid>
      <w:tr w:rsidR="005C7AA5" w:rsidTr="00CA2C0F">
        <w:tc>
          <w:tcPr>
            <w:tcW w:w="2754" w:type="dxa"/>
          </w:tcPr>
          <w:p w:rsidR="005C7AA5" w:rsidRDefault="005C7AA5" w:rsidP="00B34532">
            <w:pPr>
              <w:spacing w:before="20" w:after="20"/>
            </w:pPr>
            <w:r>
              <w:t>Manufacturer</w:t>
            </w:r>
          </w:p>
        </w:tc>
        <w:tc>
          <w:tcPr>
            <w:tcW w:w="5740" w:type="dxa"/>
          </w:tcPr>
          <w:p w:rsidR="005C7AA5" w:rsidRDefault="005C7AA5" w:rsidP="00B34532">
            <w:pPr>
              <w:spacing w:before="20" w:after="20"/>
              <w:jc w:val="left"/>
            </w:pPr>
            <w:r>
              <w:t>Narda Safety Test Solutions GmbH, Pfullingen, Germany</w:t>
            </w:r>
          </w:p>
        </w:tc>
      </w:tr>
      <w:tr w:rsidR="005C7AA5" w:rsidTr="00CA2C0F">
        <w:tc>
          <w:tcPr>
            <w:tcW w:w="2754" w:type="dxa"/>
          </w:tcPr>
          <w:p w:rsidR="005C7AA5" w:rsidRDefault="005C7AA5" w:rsidP="00B34532">
            <w:pPr>
              <w:spacing w:before="20" w:after="20"/>
            </w:pPr>
            <w:r>
              <w:t>Meter</w:t>
            </w:r>
          </w:p>
        </w:tc>
        <w:tc>
          <w:tcPr>
            <w:tcW w:w="5740" w:type="dxa"/>
          </w:tcPr>
          <w:p w:rsidR="005C7AA5" w:rsidRDefault="005C7AA5" w:rsidP="000C6F96">
            <w:pPr>
              <w:spacing w:before="20" w:after="20"/>
              <w:jc w:val="left"/>
            </w:pPr>
            <w:r>
              <w:t>SRM-3006 s/n H-0010, firmware v 1.</w:t>
            </w:r>
            <w:r w:rsidR="008F7210">
              <w:t>5.2</w:t>
            </w:r>
          </w:p>
        </w:tc>
      </w:tr>
      <w:tr w:rsidR="005C7AA5" w:rsidTr="00CA2C0F">
        <w:tc>
          <w:tcPr>
            <w:tcW w:w="2754" w:type="dxa"/>
          </w:tcPr>
          <w:p w:rsidR="005C7AA5" w:rsidRDefault="005C7AA5" w:rsidP="00B34532">
            <w:pPr>
              <w:spacing w:before="20" w:after="20"/>
            </w:pPr>
            <w:r>
              <w:t>Probe</w:t>
            </w:r>
          </w:p>
        </w:tc>
        <w:tc>
          <w:tcPr>
            <w:tcW w:w="5740" w:type="dxa"/>
          </w:tcPr>
          <w:p w:rsidR="005C7AA5" w:rsidRDefault="005C7AA5" w:rsidP="00B34532">
            <w:pPr>
              <w:spacing w:before="20" w:after="20"/>
              <w:jc w:val="left"/>
            </w:pPr>
            <w:r>
              <w:t xml:space="preserve">3-axis electric field probe </w:t>
            </w:r>
            <w:r w:rsidR="005374D4">
              <w:t>3502/01 s/n G-0224</w:t>
            </w:r>
          </w:p>
        </w:tc>
      </w:tr>
      <w:tr w:rsidR="005C7AA5" w:rsidTr="00CA2C0F">
        <w:tc>
          <w:tcPr>
            <w:tcW w:w="2754" w:type="dxa"/>
          </w:tcPr>
          <w:p w:rsidR="005C7AA5" w:rsidRDefault="005C7AA5" w:rsidP="00B34532">
            <w:pPr>
              <w:spacing w:before="20" w:after="20"/>
            </w:pPr>
            <w:r>
              <w:t>Coaxial cable</w:t>
            </w:r>
          </w:p>
        </w:tc>
        <w:tc>
          <w:tcPr>
            <w:tcW w:w="5740" w:type="dxa"/>
          </w:tcPr>
          <w:p w:rsidR="005C7AA5" w:rsidRDefault="00B234EC" w:rsidP="00B34532">
            <w:pPr>
              <w:spacing w:before="20" w:after="20"/>
              <w:jc w:val="left"/>
            </w:pPr>
            <w:r>
              <w:t>1.5 m cable 3602/01 s/n AA-0565</w:t>
            </w:r>
          </w:p>
        </w:tc>
      </w:tr>
      <w:tr w:rsidR="005C7AA5" w:rsidTr="00CA2C0F">
        <w:tc>
          <w:tcPr>
            <w:tcW w:w="2754" w:type="dxa"/>
          </w:tcPr>
          <w:p w:rsidR="005C7AA5" w:rsidRDefault="005C7AA5" w:rsidP="00B34532">
            <w:pPr>
              <w:spacing w:before="20" w:after="20"/>
            </w:pPr>
            <w:r>
              <w:t xml:space="preserve">Measurement range </w:t>
            </w:r>
          </w:p>
        </w:tc>
        <w:tc>
          <w:tcPr>
            <w:tcW w:w="5740" w:type="dxa"/>
          </w:tcPr>
          <w:p w:rsidR="005C7AA5" w:rsidRDefault="005C7AA5" w:rsidP="00B34532">
            <w:pPr>
              <w:spacing w:before="20" w:after="20"/>
              <w:jc w:val="left"/>
            </w:pPr>
            <w:r>
              <w:t xml:space="preserve">Lower detection threshold: dependent on measurement parameters (see Annexe B).  </w:t>
            </w:r>
          </w:p>
          <w:p w:rsidR="005C7AA5" w:rsidRDefault="000C6F96" w:rsidP="000C6F96">
            <w:pPr>
              <w:spacing w:before="20" w:after="20"/>
              <w:jc w:val="left"/>
            </w:pPr>
            <w:r>
              <w:t xml:space="preserve">Upper limit </w:t>
            </w:r>
            <w:r w:rsidR="005374D4">
              <w:t>16</w:t>
            </w:r>
            <w:r>
              <w:t>0 V/m (</w:t>
            </w:r>
            <w:r w:rsidR="005374D4">
              <w:t>68</w:t>
            </w:r>
            <w:r>
              <w:t xml:space="preserve"> W/</w:t>
            </w:r>
            <w:r w:rsidR="005C7AA5">
              <w:t>m</w:t>
            </w:r>
            <w:r w:rsidR="005C7AA5" w:rsidRPr="005F6FCE">
              <w:rPr>
                <w:vertAlign w:val="superscript"/>
              </w:rPr>
              <w:t>2</w:t>
            </w:r>
            <w:r w:rsidR="005C7AA5">
              <w:t>)</w:t>
            </w:r>
          </w:p>
        </w:tc>
      </w:tr>
      <w:tr w:rsidR="005C7AA5" w:rsidTr="00CA2C0F">
        <w:tc>
          <w:tcPr>
            <w:tcW w:w="2754" w:type="dxa"/>
          </w:tcPr>
          <w:p w:rsidR="005C7AA5" w:rsidRDefault="005C7AA5" w:rsidP="00B34532">
            <w:pPr>
              <w:spacing w:before="20" w:after="20"/>
            </w:pPr>
            <w:r>
              <w:t>Frequency range</w:t>
            </w:r>
          </w:p>
        </w:tc>
        <w:tc>
          <w:tcPr>
            <w:tcW w:w="5740" w:type="dxa"/>
          </w:tcPr>
          <w:p w:rsidR="005C7AA5" w:rsidRDefault="005374D4" w:rsidP="00B34532">
            <w:pPr>
              <w:spacing w:before="20" w:after="20"/>
              <w:jc w:val="left"/>
            </w:pPr>
            <w:r>
              <w:t>420</w:t>
            </w:r>
            <w:r w:rsidR="005C7AA5">
              <w:t xml:space="preserve"> MHz – </w:t>
            </w:r>
            <w:r>
              <w:t>6</w:t>
            </w:r>
            <w:r w:rsidR="005C7AA5">
              <w:t xml:space="preserve"> GHz</w:t>
            </w:r>
          </w:p>
        </w:tc>
      </w:tr>
      <w:tr w:rsidR="005C7AA5" w:rsidTr="00CA2C0F">
        <w:tc>
          <w:tcPr>
            <w:tcW w:w="2754" w:type="dxa"/>
          </w:tcPr>
          <w:p w:rsidR="005C7AA5" w:rsidRDefault="005C7AA5" w:rsidP="00B34532">
            <w:pPr>
              <w:spacing w:before="20" w:after="20"/>
            </w:pPr>
            <w:r>
              <w:t>Calibration</w:t>
            </w:r>
          </w:p>
        </w:tc>
        <w:tc>
          <w:tcPr>
            <w:tcW w:w="5740" w:type="dxa"/>
          </w:tcPr>
          <w:p w:rsidR="005C7AA5" w:rsidRDefault="005C7AA5" w:rsidP="000C6F96">
            <w:pPr>
              <w:spacing w:before="20" w:after="20"/>
              <w:jc w:val="left"/>
            </w:pPr>
            <w:r>
              <w:t xml:space="preserve">By the manufacturer, </w:t>
            </w:r>
            <w:r w:rsidR="005374D4">
              <w:t>October</w:t>
            </w:r>
            <w:r w:rsidR="008F7210">
              <w:t xml:space="preserve"> 2018</w:t>
            </w:r>
          </w:p>
        </w:tc>
      </w:tr>
      <w:tr w:rsidR="005C7AA5" w:rsidTr="00CA2C0F">
        <w:tc>
          <w:tcPr>
            <w:tcW w:w="2754" w:type="dxa"/>
          </w:tcPr>
          <w:p w:rsidR="005C7AA5" w:rsidRDefault="005C7AA5" w:rsidP="00B34532">
            <w:pPr>
              <w:spacing w:before="20" w:after="20"/>
            </w:pPr>
            <w:r>
              <w:t>Recommended calibration interval</w:t>
            </w:r>
          </w:p>
        </w:tc>
        <w:tc>
          <w:tcPr>
            <w:tcW w:w="5740" w:type="dxa"/>
          </w:tcPr>
          <w:p w:rsidR="005C7AA5" w:rsidRDefault="005C7AA5" w:rsidP="00B34532">
            <w:pPr>
              <w:spacing w:before="20" w:after="20"/>
              <w:jc w:val="left"/>
            </w:pPr>
            <w:r>
              <w:t>2 years</w:t>
            </w:r>
          </w:p>
        </w:tc>
      </w:tr>
    </w:tbl>
    <w:p w:rsidR="005C7AA5" w:rsidRDefault="005C7AA5" w:rsidP="005C7AA5">
      <w:pPr>
        <w:jc w:val="left"/>
        <w:rPr>
          <w:sz w:val="21"/>
          <w:szCs w:val="21"/>
        </w:rPr>
      </w:pPr>
      <w:r>
        <w:t>Full specifications are available at:</w:t>
      </w:r>
      <w:r>
        <w:br/>
      </w:r>
      <w:r w:rsidR="001F5A1A" w:rsidRPr="001F5A1A">
        <w:rPr>
          <w:sz w:val="21"/>
          <w:szCs w:val="21"/>
        </w:rPr>
        <w:t>https://www.narda-sts.com/en/products/selective-emf/srm-3006-field-strength-analyzer/</w:t>
      </w:r>
    </w:p>
    <w:p w:rsidR="005C7AA5" w:rsidRDefault="005C7AA5" w:rsidP="005C7AA5">
      <w:pPr>
        <w:pStyle w:val="Heading2"/>
      </w:pPr>
      <w:r>
        <w:t>A2</w:t>
      </w:r>
      <w:r>
        <w:tab/>
        <w:t>Measurement uncertainty</w:t>
      </w:r>
    </w:p>
    <w:p w:rsidR="000C6F96" w:rsidRDefault="000C6F96" w:rsidP="000C6F96">
      <w:r>
        <w:t xml:space="preserve">The principal interest in the uncertainty assessment for these measurements is to determine the upper bound of the uncertainty.  For that reason, if quantities have an asymmetrical uncertainty distribution (eg +a/-b dB), they are treated as having an uncertainty of ±a dB.  </w:t>
      </w:r>
    </w:p>
    <w:p w:rsidR="00347B0A" w:rsidRDefault="00347B0A" w:rsidP="00347B0A">
      <w:pPr>
        <w:pStyle w:val="Heading3"/>
      </w:pPr>
      <w:r>
        <w:t>A.2.1</w:t>
      </w:r>
      <w:r>
        <w:tab/>
        <w:t xml:space="preserve">Overall uncertainty assessment – exposures </w:t>
      </w:r>
      <w:r w:rsidR="00D92249">
        <w:t>during download speed test</w:t>
      </w:r>
    </w:p>
    <w:tbl>
      <w:tblPr>
        <w:tblStyle w:val="TableGrid"/>
        <w:tblW w:w="0" w:type="auto"/>
        <w:tblLook w:val="04A0" w:firstRow="1" w:lastRow="0" w:firstColumn="1" w:lastColumn="0" w:noHBand="0" w:noVBand="1"/>
      </w:tblPr>
      <w:tblGrid>
        <w:gridCol w:w="2122"/>
        <w:gridCol w:w="3541"/>
        <w:gridCol w:w="2831"/>
      </w:tblGrid>
      <w:tr w:rsidR="00347B0A" w:rsidRPr="0031127D" w:rsidTr="00347B0A">
        <w:tc>
          <w:tcPr>
            <w:tcW w:w="2122" w:type="dxa"/>
            <w:tcBorders>
              <w:top w:val="single" w:sz="8" w:space="0" w:color="auto"/>
            </w:tcBorders>
          </w:tcPr>
          <w:p w:rsidR="00347B0A" w:rsidRPr="0031127D" w:rsidRDefault="00347B0A" w:rsidP="00347B0A">
            <w:pPr>
              <w:spacing w:before="20" w:after="20"/>
              <w:rPr>
                <w:b/>
              </w:rPr>
            </w:pPr>
            <w:r>
              <w:rPr>
                <w:b/>
              </w:rPr>
              <w:t>Parameter</w:t>
            </w:r>
          </w:p>
        </w:tc>
        <w:tc>
          <w:tcPr>
            <w:tcW w:w="3541" w:type="dxa"/>
            <w:tcBorders>
              <w:top w:val="single" w:sz="8" w:space="0" w:color="auto"/>
            </w:tcBorders>
          </w:tcPr>
          <w:p w:rsidR="00347B0A" w:rsidRPr="0031127D" w:rsidRDefault="00347B0A" w:rsidP="00347B0A">
            <w:pPr>
              <w:spacing w:before="20" w:after="20"/>
              <w:rPr>
                <w:b/>
              </w:rPr>
            </w:pPr>
            <w:r>
              <w:rPr>
                <w:b/>
              </w:rPr>
              <w:t>Uncertainty data source</w:t>
            </w:r>
          </w:p>
        </w:tc>
        <w:tc>
          <w:tcPr>
            <w:tcW w:w="2831" w:type="dxa"/>
            <w:tcBorders>
              <w:top w:val="single" w:sz="8" w:space="0" w:color="auto"/>
            </w:tcBorders>
          </w:tcPr>
          <w:p w:rsidR="00347B0A" w:rsidRPr="0031127D" w:rsidRDefault="00347B0A" w:rsidP="00347B0A">
            <w:pPr>
              <w:spacing w:before="20" w:after="20"/>
              <w:jc w:val="center"/>
              <w:rPr>
                <w:b/>
              </w:rPr>
            </w:pPr>
            <w:r w:rsidRPr="0031127D">
              <w:rPr>
                <w:b/>
              </w:rPr>
              <w:t xml:space="preserve">Standard uncertainty </w:t>
            </w:r>
            <w:r w:rsidRPr="0031127D">
              <w:rPr>
                <w:b/>
                <w:i/>
              </w:rPr>
              <w:t>u</w:t>
            </w:r>
            <w:r>
              <w:rPr>
                <w:b/>
                <w:i/>
              </w:rPr>
              <w:t xml:space="preserve"> (dB)</w:t>
            </w:r>
          </w:p>
        </w:tc>
      </w:tr>
      <w:tr w:rsidR="00347B0A" w:rsidTr="00347B0A">
        <w:tc>
          <w:tcPr>
            <w:tcW w:w="2122" w:type="dxa"/>
          </w:tcPr>
          <w:p w:rsidR="00347B0A" w:rsidRDefault="00347B0A" w:rsidP="00347B0A">
            <w:pPr>
              <w:spacing w:before="20" w:after="20"/>
              <w:jc w:val="left"/>
            </w:pPr>
            <w:r>
              <w:t>Meter and probe</w:t>
            </w:r>
          </w:p>
        </w:tc>
        <w:tc>
          <w:tcPr>
            <w:tcW w:w="3541" w:type="dxa"/>
          </w:tcPr>
          <w:p w:rsidR="00347B0A" w:rsidRDefault="00347B0A" w:rsidP="00347B0A">
            <w:pPr>
              <w:spacing w:before="20" w:after="20"/>
              <w:jc w:val="left"/>
            </w:pPr>
            <w:r>
              <w:t>Data sheet</w:t>
            </w:r>
            <w:r w:rsidR="00C62828">
              <w:t>*</w:t>
            </w:r>
            <w:r>
              <w:t xml:space="preserve"> </w:t>
            </w:r>
          </w:p>
        </w:tc>
        <w:tc>
          <w:tcPr>
            <w:tcW w:w="2831" w:type="dxa"/>
          </w:tcPr>
          <w:p w:rsidR="00347B0A" w:rsidRDefault="00347B0A" w:rsidP="00347B0A">
            <w:pPr>
              <w:spacing w:before="20" w:after="20"/>
              <w:jc w:val="center"/>
            </w:pPr>
            <w:r>
              <w:t>±1.</w:t>
            </w:r>
            <w:r w:rsidR="00D92249">
              <w:t>1</w:t>
            </w:r>
            <w:r>
              <w:t>5</w:t>
            </w:r>
          </w:p>
        </w:tc>
      </w:tr>
      <w:tr w:rsidR="00347B0A" w:rsidTr="00347B0A">
        <w:tc>
          <w:tcPr>
            <w:tcW w:w="2122" w:type="dxa"/>
          </w:tcPr>
          <w:p w:rsidR="00347B0A" w:rsidRDefault="00347B0A" w:rsidP="00347B0A">
            <w:pPr>
              <w:spacing w:before="20" w:after="20"/>
              <w:jc w:val="left"/>
            </w:pPr>
            <w:r>
              <w:t>Transmitter power</w:t>
            </w:r>
          </w:p>
        </w:tc>
        <w:tc>
          <w:tcPr>
            <w:tcW w:w="3541" w:type="dxa"/>
          </w:tcPr>
          <w:p w:rsidR="00347B0A" w:rsidRDefault="00347B0A" w:rsidP="00347B0A">
            <w:pPr>
              <w:spacing w:before="20" w:after="20"/>
              <w:jc w:val="left"/>
            </w:pPr>
            <w:r>
              <w:t>Manufacturer data</w:t>
            </w:r>
          </w:p>
        </w:tc>
        <w:tc>
          <w:tcPr>
            <w:tcW w:w="2831" w:type="dxa"/>
          </w:tcPr>
          <w:p w:rsidR="00347B0A" w:rsidRDefault="00347B0A" w:rsidP="00347B0A">
            <w:pPr>
              <w:spacing w:before="20" w:after="20"/>
              <w:jc w:val="center"/>
            </w:pPr>
            <w:r>
              <w:t>±0.41</w:t>
            </w:r>
          </w:p>
        </w:tc>
      </w:tr>
      <w:tr w:rsidR="00347B0A" w:rsidTr="00347B0A">
        <w:tc>
          <w:tcPr>
            <w:tcW w:w="5663" w:type="dxa"/>
            <w:gridSpan w:val="2"/>
            <w:tcBorders>
              <w:left w:val="nil"/>
              <w:bottom w:val="nil"/>
            </w:tcBorders>
          </w:tcPr>
          <w:p w:rsidR="00347B0A" w:rsidRDefault="00347B0A" w:rsidP="00347B0A">
            <w:pPr>
              <w:spacing w:before="20" w:after="20"/>
              <w:jc w:val="right"/>
            </w:pPr>
            <w:r>
              <w:t>Combined standard uncertainty</w:t>
            </w:r>
          </w:p>
        </w:tc>
        <w:tc>
          <w:tcPr>
            <w:tcW w:w="2831" w:type="dxa"/>
          </w:tcPr>
          <w:p w:rsidR="00347B0A" w:rsidRDefault="00347B0A" w:rsidP="00347B0A">
            <w:pPr>
              <w:spacing w:before="20" w:after="20"/>
              <w:jc w:val="center"/>
            </w:pPr>
            <w:r>
              <w:t>±1.</w:t>
            </w:r>
            <w:r w:rsidR="00030491">
              <w:t>22</w:t>
            </w:r>
          </w:p>
        </w:tc>
      </w:tr>
      <w:tr w:rsidR="00347B0A" w:rsidTr="00347B0A">
        <w:tc>
          <w:tcPr>
            <w:tcW w:w="5663" w:type="dxa"/>
            <w:gridSpan w:val="2"/>
            <w:tcBorders>
              <w:top w:val="nil"/>
              <w:left w:val="nil"/>
              <w:bottom w:val="nil"/>
            </w:tcBorders>
          </w:tcPr>
          <w:p w:rsidR="00347B0A" w:rsidRDefault="00347B0A" w:rsidP="00347B0A">
            <w:pPr>
              <w:spacing w:before="20" w:after="20"/>
              <w:jc w:val="right"/>
            </w:pPr>
            <w:r>
              <w:t>Coverage factor</w:t>
            </w:r>
          </w:p>
        </w:tc>
        <w:tc>
          <w:tcPr>
            <w:tcW w:w="2831" w:type="dxa"/>
          </w:tcPr>
          <w:p w:rsidR="00347B0A" w:rsidRDefault="00347B0A" w:rsidP="00347B0A">
            <w:pPr>
              <w:spacing w:before="20" w:after="20"/>
              <w:jc w:val="center"/>
            </w:pPr>
            <w:r>
              <w:t>1.96</w:t>
            </w:r>
          </w:p>
        </w:tc>
      </w:tr>
      <w:tr w:rsidR="00347B0A" w:rsidTr="00347B0A">
        <w:tc>
          <w:tcPr>
            <w:tcW w:w="5663" w:type="dxa"/>
            <w:gridSpan w:val="2"/>
            <w:tcBorders>
              <w:top w:val="nil"/>
              <w:left w:val="nil"/>
              <w:bottom w:val="nil"/>
            </w:tcBorders>
          </w:tcPr>
          <w:p w:rsidR="00347B0A" w:rsidRPr="00AF2DA6" w:rsidRDefault="00347B0A" w:rsidP="00347B0A">
            <w:pPr>
              <w:spacing w:before="20" w:after="20"/>
              <w:jc w:val="right"/>
              <w:rPr>
                <w:b/>
              </w:rPr>
            </w:pPr>
            <w:r w:rsidRPr="00AF2DA6">
              <w:rPr>
                <w:b/>
              </w:rPr>
              <w:t>Expanded uncertainty</w:t>
            </w:r>
          </w:p>
        </w:tc>
        <w:tc>
          <w:tcPr>
            <w:tcW w:w="2831" w:type="dxa"/>
          </w:tcPr>
          <w:p w:rsidR="00347B0A" w:rsidRPr="00AF2DA6" w:rsidRDefault="00347B0A" w:rsidP="00347B0A">
            <w:pPr>
              <w:spacing w:before="20" w:after="20"/>
              <w:jc w:val="center"/>
              <w:rPr>
                <w:b/>
              </w:rPr>
            </w:pPr>
            <w:r w:rsidRPr="00504790">
              <w:rPr>
                <w:b/>
              </w:rPr>
              <w:t>±</w:t>
            </w:r>
            <w:r>
              <w:rPr>
                <w:b/>
              </w:rPr>
              <w:t>2.</w:t>
            </w:r>
            <w:r w:rsidR="00030491">
              <w:rPr>
                <w:b/>
              </w:rPr>
              <w:t>4</w:t>
            </w:r>
            <w:r>
              <w:rPr>
                <w:b/>
              </w:rPr>
              <w:t xml:space="preserve"> </w:t>
            </w:r>
          </w:p>
        </w:tc>
      </w:tr>
    </w:tbl>
    <w:p w:rsidR="00347B0A" w:rsidRDefault="00C62828" w:rsidP="000C6F96">
      <w:r>
        <w:t>*</w:t>
      </w:r>
      <w:r w:rsidR="00CA2C0F" w:rsidRPr="00CA2C0F">
        <w:t xml:space="preserve"> </w:t>
      </w:r>
      <w:r w:rsidR="00CA2C0F">
        <w:t>This includes all uncertainties associated with the meter, calibration, probe isotropy and connection mismatches at the frequencies of principal interest for this survey.</w:t>
      </w:r>
    </w:p>
    <w:p w:rsidR="00347B0A" w:rsidRDefault="00347B0A" w:rsidP="00347B0A">
      <w:pPr>
        <w:pStyle w:val="Heading3"/>
      </w:pPr>
      <w:r>
        <w:t>A.2.2</w:t>
      </w:r>
      <w:r>
        <w:tab/>
        <w:t>Overall uncertainty assessment – maximum possible exposures</w:t>
      </w:r>
    </w:p>
    <w:tbl>
      <w:tblPr>
        <w:tblStyle w:val="TableGrid"/>
        <w:tblW w:w="0" w:type="auto"/>
        <w:tblLook w:val="04A0" w:firstRow="1" w:lastRow="0" w:firstColumn="1" w:lastColumn="0" w:noHBand="0" w:noVBand="1"/>
      </w:tblPr>
      <w:tblGrid>
        <w:gridCol w:w="2122"/>
        <w:gridCol w:w="3546"/>
        <w:gridCol w:w="2826"/>
      </w:tblGrid>
      <w:tr w:rsidR="00347B0A" w:rsidRPr="0031127D" w:rsidTr="00347B0A">
        <w:tc>
          <w:tcPr>
            <w:tcW w:w="2122" w:type="dxa"/>
            <w:tcBorders>
              <w:top w:val="single" w:sz="8" w:space="0" w:color="auto"/>
            </w:tcBorders>
          </w:tcPr>
          <w:p w:rsidR="00347B0A" w:rsidRPr="0031127D" w:rsidRDefault="00347B0A" w:rsidP="00347B0A">
            <w:pPr>
              <w:keepNext/>
              <w:spacing w:before="20" w:after="20"/>
              <w:rPr>
                <w:b/>
              </w:rPr>
            </w:pPr>
            <w:r>
              <w:rPr>
                <w:b/>
              </w:rPr>
              <w:t>Parameter</w:t>
            </w:r>
          </w:p>
        </w:tc>
        <w:tc>
          <w:tcPr>
            <w:tcW w:w="3546" w:type="dxa"/>
            <w:tcBorders>
              <w:top w:val="single" w:sz="8" w:space="0" w:color="auto"/>
            </w:tcBorders>
          </w:tcPr>
          <w:p w:rsidR="00347B0A" w:rsidRPr="0031127D" w:rsidRDefault="00347B0A" w:rsidP="00347B0A">
            <w:pPr>
              <w:keepNext/>
              <w:spacing w:before="20" w:after="20"/>
              <w:rPr>
                <w:b/>
              </w:rPr>
            </w:pPr>
            <w:r>
              <w:rPr>
                <w:b/>
              </w:rPr>
              <w:t>Uncertainty data source</w:t>
            </w:r>
          </w:p>
        </w:tc>
        <w:tc>
          <w:tcPr>
            <w:tcW w:w="2826" w:type="dxa"/>
            <w:tcBorders>
              <w:top w:val="single" w:sz="8" w:space="0" w:color="auto"/>
            </w:tcBorders>
          </w:tcPr>
          <w:p w:rsidR="00347B0A" w:rsidRPr="0031127D" w:rsidRDefault="00347B0A" w:rsidP="00347B0A">
            <w:pPr>
              <w:keepNext/>
              <w:spacing w:before="20" w:after="20"/>
              <w:jc w:val="center"/>
              <w:rPr>
                <w:b/>
              </w:rPr>
            </w:pPr>
            <w:r w:rsidRPr="0031127D">
              <w:rPr>
                <w:b/>
              </w:rPr>
              <w:t xml:space="preserve">Standard uncertainty </w:t>
            </w:r>
            <w:r w:rsidRPr="0031127D">
              <w:rPr>
                <w:b/>
                <w:i/>
              </w:rPr>
              <w:t>u</w:t>
            </w:r>
            <w:r>
              <w:rPr>
                <w:b/>
                <w:i/>
              </w:rPr>
              <w:t xml:space="preserve"> (dB)</w:t>
            </w:r>
          </w:p>
        </w:tc>
      </w:tr>
      <w:tr w:rsidR="00347B0A" w:rsidTr="00347B0A">
        <w:tc>
          <w:tcPr>
            <w:tcW w:w="2122" w:type="dxa"/>
          </w:tcPr>
          <w:p w:rsidR="00347B0A" w:rsidRDefault="00347B0A" w:rsidP="00347B0A">
            <w:pPr>
              <w:spacing w:before="20" w:after="20"/>
              <w:jc w:val="left"/>
            </w:pPr>
            <w:r>
              <w:t>Meter and probe</w:t>
            </w:r>
          </w:p>
        </w:tc>
        <w:tc>
          <w:tcPr>
            <w:tcW w:w="3546" w:type="dxa"/>
          </w:tcPr>
          <w:p w:rsidR="00347B0A" w:rsidRDefault="00347B0A" w:rsidP="00347B0A">
            <w:pPr>
              <w:spacing w:before="20" w:after="20"/>
              <w:jc w:val="left"/>
            </w:pPr>
            <w:r>
              <w:t>Data sheet</w:t>
            </w:r>
            <w:r w:rsidR="00C62828">
              <w:t>*</w:t>
            </w:r>
          </w:p>
        </w:tc>
        <w:tc>
          <w:tcPr>
            <w:tcW w:w="2826" w:type="dxa"/>
          </w:tcPr>
          <w:p w:rsidR="00347B0A" w:rsidRDefault="00347B0A" w:rsidP="00347B0A">
            <w:pPr>
              <w:spacing w:before="20" w:after="20"/>
              <w:jc w:val="center"/>
            </w:pPr>
            <w:r>
              <w:t>±1.</w:t>
            </w:r>
            <w:r w:rsidR="00030491">
              <w:t>1</w:t>
            </w:r>
            <w:r>
              <w:t>5</w:t>
            </w:r>
          </w:p>
        </w:tc>
      </w:tr>
      <w:tr w:rsidR="00347B0A" w:rsidTr="00347B0A">
        <w:tc>
          <w:tcPr>
            <w:tcW w:w="2122" w:type="dxa"/>
          </w:tcPr>
          <w:p w:rsidR="00347B0A" w:rsidRDefault="00347B0A" w:rsidP="00347B0A">
            <w:pPr>
              <w:spacing w:before="20" w:after="20"/>
              <w:jc w:val="left"/>
            </w:pPr>
            <w:r>
              <w:t>Transmitter power</w:t>
            </w:r>
          </w:p>
        </w:tc>
        <w:tc>
          <w:tcPr>
            <w:tcW w:w="3546" w:type="dxa"/>
          </w:tcPr>
          <w:p w:rsidR="00347B0A" w:rsidRDefault="00347B0A" w:rsidP="00347B0A">
            <w:pPr>
              <w:spacing w:before="20" w:after="20"/>
              <w:jc w:val="left"/>
            </w:pPr>
            <w:r>
              <w:t>Manufacturer data</w:t>
            </w:r>
          </w:p>
        </w:tc>
        <w:tc>
          <w:tcPr>
            <w:tcW w:w="2826" w:type="dxa"/>
          </w:tcPr>
          <w:p w:rsidR="00347B0A" w:rsidRDefault="00347B0A" w:rsidP="00347B0A">
            <w:pPr>
              <w:spacing w:before="20" w:after="20"/>
              <w:jc w:val="center"/>
            </w:pPr>
            <w:r>
              <w:t>±0.41</w:t>
            </w:r>
          </w:p>
        </w:tc>
      </w:tr>
      <w:tr w:rsidR="00347B0A" w:rsidTr="00347B0A">
        <w:tc>
          <w:tcPr>
            <w:tcW w:w="5668" w:type="dxa"/>
            <w:gridSpan w:val="2"/>
            <w:tcBorders>
              <w:left w:val="nil"/>
              <w:bottom w:val="nil"/>
            </w:tcBorders>
          </w:tcPr>
          <w:p w:rsidR="00347B0A" w:rsidRDefault="00347B0A" w:rsidP="00347B0A">
            <w:pPr>
              <w:spacing w:before="20" w:after="20"/>
              <w:jc w:val="right"/>
            </w:pPr>
            <w:r>
              <w:t>Combined standard uncertainty</w:t>
            </w:r>
          </w:p>
        </w:tc>
        <w:tc>
          <w:tcPr>
            <w:tcW w:w="2826" w:type="dxa"/>
          </w:tcPr>
          <w:p w:rsidR="00347B0A" w:rsidRDefault="00347B0A" w:rsidP="00347B0A">
            <w:pPr>
              <w:spacing w:before="20" w:after="20"/>
              <w:jc w:val="center"/>
            </w:pPr>
            <w:r>
              <w:t>±1.</w:t>
            </w:r>
            <w:r w:rsidR="00030491">
              <w:t>22</w:t>
            </w:r>
          </w:p>
        </w:tc>
      </w:tr>
      <w:tr w:rsidR="00347B0A" w:rsidTr="00347B0A">
        <w:tc>
          <w:tcPr>
            <w:tcW w:w="5668" w:type="dxa"/>
            <w:gridSpan w:val="2"/>
            <w:tcBorders>
              <w:top w:val="nil"/>
              <w:left w:val="nil"/>
              <w:bottom w:val="nil"/>
            </w:tcBorders>
          </w:tcPr>
          <w:p w:rsidR="00347B0A" w:rsidRDefault="00347B0A" w:rsidP="00347B0A">
            <w:pPr>
              <w:spacing w:before="20" w:after="20"/>
              <w:jc w:val="right"/>
            </w:pPr>
            <w:r>
              <w:t>Coverage factor</w:t>
            </w:r>
          </w:p>
        </w:tc>
        <w:tc>
          <w:tcPr>
            <w:tcW w:w="2826" w:type="dxa"/>
          </w:tcPr>
          <w:p w:rsidR="00347B0A" w:rsidRDefault="00347B0A" w:rsidP="00347B0A">
            <w:pPr>
              <w:spacing w:before="20" w:after="20"/>
              <w:jc w:val="center"/>
            </w:pPr>
            <w:r>
              <w:t>1.64</w:t>
            </w:r>
          </w:p>
        </w:tc>
      </w:tr>
      <w:tr w:rsidR="00347B0A" w:rsidTr="00347B0A">
        <w:tc>
          <w:tcPr>
            <w:tcW w:w="5668" w:type="dxa"/>
            <w:gridSpan w:val="2"/>
            <w:tcBorders>
              <w:top w:val="nil"/>
              <w:left w:val="nil"/>
              <w:bottom w:val="nil"/>
            </w:tcBorders>
          </w:tcPr>
          <w:p w:rsidR="00347B0A" w:rsidRPr="00AF2DA6" w:rsidRDefault="00347B0A" w:rsidP="00347B0A">
            <w:pPr>
              <w:spacing w:before="20" w:after="20"/>
              <w:jc w:val="right"/>
              <w:rPr>
                <w:b/>
              </w:rPr>
            </w:pPr>
            <w:r w:rsidRPr="00AF2DA6">
              <w:rPr>
                <w:b/>
              </w:rPr>
              <w:t>Expanded uncertainty</w:t>
            </w:r>
          </w:p>
        </w:tc>
        <w:tc>
          <w:tcPr>
            <w:tcW w:w="2826" w:type="dxa"/>
          </w:tcPr>
          <w:p w:rsidR="00347B0A" w:rsidRPr="00AF2DA6" w:rsidRDefault="00347B0A" w:rsidP="00347B0A">
            <w:pPr>
              <w:spacing w:before="20" w:after="20"/>
              <w:jc w:val="center"/>
              <w:rPr>
                <w:b/>
              </w:rPr>
            </w:pPr>
            <w:r>
              <w:rPr>
                <w:b/>
              </w:rPr>
              <w:t>2.</w:t>
            </w:r>
            <w:r w:rsidR="00030491">
              <w:rPr>
                <w:b/>
              </w:rPr>
              <w:t>0</w:t>
            </w:r>
            <w:r>
              <w:rPr>
                <w:b/>
              </w:rPr>
              <w:t xml:space="preserve"> </w:t>
            </w:r>
          </w:p>
        </w:tc>
      </w:tr>
    </w:tbl>
    <w:p w:rsidR="00C62828" w:rsidRDefault="00C62828" w:rsidP="00347B0A">
      <w:r>
        <w:t>*</w:t>
      </w:r>
      <w:r w:rsidR="00CA2C0F" w:rsidRPr="00CA2C0F">
        <w:t xml:space="preserve"> </w:t>
      </w:r>
      <w:r w:rsidR="00CA2C0F">
        <w:t>This includes all uncertainties associated with the meter, calibration, probe isotropy and connection mismatches at the frequencies of principal interest for this survey.</w:t>
      </w:r>
    </w:p>
    <w:p w:rsidR="00347B0A" w:rsidRDefault="00347B0A" w:rsidP="00347B0A">
      <w:r>
        <w:lastRenderedPageBreak/>
        <w:t>Note that as the main purpose of the determination of maximum possible exposures is to check compliance with the limits in NZS 2772.1:1999, a one-sided 95% coverage interval with a coverage factor of 1.64 is used, as recommended in section 6.1 of AS/NZS 2772.2:2016.</w:t>
      </w:r>
    </w:p>
    <w:p w:rsidR="000C6F96" w:rsidRDefault="000C6F96" w:rsidP="000C6F96">
      <w:r>
        <w:t>No allowance has been made for the following potential sources of uncertainty:</w:t>
      </w:r>
    </w:p>
    <w:tbl>
      <w:tblPr>
        <w:tblStyle w:val="TableGrid"/>
        <w:tblW w:w="0" w:type="auto"/>
        <w:tblLook w:val="04A0" w:firstRow="1" w:lastRow="0" w:firstColumn="1" w:lastColumn="0" w:noHBand="0" w:noVBand="1"/>
      </w:tblPr>
      <w:tblGrid>
        <w:gridCol w:w="2344"/>
        <w:gridCol w:w="6150"/>
      </w:tblGrid>
      <w:tr w:rsidR="000C6F96" w:rsidRPr="00AF2DA6" w:rsidTr="001F5A1A">
        <w:trPr>
          <w:cantSplit/>
          <w:tblHeader/>
        </w:trPr>
        <w:tc>
          <w:tcPr>
            <w:tcW w:w="2376" w:type="dxa"/>
          </w:tcPr>
          <w:p w:rsidR="000C6F96" w:rsidRPr="00AF2DA6" w:rsidRDefault="000C6F96" w:rsidP="000C6F96">
            <w:pPr>
              <w:keepNext/>
              <w:jc w:val="left"/>
              <w:rPr>
                <w:b/>
              </w:rPr>
            </w:pPr>
            <w:r w:rsidRPr="00AF2DA6">
              <w:rPr>
                <w:b/>
              </w:rPr>
              <w:t>Potential source</w:t>
            </w:r>
          </w:p>
        </w:tc>
        <w:tc>
          <w:tcPr>
            <w:tcW w:w="6344" w:type="dxa"/>
          </w:tcPr>
          <w:p w:rsidR="000C6F96" w:rsidRPr="00AF2DA6" w:rsidRDefault="000C6F96" w:rsidP="000C6F96">
            <w:pPr>
              <w:keepNext/>
              <w:jc w:val="center"/>
              <w:rPr>
                <w:b/>
              </w:rPr>
            </w:pPr>
            <w:r w:rsidRPr="00AF2DA6">
              <w:rPr>
                <w:b/>
              </w:rPr>
              <w:t>Comment</w:t>
            </w:r>
          </w:p>
        </w:tc>
      </w:tr>
      <w:tr w:rsidR="000C6F96" w:rsidTr="001F5A1A">
        <w:trPr>
          <w:cantSplit/>
        </w:trPr>
        <w:tc>
          <w:tcPr>
            <w:tcW w:w="2376" w:type="dxa"/>
          </w:tcPr>
          <w:p w:rsidR="000C6F96" w:rsidRDefault="000C6F96" w:rsidP="000C6F96">
            <w:pPr>
              <w:jc w:val="left"/>
            </w:pPr>
            <w:r>
              <w:t>Probe position in high field gradients</w:t>
            </w:r>
          </w:p>
        </w:tc>
        <w:tc>
          <w:tcPr>
            <w:tcW w:w="6344" w:type="dxa"/>
          </w:tcPr>
          <w:p w:rsidR="000C6F96" w:rsidRDefault="000C6F96" w:rsidP="000C6F96">
            <w:r>
              <w:t xml:space="preserve">Measurements made </w:t>
            </w:r>
            <w:r w:rsidR="008F7210">
              <w:t>sufficiently far</w:t>
            </w:r>
            <w:r>
              <w:t xml:space="preserve"> from the transmitters</w:t>
            </w:r>
            <w:r w:rsidR="008F7210">
              <w:t xml:space="preserve"> for this to be negligible</w:t>
            </w:r>
            <w:r>
              <w:t xml:space="preserve">.  </w:t>
            </w:r>
          </w:p>
        </w:tc>
      </w:tr>
      <w:tr w:rsidR="000C6F96" w:rsidTr="001F5A1A">
        <w:trPr>
          <w:cantSplit/>
        </w:trPr>
        <w:tc>
          <w:tcPr>
            <w:tcW w:w="2376" w:type="dxa"/>
          </w:tcPr>
          <w:p w:rsidR="000C6F96" w:rsidRDefault="000C6F96" w:rsidP="000C6F96">
            <w:pPr>
              <w:jc w:val="left"/>
            </w:pPr>
            <w:r>
              <w:t>Variations in transmitter power due to transmitter power control</w:t>
            </w:r>
          </w:p>
        </w:tc>
        <w:tc>
          <w:tcPr>
            <w:tcW w:w="6344" w:type="dxa"/>
          </w:tcPr>
          <w:p w:rsidR="000C6F96" w:rsidRDefault="000C6F96" w:rsidP="000C6F96">
            <w:r>
              <w:t xml:space="preserve">Recording maximum </w:t>
            </w:r>
            <w:r w:rsidR="00030491">
              <w:t>16</w:t>
            </w:r>
            <w:r>
              <w:t xml:space="preserve">-sweep average values will tend to show exposures at the upper end of the possible range.  </w:t>
            </w:r>
          </w:p>
        </w:tc>
      </w:tr>
      <w:tr w:rsidR="000C6F96" w:rsidTr="001F5A1A">
        <w:trPr>
          <w:cantSplit/>
        </w:trPr>
        <w:tc>
          <w:tcPr>
            <w:tcW w:w="2376" w:type="dxa"/>
          </w:tcPr>
          <w:p w:rsidR="000C6F96" w:rsidRDefault="000C6F96" w:rsidP="000C6F96">
            <w:pPr>
              <w:jc w:val="left"/>
            </w:pPr>
            <w:r>
              <w:t>Signal reflection off operator</w:t>
            </w:r>
          </w:p>
        </w:tc>
        <w:tc>
          <w:tcPr>
            <w:tcW w:w="6344" w:type="dxa"/>
          </w:tcPr>
          <w:p w:rsidR="000C6F96" w:rsidRDefault="000C6F96" w:rsidP="000C6F96">
            <w:r>
              <w:t xml:space="preserve">Reflections can produce increases and decreases in measured PFD over distances of 100 – 250 mm. Operator stood in positions so as to minimise potential </w:t>
            </w:r>
            <w:r w:rsidR="001E31DC">
              <w:t xml:space="preserve">effect and </w:t>
            </w:r>
            <w:r>
              <w:t>magnitude of reflections.</w:t>
            </w:r>
          </w:p>
        </w:tc>
      </w:tr>
      <w:tr w:rsidR="000C6F96" w:rsidTr="001F5A1A">
        <w:trPr>
          <w:cantSplit/>
        </w:trPr>
        <w:tc>
          <w:tcPr>
            <w:tcW w:w="2376" w:type="dxa"/>
          </w:tcPr>
          <w:p w:rsidR="000C6F96" w:rsidRDefault="000C6F96" w:rsidP="000C6F96">
            <w:pPr>
              <w:jc w:val="left"/>
            </w:pPr>
            <w:r>
              <w:t>Errors reading fluctuating meter readings</w:t>
            </w:r>
          </w:p>
        </w:tc>
        <w:tc>
          <w:tcPr>
            <w:tcW w:w="6344" w:type="dxa"/>
          </w:tcPr>
          <w:p w:rsidR="000C6F96" w:rsidRDefault="001E31DC" w:rsidP="000C6F96">
            <w:r>
              <w:t>Results</w:t>
            </w:r>
            <w:r w:rsidR="000C6F96">
              <w:t xml:space="preserve"> stored by the meter, so uncertainty source eliminated.  </w:t>
            </w:r>
          </w:p>
        </w:tc>
      </w:tr>
      <w:tr w:rsidR="000C6F96" w:rsidTr="001F5A1A">
        <w:trPr>
          <w:cantSplit/>
        </w:trPr>
        <w:tc>
          <w:tcPr>
            <w:tcW w:w="2376" w:type="dxa"/>
          </w:tcPr>
          <w:p w:rsidR="000C6F96" w:rsidRPr="00030491" w:rsidRDefault="000C6F96" w:rsidP="000C6F96">
            <w:pPr>
              <w:jc w:val="left"/>
              <w:rPr>
                <w:lang w:val="fr-FR"/>
              </w:rPr>
            </w:pPr>
            <w:r w:rsidRPr="00030491">
              <w:rPr>
                <w:lang w:val="fr-FR"/>
              </w:rPr>
              <w:t>RF propagation</w:t>
            </w:r>
            <w:r w:rsidR="00030491" w:rsidRPr="00030491">
              <w:rPr>
                <w:lang w:val="fr-FR"/>
              </w:rPr>
              <w:t>,</w:t>
            </w:r>
            <w:r w:rsidRPr="00030491">
              <w:rPr>
                <w:lang w:val="fr-FR"/>
              </w:rPr>
              <w:t xml:space="preserve"> environmental clutter</w:t>
            </w:r>
            <w:r w:rsidR="00030491" w:rsidRPr="00030491">
              <w:rPr>
                <w:lang w:val="fr-FR"/>
              </w:rPr>
              <w:t xml:space="preserve"> and refl</w:t>
            </w:r>
            <w:r w:rsidR="00030491">
              <w:rPr>
                <w:lang w:val="fr-FR"/>
              </w:rPr>
              <w:t>ections</w:t>
            </w:r>
          </w:p>
        </w:tc>
        <w:tc>
          <w:tcPr>
            <w:tcW w:w="6344" w:type="dxa"/>
          </w:tcPr>
          <w:p w:rsidR="000C6F96" w:rsidRDefault="00E212FE" w:rsidP="000C6F96">
            <w:r>
              <w:t xml:space="preserve">Exposures at individual frequencies could be higher or lower than measured, but as effects of reflections would be uncorrelated the effects will tend to balance out.  </w:t>
            </w:r>
          </w:p>
        </w:tc>
      </w:tr>
      <w:tr w:rsidR="000C6F96" w:rsidTr="001F5A1A">
        <w:trPr>
          <w:cantSplit/>
        </w:trPr>
        <w:tc>
          <w:tcPr>
            <w:tcW w:w="2376" w:type="dxa"/>
          </w:tcPr>
          <w:p w:rsidR="000C6F96" w:rsidRDefault="00030491" w:rsidP="000C6F96">
            <w:pPr>
              <w:jc w:val="left"/>
            </w:pPr>
            <w:r>
              <w:t>Reflections from movable large objects near source or probe</w:t>
            </w:r>
          </w:p>
        </w:tc>
        <w:tc>
          <w:tcPr>
            <w:tcW w:w="6344" w:type="dxa"/>
          </w:tcPr>
          <w:p w:rsidR="000C6F96" w:rsidRDefault="000C6F96" w:rsidP="000C6F96">
            <w:r>
              <w:t>Reflections</w:t>
            </w:r>
            <w:r w:rsidR="00EB0B04">
              <w:t xml:space="preserve"> from</w:t>
            </w:r>
            <w:r>
              <w:t xml:space="preserve"> </w:t>
            </w:r>
            <w:r w:rsidR="008F7210">
              <w:t>large metal objects</w:t>
            </w:r>
            <w:r>
              <w:t xml:space="preserve"> may affect readings.  Results presented show exposures at the time of measurement, and may vary</w:t>
            </w:r>
            <w:r w:rsidR="00C62828">
              <w:t xml:space="preserve">, for example, </w:t>
            </w:r>
            <w:r w:rsidR="00030491">
              <w:t>if nearby parked vehicles move</w:t>
            </w:r>
            <w:r w:rsidR="008F7210">
              <w:t>.</w:t>
            </w:r>
          </w:p>
        </w:tc>
      </w:tr>
    </w:tbl>
    <w:p w:rsidR="000C6F96" w:rsidRDefault="000C6F96" w:rsidP="000C6F96"/>
    <w:p w:rsidR="00B34532" w:rsidRDefault="00B34532">
      <w:pPr>
        <w:spacing w:line="276" w:lineRule="auto"/>
        <w:jc w:val="left"/>
      </w:pPr>
      <w:r>
        <w:br w:type="page"/>
      </w:r>
    </w:p>
    <w:p w:rsidR="00B34532" w:rsidRDefault="00B34532" w:rsidP="00B34532">
      <w:pPr>
        <w:pStyle w:val="Heading1"/>
      </w:pPr>
      <w:r>
        <w:lastRenderedPageBreak/>
        <w:t>Annexe B</w:t>
      </w:r>
      <w:r>
        <w:tab/>
        <w:t xml:space="preserve">SRM-3006 </w:t>
      </w:r>
      <w:r w:rsidR="000C6F96">
        <w:t xml:space="preserve">preset frequency bands and </w:t>
      </w:r>
      <w:r>
        <w:t>settings</w:t>
      </w:r>
    </w:p>
    <w:tbl>
      <w:tblPr>
        <w:tblW w:w="8379"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16"/>
        <w:gridCol w:w="2268"/>
        <w:gridCol w:w="1465"/>
        <w:gridCol w:w="1465"/>
        <w:gridCol w:w="1465"/>
      </w:tblGrid>
      <w:tr w:rsidR="007A422C" w:rsidRPr="00736772" w:rsidTr="00F331C3">
        <w:trPr>
          <w:trHeight w:val="300"/>
        </w:trPr>
        <w:tc>
          <w:tcPr>
            <w:tcW w:w="1716" w:type="dxa"/>
            <w:shd w:val="clear" w:color="auto" w:fill="auto"/>
            <w:noWrap/>
          </w:tcPr>
          <w:p w:rsidR="007A422C" w:rsidRPr="00736772" w:rsidRDefault="007A422C" w:rsidP="00F331C3">
            <w:pPr>
              <w:spacing w:before="40" w:after="40" w:line="240" w:lineRule="atLeast"/>
              <w:jc w:val="left"/>
              <w:rPr>
                <w:b/>
                <w:sz w:val="20"/>
                <w:szCs w:val="20"/>
              </w:rPr>
            </w:pPr>
            <w:r w:rsidRPr="00736772">
              <w:rPr>
                <w:b/>
                <w:sz w:val="20"/>
                <w:szCs w:val="20"/>
              </w:rPr>
              <w:t>Service name (preset frequency band)</w:t>
            </w:r>
          </w:p>
        </w:tc>
        <w:tc>
          <w:tcPr>
            <w:tcW w:w="2268" w:type="dxa"/>
          </w:tcPr>
          <w:p w:rsidR="007A422C" w:rsidRPr="00736772" w:rsidRDefault="007A422C" w:rsidP="00F331C3">
            <w:pPr>
              <w:spacing w:before="40" w:after="40" w:line="240" w:lineRule="atLeast"/>
              <w:jc w:val="center"/>
              <w:rPr>
                <w:b/>
                <w:sz w:val="20"/>
                <w:szCs w:val="20"/>
              </w:rPr>
            </w:pPr>
            <w:r w:rsidRPr="00736772">
              <w:rPr>
                <w:b/>
                <w:sz w:val="20"/>
                <w:szCs w:val="20"/>
              </w:rPr>
              <w:t>Explanation</w:t>
            </w:r>
          </w:p>
        </w:tc>
        <w:tc>
          <w:tcPr>
            <w:tcW w:w="1465" w:type="dxa"/>
            <w:shd w:val="clear" w:color="auto" w:fill="auto"/>
            <w:noWrap/>
          </w:tcPr>
          <w:p w:rsidR="007A422C" w:rsidRPr="00736772" w:rsidRDefault="007A422C" w:rsidP="00F331C3">
            <w:pPr>
              <w:spacing w:before="40" w:after="40" w:line="240" w:lineRule="atLeast"/>
              <w:jc w:val="center"/>
              <w:rPr>
                <w:b/>
                <w:sz w:val="20"/>
                <w:szCs w:val="20"/>
              </w:rPr>
            </w:pPr>
            <w:r w:rsidRPr="00736772">
              <w:rPr>
                <w:b/>
                <w:sz w:val="20"/>
                <w:szCs w:val="20"/>
              </w:rPr>
              <w:t xml:space="preserve">Lower frequency </w:t>
            </w:r>
            <w:r w:rsidRPr="00736772">
              <w:rPr>
                <w:sz w:val="20"/>
                <w:szCs w:val="20"/>
              </w:rPr>
              <w:t>(MHz)</w:t>
            </w:r>
          </w:p>
        </w:tc>
        <w:tc>
          <w:tcPr>
            <w:tcW w:w="1465" w:type="dxa"/>
            <w:shd w:val="clear" w:color="auto" w:fill="auto"/>
            <w:noWrap/>
          </w:tcPr>
          <w:p w:rsidR="007A422C" w:rsidRPr="00736772" w:rsidRDefault="007A422C" w:rsidP="00F331C3">
            <w:pPr>
              <w:spacing w:before="40" w:after="40" w:line="240" w:lineRule="atLeast"/>
              <w:jc w:val="center"/>
              <w:rPr>
                <w:b/>
                <w:sz w:val="20"/>
                <w:szCs w:val="20"/>
              </w:rPr>
            </w:pPr>
            <w:r w:rsidRPr="00736772">
              <w:rPr>
                <w:b/>
                <w:sz w:val="20"/>
                <w:szCs w:val="20"/>
              </w:rPr>
              <w:t xml:space="preserve">Upper frequency </w:t>
            </w:r>
            <w:r w:rsidRPr="00736772">
              <w:rPr>
                <w:sz w:val="20"/>
                <w:szCs w:val="20"/>
              </w:rPr>
              <w:t>(MHz)</w:t>
            </w:r>
          </w:p>
        </w:tc>
        <w:tc>
          <w:tcPr>
            <w:tcW w:w="1465" w:type="dxa"/>
            <w:shd w:val="clear" w:color="auto" w:fill="auto"/>
            <w:noWrap/>
          </w:tcPr>
          <w:p w:rsidR="007A422C" w:rsidRPr="00736772" w:rsidRDefault="007A422C" w:rsidP="00F331C3">
            <w:pPr>
              <w:spacing w:before="40" w:after="40" w:line="240" w:lineRule="atLeast"/>
              <w:jc w:val="center"/>
              <w:rPr>
                <w:b/>
                <w:sz w:val="20"/>
                <w:szCs w:val="20"/>
              </w:rPr>
            </w:pPr>
            <w:r w:rsidRPr="00736772">
              <w:rPr>
                <w:b/>
                <w:sz w:val="20"/>
                <w:szCs w:val="20"/>
              </w:rPr>
              <w:t>Detection threshold</w:t>
            </w:r>
            <w:r w:rsidRPr="00736772">
              <w:rPr>
                <w:b/>
                <w:sz w:val="20"/>
                <w:szCs w:val="20"/>
              </w:rPr>
              <w:br/>
            </w:r>
            <w:r w:rsidRPr="00736772">
              <w:rPr>
                <w:sz w:val="20"/>
                <w:szCs w:val="20"/>
              </w:rPr>
              <w:t>(</w:t>
            </w:r>
            <w:r>
              <w:rPr>
                <w:sz w:val="20"/>
                <w:szCs w:val="20"/>
              </w:rPr>
              <w:t>m</w:t>
            </w:r>
            <w:r w:rsidRPr="00736772">
              <w:rPr>
                <w:sz w:val="20"/>
                <w:szCs w:val="20"/>
              </w:rPr>
              <w:t>W/m</w:t>
            </w:r>
            <w:r w:rsidRPr="00736772">
              <w:rPr>
                <w:sz w:val="20"/>
                <w:szCs w:val="20"/>
                <w:vertAlign w:val="superscript"/>
              </w:rPr>
              <w:t>2</w:t>
            </w:r>
            <w:r w:rsidRPr="00736772">
              <w:rPr>
                <w:sz w:val="20"/>
                <w:szCs w:val="20"/>
              </w:rPr>
              <w:t>)*</w:t>
            </w:r>
          </w:p>
        </w:tc>
      </w:tr>
      <w:tr w:rsidR="00D83F58" w:rsidRPr="00100F69" w:rsidTr="00D83F58">
        <w:trPr>
          <w:trHeight w:val="300"/>
        </w:trPr>
        <w:tc>
          <w:tcPr>
            <w:tcW w:w="1716" w:type="dxa"/>
            <w:shd w:val="clear" w:color="auto" w:fill="auto"/>
            <w:noWrap/>
            <w:vAlign w:val="center"/>
            <w:hideMark/>
          </w:tcPr>
          <w:p w:rsidR="00D83F58" w:rsidRPr="00100F69" w:rsidRDefault="00D83F58" w:rsidP="00D83F58">
            <w:pPr>
              <w:spacing w:before="20" w:after="20"/>
              <w:jc w:val="left"/>
              <w:rPr>
                <w:rFonts w:eastAsia="Times New Roman" w:cs="Times New Roman"/>
                <w:color w:val="000000"/>
                <w:sz w:val="20"/>
                <w:szCs w:val="20"/>
                <w:lang w:eastAsia="en-NZ"/>
              </w:rPr>
            </w:pPr>
            <w:r>
              <w:rPr>
                <w:rFonts w:eastAsia="Times New Roman" w:cs="Times New Roman"/>
                <w:color w:val="000000"/>
                <w:sz w:val="20"/>
                <w:szCs w:val="20"/>
                <w:lang w:eastAsia="en-NZ"/>
              </w:rPr>
              <w:t>Spark</w:t>
            </w:r>
            <w:r w:rsidRPr="00100F69">
              <w:rPr>
                <w:rFonts w:eastAsia="Times New Roman" w:cs="Times New Roman"/>
                <w:color w:val="000000"/>
                <w:sz w:val="20"/>
                <w:szCs w:val="20"/>
                <w:lang w:eastAsia="en-NZ"/>
              </w:rPr>
              <w:t xml:space="preserve"> 4G 700 do</w:t>
            </w:r>
          </w:p>
        </w:tc>
        <w:tc>
          <w:tcPr>
            <w:tcW w:w="2268" w:type="dxa"/>
            <w:vAlign w:val="center"/>
          </w:tcPr>
          <w:p w:rsidR="00D83F58" w:rsidRPr="00736772" w:rsidRDefault="00D83F58" w:rsidP="00D83F58">
            <w:pPr>
              <w:spacing w:before="20" w:after="20"/>
              <w:jc w:val="left"/>
              <w:rPr>
                <w:rFonts w:eastAsia="Times New Roman" w:cs="Times New Roman"/>
                <w:color w:val="000000"/>
                <w:sz w:val="20"/>
                <w:szCs w:val="20"/>
                <w:lang w:eastAsia="en-NZ"/>
              </w:rPr>
            </w:pPr>
            <w:r>
              <w:rPr>
                <w:rFonts w:eastAsia="Times New Roman" w:cs="Times New Roman"/>
                <w:color w:val="000000"/>
                <w:sz w:val="20"/>
                <w:szCs w:val="20"/>
                <w:lang w:eastAsia="en-NZ"/>
              </w:rPr>
              <w:t>Spark</w:t>
            </w:r>
            <w:r w:rsidRPr="00736772">
              <w:rPr>
                <w:rFonts w:eastAsia="Times New Roman" w:cs="Times New Roman"/>
                <w:color w:val="000000"/>
                <w:sz w:val="20"/>
                <w:szCs w:val="20"/>
                <w:lang w:eastAsia="en-NZ"/>
              </w:rPr>
              <w:t xml:space="preserve"> cellsites in their 700 MHz band</w:t>
            </w:r>
          </w:p>
        </w:tc>
        <w:tc>
          <w:tcPr>
            <w:tcW w:w="1465" w:type="dxa"/>
            <w:shd w:val="clear" w:color="auto" w:fill="auto"/>
            <w:noWrap/>
            <w:vAlign w:val="center"/>
            <w:hideMark/>
          </w:tcPr>
          <w:p w:rsidR="00D83F58" w:rsidRPr="00100F69" w:rsidRDefault="00D83F58" w:rsidP="00D83F58">
            <w:pPr>
              <w:spacing w:before="20" w:after="20"/>
              <w:jc w:val="center"/>
              <w:rPr>
                <w:rFonts w:eastAsia="Times New Roman" w:cs="Times New Roman"/>
                <w:color w:val="000000"/>
                <w:sz w:val="20"/>
                <w:szCs w:val="20"/>
                <w:lang w:eastAsia="en-NZ"/>
              </w:rPr>
            </w:pPr>
            <w:r w:rsidRPr="00100F69">
              <w:rPr>
                <w:rFonts w:eastAsia="Times New Roman" w:cs="Times New Roman"/>
                <w:color w:val="000000"/>
                <w:sz w:val="20"/>
                <w:szCs w:val="20"/>
                <w:lang w:eastAsia="en-NZ"/>
              </w:rPr>
              <w:t>758</w:t>
            </w:r>
          </w:p>
        </w:tc>
        <w:tc>
          <w:tcPr>
            <w:tcW w:w="1465" w:type="dxa"/>
            <w:shd w:val="clear" w:color="auto" w:fill="auto"/>
            <w:noWrap/>
            <w:vAlign w:val="center"/>
            <w:hideMark/>
          </w:tcPr>
          <w:p w:rsidR="00D83F58" w:rsidRPr="00100F69" w:rsidRDefault="00D83F58" w:rsidP="00D83F58">
            <w:pPr>
              <w:spacing w:before="20" w:after="20"/>
              <w:jc w:val="center"/>
              <w:rPr>
                <w:rFonts w:eastAsia="Times New Roman" w:cs="Times New Roman"/>
                <w:color w:val="000000"/>
                <w:sz w:val="20"/>
                <w:szCs w:val="20"/>
                <w:lang w:eastAsia="en-NZ"/>
              </w:rPr>
            </w:pPr>
            <w:r w:rsidRPr="00100F69">
              <w:rPr>
                <w:rFonts w:eastAsia="Times New Roman" w:cs="Times New Roman"/>
                <w:color w:val="000000"/>
                <w:sz w:val="20"/>
                <w:szCs w:val="20"/>
                <w:lang w:eastAsia="en-NZ"/>
              </w:rPr>
              <w:t>778</w:t>
            </w:r>
          </w:p>
        </w:tc>
        <w:tc>
          <w:tcPr>
            <w:tcW w:w="1465" w:type="dxa"/>
            <w:shd w:val="clear" w:color="auto" w:fill="auto"/>
            <w:noWrap/>
            <w:vAlign w:val="center"/>
          </w:tcPr>
          <w:p w:rsidR="00D83F58" w:rsidRPr="00D83F58" w:rsidRDefault="00D83F58" w:rsidP="00D83F58">
            <w:pPr>
              <w:spacing w:after="0" w:line="240" w:lineRule="auto"/>
              <w:jc w:val="center"/>
              <w:rPr>
                <w:rFonts w:ascii="Calibri" w:eastAsia="Times New Roman" w:hAnsi="Calibri" w:cs="Calibri"/>
                <w:color w:val="000000"/>
                <w:sz w:val="20"/>
                <w:szCs w:val="20"/>
                <w:lang w:eastAsia="en-NZ"/>
              </w:rPr>
            </w:pPr>
            <w:r w:rsidRPr="00D83F58">
              <w:rPr>
                <w:rFonts w:ascii="Calibri" w:eastAsia="Times New Roman" w:hAnsi="Calibri" w:cs="Calibri"/>
                <w:color w:val="000000"/>
                <w:sz w:val="20"/>
                <w:szCs w:val="20"/>
                <w:lang w:eastAsia="en-NZ"/>
              </w:rPr>
              <w:t>0.00041</w:t>
            </w:r>
          </w:p>
        </w:tc>
      </w:tr>
      <w:tr w:rsidR="00D83F58" w:rsidRPr="00100F69" w:rsidTr="00D83F58">
        <w:trPr>
          <w:trHeight w:val="300"/>
        </w:trPr>
        <w:tc>
          <w:tcPr>
            <w:tcW w:w="1716" w:type="dxa"/>
            <w:shd w:val="clear" w:color="auto" w:fill="auto"/>
            <w:noWrap/>
            <w:vAlign w:val="center"/>
            <w:hideMark/>
          </w:tcPr>
          <w:p w:rsidR="00D83F58" w:rsidRPr="00100F69" w:rsidRDefault="00D83F58" w:rsidP="00D83F58">
            <w:pPr>
              <w:spacing w:before="20" w:after="20"/>
              <w:jc w:val="left"/>
              <w:rPr>
                <w:rFonts w:eastAsia="Times New Roman" w:cs="Times New Roman"/>
                <w:color w:val="000000"/>
                <w:sz w:val="20"/>
                <w:szCs w:val="20"/>
                <w:lang w:eastAsia="en-NZ"/>
              </w:rPr>
            </w:pPr>
            <w:r w:rsidRPr="00100F69">
              <w:rPr>
                <w:rFonts w:eastAsia="Times New Roman" w:cs="Times New Roman"/>
                <w:color w:val="000000"/>
                <w:sz w:val="20"/>
                <w:szCs w:val="20"/>
                <w:lang w:eastAsia="en-NZ"/>
              </w:rPr>
              <w:t>Vf 4G 700 do</w:t>
            </w:r>
          </w:p>
        </w:tc>
        <w:tc>
          <w:tcPr>
            <w:tcW w:w="2268" w:type="dxa"/>
            <w:vAlign w:val="center"/>
          </w:tcPr>
          <w:p w:rsidR="00D83F58" w:rsidRPr="00736772" w:rsidRDefault="00D83F58" w:rsidP="00D83F58">
            <w:pPr>
              <w:spacing w:before="20" w:after="20"/>
              <w:jc w:val="left"/>
              <w:rPr>
                <w:rFonts w:eastAsia="Times New Roman" w:cs="Times New Roman"/>
                <w:color w:val="000000"/>
                <w:sz w:val="20"/>
                <w:szCs w:val="20"/>
                <w:lang w:eastAsia="en-NZ"/>
              </w:rPr>
            </w:pPr>
            <w:r w:rsidRPr="00736772">
              <w:rPr>
                <w:rFonts w:eastAsia="Times New Roman" w:cs="Times New Roman"/>
                <w:color w:val="000000"/>
                <w:sz w:val="20"/>
                <w:szCs w:val="20"/>
                <w:lang w:eastAsia="en-NZ"/>
              </w:rPr>
              <w:t>Vodafone cellsites in their 700 MHz band</w:t>
            </w:r>
          </w:p>
        </w:tc>
        <w:tc>
          <w:tcPr>
            <w:tcW w:w="1465" w:type="dxa"/>
            <w:shd w:val="clear" w:color="auto" w:fill="auto"/>
            <w:noWrap/>
            <w:vAlign w:val="center"/>
            <w:hideMark/>
          </w:tcPr>
          <w:p w:rsidR="00D83F58" w:rsidRPr="00100F69" w:rsidRDefault="00D83F58" w:rsidP="00D83F58">
            <w:pPr>
              <w:spacing w:before="20" w:after="20"/>
              <w:jc w:val="center"/>
              <w:rPr>
                <w:rFonts w:eastAsia="Times New Roman" w:cs="Times New Roman"/>
                <w:color w:val="000000"/>
                <w:sz w:val="20"/>
                <w:szCs w:val="20"/>
                <w:lang w:eastAsia="en-NZ"/>
              </w:rPr>
            </w:pPr>
            <w:r w:rsidRPr="00100F69">
              <w:rPr>
                <w:rFonts w:eastAsia="Times New Roman" w:cs="Times New Roman"/>
                <w:color w:val="000000"/>
                <w:sz w:val="20"/>
                <w:szCs w:val="20"/>
                <w:lang w:eastAsia="en-NZ"/>
              </w:rPr>
              <w:t>778</w:t>
            </w:r>
          </w:p>
        </w:tc>
        <w:tc>
          <w:tcPr>
            <w:tcW w:w="1465" w:type="dxa"/>
            <w:shd w:val="clear" w:color="auto" w:fill="auto"/>
            <w:noWrap/>
            <w:vAlign w:val="center"/>
            <w:hideMark/>
          </w:tcPr>
          <w:p w:rsidR="00D83F58" w:rsidRPr="00100F69" w:rsidRDefault="00D83F58" w:rsidP="00D83F58">
            <w:pPr>
              <w:spacing w:before="20" w:after="20"/>
              <w:jc w:val="center"/>
              <w:rPr>
                <w:rFonts w:eastAsia="Times New Roman" w:cs="Times New Roman"/>
                <w:color w:val="000000"/>
                <w:sz w:val="20"/>
                <w:szCs w:val="20"/>
                <w:lang w:eastAsia="en-NZ"/>
              </w:rPr>
            </w:pPr>
            <w:r w:rsidRPr="00100F69">
              <w:rPr>
                <w:rFonts w:eastAsia="Times New Roman" w:cs="Times New Roman"/>
                <w:color w:val="000000"/>
                <w:sz w:val="20"/>
                <w:szCs w:val="20"/>
                <w:lang w:eastAsia="en-NZ"/>
              </w:rPr>
              <w:t>793</w:t>
            </w:r>
          </w:p>
        </w:tc>
        <w:tc>
          <w:tcPr>
            <w:tcW w:w="1465" w:type="dxa"/>
            <w:shd w:val="clear" w:color="auto" w:fill="auto"/>
            <w:noWrap/>
            <w:vAlign w:val="center"/>
          </w:tcPr>
          <w:p w:rsidR="00D83F58" w:rsidRPr="00D83F58" w:rsidRDefault="00D83F58" w:rsidP="00D83F58">
            <w:pPr>
              <w:spacing w:after="0" w:line="240" w:lineRule="auto"/>
              <w:jc w:val="center"/>
              <w:rPr>
                <w:rFonts w:ascii="Calibri" w:eastAsia="Times New Roman" w:hAnsi="Calibri" w:cs="Calibri"/>
                <w:color w:val="000000"/>
                <w:sz w:val="20"/>
                <w:szCs w:val="20"/>
                <w:lang w:eastAsia="en-NZ"/>
              </w:rPr>
            </w:pPr>
            <w:r w:rsidRPr="00D83F58">
              <w:rPr>
                <w:rFonts w:ascii="Calibri" w:eastAsia="Times New Roman" w:hAnsi="Calibri" w:cs="Calibri"/>
                <w:color w:val="000000"/>
                <w:sz w:val="20"/>
                <w:szCs w:val="20"/>
                <w:lang w:eastAsia="en-NZ"/>
              </w:rPr>
              <w:t>0.00030</w:t>
            </w:r>
          </w:p>
        </w:tc>
      </w:tr>
      <w:tr w:rsidR="00D83F58" w:rsidRPr="00100F69" w:rsidTr="00D83F58">
        <w:trPr>
          <w:trHeight w:val="300"/>
        </w:trPr>
        <w:tc>
          <w:tcPr>
            <w:tcW w:w="1716" w:type="dxa"/>
            <w:shd w:val="clear" w:color="auto" w:fill="auto"/>
            <w:noWrap/>
            <w:vAlign w:val="center"/>
            <w:hideMark/>
          </w:tcPr>
          <w:p w:rsidR="00D83F58" w:rsidRPr="00100F69" w:rsidRDefault="00D83F58" w:rsidP="00D83F58">
            <w:pPr>
              <w:spacing w:before="20" w:after="20"/>
              <w:jc w:val="left"/>
              <w:rPr>
                <w:rFonts w:eastAsia="Times New Roman" w:cs="Times New Roman"/>
                <w:color w:val="000000"/>
                <w:sz w:val="20"/>
                <w:szCs w:val="20"/>
                <w:lang w:eastAsia="en-NZ"/>
              </w:rPr>
            </w:pPr>
            <w:r w:rsidRPr="00100F69">
              <w:rPr>
                <w:rFonts w:eastAsia="Times New Roman" w:cs="Times New Roman"/>
                <w:color w:val="000000"/>
                <w:sz w:val="20"/>
                <w:szCs w:val="20"/>
                <w:lang w:eastAsia="en-NZ"/>
              </w:rPr>
              <w:t>2deg 4G 700 do</w:t>
            </w:r>
          </w:p>
        </w:tc>
        <w:tc>
          <w:tcPr>
            <w:tcW w:w="2268" w:type="dxa"/>
            <w:vAlign w:val="center"/>
          </w:tcPr>
          <w:p w:rsidR="00D83F58" w:rsidRPr="00736772" w:rsidRDefault="00D83F58" w:rsidP="00D83F58">
            <w:pPr>
              <w:spacing w:before="20" w:after="20"/>
              <w:jc w:val="left"/>
              <w:rPr>
                <w:rFonts w:eastAsia="Times New Roman" w:cs="Times New Roman"/>
                <w:color w:val="000000"/>
                <w:sz w:val="20"/>
                <w:szCs w:val="20"/>
                <w:lang w:eastAsia="en-NZ"/>
              </w:rPr>
            </w:pPr>
            <w:r w:rsidRPr="00736772">
              <w:rPr>
                <w:rFonts w:eastAsia="Times New Roman" w:cs="Times New Roman"/>
                <w:color w:val="000000"/>
                <w:sz w:val="20"/>
                <w:szCs w:val="20"/>
                <w:lang w:eastAsia="en-NZ"/>
              </w:rPr>
              <w:t>2degrees cellsites in their 700 MHz band</w:t>
            </w:r>
          </w:p>
        </w:tc>
        <w:tc>
          <w:tcPr>
            <w:tcW w:w="1465" w:type="dxa"/>
            <w:shd w:val="clear" w:color="auto" w:fill="auto"/>
            <w:noWrap/>
            <w:vAlign w:val="center"/>
            <w:hideMark/>
          </w:tcPr>
          <w:p w:rsidR="00D83F58" w:rsidRPr="00100F69" w:rsidRDefault="00D83F58" w:rsidP="00D83F58">
            <w:pPr>
              <w:spacing w:before="20" w:after="20"/>
              <w:jc w:val="center"/>
              <w:rPr>
                <w:rFonts w:eastAsia="Times New Roman" w:cs="Times New Roman"/>
                <w:color w:val="000000"/>
                <w:sz w:val="20"/>
                <w:szCs w:val="20"/>
                <w:lang w:eastAsia="en-NZ"/>
              </w:rPr>
            </w:pPr>
            <w:r w:rsidRPr="00100F69">
              <w:rPr>
                <w:rFonts w:eastAsia="Times New Roman" w:cs="Times New Roman"/>
                <w:color w:val="000000"/>
                <w:sz w:val="20"/>
                <w:szCs w:val="20"/>
                <w:lang w:eastAsia="en-NZ"/>
              </w:rPr>
              <w:t>793</w:t>
            </w:r>
          </w:p>
        </w:tc>
        <w:tc>
          <w:tcPr>
            <w:tcW w:w="1465" w:type="dxa"/>
            <w:shd w:val="clear" w:color="auto" w:fill="auto"/>
            <w:noWrap/>
            <w:vAlign w:val="center"/>
            <w:hideMark/>
          </w:tcPr>
          <w:p w:rsidR="00D83F58" w:rsidRPr="00100F69" w:rsidRDefault="00D83F58" w:rsidP="00D83F58">
            <w:pPr>
              <w:spacing w:before="20" w:after="20"/>
              <w:jc w:val="center"/>
              <w:rPr>
                <w:rFonts w:eastAsia="Times New Roman" w:cs="Times New Roman"/>
                <w:color w:val="000000"/>
                <w:sz w:val="20"/>
                <w:szCs w:val="20"/>
                <w:lang w:eastAsia="en-NZ"/>
              </w:rPr>
            </w:pPr>
            <w:r w:rsidRPr="00100F69">
              <w:rPr>
                <w:rFonts w:eastAsia="Times New Roman" w:cs="Times New Roman"/>
                <w:color w:val="000000"/>
                <w:sz w:val="20"/>
                <w:szCs w:val="20"/>
                <w:lang w:eastAsia="en-NZ"/>
              </w:rPr>
              <w:t>803</w:t>
            </w:r>
          </w:p>
        </w:tc>
        <w:tc>
          <w:tcPr>
            <w:tcW w:w="1465" w:type="dxa"/>
            <w:shd w:val="clear" w:color="auto" w:fill="auto"/>
            <w:noWrap/>
            <w:vAlign w:val="center"/>
          </w:tcPr>
          <w:p w:rsidR="00D83F58" w:rsidRPr="00D83F58" w:rsidRDefault="00D83F58" w:rsidP="00D83F58">
            <w:pPr>
              <w:spacing w:after="0" w:line="240" w:lineRule="auto"/>
              <w:jc w:val="center"/>
              <w:rPr>
                <w:rFonts w:ascii="Calibri" w:eastAsia="Times New Roman" w:hAnsi="Calibri" w:cs="Calibri"/>
                <w:color w:val="000000"/>
                <w:sz w:val="20"/>
                <w:szCs w:val="20"/>
                <w:lang w:eastAsia="en-NZ"/>
              </w:rPr>
            </w:pPr>
            <w:r w:rsidRPr="00D83F58">
              <w:rPr>
                <w:rFonts w:ascii="Calibri" w:eastAsia="Times New Roman" w:hAnsi="Calibri" w:cs="Calibri"/>
                <w:color w:val="000000"/>
                <w:sz w:val="20"/>
                <w:szCs w:val="20"/>
                <w:lang w:eastAsia="en-NZ"/>
              </w:rPr>
              <w:t>0.00020</w:t>
            </w:r>
          </w:p>
        </w:tc>
      </w:tr>
      <w:tr w:rsidR="00D83F58" w:rsidRPr="00100F69" w:rsidTr="00D83F58">
        <w:trPr>
          <w:trHeight w:val="300"/>
        </w:trPr>
        <w:tc>
          <w:tcPr>
            <w:tcW w:w="1716" w:type="dxa"/>
            <w:shd w:val="clear" w:color="auto" w:fill="auto"/>
            <w:noWrap/>
            <w:vAlign w:val="center"/>
            <w:hideMark/>
          </w:tcPr>
          <w:p w:rsidR="00D83F58" w:rsidRPr="00100F69" w:rsidRDefault="00D83F58" w:rsidP="00D83F58">
            <w:pPr>
              <w:spacing w:before="20" w:after="20"/>
              <w:jc w:val="left"/>
              <w:rPr>
                <w:rFonts w:eastAsia="Times New Roman" w:cs="Times New Roman"/>
                <w:color w:val="000000"/>
                <w:sz w:val="20"/>
                <w:szCs w:val="20"/>
                <w:lang w:eastAsia="en-NZ"/>
              </w:rPr>
            </w:pPr>
            <w:r>
              <w:rPr>
                <w:rFonts w:eastAsia="Times New Roman" w:cs="Times New Roman"/>
                <w:color w:val="000000"/>
                <w:sz w:val="20"/>
                <w:szCs w:val="20"/>
                <w:lang w:eastAsia="en-NZ"/>
              </w:rPr>
              <w:t>Spark</w:t>
            </w:r>
            <w:r w:rsidRPr="00100F69">
              <w:rPr>
                <w:rFonts w:eastAsia="Times New Roman" w:cs="Times New Roman"/>
                <w:color w:val="000000"/>
                <w:sz w:val="20"/>
                <w:szCs w:val="20"/>
                <w:lang w:eastAsia="en-NZ"/>
              </w:rPr>
              <w:t xml:space="preserve"> 900</w:t>
            </w:r>
          </w:p>
        </w:tc>
        <w:tc>
          <w:tcPr>
            <w:tcW w:w="2268" w:type="dxa"/>
            <w:vAlign w:val="center"/>
          </w:tcPr>
          <w:p w:rsidR="00D83F58" w:rsidRPr="00736772" w:rsidRDefault="00D83F58" w:rsidP="00D83F58">
            <w:pPr>
              <w:spacing w:before="20" w:after="20"/>
              <w:jc w:val="left"/>
              <w:rPr>
                <w:rFonts w:eastAsia="Times New Roman" w:cs="Times New Roman"/>
                <w:color w:val="000000"/>
                <w:sz w:val="20"/>
                <w:szCs w:val="20"/>
                <w:lang w:eastAsia="en-NZ"/>
              </w:rPr>
            </w:pPr>
            <w:r>
              <w:rPr>
                <w:rFonts w:eastAsia="Times New Roman" w:cs="Times New Roman"/>
                <w:color w:val="000000"/>
                <w:sz w:val="20"/>
                <w:szCs w:val="20"/>
                <w:lang w:eastAsia="en-NZ"/>
              </w:rPr>
              <w:t>Spark</w:t>
            </w:r>
            <w:r w:rsidRPr="00736772">
              <w:rPr>
                <w:rFonts w:eastAsia="Times New Roman" w:cs="Times New Roman"/>
                <w:color w:val="000000"/>
                <w:sz w:val="20"/>
                <w:szCs w:val="20"/>
                <w:lang w:eastAsia="en-NZ"/>
              </w:rPr>
              <w:t xml:space="preserve"> cellsites in their 900 MHz band</w:t>
            </w:r>
          </w:p>
        </w:tc>
        <w:tc>
          <w:tcPr>
            <w:tcW w:w="1465" w:type="dxa"/>
            <w:shd w:val="clear" w:color="auto" w:fill="auto"/>
            <w:noWrap/>
            <w:vAlign w:val="center"/>
            <w:hideMark/>
          </w:tcPr>
          <w:p w:rsidR="00D83F58" w:rsidRPr="00100F69" w:rsidRDefault="00D83F58" w:rsidP="00D83F58">
            <w:pPr>
              <w:spacing w:before="20" w:after="20"/>
              <w:jc w:val="center"/>
              <w:rPr>
                <w:rFonts w:eastAsia="Times New Roman" w:cs="Times New Roman"/>
                <w:color w:val="000000"/>
                <w:sz w:val="20"/>
                <w:szCs w:val="20"/>
                <w:lang w:eastAsia="en-NZ"/>
              </w:rPr>
            </w:pPr>
            <w:r w:rsidRPr="00100F69">
              <w:rPr>
                <w:rFonts w:eastAsia="Times New Roman" w:cs="Times New Roman"/>
                <w:color w:val="000000"/>
                <w:sz w:val="20"/>
                <w:szCs w:val="20"/>
                <w:lang w:eastAsia="en-NZ"/>
              </w:rPr>
              <w:t>870</w:t>
            </w:r>
          </w:p>
        </w:tc>
        <w:tc>
          <w:tcPr>
            <w:tcW w:w="1465" w:type="dxa"/>
            <w:shd w:val="clear" w:color="auto" w:fill="auto"/>
            <w:noWrap/>
            <w:vAlign w:val="center"/>
            <w:hideMark/>
          </w:tcPr>
          <w:p w:rsidR="00D83F58" w:rsidRPr="00100F69" w:rsidRDefault="00D83F58" w:rsidP="00D83F58">
            <w:pPr>
              <w:spacing w:before="20" w:after="20"/>
              <w:jc w:val="center"/>
              <w:rPr>
                <w:rFonts w:eastAsia="Times New Roman" w:cs="Times New Roman"/>
                <w:color w:val="000000"/>
                <w:sz w:val="20"/>
                <w:szCs w:val="20"/>
                <w:lang w:eastAsia="en-NZ"/>
              </w:rPr>
            </w:pPr>
            <w:r w:rsidRPr="00100F69">
              <w:rPr>
                <w:rFonts w:eastAsia="Times New Roman" w:cs="Times New Roman"/>
                <w:color w:val="000000"/>
                <w:sz w:val="20"/>
                <w:szCs w:val="20"/>
                <w:lang w:eastAsia="en-NZ"/>
              </w:rPr>
              <w:t>885</w:t>
            </w:r>
          </w:p>
        </w:tc>
        <w:tc>
          <w:tcPr>
            <w:tcW w:w="1465" w:type="dxa"/>
            <w:shd w:val="clear" w:color="auto" w:fill="auto"/>
            <w:noWrap/>
            <w:vAlign w:val="center"/>
          </w:tcPr>
          <w:p w:rsidR="00D83F58" w:rsidRPr="00D83F58" w:rsidRDefault="00D83F58" w:rsidP="00D83F58">
            <w:pPr>
              <w:spacing w:after="0" w:line="240" w:lineRule="auto"/>
              <w:jc w:val="center"/>
              <w:rPr>
                <w:rFonts w:ascii="Calibri" w:eastAsia="Times New Roman" w:hAnsi="Calibri" w:cs="Calibri"/>
                <w:color w:val="000000"/>
                <w:sz w:val="20"/>
                <w:szCs w:val="20"/>
                <w:lang w:eastAsia="en-NZ"/>
              </w:rPr>
            </w:pPr>
            <w:r w:rsidRPr="00D83F58">
              <w:rPr>
                <w:rFonts w:ascii="Calibri" w:eastAsia="Times New Roman" w:hAnsi="Calibri" w:cs="Calibri"/>
                <w:color w:val="000000"/>
                <w:sz w:val="20"/>
                <w:szCs w:val="20"/>
                <w:lang w:eastAsia="en-NZ"/>
              </w:rPr>
              <w:t>0.00025</w:t>
            </w:r>
          </w:p>
        </w:tc>
      </w:tr>
      <w:tr w:rsidR="00D83F58" w:rsidRPr="00100F69" w:rsidTr="00D83F58">
        <w:trPr>
          <w:trHeight w:val="300"/>
        </w:trPr>
        <w:tc>
          <w:tcPr>
            <w:tcW w:w="1716" w:type="dxa"/>
            <w:shd w:val="clear" w:color="auto" w:fill="auto"/>
            <w:noWrap/>
            <w:vAlign w:val="center"/>
            <w:hideMark/>
          </w:tcPr>
          <w:p w:rsidR="00D83F58" w:rsidRPr="00100F69" w:rsidRDefault="00D83F58" w:rsidP="00D83F58">
            <w:pPr>
              <w:spacing w:before="20" w:after="20"/>
              <w:jc w:val="left"/>
              <w:rPr>
                <w:rFonts w:eastAsia="Times New Roman" w:cs="Times New Roman"/>
                <w:color w:val="000000"/>
                <w:sz w:val="20"/>
                <w:szCs w:val="20"/>
                <w:lang w:eastAsia="en-NZ"/>
              </w:rPr>
            </w:pPr>
            <w:r w:rsidRPr="00100F69">
              <w:rPr>
                <w:rFonts w:eastAsia="Times New Roman" w:cs="Times New Roman"/>
                <w:color w:val="000000"/>
                <w:sz w:val="20"/>
                <w:szCs w:val="20"/>
                <w:lang w:eastAsia="en-NZ"/>
              </w:rPr>
              <w:t>2deg 900</w:t>
            </w:r>
          </w:p>
        </w:tc>
        <w:tc>
          <w:tcPr>
            <w:tcW w:w="2268" w:type="dxa"/>
            <w:vAlign w:val="center"/>
          </w:tcPr>
          <w:p w:rsidR="00D83F58" w:rsidRPr="00736772" w:rsidRDefault="00D83F58" w:rsidP="00D83F58">
            <w:pPr>
              <w:spacing w:before="20" w:after="20"/>
              <w:jc w:val="left"/>
              <w:rPr>
                <w:rFonts w:eastAsia="Times New Roman" w:cs="Times New Roman"/>
                <w:color w:val="000000"/>
                <w:sz w:val="20"/>
                <w:szCs w:val="20"/>
                <w:lang w:eastAsia="en-NZ"/>
              </w:rPr>
            </w:pPr>
            <w:r w:rsidRPr="00736772">
              <w:rPr>
                <w:rFonts w:eastAsia="Times New Roman" w:cs="Times New Roman"/>
                <w:color w:val="000000"/>
                <w:sz w:val="20"/>
                <w:szCs w:val="20"/>
                <w:lang w:eastAsia="en-NZ"/>
              </w:rPr>
              <w:t>2degrees cellsites in their 900 MHz band</w:t>
            </w:r>
          </w:p>
        </w:tc>
        <w:tc>
          <w:tcPr>
            <w:tcW w:w="1465" w:type="dxa"/>
            <w:shd w:val="clear" w:color="auto" w:fill="auto"/>
            <w:noWrap/>
            <w:vAlign w:val="center"/>
            <w:hideMark/>
          </w:tcPr>
          <w:p w:rsidR="00D83F58" w:rsidRPr="00100F69" w:rsidRDefault="00D83F58" w:rsidP="00D83F58">
            <w:pPr>
              <w:spacing w:before="20" w:after="20"/>
              <w:jc w:val="center"/>
              <w:rPr>
                <w:rFonts w:eastAsia="Times New Roman" w:cs="Times New Roman"/>
                <w:color w:val="000000"/>
                <w:sz w:val="20"/>
                <w:szCs w:val="20"/>
                <w:lang w:eastAsia="en-NZ"/>
              </w:rPr>
            </w:pPr>
            <w:r w:rsidRPr="00100F69">
              <w:rPr>
                <w:rFonts w:eastAsia="Times New Roman" w:cs="Times New Roman"/>
                <w:color w:val="000000"/>
                <w:sz w:val="20"/>
                <w:szCs w:val="20"/>
                <w:lang w:eastAsia="en-NZ"/>
              </w:rPr>
              <w:t>935</w:t>
            </w:r>
          </w:p>
        </w:tc>
        <w:tc>
          <w:tcPr>
            <w:tcW w:w="1465" w:type="dxa"/>
            <w:shd w:val="clear" w:color="auto" w:fill="auto"/>
            <w:noWrap/>
            <w:vAlign w:val="center"/>
            <w:hideMark/>
          </w:tcPr>
          <w:p w:rsidR="00D83F58" w:rsidRPr="00100F69" w:rsidRDefault="00D83F58" w:rsidP="00D83F58">
            <w:pPr>
              <w:spacing w:before="20" w:after="20"/>
              <w:jc w:val="center"/>
              <w:rPr>
                <w:rFonts w:eastAsia="Times New Roman" w:cs="Times New Roman"/>
                <w:color w:val="000000"/>
                <w:sz w:val="20"/>
                <w:szCs w:val="20"/>
                <w:lang w:eastAsia="en-NZ"/>
              </w:rPr>
            </w:pPr>
            <w:r w:rsidRPr="00100F69">
              <w:rPr>
                <w:rFonts w:eastAsia="Times New Roman" w:cs="Times New Roman"/>
                <w:color w:val="000000"/>
                <w:sz w:val="20"/>
                <w:szCs w:val="20"/>
                <w:lang w:eastAsia="en-NZ"/>
              </w:rPr>
              <w:t>944.</w:t>
            </w:r>
            <w:r w:rsidR="00C53A84">
              <w:rPr>
                <w:rFonts w:eastAsia="Times New Roman" w:cs="Times New Roman"/>
                <w:color w:val="000000"/>
                <w:sz w:val="20"/>
                <w:szCs w:val="20"/>
                <w:lang w:eastAsia="en-NZ"/>
              </w:rPr>
              <w:t>8</w:t>
            </w:r>
          </w:p>
        </w:tc>
        <w:tc>
          <w:tcPr>
            <w:tcW w:w="1465" w:type="dxa"/>
            <w:shd w:val="clear" w:color="auto" w:fill="auto"/>
            <w:noWrap/>
            <w:vAlign w:val="center"/>
          </w:tcPr>
          <w:p w:rsidR="00D83F58" w:rsidRPr="00D83F58" w:rsidRDefault="00D83F58" w:rsidP="00D83F58">
            <w:pPr>
              <w:spacing w:after="0" w:line="240" w:lineRule="auto"/>
              <w:jc w:val="center"/>
              <w:rPr>
                <w:rFonts w:ascii="Calibri" w:eastAsia="Times New Roman" w:hAnsi="Calibri" w:cs="Calibri"/>
                <w:color w:val="000000"/>
                <w:sz w:val="20"/>
                <w:szCs w:val="20"/>
                <w:lang w:eastAsia="en-NZ"/>
              </w:rPr>
            </w:pPr>
            <w:r w:rsidRPr="00D83F58">
              <w:rPr>
                <w:rFonts w:ascii="Calibri" w:eastAsia="Times New Roman" w:hAnsi="Calibri" w:cs="Calibri"/>
                <w:color w:val="000000"/>
                <w:sz w:val="20"/>
                <w:szCs w:val="20"/>
                <w:lang w:eastAsia="en-NZ"/>
              </w:rPr>
              <w:t>0.00015</w:t>
            </w:r>
          </w:p>
        </w:tc>
      </w:tr>
      <w:tr w:rsidR="00D83F58" w:rsidRPr="00100F69" w:rsidTr="00D83F58">
        <w:trPr>
          <w:trHeight w:val="300"/>
        </w:trPr>
        <w:tc>
          <w:tcPr>
            <w:tcW w:w="1716" w:type="dxa"/>
            <w:shd w:val="clear" w:color="auto" w:fill="auto"/>
            <w:noWrap/>
            <w:vAlign w:val="center"/>
            <w:hideMark/>
          </w:tcPr>
          <w:p w:rsidR="00D83F58" w:rsidRPr="00100F69" w:rsidRDefault="00D83F58" w:rsidP="00D83F58">
            <w:pPr>
              <w:spacing w:before="20" w:after="20"/>
              <w:jc w:val="left"/>
              <w:rPr>
                <w:rFonts w:eastAsia="Times New Roman" w:cs="Times New Roman"/>
                <w:color w:val="000000"/>
                <w:sz w:val="20"/>
                <w:szCs w:val="20"/>
                <w:lang w:eastAsia="en-NZ"/>
              </w:rPr>
            </w:pPr>
            <w:r w:rsidRPr="00100F69">
              <w:rPr>
                <w:rFonts w:eastAsia="Times New Roman" w:cs="Times New Roman"/>
                <w:color w:val="000000"/>
                <w:sz w:val="20"/>
                <w:szCs w:val="20"/>
                <w:lang w:eastAsia="en-NZ"/>
              </w:rPr>
              <w:t>Vod 900</w:t>
            </w:r>
          </w:p>
        </w:tc>
        <w:tc>
          <w:tcPr>
            <w:tcW w:w="2268" w:type="dxa"/>
            <w:vAlign w:val="center"/>
          </w:tcPr>
          <w:p w:rsidR="00D83F58" w:rsidRPr="00736772" w:rsidRDefault="00D83F58" w:rsidP="00D83F58">
            <w:pPr>
              <w:spacing w:before="20" w:after="20"/>
              <w:jc w:val="left"/>
              <w:rPr>
                <w:rFonts w:eastAsia="Times New Roman" w:cs="Times New Roman"/>
                <w:color w:val="000000"/>
                <w:sz w:val="20"/>
                <w:szCs w:val="20"/>
                <w:lang w:eastAsia="en-NZ"/>
              </w:rPr>
            </w:pPr>
            <w:r w:rsidRPr="00736772">
              <w:rPr>
                <w:rFonts w:eastAsia="Times New Roman" w:cs="Times New Roman"/>
                <w:color w:val="000000"/>
                <w:sz w:val="20"/>
                <w:szCs w:val="20"/>
                <w:lang w:eastAsia="en-NZ"/>
              </w:rPr>
              <w:t>Vodafone cellsites in their 900 MHz band</w:t>
            </w:r>
          </w:p>
        </w:tc>
        <w:tc>
          <w:tcPr>
            <w:tcW w:w="1465" w:type="dxa"/>
            <w:shd w:val="clear" w:color="auto" w:fill="auto"/>
            <w:noWrap/>
            <w:vAlign w:val="center"/>
            <w:hideMark/>
          </w:tcPr>
          <w:p w:rsidR="00D83F58" w:rsidRPr="00100F69" w:rsidRDefault="00D83F58" w:rsidP="00D83F58">
            <w:pPr>
              <w:spacing w:before="20" w:after="20"/>
              <w:jc w:val="center"/>
              <w:rPr>
                <w:rFonts w:eastAsia="Times New Roman" w:cs="Times New Roman"/>
                <w:color w:val="000000"/>
                <w:sz w:val="20"/>
                <w:szCs w:val="20"/>
                <w:lang w:eastAsia="en-NZ"/>
              </w:rPr>
            </w:pPr>
            <w:r w:rsidRPr="00100F69">
              <w:rPr>
                <w:rFonts w:eastAsia="Times New Roman" w:cs="Times New Roman"/>
                <w:color w:val="000000"/>
                <w:sz w:val="20"/>
                <w:szCs w:val="20"/>
                <w:lang w:eastAsia="en-NZ"/>
              </w:rPr>
              <w:t>944.</w:t>
            </w:r>
            <w:r w:rsidR="00C53A84">
              <w:rPr>
                <w:rFonts w:eastAsia="Times New Roman" w:cs="Times New Roman"/>
                <w:color w:val="000000"/>
                <w:sz w:val="20"/>
                <w:szCs w:val="20"/>
                <w:lang w:eastAsia="en-NZ"/>
              </w:rPr>
              <w:t>8</w:t>
            </w:r>
          </w:p>
        </w:tc>
        <w:tc>
          <w:tcPr>
            <w:tcW w:w="1465" w:type="dxa"/>
            <w:shd w:val="clear" w:color="auto" w:fill="auto"/>
            <w:noWrap/>
            <w:vAlign w:val="center"/>
            <w:hideMark/>
          </w:tcPr>
          <w:p w:rsidR="00D83F58" w:rsidRPr="00100F69" w:rsidRDefault="00D83F58" w:rsidP="00D83F58">
            <w:pPr>
              <w:spacing w:before="20" w:after="20"/>
              <w:jc w:val="center"/>
              <w:rPr>
                <w:rFonts w:eastAsia="Times New Roman" w:cs="Times New Roman"/>
                <w:color w:val="000000"/>
                <w:sz w:val="20"/>
                <w:szCs w:val="20"/>
                <w:lang w:eastAsia="en-NZ"/>
              </w:rPr>
            </w:pPr>
            <w:r w:rsidRPr="00100F69">
              <w:rPr>
                <w:rFonts w:eastAsia="Times New Roman" w:cs="Times New Roman"/>
                <w:color w:val="000000"/>
                <w:sz w:val="20"/>
                <w:szCs w:val="20"/>
                <w:lang w:eastAsia="en-NZ"/>
              </w:rPr>
              <w:t>960</w:t>
            </w:r>
          </w:p>
        </w:tc>
        <w:tc>
          <w:tcPr>
            <w:tcW w:w="1465" w:type="dxa"/>
            <w:shd w:val="clear" w:color="auto" w:fill="auto"/>
            <w:noWrap/>
            <w:vAlign w:val="center"/>
          </w:tcPr>
          <w:p w:rsidR="00D83F58" w:rsidRPr="00D83F58" w:rsidRDefault="00D83F58" w:rsidP="00D83F58">
            <w:pPr>
              <w:spacing w:after="0" w:line="240" w:lineRule="auto"/>
              <w:jc w:val="center"/>
              <w:rPr>
                <w:rFonts w:ascii="Calibri" w:eastAsia="Times New Roman" w:hAnsi="Calibri" w:cs="Calibri"/>
                <w:color w:val="000000"/>
                <w:sz w:val="20"/>
                <w:szCs w:val="20"/>
                <w:lang w:eastAsia="en-NZ"/>
              </w:rPr>
            </w:pPr>
            <w:r w:rsidRPr="00D83F58">
              <w:rPr>
                <w:rFonts w:ascii="Calibri" w:eastAsia="Times New Roman" w:hAnsi="Calibri" w:cs="Calibri"/>
                <w:color w:val="000000"/>
                <w:sz w:val="20"/>
                <w:szCs w:val="20"/>
                <w:lang w:eastAsia="en-NZ"/>
              </w:rPr>
              <w:t>0.00023</w:t>
            </w:r>
          </w:p>
        </w:tc>
      </w:tr>
      <w:tr w:rsidR="00D83F58" w:rsidRPr="00100F69" w:rsidTr="00D83F58">
        <w:trPr>
          <w:trHeight w:val="300"/>
        </w:trPr>
        <w:tc>
          <w:tcPr>
            <w:tcW w:w="1716" w:type="dxa"/>
            <w:shd w:val="clear" w:color="auto" w:fill="auto"/>
            <w:noWrap/>
            <w:vAlign w:val="center"/>
            <w:hideMark/>
          </w:tcPr>
          <w:p w:rsidR="00D83F58" w:rsidRPr="00100F69" w:rsidRDefault="00D83F58" w:rsidP="00D83F58">
            <w:pPr>
              <w:spacing w:before="20" w:after="20"/>
              <w:jc w:val="left"/>
              <w:rPr>
                <w:rFonts w:eastAsia="Times New Roman" w:cs="Times New Roman"/>
                <w:color w:val="000000"/>
                <w:sz w:val="20"/>
                <w:szCs w:val="20"/>
                <w:lang w:eastAsia="en-NZ"/>
              </w:rPr>
            </w:pPr>
            <w:r w:rsidRPr="00100F69">
              <w:rPr>
                <w:rFonts w:eastAsia="Times New Roman" w:cs="Times New Roman"/>
                <w:color w:val="000000"/>
                <w:sz w:val="20"/>
                <w:szCs w:val="20"/>
                <w:lang w:eastAsia="en-NZ"/>
              </w:rPr>
              <w:t>2deg 1800</w:t>
            </w:r>
          </w:p>
        </w:tc>
        <w:tc>
          <w:tcPr>
            <w:tcW w:w="2268" w:type="dxa"/>
            <w:vAlign w:val="center"/>
          </w:tcPr>
          <w:p w:rsidR="00D83F58" w:rsidRPr="00736772" w:rsidRDefault="00D83F58" w:rsidP="00D83F58">
            <w:pPr>
              <w:spacing w:before="20" w:after="20"/>
              <w:jc w:val="left"/>
              <w:rPr>
                <w:rFonts w:eastAsia="Times New Roman" w:cs="Times New Roman"/>
                <w:color w:val="000000"/>
                <w:sz w:val="20"/>
                <w:szCs w:val="20"/>
                <w:lang w:eastAsia="en-NZ"/>
              </w:rPr>
            </w:pPr>
            <w:r w:rsidRPr="00736772">
              <w:rPr>
                <w:rFonts w:eastAsia="Times New Roman" w:cs="Times New Roman"/>
                <w:color w:val="000000"/>
                <w:sz w:val="20"/>
                <w:szCs w:val="20"/>
                <w:lang w:eastAsia="en-NZ"/>
              </w:rPr>
              <w:t>2degrees cellsites in their 1800 MHz band</w:t>
            </w:r>
          </w:p>
        </w:tc>
        <w:tc>
          <w:tcPr>
            <w:tcW w:w="1465" w:type="dxa"/>
            <w:shd w:val="clear" w:color="auto" w:fill="auto"/>
            <w:noWrap/>
            <w:vAlign w:val="center"/>
            <w:hideMark/>
          </w:tcPr>
          <w:p w:rsidR="00D83F58" w:rsidRPr="00100F69" w:rsidRDefault="00D83F58" w:rsidP="00D83F58">
            <w:pPr>
              <w:spacing w:before="20" w:after="20"/>
              <w:jc w:val="center"/>
              <w:rPr>
                <w:rFonts w:eastAsia="Times New Roman" w:cs="Times New Roman"/>
                <w:color w:val="000000"/>
                <w:sz w:val="20"/>
                <w:szCs w:val="20"/>
                <w:lang w:eastAsia="en-NZ"/>
              </w:rPr>
            </w:pPr>
            <w:r w:rsidRPr="00100F69">
              <w:rPr>
                <w:rFonts w:eastAsia="Times New Roman" w:cs="Times New Roman"/>
                <w:color w:val="000000"/>
                <w:sz w:val="20"/>
                <w:szCs w:val="20"/>
                <w:lang w:eastAsia="en-NZ"/>
              </w:rPr>
              <w:t>1805</w:t>
            </w:r>
          </w:p>
        </w:tc>
        <w:tc>
          <w:tcPr>
            <w:tcW w:w="1465" w:type="dxa"/>
            <w:shd w:val="clear" w:color="auto" w:fill="auto"/>
            <w:noWrap/>
            <w:vAlign w:val="center"/>
            <w:hideMark/>
          </w:tcPr>
          <w:p w:rsidR="00D83F58" w:rsidRPr="00100F69" w:rsidRDefault="00D83F58" w:rsidP="00D83F58">
            <w:pPr>
              <w:spacing w:before="20" w:after="20"/>
              <w:jc w:val="center"/>
              <w:rPr>
                <w:rFonts w:eastAsia="Times New Roman" w:cs="Times New Roman"/>
                <w:color w:val="000000"/>
                <w:sz w:val="20"/>
                <w:szCs w:val="20"/>
                <w:lang w:eastAsia="en-NZ"/>
              </w:rPr>
            </w:pPr>
            <w:r w:rsidRPr="00100F69">
              <w:rPr>
                <w:rFonts w:eastAsia="Times New Roman" w:cs="Times New Roman"/>
                <w:color w:val="000000"/>
                <w:sz w:val="20"/>
                <w:szCs w:val="20"/>
                <w:lang w:eastAsia="en-NZ"/>
              </w:rPr>
              <w:t>1830</w:t>
            </w:r>
          </w:p>
        </w:tc>
        <w:tc>
          <w:tcPr>
            <w:tcW w:w="1465" w:type="dxa"/>
            <w:shd w:val="clear" w:color="auto" w:fill="auto"/>
            <w:noWrap/>
            <w:vAlign w:val="center"/>
          </w:tcPr>
          <w:p w:rsidR="00D83F58" w:rsidRPr="00D83F58" w:rsidRDefault="00D83F58" w:rsidP="00D83F58">
            <w:pPr>
              <w:spacing w:after="0" w:line="240" w:lineRule="auto"/>
              <w:jc w:val="center"/>
              <w:rPr>
                <w:rFonts w:ascii="Calibri" w:eastAsia="Times New Roman" w:hAnsi="Calibri" w:cs="Calibri"/>
                <w:color w:val="000000"/>
                <w:sz w:val="20"/>
                <w:szCs w:val="20"/>
                <w:lang w:eastAsia="en-NZ"/>
              </w:rPr>
            </w:pPr>
            <w:r w:rsidRPr="00D83F58">
              <w:rPr>
                <w:rFonts w:ascii="Calibri" w:eastAsia="Times New Roman" w:hAnsi="Calibri" w:cs="Calibri"/>
                <w:color w:val="000000"/>
                <w:sz w:val="20"/>
                <w:szCs w:val="20"/>
                <w:lang w:eastAsia="en-NZ"/>
              </w:rPr>
              <w:t>0.00007</w:t>
            </w:r>
          </w:p>
        </w:tc>
      </w:tr>
      <w:tr w:rsidR="00D83F58" w:rsidRPr="00100F69" w:rsidTr="00D83F58">
        <w:trPr>
          <w:trHeight w:val="300"/>
        </w:trPr>
        <w:tc>
          <w:tcPr>
            <w:tcW w:w="1716" w:type="dxa"/>
            <w:shd w:val="clear" w:color="auto" w:fill="auto"/>
            <w:noWrap/>
            <w:vAlign w:val="center"/>
            <w:hideMark/>
          </w:tcPr>
          <w:p w:rsidR="00D83F58" w:rsidRPr="00100F69" w:rsidRDefault="00D83F58" w:rsidP="00D83F58">
            <w:pPr>
              <w:spacing w:before="20" w:after="20"/>
              <w:jc w:val="left"/>
              <w:rPr>
                <w:rFonts w:eastAsia="Times New Roman" w:cs="Times New Roman"/>
                <w:color w:val="000000"/>
                <w:sz w:val="20"/>
                <w:szCs w:val="20"/>
                <w:lang w:eastAsia="en-NZ"/>
              </w:rPr>
            </w:pPr>
            <w:r>
              <w:rPr>
                <w:rFonts w:eastAsia="Times New Roman" w:cs="Times New Roman"/>
                <w:color w:val="000000"/>
                <w:sz w:val="20"/>
                <w:szCs w:val="20"/>
                <w:lang w:eastAsia="en-NZ"/>
              </w:rPr>
              <w:t>Spark</w:t>
            </w:r>
            <w:r w:rsidRPr="00100F69">
              <w:rPr>
                <w:rFonts w:eastAsia="Times New Roman" w:cs="Times New Roman"/>
                <w:color w:val="000000"/>
                <w:sz w:val="20"/>
                <w:szCs w:val="20"/>
                <w:lang w:eastAsia="en-NZ"/>
              </w:rPr>
              <w:t xml:space="preserve"> 1800</w:t>
            </w:r>
          </w:p>
        </w:tc>
        <w:tc>
          <w:tcPr>
            <w:tcW w:w="2268" w:type="dxa"/>
            <w:vAlign w:val="center"/>
          </w:tcPr>
          <w:p w:rsidR="00D83F58" w:rsidRPr="00736772" w:rsidRDefault="00D83F58" w:rsidP="00D83F58">
            <w:pPr>
              <w:spacing w:before="20" w:after="20"/>
              <w:jc w:val="left"/>
              <w:rPr>
                <w:rFonts w:eastAsia="Times New Roman" w:cs="Times New Roman"/>
                <w:color w:val="000000"/>
                <w:sz w:val="20"/>
                <w:szCs w:val="20"/>
                <w:lang w:eastAsia="en-NZ"/>
              </w:rPr>
            </w:pPr>
            <w:r>
              <w:rPr>
                <w:rFonts w:eastAsia="Times New Roman" w:cs="Times New Roman"/>
                <w:color w:val="000000"/>
                <w:sz w:val="20"/>
                <w:szCs w:val="20"/>
                <w:lang w:eastAsia="en-NZ"/>
              </w:rPr>
              <w:t>Vodafone</w:t>
            </w:r>
            <w:r w:rsidRPr="00736772">
              <w:rPr>
                <w:rFonts w:eastAsia="Times New Roman" w:cs="Times New Roman"/>
                <w:color w:val="000000"/>
                <w:sz w:val="20"/>
                <w:szCs w:val="20"/>
                <w:lang w:eastAsia="en-NZ"/>
              </w:rPr>
              <w:t xml:space="preserve"> cellsites in their 1800 MHz band</w:t>
            </w:r>
          </w:p>
        </w:tc>
        <w:tc>
          <w:tcPr>
            <w:tcW w:w="1465" w:type="dxa"/>
            <w:shd w:val="clear" w:color="auto" w:fill="auto"/>
            <w:noWrap/>
            <w:vAlign w:val="center"/>
            <w:hideMark/>
          </w:tcPr>
          <w:p w:rsidR="00D83F58" w:rsidRPr="00100F69" w:rsidRDefault="00D83F58" w:rsidP="00D83F58">
            <w:pPr>
              <w:spacing w:before="20" w:after="20"/>
              <w:jc w:val="center"/>
              <w:rPr>
                <w:rFonts w:eastAsia="Times New Roman" w:cs="Times New Roman"/>
                <w:color w:val="000000"/>
                <w:sz w:val="20"/>
                <w:szCs w:val="20"/>
                <w:lang w:eastAsia="en-NZ"/>
              </w:rPr>
            </w:pPr>
            <w:r w:rsidRPr="00100F69">
              <w:rPr>
                <w:rFonts w:eastAsia="Times New Roman" w:cs="Times New Roman"/>
                <w:color w:val="000000"/>
                <w:sz w:val="20"/>
                <w:szCs w:val="20"/>
                <w:lang w:eastAsia="en-NZ"/>
              </w:rPr>
              <w:t>1830</w:t>
            </w:r>
          </w:p>
        </w:tc>
        <w:tc>
          <w:tcPr>
            <w:tcW w:w="1465" w:type="dxa"/>
            <w:shd w:val="clear" w:color="auto" w:fill="auto"/>
            <w:noWrap/>
            <w:vAlign w:val="center"/>
            <w:hideMark/>
          </w:tcPr>
          <w:p w:rsidR="00D83F58" w:rsidRPr="00100F69" w:rsidRDefault="00D83F58" w:rsidP="00D83F58">
            <w:pPr>
              <w:spacing w:before="20" w:after="20"/>
              <w:jc w:val="center"/>
              <w:rPr>
                <w:rFonts w:eastAsia="Times New Roman" w:cs="Times New Roman"/>
                <w:color w:val="000000"/>
                <w:sz w:val="20"/>
                <w:szCs w:val="20"/>
                <w:lang w:eastAsia="en-NZ"/>
              </w:rPr>
            </w:pPr>
            <w:r w:rsidRPr="00100F69">
              <w:rPr>
                <w:rFonts w:eastAsia="Times New Roman" w:cs="Times New Roman"/>
                <w:color w:val="000000"/>
                <w:sz w:val="20"/>
                <w:szCs w:val="20"/>
                <w:lang w:eastAsia="en-NZ"/>
              </w:rPr>
              <w:t>1855</w:t>
            </w:r>
          </w:p>
        </w:tc>
        <w:tc>
          <w:tcPr>
            <w:tcW w:w="1465" w:type="dxa"/>
            <w:shd w:val="clear" w:color="auto" w:fill="auto"/>
            <w:noWrap/>
            <w:vAlign w:val="center"/>
          </w:tcPr>
          <w:p w:rsidR="00D83F58" w:rsidRPr="00D83F58" w:rsidRDefault="00D83F58" w:rsidP="00D83F58">
            <w:pPr>
              <w:spacing w:after="0" w:line="240" w:lineRule="auto"/>
              <w:jc w:val="center"/>
              <w:rPr>
                <w:rFonts w:ascii="Calibri" w:eastAsia="Times New Roman" w:hAnsi="Calibri" w:cs="Calibri"/>
                <w:color w:val="000000"/>
                <w:sz w:val="20"/>
                <w:szCs w:val="20"/>
                <w:lang w:eastAsia="en-NZ"/>
              </w:rPr>
            </w:pPr>
            <w:r w:rsidRPr="00D83F58">
              <w:rPr>
                <w:rFonts w:ascii="Calibri" w:eastAsia="Times New Roman" w:hAnsi="Calibri" w:cs="Calibri"/>
                <w:color w:val="000000"/>
                <w:sz w:val="20"/>
                <w:szCs w:val="20"/>
                <w:lang w:eastAsia="en-NZ"/>
              </w:rPr>
              <w:t>0.00007</w:t>
            </w:r>
          </w:p>
        </w:tc>
      </w:tr>
      <w:tr w:rsidR="00D83F58" w:rsidRPr="00100F69" w:rsidTr="00D83F58">
        <w:trPr>
          <w:trHeight w:val="300"/>
        </w:trPr>
        <w:tc>
          <w:tcPr>
            <w:tcW w:w="1716" w:type="dxa"/>
            <w:shd w:val="clear" w:color="auto" w:fill="auto"/>
            <w:noWrap/>
            <w:vAlign w:val="center"/>
            <w:hideMark/>
          </w:tcPr>
          <w:p w:rsidR="00D83F58" w:rsidRPr="00100F69" w:rsidRDefault="00D83F58" w:rsidP="00D83F58">
            <w:pPr>
              <w:spacing w:before="20" w:after="20"/>
              <w:jc w:val="left"/>
              <w:rPr>
                <w:rFonts w:eastAsia="Times New Roman" w:cs="Times New Roman"/>
                <w:color w:val="000000"/>
                <w:sz w:val="20"/>
                <w:szCs w:val="20"/>
                <w:lang w:eastAsia="en-NZ"/>
              </w:rPr>
            </w:pPr>
            <w:r w:rsidRPr="00100F69">
              <w:rPr>
                <w:rFonts w:eastAsia="Times New Roman" w:cs="Times New Roman"/>
                <w:color w:val="000000"/>
                <w:sz w:val="20"/>
                <w:szCs w:val="20"/>
                <w:lang w:eastAsia="en-NZ"/>
              </w:rPr>
              <w:t>Vod 1800</w:t>
            </w:r>
          </w:p>
        </w:tc>
        <w:tc>
          <w:tcPr>
            <w:tcW w:w="2268" w:type="dxa"/>
            <w:vAlign w:val="center"/>
          </w:tcPr>
          <w:p w:rsidR="00D83F58" w:rsidRPr="00736772" w:rsidRDefault="00D83F58" w:rsidP="00D83F58">
            <w:pPr>
              <w:spacing w:before="20" w:after="20"/>
              <w:jc w:val="left"/>
              <w:rPr>
                <w:rFonts w:eastAsia="Times New Roman" w:cs="Times New Roman"/>
                <w:color w:val="000000"/>
                <w:sz w:val="20"/>
                <w:szCs w:val="20"/>
                <w:lang w:eastAsia="en-NZ"/>
              </w:rPr>
            </w:pPr>
            <w:r w:rsidRPr="00736772">
              <w:rPr>
                <w:rFonts w:eastAsia="Times New Roman" w:cs="Times New Roman"/>
                <w:color w:val="000000"/>
                <w:sz w:val="20"/>
                <w:szCs w:val="20"/>
                <w:lang w:eastAsia="en-NZ"/>
              </w:rPr>
              <w:t>Vodafone cellsites in their 1800 MHz band</w:t>
            </w:r>
          </w:p>
        </w:tc>
        <w:tc>
          <w:tcPr>
            <w:tcW w:w="1465" w:type="dxa"/>
            <w:shd w:val="clear" w:color="auto" w:fill="auto"/>
            <w:noWrap/>
            <w:vAlign w:val="center"/>
            <w:hideMark/>
          </w:tcPr>
          <w:p w:rsidR="00D83F58" w:rsidRPr="00100F69" w:rsidRDefault="00D83F58" w:rsidP="00D83F58">
            <w:pPr>
              <w:spacing w:before="20" w:after="20"/>
              <w:jc w:val="center"/>
              <w:rPr>
                <w:rFonts w:eastAsia="Times New Roman" w:cs="Times New Roman"/>
                <w:color w:val="000000"/>
                <w:sz w:val="20"/>
                <w:szCs w:val="20"/>
                <w:lang w:eastAsia="en-NZ"/>
              </w:rPr>
            </w:pPr>
            <w:r w:rsidRPr="00100F69">
              <w:rPr>
                <w:rFonts w:eastAsia="Times New Roman" w:cs="Times New Roman"/>
                <w:color w:val="000000"/>
                <w:sz w:val="20"/>
                <w:szCs w:val="20"/>
                <w:lang w:eastAsia="en-NZ"/>
              </w:rPr>
              <w:t>1855</w:t>
            </w:r>
          </w:p>
        </w:tc>
        <w:tc>
          <w:tcPr>
            <w:tcW w:w="1465" w:type="dxa"/>
            <w:shd w:val="clear" w:color="auto" w:fill="auto"/>
            <w:noWrap/>
            <w:vAlign w:val="center"/>
            <w:hideMark/>
          </w:tcPr>
          <w:p w:rsidR="00D83F58" w:rsidRPr="00100F69" w:rsidRDefault="00D83F58" w:rsidP="00D83F58">
            <w:pPr>
              <w:spacing w:before="20" w:after="20"/>
              <w:jc w:val="center"/>
              <w:rPr>
                <w:rFonts w:eastAsia="Times New Roman" w:cs="Times New Roman"/>
                <w:color w:val="000000"/>
                <w:sz w:val="20"/>
                <w:szCs w:val="20"/>
                <w:lang w:eastAsia="en-NZ"/>
              </w:rPr>
            </w:pPr>
            <w:r w:rsidRPr="00100F69">
              <w:rPr>
                <w:rFonts w:eastAsia="Times New Roman" w:cs="Times New Roman"/>
                <w:color w:val="000000"/>
                <w:sz w:val="20"/>
                <w:szCs w:val="20"/>
                <w:lang w:eastAsia="en-NZ"/>
              </w:rPr>
              <w:t>1880</w:t>
            </w:r>
          </w:p>
        </w:tc>
        <w:tc>
          <w:tcPr>
            <w:tcW w:w="1465" w:type="dxa"/>
            <w:shd w:val="clear" w:color="auto" w:fill="auto"/>
            <w:noWrap/>
            <w:vAlign w:val="center"/>
          </w:tcPr>
          <w:p w:rsidR="00D83F58" w:rsidRPr="00D83F58" w:rsidRDefault="00D83F58" w:rsidP="00D83F58">
            <w:pPr>
              <w:spacing w:after="0" w:line="240" w:lineRule="auto"/>
              <w:jc w:val="center"/>
              <w:rPr>
                <w:rFonts w:ascii="Calibri" w:eastAsia="Times New Roman" w:hAnsi="Calibri" w:cs="Calibri"/>
                <w:color w:val="000000"/>
                <w:sz w:val="20"/>
                <w:szCs w:val="20"/>
                <w:lang w:eastAsia="en-NZ"/>
              </w:rPr>
            </w:pPr>
            <w:r w:rsidRPr="00D83F58">
              <w:rPr>
                <w:rFonts w:ascii="Calibri" w:eastAsia="Times New Roman" w:hAnsi="Calibri" w:cs="Calibri"/>
                <w:color w:val="000000"/>
                <w:sz w:val="20"/>
                <w:szCs w:val="20"/>
                <w:lang w:eastAsia="en-NZ"/>
              </w:rPr>
              <w:t>0.00007</w:t>
            </w:r>
          </w:p>
        </w:tc>
      </w:tr>
      <w:tr w:rsidR="00D83F58" w:rsidRPr="00100F69" w:rsidTr="00D83F58">
        <w:trPr>
          <w:trHeight w:val="300"/>
        </w:trPr>
        <w:tc>
          <w:tcPr>
            <w:tcW w:w="1716" w:type="dxa"/>
            <w:shd w:val="clear" w:color="auto" w:fill="auto"/>
            <w:noWrap/>
            <w:vAlign w:val="center"/>
            <w:hideMark/>
          </w:tcPr>
          <w:p w:rsidR="00D83F58" w:rsidRPr="00100F69" w:rsidRDefault="00D83F58" w:rsidP="00D83F58">
            <w:pPr>
              <w:spacing w:before="20" w:after="20"/>
              <w:jc w:val="left"/>
              <w:rPr>
                <w:rFonts w:eastAsia="Times New Roman" w:cs="Times New Roman"/>
                <w:color w:val="000000"/>
                <w:sz w:val="20"/>
                <w:szCs w:val="20"/>
                <w:lang w:eastAsia="en-NZ"/>
              </w:rPr>
            </w:pPr>
            <w:r w:rsidRPr="00100F69">
              <w:rPr>
                <w:rFonts w:eastAsia="Times New Roman" w:cs="Times New Roman"/>
                <w:color w:val="000000"/>
                <w:sz w:val="20"/>
                <w:szCs w:val="20"/>
                <w:lang w:eastAsia="en-NZ"/>
              </w:rPr>
              <w:t>Vod 2100</w:t>
            </w:r>
          </w:p>
        </w:tc>
        <w:tc>
          <w:tcPr>
            <w:tcW w:w="2268" w:type="dxa"/>
            <w:vAlign w:val="center"/>
          </w:tcPr>
          <w:p w:rsidR="00D83F58" w:rsidRPr="00736772" w:rsidRDefault="00D83F58" w:rsidP="00D83F58">
            <w:pPr>
              <w:spacing w:before="20" w:after="20"/>
              <w:jc w:val="left"/>
              <w:rPr>
                <w:rFonts w:eastAsia="Times New Roman" w:cs="Times New Roman"/>
                <w:color w:val="000000"/>
                <w:sz w:val="20"/>
                <w:szCs w:val="20"/>
                <w:lang w:eastAsia="en-NZ"/>
              </w:rPr>
            </w:pPr>
            <w:r w:rsidRPr="00736772">
              <w:rPr>
                <w:rFonts w:eastAsia="Times New Roman" w:cs="Times New Roman"/>
                <w:color w:val="000000"/>
                <w:sz w:val="20"/>
                <w:szCs w:val="20"/>
                <w:lang w:eastAsia="en-NZ"/>
              </w:rPr>
              <w:t>Vodafone cellsites in their 2100 MHz band</w:t>
            </w:r>
          </w:p>
        </w:tc>
        <w:tc>
          <w:tcPr>
            <w:tcW w:w="1465" w:type="dxa"/>
            <w:shd w:val="clear" w:color="auto" w:fill="auto"/>
            <w:noWrap/>
            <w:vAlign w:val="center"/>
            <w:hideMark/>
          </w:tcPr>
          <w:p w:rsidR="00D83F58" w:rsidRPr="00100F69" w:rsidRDefault="00D83F58" w:rsidP="00D83F58">
            <w:pPr>
              <w:spacing w:before="20" w:after="20"/>
              <w:jc w:val="center"/>
              <w:rPr>
                <w:rFonts w:eastAsia="Times New Roman" w:cs="Times New Roman"/>
                <w:color w:val="000000"/>
                <w:sz w:val="20"/>
                <w:szCs w:val="20"/>
                <w:lang w:eastAsia="en-NZ"/>
              </w:rPr>
            </w:pPr>
            <w:r w:rsidRPr="00100F69">
              <w:rPr>
                <w:rFonts w:eastAsia="Times New Roman" w:cs="Times New Roman"/>
                <w:color w:val="000000"/>
                <w:sz w:val="20"/>
                <w:szCs w:val="20"/>
                <w:lang w:eastAsia="en-NZ"/>
              </w:rPr>
              <w:t>2110</w:t>
            </w:r>
          </w:p>
        </w:tc>
        <w:tc>
          <w:tcPr>
            <w:tcW w:w="1465" w:type="dxa"/>
            <w:shd w:val="clear" w:color="auto" w:fill="auto"/>
            <w:noWrap/>
            <w:vAlign w:val="center"/>
            <w:hideMark/>
          </w:tcPr>
          <w:p w:rsidR="00D83F58" w:rsidRPr="00100F69" w:rsidRDefault="00D83F58" w:rsidP="00D83F58">
            <w:pPr>
              <w:spacing w:before="20" w:after="20"/>
              <w:jc w:val="center"/>
              <w:rPr>
                <w:rFonts w:eastAsia="Times New Roman" w:cs="Times New Roman"/>
                <w:color w:val="000000"/>
                <w:sz w:val="20"/>
                <w:szCs w:val="20"/>
                <w:lang w:eastAsia="en-NZ"/>
              </w:rPr>
            </w:pPr>
            <w:r w:rsidRPr="00100F69">
              <w:rPr>
                <w:rFonts w:eastAsia="Times New Roman" w:cs="Times New Roman"/>
                <w:color w:val="000000"/>
                <w:sz w:val="20"/>
                <w:szCs w:val="20"/>
                <w:lang w:eastAsia="en-NZ"/>
              </w:rPr>
              <w:t>2135</w:t>
            </w:r>
          </w:p>
        </w:tc>
        <w:tc>
          <w:tcPr>
            <w:tcW w:w="1465" w:type="dxa"/>
            <w:shd w:val="clear" w:color="auto" w:fill="auto"/>
            <w:noWrap/>
            <w:vAlign w:val="center"/>
          </w:tcPr>
          <w:p w:rsidR="00D83F58" w:rsidRPr="00D83F58" w:rsidRDefault="00D83F58" w:rsidP="00D83F58">
            <w:pPr>
              <w:spacing w:after="0" w:line="240" w:lineRule="auto"/>
              <w:jc w:val="center"/>
              <w:rPr>
                <w:rFonts w:ascii="Calibri" w:eastAsia="Times New Roman" w:hAnsi="Calibri" w:cs="Calibri"/>
                <w:color w:val="000000"/>
                <w:sz w:val="20"/>
                <w:szCs w:val="20"/>
                <w:lang w:eastAsia="en-NZ"/>
              </w:rPr>
            </w:pPr>
            <w:r w:rsidRPr="00D83F58">
              <w:rPr>
                <w:rFonts w:ascii="Calibri" w:eastAsia="Times New Roman" w:hAnsi="Calibri" w:cs="Calibri"/>
                <w:color w:val="000000"/>
                <w:sz w:val="20"/>
                <w:szCs w:val="20"/>
                <w:lang w:eastAsia="en-NZ"/>
              </w:rPr>
              <w:t>0.00008</w:t>
            </w:r>
          </w:p>
        </w:tc>
      </w:tr>
      <w:tr w:rsidR="00D83F58" w:rsidRPr="00100F69" w:rsidTr="00D83F58">
        <w:trPr>
          <w:trHeight w:val="300"/>
        </w:trPr>
        <w:tc>
          <w:tcPr>
            <w:tcW w:w="1716" w:type="dxa"/>
            <w:shd w:val="clear" w:color="auto" w:fill="auto"/>
            <w:noWrap/>
            <w:vAlign w:val="center"/>
            <w:hideMark/>
          </w:tcPr>
          <w:p w:rsidR="00D83F58" w:rsidRPr="00100F69" w:rsidRDefault="00D83F58" w:rsidP="00D83F58">
            <w:pPr>
              <w:spacing w:before="20" w:after="20"/>
              <w:jc w:val="left"/>
              <w:rPr>
                <w:rFonts w:eastAsia="Times New Roman" w:cs="Times New Roman"/>
                <w:color w:val="000000"/>
                <w:sz w:val="20"/>
                <w:szCs w:val="20"/>
                <w:lang w:eastAsia="en-NZ"/>
              </w:rPr>
            </w:pPr>
            <w:r>
              <w:rPr>
                <w:rFonts w:eastAsia="Times New Roman" w:cs="Times New Roman"/>
                <w:color w:val="000000"/>
                <w:sz w:val="20"/>
                <w:szCs w:val="20"/>
                <w:lang w:eastAsia="en-NZ"/>
              </w:rPr>
              <w:t>Spark</w:t>
            </w:r>
            <w:r w:rsidRPr="00100F69">
              <w:rPr>
                <w:rFonts w:eastAsia="Times New Roman" w:cs="Times New Roman"/>
                <w:color w:val="000000"/>
                <w:sz w:val="20"/>
                <w:szCs w:val="20"/>
                <w:lang w:eastAsia="en-NZ"/>
              </w:rPr>
              <w:t xml:space="preserve"> 2100</w:t>
            </w:r>
          </w:p>
        </w:tc>
        <w:tc>
          <w:tcPr>
            <w:tcW w:w="2268" w:type="dxa"/>
            <w:vAlign w:val="center"/>
          </w:tcPr>
          <w:p w:rsidR="00D83F58" w:rsidRPr="00736772" w:rsidRDefault="00D83F58" w:rsidP="00D83F58">
            <w:pPr>
              <w:spacing w:before="20" w:after="20"/>
              <w:jc w:val="left"/>
              <w:rPr>
                <w:rFonts w:eastAsia="Times New Roman" w:cs="Times New Roman"/>
                <w:color w:val="000000"/>
                <w:sz w:val="20"/>
                <w:szCs w:val="20"/>
                <w:lang w:eastAsia="en-NZ"/>
              </w:rPr>
            </w:pPr>
            <w:r>
              <w:rPr>
                <w:rFonts w:eastAsia="Times New Roman" w:cs="Times New Roman"/>
                <w:color w:val="000000"/>
                <w:sz w:val="20"/>
                <w:szCs w:val="20"/>
                <w:lang w:eastAsia="en-NZ"/>
              </w:rPr>
              <w:t>Spark</w:t>
            </w:r>
            <w:r w:rsidRPr="00736772">
              <w:rPr>
                <w:rFonts w:eastAsia="Times New Roman" w:cs="Times New Roman"/>
                <w:color w:val="000000"/>
                <w:sz w:val="20"/>
                <w:szCs w:val="20"/>
                <w:lang w:eastAsia="en-NZ"/>
              </w:rPr>
              <w:t xml:space="preserve"> cellsites in their 2100 MHz band</w:t>
            </w:r>
          </w:p>
        </w:tc>
        <w:tc>
          <w:tcPr>
            <w:tcW w:w="1465" w:type="dxa"/>
            <w:shd w:val="clear" w:color="auto" w:fill="auto"/>
            <w:noWrap/>
            <w:vAlign w:val="center"/>
            <w:hideMark/>
          </w:tcPr>
          <w:p w:rsidR="00D83F58" w:rsidRPr="00100F69" w:rsidRDefault="00D83F58" w:rsidP="00D83F58">
            <w:pPr>
              <w:spacing w:before="20" w:after="20"/>
              <w:jc w:val="center"/>
              <w:rPr>
                <w:rFonts w:eastAsia="Times New Roman" w:cs="Times New Roman"/>
                <w:color w:val="000000"/>
                <w:sz w:val="20"/>
                <w:szCs w:val="20"/>
                <w:lang w:eastAsia="en-NZ"/>
              </w:rPr>
            </w:pPr>
            <w:r w:rsidRPr="00100F69">
              <w:rPr>
                <w:rFonts w:eastAsia="Times New Roman" w:cs="Times New Roman"/>
                <w:color w:val="000000"/>
                <w:sz w:val="20"/>
                <w:szCs w:val="20"/>
                <w:lang w:eastAsia="en-NZ"/>
              </w:rPr>
              <w:t>2140</w:t>
            </w:r>
          </w:p>
        </w:tc>
        <w:tc>
          <w:tcPr>
            <w:tcW w:w="1465" w:type="dxa"/>
            <w:shd w:val="clear" w:color="auto" w:fill="auto"/>
            <w:noWrap/>
            <w:vAlign w:val="center"/>
            <w:hideMark/>
          </w:tcPr>
          <w:p w:rsidR="00D83F58" w:rsidRPr="00100F69" w:rsidRDefault="00D83F58" w:rsidP="00D83F58">
            <w:pPr>
              <w:spacing w:before="20" w:after="20"/>
              <w:jc w:val="center"/>
              <w:rPr>
                <w:rFonts w:eastAsia="Times New Roman" w:cs="Times New Roman"/>
                <w:color w:val="000000"/>
                <w:sz w:val="20"/>
                <w:szCs w:val="20"/>
                <w:lang w:eastAsia="en-NZ"/>
              </w:rPr>
            </w:pPr>
            <w:r w:rsidRPr="00100F69">
              <w:rPr>
                <w:rFonts w:eastAsia="Times New Roman" w:cs="Times New Roman"/>
                <w:color w:val="000000"/>
                <w:sz w:val="20"/>
                <w:szCs w:val="20"/>
                <w:lang w:eastAsia="en-NZ"/>
              </w:rPr>
              <w:t>2155</w:t>
            </w:r>
          </w:p>
        </w:tc>
        <w:tc>
          <w:tcPr>
            <w:tcW w:w="1465" w:type="dxa"/>
            <w:shd w:val="clear" w:color="auto" w:fill="auto"/>
            <w:noWrap/>
            <w:vAlign w:val="center"/>
          </w:tcPr>
          <w:p w:rsidR="00D83F58" w:rsidRPr="00D83F58" w:rsidRDefault="00D83F58" w:rsidP="00D83F58">
            <w:pPr>
              <w:spacing w:after="0" w:line="240" w:lineRule="auto"/>
              <w:jc w:val="center"/>
              <w:rPr>
                <w:rFonts w:ascii="Calibri" w:eastAsia="Times New Roman" w:hAnsi="Calibri" w:cs="Calibri"/>
                <w:color w:val="000000"/>
                <w:sz w:val="20"/>
                <w:szCs w:val="20"/>
                <w:lang w:eastAsia="en-NZ"/>
              </w:rPr>
            </w:pPr>
            <w:r w:rsidRPr="00D83F58">
              <w:rPr>
                <w:rFonts w:ascii="Calibri" w:eastAsia="Times New Roman" w:hAnsi="Calibri" w:cs="Calibri"/>
                <w:color w:val="000000"/>
                <w:sz w:val="20"/>
                <w:szCs w:val="20"/>
                <w:lang w:eastAsia="en-NZ"/>
              </w:rPr>
              <w:t>0.00005</w:t>
            </w:r>
          </w:p>
        </w:tc>
      </w:tr>
      <w:tr w:rsidR="00D83F58" w:rsidRPr="00100F69" w:rsidTr="00D83F58">
        <w:trPr>
          <w:trHeight w:val="300"/>
        </w:trPr>
        <w:tc>
          <w:tcPr>
            <w:tcW w:w="1716" w:type="dxa"/>
            <w:shd w:val="clear" w:color="auto" w:fill="auto"/>
            <w:noWrap/>
            <w:vAlign w:val="center"/>
            <w:hideMark/>
          </w:tcPr>
          <w:p w:rsidR="00D83F58" w:rsidRPr="00100F69" w:rsidRDefault="00D83F58" w:rsidP="00D83F58">
            <w:pPr>
              <w:spacing w:before="20" w:after="20"/>
              <w:jc w:val="left"/>
              <w:rPr>
                <w:rFonts w:eastAsia="Times New Roman" w:cs="Times New Roman"/>
                <w:color w:val="000000"/>
                <w:sz w:val="20"/>
                <w:szCs w:val="20"/>
                <w:lang w:eastAsia="en-NZ"/>
              </w:rPr>
            </w:pPr>
            <w:r w:rsidRPr="00100F69">
              <w:rPr>
                <w:rFonts w:eastAsia="Times New Roman" w:cs="Times New Roman"/>
                <w:color w:val="000000"/>
                <w:sz w:val="20"/>
                <w:szCs w:val="20"/>
                <w:lang w:eastAsia="en-NZ"/>
              </w:rPr>
              <w:t>2deg 2100</w:t>
            </w:r>
          </w:p>
        </w:tc>
        <w:tc>
          <w:tcPr>
            <w:tcW w:w="2268" w:type="dxa"/>
            <w:vAlign w:val="center"/>
          </w:tcPr>
          <w:p w:rsidR="00D83F58" w:rsidRPr="00736772" w:rsidRDefault="00D83F58" w:rsidP="00D83F58">
            <w:pPr>
              <w:spacing w:before="20" w:after="20"/>
              <w:jc w:val="left"/>
              <w:rPr>
                <w:rFonts w:eastAsia="Times New Roman" w:cs="Times New Roman"/>
                <w:color w:val="000000"/>
                <w:sz w:val="20"/>
                <w:szCs w:val="20"/>
                <w:lang w:eastAsia="en-NZ"/>
              </w:rPr>
            </w:pPr>
            <w:r w:rsidRPr="00736772">
              <w:rPr>
                <w:rFonts w:eastAsia="Times New Roman" w:cs="Times New Roman"/>
                <w:color w:val="000000"/>
                <w:sz w:val="20"/>
                <w:szCs w:val="20"/>
                <w:lang w:eastAsia="en-NZ"/>
              </w:rPr>
              <w:t>2degrees cellsites in their 2100 MHz band</w:t>
            </w:r>
          </w:p>
        </w:tc>
        <w:tc>
          <w:tcPr>
            <w:tcW w:w="1465" w:type="dxa"/>
            <w:shd w:val="clear" w:color="auto" w:fill="auto"/>
            <w:noWrap/>
            <w:vAlign w:val="center"/>
            <w:hideMark/>
          </w:tcPr>
          <w:p w:rsidR="00D83F58" w:rsidRPr="00100F69" w:rsidRDefault="00D83F58" w:rsidP="00D83F58">
            <w:pPr>
              <w:spacing w:before="20" w:after="20"/>
              <w:jc w:val="center"/>
              <w:rPr>
                <w:rFonts w:eastAsia="Times New Roman" w:cs="Times New Roman"/>
                <w:color w:val="000000"/>
                <w:sz w:val="20"/>
                <w:szCs w:val="20"/>
                <w:lang w:eastAsia="en-NZ"/>
              </w:rPr>
            </w:pPr>
            <w:r w:rsidRPr="00100F69">
              <w:rPr>
                <w:rFonts w:eastAsia="Times New Roman" w:cs="Times New Roman"/>
                <w:color w:val="000000"/>
                <w:sz w:val="20"/>
                <w:szCs w:val="20"/>
                <w:lang w:eastAsia="en-NZ"/>
              </w:rPr>
              <w:t>2155</w:t>
            </w:r>
          </w:p>
        </w:tc>
        <w:tc>
          <w:tcPr>
            <w:tcW w:w="1465" w:type="dxa"/>
            <w:shd w:val="clear" w:color="auto" w:fill="auto"/>
            <w:noWrap/>
            <w:vAlign w:val="center"/>
            <w:hideMark/>
          </w:tcPr>
          <w:p w:rsidR="00D83F58" w:rsidRPr="00100F69" w:rsidRDefault="00D83F58" w:rsidP="00D83F58">
            <w:pPr>
              <w:spacing w:before="20" w:after="20"/>
              <w:jc w:val="center"/>
              <w:rPr>
                <w:rFonts w:eastAsia="Times New Roman" w:cs="Times New Roman"/>
                <w:color w:val="000000"/>
                <w:sz w:val="20"/>
                <w:szCs w:val="20"/>
                <w:lang w:eastAsia="en-NZ"/>
              </w:rPr>
            </w:pPr>
            <w:r w:rsidRPr="00100F69">
              <w:rPr>
                <w:rFonts w:eastAsia="Times New Roman" w:cs="Times New Roman"/>
                <w:color w:val="000000"/>
                <w:sz w:val="20"/>
                <w:szCs w:val="20"/>
                <w:lang w:eastAsia="en-NZ"/>
              </w:rPr>
              <w:t>2170</w:t>
            </w:r>
          </w:p>
        </w:tc>
        <w:tc>
          <w:tcPr>
            <w:tcW w:w="1465" w:type="dxa"/>
            <w:shd w:val="clear" w:color="auto" w:fill="auto"/>
            <w:noWrap/>
            <w:vAlign w:val="center"/>
          </w:tcPr>
          <w:p w:rsidR="00D83F58" w:rsidRPr="00D83F58" w:rsidRDefault="00D83F58" w:rsidP="00D83F58">
            <w:pPr>
              <w:spacing w:after="0" w:line="240" w:lineRule="auto"/>
              <w:jc w:val="center"/>
              <w:rPr>
                <w:rFonts w:ascii="Calibri" w:eastAsia="Times New Roman" w:hAnsi="Calibri" w:cs="Calibri"/>
                <w:color w:val="000000"/>
                <w:sz w:val="20"/>
                <w:szCs w:val="20"/>
                <w:lang w:eastAsia="en-NZ"/>
              </w:rPr>
            </w:pPr>
            <w:r w:rsidRPr="00D83F58">
              <w:rPr>
                <w:rFonts w:ascii="Calibri" w:eastAsia="Times New Roman" w:hAnsi="Calibri" w:cs="Calibri"/>
                <w:color w:val="000000"/>
                <w:sz w:val="20"/>
                <w:szCs w:val="20"/>
                <w:lang w:eastAsia="en-NZ"/>
              </w:rPr>
              <w:t>0.00006</w:t>
            </w:r>
          </w:p>
        </w:tc>
      </w:tr>
      <w:tr w:rsidR="00D83F58" w:rsidRPr="00736772" w:rsidTr="00D83F58">
        <w:trPr>
          <w:trHeight w:val="300"/>
        </w:trPr>
        <w:tc>
          <w:tcPr>
            <w:tcW w:w="1716" w:type="dxa"/>
            <w:shd w:val="clear" w:color="auto" w:fill="auto"/>
            <w:noWrap/>
            <w:vAlign w:val="center"/>
          </w:tcPr>
          <w:p w:rsidR="00D83F58" w:rsidRPr="00100F69" w:rsidRDefault="00D83F58" w:rsidP="00D83F58">
            <w:pPr>
              <w:spacing w:before="20" w:after="20"/>
              <w:jc w:val="left"/>
              <w:rPr>
                <w:rFonts w:eastAsia="Times New Roman" w:cs="Times New Roman"/>
                <w:color w:val="000000"/>
                <w:sz w:val="20"/>
                <w:szCs w:val="20"/>
                <w:lang w:eastAsia="en-NZ"/>
              </w:rPr>
            </w:pPr>
            <w:r>
              <w:rPr>
                <w:rFonts w:eastAsia="Times New Roman" w:cs="Times New Roman"/>
                <w:color w:val="000000"/>
                <w:sz w:val="20"/>
                <w:szCs w:val="20"/>
                <w:lang w:eastAsia="en-NZ"/>
              </w:rPr>
              <w:t>Spark</w:t>
            </w:r>
            <w:r w:rsidRPr="00100F69">
              <w:rPr>
                <w:rFonts w:eastAsia="Times New Roman" w:cs="Times New Roman"/>
                <w:color w:val="000000"/>
                <w:sz w:val="20"/>
                <w:szCs w:val="20"/>
                <w:lang w:eastAsia="en-NZ"/>
              </w:rPr>
              <w:t xml:space="preserve"> 2</w:t>
            </w:r>
            <w:r>
              <w:rPr>
                <w:rFonts w:eastAsia="Times New Roman" w:cs="Times New Roman"/>
                <w:color w:val="000000"/>
                <w:sz w:val="20"/>
                <w:szCs w:val="20"/>
                <w:lang w:eastAsia="en-NZ"/>
              </w:rPr>
              <w:t>3</w:t>
            </w:r>
            <w:r w:rsidRPr="00100F69">
              <w:rPr>
                <w:rFonts w:eastAsia="Times New Roman" w:cs="Times New Roman"/>
                <w:color w:val="000000"/>
                <w:sz w:val="20"/>
                <w:szCs w:val="20"/>
                <w:lang w:eastAsia="en-NZ"/>
              </w:rPr>
              <w:t>00</w:t>
            </w:r>
          </w:p>
        </w:tc>
        <w:tc>
          <w:tcPr>
            <w:tcW w:w="2268" w:type="dxa"/>
            <w:vAlign w:val="center"/>
          </w:tcPr>
          <w:p w:rsidR="00D83F58" w:rsidRPr="00736772" w:rsidRDefault="00D83F58" w:rsidP="00D83F58">
            <w:pPr>
              <w:spacing w:before="20" w:after="20"/>
              <w:jc w:val="left"/>
              <w:rPr>
                <w:rFonts w:eastAsia="Times New Roman" w:cs="Times New Roman"/>
                <w:color w:val="000000"/>
                <w:sz w:val="20"/>
                <w:szCs w:val="20"/>
                <w:lang w:eastAsia="en-NZ"/>
              </w:rPr>
            </w:pPr>
            <w:r>
              <w:rPr>
                <w:rFonts w:eastAsia="Times New Roman" w:cs="Times New Roman"/>
                <w:color w:val="000000"/>
                <w:sz w:val="20"/>
                <w:szCs w:val="20"/>
                <w:lang w:eastAsia="en-NZ"/>
              </w:rPr>
              <w:t>Spark</w:t>
            </w:r>
            <w:r w:rsidRPr="00736772">
              <w:rPr>
                <w:rFonts w:eastAsia="Times New Roman" w:cs="Times New Roman"/>
                <w:color w:val="000000"/>
                <w:sz w:val="20"/>
                <w:szCs w:val="20"/>
                <w:lang w:eastAsia="en-NZ"/>
              </w:rPr>
              <w:t xml:space="preserve"> cellsites in their 2</w:t>
            </w:r>
            <w:r>
              <w:rPr>
                <w:rFonts w:eastAsia="Times New Roman" w:cs="Times New Roman"/>
                <w:color w:val="000000"/>
                <w:sz w:val="20"/>
                <w:szCs w:val="20"/>
                <w:lang w:eastAsia="en-NZ"/>
              </w:rPr>
              <w:t>3</w:t>
            </w:r>
            <w:r w:rsidRPr="00736772">
              <w:rPr>
                <w:rFonts w:eastAsia="Times New Roman" w:cs="Times New Roman"/>
                <w:color w:val="000000"/>
                <w:sz w:val="20"/>
                <w:szCs w:val="20"/>
                <w:lang w:eastAsia="en-NZ"/>
              </w:rPr>
              <w:t>00 MHz band</w:t>
            </w:r>
          </w:p>
        </w:tc>
        <w:tc>
          <w:tcPr>
            <w:tcW w:w="1465" w:type="dxa"/>
            <w:shd w:val="clear" w:color="auto" w:fill="auto"/>
            <w:noWrap/>
            <w:vAlign w:val="center"/>
          </w:tcPr>
          <w:p w:rsidR="00D83F58" w:rsidRPr="00100F69" w:rsidRDefault="00D83F58" w:rsidP="00D83F58">
            <w:pPr>
              <w:spacing w:before="20" w:after="20"/>
              <w:jc w:val="center"/>
              <w:rPr>
                <w:rFonts w:eastAsia="Times New Roman" w:cs="Times New Roman"/>
                <w:color w:val="000000"/>
                <w:sz w:val="20"/>
                <w:szCs w:val="20"/>
                <w:lang w:eastAsia="en-NZ"/>
              </w:rPr>
            </w:pPr>
            <w:r w:rsidRPr="00100F69">
              <w:rPr>
                <w:rFonts w:eastAsia="Times New Roman" w:cs="Times New Roman"/>
                <w:color w:val="000000"/>
                <w:sz w:val="20"/>
                <w:szCs w:val="20"/>
                <w:lang w:eastAsia="en-NZ"/>
              </w:rPr>
              <w:t>2</w:t>
            </w:r>
            <w:r>
              <w:rPr>
                <w:rFonts w:eastAsia="Times New Roman" w:cs="Times New Roman"/>
                <w:color w:val="000000"/>
                <w:sz w:val="20"/>
                <w:szCs w:val="20"/>
                <w:lang w:eastAsia="en-NZ"/>
              </w:rPr>
              <w:t>30</w:t>
            </w:r>
            <w:r w:rsidRPr="00100F69">
              <w:rPr>
                <w:rFonts w:eastAsia="Times New Roman" w:cs="Times New Roman"/>
                <w:color w:val="000000"/>
                <w:sz w:val="20"/>
                <w:szCs w:val="20"/>
                <w:lang w:eastAsia="en-NZ"/>
              </w:rPr>
              <w:t>0</w:t>
            </w:r>
          </w:p>
        </w:tc>
        <w:tc>
          <w:tcPr>
            <w:tcW w:w="1465" w:type="dxa"/>
            <w:shd w:val="clear" w:color="auto" w:fill="auto"/>
            <w:noWrap/>
            <w:vAlign w:val="center"/>
          </w:tcPr>
          <w:p w:rsidR="00D83F58" w:rsidRPr="00100F69" w:rsidRDefault="00D83F58" w:rsidP="00D83F58">
            <w:pPr>
              <w:spacing w:before="20" w:after="20"/>
              <w:jc w:val="center"/>
              <w:rPr>
                <w:rFonts w:eastAsia="Times New Roman" w:cs="Times New Roman"/>
                <w:color w:val="000000"/>
                <w:sz w:val="20"/>
                <w:szCs w:val="20"/>
                <w:lang w:eastAsia="en-NZ"/>
              </w:rPr>
            </w:pPr>
            <w:r w:rsidRPr="00100F69">
              <w:rPr>
                <w:rFonts w:eastAsia="Times New Roman" w:cs="Times New Roman"/>
                <w:color w:val="000000"/>
                <w:sz w:val="20"/>
                <w:szCs w:val="20"/>
                <w:lang w:eastAsia="en-NZ"/>
              </w:rPr>
              <w:t>2</w:t>
            </w:r>
            <w:r>
              <w:rPr>
                <w:rFonts w:eastAsia="Times New Roman" w:cs="Times New Roman"/>
                <w:color w:val="000000"/>
                <w:sz w:val="20"/>
                <w:szCs w:val="20"/>
                <w:lang w:eastAsia="en-NZ"/>
              </w:rPr>
              <w:t>37</w:t>
            </w:r>
            <w:r w:rsidRPr="00100F69">
              <w:rPr>
                <w:rFonts w:eastAsia="Times New Roman" w:cs="Times New Roman"/>
                <w:color w:val="000000"/>
                <w:sz w:val="20"/>
                <w:szCs w:val="20"/>
                <w:lang w:eastAsia="en-NZ"/>
              </w:rPr>
              <w:t>0</w:t>
            </w:r>
          </w:p>
        </w:tc>
        <w:tc>
          <w:tcPr>
            <w:tcW w:w="1465" w:type="dxa"/>
            <w:shd w:val="clear" w:color="auto" w:fill="auto"/>
            <w:noWrap/>
            <w:vAlign w:val="center"/>
          </w:tcPr>
          <w:p w:rsidR="00D83F58" w:rsidRPr="00D83F58" w:rsidRDefault="00D83F58" w:rsidP="00D83F58">
            <w:pPr>
              <w:spacing w:after="0" w:line="240" w:lineRule="auto"/>
              <w:jc w:val="center"/>
              <w:rPr>
                <w:rFonts w:ascii="Calibri" w:eastAsia="Times New Roman" w:hAnsi="Calibri" w:cs="Calibri"/>
                <w:color w:val="000000"/>
                <w:sz w:val="20"/>
                <w:szCs w:val="20"/>
                <w:lang w:eastAsia="en-NZ"/>
              </w:rPr>
            </w:pPr>
            <w:r w:rsidRPr="00D83F58">
              <w:rPr>
                <w:rFonts w:ascii="Calibri" w:eastAsia="Times New Roman" w:hAnsi="Calibri" w:cs="Calibri"/>
                <w:color w:val="000000"/>
                <w:sz w:val="20"/>
                <w:szCs w:val="20"/>
                <w:lang w:eastAsia="en-NZ"/>
              </w:rPr>
              <w:t>0.00029</w:t>
            </w:r>
          </w:p>
        </w:tc>
      </w:tr>
      <w:tr w:rsidR="00D83F58" w:rsidRPr="00100F69" w:rsidTr="00D83F58">
        <w:trPr>
          <w:trHeight w:val="300"/>
        </w:trPr>
        <w:tc>
          <w:tcPr>
            <w:tcW w:w="1716" w:type="dxa"/>
            <w:shd w:val="clear" w:color="auto" w:fill="auto"/>
            <w:noWrap/>
            <w:vAlign w:val="center"/>
            <w:hideMark/>
          </w:tcPr>
          <w:p w:rsidR="00D83F58" w:rsidRPr="00100F69" w:rsidRDefault="00D83F58" w:rsidP="00D83F58">
            <w:pPr>
              <w:spacing w:before="20" w:after="20"/>
              <w:jc w:val="left"/>
              <w:rPr>
                <w:rFonts w:eastAsia="Times New Roman" w:cs="Times New Roman"/>
                <w:color w:val="000000"/>
                <w:sz w:val="20"/>
                <w:szCs w:val="20"/>
                <w:lang w:eastAsia="en-NZ"/>
              </w:rPr>
            </w:pPr>
            <w:r>
              <w:rPr>
                <w:rFonts w:eastAsia="Times New Roman" w:cs="Times New Roman"/>
                <w:color w:val="000000"/>
                <w:sz w:val="20"/>
                <w:szCs w:val="20"/>
                <w:lang w:eastAsia="en-NZ"/>
              </w:rPr>
              <w:t>Spark</w:t>
            </w:r>
            <w:r w:rsidRPr="00100F69">
              <w:rPr>
                <w:rFonts w:eastAsia="Times New Roman" w:cs="Times New Roman"/>
                <w:color w:val="000000"/>
                <w:sz w:val="20"/>
                <w:szCs w:val="20"/>
                <w:lang w:eastAsia="en-NZ"/>
              </w:rPr>
              <w:t xml:space="preserve"> 2600</w:t>
            </w:r>
          </w:p>
        </w:tc>
        <w:tc>
          <w:tcPr>
            <w:tcW w:w="2268" w:type="dxa"/>
            <w:vAlign w:val="center"/>
          </w:tcPr>
          <w:p w:rsidR="00D83F58" w:rsidRPr="00736772" w:rsidRDefault="00D83F58" w:rsidP="00D83F58">
            <w:pPr>
              <w:spacing w:before="20" w:after="20"/>
              <w:jc w:val="left"/>
              <w:rPr>
                <w:rFonts w:eastAsia="Times New Roman" w:cs="Times New Roman"/>
                <w:color w:val="000000"/>
                <w:sz w:val="20"/>
                <w:szCs w:val="20"/>
                <w:lang w:eastAsia="en-NZ"/>
              </w:rPr>
            </w:pPr>
            <w:r>
              <w:rPr>
                <w:rFonts w:eastAsia="Times New Roman" w:cs="Times New Roman"/>
                <w:color w:val="000000"/>
                <w:sz w:val="20"/>
                <w:szCs w:val="20"/>
                <w:lang w:eastAsia="en-NZ"/>
              </w:rPr>
              <w:t>Spark</w:t>
            </w:r>
            <w:r w:rsidRPr="00736772">
              <w:rPr>
                <w:rFonts w:eastAsia="Times New Roman" w:cs="Times New Roman"/>
                <w:color w:val="000000"/>
                <w:sz w:val="20"/>
                <w:szCs w:val="20"/>
                <w:lang w:eastAsia="en-NZ"/>
              </w:rPr>
              <w:t xml:space="preserve"> cellsites in their 2600 MHz band</w:t>
            </w:r>
          </w:p>
        </w:tc>
        <w:tc>
          <w:tcPr>
            <w:tcW w:w="1465" w:type="dxa"/>
            <w:shd w:val="clear" w:color="auto" w:fill="auto"/>
            <w:noWrap/>
            <w:vAlign w:val="center"/>
            <w:hideMark/>
          </w:tcPr>
          <w:p w:rsidR="00D83F58" w:rsidRPr="00100F69" w:rsidRDefault="00D83F58" w:rsidP="00D83F58">
            <w:pPr>
              <w:spacing w:before="20" w:after="20"/>
              <w:jc w:val="center"/>
              <w:rPr>
                <w:rFonts w:eastAsia="Times New Roman" w:cs="Times New Roman"/>
                <w:color w:val="000000"/>
                <w:sz w:val="20"/>
                <w:szCs w:val="20"/>
                <w:lang w:eastAsia="en-NZ"/>
              </w:rPr>
            </w:pPr>
            <w:r w:rsidRPr="00100F69">
              <w:rPr>
                <w:rFonts w:eastAsia="Times New Roman" w:cs="Times New Roman"/>
                <w:color w:val="000000"/>
                <w:sz w:val="20"/>
                <w:szCs w:val="20"/>
                <w:lang w:eastAsia="en-NZ"/>
              </w:rPr>
              <w:t>2640</w:t>
            </w:r>
          </w:p>
        </w:tc>
        <w:tc>
          <w:tcPr>
            <w:tcW w:w="1465" w:type="dxa"/>
            <w:shd w:val="clear" w:color="auto" w:fill="auto"/>
            <w:noWrap/>
            <w:vAlign w:val="center"/>
            <w:hideMark/>
          </w:tcPr>
          <w:p w:rsidR="00D83F58" w:rsidRPr="00100F69" w:rsidRDefault="00D83F58" w:rsidP="00D83F58">
            <w:pPr>
              <w:spacing w:before="20" w:after="20"/>
              <w:jc w:val="center"/>
              <w:rPr>
                <w:rFonts w:eastAsia="Times New Roman" w:cs="Times New Roman"/>
                <w:color w:val="000000"/>
                <w:sz w:val="20"/>
                <w:szCs w:val="20"/>
                <w:lang w:eastAsia="en-NZ"/>
              </w:rPr>
            </w:pPr>
            <w:r w:rsidRPr="00100F69">
              <w:rPr>
                <w:rFonts w:eastAsia="Times New Roman" w:cs="Times New Roman"/>
                <w:color w:val="000000"/>
                <w:sz w:val="20"/>
                <w:szCs w:val="20"/>
                <w:lang w:eastAsia="en-NZ"/>
              </w:rPr>
              <w:t>2660</w:t>
            </w:r>
          </w:p>
        </w:tc>
        <w:tc>
          <w:tcPr>
            <w:tcW w:w="1465" w:type="dxa"/>
            <w:shd w:val="clear" w:color="auto" w:fill="auto"/>
            <w:noWrap/>
            <w:vAlign w:val="center"/>
          </w:tcPr>
          <w:p w:rsidR="00D83F58" w:rsidRPr="00D83F58" w:rsidRDefault="00D83F58" w:rsidP="00D83F58">
            <w:pPr>
              <w:spacing w:after="0" w:line="240" w:lineRule="auto"/>
              <w:jc w:val="center"/>
              <w:rPr>
                <w:rFonts w:ascii="Calibri" w:eastAsia="Times New Roman" w:hAnsi="Calibri" w:cs="Calibri"/>
                <w:color w:val="000000"/>
                <w:sz w:val="20"/>
                <w:szCs w:val="20"/>
                <w:lang w:eastAsia="en-NZ"/>
              </w:rPr>
            </w:pPr>
            <w:r w:rsidRPr="00D83F58">
              <w:rPr>
                <w:rFonts w:ascii="Calibri" w:eastAsia="Times New Roman" w:hAnsi="Calibri" w:cs="Calibri"/>
                <w:color w:val="000000"/>
                <w:sz w:val="20"/>
                <w:szCs w:val="20"/>
                <w:lang w:eastAsia="en-NZ"/>
              </w:rPr>
              <w:t>0.00009</w:t>
            </w:r>
          </w:p>
        </w:tc>
      </w:tr>
      <w:tr w:rsidR="00D83F58" w:rsidRPr="00100F69" w:rsidTr="00D83F58">
        <w:trPr>
          <w:trHeight w:val="300"/>
        </w:trPr>
        <w:tc>
          <w:tcPr>
            <w:tcW w:w="1716" w:type="dxa"/>
            <w:shd w:val="clear" w:color="auto" w:fill="auto"/>
            <w:noWrap/>
            <w:vAlign w:val="center"/>
            <w:hideMark/>
          </w:tcPr>
          <w:p w:rsidR="00D83F58" w:rsidRPr="00100F69" w:rsidRDefault="00D83F58" w:rsidP="00D83F58">
            <w:pPr>
              <w:spacing w:before="20" w:after="20"/>
              <w:jc w:val="left"/>
              <w:rPr>
                <w:rFonts w:eastAsia="Times New Roman" w:cs="Times New Roman"/>
                <w:color w:val="000000"/>
                <w:sz w:val="20"/>
                <w:szCs w:val="20"/>
                <w:lang w:eastAsia="en-NZ"/>
              </w:rPr>
            </w:pPr>
            <w:r w:rsidRPr="00100F69">
              <w:rPr>
                <w:rFonts w:eastAsia="Times New Roman" w:cs="Times New Roman"/>
                <w:color w:val="000000"/>
                <w:sz w:val="20"/>
                <w:szCs w:val="20"/>
                <w:lang w:eastAsia="en-NZ"/>
              </w:rPr>
              <w:t>Vf 2600</w:t>
            </w:r>
          </w:p>
        </w:tc>
        <w:tc>
          <w:tcPr>
            <w:tcW w:w="2268" w:type="dxa"/>
            <w:vAlign w:val="center"/>
          </w:tcPr>
          <w:p w:rsidR="00D83F58" w:rsidRPr="00736772" w:rsidRDefault="00D83F58" w:rsidP="00D83F58">
            <w:pPr>
              <w:spacing w:before="20" w:after="20"/>
              <w:jc w:val="left"/>
              <w:rPr>
                <w:rFonts w:eastAsia="Times New Roman" w:cs="Times New Roman"/>
                <w:color w:val="000000"/>
                <w:sz w:val="20"/>
                <w:szCs w:val="20"/>
                <w:lang w:eastAsia="en-NZ"/>
              </w:rPr>
            </w:pPr>
            <w:r w:rsidRPr="00736772">
              <w:rPr>
                <w:rFonts w:eastAsia="Times New Roman" w:cs="Times New Roman"/>
                <w:color w:val="000000"/>
                <w:sz w:val="20"/>
                <w:szCs w:val="20"/>
                <w:lang w:eastAsia="en-NZ"/>
              </w:rPr>
              <w:t>Vodafone cellsites in their 2600 MHz band</w:t>
            </w:r>
          </w:p>
        </w:tc>
        <w:tc>
          <w:tcPr>
            <w:tcW w:w="1465" w:type="dxa"/>
            <w:shd w:val="clear" w:color="auto" w:fill="auto"/>
            <w:noWrap/>
            <w:vAlign w:val="center"/>
            <w:hideMark/>
          </w:tcPr>
          <w:p w:rsidR="00D83F58" w:rsidRPr="00100F69" w:rsidRDefault="00D83F58" w:rsidP="00D83F58">
            <w:pPr>
              <w:spacing w:before="20" w:after="20"/>
              <w:jc w:val="center"/>
              <w:rPr>
                <w:rFonts w:eastAsia="Times New Roman" w:cs="Times New Roman"/>
                <w:color w:val="000000"/>
                <w:sz w:val="20"/>
                <w:szCs w:val="20"/>
                <w:lang w:eastAsia="en-NZ"/>
              </w:rPr>
            </w:pPr>
            <w:r w:rsidRPr="00100F69">
              <w:rPr>
                <w:rFonts w:eastAsia="Times New Roman" w:cs="Times New Roman"/>
                <w:color w:val="000000"/>
                <w:sz w:val="20"/>
                <w:szCs w:val="20"/>
                <w:lang w:eastAsia="en-NZ"/>
              </w:rPr>
              <w:t>2675</w:t>
            </w:r>
          </w:p>
        </w:tc>
        <w:tc>
          <w:tcPr>
            <w:tcW w:w="1465" w:type="dxa"/>
            <w:shd w:val="clear" w:color="auto" w:fill="auto"/>
            <w:noWrap/>
            <w:vAlign w:val="center"/>
            <w:hideMark/>
          </w:tcPr>
          <w:p w:rsidR="00D83F58" w:rsidRPr="00100F69" w:rsidRDefault="00D83F58" w:rsidP="00D83F58">
            <w:pPr>
              <w:spacing w:before="20" w:after="20"/>
              <w:jc w:val="center"/>
              <w:rPr>
                <w:rFonts w:eastAsia="Times New Roman" w:cs="Times New Roman"/>
                <w:color w:val="000000"/>
                <w:sz w:val="20"/>
                <w:szCs w:val="20"/>
                <w:lang w:eastAsia="en-NZ"/>
              </w:rPr>
            </w:pPr>
            <w:r w:rsidRPr="00100F69">
              <w:rPr>
                <w:rFonts w:eastAsia="Times New Roman" w:cs="Times New Roman"/>
                <w:color w:val="000000"/>
                <w:sz w:val="20"/>
                <w:szCs w:val="20"/>
                <w:lang w:eastAsia="en-NZ"/>
              </w:rPr>
              <w:t>2690</w:t>
            </w:r>
          </w:p>
        </w:tc>
        <w:tc>
          <w:tcPr>
            <w:tcW w:w="1465" w:type="dxa"/>
            <w:shd w:val="clear" w:color="auto" w:fill="auto"/>
            <w:noWrap/>
            <w:vAlign w:val="center"/>
          </w:tcPr>
          <w:p w:rsidR="00D83F58" w:rsidRPr="00D83F58" w:rsidRDefault="00D83F58" w:rsidP="00D83F58">
            <w:pPr>
              <w:spacing w:after="0" w:line="240" w:lineRule="auto"/>
              <w:jc w:val="center"/>
              <w:rPr>
                <w:rFonts w:ascii="Calibri" w:eastAsia="Times New Roman" w:hAnsi="Calibri" w:cs="Calibri"/>
                <w:color w:val="000000"/>
                <w:sz w:val="20"/>
                <w:szCs w:val="20"/>
                <w:lang w:eastAsia="en-NZ"/>
              </w:rPr>
            </w:pPr>
            <w:r w:rsidRPr="00D83F58">
              <w:rPr>
                <w:rFonts w:ascii="Calibri" w:eastAsia="Times New Roman" w:hAnsi="Calibri" w:cs="Calibri"/>
                <w:color w:val="000000"/>
                <w:sz w:val="20"/>
                <w:szCs w:val="20"/>
                <w:lang w:eastAsia="en-NZ"/>
              </w:rPr>
              <w:t>0.00007</w:t>
            </w:r>
          </w:p>
        </w:tc>
      </w:tr>
      <w:tr w:rsidR="00D83F58" w:rsidRPr="00100F69" w:rsidTr="00D83F58">
        <w:trPr>
          <w:trHeight w:val="300"/>
        </w:trPr>
        <w:tc>
          <w:tcPr>
            <w:tcW w:w="1716" w:type="dxa"/>
            <w:shd w:val="clear" w:color="auto" w:fill="auto"/>
            <w:noWrap/>
            <w:vAlign w:val="center"/>
          </w:tcPr>
          <w:p w:rsidR="00D83F58" w:rsidRPr="00100F69" w:rsidRDefault="00D83F58" w:rsidP="00D83F58">
            <w:pPr>
              <w:spacing w:before="20" w:after="20"/>
              <w:jc w:val="left"/>
              <w:rPr>
                <w:rFonts w:eastAsia="Times New Roman" w:cs="Times New Roman"/>
                <w:color w:val="000000"/>
                <w:sz w:val="20"/>
                <w:szCs w:val="20"/>
                <w:lang w:eastAsia="en-NZ"/>
              </w:rPr>
            </w:pPr>
            <w:r>
              <w:rPr>
                <w:rFonts w:eastAsia="Times New Roman" w:cs="Times New Roman"/>
                <w:color w:val="000000"/>
                <w:sz w:val="20"/>
                <w:szCs w:val="20"/>
                <w:lang w:eastAsia="en-NZ"/>
              </w:rPr>
              <w:t>Vf 5G</w:t>
            </w:r>
          </w:p>
        </w:tc>
        <w:tc>
          <w:tcPr>
            <w:tcW w:w="2268" w:type="dxa"/>
            <w:vAlign w:val="center"/>
          </w:tcPr>
          <w:p w:rsidR="00D83F58" w:rsidRPr="00736772" w:rsidRDefault="00D83F58" w:rsidP="00D83F58">
            <w:pPr>
              <w:spacing w:before="20" w:after="20"/>
              <w:jc w:val="left"/>
              <w:rPr>
                <w:rFonts w:eastAsia="Times New Roman" w:cs="Times New Roman"/>
                <w:color w:val="000000"/>
                <w:sz w:val="20"/>
                <w:szCs w:val="20"/>
                <w:lang w:eastAsia="en-NZ"/>
              </w:rPr>
            </w:pPr>
            <w:r>
              <w:rPr>
                <w:rFonts w:eastAsia="Times New Roman" w:cs="Times New Roman"/>
                <w:color w:val="000000"/>
                <w:sz w:val="20"/>
                <w:szCs w:val="20"/>
                <w:lang w:eastAsia="en-NZ"/>
              </w:rPr>
              <w:t>Vodafone 5G</w:t>
            </w:r>
          </w:p>
        </w:tc>
        <w:tc>
          <w:tcPr>
            <w:tcW w:w="1465" w:type="dxa"/>
            <w:shd w:val="clear" w:color="auto" w:fill="auto"/>
            <w:noWrap/>
            <w:vAlign w:val="center"/>
          </w:tcPr>
          <w:p w:rsidR="00D83F58" w:rsidRPr="00736772" w:rsidRDefault="00C53A84" w:rsidP="00D83F58">
            <w:pPr>
              <w:spacing w:before="20" w:after="20"/>
              <w:jc w:val="center"/>
              <w:rPr>
                <w:sz w:val="20"/>
                <w:szCs w:val="20"/>
                <w:lang w:eastAsia="en-NZ"/>
              </w:rPr>
            </w:pPr>
            <w:r>
              <w:rPr>
                <w:sz w:val="20"/>
                <w:szCs w:val="20"/>
                <w:lang w:eastAsia="en-NZ"/>
              </w:rPr>
              <w:t>35</w:t>
            </w:r>
            <w:r w:rsidR="00D83F58">
              <w:rPr>
                <w:sz w:val="20"/>
                <w:szCs w:val="20"/>
                <w:lang w:eastAsia="en-NZ"/>
              </w:rPr>
              <w:t>28</w:t>
            </w:r>
          </w:p>
        </w:tc>
        <w:tc>
          <w:tcPr>
            <w:tcW w:w="1465" w:type="dxa"/>
            <w:shd w:val="clear" w:color="auto" w:fill="auto"/>
            <w:vAlign w:val="center"/>
          </w:tcPr>
          <w:p w:rsidR="00D83F58" w:rsidRPr="00736772" w:rsidRDefault="00C53A84" w:rsidP="00D83F58">
            <w:pPr>
              <w:spacing w:before="20" w:after="20"/>
              <w:jc w:val="center"/>
              <w:rPr>
                <w:sz w:val="20"/>
                <w:szCs w:val="20"/>
                <w:lang w:eastAsia="en-NZ"/>
              </w:rPr>
            </w:pPr>
            <w:r>
              <w:rPr>
                <w:sz w:val="20"/>
                <w:szCs w:val="20"/>
                <w:lang w:eastAsia="en-NZ"/>
              </w:rPr>
              <w:t>35</w:t>
            </w:r>
            <w:r w:rsidR="00D83F58">
              <w:rPr>
                <w:sz w:val="20"/>
                <w:szCs w:val="20"/>
                <w:lang w:eastAsia="en-NZ"/>
              </w:rPr>
              <w:t>48</w:t>
            </w:r>
          </w:p>
        </w:tc>
        <w:tc>
          <w:tcPr>
            <w:tcW w:w="1465" w:type="dxa"/>
            <w:shd w:val="clear" w:color="auto" w:fill="auto"/>
            <w:noWrap/>
            <w:vAlign w:val="center"/>
          </w:tcPr>
          <w:p w:rsidR="00D83F58" w:rsidRPr="00D83F58" w:rsidRDefault="00D83F58" w:rsidP="00D83F58">
            <w:pPr>
              <w:spacing w:after="0" w:line="240" w:lineRule="auto"/>
              <w:jc w:val="center"/>
              <w:rPr>
                <w:rFonts w:ascii="Calibri" w:eastAsia="Times New Roman" w:hAnsi="Calibri" w:cs="Calibri"/>
                <w:color w:val="000000"/>
                <w:sz w:val="20"/>
                <w:szCs w:val="20"/>
                <w:lang w:eastAsia="en-NZ"/>
              </w:rPr>
            </w:pPr>
            <w:r w:rsidRPr="00D83F58">
              <w:rPr>
                <w:rFonts w:ascii="Calibri" w:eastAsia="Times New Roman" w:hAnsi="Calibri" w:cs="Calibri"/>
                <w:color w:val="000000"/>
                <w:sz w:val="20"/>
                <w:szCs w:val="20"/>
                <w:lang w:eastAsia="en-NZ"/>
              </w:rPr>
              <w:t>0.00016</w:t>
            </w:r>
          </w:p>
        </w:tc>
      </w:tr>
    </w:tbl>
    <w:p w:rsidR="000C6F96" w:rsidRDefault="000C6F96" w:rsidP="000C6F96">
      <w:pPr>
        <w:rPr>
          <w:sz w:val="20"/>
          <w:szCs w:val="20"/>
        </w:rPr>
      </w:pPr>
      <w:r w:rsidRPr="00736772">
        <w:rPr>
          <w:sz w:val="20"/>
          <w:szCs w:val="20"/>
        </w:rPr>
        <w:t>*On 1</w:t>
      </w:r>
      <w:r w:rsidR="007A422C">
        <w:rPr>
          <w:sz w:val="20"/>
          <w:szCs w:val="20"/>
        </w:rPr>
        <w:t>0</w:t>
      </w:r>
      <w:r w:rsidRPr="00736772">
        <w:rPr>
          <w:sz w:val="20"/>
          <w:szCs w:val="20"/>
        </w:rPr>
        <w:t> </w:t>
      </w:r>
      <w:r w:rsidR="007A422C">
        <w:rPr>
          <w:sz w:val="20"/>
          <w:szCs w:val="20"/>
        </w:rPr>
        <w:t>m</w:t>
      </w:r>
      <w:r w:rsidRPr="00736772">
        <w:rPr>
          <w:sz w:val="20"/>
          <w:szCs w:val="20"/>
        </w:rPr>
        <w:t>W/m</w:t>
      </w:r>
      <w:r w:rsidRPr="00736772">
        <w:rPr>
          <w:sz w:val="20"/>
          <w:szCs w:val="20"/>
          <w:vertAlign w:val="superscript"/>
        </w:rPr>
        <w:t>2</w:t>
      </w:r>
      <w:r w:rsidRPr="00736772">
        <w:rPr>
          <w:sz w:val="20"/>
          <w:szCs w:val="20"/>
        </w:rPr>
        <w:t xml:space="preserve"> measurement range.</w:t>
      </w:r>
    </w:p>
    <w:p w:rsidR="00D83F58" w:rsidRDefault="00D83F58">
      <w:pPr>
        <w:spacing w:line="276" w:lineRule="auto"/>
        <w:jc w:val="left"/>
        <w:rPr>
          <w:rFonts w:asciiTheme="majorHAnsi" w:eastAsiaTheme="majorEastAsia" w:hAnsiTheme="majorHAnsi" w:cstheme="majorBidi"/>
          <w:b/>
          <w:bCs/>
          <w:sz w:val="26"/>
          <w:szCs w:val="26"/>
        </w:rPr>
      </w:pPr>
      <w:r>
        <w:br w:type="page"/>
      </w:r>
    </w:p>
    <w:p w:rsidR="00F53B81" w:rsidRDefault="00F53B81" w:rsidP="00F53B81">
      <w:pPr>
        <w:pStyle w:val="Heading2"/>
      </w:pPr>
      <w:r>
        <w:lastRenderedPageBreak/>
        <w:t>Settings</w:t>
      </w:r>
      <w:r w:rsidR="00E46038">
        <w:t xml:space="preserve"> – </w:t>
      </w:r>
      <w:r w:rsidR="000C6F96">
        <w:t>Safety evaluation</w:t>
      </w:r>
      <w:r w:rsidR="00E46038">
        <w:t xml:space="preserve"> mode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5691"/>
      </w:tblGrid>
      <w:tr w:rsidR="00F53B81" w:rsidTr="00FD7297">
        <w:tc>
          <w:tcPr>
            <w:tcW w:w="2802" w:type="dxa"/>
          </w:tcPr>
          <w:p w:rsidR="00F53B81" w:rsidRDefault="00F53B81" w:rsidP="000D6911">
            <w:pPr>
              <w:keepNext/>
              <w:spacing w:before="20" w:after="20"/>
            </w:pPr>
            <w:r>
              <w:t>Measurement range:</w:t>
            </w:r>
          </w:p>
        </w:tc>
        <w:tc>
          <w:tcPr>
            <w:tcW w:w="5691" w:type="dxa"/>
          </w:tcPr>
          <w:p w:rsidR="00F53B81" w:rsidRPr="00C53070" w:rsidRDefault="007A422C" w:rsidP="000D6911">
            <w:pPr>
              <w:keepNext/>
              <w:spacing w:before="20" w:after="20"/>
              <w:jc w:val="left"/>
            </w:pPr>
            <w:r>
              <w:t>As required to avoid overloading input stages of meter</w:t>
            </w:r>
          </w:p>
        </w:tc>
      </w:tr>
      <w:tr w:rsidR="00F53B81" w:rsidTr="00FD7297">
        <w:tc>
          <w:tcPr>
            <w:tcW w:w="2802" w:type="dxa"/>
          </w:tcPr>
          <w:p w:rsidR="00F53B81" w:rsidRDefault="00F53B81" w:rsidP="000D6911">
            <w:pPr>
              <w:keepNext/>
              <w:spacing w:before="20" w:after="20"/>
            </w:pPr>
            <w:r>
              <w:t>Result type:</w:t>
            </w:r>
          </w:p>
        </w:tc>
        <w:tc>
          <w:tcPr>
            <w:tcW w:w="5691" w:type="dxa"/>
          </w:tcPr>
          <w:p w:rsidR="00F53B81" w:rsidRDefault="000C6F96" w:rsidP="000D6911">
            <w:pPr>
              <w:keepNext/>
              <w:spacing w:before="20" w:after="20"/>
              <w:jc w:val="left"/>
            </w:pPr>
            <w:r>
              <w:t xml:space="preserve">Maximum </w:t>
            </w:r>
            <w:r w:rsidR="00D83F58">
              <w:t>16</w:t>
            </w:r>
            <w:r>
              <w:t>-sweep average</w:t>
            </w:r>
          </w:p>
        </w:tc>
      </w:tr>
      <w:tr w:rsidR="00F53B81" w:rsidTr="00FD7297">
        <w:tc>
          <w:tcPr>
            <w:tcW w:w="2802" w:type="dxa"/>
          </w:tcPr>
          <w:p w:rsidR="00F53B81" w:rsidRDefault="00F53B81" w:rsidP="000D6911">
            <w:pPr>
              <w:keepNext/>
              <w:spacing w:before="20" w:after="20"/>
            </w:pPr>
            <w:r>
              <w:t>RBW</w:t>
            </w:r>
          </w:p>
        </w:tc>
        <w:tc>
          <w:tcPr>
            <w:tcW w:w="5691" w:type="dxa"/>
          </w:tcPr>
          <w:p w:rsidR="00F53B81" w:rsidRDefault="00D83F58" w:rsidP="000D6911">
            <w:pPr>
              <w:keepNext/>
              <w:spacing w:before="20" w:after="20"/>
              <w:jc w:val="left"/>
            </w:pPr>
            <w:r>
              <w:t>50</w:t>
            </w:r>
            <w:r w:rsidR="00E36BFC">
              <w:t xml:space="preserve"> k</w:t>
            </w:r>
            <w:r w:rsidR="00F53B81">
              <w:t>Hz</w:t>
            </w:r>
          </w:p>
        </w:tc>
      </w:tr>
    </w:tbl>
    <w:p w:rsidR="00B34532" w:rsidRDefault="00B34532" w:rsidP="00B34532"/>
    <w:p w:rsidR="00C62828" w:rsidRDefault="00C62828" w:rsidP="00C62828">
      <w:pPr>
        <w:pStyle w:val="Heading2"/>
      </w:pPr>
      <w:r>
        <w:t xml:space="preserve">Settings – Level </w:t>
      </w:r>
      <w:r w:rsidR="00B40EAE">
        <w:t>R</w:t>
      </w:r>
      <w:r>
        <w:t>ecorder mode</w:t>
      </w:r>
      <w:r w:rsidR="00D83F58">
        <w:t xml:space="preserve"> – 2G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5691"/>
      </w:tblGrid>
      <w:tr w:rsidR="00C62828" w:rsidTr="00C53560">
        <w:tc>
          <w:tcPr>
            <w:tcW w:w="2802" w:type="dxa"/>
          </w:tcPr>
          <w:p w:rsidR="00C62828" w:rsidRDefault="00C62828" w:rsidP="00C53560">
            <w:pPr>
              <w:spacing w:before="20" w:after="20"/>
            </w:pPr>
            <w:r>
              <w:t>Measurement range:</w:t>
            </w:r>
          </w:p>
        </w:tc>
        <w:tc>
          <w:tcPr>
            <w:tcW w:w="5691" w:type="dxa"/>
          </w:tcPr>
          <w:p w:rsidR="00C62828" w:rsidRPr="007A140E" w:rsidRDefault="00C62828" w:rsidP="00C53560">
            <w:pPr>
              <w:spacing w:before="20" w:after="20"/>
              <w:jc w:val="left"/>
            </w:pPr>
            <w:r>
              <w:t>As required to avoid overloading input stages of meter</w:t>
            </w:r>
          </w:p>
        </w:tc>
      </w:tr>
      <w:tr w:rsidR="00C62828" w:rsidTr="00C53560">
        <w:tc>
          <w:tcPr>
            <w:tcW w:w="2802" w:type="dxa"/>
          </w:tcPr>
          <w:p w:rsidR="00C62828" w:rsidRDefault="00C62828" w:rsidP="00C53560">
            <w:pPr>
              <w:spacing w:before="20" w:after="20"/>
            </w:pPr>
            <w:r>
              <w:t>Result type:</w:t>
            </w:r>
          </w:p>
        </w:tc>
        <w:tc>
          <w:tcPr>
            <w:tcW w:w="5691" w:type="dxa"/>
          </w:tcPr>
          <w:p w:rsidR="00C62828" w:rsidRDefault="00C62828" w:rsidP="00C53560">
            <w:pPr>
              <w:spacing w:before="20" w:after="20"/>
              <w:jc w:val="left"/>
            </w:pPr>
            <w:r>
              <w:t xml:space="preserve">Maximum RMS </w:t>
            </w:r>
          </w:p>
        </w:tc>
      </w:tr>
      <w:tr w:rsidR="00C62828" w:rsidTr="00C53560">
        <w:tc>
          <w:tcPr>
            <w:tcW w:w="2802" w:type="dxa"/>
          </w:tcPr>
          <w:p w:rsidR="00C62828" w:rsidRDefault="00C62828" w:rsidP="00C53560">
            <w:pPr>
              <w:spacing w:before="20" w:after="20"/>
            </w:pPr>
            <w:r>
              <w:t>Averaging time</w:t>
            </w:r>
          </w:p>
        </w:tc>
        <w:tc>
          <w:tcPr>
            <w:tcW w:w="5691" w:type="dxa"/>
          </w:tcPr>
          <w:p w:rsidR="00C62828" w:rsidRDefault="00C62828" w:rsidP="00C53560">
            <w:pPr>
              <w:spacing w:before="20" w:after="20"/>
              <w:jc w:val="left"/>
            </w:pPr>
            <w:r>
              <w:t>0.48 seconds</w:t>
            </w:r>
          </w:p>
        </w:tc>
      </w:tr>
      <w:tr w:rsidR="00C62828" w:rsidTr="00C53560">
        <w:tc>
          <w:tcPr>
            <w:tcW w:w="2802" w:type="dxa"/>
          </w:tcPr>
          <w:p w:rsidR="00C62828" w:rsidRDefault="00C62828" w:rsidP="00C62828">
            <w:pPr>
              <w:spacing w:before="20" w:after="20"/>
            </w:pPr>
            <w:r>
              <w:t>Centre frequency:</w:t>
            </w:r>
          </w:p>
        </w:tc>
        <w:tc>
          <w:tcPr>
            <w:tcW w:w="5691" w:type="dxa"/>
          </w:tcPr>
          <w:p w:rsidR="00C62828" w:rsidRDefault="00C62828" w:rsidP="00C62828">
            <w:pPr>
              <w:spacing w:before="20" w:after="20"/>
              <w:jc w:val="left"/>
            </w:pPr>
            <w:r>
              <w:t xml:space="preserve">Set for the 2G </w:t>
            </w:r>
            <w:r w:rsidR="00D83F58">
              <w:t>BCCH</w:t>
            </w:r>
          </w:p>
        </w:tc>
      </w:tr>
    </w:tbl>
    <w:p w:rsidR="00C62828" w:rsidRDefault="00C62828" w:rsidP="00C62828"/>
    <w:p w:rsidR="00E447EE" w:rsidRDefault="00E447EE" w:rsidP="00E447EE">
      <w:pPr>
        <w:pStyle w:val="Heading2"/>
      </w:pPr>
      <w:r>
        <w:t>Settings – UMTS mode</w:t>
      </w:r>
      <w:r w:rsidR="00D83F58">
        <w:t xml:space="preserve"> – 3G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5691"/>
      </w:tblGrid>
      <w:tr w:rsidR="00E447EE" w:rsidTr="000C6F96">
        <w:tc>
          <w:tcPr>
            <w:tcW w:w="2802" w:type="dxa"/>
          </w:tcPr>
          <w:p w:rsidR="00E447EE" w:rsidRDefault="00E447EE" w:rsidP="000C6F96">
            <w:pPr>
              <w:spacing w:before="20" w:after="20"/>
            </w:pPr>
            <w:r>
              <w:t>Measurement range:</w:t>
            </w:r>
          </w:p>
        </w:tc>
        <w:tc>
          <w:tcPr>
            <w:tcW w:w="5691" w:type="dxa"/>
          </w:tcPr>
          <w:p w:rsidR="00E447EE" w:rsidRPr="007A140E" w:rsidRDefault="007A422C" w:rsidP="000C6F96">
            <w:pPr>
              <w:spacing w:before="20" w:after="20"/>
              <w:jc w:val="left"/>
            </w:pPr>
            <w:r>
              <w:t>As required to avoid overloading input stages of meter</w:t>
            </w:r>
          </w:p>
        </w:tc>
      </w:tr>
      <w:tr w:rsidR="00E447EE" w:rsidTr="000C6F96">
        <w:tc>
          <w:tcPr>
            <w:tcW w:w="2802" w:type="dxa"/>
          </w:tcPr>
          <w:p w:rsidR="00E447EE" w:rsidRDefault="00E447EE" w:rsidP="000C6F96">
            <w:pPr>
              <w:spacing w:before="20" w:after="20"/>
            </w:pPr>
            <w:r>
              <w:t>Result type:</w:t>
            </w:r>
          </w:p>
        </w:tc>
        <w:tc>
          <w:tcPr>
            <w:tcW w:w="5691" w:type="dxa"/>
          </w:tcPr>
          <w:p w:rsidR="00E447EE" w:rsidRDefault="00E447EE" w:rsidP="000C6F96">
            <w:pPr>
              <w:spacing w:before="20" w:after="20"/>
              <w:jc w:val="left"/>
            </w:pPr>
            <w:r>
              <w:t>Maximum</w:t>
            </w:r>
          </w:p>
        </w:tc>
      </w:tr>
      <w:tr w:rsidR="00E447EE" w:rsidTr="000C6F96">
        <w:tc>
          <w:tcPr>
            <w:tcW w:w="2802" w:type="dxa"/>
          </w:tcPr>
          <w:p w:rsidR="00E447EE" w:rsidRDefault="00E447EE" w:rsidP="000C6F96">
            <w:pPr>
              <w:spacing w:before="20" w:after="20"/>
            </w:pPr>
            <w:r>
              <w:t>Centre frequency:</w:t>
            </w:r>
          </w:p>
        </w:tc>
        <w:tc>
          <w:tcPr>
            <w:tcW w:w="5691" w:type="dxa"/>
          </w:tcPr>
          <w:p w:rsidR="00E447EE" w:rsidRDefault="000C6F96" w:rsidP="00E36BFC">
            <w:pPr>
              <w:spacing w:before="20" w:after="20"/>
              <w:jc w:val="left"/>
            </w:pPr>
            <w:r>
              <w:t xml:space="preserve">Set for each 3G </w:t>
            </w:r>
            <w:r w:rsidR="00E36BFC">
              <w:t>transmitter</w:t>
            </w:r>
          </w:p>
        </w:tc>
      </w:tr>
    </w:tbl>
    <w:p w:rsidR="00E447EE" w:rsidRDefault="00E447EE" w:rsidP="00E447EE"/>
    <w:p w:rsidR="007A422C" w:rsidRDefault="007A422C" w:rsidP="007A422C">
      <w:pPr>
        <w:pStyle w:val="Heading2"/>
      </w:pPr>
      <w:r>
        <w:t>Settings – LTE-FDD mode – 4G FDD transmitters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5691"/>
      </w:tblGrid>
      <w:tr w:rsidR="007A422C" w:rsidTr="00F331C3">
        <w:tc>
          <w:tcPr>
            <w:tcW w:w="2802" w:type="dxa"/>
          </w:tcPr>
          <w:p w:rsidR="007A422C" w:rsidRDefault="007A422C" w:rsidP="00F331C3">
            <w:pPr>
              <w:spacing w:before="20" w:after="20"/>
            </w:pPr>
            <w:r>
              <w:t>Measurement range:</w:t>
            </w:r>
          </w:p>
        </w:tc>
        <w:tc>
          <w:tcPr>
            <w:tcW w:w="5691" w:type="dxa"/>
          </w:tcPr>
          <w:p w:rsidR="007A422C" w:rsidRPr="007A140E" w:rsidRDefault="007A422C" w:rsidP="00F331C3">
            <w:pPr>
              <w:spacing w:before="20" w:after="20"/>
              <w:jc w:val="left"/>
            </w:pPr>
            <w:r>
              <w:t>As required to avoid overloading input stages of meter</w:t>
            </w:r>
          </w:p>
        </w:tc>
      </w:tr>
      <w:tr w:rsidR="007A422C" w:rsidTr="00F331C3">
        <w:tc>
          <w:tcPr>
            <w:tcW w:w="2802" w:type="dxa"/>
          </w:tcPr>
          <w:p w:rsidR="007A422C" w:rsidRDefault="007A422C" w:rsidP="00F331C3">
            <w:pPr>
              <w:spacing w:before="20" w:after="20"/>
            </w:pPr>
            <w:r>
              <w:t>Result type:</w:t>
            </w:r>
          </w:p>
        </w:tc>
        <w:tc>
          <w:tcPr>
            <w:tcW w:w="5691" w:type="dxa"/>
          </w:tcPr>
          <w:p w:rsidR="007A422C" w:rsidRDefault="007A422C" w:rsidP="00F331C3">
            <w:pPr>
              <w:spacing w:before="20" w:after="20"/>
              <w:jc w:val="left"/>
            </w:pPr>
            <w:r>
              <w:t>Maximum</w:t>
            </w:r>
          </w:p>
        </w:tc>
      </w:tr>
      <w:tr w:rsidR="007A422C" w:rsidTr="00F331C3">
        <w:tc>
          <w:tcPr>
            <w:tcW w:w="2802" w:type="dxa"/>
          </w:tcPr>
          <w:p w:rsidR="007A422C" w:rsidRDefault="007A422C" w:rsidP="00F331C3">
            <w:pPr>
              <w:spacing w:before="20" w:after="20"/>
            </w:pPr>
            <w:r>
              <w:t>Centre frequency:</w:t>
            </w:r>
          </w:p>
        </w:tc>
        <w:tc>
          <w:tcPr>
            <w:tcW w:w="5691" w:type="dxa"/>
          </w:tcPr>
          <w:p w:rsidR="007A422C" w:rsidRDefault="007A422C" w:rsidP="00F331C3">
            <w:pPr>
              <w:spacing w:before="20" w:after="20"/>
              <w:jc w:val="left"/>
            </w:pPr>
            <w:r>
              <w:t>Set for each 4G FDD transmitter</w:t>
            </w:r>
          </w:p>
        </w:tc>
      </w:tr>
      <w:tr w:rsidR="007A422C" w:rsidTr="00F331C3">
        <w:tc>
          <w:tcPr>
            <w:tcW w:w="2802" w:type="dxa"/>
          </w:tcPr>
          <w:p w:rsidR="007A422C" w:rsidRDefault="007A422C" w:rsidP="00F331C3">
            <w:pPr>
              <w:spacing w:before="20" w:after="20"/>
            </w:pPr>
            <w:r>
              <w:t>CBW</w:t>
            </w:r>
          </w:p>
        </w:tc>
        <w:tc>
          <w:tcPr>
            <w:tcW w:w="5691" w:type="dxa"/>
          </w:tcPr>
          <w:p w:rsidR="007A422C" w:rsidRDefault="007A422C" w:rsidP="00F331C3">
            <w:pPr>
              <w:spacing w:before="20" w:after="20"/>
              <w:jc w:val="left"/>
            </w:pPr>
            <w:r>
              <w:t>3 MHz</w:t>
            </w:r>
          </w:p>
        </w:tc>
      </w:tr>
      <w:tr w:rsidR="007A422C" w:rsidTr="00F331C3">
        <w:tc>
          <w:tcPr>
            <w:tcW w:w="2802" w:type="dxa"/>
          </w:tcPr>
          <w:p w:rsidR="007A422C" w:rsidRDefault="007A422C" w:rsidP="00F331C3">
            <w:pPr>
              <w:spacing w:before="20" w:after="20"/>
            </w:pPr>
            <w:r>
              <w:t>Parameter extrapolated</w:t>
            </w:r>
          </w:p>
        </w:tc>
        <w:tc>
          <w:tcPr>
            <w:tcW w:w="5691" w:type="dxa"/>
          </w:tcPr>
          <w:p w:rsidR="007A422C" w:rsidRDefault="007A422C" w:rsidP="00F331C3">
            <w:pPr>
              <w:spacing w:before="20" w:after="20"/>
              <w:jc w:val="left"/>
            </w:pPr>
            <w:r>
              <w:t>RS Sum</w:t>
            </w:r>
          </w:p>
        </w:tc>
      </w:tr>
    </w:tbl>
    <w:p w:rsidR="007A422C" w:rsidRDefault="007A422C" w:rsidP="007A422C"/>
    <w:p w:rsidR="00D83F58" w:rsidRDefault="00D83F58" w:rsidP="00D83F58">
      <w:pPr>
        <w:pStyle w:val="Heading2"/>
      </w:pPr>
      <w:r>
        <w:t xml:space="preserve">Settings – Level Recorder mode – 5G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5691"/>
      </w:tblGrid>
      <w:tr w:rsidR="00D83F58" w:rsidTr="0062590C">
        <w:tc>
          <w:tcPr>
            <w:tcW w:w="2802" w:type="dxa"/>
          </w:tcPr>
          <w:p w:rsidR="00D83F58" w:rsidRDefault="00D83F58" w:rsidP="0062590C">
            <w:pPr>
              <w:spacing w:before="20" w:after="20"/>
            </w:pPr>
            <w:r>
              <w:t>Measurement range:</w:t>
            </w:r>
          </w:p>
        </w:tc>
        <w:tc>
          <w:tcPr>
            <w:tcW w:w="5691" w:type="dxa"/>
          </w:tcPr>
          <w:p w:rsidR="00D83F58" w:rsidRPr="007A140E" w:rsidRDefault="00D83F58" w:rsidP="0062590C">
            <w:pPr>
              <w:spacing w:before="20" w:after="20"/>
              <w:jc w:val="left"/>
            </w:pPr>
            <w:r>
              <w:t>As required to avoid overloading input stages of meter</w:t>
            </w:r>
          </w:p>
        </w:tc>
      </w:tr>
      <w:tr w:rsidR="00D83F58" w:rsidTr="0062590C">
        <w:tc>
          <w:tcPr>
            <w:tcW w:w="2802" w:type="dxa"/>
          </w:tcPr>
          <w:p w:rsidR="00D83F58" w:rsidRDefault="00D83F58" w:rsidP="0062590C">
            <w:pPr>
              <w:spacing w:before="20" w:after="20"/>
            </w:pPr>
            <w:r>
              <w:t>Result type:</w:t>
            </w:r>
          </w:p>
        </w:tc>
        <w:tc>
          <w:tcPr>
            <w:tcW w:w="5691" w:type="dxa"/>
          </w:tcPr>
          <w:p w:rsidR="00D83F58" w:rsidRDefault="00D83F58" w:rsidP="0062590C">
            <w:pPr>
              <w:spacing w:before="20" w:after="20"/>
              <w:jc w:val="left"/>
            </w:pPr>
            <w:r>
              <w:t>Peak</w:t>
            </w:r>
          </w:p>
        </w:tc>
      </w:tr>
      <w:tr w:rsidR="00D83F58" w:rsidTr="0062590C">
        <w:tc>
          <w:tcPr>
            <w:tcW w:w="2802" w:type="dxa"/>
          </w:tcPr>
          <w:p w:rsidR="00D83F58" w:rsidRDefault="00D83F58" w:rsidP="0062590C">
            <w:pPr>
              <w:spacing w:before="20" w:after="20"/>
            </w:pPr>
            <w:r>
              <w:t>Centre frequency:</w:t>
            </w:r>
          </w:p>
        </w:tc>
        <w:tc>
          <w:tcPr>
            <w:tcW w:w="5691" w:type="dxa"/>
          </w:tcPr>
          <w:p w:rsidR="00D83F58" w:rsidRDefault="00D83F58" w:rsidP="0062590C">
            <w:pPr>
              <w:spacing w:before="20" w:after="20"/>
              <w:jc w:val="left"/>
            </w:pPr>
            <w:r>
              <w:t>3538 MHz</w:t>
            </w:r>
          </w:p>
        </w:tc>
      </w:tr>
      <w:tr w:rsidR="00D83F58" w:rsidTr="0062590C">
        <w:tc>
          <w:tcPr>
            <w:tcW w:w="2802" w:type="dxa"/>
          </w:tcPr>
          <w:p w:rsidR="00D83F58" w:rsidRDefault="00D83F58" w:rsidP="0062590C">
            <w:pPr>
              <w:spacing w:before="20" w:after="20"/>
            </w:pPr>
            <w:r>
              <w:t>RBW</w:t>
            </w:r>
          </w:p>
        </w:tc>
        <w:tc>
          <w:tcPr>
            <w:tcW w:w="5691" w:type="dxa"/>
          </w:tcPr>
          <w:p w:rsidR="00D83F58" w:rsidRDefault="00D83F58" w:rsidP="0062590C">
            <w:pPr>
              <w:spacing w:before="20" w:after="20"/>
              <w:jc w:val="left"/>
            </w:pPr>
            <w:r>
              <w:t>4 MHz</w:t>
            </w:r>
          </w:p>
        </w:tc>
      </w:tr>
      <w:tr w:rsidR="00D83F58" w:rsidTr="0062590C">
        <w:tc>
          <w:tcPr>
            <w:tcW w:w="2802" w:type="dxa"/>
          </w:tcPr>
          <w:p w:rsidR="00D83F58" w:rsidRDefault="00D83F58" w:rsidP="0062590C">
            <w:pPr>
              <w:spacing w:before="20" w:after="20"/>
            </w:pPr>
            <w:r>
              <w:t>VBW</w:t>
            </w:r>
          </w:p>
        </w:tc>
        <w:tc>
          <w:tcPr>
            <w:tcW w:w="5691" w:type="dxa"/>
          </w:tcPr>
          <w:p w:rsidR="00D83F58" w:rsidRDefault="00D83F58" w:rsidP="0062590C">
            <w:pPr>
              <w:spacing w:before="20" w:after="20"/>
              <w:jc w:val="left"/>
            </w:pPr>
            <w:r>
              <w:t>3.2 kHz</w:t>
            </w:r>
          </w:p>
        </w:tc>
      </w:tr>
    </w:tbl>
    <w:p w:rsidR="00D83F58" w:rsidRDefault="00D83F58" w:rsidP="00D83F58"/>
    <w:p w:rsidR="00B34532" w:rsidRDefault="00B34532">
      <w:pPr>
        <w:spacing w:line="276" w:lineRule="auto"/>
        <w:jc w:val="left"/>
      </w:pPr>
    </w:p>
    <w:sectPr w:rsidR="00B34532" w:rsidSect="00890206">
      <w:footerReference w:type="default" r:id="rId15"/>
      <w:pgSz w:w="11906" w:h="16838" w:code="9"/>
      <w:pgMar w:top="1440" w:right="1701" w:bottom="1440"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56A" w:rsidRDefault="009C756A" w:rsidP="009A24EA">
      <w:pPr>
        <w:spacing w:after="0" w:line="240" w:lineRule="auto"/>
      </w:pPr>
      <w:r>
        <w:separator/>
      </w:r>
    </w:p>
  </w:endnote>
  <w:endnote w:type="continuationSeparator" w:id="0">
    <w:p w:rsidR="009C756A" w:rsidRDefault="009C756A" w:rsidP="009A2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90C" w:rsidRPr="009A24EA" w:rsidRDefault="0062590C" w:rsidP="009A24EA">
    <w:pPr>
      <w:pStyle w:val="Footer"/>
      <w:jc w:val="right"/>
      <w:rPr>
        <w:rFonts w:asciiTheme="majorHAnsi" w:hAnsiTheme="majorHAnsi" w:cstheme="majorHAnsi"/>
        <w:b/>
        <w:sz w:val="56"/>
        <w:szCs w:val="56"/>
      </w:rPr>
    </w:pPr>
    <w:r>
      <w:rPr>
        <w:noProof/>
        <w:lang w:eastAsia="en-NZ"/>
      </w:rPr>
      <w:drawing>
        <wp:anchor distT="0" distB="0" distL="114300" distR="114300" simplePos="0" relativeHeight="251658240" behindDoc="0" locked="0" layoutInCell="1" allowOverlap="1" wp14:anchorId="0D67F639" wp14:editId="685D95E3">
          <wp:simplePos x="0" y="0"/>
          <wp:positionH relativeFrom="column">
            <wp:posOffset>128270</wp:posOffset>
          </wp:positionH>
          <wp:positionV relativeFrom="paragraph">
            <wp:posOffset>157480</wp:posOffset>
          </wp:positionV>
          <wp:extent cx="3145790" cy="734060"/>
          <wp:effectExtent l="0" t="0" r="0" b="8890"/>
          <wp:wrapSquare wrapText="bothSides"/>
          <wp:docPr id="17" name="Picture 17" descr="EMF Service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145790" cy="734060"/>
                  </a:xfrm>
                  <a:prstGeom prst="rect">
                    <a:avLst/>
                  </a:prstGeom>
                </pic:spPr>
              </pic:pic>
            </a:graphicData>
          </a:graphic>
          <wp14:sizeRelH relativeFrom="margin">
            <wp14:pctWidth>0</wp14:pctWidth>
          </wp14:sizeRelH>
          <wp14:sizeRelV relativeFrom="margin">
            <wp14:pctHeight>0</wp14:pctHeight>
          </wp14:sizeRelV>
        </wp:anchor>
      </w:drawing>
    </w:r>
  </w:p>
  <w:p w:rsidR="0062590C" w:rsidRPr="009A24EA" w:rsidRDefault="0062590C" w:rsidP="009A24EA">
    <w:pPr>
      <w:pStyle w:val="Footer"/>
      <w:jc w:val="right"/>
      <w:rPr>
        <w:rFonts w:asciiTheme="majorHAnsi" w:hAnsiTheme="majorHAnsi" w:cstheme="majorHAnsi"/>
        <w:sz w:val="56"/>
        <w:szCs w:val="56"/>
      </w:rPr>
    </w:pPr>
    <w:r w:rsidRPr="009A24EA">
      <w:rPr>
        <w:rFonts w:asciiTheme="majorHAnsi" w:hAnsiTheme="majorHAnsi" w:cstheme="majorHAnsi"/>
        <w:sz w:val="56"/>
        <w:szCs w:val="56"/>
      </w:rPr>
      <w:t xml:space="preserve">Report </w:t>
    </w:r>
    <w:r>
      <w:rPr>
        <w:rFonts w:asciiTheme="majorHAnsi" w:hAnsiTheme="majorHAnsi" w:cstheme="majorHAnsi"/>
        <w:sz w:val="56"/>
        <w:szCs w:val="56"/>
      </w:rPr>
      <w:t>2020/40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left w:val="none" w:sz="0" w:space="0" w:color="auto"/>
        <w:bottom w:val="none" w:sz="0" w:space="0" w:color="auto"/>
        <w:right w:val="none" w:sz="0" w:space="0" w:color="auto"/>
        <w:insideV w:val="none" w:sz="0" w:space="0" w:color="auto"/>
      </w:tblBorders>
      <w:tblCellMar>
        <w:top w:w="113" w:type="dxa"/>
      </w:tblCellMar>
      <w:tblLook w:val="04A0" w:firstRow="1" w:lastRow="0" w:firstColumn="1" w:lastColumn="0" w:noHBand="0" w:noVBand="1"/>
    </w:tblPr>
    <w:tblGrid>
      <w:gridCol w:w="6466"/>
      <w:gridCol w:w="2038"/>
    </w:tblGrid>
    <w:tr w:rsidR="0062590C" w:rsidTr="00EF678A">
      <w:tc>
        <w:tcPr>
          <w:tcW w:w="7479" w:type="dxa"/>
        </w:tcPr>
        <w:p w:rsidR="0062590C" w:rsidRDefault="0062590C" w:rsidP="00EF678A">
          <w:pPr>
            <w:pStyle w:val="Footer"/>
            <w:rPr>
              <w:sz w:val="18"/>
              <w:szCs w:val="18"/>
            </w:rPr>
          </w:pPr>
          <w:r>
            <w:rPr>
              <w:sz w:val="18"/>
              <w:szCs w:val="18"/>
            </w:rPr>
            <w:t>Exposures to RF fields near 5G cellsites</w:t>
          </w:r>
        </w:p>
        <w:p w:rsidR="0062590C" w:rsidRDefault="0062590C" w:rsidP="00A736ED">
          <w:pPr>
            <w:pStyle w:val="Footer"/>
            <w:rPr>
              <w:sz w:val="18"/>
              <w:szCs w:val="18"/>
            </w:rPr>
          </w:pPr>
          <w:r>
            <w:rPr>
              <w:sz w:val="18"/>
              <w:szCs w:val="18"/>
            </w:rPr>
            <w:t>EMF Services report 2020/40</w:t>
          </w:r>
        </w:p>
      </w:tc>
      <w:tc>
        <w:tcPr>
          <w:tcW w:w="2375" w:type="dxa"/>
        </w:tcPr>
        <w:p w:rsidR="0062590C" w:rsidRDefault="0062590C" w:rsidP="00EF678A">
          <w:pPr>
            <w:pStyle w:val="Footer"/>
            <w:rPr>
              <w:sz w:val="18"/>
              <w:szCs w:val="18"/>
            </w:rPr>
          </w:pPr>
        </w:p>
      </w:tc>
    </w:tr>
  </w:tbl>
  <w:p w:rsidR="0062590C" w:rsidRPr="00EF678A" w:rsidRDefault="0062590C" w:rsidP="00EF678A">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left w:val="none" w:sz="0" w:space="0" w:color="auto"/>
        <w:bottom w:val="none" w:sz="0" w:space="0" w:color="auto"/>
        <w:right w:val="none" w:sz="0" w:space="0" w:color="auto"/>
        <w:insideV w:val="none" w:sz="0" w:space="0" w:color="auto"/>
      </w:tblBorders>
      <w:tblCellMar>
        <w:top w:w="113" w:type="dxa"/>
      </w:tblCellMar>
      <w:tblLook w:val="04A0" w:firstRow="1" w:lastRow="0" w:firstColumn="1" w:lastColumn="0" w:noHBand="0" w:noVBand="1"/>
    </w:tblPr>
    <w:tblGrid>
      <w:gridCol w:w="6422"/>
      <w:gridCol w:w="2082"/>
    </w:tblGrid>
    <w:tr w:rsidR="0062590C" w:rsidTr="00EF678A">
      <w:tc>
        <w:tcPr>
          <w:tcW w:w="7479" w:type="dxa"/>
        </w:tcPr>
        <w:p w:rsidR="0062590C" w:rsidRDefault="0062590C" w:rsidP="00EF678A">
          <w:pPr>
            <w:pStyle w:val="Footer"/>
            <w:rPr>
              <w:sz w:val="18"/>
              <w:szCs w:val="18"/>
            </w:rPr>
          </w:pPr>
          <w:r>
            <w:rPr>
              <w:sz w:val="18"/>
              <w:szCs w:val="18"/>
            </w:rPr>
            <w:t>Exposures to RF fields near 5G cellsites</w:t>
          </w:r>
        </w:p>
        <w:p w:rsidR="0062590C" w:rsidRDefault="0062590C" w:rsidP="00173233">
          <w:pPr>
            <w:pStyle w:val="Footer"/>
            <w:rPr>
              <w:sz w:val="18"/>
              <w:szCs w:val="18"/>
            </w:rPr>
          </w:pPr>
          <w:r>
            <w:rPr>
              <w:sz w:val="18"/>
              <w:szCs w:val="18"/>
            </w:rPr>
            <w:t>EMF Services report 2020/40</w:t>
          </w:r>
        </w:p>
      </w:tc>
      <w:tc>
        <w:tcPr>
          <w:tcW w:w="2375" w:type="dxa"/>
        </w:tcPr>
        <w:p w:rsidR="0062590C" w:rsidRDefault="0062590C" w:rsidP="00113315">
          <w:pPr>
            <w:pStyle w:val="Footer"/>
            <w:jc w:val="right"/>
            <w:rPr>
              <w:sz w:val="18"/>
              <w:szCs w:val="18"/>
            </w:rPr>
          </w:pPr>
          <w:r>
            <w:rPr>
              <w:sz w:val="18"/>
              <w:szCs w:val="18"/>
            </w:rPr>
            <w:t xml:space="preserve">Page </w:t>
          </w:r>
          <w:r w:rsidRPr="00890206">
            <w:rPr>
              <w:sz w:val="18"/>
              <w:szCs w:val="18"/>
            </w:rPr>
            <w:fldChar w:fldCharType="begin"/>
          </w:r>
          <w:r w:rsidRPr="00890206">
            <w:rPr>
              <w:sz w:val="18"/>
              <w:szCs w:val="18"/>
            </w:rPr>
            <w:instrText xml:space="preserve"> PAGE   \* MERGEFORMAT </w:instrText>
          </w:r>
          <w:r w:rsidRPr="00890206">
            <w:rPr>
              <w:sz w:val="18"/>
              <w:szCs w:val="18"/>
            </w:rPr>
            <w:fldChar w:fldCharType="separate"/>
          </w:r>
          <w:r>
            <w:rPr>
              <w:noProof/>
              <w:sz w:val="18"/>
              <w:szCs w:val="18"/>
            </w:rPr>
            <w:t>16</w:t>
          </w:r>
          <w:r w:rsidRPr="00890206">
            <w:rPr>
              <w:noProof/>
              <w:sz w:val="18"/>
              <w:szCs w:val="18"/>
            </w:rPr>
            <w:fldChar w:fldCharType="end"/>
          </w:r>
          <w:r>
            <w:rPr>
              <w:noProof/>
              <w:sz w:val="18"/>
              <w:szCs w:val="18"/>
            </w:rPr>
            <w:t xml:space="preserve"> of </w:t>
          </w:r>
          <w:r>
            <w:rPr>
              <w:noProof/>
              <w:sz w:val="18"/>
              <w:szCs w:val="18"/>
            </w:rPr>
            <w:fldChar w:fldCharType="begin"/>
          </w:r>
          <w:r>
            <w:rPr>
              <w:noProof/>
              <w:sz w:val="18"/>
              <w:szCs w:val="18"/>
            </w:rPr>
            <w:instrText xml:space="preserve"> SECTIONPAGES  \* Arabic  \* MERGEFORMAT </w:instrText>
          </w:r>
          <w:r>
            <w:rPr>
              <w:noProof/>
              <w:sz w:val="18"/>
              <w:szCs w:val="18"/>
            </w:rPr>
            <w:fldChar w:fldCharType="separate"/>
          </w:r>
          <w:r w:rsidR="009E4E5E">
            <w:rPr>
              <w:noProof/>
              <w:sz w:val="18"/>
              <w:szCs w:val="18"/>
            </w:rPr>
            <w:t>13</w:t>
          </w:r>
          <w:r>
            <w:rPr>
              <w:noProof/>
              <w:sz w:val="18"/>
              <w:szCs w:val="18"/>
            </w:rPr>
            <w:fldChar w:fldCharType="end"/>
          </w:r>
        </w:p>
      </w:tc>
    </w:tr>
  </w:tbl>
  <w:p w:rsidR="0062590C" w:rsidRPr="00EF678A" w:rsidRDefault="0062590C" w:rsidP="00EF678A">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56A" w:rsidRDefault="009C756A" w:rsidP="009A24EA">
      <w:pPr>
        <w:spacing w:after="0" w:line="240" w:lineRule="auto"/>
      </w:pPr>
      <w:r>
        <w:separator/>
      </w:r>
    </w:p>
  </w:footnote>
  <w:footnote w:type="continuationSeparator" w:id="0">
    <w:p w:rsidR="009C756A" w:rsidRDefault="009C756A" w:rsidP="009A24EA">
      <w:pPr>
        <w:spacing w:after="0" w:line="240" w:lineRule="auto"/>
      </w:pPr>
      <w:r>
        <w:continuationSeparator/>
      </w:r>
    </w:p>
  </w:footnote>
  <w:footnote w:id="1">
    <w:p w:rsidR="0062590C" w:rsidRPr="002472E0" w:rsidRDefault="0062590C" w:rsidP="00DE6641">
      <w:pPr>
        <w:pStyle w:val="FootnoteText"/>
      </w:pPr>
      <w:r>
        <w:rPr>
          <w:rStyle w:val="FootnoteReference"/>
        </w:rPr>
        <w:footnoteRef/>
      </w:r>
      <w:r w:rsidRPr="002472E0">
        <w:t xml:space="preserve">http://www.icnirp.org/cms/upload/publications/ICNIRPemfgdl.pdf. </w:t>
      </w:r>
    </w:p>
  </w:footnote>
  <w:footnote w:id="2">
    <w:p w:rsidR="0062590C" w:rsidRDefault="0062590C" w:rsidP="00DE6641">
      <w:pPr>
        <w:pStyle w:val="FootnoteText"/>
      </w:pPr>
      <w:r>
        <w:rPr>
          <w:rStyle w:val="FootnoteReference"/>
        </w:rPr>
        <w:footnoteRef/>
      </w:r>
      <w:r>
        <w:t xml:space="preserve"> </w:t>
      </w:r>
      <w:r w:rsidRPr="00CE2834">
        <w:t>http://www.icnirp.org/cms/upload/publications/ICNIRPStatementEMF.pdf</w:t>
      </w:r>
    </w:p>
  </w:footnote>
  <w:footnote w:id="3">
    <w:p w:rsidR="0062590C" w:rsidRDefault="0062590C" w:rsidP="00DE6641">
      <w:pPr>
        <w:pStyle w:val="FootnoteText"/>
      </w:pPr>
      <w:r>
        <w:rPr>
          <w:rStyle w:val="FootnoteReference"/>
        </w:rPr>
        <w:footnoteRef/>
      </w:r>
      <w:r>
        <w:t xml:space="preserve"> </w:t>
      </w:r>
      <w:r w:rsidRPr="008A6F06">
        <w:t>ICNIRP. Exposure to high frequency electromagnetic fields, biological effects and health consequences (100 kHz-300 GHz) - Review of the Scientific Evidence and Health Consequences. Munich: International Commission on Non-Ionizing Radiation Protection; 2009. ISBN 978-3-934994-10-2</w:t>
      </w:r>
      <w:r>
        <w:t xml:space="preserve">.  </w:t>
      </w:r>
    </w:p>
  </w:footnote>
  <w:footnote w:id="4">
    <w:p w:rsidR="0062590C" w:rsidRDefault="0062590C" w:rsidP="001A6EC1">
      <w:pPr>
        <w:pStyle w:val="FootnoteText"/>
      </w:pPr>
      <w:r>
        <w:rPr>
          <w:rStyle w:val="FootnoteReference"/>
        </w:rPr>
        <w:footnoteRef/>
      </w:r>
      <w:r>
        <w:t xml:space="preserve"> </w:t>
      </w:r>
      <w:r w:rsidRPr="00391FD8">
        <w:t>http://www.icnirp.org/en/activities/news/news-article/revision-of-hf-guidelines-2017.html</w:t>
      </w:r>
    </w:p>
  </w:footnote>
  <w:footnote w:id="5">
    <w:p w:rsidR="0062590C" w:rsidRDefault="0062590C" w:rsidP="00DE6641">
      <w:pPr>
        <w:pStyle w:val="FootnoteText"/>
      </w:pPr>
      <w:r>
        <w:rPr>
          <w:rStyle w:val="FootnoteReference"/>
        </w:rPr>
        <w:footnoteRef/>
      </w:r>
      <w:r>
        <w:t xml:space="preserve"> Links to recent reviews can be found at </w:t>
      </w:r>
      <w:r w:rsidRPr="00DC06A6">
        <w:t>http://www.health.govt.nz/our-work/radiation-safety/non-ionising-radiation/research-non-ionising-radiation</w:t>
      </w:r>
      <w:r>
        <w:t xml:space="preserve">.  </w:t>
      </w:r>
    </w:p>
  </w:footnote>
  <w:footnote w:id="6">
    <w:p w:rsidR="0062590C" w:rsidRDefault="0062590C" w:rsidP="005374D4">
      <w:pPr>
        <w:pStyle w:val="FootnoteText"/>
      </w:pPr>
      <w:r>
        <w:rPr>
          <w:rStyle w:val="FootnoteReference"/>
        </w:rPr>
        <w:footnoteRef/>
      </w:r>
      <w:r>
        <w:t xml:space="preserve"> The approach is described in Keller (2019). On the assessment of human exposure to electromagnetic fields transmitted by 5G NR base stations.  Health Physics </w:t>
      </w:r>
      <w:r w:rsidRPr="00876DD2">
        <w:t>117(5):541-545</w:t>
      </w:r>
      <w:r>
        <w:t>.</w:t>
      </w:r>
    </w:p>
  </w:footnote>
  <w:footnote w:id="7">
    <w:p w:rsidR="0062590C" w:rsidRPr="007D15F0" w:rsidRDefault="0062590C" w:rsidP="009E1845">
      <w:pPr>
        <w:pStyle w:val="FootnoteText"/>
      </w:pPr>
      <w:r>
        <w:rPr>
          <w:rStyle w:val="FootnoteReference"/>
        </w:rPr>
        <w:footnoteRef/>
      </w:r>
      <w:r>
        <w:t xml:space="preserve"> Burgi A et al.  </w:t>
      </w:r>
      <w:r w:rsidRPr="001D0AF1">
        <w:t>Time Averaged Transmitter Power and Exposure to Electromagnetic Fields from Mobile Phone Base Stations</w:t>
      </w:r>
      <w:r>
        <w:t xml:space="preserve">.  </w:t>
      </w:r>
      <w:r w:rsidRPr="007D15F0">
        <w:t>Int. J. Environ. Res. Public Health 2014, 11, 8025-8037.</w:t>
      </w:r>
    </w:p>
  </w:footnote>
  <w:footnote w:id="8">
    <w:p w:rsidR="0062590C" w:rsidRPr="001D0AF1" w:rsidRDefault="0062590C" w:rsidP="009E1845">
      <w:pPr>
        <w:pStyle w:val="FootnoteText"/>
      </w:pPr>
      <w:r>
        <w:rPr>
          <w:rStyle w:val="FootnoteReference"/>
        </w:rPr>
        <w:footnoteRef/>
      </w:r>
      <w:r w:rsidRPr="001D0AF1">
        <w:t xml:space="preserve"> Mahfouz Z et al.  Influence</w:t>
      </w:r>
      <w:r>
        <w:t xml:space="preserve"> </w:t>
      </w:r>
      <w:r w:rsidRPr="001D0AF1">
        <w:t>of Traffic Variations on Exposure to Wireless Signals in Realistic Environments</w:t>
      </w:r>
      <w:r>
        <w:t xml:space="preserve">.  </w:t>
      </w:r>
      <w:r w:rsidRPr="001D0AF1">
        <w:t>Bioelectromagnetics 33:288–297,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90C" w:rsidRDefault="0062590C" w:rsidP="00FE4AC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045C1"/>
    <w:multiLevelType w:val="hybridMultilevel"/>
    <w:tmpl w:val="7B8E74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371"/>
    <w:rsid w:val="00001275"/>
    <w:rsid w:val="000017D1"/>
    <w:rsid w:val="000072B6"/>
    <w:rsid w:val="00015484"/>
    <w:rsid w:val="000223CD"/>
    <w:rsid w:val="00030491"/>
    <w:rsid w:val="00031DBC"/>
    <w:rsid w:val="000372AB"/>
    <w:rsid w:val="00050BA7"/>
    <w:rsid w:val="0006003E"/>
    <w:rsid w:val="000635CB"/>
    <w:rsid w:val="00063B6E"/>
    <w:rsid w:val="0006583F"/>
    <w:rsid w:val="000868EC"/>
    <w:rsid w:val="000A0BB8"/>
    <w:rsid w:val="000A25DF"/>
    <w:rsid w:val="000B067F"/>
    <w:rsid w:val="000B0931"/>
    <w:rsid w:val="000C6F96"/>
    <w:rsid w:val="000D2D10"/>
    <w:rsid w:val="000D6911"/>
    <w:rsid w:val="000E551A"/>
    <w:rsid w:val="000F0D86"/>
    <w:rsid w:val="000F69FE"/>
    <w:rsid w:val="00111500"/>
    <w:rsid w:val="00113315"/>
    <w:rsid w:val="00115F9B"/>
    <w:rsid w:val="001311D2"/>
    <w:rsid w:val="00132792"/>
    <w:rsid w:val="00146247"/>
    <w:rsid w:val="00147076"/>
    <w:rsid w:val="001505B8"/>
    <w:rsid w:val="00155308"/>
    <w:rsid w:val="00157852"/>
    <w:rsid w:val="001630D5"/>
    <w:rsid w:val="00164767"/>
    <w:rsid w:val="001701DB"/>
    <w:rsid w:val="00173233"/>
    <w:rsid w:val="00174812"/>
    <w:rsid w:val="00181F55"/>
    <w:rsid w:val="001836F6"/>
    <w:rsid w:val="00192353"/>
    <w:rsid w:val="001A6EC1"/>
    <w:rsid w:val="001D58F7"/>
    <w:rsid w:val="001D69B8"/>
    <w:rsid w:val="001E1708"/>
    <w:rsid w:val="001E31DC"/>
    <w:rsid w:val="001E55AD"/>
    <w:rsid w:val="001F4EA9"/>
    <w:rsid w:val="001F560F"/>
    <w:rsid w:val="001F5A1A"/>
    <w:rsid w:val="00200EB5"/>
    <w:rsid w:val="00201DC5"/>
    <w:rsid w:val="00212104"/>
    <w:rsid w:val="00213522"/>
    <w:rsid w:val="0021662D"/>
    <w:rsid w:val="00220481"/>
    <w:rsid w:val="00227C9A"/>
    <w:rsid w:val="002431F0"/>
    <w:rsid w:val="002472E0"/>
    <w:rsid w:val="002734EC"/>
    <w:rsid w:val="00291816"/>
    <w:rsid w:val="002934A3"/>
    <w:rsid w:val="002C229B"/>
    <w:rsid w:val="002E375F"/>
    <w:rsid w:val="002F0FBE"/>
    <w:rsid w:val="002F2095"/>
    <w:rsid w:val="002F27E7"/>
    <w:rsid w:val="003102E2"/>
    <w:rsid w:val="0031406F"/>
    <w:rsid w:val="00327976"/>
    <w:rsid w:val="00337892"/>
    <w:rsid w:val="00347B0A"/>
    <w:rsid w:val="0035627A"/>
    <w:rsid w:val="00377F6D"/>
    <w:rsid w:val="003A78E3"/>
    <w:rsid w:val="003B0B35"/>
    <w:rsid w:val="003B14EB"/>
    <w:rsid w:val="003C665D"/>
    <w:rsid w:val="003E0184"/>
    <w:rsid w:val="003F70BD"/>
    <w:rsid w:val="0040299B"/>
    <w:rsid w:val="00404FE0"/>
    <w:rsid w:val="004071FE"/>
    <w:rsid w:val="00412C80"/>
    <w:rsid w:val="00424019"/>
    <w:rsid w:val="0042483F"/>
    <w:rsid w:val="004325D7"/>
    <w:rsid w:val="00433DC8"/>
    <w:rsid w:val="0044088D"/>
    <w:rsid w:val="00440CC0"/>
    <w:rsid w:val="00446042"/>
    <w:rsid w:val="00463189"/>
    <w:rsid w:val="00472CEC"/>
    <w:rsid w:val="0047362B"/>
    <w:rsid w:val="00473AA9"/>
    <w:rsid w:val="00481848"/>
    <w:rsid w:val="00495259"/>
    <w:rsid w:val="004A6E2E"/>
    <w:rsid w:val="004C556B"/>
    <w:rsid w:val="004D6AA2"/>
    <w:rsid w:val="004F01E7"/>
    <w:rsid w:val="004F1570"/>
    <w:rsid w:val="005019ED"/>
    <w:rsid w:val="005021A0"/>
    <w:rsid w:val="00514740"/>
    <w:rsid w:val="00523572"/>
    <w:rsid w:val="0052782F"/>
    <w:rsid w:val="00530905"/>
    <w:rsid w:val="005374D4"/>
    <w:rsid w:val="0054786D"/>
    <w:rsid w:val="0056002E"/>
    <w:rsid w:val="00560748"/>
    <w:rsid w:val="00565A3F"/>
    <w:rsid w:val="00581066"/>
    <w:rsid w:val="0059382D"/>
    <w:rsid w:val="005A0499"/>
    <w:rsid w:val="005A249E"/>
    <w:rsid w:val="005A281B"/>
    <w:rsid w:val="005A6075"/>
    <w:rsid w:val="005B47F9"/>
    <w:rsid w:val="005C7AA5"/>
    <w:rsid w:val="005D7C5A"/>
    <w:rsid w:val="005F36B1"/>
    <w:rsid w:val="005F6EC4"/>
    <w:rsid w:val="006002E3"/>
    <w:rsid w:val="006200D4"/>
    <w:rsid w:val="0062145F"/>
    <w:rsid w:val="0062590C"/>
    <w:rsid w:val="00634987"/>
    <w:rsid w:val="00635DB4"/>
    <w:rsid w:val="006430E1"/>
    <w:rsid w:val="00643E37"/>
    <w:rsid w:val="0064693B"/>
    <w:rsid w:val="00650127"/>
    <w:rsid w:val="006618D7"/>
    <w:rsid w:val="0066694D"/>
    <w:rsid w:val="00673CF7"/>
    <w:rsid w:val="00675CA3"/>
    <w:rsid w:val="006A04D8"/>
    <w:rsid w:val="006A2B62"/>
    <w:rsid w:val="006A4F16"/>
    <w:rsid w:val="006B118C"/>
    <w:rsid w:val="006B2BF0"/>
    <w:rsid w:val="006D3DE7"/>
    <w:rsid w:val="006D5815"/>
    <w:rsid w:val="006E4FD3"/>
    <w:rsid w:val="006E78FD"/>
    <w:rsid w:val="006F7AF9"/>
    <w:rsid w:val="00722CD7"/>
    <w:rsid w:val="00724B00"/>
    <w:rsid w:val="00735983"/>
    <w:rsid w:val="0074147E"/>
    <w:rsid w:val="0074575D"/>
    <w:rsid w:val="007547A0"/>
    <w:rsid w:val="00756CAA"/>
    <w:rsid w:val="00757BC4"/>
    <w:rsid w:val="00770847"/>
    <w:rsid w:val="00775BC0"/>
    <w:rsid w:val="00782507"/>
    <w:rsid w:val="00796F68"/>
    <w:rsid w:val="007A140E"/>
    <w:rsid w:val="007A422C"/>
    <w:rsid w:val="007B1D22"/>
    <w:rsid w:val="007B660C"/>
    <w:rsid w:val="007B6CED"/>
    <w:rsid w:val="007C0A2D"/>
    <w:rsid w:val="007D1C22"/>
    <w:rsid w:val="007D4F8F"/>
    <w:rsid w:val="007E4494"/>
    <w:rsid w:val="00821D1F"/>
    <w:rsid w:val="008229C2"/>
    <w:rsid w:val="0082389F"/>
    <w:rsid w:val="00824D82"/>
    <w:rsid w:val="00843208"/>
    <w:rsid w:val="008618D7"/>
    <w:rsid w:val="00865D02"/>
    <w:rsid w:val="00867F6D"/>
    <w:rsid w:val="00870590"/>
    <w:rsid w:val="00875C15"/>
    <w:rsid w:val="00880BA4"/>
    <w:rsid w:val="00882ADF"/>
    <w:rsid w:val="00890206"/>
    <w:rsid w:val="0089565F"/>
    <w:rsid w:val="00896D1F"/>
    <w:rsid w:val="008A37FC"/>
    <w:rsid w:val="008A6F06"/>
    <w:rsid w:val="008C066D"/>
    <w:rsid w:val="008C1B6E"/>
    <w:rsid w:val="008E3F15"/>
    <w:rsid w:val="008E5014"/>
    <w:rsid w:val="008F49AE"/>
    <w:rsid w:val="008F7210"/>
    <w:rsid w:val="00914DCB"/>
    <w:rsid w:val="00934986"/>
    <w:rsid w:val="00940E6E"/>
    <w:rsid w:val="00954164"/>
    <w:rsid w:val="00962E27"/>
    <w:rsid w:val="009676C8"/>
    <w:rsid w:val="00982E15"/>
    <w:rsid w:val="009904ED"/>
    <w:rsid w:val="00994080"/>
    <w:rsid w:val="00996228"/>
    <w:rsid w:val="009A24EA"/>
    <w:rsid w:val="009B308D"/>
    <w:rsid w:val="009C10D3"/>
    <w:rsid w:val="009C756A"/>
    <w:rsid w:val="009E1845"/>
    <w:rsid w:val="009E4B8F"/>
    <w:rsid w:val="009E4E5E"/>
    <w:rsid w:val="00A025D6"/>
    <w:rsid w:val="00A27BC0"/>
    <w:rsid w:val="00A35137"/>
    <w:rsid w:val="00A36C2B"/>
    <w:rsid w:val="00A4287B"/>
    <w:rsid w:val="00A51536"/>
    <w:rsid w:val="00A61466"/>
    <w:rsid w:val="00A62787"/>
    <w:rsid w:val="00A736ED"/>
    <w:rsid w:val="00A82577"/>
    <w:rsid w:val="00A913DB"/>
    <w:rsid w:val="00A932F5"/>
    <w:rsid w:val="00AA08B0"/>
    <w:rsid w:val="00AA1DAE"/>
    <w:rsid w:val="00AA2842"/>
    <w:rsid w:val="00AA64F9"/>
    <w:rsid w:val="00AB0E61"/>
    <w:rsid w:val="00AB55C0"/>
    <w:rsid w:val="00AD3653"/>
    <w:rsid w:val="00AD5EC8"/>
    <w:rsid w:val="00B0085D"/>
    <w:rsid w:val="00B02874"/>
    <w:rsid w:val="00B100C4"/>
    <w:rsid w:val="00B12AB0"/>
    <w:rsid w:val="00B174C5"/>
    <w:rsid w:val="00B234EC"/>
    <w:rsid w:val="00B24EE1"/>
    <w:rsid w:val="00B254CC"/>
    <w:rsid w:val="00B34532"/>
    <w:rsid w:val="00B40EAE"/>
    <w:rsid w:val="00B43A14"/>
    <w:rsid w:val="00B478F4"/>
    <w:rsid w:val="00B51893"/>
    <w:rsid w:val="00B5467B"/>
    <w:rsid w:val="00B57717"/>
    <w:rsid w:val="00B610E0"/>
    <w:rsid w:val="00B75730"/>
    <w:rsid w:val="00B75A0B"/>
    <w:rsid w:val="00B92C19"/>
    <w:rsid w:val="00BA04F1"/>
    <w:rsid w:val="00BA6F7E"/>
    <w:rsid w:val="00BB0119"/>
    <w:rsid w:val="00BB4D12"/>
    <w:rsid w:val="00BC0B84"/>
    <w:rsid w:val="00BC1FD9"/>
    <w:rsid w:val="00BC6779"/>
    <w:rsid w:val="00BC6B12"/>
    <w:rsid w:val="00BD178A"/>
    <w:rsid w:val="00C00F48"/>
    <w:rsid w:val="00C02C61"/>
    <w:rsid w:val="00C04D74"/>
    <w:rsid w:val="00C1592C"/>
    <w:rsid w:val="00C3016E"/>
    <w:rsid w:val="00C40789"/>
    <w:rsid w:val="00C53560"/>
    <w:rsid w:val="00C53A84"/>
    <w:rsid w:val="00C53B3F"/>
    <w:rsid w:val="00C62828"/>
    <w:rsid w:val="00C702C4"/>
    <w:rsid w:val="00C76EB5"/>
    <w:rsid w:val="00C77EF1"/>
    <w:rsid w:val="00C839E6"/>
    <w:rsid w:val="00C85C52"/>
    <w:rsid w:val="00C92ED5"/>
    <w:rsid w:val="00C96CC7"/>
    <w:rsid w:val="00CA2C0F"/>
    <w:rsid w:val="00CB6A0A"/>
    <w:rsid w:val="00CC514B"/>
    <w:rsid w:val="00CD732B"/>
    <w:rsid w:val="00CE0498"/>
    <w:rsid w:val="00CF015C"/>
    <w:rsid w:val="00CF5DE3"/>
    <w:rsid w:val="00CF7060"/>
    <w:rsid w:val="00D03F60"/>
    <w:rsid w:val="00D104D5"/>
    <w:rsid w:val="00D105B2"/>
    <w:rsid w:val="00D153FA"/>
    <w:rsid w:val="00D25564"/>
    <w:rsid w:val="00D36111"/>
    <w:rsid w:val="00D36960"/>
    <w:rsid w:val="00D40D88"/>
    <w:rsid w:val="00D4355B"/>
    <w:rsid w:val="00D50DAB"/>
    <w:rsid w:val="00D70CB2"/>
    <w:rsid w:val="00D83F58"/>
    <w:rsid w:val="00D879B4"/>
    <w:rsid w:val="00D92249"/>
    <w:rsid w:val="00DB525B"/>
    <w:rsid w:val="00DC06A6"/>
    <w:rsid w:val="00DE532D"/>
    <w:rsid w:val="00DE6641"/>
    <w:rsid w:val="00DE6B03"/>
    <w:rsid w:val="00DE7736"/>
    <w:rsid w:val="00DF2320"/>
    <w:rsid w:val="00DF41C0"/>
    <w:rsid w:val="00E212FE"/>
    <w:rsid w:val="00E245E6"/>
    <w:rsid w:val="00E24E1B"/>
    <w:rsid w:val="00E269AA"/>
    <w:rsid w:val="00E353FE"/>
    <w:rsid w:val="00E36BFC"/>
    <w:rsid w:val="00E37A69"/>
    <w:rsid w:val="00E41D35"/>
    <w:rsid w:val="00E447EE"/>
    <w:rsid w:val="00E45EF0"/>
    <w:rsid w:val="00E46038"/>
    <w:rsid w:val="00E529BF"/>
    <w:rsid w:val="00E654C6"/>
    <w:rsid w:val="00E65AB8"/>
    <w:rsid w:val="00E6639B"/>
    <w:rsid w:val="00E858E1"/>
    <w:rsid w:val="00EA118A"/>
    <w:rsid w:val="00EB0151"/>
    <w:rsid w:val="00EB0B04"/>
    <w:rsid w:val="00EB68EE"/>
    <w:rsid w:val="00EC7F27"/>
    <w:rsid w:val="00ED504A"/>
    <w:rsid w:val="00ED7E48"/>
    <w:rsid w:val="00EF2689"/>
    <w:rsid w:val="00EF3B66"/>
    <w:rsid w:val="00EF678A"/>
    <w:rsid w:val="00F01543"/>
    <w:rsid w:val="00F050CC"/>
    <w:rsid w:val="00F11725"/>
    <w:rsid w:val="00F141A9"/>
    <w:rsid w:val="00F145F8"/>
    <w:rsid w:val="00F169A1"/>
    <w:rsid w:val="00F23E0F"/>
    <w:rsid w:val="00F331C3"/>
    <w:rsid w:val="00F369A5"/>
    <w:rsid w:val="00F37453"/>
    <w:rsid w:val="00F4728F"/>
    <w:rsid w:val="00F50DDA"/>
    <w:rsid w:val="00F50ED3"/>
    <w:rsid w:val="00F53B81"/>
    <w:rsid w:val="00F55371"/>
    <w:rsid w:val="00F56431"/>
    <w:rsid w:val="00F6130D"/>
    <w:rsid w:val="00F621C9"/>
    <w:rsid w:val="00F76C2B"/>
    <w:rsid w:val="00F77E4C"/>
    <w:rsid w:val="00F8391F"/>
    <w:rsid w:val="00F84345"/>
    <w:rsid w:val="00FA5305"/>
    <w:rsid w:val="00FC26BA"/>
    <w:rsid w:val="00FC6591"/>
    <w:rsid w:val="00FD129D"/>
    <w:rsid w:val="00FD32DC"/>
    <w:rsid w:val="00FD7156"/>
    <w:rsid w:val="00FD7297"/>
    <w:rsid w:val="00FD78DD"/>
    <w:rsid w:val="00FE0A4A"/>
    <w:rsid w:val="00FE4AC8"/>
    <w:rsid w:val="00FF4D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715A2"/>
  <w15:docId w15:val="{A876736F-8859-4C4D-BF82-A8F99D6B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01E7"/>
    <w:pPr>
      <w:spacing w:line="264" w:lineRule="auto"/>
      <w:jc w:val="both"/>
    </w:pPr>
  </w:style>
  <w:style w:type="paragraph" w:styleId="Heading1">
    <w:name w:val="heading 1"/>
    <w:basedOn w:val="Normal"/>
    <w:next w:val="Normal"/>
    <w:link w:val="Heading1Char"/>
    <w:uiPriority w:val="9"/>
    <w:qFormat/>
    <w:rsid w:val="006F7AF9"/>
    <w:pPr>
      <w:keepNext/>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F7AF9"/>
    <w:pPr>
      <w:keepNext/>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F7AF9"/>
    <w:pPr>
      <w:keepNext/>
      <w:spacing w:before="200" w:after="0" w:line="271" w:lineRule="auto"/>
      <w:outlineLvl w:val="2"/>
    </w:pPr>
    <w:rPr>
      <w:rFonts w:asciiTheme="majorHAnsi" w:eastAsiaTheme="majorEastAsia" w:hAnsiTheme="majorHAnsi" w:cstheme="majorBidi"/>
      <w:b/>
      <w:bCs/>
      <w:sz w:val="24"/>
      <w:szCs w:val="24"/>
    </w:rPr>
  </w:style>
  <w:style w:type="paragraph" w:styleId="Heading4">
    <w:name w:val="heading 4"/>
    <w:basedOn w:val="Normal"/>
    <w:next w:val="Normal"/>
    <w:link w:val="Heading4Char"/>
    <w:uiPriority w:val="9"/>
    <w:unhideWhenUsed/>
    <w:qFormat/>
    <w:rsid w:val="001D58F7"/>
    <w:pPr>
      <w:keepNext/>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F01E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F01E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F01E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F01E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F01E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AF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F7AF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F7AF9"/>
    <w:rPr>
      <w:rFonts w:asciiTheme="majorHAnsi" w:eastAsiaTheme="majorEastAsia" w:hAnsiTheme="majorHAnsi" w:cstheme="majorBidi"/>
      <w:b/>
      <w:bCs/>
      <w:sz w:val="24"/>
      <w:szCs w:val="24"/>
    </w:rPr>
  </w:style>
  <w:style w:type="character" w:customStyle="1" w:styleId="Heading4Char">
    <w:name w:val="Heading 4 Char"/>
    <w:basedOn w:val="DefaultParagraphFont"/>
    <w:link w:val="Heading4"/>
    <w:uiPriority w:val="9"/>
    <w:rsid w:val="001D58F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F01E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F01E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F01E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F01E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F01E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F01E7"/>
    <w:pPr>
      <w:pBdr>
        <w:bottom w:val="single" w:sz="4" w:space="1" w:color="auto"/>
      </w:pBdr>
      <w:spacing w:line="240" w:lineRule="auto"/>
      <w:contextualSpacing/>
      <w:jc w:val="center"/>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F01E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F01E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F01E7"/>
    <w:rPr>
      <w:rFonts w:asciiTheme="majorHAnsi" w:eastAsiaTheme="majorEastAsia" w:hAnsiTheme="majorHAnsi" w:cstheme="majorBidi"/>
      <w:i/>
      <w:iCs/>
      <w:spacing w:val="13"/>
      <w:sz w:val="24"/>
      <w:szCs w:val="24"/>
    </w:rPr>
  </w:style>
  <w:style w:type="character" w:styleId="Strong">
    <w:name w:val="Strong"/>
    <w:uiPriority w:val="22"/>
    <w:qFormat/>
    <w:rsid w:val="004F01E7"/>
    <w:rPr>
      <w:b/>
      <w:bCs/>
    </w:rPr>
  </w:style>
  <w:style w:type="character" w:styleId="Emphasis">
    <w:name w:val="Emphasis"/>
    <w:uiPriority w:val="20"/>
    <w:qFormat/>
    <w:rsid w:val="004F01E7"/>
    <w:rPr>
      <w:b/>
      <w:bCs/>
      <w:i/>
      <w:iCs/>
      <w:spacing w:val="10"/>
      <w:bdr w:val="none" w:sz="0" w:space="0" w:color="auto"/>
      <w:shd w:val="clear" w:color="auto" w:fill="auto"/>
    </w:rPr>
  </w:style>
  <w:style w:type="paragraph" w:styleId="NoSpacing">
    <w:name w:val="No Spacing"/>
    <w:basedOn w:val="Normal"/>
    <w:link w:val="NoSpacingChar"/>
    <w:uiPriority w:val="1"/>
    <w:qFormat/>
    <w:rsid w:val="004F01E7"/>
    <w:pPr>
      <w:spacing w:after="0" w:line="240" w:lineRule="auto"/>
    </w:pPr>
  </w:style>
  <w:style w:type="character" w:customStyle="1" w:styleId="NoSpacingChar">
    <w:name w:val="No Spacing Char"/>
    <w:basedOn w:val="DefaultParagraphFont"/>
    <w:link w:val="NoSpacing"/>
    <w:uiPriority w:val="1"/>
    <w:rsid w:val="004F01E7"/>
  </w:style>
  <w:style w:type="paragraph" w:styleId="ListParagraph">
    <w:name w:val="List Paragraph"/>
    <w:basedOn w:val="Normal"/>
    <w:uiPriority w:val="34"/>
    <w:qFormat/>
    <w:rsid w:val="004F01E7"/>
    <w:pPr>
      <w:ind w:left="720"/>
      <w:contextualSpacing/>
    </w:pPr>
  </w:style>
  <w:style w:type="paragraph" w:styleId="Quote">
    <w:name w:val="Quote"/>
    <w:basedOn w:val="Normal"/>
    <w:next w:val="Normal"/>
    <w:link w:val="QuoteChar"/>
    <w:uiPriority w:val="29"/>
    <w:qFormat/>
    <w:rsid w:val="004F01E7"/>
    <w:pPr>
      <w:spacing w:before="200" w:after="0"/>
      <w:ind w:left="360" w:right="360"/>
    </w:pPr>
    <w:rPr>
      <w:i/>
      <w:iCs/>
    </w:rPr>
  </w:style>
  <w:style w:type="character" w:customStyle="1" w:styleId="QuoteChar">
    <w:name w:val="Quote Char"/>
    <w:basedOn w:val="DefaultParagraphFont"/>
    <w:link w:val="Quote"/>
    <w:uiPriority w:val="29"/>
    <w:rsid w:val="004F01E7"/>
    <w:rPr>
      <w:i/>
      <w:iCs/>
    </w:rPr>
  </w:style>
  <w:style w:type="paragraph" w:styleId="IntenseQuote">
    <w:name w:val="Intense Quote"/>
    <w:basedOn w:val="Normal"/>
    <w:next w:val="Normal"/>
    <w:link w:val="IntenseQuoteChar"/>
    <w:uiPriority w:val="30"/>
    <w:qFormat/>
    <w:rsid w:val="004F01E7"/>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4F01E7"/>
    <w:rPr>
      <w:b/>
      <w:bCs/>
      <w:i/>
      <w:iCs/>
    </w:rPr>
  </w:style>
  <w:style w:type="character" w:styleId="SubtleEmphasis">
    <w:name w:val="Subtle Emphasis"/>
    <w:uiPriority w:val="19"/>
    <w:qFormat/>
    <w:rsid w:val="004F01E7"/>
    <w:rPr>
      <w:i/>
      <w:iCs/>
    </w:rPr>
  </w:style>
  <w:style w:type="character" w:styleId="IntenseEmphasis">
    <w:name w:val="Intense Emphasis"/>
    <w:uiPriority w:val="21"/>
    <w:qFormat/>
    <w:rsid w:val="004F01E7"/>
    <w:rPr>
      <w:b/>
      <w:bCs/>
    </w:rPr>
  </w:style>
  <w:style w:type="character" w:styleId="SubtleReference">
    <w:name w:val="Subtle Reference"/>
    <w:uiPriority w:val="31"/>
    <w:qFormat/>
    <w:rsid w:val="004F01E7"/>
    <w:rPr>
      <w:smallCaps/>
    </w:rPr>
  </w:style>
  <w:style w:type="character" w:styleId="IntenseReference">
    <w:name w:val="Intense Reference"/>
    <w:uiPriority w:val="32"/>
    <w:qFormat/>
    <w:rsid w:val="004F01E7"/>
    <w:rPr>
      <w:smallCaps/>
      <w:spacing w:val="5"/>
      <w:u w:val="single"/>
    </w:rPr>
  </w:style>
  <w:style w:type="character" w:styleId="BookTitle">
    <w:name w:val="Book Title"/>
    <w:uiPriority w:val="33"/>
    <w:qFormat/>
    <w:rsid w:val="004F01E7"/>
    <w:rPr>
      <w:i/>
      <w:iCs/>
      <w:smallCaps/>
      <w:spacing w:val="5"/>
    </w:rPr>
  </w:style>
  <w:style w:type="paragraph" w:styleId="TOCHeading">
    <w:name w:val="TOC Heading"/>
    <w:basedOn w:val="Heading1"/>
    <w:next w:val="Normal"/>
    <w:uiPriority w:val="39"/>
    <w:semiHidden/>
    <w:unhideWhenUsed/>
    <w:qFormat/>
    <w:rsid w:val="004F01E7"/>
    <w:pPr>
      <w:outlineLvl w:val="9"/>
    </w:pPr>
    <w:rPr>
      <w:lang w:bidi="en-US"/>
    </w:rPr>
  </w:style>
  <w:style w:type="paragraph" w:styleId="Header">
    <w:name w:val="header"/>
    <w:basedOn w:val="Normal"/>
    <w:link w:val="HeaderChar"/>
    <w:uiPriority w:val="99"/>
    <w:unhideWhenUsed/>
    <w:rsid w:val="009A24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4EA"/>
  </w:style>
  <w:style w:type="paragraph" w:styleId="Footer">
    <w:name w:val="footer"/>
    <w:basedOn w:val="Normal"/>
    <w:link w:val="FooterChar"/>
    <w:uiPriority w:val="99"/>
    <w:unhideWhenUsed/>
    <w:rsid w:val="009A24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4EA"/>
  </w:style>
  <w:style w:type="paragraph" w:styleId="BalloonText">
    <w:name w:val="Balloon Text"/>
    <w:basedOn w:val="Normal"/>
    <w:link w:val="BalloonTextChar"/>
    <w:uiPriority w:val="99"/>
    <w:semiHidden/>
    <w:unhideWhenUsed/>
    <w:rsid w:val="005A2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81B"/>
    <w:rPr>
      <w:rFonts w:ascii="Tahoma" w:hAnsi="Tahoma" w:cs="Tahoma"/>
      <w:sz w:val="16"/>
      <w:szCs w:val="16"/>
    </w:rPr>
  </w:style>
  <w:style w:type="table" w:styleId="TableGrid">
    <w:name w:val="Table Grid"/>
    <w:basedOn w:val="TableNormal"/>
    <w:uiPriority w:val="59"/>
    <w:rsid w:val="00EF6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F01E7"/>
    <w:pPr>
      <w:spacing w:line="240" w:lineRule="auto"/>
      <w:jc w:val="left"/>
    </w:pPr>
    <w:rPr>
      <w:rFonts w:asciiTheme="majorHAnsi" w:hAnsiTheme="majorHAnsi"/>
      <w:b/>
      <w:bCs/>
      <w:color w:val="000000" w:themeColor="text1"/>
      <w:sz w:val="20"/>
      <w:szCs w:val="18"/>
    </w:rPr>
  </w:style>
  <w:style w:type="paragraph" w:styleId="FootnoteText">
    <w:name w:val="footnote text"/>
    <w:basedOn w:val="Normal"/>
    <w:link w:val="FootnoteTextChar"/>
    <w:semiHidden/>
    <w:unhideWhenUsed/>
    <w:rsid w:val="005C7AA5"/>
    <w:pPr>
      <w:spacing w:after="0" w:line="240" w:lineRule="auto"/>
    </w:pPr>
    <w:rPr>
      <w:sz w:val="20"/>
      <w:szCs w:val="20"/>
    </w:rPr>
  </w:style>
  <w:style w:type="character" w:customStyle="1" w:styleId="FootnoteTextChar">
    <w:name w:val="Footnote Text Char"/>
    <w:basedOn w:val="DefaultParagraphFont"/>
    <w:link w:val="FootnoteText"/>
    <w:semiHidden/>
    <w:rsid w:val="005C7AA5"/>
    <w:rPr>
      <w:sz w:val="20"/>
      <w:szCs w:val="20"/>
    </w:rPr>
  </w:style>
  <w:style w:type="character" w:styleId="FootnoteReference">
    <w:name w:val="footnote reference"/>
    <w:basedOn w:val="DefaultParagraphFont"/>
    <w:semiHidden/>
    <w:unhideWhenUsed/>
    <w:rsid w:val="005C7AA5"/>
    <w:rPr>
      <w:vertAlign w:val="superscript"/>
    </w:rPr>
  </w:style>
  <w:style w:type="character" w:styleId="Hyperlink">
    <w:name w:val="Hyperlink"/>
    <w:basedOn w:val="DefaultParagraphFont"/>
    <w:uiPriority w:val="99"/>
    <w:unhideWhenUsed/>
    <w:rsid w:val="00337892"/>
    <w:rPr>
      <w:color w:val="0000FF" w:themeColor="hyperlink"/>
      <w:u w:val="single"/>
    </w:rPr>
  </w:style>
  <w:style w:type="character" w:styleId="UnresolvedMention">
    <w:name w:val="Unresolved Mention"/>
    <w:basedOn w:val="DefaultParagraphFont"/>
    <w:uiPriority w:val="99"/>
    <w:semiHidden/>
    <w:unhideWhenUsed/>
    <w:rsid w:val="00337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510266">
      <w:bodyDiv w:val="1"/>
      <w:marLeft w:val="0"/>
      <w:marRight w:val="0"/>
      <w:marTop w:val="0"/>
      <w:marBottom w:val="0"/>
      <w:divBdr>
        <w:top w:val="none" w:sz="0" w:space="0" w:color="auto"/>
        <w:left w:val="none" w:sz="0" w:space="0" w:color="auto"/>
        <w:bottom w:val="none" w:sz="0" w:space="0" w:color="auto"/>
        <w:right w:val="none" w:sz="0" w:space="0" w:color="auto"/>
      </w:divBdr>
    </w:div>
    <w:div w:id="173705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Documents\EMF%20Services%20report%20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E0713-9BEA-4713-B330-8C9A3B11D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EMF Services report v3</Template>
  <TotalTime>1</TotalTime>
  <Pages>15</Pages>
  <Words>3298</Words>
  <Characters>18802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Exposures to radiofrequency fields near 5G cellsites</dc:title>
  <dc:creator>Martin gledhill</dc:creator>
  <cp:lastModifiedBy>Allan Potter</cp:lastModifiedBy>
  <cp:revision>2</cp:revision>
  <cp:lastPrinted>2013-03-25T01:24:00Z</cp:lastPrinted>
  <dcterms:created xsi:type="dcterms:W3CDTF">2020-05-05T23:51:00Z</dcterms:created>
  <dcterms:modified xsi:type="dcterms:W3CDTF">2020-05-05T23:51:00Z</dcterms:modified>
</cp:coreProperties>
</file>