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0B010" w14:textId="77777777" w:rsidR="00C86248" w:rsidRPr="00434299" w:rsidRDefault="000E3A2E" w:rsidP="00926083">
      <w:pPr>
        <w:pStyle w:val="Title"/>
        <w:rPr>
          <w:color w:val="000000" w:themeColor="text1"/>
        </w:rPr>
      </w:pPr>
      <w:r>
        <w:t>D</w:t>
      </w:r>
      <w:r w:rsidRPr="000E3A2E">
        <w:rPr>
          <w:color w:val="000000" w:themeColor="text1"/>
        </w:rPr>
        <w:t>iagnosis and Management of Endometriosis in New Zealand</w:t>
      </w:r>
    </w:p>
    <w:p w14:paraId="180ECD57" w14:textId="77777777" w:rsidR="00C05132" w:rsidRPr="00434299" w:rsidRDefault="00C05132" w:rsidP="00A06BE4">
      <w:pPr>
        <w:rPr>
          <w:color w:val="000000" w:themeColor="text1"/>
        </w:rPr>
      </w:pPr>
    </w:p>
    <w:p w14:paraId="0AE838A2" w14:textId="77777777" w:rsidR="00142954" w:rsidRPr="00434299" w:rsidRDefault="00142954" w:rsidP="00142954">
      <w:pPr>
        <w:rPr>
          <w:color w:val="000000" w:themeColor="text1"/>
        </w:rPr>
        <w:sectPr w:rsidR="00142954" w:rsidRPr="00434299" w:rsidSect="005A79E5">
          <w:headerReference w:type="default" r:id="rId12"/>
          <w:footerReference w:type="default" r:id="rId13"/>
          <w:pgSz w:w="11907" w:h="16834" w:code="9"/>
          <w:pgMar w:top="5670" w:right="1134" w:bottom="1134" w:left="1134" w:header="567" w:footer="851" w:gutter="0"/>
          <w:pgNumType w:start="1"/>
          <w:cols w:space="720"/>
        </w:sectPr>
      </w:pPr>
    </w:p>
    <w:p w14:paraId="09D150E8" w14:textId="06092D79" w:rsidR="0086301C" w:rsidRDefault="0086301C">
      <w:pPr>
        <w:pStyle w:val="Imprint"/>
        <w:rPr>
          <w:rFonts w:cs="Segoe UI"/>
          <w:color w:val="000000" w:themeColor="text1"/>
        </w:rPr>
      </w:pPr>
      <w:r w:rsidRPr="0086301C">
        <w:rPr>
          <w:rFonts w:cs="Segoe UI"/>
          <w:color w:val="000000" w:themeColor="text1"/>
        </w:rPr>
        <w:lastRenderedPageBreak/>
        <w:t>Citation: Ministry of Health. 20</w:t>
      </w:r>
      <w:r w:rsidR="000E3A2E">
        <w:rPr>
          <w:rFonts w:cs="Segoe UI"/>
          <w:color w:val="000000" w:themeColor="text1"/>
        </w:rPr>
        <w:t>20</w:t>
      </w:r>
      <w:r w:rsidRPr="0086301C">
        <w:rPr>
          <w:rFonts w:cs="Segoe UI"/>
          <w:color w:val="000000" w:themeColor="text1"/>
        </w:rPr>
        <w:t xml:space="preserve">. </w:t>
      </w:r>
      <w:r w:rsidR="000E3A2E" w:rsidRPr="000E3A2E">
        <w:rPr>
          <w:rFonts w:cs="Segoe UI"/>
          <w:i/>
          <w:color w:val="000000" w:themeColor="text1"/>
        </w:rPr>
        <w:t>Diagnosis and Management of Endometriosis in New Zealand</w:t>
      </w:r>
      <w:r w:rsidRPr="0086301C">
        <w:rPr>
          <w:rFonts w:cs="Segoe UI"/>
          <w:color w:val="000000" w:themeColor="text1"/>
        </w:rPr>
        <w:t>. Wellington: Ministry of Health.</w:t>
      </w:r>
    </w:p>
    <w:p w14:paraId="3E1994A5" w14:textId="29FFF8C4" w:rsidR="00C86248" w:rsidRPr="00434299" w:rsidRDefault="00C86248">
      <w:pPr>
        <w:pStyle w:val="Imprint"/>
        <w:rPr>
          <w:color w:val="000000" w:themeColor="text1"/>
        </w:rPr>
      </w:pPr>
      <w:r w:rsidRPr="00434299">
        <w:rPr>
          <w:color w:val="000000" w:themeColor="text1"/>
        </w:rPr>
        <w:t xml:space="preserve">Published in </w:t>
      </w:r>
      <w:r w:rsidR="007A2547">
        <w:rPr>
          <w:color w:val="000000" w:themeColor="text1"/>
        </w:rPr>
        <w:t>March</w:t>
      </w:r>
      <w:r w:rsidR="00CF322B" w:rsidRPr="00434299">
        <w:rPr>
          <w:color w:val="000000" w:themeColor="text1"/>
        </w:rPr>
        <w:t xml:space="preserve"> </w:t>
      </w:r>
      <w:r w:rsidR="00F6065C" w:rsidRPr="00434299">
        <w:rPr>
          <w:color w:val="000000" w:themeColor="text1"/>
        </w:rPr>
        <w:t>20</w:t>
      </w:r>
      <w:r w:rsidR="000E3A2E">
        <w:rPr>
          <w:color w:val="000000" w:themeColor="text1"/>
        </w:rPr>
        <w:t>20</w:t>
      </w:r>
      <w:r w:rsidR="00F6065C" w:rsidRPr="00434299">
        <w:rPr>
          <w:color w:val="000000" w:themeColor="text1"/>
        </w:rPr>
        <w:t xml:space="preserve"> </w:t>
      </w:r>
      <w:r w:rsidRPr="00434299">
        <w:rPr>
          <w:color w:val="000000" w:themeColor="text1"/>
        </w:rPr>
        <w:t>by the</w:t>
      </w:r>
      <w:r w:rsidR="00442C1C" w:rsidRPr="00434299">
        <w:rPr>
          <w:color w:val="000000" w:themeColor="text1"/>
        </w:rPr>
        <w:t xml:space="preserve"> </w:t>
      </w:r>
      <w:r w:rsidRPr="00434299">
        <w:rPr>
          <w:color w:val="000000" w:themeColor="text1"/>
        </w:rPr>
        <w:t>Ministry of Health</w:t>
      </w:r>
      <w:r w:rsidRPr="00434299">
        <w:rPr>
          <w:color w:val="000000" w:themeColor="text1"/>
        </w:rPr>
        <w:br/>
        <w:t>PO Box 5013, Wellington</w:t>
      </w:r>
      <w:r w:rsidR="00A80363" w:rsidRPr="00434299">
        <w:rPr>
          <w:color w:val="000000" w:themeColor="text1"/>
        </w:rPr>
        <w:t xml:space="preserve"> 614</w:t>
      </w:r>
      <w:r w:rsidR="006041F0" w:rsidRPr="00434299">
        <w:rPr>
          <w:color w:val="000000" w:themeColor="text1"/>
        </w:rPr>
        <w:t>0</w:t>
      </w:r>
      <w:r w:rsidRPr="00434299">
        <w:rPr>
          <w:color w:val="000000" w:themeColor="text1"/>
        </w:rPr>
        <w:t xml:space="preserve">, </w:t>
      </w:r>
      <w:r w:rsidR="00571223" w:rsidRPr="00434299">
        <w:rPr>
          <w:color w:val="000000" w:themeColor="text1"/>
        </w:rPr>
        <w:t>New Zealand</w:t>
      </w:r>
    </w:p>
    <w:p w14:paraId="766858E7" w14:textId="0B752CAC" w:rsidR="00082CD6" w:rsidRPr="00434299" w:rsidRDefault="00D863D0" w:rsidP="00082CD6">
      <w:pPr>
        <w:pStyle w:val="Imprint"/>
        <w:rPr>
          <w:color w:val="000000" w:themeColor="text1"/>
        </w:rPr>
      </w:pPr>
      <w:r w:rsidRPr="007F368B">
        <w:rPr>
          <w:color w:val="000000" w:themeColor="text1"/>
        </w:rPr>
        <w:t>ISBN</w:t>
      </w:r>
      <w:r w:rsidR="00442C1C" w:rsidRPr="007F368B">
        <w:rPr>
          <w:color w:val="000000" w:themeColor="text1"/>
        </w:rPr>
        <w:t xml:space="preserve"> </w:t>
      </w:r>
      <w:r w:rsidR="007A2547" w:rsidRPr="007A2547">
        <w:rPr>
          <w:color w:val="000000" w:themeColor="text1"/>
        </w:rPr>
        <w:t>978-1-98-859772-0</w:t>
      </w:r>
      <w:r w:rsidR="007A2547" w:rsidRPr="007F368B">
        <w:rPr>
          <w:color w:val="000000" w:themeColor="text1"/>
        </w:rPr>
        <w:t xml:space="preserve"> </w:t>
      </w:r>
      <w:r w:rsidRPr="007F368B">
        <w:rPr>
          <w:color w:val="000000" w:themeColor="text1"/>
        </w:rPr>
        <w:t>(</w:t>
      </w:r>
      <w:r w:rsidR="00442C1C" w:rsidRPr="007F368B">
        <w:rPr>
          <w:color w:val="000000" w:themeColor="text1"/>
        </w:rPr>
        <w:t>online</w:t>
      </w:r>
      <w:r w:rsidRPr="007F368B">
        <w:rPr>
          <w:color w:val="000000" w:themeColor="text1"/>
        </w:rPr>
        <w:t>)</w:t>
      </w:r>
      <w:r w:rsidR="00082CD6" w:rsidRPr="007F368B">
        <w:rPr>
          <w:color w:val="000000" w:themeColor="text1"/>
        </w:rPr>
        <w:br/>
        <w:t xml:space="preserve">HP </w:t>
      </w:r>
      <w:r w:rsidR="007A2547">
        <w:rPr>
          <w:color w:val="000000" w:themeColor="text1"/>
        </w:rPr>
        <w:t>7347</w:t>
      </w:r>
    </w:p>
    <w:p w14:paraId="1C278364" w14:textId="77777777" w:rsidR="00C86248" w:rsidRPr="00434299" w:rsidRDefault="008C64C4" w:rsidP="00A63DFF">
      <w:pPr>
        <w:rPr>
          <w:color w:val="000000" w:themeColor="text1"/>
        </w:rPr>
      </w:pPr>
      <w:r w:rsidRPr="00434299">
        <w:rPr>
          <w:noProof/>
          <w:color w:val="000000" w:themeColor="text1"/>
          <w:lang w:eastAsia="en-NZ"/>
        </w:rPr>
        <w:drawing>
          <wp:inline distT="0" distB="0" distL="0" distR="0" wp14:anchorId="25BC4DEB" wp14:editId="4405E93E">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32E85557" w14:textId="77777777" w:rsidR="00A63DFF" w:rsidRPr="00434299" w:rsidRDefault="00A63DFF" w:rsidP="00A63DFF">
      <w:pPr>
        <w:pStyle w:val="Imprint"/>
        <w:spacing w:before="240" w:after="480"/>
        <w:rPr>
          <w:color w:val="000000" w:themeColor="text1"/>
        </w:rPr>
      </w:pPr>
      <w:r w:rsidRPr="00434299">
        <w:rPr>
          <w:color w:val="000000" w:themeColor="text1"/>
        </w:rP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D15FDE" w:rsidRPr="00434299" w14:paraId="4FA654F6" w14:textId="77777777" w:rsidTr="00A63DFF">
        <w:trPr>
          <w:cantSplit/>
        </w:trPr>
        <w:tc>
          <w:tcPr>
            <w:tcW w:w="1526" w:type="dxa"/>
          </w:tcPr>
          <w:p w14:paraId="161EC56C" w14:textId="77777777" w:rsidR="00A63DFF" w:rsidRPr="00434299" w:rsidRDefault="00A63DFF" w:rsidP="00A63DFF">
            <w:pPr>
              <w:rPr>
                <w:rFonts w:cs="Segoe UI"/>
                <w:color w:val="000000" w:themeColor="text1"/>
                <w:sz w:val="15"/>
                <w:szCs w:val="15"/>
              </w:rPr>
            </w:pPr>
            <w:r w:rsidRPr="00434299">
              <w:rPr>
                <w:rFonts w:cs="Segoe UI"/>
                <w:b/>
                <w:noProof/>
                <w:color w:val="000000" w:themeColor="text1"/>
                <w:sz w:val="15"/>
                <w:szCs w:val="15"/>
                <w:lang w:eastAsia="en-NZ"/>
              </w:rPr>
              <w:drawing>
                <wp:inline distT="0" distB="0" distL="0" distR="0" wp14:anchorId="31D1C432" wp14:editId="57606F61">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35887968" w14:textId="77777777" w:rsidR="00A63DFF" w:rsidRPr="00434299" w:rsidRDefault="00A63DFF" w:rsidP="00A63DFF">
            <w:pPr>
              <w:rPr>
                <w:rFonts w:cs="Segoe UI"/>
                <w:color w:val="000000" w:themeColor="text1"/>
                <w:sz w:val="15"/>
                <w:szCs w:val="15"/>
              </w:rPr>
            </w:pPr>
            <w:r w:rsidRPr="00434299">
              <w:rPr>
                <w:rFonts w:cs="Segoe UI"/>
                <w:color w:val="000000" w:themeColor="text1"/>
                <w:sz w:val="15"/>
                <w:szCs w:val="15"/>
              </w:rPr>
              <w:t xml:space="preserve">This work is licensed under the Creative Commons Attribution 4.0 International licence. In essence, </w:t>
            </w:r>
            <w:r w:rsidRPr="00434299">
              <w:rPr>
                <w:rFonts w:cs="Segoe UI"/>
                <w:bCs/>
                <w:color w:val="000000" w:themeColor="text1"/>
                <w:sz w:val="15"/>
                <w:szCs w:val="15"/>
              </w:rPr>
              <w:t xml:space="preserve">you are free to: </w:t>
            </w:r>
            <w:r w:rsidRPr="00434299">
              <w:rPr>
                <w:rFonts w:cs="Segoe UI"/>
                <w:color w:val="000000" w:themeColor="text1"/>
                <w:sz w:val="15"/>
                <w:szCs w:val="15"/>
              </w:rPr>
              <w:t xml:space="preserve">share ie, copy and redistribute the material in any medium or format; adapt ie, remix, transform and build upon the material. </w:t>
            </w:r>
            <w:r w:rsidRPr="00434299">
              <w:rPr>
                <w:rFonts w:cs="Segoe UI"/>
                <w:bCs/>
                <w:color w:val="000000" w:themeColor="text1"/>
                <w:sz w:val="15"/>
                <w:szCs w:val="15"/>
              </w:rPr>
              <w:t>You must give appropriate credit, provide a link to the licence and indicate if changes were made.</w:t>
            </w:r>
          </w:p>
        </w:tc>
      </w:tr>
    </w:tbl>
    <w:p w14:paraId="3B163477" w14:textId="77777777" w:rsidR="007E74F1" w:rsidRPr="00434299" w:rsidRDefault="007E74F1" w:rsidP="00A63DFF">
      <w:pPr>
        <w:rPr>
          <w:color w:val="000000" w:themeColor="text1"/>
        </w:rPr>
      </w:pPr>
    </w:p>
    <w:p w14:paraId="5DE77D90" w14:textId="77777777" w:rsidR="00C86248" w:rsidRPr="00434299" w:rsidRDefault="00C86248">
      <w:pPr>
        <w:jc w:val="center"/>
        <w:rPr>
          <w:color w:val="000000" w:themeColor="text1"/>
        </w:rPr>
        <w:sectPr w:rsidR="00C86248" w:rsidRPr="00434299" w:rsidSect="00C05132">
          <w:footerReference w:type="even" r:id="rId16"/>
          <w:footerReference w:type="default" r:id="rId17"/>
          <w:pgSz w:w="11907" w:h="16834" w:code="9"/>
          <w:pgMar w:top="1701" w:right="2268" w:bottom="1134" w:left="2268" w:header="0" w:footer="0" w:gutter="0"/>
          <w:cols w:space="720"/>
          <w:vAlign w:val="bottom"/>
        </w:sectPr>
      </w:pPr>
    </w:p>
    <w:p w14:paraId="14C8F055" w14:textId="77777777" w:rsidR="00C86248" w:rsidRPr="005026EE" w:rsidRDefault="00C86248" w:rsidP="00EB06C1">
      <w:pPr>
        <w:pStyle w:val="IntroHead"/>
        <w:keepNext/>
        <w:pageBreakBefore w:val="0"/>
      </w:pPr>
      <w:bookmarkStart w:id="0" w:name="_Toc405792991"/>
      <w:bookmarkStart w:id="1" w:name="_Toc405793224"/>
      <w:r w:rsidRPr="00EB06C1">
        <w:lastRenderedPageBreak/>
        <w:t>Contents</w:t>
      </w:r>
      <w:bookmarkEnd w:id="0"/>
      <w:bookmarkEnd w:id="1"/>
    </w:p>
    <w:bookmarkStart w:id="2" w:name="_bookmark4"/>
    <w:bookmarkStart w:id="3" w:name="_Toc33613142"/>
    <w:bookmarkEnd w:id="2"/>
    <w:p w14:paraId="4B5D5041" w14:textId="584BE1A3" w:rsidR="007A2547" w:rsidRDefault="007A2547">
      <w:pPr>
        <w:pStyle w:val="TOC1"/>
        <w:rPr>
          <w:rFonts w:asciiTheme="minorHAnsi" w:eastAsiaTheme="minorEastAsia" w:hAnsiTheme="minorHAnsi" w:cstheme="minorBidi"/>
          <w:noProof/>
          <w:sz w:val="22"/>
          <w:szCs w:val="22"/>
          <w:lang w:eastAsia="en-NZ"/>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33785899" w:history="1">
        <w:r w:rsidRPr="005E240E">
          <w:rPr>
            <w:rStyle w:val="Hyperlink"/>
            <w:rFonts w:cs="Arial"/>
            <w:noProof/>
          </w:rPr>
          <w:t>Purpose and context</w:t>
        </w:r>
        <w:r>
          <w:rPr>
            <w:noProof/>
            <w:webHidden/>
          </w:rPr>
          <w:tab/>
        </w:r>
        <w:r>
          <w:rPr>
            <w:noProof/>
            <w:webHidden/>
          </w:rPr>
          <w:fldChar w:fldCharType="begin"/>
        </w:r>
        <w:r>
          <w:rPr>
            <w:noProof/>
            <w:webHidden/>
          </w:rPr>
          <w:instrText xml:space="preserve"> PAGEREF _Toc33785899 \h </w:instrText>
        </w:r>
        <w:r>
          <w:rPr>
            <w:noProof/>
            <w:webHidden/>
          </w:rPr>
        </w:r>
        <w:r>
          <w:rPr>
            <w:noProof/>
            <w:webHidden/>
          </w:rPr>
          <w:fldChar w:fldCharType="separate"/>
        </w:r>
        <w:r w:rsidR="00BD670F">
          <w:rPr>
            <w:noProof/>
            <w:webHidden/>
          </w:rPr>
          <w:t>2</w:t>
        </w:r>
        <w:r>
          <w:rPr>
            <w:noProof/>
            <w:webHidden/>
          </w:rPr>
          <w:fldChar w:fldCharType="end"/>
        </w:r>
      </w:hyperlink>
    </w:p>
    <w:p w14:paraId="55DCA341" w14:textId="63D211ED" w:rsidR="007A2547" w:rsidRDefault="00BD670F">
      <w:pPr>
        <w:pStyle w:val="TOC1"/>
        <w:rPr>
          <w:rFonts w:asciiTheme="minorHAnsi" w:eastAsiaTheme="minorEastAsia" w:hAnsiTheme="minorHAnsi" w:cstheme="minorBidi"/>
          <w:noProof/>
          <w:sz w:val="22"/>
          <w:szCs w:val="22"/>
          <w:lang w:eastAsia="en-NZ"/>
        </w:rPr>
      </w:pPr>
      <w:hyperlink w:anchor="_Toc33785900" w:history="1">
        <w:r w:rsidR="007A2547" w:rsidRPr="005E240E">
          <w:rPr>
            <w:rStyle w:val="Hyperlink"/>
            <w:noProof/>
          </w:rPr>
          <w:t>Introduction</w:t>
        </w:r>
        <w:r w:rsidR="007A2547">
          <w:rPr>
            <w:noProof/>
            <w:webHidden/>
          </w:rPr>
          <w:tab/>
        </w:r>
        <w:r w:rsidR="007A2547">
          <w:rPr>
            <w:noProof/>
            <w:webHidden/>
          </w:rPr>
          <w:fldChar w:fldCharType="begin"/>
        </w:r>
        <w:r w:rsidR="007A2547">
          <w:rPr>
            <w:noProof/>
            <w:webHidden/>
          </w:rPr>
          <w:instrText xml:space="preserve"> PAGEREF _Toc33785900 \h </w:instrText>
        </w:r>
        <w:r w:rsidR="007A2547">
          <w:rPr>
            <w:noProof/>
            <w:webHidden/>
          </w:rPr>
        </w:r>
        <w:r w:rsidR="007A2547">
          <w:rPr>
            <w:noProof/>
            <w:webHidden/>
          </w:rPr>
          <w:fldChar w:fldCharType="separate"/>
        </w:r>
        <w:r>
          <w:rPr>
            <w:noProof/>
            <w:webHidden/>
          </w:rPr>
          <w:t>3</w:t>
        </w:r>
        <w:r w:rsidR="007A2547">
          <w:rPr>
            <w:noProof/>
            <w:webHidden/>
          </w:rPr>
          <w:fldChar w:fldCharType="end"/>
        </w:r>
      </w:hyperlink>
    </w:p>
    <w:p w14:paraId="0C6FE60F" w14:textId="53E6B2FD" w:rsidR="007A2547" w:rsidRDefault="00BD670F">
      <w:pPr>
        <w:pStyle w:val="TOC1"/>
        <w:rPr>
          <w:rFonts w:asciiTheme="minorHAnsi" w:eastAsiaTheme="minorEastAsia" w:hAnsiTheme="minorHAnsi" w:cstheme="minorBidi"/>
          <w:noProof/>
          <w:sz w:val="22"/>
          <w:szCs w:val="22"/>
          <w:lang w:eastAsia="en-NZ"/>
        </w:rPr>
      </w:pPr>
      <w:hyperlink w:anchor="_Toc33785901" w:history="1">
        <w:r w:rsidR="007A2547" w:rsidRPr="005E240E">
          <w:rPr>
            <w:rStyle w:val="Hyperlink"/>
            <w:noProof/>
          </w:rPr>
          <w:t>Key principles</w:t>
        </w:r>
        <w:r w:rsidR="007A2547">
          <w:rPr>
            <w:noProof/>
            <w:webHidden/>
          </w:rPr>
          <w:tab/>
        </w:r>
        <w:r w:rsidR="007A2547">
          <w:rPr>
            <w:noProof/>
            <w:webHidden/>
          </w:rPr>
          <w:fldChar w:fldCharType="begin"/>
        </w:r>
        <w:r w:rsidR="007A2547">
          <w:rPr>
            <w:noProof/>
            <w:webHidden/>
          </w:rPr>
          <w:instrText xml:space="preserve"> PAGEREF _Toc33785901 \h </w:instrText>
        </w:r>
        <w:r w:rsidR="007A2547">
          <w:rPr>
            <w:noProof/>
            <w:webHidden/>
          </w:rPr>
        </w:r>
        <w:r w:rsidR="007A2547">
          <w:rPr>
            <w:noProof/>
            <w:webHidden/>
          </w:rPr>
          <w:fldChar w:fldCharType="separate"/>
        </w:r>
        <w:r>
          <w:rPr>
            <w:noProof/>
            <w:webHidden/>
          </w:rPr>
          <w:t>4</w:t>
        </w:r>
        <w:r w:rsidR="007A2547">
          <w:rPr>
            <w:noProof/>
            <w:webHidden/>
          </w:rPr>
          <w:fldChar w:fldCharType="end"/>
        </w:r>
      </w:hyperlink>
    </w:p>
    <w:p w14:paraId="3BD98113" w14:textId="0870C9E3" w:rsidR="007A2547" w:rsidRDefault="00BD670F">
      <w:pPr>
        <w:pStyle w:val="TOC1"/>
        <w:rPr>
          <w:rFonts w:asciiTheme="minorHAnsi" w:eastAsiaTheme="minorEastAsia" w:hAnsiTheme="minorHAnsi" w:cstheme="minorBidi"/>
          <w:noProof/>
          <w:sz w:val="22"/>
          <w:szCs w:val="22"/>
          <w:lang w:eastAsia="en-NZ"/>
        </w:rPr>
      </w:pPr>
      <w:hyperlink w:anchor="_Toc33785902" w:history="1">
        <w:r w:rsidR="007A2547" w:rsidRPr="005E240E">
          <w:rPr>
            <w:rStyle w:val="Hyperlink"/>
            <w:noProof/>
          </w:rPr>
          <w:t>Detailed principles</w:t>
        </w:r>
        <w:r w:rsidR="007A2547">
          <w:rPr>
            <w:noProof/>
            <w:webHidden/>
          </w:rPr>
          <w:tab/>
        </w:r>
        <w:r w:rsidR="007A2547">
          <w:rPr>
            <w:noProof/>
            <w:webHidden/>
          </w:rPr>
          <w:fldChar w:fldCharType="begin"/>
        </w:r>
        <w:r w:rsidR="007A2547">
          <w:rPr>
            <w:noProof/>
            <w:webHidden/>
          </w:rPr>
          <w:instrText xml:space="preserve"> PAGEREF _Toc33785902 \h </w:instrText>
        </w:r>
        <w:r w:rsidR="007A2547">
          <w:rPr>
            <w:noProof/>
            <w:webHidden/>
          </w:rPr>
        </w:r>
        <w:r w:rsidR="007A2547">
          <w:rPr>
            <w:noProof/>
            <w:webHidden/>
          </w:rPr>
          <w:fldChar w:fldCharType="separate"/>
        </w:r>
        <w:r>
          <w:rPr>
            <w:noProof/>
            <w:webHidden/>
          </w:rPr>
          <w:t>5</w:t>
        </w:r>
        <w:r w:rsidR="007A2547">
          <w:rPr>
            <w:noProof/>
            <w:webHidden/>
          </w:rPr>
          <w:fldChar w:fldCharType="end"/>
        </w:r>
      </w:hyperlink>
    </w:p>
    <w:p w14:paraId="22399583" w14:textId="4623BCC6" w:rsidR="007A2547" w:rsidRDefault="00BD670F">
      <w:pPr>
        <w:pStyle w:val="TOC2"/>
        <w:rPr>
          <w:rFonts w:asciiTheme="minorHAnsi" w:eastAsiaTheme="minorEastAsia" w:hAnsiTheme="minorHAnsi" w:cstheme="minorBidi"/>
          <w:noProof/>
          <w:szCs w:val="22"/>
          <w:lang w:eastAsia="en-NZ"/>
        </w:rPr>
      </w:pPr>
      <w:hyperlink w:anchor="_Toc33785903" w:history="1">
        <w:r w:rsidR="007A2547" w:rsidRPr="005E240E">
          <w:rPr>
            <w:rStyle w:val="Hyperlink"/>
            <w:noProof/>
          </w:rPr>
          <w:t>Endometriosis symptoms and signs</w:t>
        </w:r>
        <w:r w:rsidR="007A2547">
          <w:rPr>
            <w:noProof/>
            <w:webHidden/>
          </w:rPr>
          <w:tab/>
        </w:r>
        <w:r w:rsidR="007A2547">
          <w:rPr>
            <w:noProof/>
            <w:webHidden/>
          </w:rPr>
          <w:fldChar w:fldCharType="begin"/>
        </w:r>
        <w:r w:rsidR="007A2547">
          <w:rPr>
            <w:noProof/>
            <w:webHidden/>
          </w:rPr>
          <w:instrText xml:space="preserve"> PAGEREF _Toc33785903 \h </w:instrText>
        </w:r>
        <w:r w:rsidR="007A2547">
          <w:rPr>
            <w:noProof/>
            <w:webHidden/>
          </w:rPr>
        </w:r>
        <w:r w:rsidR="007A2547">
          <w:rPr>
            <w:noProof/>
            <w:webHidden/>
          </w:rPr>
          <w:fldChar w:fldCharType="separate"/>
        </w:r>
        <w:r>
          <w:rPr>
            <w:noProof/>
            <w:webHidden/>
          </w:rPr>
          <w:t>5</w:t>
        </w:r>
        <w:r w:rsidR="007A2547">
          <w:rPr>
            <w:noProof/>
            <w:webHidden/>
          </w:rPr>
          <w:fldChar w:fldCharType="end"/>
        </w:r>
      </w:hyperlink>
    </w:p>
    <w:p w14:paraId="162993BD" w14:textId="02CD71E1" w:rsidR="007A2547" w:rsidRDefault="00BD670F">
      <w:pPr>
        <w:pStyle w:val="TOC2"/>
        <w:rPr>
          <w:rFonts w:asciiTheme="minorHAnsi" w:eastAsiaTheme="minorEastAsia" w:hAnsiTheme="minorHAnsi" w:cstheme="minorBidi"/>
          <w:noProof/>
          <w:szCs w:val="22"/>
          <w:lang w:eastAsia="en-NZ"/>
        </w:rPr>
      </w:pPr>
      <w:hyperlink w:anchor="_Toc33785904" w:history="1">
        <w:r w:rsidR="007A2547" w:rsidRPr="005E240E">
          <w:rPr>
            <w:rStyle w:val="Hyperlink"/>
            <w:noProof/>
          </w:rPr>
          <w:t>Investigating suspected endometriosis</w:t>
        </w:r>
        <w:r w:rsidR="007A2547">
          <w:rPr>
            <w:noProof/>
            <w:webHidden/>
          </w:rPr>
          <w:tab/>
        </w:r>
        <w:r w:rsidR="007A2547">
          <w:rPr>
            <w:noProof/>
            <w:webHidden/>
          </w:rPr>
          <w:fldChar w:fldCharType="begin"/>
        </w:r>
        <w:r w:rsidR="007A2547">
          <w:rPr>
            <w:noProof/>
            <w:webHidden/>
          </w:rPr>
          <w:instrText xml:space="preserve"> PAGEREF _Toc33785904 \h </w:instrText>
        </w:r>
        <w:r w:rsidR="007A2547">
          <w:rPr>
            <w:noProof/>
            <w:webHidden/>
          </w:rPr>
        </w:r>
        <w:r w:rsidR="007A2547">
          <w:rPr>
            <w:noProof/>
            <w:webHidden/>
          </w:rPr>
          <w:fldChar w:fldCharType="separate"/>
        </w:r>
        <w:r>
          <w:rPr>
            <w:noProof/>
            <w:webHidden/>
          </w:rPr>
          <w:t>5</w:t>
        </w:r>
        <w:r w:rsidR="007A2547">
          <w:rPr>
            <w:noProof/>
            <w:webHidden/>
          </w:rPr>
          <w:fldChar w:fldCharType="end"/>
        </w:r>
      </w:hyperlink>
    </w:p>
    <w:p w14:paraId="541588A2" w14:textId="0C07B93F" w:rsidR="007A2547" w:rsidRDefault="00BD670F">
      <w:pPr>
        <w:pStyle w:val="TOC2"/>
        <w:rPr>
          <w:rFonts w:asciiTheme="minorHAnsi" w:eastAsiaTheme="minorEastAsia" w:hAnsiTheme="minorHAnsi" w:cstheme="minorBidi"/>
          <w:noProof/>
          <w:szCs w:val="22"/>
          <w:lang w:eastAsia="en-NZ"/>
        </w:rPr>
      </w:pPr>
      <w:hyperlink w:anchor="_Toc33785905" w:history="1">
        <w:r w:rsidR="007A2547" w:rsidRPr="005E240E">
          <w:rPr>
            <w:rStyle w:val="Hyperlink"/>
            <w:noProof/>
          </w:rPr>
          <w:t>Managing and treating endometriosis in p</w:t>
        </w:r>
        <w:r w:rsidR="007A2547" w:rsidRPr="005E240E">
          <w:rPr>
            <w:rStyle w:val="Hyperlink"/>
            <w:iCs/>
            <w:noProof/>
          </w:rPr>
          <w:t>rimary health care</w:t>
        </w:r>
        <w:r w:rsidR="007A2547">
          <w:rPr>
            <w:noProof/>
            <w:webHidden/>
          </w:rPr>
          <w:tab/>
        </w:r>
        <w:r w:rsidR="007A2547">
          <w:rPr>
            <w:noProof/>
            <w:webHidden/>
          </w:rPr>
          <w:fldChar w:fldCharType="begin"/>
        </w:r>
        <w:r w:rsidR="007A2547">
          <w:rPr>
            <w:noProof/>
            <w:webHidden/>
          </w:rPr>
          <w:instrText xml:space="preserve"> PAGEREF _Toc33785905 \h </w:instrText>
        </w:r>
        <w:r w:rsidR="007A2547">
          <w:rPr>
            <w:noProof/>
            <w:webHidden/>
          </w:rPr>
        </w:r>
        <w:r w:rsidR="007A2547">
          <w:rPr>
            <w:noProof/>
            <w:webHidden/>
          </w:rPr>
          <w:fldChar w:fldCharType="separate"/>
        </w:r>
        <w:r>
          <w:rPr>
            <w:noProof/>
            <w:webHidden/>
          </w:rPr>
          <w:t>6</w:t>
        </w:r>
        <w:r w:rsidR="007A2547">
          <w:rPr>
            <w:noProof/>
            <w:webHidden/>
          </w:rPr>
          <w:fldChar w:fldCharType="end"/>
        </w:r>
      </w:hyperlink>
    </w:p>
    <w:p w14:paraId="592799EC" w14:textId="69456965" w:rsidR="007A2547" w:rsidRDefault="00BD670F">
      <w:pPr>
        <w:pStyle w:val="TOC2"/>
        <w:rPr>
          <w:rFonts w:asciiTheme="minorHAnsi" w:eastAsiaTheme="minorEastAsia" w:hAnsiTheme="minorHAnsi" w:cstheme="minorBidi"/>
          <w:noProof/>
          <w:szCs w:val="22"/>
          <w:lang w:eastAsia="en-NZ"/>
        </w:rPr>
      </w:pPr>
      <w:hyperlink w:anchor="_Toc33785906" w:history="1">
        <w:r w:rsidR="007A2547" w:rsidRPr="005E240E">
          <w:rPr>
            <w:rStyle w:val="Hyperlink"/>
            <w:noProof/>
          </w:rPr>
          <w:t>Managing and treating endometriosis in secondary and tertiary health care</w:t>
        </w:r>
        <w:r w:rsidR="007A2547">
          <w:rPr>
            <w:noProof/>
            <w:webHidden/>
          </w:rPr>
          <w:tab/>
        </w:r>
        <w:r w:rsidR="007A2547">
          <w:rPr>
            <w:noProof/>
            <w:webHidden/>
          </w:rPr>
          <w:fldChar w:fldCharType="begin"/>
        </w:r>
        <w:r w:rsidR="007A2547">
          <w:rPr>
            <w:noProof/>
            <w:webHidden/>
          </w:rPr>
          <w:instrText xml:space="preserve"> PAGEREF _Toc33785906 \h </w:instrText>
        </w:r>
        <w:r w:rsidR="007A2547">
          <w:rPr>
            <w:noProof/>
            <w:webHidden/>
          </w:rPr>
        </w:r>
        <w:r w:rsidR="007A2547">
          <w:rPr>
            <w:noProof/>
            <w:webHidden/>
          </w:rPr>
          <w:fldChar w:fldCharType="separate"/>
        </w:r>
        <w:r>
          <w:rPr>
            <w:noProof/>
            <w:webHidden/>
          </w:rPr>
          <w:t>7</w:t>
        </w:r>
        <w:r w:rsidR="007A2547">
          <w:rPr>
            <w:noProof/>
            <w:webHidden/>
          </w:rPr>
          <w:fldChar w:fldCharType="end"/>
        </w:r>
      </w:hyperlink>
    </w:p>
    <w:p w14:paraId="5F48E23A" w14:textId="598446E5" w:rsidR="007A2547" w:rsidRDefault="00BD670F">
      <w:pPr>
        <w:pStyle w:val="TOC1"/>
        <w:rPr>
          <w:rFonts w:asciiTheme="minorHAnsi" w:eastAsiaTheme="minorEastAsia" w:hAnsiTheme="minorHAnsi" w:cstheme="minorBidi"/>
          <w:noProof/>
          <w:sz w:val="22"/>
          <w:szCs w:val="22"/>
          <w:lang w:eastAsia="en-NZ"/>
        </w:rPr>
      </w:pPr>
      <w:hyperlink w:anchor="_Toc33785907" w:history="1">
        <w:r w:rsidR="007A2547" w:rsidRPr="005E240E">
          <w:rPr>
            <w:rStyle w:val="Hyperlink"/>
            <w:noProof/>
          </w:rPr>
          <w:t>Appendix 1: Recommendation for exogenous hormone therapy for patients with suspected endometriosis</w:t>
        </w:r>
        <w:r w:rsidR="007A2547">
          <w:rPr>
            <w:noProof/>
            <w:webHidden/>
          </w:rPr>
          <w:tab/>
        </w:r>
        <w:r w:rsidR="007A2547">
          <w:rPr>
            <w:noProof/>
            <w:webHidden/>
          </w:rPr>
          <w:fldChar w:fldCharType="begin"/>
        </w:r>
        <w:r w:rsidR="007A2547">
          <w:rPr>
            <w:noProof/>
            <w:webHidden/>
          </w:rPr>
          <w:instrText xml:space="preserve"> PAGEREF _Toc33785907 \h </w:instrText>
        </w:r>
        <w:r w:rsidR="007A2547">
          <w:rPr>
            <w:noProof/>
            <w:webHidden/>
          </w:rPr>
        </w:r>
        <w:r w:rsidR="007A2547">
          <w:rPr>
            <w:noProof/>
            <w:webHidden/>
          </w:rPr>
          <w:fldChar w:fldCharType="separate"/>
        </w:r>
        <w:r>
          <w:rPr>
            <w:noProof/>
            <w:webHidden/>
          </w:rPr>
          <w:t>9</w:t>
        </w:r>
        <w:r w:rsidR="007A2547">
          <w:rPr>
            <w:noProof/>
            <w:webHidden/>
          </w:rPr>
          <w:fldChar w:fldCharType="end"/>
        </w:r>
      </w:hyperlink>
    </w:p>
    <w:p w14:paraId="0A1BAFB4" w14:textId="282F61A8" w:rsidR="007A2547" w:rsidRDefault="00BD670F">
      <w:pPr>
        <w:pStyle w:val="TOC2"/>
        <w:rPr>
          <w:rFonts w:asciiTheme="minorHAnsi" w:eastAsiaTheme="minorEastAsia" w:hAnsiTheme="minorHAnsi" w:cstheme="minorBidi"/>
          <w:noProof/>
          <w:szCs w:val="22"/>
          <w:lang w:eastAsia="en-NZ"/>
        </w:rPr>
      </w:pPr>
      <w:hyperlink r:id="rId18" w:anchor="_Toc33785908" w:history="1">
        <w:r w:rsidR="007A2547" w:rsidRPr="005E240E">
          <w:rPr>
            <w:rStyle w:val="Hyperlink"/>
            <w:noProof/>
          </w:rPr>
          <w:t>Practical points for using progestins</w:t>
        </w:r>
        <w:r w:rsidR="007A2547">
          <w:rPr>
            <w:noProof/>
            <w:webHidden/>
          </w:rPr>
          <w:tab/>
        </w:r>
        <w:r w:rsidR="007A2547">
          <w:rPr>
            <w:noProof/>
            <w:webHidden/>
          </w:rPr>
          <w:fldChar w:fldCharType="begin"/>
        </w:r>
        <w:r w:rsidR="007A2547">
          <w:rPr>
            <w:noProof/>
            <w:webHidden/>
          </w:rPr>
          <w:instrText xml:space="preserve"> PAGEREF _Toc33785908 \h </w:instrText>
        </w:r>
        <w:r w:rsidR="007A2547">
          <w:rPr>
            <w:noProof/>
            <w:webHidden/>
          </w:rPr>
        </w:r>
        <w:r w:rsidR="007A2547">
          <w:rPr>
            <w:noProof/>
            <w:webHidden/>
          </w:rPr>
          <w:fldChar w:fldCharType="separate"/>
        </w:r>
        <w:r>
          <w:rPr>
            <w:noProof/>
            <w:webHidden/>
          </w:rPr>
          <w:t>10</w:t>
        </w:r>
        <w:r w:rsidR="007A2547">
          <w:rPr>
            <w:noProof/>
            <w:webHidden/>
          </w:rPr>
          <w:fldChar w:fldCharType="end"/>
        </w:r>
      </w:hyperlink>
    </w:p>
    <w:p w14:paraId="63303DB1" w14:textId="7E9C6E44" w:rsidR="007A2547" w:rsidRDefault="00BD670F">
      <w:pPr>
        <w:pStyle w:val="TOC2"/>
        <w:rPr>
          <w:rFonts w:asciiTheme="minorHAnsi" w:eastAsiaTheme="minorEastAsia" w:hAnsiTheme="minorHAnsi" w:cstheme="minorBidi"/>
          <w:noProof/>
          <w:szCs w:val="22"/>
          <w:lang w:eastAsia="en-NZ"/>
        </w:rPr>
      </w:pPr>
      <w:hyperlink w:anchor="_Toc33785909" w:history="1">
        <w:r w:rsidR="007A2547" w:rsidRPr="005E240E">
          <w:rPr>
            <w:rStyle w:val="Hyperlink"/>
            <w:noProof/>
          </w:rPr>
          <w:t>Summary of medication options</w:t>
        </w:r>
        <w:r w:rsidR="007A2547">
          <w:rPr>
            <w:noProof/>
            <w:webHidden/>
          </w:rPr>
          <w:tab/>
        </w:r>
        <w:r w:rsidR="007A2547">
          <w:rPr>
            <w:noProof/>
            <w:webHidden/>
          </w:rPr>
          <w:fldChar w:fldCharType="begin"/>
        </w:r>
        <w:r w:rsidR="007A2547">
          <w:rPr>
            <w:noProof/>
            <w:webHidden/>
          </w:rPr>
          <w:instrText xml:space="preserve"> PAGEREF _Toc33785909 \h </w:instrText>
        </w:r>
        <w:r w:rsidR="007A2547">
          <w:rPr>
            <w:noProof/>
            <w:webHidden/>
          </w:rPr>
        </w:r>
        <w:r w:rsidR="007A2547">
          <w:rPr>
            <w:noProof/>
            <w:webHidden/>
          </w:rPr>
          <w:fldChar w:fldCharType="separate"/>
        </w:r>
        <w:r>
          <w:rPr>
            <w:noProof/>
            <w:webHidden/>
          </w:rPr>
          <w:t>11</w:t>
        </w:r>
        <w:r w:rsidR="007A2547">
          <w:rPr>
            <w:noProof/>
            <w:webHidden/>
          </w:rPr>
          <w:fldChar w:fldCharType="end"/>
        </w:r>
      </w:hyperlink>
    </w:p>
    <w:p w14:paraId="4CBB9D12" w14:textId="59C1DB1A" w:rsidR="007A2547" w:rsidRDefault="00BD670F">
      <w:pPr>
        <w:pStyle w:val="TOC2"/>
        <w:rPr>
          <w:rFonts w:asciiTheme="minorHAnsi" w:eastAsiaTheme="minorEastAsia" w:hAnsiTheme="minorHAnsi" w:cstheme="minorBidi"/>
          <w:noProof/>
          <w:szCs w:val="22"/>
          <w:lang w:eastAsia="en-NZ"/>
        </w:rPr>
      </w:pPr>
      <w:hyperlink w:anchor="_Toc33785910" w:history="1">
        <w:r w:rsidR="007A2547" w:rsidRPr="005E240E">
          <w:rPr>
            <w:rStyle w:val="Hyperlink"/>
            <w:noProof/>
          </w:rPr>
          <w:t>Preparations</w:t>
        </w:r>
        <w:r w:rsidR="007A2547">
          <w:rPr>
            <w:noProof/>
            <w:webHidden/>
          </w:rPr>
          <w:tab/>
        </w:r>
        <w:r w:rsidR="007A2547">
          <w:rPr>
            <w:noProof/>
            <w:webHidden/>
          </w:rPr>
          <w:fldChar w:fldCharType="begin"/>
        </w:r>
        <w:r w:rsidR="007A2547">
          <w:rPr>
            <w:noProof/>
            <w:webHidden/>
          </w:rPr>
          <w:instrText xml:space="preserve"> PAGEREF _Toc33785910 \h </w:instrText>
        </w:r>
        <w:r w:rsidR="007A2547">
          <w:rPr>
            <w:noProof/>
            <w:webHidden/>
          </w:rPr>
        </w:r>
        <w:r w:rsidR="007A2547">
          <w:rPr>
            <w:noProof/>
            <w:webHidden/>
          </w:rPr>
          <w:fldChar w:fldCharType="separate"/>
        </w:r>
        <w:r>
          <w:rPr>
            <w:noProof/>
            <w:webHidden/>
          </w:rPr>
          <w:t>12</w:t>
        </w:r>
        <w:r w:rsidR="007A2547">
          <w:rPr>
            <w:noProof/>
            <w:webHidden/>
          </w:rPr>
          <w:fldChar w:fldCharType="end"/>
        </w:r>
      </w:hyperlink>
    </w:p>
    <w:p w14:paraId="54859959" w14:textId="6AAA29D5" w:rsidR="007A2547" w:rsidRDefault="00BD670F">
      <w:pPr>
        <w:pStyle w:val="TOC2"/>
        <w:rPr>
          <w:rFonts w:asciiTheme="minorHAnsi" w:eastAsiaTheme="minorEastAsia" w:hAnsiTheme="minorHAnsi" w:cstheme="minorBidi"/>
          <w:noProof/>
          <w:szCs w:val="22"/>
          <w:lang w:eastAsia="en-NZ"/>
        </w:rPr>
      </w:pPr>
      <w:hyperlink w:anchor="_Toc33785911" w:history="1">
        <w:r w:rsidR="007A2547" w:rsidRPr="005E240E">
          <w:rPr>
            <w:rStyle w:val="Hyperlink"/>
            <w:noProof/>
          </w:rPr>
          <w:t>References</w:t>
        </w:r>
        <w:r w:rsidR="007A2547">
          <w:rPr>
            <w:noProof/>
            <w:webHidden/>
          </w:rPr>
          <w:tab/>
        </w:r>
        <w:r w:rsidR="007A2547">
          <w:rPr>
            <w:noProof/>
            <w:webHidden/>
          </w:rPr>
          <w:fldChar w:fldCharType="begin"/>
        </w:r>
        <w:r w:rsidR="007A2547">
          <w:rPr>
            <w:noProof/>
            <w:webHidden/>
          </w:rPr>
          <w:instrText xml:space="preserve"> PAGEREF _Toc33785911 \h </w:instrText>
        </w:r>
        <w:r w:rsidR="007A2547">
          <w:rPr>
            <w:noProof/>
            <w:webHidden/>
          </w:rPr>
        </w:r>
        <w:r w:rsidR="007A2547">
          <w:rPr>
            <w:noProof/>
            <w:webHidden/>
          </w:rPr>
          <w:fldChar w:fldCharType="separate"/>
        </w:r>
        <w:r>
          <w:rPr>
            <w:noProof/>
            <w:webHidden/>
          </w:rPr>
          <w:t>13</w:t>
        </w:r>
        <w:r w:rsidR="007A2547">
          <w:rPr>
            <w:noProof/>
            <w:webHidden/>
          </w:rPr>
          <w:fldChar w:fldCharType="end"/>
        </w:r>
      </w:hyperlink>
    </w:p>
    <w:p w14:paraId="2458D50F" w14:textId="1C977168" w:rsidR="007A2547" w:rsidRDefault="00BD670F">
      <w:pPr>
        <w:pStyle w:val="TOC1"/>
        <w:rPr>
          <w:rFonts w:asciiTheme="minorHAnsi" w:eastAsiaTheme="minorEastAsia" w:hAnsiTheme="minorHAnsi" w:cstheme="minorBidi"/>
          <w:noProof/>
          <w:sz w:val="22"/>
          <w:szCs w:val="22"/>
          <w:lang w:eastAsia="en-NZ"/>
        </w:rPr>
      </w:pPr>
      <w:hyperlink w:anchor="_Toc33785912" w:history="1">
        <w:r w:rsidR="007A2547" w:rsidRPr="005E240E">
          <w:rPr>
            <w:rStyle w:val="Hyperlink"/>
            <w:noProof/>
          </w:rPr>
          <w:t>Appendix 2: General staging of endometriosis</w:t>
        </w:r>
        <w:r w:rsidR="007A2547">
          <w:rPr>
            <w:noProof/>
            <w:webHidden/>
          </w:rPr>
          <w:tab/>
        </w:r>
        <w:r w:rsidR="007A2547">
          <w:rPr>
            <w:noProof/>
            <w:webHidden/>
          </w:rPr>
          <w:fldChar w:fldCharType="begin"/>
        </w:r>
        <w:r w:rsidR="007A2547">
          <w:rPr>
            <w:noProof/>
            <w:webHidden/>
          </w:rPr>
          <w:instrText xml:space="preserve"> PAGEREF _Toc33785912 \h </w:instrText>
        </w:r>
        <w:r w:rsidR="007A2547">
          <w:rPr>
            <w:noProof/>
            <w:webHidden/>
          </w:rPr>
        </w:r>
        <w:r w:rsidR="007A2547">
          <w:rPr>
            <w:noProof/>
            <w:webHidden/>
          </w:rPr>
          <w:fldChar w:fldCharType="separate"/>
        </w:r>
        <w:r>
          <w:rPr>
            <w:noProof/>
            <w:webHidden/>
          </w:rPr>
          <w:t>3</w:t>
        </w:r>
        <w:r w:rsidR="007A2547">
          <w:rPr>
            <w:noProof/>
            <w:webHidden/>
          </w:rPr>
          <w:fldChar w:fldCharType="end"/>
        </w:r>
      </w:hyperlink>
    </w:p>
    <w:p w14:paraId="52C8DEFD" w14:textId="441BED32" w:rsidR="000E3A2E" w:rsidRPr="00B620D2" w:rsidRDefault="007A2547" w:rsidP="000E3A2E">
      <w:pPr>
        <w:pStyle w:val="Heading1"/>
        <w:rPr>
          <w:rFonts w:cs="Arial"/>
          <w:szCs w:val="22"/>
        </w:rPr>
      </w:pPr>
      <w:r>
        <w:rPr>
          <w:rFonts w:ascii="Segoe UI Semibold" w:hAnsi="Segoe UI Semibold"/>
          <w:color w:val="000000" w:themeColor="text1"/>
          <w:spacing w:val="0"/>
          <w:sz w:val="24"/>
        </w:rPr>
        <w:lastRenderedPageBreak/>
        <w:fldChar w:fldCharType="end"/>
      </w:r>
      <w:bookmarkStart w:id="4" w:name="_Toc33785899"/>
      <w:r w:rsidR="000E3A2E" w:rsidRPr="00C8263D">
        <w:rPr>
          <w:rFonts w:cs="Arial"/>
          <w:sz w:val="56"/>
          <w:szCs w:val="56"/>
        </w:rPr>
        <w:t>Purpose and context</w:t>
      </w:r>
      <w:bookmarkEnd w:id="3"/>
      <w:bookmarkEnd w:id="4"/>
    </w:p>
    <w:p w14:paraId="7F1F749C" w14:textId="77777777" w:rsidR="000E3A2E" w:rsidRDefault="000E3A2E" w:rsidP="000E3A2E">
      <w:r>
        <w:t xml:space="preserve">This document aims to improve the diagnosis and management of endometriosis in New Zealand in primary and secondary health care through: </w:t>
      </w:r>
    </w:p>
    <w:p w14:paraId="74C989AB" w14:textId="77777777" w:rsidR="000E3A2E" w:rsidRDefault="000E3A2E" w:rsidP="000E3A2E">
      <w:pPr>
        <w:pStyle w:val="Bullet"/>
        <w:tabs>
          <w:tab w:val="num" w:pos="568"/>
        </w:tabs>
        <w:spacing w:before="120" w:line="264" w:lineRule="auto"/>
      </w:pPr>
      <w:r>
        <w:t xml:space="preserve">early recognition of symptoms suspicious of endometriosis </w:t>
      </w:r>
    </w:p>
    <w:p w14:paraId="72B34ED8" w14:textId="77777777" w:rsidR="000E3A2E" w:rsidRDefault="000E3A2E" w:rsidP="000E3A2E">
      <w:pPr>
        <w:pStyle w:val="Bullet"/>
        <w:tabs>
          <w:tab w:val="num" w:pos="568"/>
        </w:tabs>
        <w:spacing w:before="120" w:line="264" w:lineRule="auto"/>
      </w:pPr>
      <w:r>
        <w:t>empowering primary health care practitioners to make a suspected diagnosis and commence management</w:t>
      </w:r>
    </w:p>
    <w:p w14:paraId="63E499B2" w14:textId="77777777" w:rsidR="000E3A2E" w:rsidRDefault="000E3A2E" w:rsidP="000E3A2E">
      <w:pPr>
        <w:pStyle w:val="Bullet"/>
        <w:tabs>
          <w:tab w:val="num" w:pos="568"/>
        </w:tabs>
        <w:spacing w:before="120" w:line="264" w:lineRule="auto"/>
      </w:pPr>
      <w:r>
        <w:t>an appropriately trained, multidisciplinary workforce in secondary and tertiary care</w:t>
      </w:r>
    </w:p>
    <w:p w14:paraId="53E92ACA" w14:textId="77777777" w:rsidR="000E3A2E" w:rsidRDefault="000E3A2E" w:rsidP="000E3A2E">
      <w:pPr>
        <w:pStyle w:val="Bullet"/>
        <w:tabs>
          <w:tab w:val="num" w:pos="568"/>
        </w:tabs>
        <w:spacing w:before="120" w:line="264" w:lineRule="auto"/>
      </w:pPr>
      <w:r>
        <w:t>improved equity of access and health outcomes for patients.</w:t>
      </w:r>
    </w:p>
    <w:p w14:paraId="331B5B27" w14:textId="77777777" w:rsidR="000E3A2E" w:rsidRDefault="000E3A2E" w:rsidP="000E3A2E"/>
    <w:p w14:paraId="3B84C3DB" w14:textId="77777777" w:rsidR="000E3A2E" w:rsidRDefault="000E3A2E" w:rsidP="000E3A2E">
      <w:r>
        <w:t xml:space="preserve">While not a formal clinical guideline, it provides a consensus view of best-practice principles. </w:t>
      </w:r>
    </w:p>
    <w:p w14:paraId="6F5A767B" w14:textId="77777777" w:rsidR="000E3A2E" w:rsidRDefault="000E3A2E" w:rsidP="000E3A2E"/>
    <w:p w14:paraId="7C804949" w14:textId="77777777" w:rsidR="000E3A2E" w:rsidRDefault="000E3A2E" w:rsidP="000E3A2E">
      <w:r>
        <w:t xml:space="preserve">It was developed by a taskforce of representatives from the Ministry of Health, the Royal Australian and New Zealand College of Obstetricians and Gynaecologists (RANZCOG), the Royal New Zealand College of General Practitioners (RNZCGP), the Faculty of Pain Medicine of the Australian and New Zealand College of Anaesthetists (FPMANZCA), Endometriosis New Zealand and those who live with endometriosis. </w:t>
      </w:r>
    </w:p>
    <w:p w14:paraId="6088786B" w14:textId="77777777" w:rsidR="000E3A2E" w:rsidRDefault="000E3A2E" w:rsidP="000E3A2E"/>
    <w:p w14:paraId="6E80874C" w14:textId="77777777" w:rsidR="000E3A2E" w:rsidRDefault="000E3A2E" w:rsidP="000E3A2E">
      <w:r>
        <w:t>Given current variability in services across New Zealand, resource and cost implications of implementing the principles in this document have not been considered. The intention is that it will help health services and providers to identify and address barriers to best practice.</w:t>
      </w:r>
    </w:p>
    <w:p w14:paraId="53D35410" w14:textId="77777777" w:rsidR="008C2973" w:rsidRPr="00EB06C1" w:rsidRDefault="00895070" w:rsidP="000E3A2E">
      <w:pPr>
        <w:pStyle w:val="Heading1"/>
      </w:pPr>
      <w:bookmarkStart w:id="5" w:name="_Toc33785900"/>
      <w:r w:rsidRPr="00EB06C1">
        <w:lastRenderedPageBreak/>
        <w:t>Introduction</w:t>
      </w:r>
      <w:bookmarkEnd w:id="5"/>
    </w:p>
    <w:p w14:paraId="6D4CC18D" w14:textId="77777777" w:rsidR="000E3A2E" w:rsidRDefault="000E3A2E" w:rsidP="003E188A">
      <w:bookmarkStart w:id="6" w:name="_bookmark7"/>
      <w:bookmarkStart w:id="7" w:name="_Toc459381923"/>
      <w:bookmarkStart w:id="8" w:name="_Toc460302887"/>
      <w:bookmarkStart w:id="9" w:name="_Toc528588003"/>
      <w:bookmarkEnd w:id="6"/>
      <w:r w:rsidRPr="000E3A2E">
        <w:t xml:space="preserve">Endometriosis is one of the most common gynaecological conditions. It is described as ‘an inflammatory disease process, characterised by lesions of endometrial-like tissue outside the uterus that is associated with pelvic pain and/or infertility’ and deep endometriosis as ‘lesions extending deeper than 5mm under the peritoneal surface or those involving or distorting bowel, bladder, ureter or vagina’ (Johnson et al 2016). </w:t>
      </w:r>
    </w:p>
    <w:p w14:paraId="34AA32F6" w14:textId="77777777" w:rsidR="003E188A" w:rsidRPr="000E3A2E" w:rsidRDefault="003E188A" w:rsidP="003E188A"/>
    <w:p w14:paraId="0071E136" w14:textId="77777777" w:rsidR="000E3A2E" w:rsidRPr="000E3A2E" w:rsidRDefault="000E3A2E" w:rsidP="003E188A">
      <w:r w:rsidRPr="000E3A2E">
        <w:t>The cause of endometriosis is likely to be multifactorial with a high familial tendency.</w:t>
      </w:r>
    </w:p>
    <w:p w14:paraId="2BD97FED" w14:textId="77777777" w:rsidR="000E3A2E" w:rsidRDefault="000E3A2E" w:rsidP="003E188A">
      <w:r w:rsidRPr="000E3A2E">
        <w:t xml:space="preserve">Endometriosis is typically associated with symptoms such as dysmenorrhoea, pelvic pain, dyspareunia, bloating and irritable bowel syndrome (IBS), fertility delay and infertility. Some people with endometriosis may be asymptomatic. </w:t>
      </w:r>
    </w:p>
    <w:p w14:paraId="520D807D" w14:textId="77777777" w:rsidR="003E188A" w:rsidRPr="000E3A2E" w:rsidRDefault="003E188A" w:rsidP="003E188A"/>
    <w:p w14:paraId="6B071522" w14:textId="77777777" w:rsidR="000E3A2E" w:rsidRDefault="000E3A2E" w:rsidP="003E188A">
      <w:r w:rsidRPr="000E3A2E">
        <w:t>Women, girls and transgender, non-binary and gender-diverse people assigned female at birth with symptoms suspicious of endometriosis, typically present to community health services (</w:t>
      </w:r>
      <w:proofErr w:type="spellStart"/>
      <w:r w:rsidRPr="000E3A2E">
        <w:t>eg</w:t>
      </w:r>
      <w:proofErr w:type="spellEnd"/>
      <w:r w:rsidRPr="000E3A2E">
        <w:t xml:space="preserve">, emergency services, GPs, pharmacists, practice nurses, school nurses and sexual health services). They may also present or be referred to gynaecology, gastroenterology or fertility services. </w:t>
      </w:r>
    </w:p>
    <w:p w14:paraId="09C2BA15" w14:textId="77777777" w:rsidR="003E188A" w:rsidRPr="000E3A2E" w:rsidRDefault="003E188A" w:rsidP="003E188A"/>
    <w:p w14:paraId="0E696D81" w14:textId="77777777" w:rsidR="000E3A2E" w:rsidRDefault="000E3A2E" w:rsidP="003E188A">
      <w:r w:rsidRPr="000E3A2E">
        <w:t xml:space="preserve">Delayed diagnosis is a significant problem for those with endometriosis and leads to delays in appropriate management. </w:t>
      </w:r>
    </w:p>
    <w:p w14:paraId="7D9AB857" w14:textId="77777777" w:rsidR="003E188A" w:rsidRPr="000E3A2E" w:rsidRDefault="003E188A" w:rsidP="003E188A"/>
    <w:p w14:paraId="339ED093" w14:textId="77777777" w:rsidR="000E3A2E" w:rsidRDefault="000E3A2E" w:rsidP="003E188A">
      <w:r w:rsidRPr="000E3A2E">
        <w:t xml:space="preserve">A definitive diagnosis can only be made by laparoscopic visualisation and biopsy of the pelvis. Less invasive methods, including ultrasound, may also be useful to help diagnose and manage endometriosis. </w:t>
      </w:r>
    </w:p>
    <w:p w14:paraId="6EB471B0" w14:textId="77777777" w:rsidR="003E188A" w:rsidRPr="000E3A2E" w:rsidRDefault="003E188A" w:rsidP="003E188A"/>
    <w:p w14:paraId="1B7A686C" w14:textId="77777777" w:rsidR="000E3A2E" w:rsidRDefault="000E3A2E" w:rsidP="003E188A">
      <w:r w:rsidRPr="000E3A2E">
        <w:t xml:space="preserve">Even without a definitive diagnosis, early management of a patient’s symptoms is encouraged. People with endometriosis are at risk of developing persistent pain that may impact their mental health and wellbeing. Recognising symptoms and providing early effective care may reduce this risk and improve quality of life. A thorough assessment, including clinical and family history and, if appropriate, a clinical examination, greatly assist in early and timely management. </w:t>
      </w:r>
    </w:p>
    <w:p w14:paraId="4204B7E6" w14:textId="77777777" w:rsidR="003E188A" w:rsidRPr="000E3A2E" w:rsidRDefault="003E188A" w:rsidP="003E188A"/>
    <w:p w14:paraId="4A0FC307" w14:textId="77777777" w:rsidR="000E3A2E" w:rsidRDefault="000E3A2E" w:rsidP="003E188A">
      <w:r w:rsidRPr="000E3A2E">
        <w:t xml:space="preserve">Medical, surgical and allied health management options have been considered and integrated into this document. The choice of treatment at any given point will depend upon a range of factors including age, current symptoms, clinical history, extent of the disease, co-morbidities, cultural considerations, and the patient’s preferences and priorities which may include pain management and/or fertility. </w:t>
      </w:r>
    </w:p>
    <w:p w14:paraId="59B9C087" w14:textId="77777777" w:rsidR="003E188A" w:rsidRPr="000E3A2E" w:rsidRDefault="003E188A" w:rsidP="003E188A"/>
    <w:p w14:paraId="461BE4D7" w14:textId="77777777" w:rsidR="000E3A2E" w:rsidRDefault="000E3A2E" w:rsidP="003E188A">
      <w:r w:rsidRPr="000E3A2E">
        <w:t>It is also mindful of the Choosing Wisely</w:t>
      </w:r>
      <w:r w:rsidRPr="007A2547">
        <w:rPr>
          <w:rStyle w:val="FootnoteReference"/>
        </w:rPr>
        <w:footnoteReference w:id="2"/>
      </w:r>
      <w:r w:rsidRPr="007A2547">
        <w:t xml:space="preserve"> </w:t>
      </w:r>
      <w:r w:rsidRPr="000E3A2E">
        <w:t>approach that aims to avoid low value and inappropriate clinical interventions and ensure patients and health professionals have well-informed conversations about their treatment options, leading to better decisions and outcomes.</w:t>
      </w:r>
    </w:p>
    <w:p w14:paraId="3726F83A" w14:textId="2BB6A8C9" w:rsidR="00895070" w:rsidRPr="00EB06C1" w:rsidRDefault="000E3A2E" w:rsidP="00C10E24">
      <w:pPr>
        <w:pStyle w:val="Heading1"/>
      </w:pPr>
      <w:bookmarkStart w:id="10" w:name="_Toc33785901"/>
      <w:bookmarkEnd w:id="7"/>
      <w:bookmarkEnd w:id="8"/>
      <w:bookmarkEnd w:id="9"/>
      <w:r w:rsidRPr="000E3A2E">
        <w:lastRenderedPageBreak/>
        <w:t>Key principles</w:t>
      </w:r>
      <w:bookmarkEnd w:id="10"/>
    </w:p>
    <w:p w14:paraId="6D0DA707" w14:textId="77777777" w:rsidR="000E3A2E" w:rsidRDefault="000E3A2E" w:rsidP="000E3A2E">
      <w:pPr>
        <w:pStyle w:val="Bullet"/>
        <w:tabs>
          <w:tab w:val="num" w:pos="568"/>
        </w:tabs>
        <w:spacing w:before="120" w:line="264" w:lineRule="auto"/>
        <w:rPr>
          <w:rFonts w:asciiTheme="minorHAnsi" w:hAnsiTheme="minorHAnsi"/>
          <w:lang w:eastAsia="en-US"/>
        </w:rPr>
      </w:pPr>
      <w:r>
        <w:t xml:space="preserve">A clinical diagnosis and appropriate management of endometriosis can be initiated in primary health care. </w:t>
      </w:r>
    </w:p>
    <w:p w14:paraId="3FCDAF34" w14:textId="77777777" w:rsidR="000E3A2E" w:rsidRDefault="000E3A2E" w:rsidP="000E3A2E">
      <w:pPr>
        <w:pStyle w:val="Bullet"/>
        <w:tabs>
          <w:tab w:val="num" w:pos="568"/>
        </w:tabs>
        <w:spacing w:before="120" w:line="264" w:lineRule="auto"/>
      </w:pPr>
      <w:r>
        <w:t>A physical examination and an ultrasound assessment can help in forming a diagnosis; however, a normal physical examination and/or ultrasound does not exclude a diagnosis of endometriosis and, likewise, an abnormal examination or ultrasound does not confirm a diagnosis.</w:t>
      </w:r>
    </w:p>
    <w:p w14:paraId="50C73AE0" w14:textId="77777777" w:rsidR="000E3A2E" w:rsidRDefault="000E3A2E" w:rsidP="000E3A2E">
      <w:pPr>
        <w:pStyle w:val="Bullet"/>
        <w:tabs>
          <w:tab w:val="num" w:pos="568"/>
        </w:tabs>
        <w:spacing w:before="120" w:line="264" w:lineRule="auto"/>
      </w:pPr>
      <w:r>
        <w:t xml:space="preserve">Hormonal </w:t>
      </w:r>
      <w:r>
        <w:rPr>
          <w:color w:val="000000" w:themeColor="text1"/>
        </w:rPr>
        <w:t xml:space="preserve">treatments may be successful at managing symptoms and achieving amenorrhoea is appropriate for those with troubling primary dysmenorrhoea, even if it is not due to endometriosis. </w:t>
      </w:r>
    </w:p>
    <w:p w14:paraId="062A8D2D" w14:textId="77777777" w:rsidR="000E3A2E" w:rsidRDefault="000E3A2E" w:rsidP="000E3A2E">
      <w:pPr>
        <w:pStyle w:val="Bullet"/>
        <w:tabs>
          <w:tab w:val="num" w:pos="568"/>
        </w:tabs>
        <w:spacing w:before="120" w:line="264" w:lineRule="auto"/>
      </w:pPr>
      <w:r>
        <w:t xml:space="preserve">Discuss and </w:t>
      </w:r>
      <w:proofErr w:type="gramStart"/>
      <w:r>
        <w:t>take into account</w:t>
      </w:r>
      <w:proofErr w:type="gramEnd"/>
      <w:r>
        <w:t xml:space="preserve"> fertility aspirations with the patient when developing a management plan for endometriosis.</w:t>
      </w:r>
    </w:p>
    <w:p w14:paraId="2976BD1C" w14:textId="77777777" w:rsidR="000E3A2E" w:rsidRDefault="000E3A2E" w:rsidP="000E3A2E">
      <w:pPr>
        <w:pStyle w:val="Bullet"/>
        <w:tabs>
          <w:tab w:val="num" w:pos="568"/>
        </w:tabs>
        <w:spacing w:before="120" w:line="264" w:lineRule="auto"/>
      </w:pPr>
      <w:r>
        <w:t xml:space="preserve">Do not perform a laparoscopy for diagnosis only; it should only occur if there is to be surgical treatment. </w:t>
      </w:r>
    </w:p>
    <w:p w14:paraId="4B4192C5" w14:textId="77777777" w:rsidR="000E3A2E" w:rsidRDefault="000E3A2E" w:rsidP="000E3A2E">
      <w:pPr>
        <w:pStyle w:val="Bullet"/>
        <w:tabs>
          <w:tab w:val="num" w:pos="568"/>
        </w:tabs>
        <w:spacing w:before="120" w:line="264" w:lineRule="auto"/>
      </w:pPr>
      <w:r>
        <w:t>Laparoscopy should be performed by gynaecologists with surgical skills in excising endometriosis lesions.</w:t>
      </w:r>
    </w:p>
    <w:p w14:paraId="2DA860DD" w14:textId="77777777" w:rsidR="000E3A2E" w:rsidRDefault="000E3A2E" w:rsidP="000E3A2E">
      <w:pPr>
        <w:pStyle w:val="Bullet"/>
        <w:tabs>
          <w:tab w:val="num" w:pos="568"/>
        </w:tabs>
        <w:spacing w:before="120" w:line="264" w:lineRule="auto"/>
      </w:pPr>
      <w:r>
        <w:t>Consideration of surgery should balance possible benefits in terms of management of</w:t>
      </w:r>
      <w:r>
        <w:rPr>
          <w:color w:val="000000" w:themeColor="text1"/>
        </w:rPr>
        <w:t xml:space="preserve"> infertility </w:t>
      </w:r>
      <w:r>
        <w:t>and pain relief, specific risks associated with excision of different types of endometriotic lesions, stage of disease and the patient’s preference.</w:t>
      </w:r>
    </w:p>
    <w:p w14:paraId="2F98DB33" w14:textId="77777777" w:rsidR="000E3A2E" w:rsidRDefault="000E3A2E" w:rsidP="000E3A2E">
      <w:pPr>
        <w:pStyle w:val="Bullet"/>
        <w:tabs>
          <w:tab w:val="num" w:pos="568"/>
        </w:tabs>
        <w:spacing w:before="120" w:line="264" w:lineRule="auto"/>
        <w:rPr>
          <w:color w:val="000000" w:themeColor="text1"/>
        </w:rPr>
      </w:pPr>
      <w:r>
        <w:t xml:space="preserve">There must be a robust informed consent process, with comprehensive discussion with the patient on management and treatment </w:t>
      </w:r>
      <w:r>
        <w:rPr>
          <w:color w:val="000000" w:themeColor="text1"/>
        </w:rPr>
        <w:t>options, and their respective benefits and risks.</w:t>
      </w:r>
    </w:p>
    <w:p w14:paraId="161DEFFF" w14:textId="77777777" w:rsidR="000E3A2E" w:rsidRDefault="000E3A2E" w:rsidP="000E3A2E">
      <w:pPr>
        <w:pStyle w:val="Bullet"/>
        <w:tabs>
          <w:tab w:val="num" w:pos="852"/>
        </w:tabs>
        <w:spacing w:before="120" w:line="264" w:lineRule="auto"/>
        <w:rPr>
          <w:b/>
        </w:rPr>
      </w:pPr>
      <w:r>
        <w:rPr>
          <w:color w:val="000000" w:themeColor="text1"/>
        </w:rPr>
        <w:t xml:space="preserve">There is very little research on the diagnosis and treatment of endometriosis in Māori. This should be a priority. Services must be available, accessible and acceptable to Māori. </w:t>
      </w:r>
      <w:r>
        <w:rPr>
          <w:color w:val="000000" w:themeColor="text1"/>
          <w:szCs w:val="24"/>
        </w:rPr>
        <w:t xml:space="preserve">They should respect and acknowledge cultural identity and, where possible, incorporate tikanga Māori protocol. </w:t>
      </w:r>
      <w:r>
        <w:rPr>
          <w:i/>
          <w:color w:val="000000" w:themeColor="text1"/>
          <w:szCs w:val="24"/>
        </w:rPr>
        <w:t xml:space="preserve">He </w:t>
      </w:r>
      <w:r>
        <w:rPr>
          <w:i/>
          <w:szCs w:val="24"/>
        </w:rPr>
        <w:t xml:space="preserve">Korowai </w:t>
      </w:r>
      <w:proofErr w:type="spellStart"/>
      <w:r>
        <w:rPr>
          <w:i/>
          <w:szCs w:val="24"/>
        </w:rPr>
        <w:t>Oranga</w:t>
      </w:r>
      <w:proofErr w:type="spellEnd"/>
      <w:r>
        <w:rPr>
          <w:szCs w:val="24"/>
        </w:rPr>
        <w:t>, the Māori Health Strategy</w:t>
      </w:r>
      <w:r>
        <w:rPr>
          <w:rStyle w:val="FootnoteReference"/>
          <w:sz w:val="24"/>
          <w:szCs w:val="24"/>
        </w:rPr>
        <w:footnoteReference w:id="3"/>
      </w:r>
      <w:r>
        <w:rPr>
          <w:szCs w:val="24"/>
        </w:rPr>
        <w:t>, sets the overarching framework that guides the Government and health and disability sector to achieve the best outcomes for Māori.</w:t>
      </w:r>
    </w:p>
    <w:p w14:paraId="158CD385" w14:textId="77777777" w:rsidR="000E3A2E" w:rsidRDefault="000E3A2E" w:rsidP="000E3A2E">
      <w:pPr>
        <w:pStyle w:val="Bullet"/>
        <w:tabs>
          <w:tab w:val="num" w:pos="568"/>
        </w:tabs>
        <w:spacing w:before="120" w:line="264" w:lineRule="auto"/>
        <w:rPr>
          <w:color w:val="000000" w:themeColor="text1"/>
        </w:rPr>
      </w:pPr>
      <w:r>
        <w:t>Secondary care services should aim to incorporate a multidisciplinary team (MDT) approach (</w:t>
      </w:r>
      <w:proofErr w:type="spellStart"/>
      <w:r>
        <w:t>eg</w:t>
      </w:r>
      <w:proofErr w:type="spellEnd"/>
      <w:r>
        <w:t xml:space="preserve">, </w:t>
      </w:r>
      <w:r>
        <w:rPr>
          <w:color w:val="000000" w:themeColor="text1"/>
        </w:rPr>
        <w:t>gynaecology, pain management, fertility specialists, radiology, psychology, physiotherapy, dietetics, paediatrics/adolescent health) with expertise in endometriosis where possible.</w:t>
      </w:r>
    </w:p>
    <w:p w14:paraId="569B4C8A" w14:textId="77777777" w:rsidR="000E3A2E" w:rsidRDefault="000E3A2E" w:rsidP="000E3A2E">
      <w:pPr>
        <w:pStyle w:val="Bullet"/>
        <w:tabs>
          <w:tab w:val="num" w:pos="568"/>
        </w:tabs>
        <w:spacing w:before="120" w:line="264" w:lineRule="auto"/>
        <w:rPr>
          <w:b/>
        </w:rPr>
      </w:pPr>
      <w:r>
        <w:rPr>
          <w:color w:val="000000" w:themeColor="text1"/>
        </w:rPr>
        <w:t>Only a minority of people with persistent pelvic pain will have endometriosis as the sole cause</w:t>
      </w:r>
      <w:r>
        <w:t xml:space="preserve"> of their pain and surgery alone is unlikely to be sufficient to relieve their symptoms. In these </w:t>
      </w:r>
      <w:proofErr w:type="gramStart"/>
      <w:r>
        <w:t>cases</w:t>
      </w:r>
      <w:proofErr w:type="gramEnd"/>
      <w:r>
        <w:t xml:space="preserve"> a multidisciplinary approach is recommended.</w:t>
      </w:r>
    </w:p>
    <w:p w14:paraId="1ED41EF4" w14:textId="77777777" w:rsidR="00895070" w:rsidRPr="00434299" w:rsidRDefault="00895070" w:rsidP="00C10E24"/>
    <w:p w14:paraId="4AB441CB" w14:textId="77777777" w:rsidR="000E3A2E" w:rsidRDefault="000E3A2E" w:rsidP="000E3A2E">
      <w:pPr>
        <w:pStyle w:val="Heading1"/>
        <w:rPr>
          <w:rFonts w:asciiTheme="minorHAnsi" w:hAnsiTheme="minorHAnsi"/>
          <w:lang w:eastAsia="en-US"/>
        </w:rPr>
      </w:pPr>
      <w:bookmarkStart w:id="11" w:name="_Toc33613145"/>
      <w:bookmarkStart w:id="12" w:name="_Toc33785902"/>
      <w:r>
        <w:lastRenderedPageBreak/>
        <w:t>Detailed principles</w:t>
      </w:r>
      <w:bookmarkEnd w:id="11"/>
      <w:bookmarkEnd w:id="12"/>
    </w:p>
    <w:p w14:paraId="004CE9B5" w14:textId="77777777" w:rsidR="000E3A2E" w:rsidRDefault="000E3A2E" w:rsidP="000E3A2E">
      <w:pPr>
        <w:pStyle w:val="Heading2"/>
      </w:pPr>
      <w:bookmarkStart w:id="13" w:name="_Toc33613146"/>
      <w:bookmarkStart w:id="14" w:name="_Toc33785903"/>
      <w:r>
        <w:t>Endometriosis symptoms and signs</w:t>
      </w:r>
      <w:bookmarkEnd w:id="13"/>
      <w:bookmarkEnd w:id="14"/>
    </w:p>
    <w:p w14:paraId="21AE79E1" w14:textId="77777777" w:rsidR="000E3A2E" w:rsidRDefault="000E3A2E" w:rsidP="000E3A2E">
      <w:pPr>
        <w:pStyle w:val="ListParagraph"/>
        <w:numPr>
          <w:ilvl w:val="0"/>
          <w:numId w:val="18"/>
        </w:numPr>
        <w:spacing w:before="160" w:after="160" w:line="259" w:lineRule="auto"/>
        <w:ind w:left="567" w:hanging="567"/>
        <w:contextualSpacing w:val="0"/>
      </w:pPr>
      <w:r>
        <w:t xml:space="preserve">Consider endometriosis from menarche onwards for patients presenting with one or more of the following symptoms or signs: </w:t>
      </w:r>
    </w:p>
    <w:p w14:paraId="3D867E43" w14:textId="77777777" w:rsidR="000E3A2E" w:rsidRDefault="000E3A2E" w:rsidP="000E3A2E">
      <w:pPr>
        <w:pStyle w:val="Bullet"/>
        <w:numPr>
          <w:ilvl w:val="0"/>
          <w:numId w:val="22"/>
        </w:numPr>
        <w:tabs>
          <w:tab w:val="num" w:pos="1135"/>
        </w:tabs>
        <w:spacing w:before="120" w:line="264" w:lineRule="auto"/>
        <w:ind w:left="1134" w:hanging="567"/>
      </w:pPr>
      <w:r>
        <w:t>dysmenorrhoea limiting daily activities and quality of life</w:t>
      </w:r>
    </w:p>
    <w:p w14:paraId="6BA6AA2D" w14:textId="77777777" w:rsidR="000E3A2E" w:rsidRDefault="000E3A2E" w:rsidP="000E3A2E">
      <w:pPr>
        <w:pStyle w:val="Bullet"/>
        <w:numPr>
          <w:ilvl w:val="0"/>
          <w:numId w:val="22"/>
        </w:numPr>
        <w:tabs>
          <w:tab w:val="num" w:pos="1135"/>
        </w:tabs>
        <w:spacing w:before="120" w:line="264" w:lineRule="auto"/>
        <w:ind w:left="1134" w:hanging="567"/>
      </w:pPr>
      <w:r>
        <w:t>cyclical or non-cyclical pelvic pain</w:t>
      </w:r>
    </w:p>
    <w:p w14:paraId="73DB7861" w14:textId="77777777" w:rsidR="000E3A2E" w:rsidRDefault="000E3A2E" w:rsidP="000E3A2E">
      <w:pPr>
        <w:pStyle w:val="Bullet"/>
        <w:numPr>
          <w:ilvl w:val="0"/>
          <w:numId w:val="22"/>
        </w:numPr>
        <w:tabs>
          <w:tab w:val="num" w:pos="1135"/>
        </w:tabs>
        <w:spacing w:before="120" w:line="264" w:lineRule="auto"/>
        <w:ind w:left="1134" w:hanging="567"/>
      </w:pPr>
      <w:r>
        <w:t>dyspareunia (deep pain during or after sexual intercourse)</w:t>
      </w:r>
    </w:p>
    <w:p w14:paraId="45A62124" w14:textId="77777777" w:rsidR="000E3A2E" w:rsidRDefault="000E3A2E" w:rsidP="000E3A2E">
      <w:pPr>
        <w:pStyle w:val="Bullet"/>
        <w:numPr>
          <w:ilvl w:val="0"/>
          <w:numId w:val="22"/>
        </w:numPr>
        <w:tabs>
          <w:tab w:val="num" w:pos="1135"/>
        </w:tabs>
        <w:spacing w:before="120" w:line="264" w:lineRule="auto"/>
        <w:ind w:left="1134" w:hanging="567"/>
      </w:pPr>
      <w:r>
        <w:t>abdominal bloating</w:t>
      </w:r>
    </w:p>
    <w:p w14:paraId="11523E51" w14:textId="77777777" w:rsidR="000E3A2E" w:rsidRDefault="000E3A2E" w:rsidP="000E3A2E">
      <w:pPr>
        <w:pStyle w:val="Bullet"/>
        <w:numPr>
          <w:ilvl w:val="0"/>
          <w:numId w:val="22"/>
        </w:numPr>
        <w:tabs>
          <w:tab w:val="num" w:pos="1135"/>
        </w:tabs>
        <w:spacing w:before="120" w:line="264" w:lineRule="auto"/>
        <w:ind w:left="1134" w:hanging="567"/>
      </w:pPr>
      <w:r>
        <w:t xml:space="preserve">unexplained gastrointestinal symptoms, particularly when cyclical in nature and pain related to bowel movements including </w:t>
      </w:r>
      <w:proofErr w:type="spellStart"/>
      <w:r>
        <w:t>dyschezia</w:t>
      </w:r>
      <w:proofErr w:type="spellEnd"/>
    </w:p>
    <w:p w14:paraId="1B2D73E8" w14:textId="77777777" w:rsidR="000E3A2E" w:rsidRDefault="000E3A2E" w:rsidP="000E3A2E">
      <w:pPr>
        <w:pStyle w:val="Bullet"/>
        <w:numPr>
          <w:ilvl w:val="0"/>
          <w:numId w:val="22"/>
        </w:numPr>
        <w:tabs>
          <w:tab w:val="num" w:pos="1135"/>
        </w:tabs>
        <w:spacing w:before="120" w:line="264" w:lineRule="auto"/>
        <w:ind w:left="1134" w:hanging="567"/>
      </w:pPr>
      <w:r>
        <w:t>unexplained urinary symptoms, particularly when cyclical in nature</w:t>
      </w:r>
    </w:p>
    <w:p w14:paraId="39C453E3" w14:textId="77777777" w:rsidR="000E3A2E" w:rsidRDefault="000E3A2E" w:rsidP="000E3A2E">
      <w:pPr>
        <w:pStyle w:val="Bullet"/>
        <w:numPr>
          <w:ilvl w:val="0"/>
          <w:numId w:val="22"/>
        </w:numPr>
        <w:tabs>
          <w:tab w:val="num" w:pos="1135"/>
        </w:tabs>
        <w:spacing w:before="120" w:line="264" w:lineRule="auto"/>
        <w:ind w:left="1134" w:hanging="567"/>
      </w:pPr>
      <w:r>
        <w:t>sub-fertility that is otherwise unexplained.</w:t>
      </w:r>
    </w:p>
    <w:p w14:paraId="3BD305AE" w14:textId="7044FCE6" w:rsidR="000E3A2E" w:rsidRPr="00C8263D" w:rsidRDefault="000E3A2E" w:rsidP="000E3A2E">
      <w:pPr>
        <w:pStyle w:val="ListParagraph"/>
        <w:numPr>
          <w:ilvl w:val="0"/>
          <w:numId w:val="18"/>
        </w:numPr>
        <w:spacing w:before="160" w:after="160" w:line="259" w:lineRule="auto"/>
        <w:ind w:left="567" w:hanging="567"/>
        <w:contextualSpacing w:val="0"/>
      </w:pPr>
      <w:r w:rsidRPr="00C8263D">
        <w:t>Carry out a comprehensive systematic enquiry, including the wider context of the patient and their family history. The symptoms listed in 1</w:t>
      </w:r>
      <w:r w:rsidR="00E23B79">
        <w:t xml:space="preserve"> above</w:t>
      </w:r>
      <w:r w:rsidRPr="00C8263D">
        <w:t xml:space="preserve"> are not specific or limited to endometriosis so consider other diagnoses.</w:t>
      </w:r>
    </w:p>
    <w:p w14:paraId="298DB25D" w14:textId="77777777" w:rsidR="000E3A2E" w:rsidRPr="00C8263D" w:rsidRDefault="000E3A2E" w:rsidP="000E3A2E">
      <w:pPr>
        <w:pStyle w:val="ListParagraph"/>
        <w:numPr>
          <w:ilvl w:val="0"/>
          <w:numId w:val="18"/>
        </w:numPr>
        <w:spacing w:before="160" w:after="160" w:line="259" w:lineRule="auto"/>
        <w:ind w:left="567" w:hanging="567"/>
        <w:contextualSpacing w:val="0"/>
      </w:pPr>
      <w:r w:rsidRPr="00C8263D">
        <w:t xml:space="preserve">Any physical assessment should be appropriate to the patient’s age, social maturity and culture. Examine the whole patient, not just the pelvis, as there may be other contributors to symptoms. </w:t>
      </w:r>
    </w:p>
    <w:p w14:paraId="3C005E92" w14:textId="77777777" w:rsidR="000E3A2E" w:rsidRPr="00C8263D" w:rsidRDefault="000E3A2E" w:rsidP="000E3A2E">
      <w:pPr>
        <w:pStyle w:val="ListParagraph"/>
        <w:numPr>
          <w:ilvl w:val="0"/>
          <w:numId w:val="18"/>
        </w:numPr>
        <w:spacing w:before="160" w:after="160" w:line="259" w:lineRule="auto"/>
        <w:ind w:left="567" w:hanging="567"/>
        <w:contextualSpacing w:val="0"/>
      </w:pPr>
      <w:r w:rsidRPr="00C8263D">
        <w:t>For patients who have been sexually active, a speculum examination and bi-manual examination may also be appropriate.</w:t>
      </w:r>
      <w:r w:rsidR="00E23B79">
        <w:rPr>
          <w:rStyle w:val="FootnoteReference"/>
        </w:rPr>
        <w:footnoteReference w:id="4"/>
      </w:r>
    </w:p>
    <w:p w14:paraId="7538D722" w14:textId="77777777" w:rsidR="000E3A2E" w:rsidRDefault="000E3A2E" w:rsidP="000E3A2E">
      <w:pPr>
        <w:pStyle w:val="Heading2"/>
      </w:pPr>
      <w:bookmarkStart w:id="15" w:name="_Toc33613147"/>
      <w:bookmarkStart w:id="16" w:name="_Toc33785904"/>
      <w:r>
        <w:t>Investigating suspected endometriosis</w:t>
      </w:r>
      <w:bookmarkEnd w:id="15"/>
      <w:bookmarkEnd w:id="16"/>
    </w:p>
    <w:p w14:paraId="20A23A3A" w14:textId="77777777" w:rsidR="000E3A2E" w:rsidRPr="00C8263D" w:rsidRDefault="000E3A2E" w:rsidP="000E3A2E">
      <w:pPr>
        <w:pStyle w:val="ListParagraph"/>
        <w:numPr>
          <w:ilvl w:val="0"/>
          <w:numId w:val="19"/>
        </w:numPr>
        <w:spacing w:before="160" w:after="160" w:line="259" w:lineRule="auto"/>
        <w:ind w:left="567" w:hanging="567"/>
        <w:contextualSpacing w:val="0"/>
      </w:pPr>
      <w:r w:rsidRPr="00C8263D">
        <w:t>A normal physical examination and/or ultrasound does not exclude a diagnosis of endometriosis.</w:t>
      </w:r>
    </w:p>
    <w:p w14:paraId="0AA074C0" w14:textId="77777777" w:rsidR="000E3A2E" w:rsidRPr="00C8263D" w:rsidRDefault="000E3A2E" w:rsidP="000E3A2E">
      <w:pPr>
        <w:pStyle w:val="ListParagraph"/>
        <w:numPr>
          <w:ilvl w:val="0"/>
          <w:numId w:val="19"/>
        </w:numPr>
        <w:spacing w:before="160" w:after="160" w:line="259" w:lineRule="auto"/>
        <w:ind w:left="567" w:hanging="567"/>
        <w:contextualSpacing w:val="0"/>
      </w:pPr>
      <w:r w:rsidRPr="00C8263D">
        <w:t>Ultrasound</w:t>
      </w:r>
    </w:p>
    <w:p w14:paraId="48ABADA3" w14:textId="77777777" w:rsidR="000E3A2E" w:rsidRPr="00076B61" w:rsidRDefault="000E3A2E" w:rsidP="000E3A2E">
      <w:pPr>
        <w:pStyle w:val="Bullet"/>
        <w:numPr>
          <w:ilvl w:val="0"/>
          <w:numId w:val="27"/>
        </w:numPr>
        <w:spacing w:before="120" w:line="264" w:lineRule="auto"/>
        <w:ind w:left="1134" w:hanging="567"/>
      </w:pPr>
      <w:r w:rsidRPr="00076B61">
        <w:t>Ultrasound using both abdominal and vaginal probes is recommended where appropriate. A vaginal probe may not be suitable for patients who have not been sexually active. Discretion, sensitive enquiry and consideration of cultural factors is mandatory.</w:t>
      </w:r>
    </w:p>
    <w:p w14:paraId="7D310F6B" w14:textId="77777777" w:rsidR="000E3A2E" w:rsidRPr="00076B61" w:rsidRDefault="000E3A2E" w:rsidP="000E3A2E">
      <w:pPr>
        <w:pStyle w:val="Bullet"/>
        <w:numPr>
          <w:ilvl w:val="0"/>
          <w:numId w:val="27"/>
        </w:numPr>
        <w:spacing w:before="120" w:line="264" w:lineRule="auto"/>
        <w:ind w:left="1134" w:hanging="567"/>
      </w:pPr>
      <w:r w:rsidRPr="00076B61">
        <w:lastRenderedPageBreak/>
        <w:t>Stage I and II endometriosis are not visible on ultrasound examination. Stage III disease may sometimes be visible on ultrasound examination. Stage IV disease is often visible on ultrasound examination.</w:t>
      </w:r>
      <w:r w:rsidRPr="007A2547">
        <w:rPr>
          <w:vertAlign w:val="superscript"/>
        </w:rPr>
        <w:footnoteReference w:id="5"/>
      </w:r>
    </w:p>
    <w:p w14:paraId="5E296777" w14:textId="77777777" w:rsidR="000E3A2E" w:rsidRDefault="000E3A2E" w:rsidP="000E3A2E">
      <w:pPr>
        <w:pStyle w:val="Bullet"/>
        <w:numPr>
          <w:ilvl w:val="0"/>
          <w:numId w:val="27"/>
        </w:numPr>
        <w:spacing w:before="120" w:line="264" w:lineRule="auto"/>
        <w:ind w:left="1134" w:hanging="567"/>
      </w:pPr>
      <w:r w:rsidRPr="00076B61">
        <w:t>If ultrasound reveals signs that suggest other conditions, such as adenomyosis, this does not exclude a diagnosis of concurrent endometriosis.</w:t>
      </w:r>
    </w:p>
    <w:p w14:paraId="75733A23" w14:textId="77777777" w:rsidR="000E3A2E" w:rsidRPr="00076B61" w:rsidRDefault="000E3A2E" w:rsidP="000E3A2E">
      <w:pPr>
        <w:pStyle w:val="ListParagraph"/>
        <w:numPr>
          <w:ilvl w:val="0"/>
          <w:numId w:val="19"/>
        </w:numPr>
        <w:spacing w:before="160" w:after="160" w:line="259" w:lineRule="auto"/>
        <w:ind w:left="567" w:hanging="567"/>
        <w:contextualSpacing w:val="0"/>
      </w:pPr>
      <w:r w:rsidRPr="00076B61">
        <w:t>MRI</w:t>
      </w:r>
    </w:p>
    <w:p w14:paraId="608A3EDC" w14:textId="77777777" w:rsidR="000E3A2E" w:rsidRDefault="000E3A2E" w:rsidP="000E3A2E">
      <w:pPr>
        <w:pStyle w:val="Bullet"/>
        <w:numPr>
          <w:ilvl w:val="0"/>
          <w:numId w:val="23"/>
        </w:numPr>
        <w:spacing w:before="120" w:line="264" w:lineRule="auto"/>
        <w:ind w:left="1134" w:hanging="567"/>
      </w:pPr>
      <w:r>
        <w:t xml:space="preserve">Do not use MRI as a primary diagnostic tool for endometriosis. </w:t>
      </w:r>
    </w:p>
    <w:p w14:paraId="329A585D" w14:textId="77777777" w:rsidR="000E3A2E" w:rsidRDefault="000E3A2E" w:rsidP="000E3A2E">
      <w:pPr>
        <w:pStyle w:val="Bullet"/>
        <w:numPr>
          <w:ilvl w:val="0"/>
          <w:numId w:val="23"/>
        </w:numPr>
        <w:spacing w:before="120" w:line="264" w:lineRule="auto"/>
        <w:ind w:left="1134" w:hanging="567"/>
      </w:pPr>
      <w:r>
        <w:t>Pelvic MRI is best employed within secondary care to catalogue suspected deep endometriosis, which may also involve other pelvic organs.</w:t>
      </w:r>
    </w:p>
    <w:p w14:paraId="663CA47A" w14:textId="77777777" w:rsidR="000E3A2E" w:rsidRDefault="000E3A2E" w:rsidP="000E3A2E">
      <w:pPr>
        <w:pStyle w:val="Bullet"/>
        <w:numPr>
          <w:ilvl w:val="0"/>
          <w:numId w:val="23"/>
        </w:numPr>
        <w:spacing w:before="120" w:line="264" w:lineRule="auto"/>
        <w:ind w:left="1134" w:hanging="567"/>
      </w:pPr>
      <w:r>
        <w:t>If MRI reveals signs that suggest other conditions, such as adenomyosis, this does not exclude a diagnosis of concurrent endometriosis.</w:t>
      </w:r>
    </w:p>
    <w:p w14:paraId="3F7EBB1B" w14:textId="77777777" w:rsidR="000E3A2E" w:rsidRDefault="000E3A2E" w:rsidP="000E3A2E">
      <w:pPr>
        <w:pStyle w:val="Heading2"/>
        <w:rPr>
          <w:i/>
        </w:rPr>
      </w:pPr>
      <w:bookmarkStart w:id="17" w:name="_Toc33613148"/>
      <w:bookmarkStart w:id="18" w:name="_Toc33785905"/>
      <w:r>
        <w:t>Managing and treating endometriosis in p</w:t>
      </w:r>
      <w:r>
        <w:rPr>
          <w:iCs/>
        </w:rPr>
        <w:t>rimary health care</w:t>
      </w:r>
      <w:bookmarkEnd w:id="17"/>
      <w:bookmarkEnd w:id="18"/>
    </w:p>
    <w:p w14:paraId="7BDCCC07" w14:textId="77777777" w:rsidR="000E3A2E" w:rsidRPr="00076B61" w:rsidRDefault="000E3A2E" w:rsidP="000E3A2E">
      <w:pPr>
        <w:pStyle w:val="ListParagraph"/>
        <w:numPr>
          <w:ilvl w:val="0"/>
          <w:numId w:val="20"/>
        </w:numPr>
        <w:spacing w:before="160" w:after="160" w:line="259" w:lineRule="auto"/>
        <w:ind w:left="567" w:hanging="567"/>
        <w:contextualSpacing w:val="0"/>
      </w:pPr>
      <w:r w:rsidRPr="00076B61">
        <w:t>Dysmenorrhea may be improved by the use of non-steroidal anti-inflammatory drugs (NSAIDs). Regular use of controlled drugs, such as opioids, is not appropriate as they carry significant risks, including the worsening of symptoms.</w:t>
      </w:r>
    </w:p>
    <w:p w14:paraId="608C24D9" w14:textId="77777777" w:rsidR="000E3A2E" w:rsidRPr="00076B61" w:rsidRDefault="000E3A2E" w:rsidP="000E3A2E">
      <w:pPr>
        <w:pStyle w:val="ListParagraph"/>
        <w:numPr>
          <w:ilvl w:val="0"/>
          <w:numId w:val="20"/>
        </w:numPr>
        <w:spacing w:before="160" w:after="160" w:line="259" w:lineRule="auto"/>
        <w:ind w:left="567" w:hanging="567"/>
        <w:contextualSpacing w:val="0"/>
      </w:pPr>
      <w:r w:rsidRPr="00076B61">
        <w:t>Encourage non-pharmacological pain management strategies such as lifestyle changes (</w:t>
      </w:r>
      <w:proofErr w:type="spellStart"/>
      <w:r w:rsidRPr="00076B61">
        <w:t>eg</w:t>
      </w:r>
      <w:proofErr w:type="spellEnd"/>
      <w:r w:rsidRPr="00076B61">
        <w:t>, diet, exercise and sleep), transcutaneous electrical nerve stimulation (TENS), pain psychology and specialist women’s health physiotherapy.</w:t>
      </w:r>
    </w:p>
    <w:p w14:paraId="7B6E7FDB" w14:textId="77777777" w:rsidR="000E3A2E" w:rsidRPr="00076B61" w:rsidRDefault="000E3A2E" w:rsidP="000E3A2E">
      <w:pPr>
        <w:pStyle w:val="ListParagraph"/>
        <w:numPr>
          <w:ilvl w:val="0"/>
          <w:numId w:val="20"/>
        </w:numPr>
        <w:spacing w:before="160" w:after="160" w:line="259" w:lineRule="auto"/>
        <w:ind w:left="567" w:hanging="567"/>
        <w:contextualSpacing w:val="0"/>
      </w:pPr>
      <w:r w:rsidRPr="00076B61">
        <w:t xml:space="preserve">Hormonal treatment should be the first line of treatment unless the patient is wishing to conceive. This can be in addition to using analgesics but particularly for those who fail to respond to analgesic therapy alone. </w:t>
      </w:r>
    </w:p>
    <w:p w14:paraId="592BEB65" w14:textId="77777777" w:rsidR="000E3A2E" w:rsidRPr="00076B61" w:rsidRDefault="000E3A2E" w:rsidP="000E3A2E">
      <w:pPr>
        <w:pStyle w:val="ListParagraph"/>
        <w:numPr>
          <w:ilvl w:val="0"/>
          <w:numId w:val="20"/>
        </w:numPr>
        <w:spacing w:before="160" w:after="160" w:line="259" w:lineRule="auto"/>
        <w:ind w:left="567" w:hanging="567"/>
        <w:contextualSpacing w:val="0"/>
      </w:pPr>
      <w:r w:rsidRPr="00076B61">
        <w:t>Inform patients with suspected endometriosis that hormonal treatment can be effective in controlling symptoms, but it may not control disease progression.</w:t>
      </w:r>
    </w:p>
    <w:p w14:paraId="04F25ED5" w14:textId="77777777" w:rsidR="000E3A2E" w:rsidRPr="00076B61" w:rsidRDefault="000E3A2E" w:rsidP="000E3A2E">
      <w:pPr>
        <w:pStyle w:val="ListParagraph"/>
        <w:numPr>
          <w:ilvl w:val="0"/>
          <w:numId w:val="20"/>
        </w:numPr>
        <w:spacing w:before="160" w:after="160" w:line="259" w:lineRule="auto"/>
        <w:ind w:left="567" w:hanging="567"/>
        <w:contextualSpacing w:val="0"/>
      </w:pPr>
      <w:r w:rsidRPr="00076B61">
        <w:t xml:space="preserve">For patients with a high suspicion or confirmed diagnosis of endometriosis, progestin-dominant therapy may offer the best chance of halting disease progression and symptom control. See </w:t>
      </w:r>
      <w:r>
        <w:t>A</w:t>
      </w:r>
      <w:r w:rsidRPr="00076B61">
        <w:t>ppendix 1.</w:t>
      </w:r>
    </w:p>
    <w:p w14:paraId="612CBC63" w14:textId="77777777" w:rsidR="000E3A2E" w:rsidRPr="00076B61" w:rsidRDefault="000E3A2E" w:rsidP="000E3A2E">
      <w:pPr>
        <w:pStyle w:val="ListParagraph"/>
        <w:numPr>
          <w:ilvl w:val="0"/>
          <w:numId w:val="20"/>
        </w:numPr>
        <w:spacing w:before="160" w:after="160" w:line="259" w:lineRule="auto"/>
        <w:ind w:left="567" w:hanging="567"/>
        <w:contextualSpacing w:val="0"/>
      </w:pPr>
      <w:r w:rsidRPr="00076B61">
        <w:t xml:space="preserve">Gonadotrophin-releasing hormone treatment should be reserved for secondary care management. </w:t>
      </w:r>
    </w:p>
    <w:p w14:paraId="0C4405D9" w14:textId="77777777" w:rsidR="000E3A2E" w:rsidRDefault="000E3A2E" w:rsidP="000E3A2E">
      <w:pPr>
        <w:pStyle w:val="Heading2"/>
      </w:pPr>
      <w:bookmarkStart w:id="19" w:name="_Toc33613149"/>
      <w:bookmarkStart w:id="20" w:name="_Toc33785906"/>
      <w:r>
        <w:lastRenderedPageBreak/>
        <w:t>Managing and treating endometriosis in secondary and tertiary health care</w:t>
      </w:r>
      <w:bookmarkEnd w:id="19"/>
      <w:bookmarkEnd w:id="20"/>
    </w:p>
    <w:p w14:paraId="28A10E2E" w14:textId="77777777" w:rsidR="000E3A2E" w:rsidRPr="00076B61" w:rsidRDefault="000E3A2E" w:rsidP="000E3A2E">
      <w:pPr>
        <w:pStyle w:val="ListParagraph"/>
        <w:numPr>
          <w:ilvl w:val="0"/>
          <w:numId w:val="21"/>
        </w:numPr>
        <w:spacing w:before="160" w:after="160" w:line="259" w:lineRule="auto"/>
        <w:ind w:left="567" w:hanging="567"/>
        <w:contextualSpacing w:val="0"/>
      </w:pPr>
      <w:r w:rsidRPr="00076B61">
        <w:t xml:space="preserve">Refer patients to a secondary care gynaecological service if they have uncontrolled symptoms that have not responded to primary health care management. </w:t>
      </w:r>
    </w:p>
    <w:p w14:paraId="45A9C4F7" w14:textId="77777777" w:rsidR="000E3A2E" w:rsidRPr="00076B61" w:rsidRDefault="000E3A2E" w:rsidP="000E3A2E">
      <w:pPr>
        <w:pStyle w:val="ListParagraph"/>
        <w:numPr>
          <w:ilvl w:val="0"/>
          <w:numId w:val="20"/>
        </w:numPr>
        <w:spacing w:before="160" w:after="160" w:line="259" w:lineRule="auto"/>
        <w:ind w:left="567" w:hanging="567"/>
        <w:contextualSpacing w:val="0"/>
      </w:pPr>
      <w:r w:rsidRPr="00076B61">
        <w:t>Surgical management</w:t>
      </w:r>
    </w:p>
    <w:p w14:paraId="1CF611CC" w14:textId="77777777" w:rsidR="000E3A2E" w:rsidRPr="00076B61" w:rsidRDefault="000E3A2E" w:rsidP="000E3A2E">
      <w:pPr>
        <w:pStyle w:val="Bullet"/>
        <w:numPr>
          <w:ilvl w:val="0"/>
          <w:numId w:val="24"/>
        </w:numPr>
        <w:spacing w:before="120" w:line="264" w:lineRule="auto"/>
        <w:ind w:left="1134" w:hanging="567"/>
      </w:pPr>
      <w:r w:rsidRPr="00076B61">
        <w:t>Perform all surgery laparoscopically unless there are contraindications.</w:t>
      </w:r>
    </w:p>
    <w:p w14:paraId="27157F53" w14:textId="77777777" w:rsidR="000E3A2E" w:rsidRPr="00076B61" w:rsidRDefault="000E3A2E" w:rsidP="000E3A2E">
      <w:pPr>
        <w:pStyle w:val="Bullet"/>
        <w:numPr>
          <w:ilvl w:val="0"/>
          <w:numId w:val="24"/>
        </w:numPr>
        <w:spacing w:before="120" w:line="264" w:lineRule="auto"/>
        <w:ind w:left="1134" w:hanging="567"/>
      </w:pPr>
      <w:r w:rsidRPr="00076B61">
        <w:t>Do not use laparoscopy for diagnosing endometriosis alone.</w:t>
      </w:r>
    </w:p>
    <w:p w14:paraId="7EC2602D" w14:textId="77777777" w:rsidR="000E3A2E" w:rsidRPr="00076B61" w:rsidRDefault="000E3A2E" w:rsidP="000E3A2E">
      <w:pPr>
        <w:pStyle w:val="Bullet"/>
        <w:numPr>
          <w:ilvl w:val="0"/>
          <w:numId w:val="24"/>
        </w:numPr>
        <w:spacing w:before="120" w:line="264" w:lineRule="auto"/>
        <w:ind w:left="1134" w:hanging="567"/>
      </w:pPr>
      <w:r w:rsidRPr="00076B61">
        <w:t xml:space="preserve">Offer laparoscopy for the purpose of disease excision where medical management has failed. </w:t>
      </w:r>
    </w:p>
    <w:p w14:paraId="01F09410" w14:textId="77777777" w:rsidR="000E3A2E" w:rsidRPr="00076B61" w:rsidRDefault="000E3A2E" w:rsidP="000E3A2E">
      <w:pPr>
        <w:pStyle w:val="Bullet"/>
        <w:numPr>
          <w:ilvl w:val="0"/>
          <w:numId w:val="24"/>
        </w:numPr>
        <w:spacing w:before="120" w:line="264" w:lineRule="auto"/>
        <w:ind w:left="1134" w:hanging="567"/>
      </w:pPr>
      <w:r w:rsidRPr="00076B61">
        <w:t xml:space="preserve">Perform laparoscopy in accordance with Scopes of Clinical Practice set out in </w:t>
      </w:r>
      <w:r w:rsidRPr="007A2547">
        <w:rPr>
          <w:i/>
        </w:rPr>
        <w:t>Guidelines for performing endoscopic procedures</w:t>
      </w:r>
      <w:r w:rsidRPr="00076B61">
        <w:t>.</w:t>
      </w:r>
      <w:r w:rsidRPr="00076B61">
        <w:rPr>
          <w:vertAlign w:val="superscript"/>
        </w:rPr>
        <w:footnoteReference w:id="6"/>
      </w:r>
    </w:p>
    <w:p w14:paraId="056CEB14" w14:textId="77777777" w:rsidR="000E3A2E" w:rsidRPr="00076B61" w:rsidRDefault="000E3A2E" w:rsidP="000E3A2E">
      <w:pPr>
        <w:pStyle w:val="Bullet"/>
        <w:numPr>
          <w:ilvl w:val="0"/>
          <w:numId w:val="24"/>
        </w:numPr>
        <w:spacing w:before="120" w:line="264" w:lineRule="auto"/>
        <w:ind w:left="1134" w:hanging="567"/>
      </w:pPr>
      <w:r w:rsidRPr="00076B61">
        <w:t xml:space="preserve">Special care, expertise and knowledge of the best techniques are required by surgeons who undertake removal of ovarian endometriomas, particularly when fertility preservation is paramount. </w:t>
      </w:r>
    </w:p>
    <w:p w14:paraId="3E8319C3" w14:textId="77777777" w:rsidR="000E3A2E" w:rsidRPr="00076B61" w:rsidRDefault="000E3A2E" w:rsidP="000E3A2E">
      <w:pPr>
        <w:pStyle w:val="Bullet"/>
        <w:numPr>
          <w:ilvl w:val="0"/>
          <w:numId w:val="24"/>
        </w:numPr>
        <w:spacing w:before="120" w:line="264" w:lineRule="auto"/>
        <w:ind w:left="1134" w:hanging="567"/>
      </w:pPr>
      <w:r w:rsidRPr="00076B61">
        <w:t xml:space="preserve">Refer patients with suspected deep endometriosis to a gynaecologist with special surgical expertise in managing such disease, supported by an MDT. For patients with deep endometriosis undergoing laparoscopic surgery, the surgeon should complete an </w:t>
      </w:r>
      <w:proofErr w:type="spellStart"/>
      <w:r w:rsidRPr="00076B61">
        <w:t>Enzian</w:t>
      </w:r>
      <w:proofErr w:type="spellEnd"/>
      <w:r w:rsidRPr="00076B61">
        <w:rPr>
          <w:vertAlign w:val="superscript"/>
        </w:rPr>
        <w:footnoteReference w:id="7"/>
      </w:r>
      <w:r w:rsidRPr="00076B61">
        <w:t xml:space="preserve"> score chart at the time of surgery to characterise the extent of the disease. </w:t>
      </w:r>
    </w:p>
    <w:p w14:paraId="468020DA" w14:textId="77777777" w:rsidR="000E3A2E" w:rsidRPr="00076B61" w:rsidRDefault="000E3A2E" w:rsidP="000E3A2E">
      <w:pPr>
        <w:pStyle w:val="Bullet"/>
        <w:numPr>
          <w:ilvl w:val="0"/>
          <w:numId w:val="24"/>
        </w:numPr>
        <w:spacing w:before="120" w:line="264" w:lineRule="auto"/>
        <w:ind w:left="1134" w:hanging="567"/>
      </w:pPr>
      <w:r w:rsidRPr="00076B61">
        <w:t>If a laparoscopy is performed and endometriosis is not confirmed, offer further pain assessment and management. Refer patients back to their primary health care provider with an appropriate management plan to control symptoms. If symptoms persist, offer further specialist assessment.</w:t>
      </w:r>
    </w:p>
    <w:p w14:paraId="3C791FA4" w14:textId="77777777" w:rsidR="000E3A2E" w:rsidRPr="00076B61" w:rsidRDefault="000E3A2E" w:rsidP="000E3A2E">
      <w:pPr>
        <w:pStyle w:val="Bullet"/>
        <w:numPr>
          <w:ilvl w:val="0"/>
          <w:numId w:val="24"/>
        </w:numPr>
        <w:spacing w:before="120" w:line="264" w:lineRule="auto"/>
        <w:ind w:left="1134" w:hanging="567"/>
      </w:pPr>
      <w:r w:rsidRPr="00076B61">
        <w:t>Clinicians considering a third or more treatment laparoscopy on a patient should seek the opinion of an MDM</w:t>
      </w:r>
      <w:r w:rsidRPr="00076B61">
        <w:rPr>
          <w:vertAlign w:val="superscript"/>
        </w:rPr>
        <w:footnoteReference w:id="8"/>
      </w:r>
      <w:r w:rsidRPr="00076B61">
        <w:t>.</w:t>
      </w:r>
    </w:p>
    <w:p w14:paraId="0DBFA542" w14:textId="77777777" w:rsidR="000E3A2E" w:rsidRDefault="000E3A2E" w:rsidP="000E3A2E">
      <w:pPr>
        <w:pStyle w:val="Bullet"/>
        <w:numPr>
          <w:ilvl w:val="0"/>
          <w:numId w:val="24"/>
        </w:numPr>
        <w:spacing w:before="120" w:line="264" w:lineRule="auto"/>
        <w:ind w:left="1134" w:hanging="567"/>
      </w:pPr>
      <w:r w:rsidRPr="00076B61">
        <w:t xml:space="preserve">Take detailed operating notes on those undergoing laparoscopic surgery that outline the site and extent of disease and excision achieved as well as, where possible, photographic evidence. </w:t>
      </w:r>
    </w:p>
    <w:p w14:paraId="2E6E6E2E" w14:textId="77777777" w:rsidR="000E3A2E" w:rsidRPr="00076B61" w:rsidRDefault="000E3A2E" w:rsidP="000E3A2E">
      <w:pPr>
        <w:pStyle w:val="ListParagraph"/>
        <w:numPr>
          <w:ilvl w:val="0"/>
          <w:numId w:val="20"/>
        </w:numPr>
        <w:spacing w:before="160" w:after="160" w:line="259" w:lineRule="auto"/>
        <w:ind w:left="567" w:hanging="567"/>
        <w:contextualSpacing w:val="0"/>
      </w:pPr>
      <w:r w:rsidRPr="00076B61">
        <w:t>Hysterectomy in combination with surgical management</w:t>
      </w:r>
    </w:p>
    <w:p w14:paraId="5D85977A" w14:textId="77777777" w:rsidR="000E3A2E" w:rsidRPr="00076B61" w:rsidRDefault="000E3A2E" w:rsidP="000E3A2E">
      <w:pPr>
        <w:pStyle w:val="Bullet"/>
        <w:numPr>
          <w:ilvl w:val="0"/>
          <w:numId w:val="25"/>
        </w:numPr>
        <w:spacing w:before="120" w:line="264" w:lineRule="auto"/>
        <w:ind w:left="1134" w:hanging="567"/>
      </w:pPr>
      <w:r w:rsidRPr="00076B61">
        <w:lastRenderedPageBreak/>
        <w:t>Be aware that hysterectomy is not a cure for endometriosis.</w:t>
      </w:r>
    </w:p>
    <w:p w14:paraId="69110912" w14:textId="77777777" w:rsidR="000E3A2E" w:rsidRPr="00076B61" w:rsidRDefault="000E3A2E" w:rsidP="000E3A2E">
      <w:pPr>
        <w:pStyle w:val="Bullet"/>
        <w:numPr>
          <w:ilvl w:val="0"/>
          <w:numId w:val="25"/>
        </w:numPr>
        <w:spacing w:before="120" w:line="264" w:lineRule="auto"/>
        <w:ind w:left="1134" w:hanging="567"/>
      </w:pPr>
      <w:r w:rsidRPr="00076B61">
        <w:t>If hysterectomy is indicated (e</w:t>
      </w:r>
      <w:r>
        <w:t>.</w:t>
      </w:r>
      <w:r w:rsidRPr="00076B61">
        <w:t>g</w:t>
      </w:r>
      <w:r>
        <w:t>.</w:t>
      </w:r>
      <w:r w:rsidRPr="00076B61">
        <w:t xml:space="preserve"> if the patient has adenomyosis or heavy menstrual bleeding that has not responded to other treatments), excise all visible endometriotic lesions at the time of the hysterectomy.</w:t>
      </w:r>
    </w:p>
    <w:p w14:paraId="4D95EB01" w14:textId="77777777" w:rsidR="000E3A2E" w:rsidRPr="00076B61" w:rsidRDefault="000E3A2E" w:rsidP="000E3A2E">
      <w:pPr>
        <w:pStyle w:val="Bullet"/>
        <w:numPr>
          <w:ilvl w:val="0"/>
          <w:numId w:val="25"/>
        </w:numPr>
        <w:spacing w:before="120" w:line="264" w:lineRule="auto"/>
        <w:ind w:left="1134" w:hanging="567"/>
      </w:pPr>
      <w:r w:rsidRPr="00076B61">
        <w:t>Perform hysterectomy (with or without oophorectomy</w:t>
      </w:r>
      <w:r w:rsidRPr="007A2547">
        <w:rPr>
          <w:vertAlign w:val="superscript"/>
        </w:rPr>
        <w:footnoteReference w:id="9"/>
      </w:r>
      <w:r w:rsidRPr="00076B61">
        <w:t xml:space="preserve">) laparoscopically where possible when combined with surgical treatment of endometriosis, unless there are contraindications. </w:t>
      </w:r>
    </w:p>
    <w:p w14:paraId="0B655BAF" w14:textId="77777777" w:rsidR="000E3A2E" w:rsidRPr="00076B61" w:rsidRDefault="000E3A2E" w:rsidP="000E3A2E">
      <w:pPr>
        <w:pStyle w:val="ListParagraph"/>
        <w:numPr>
          <w:ilvl w:val="0"/>
          <w:numId w:val="20"/>
        </w:numPr>
        <w:spacing w:before="160" w:after="160" w:line="259" w:lineRule="auto"/>
        <w:ind w:left="567" w:hanging="567"/>
        <w:contextualSpacing w:val="0"/>
      </w:pPr>
      <w:r w:rsidRPr="00076B61">
        <w:t>Surgical management if subfertility is an issue</w:t>
      </w:r>
    </w:p>
    <w:p w14:paraId="4A7B05A4" w14:textId="77777777" w:rsidR="000E3A2E" w:rsidRPr="00076B61" w:rsidRDefault="000E3A2E" w:rsidP="000E3A2E">
      <w:pPr>
        <w:pStyle w:val="Bullet"/>
        <w:numPr>
          <w:ilvl w:val="0"/>
          <w:numId w:val="26"/>
        </w:numPr>
        <w:spacing w:before="120" w:line="264" w:lineRule="auto"/>
        <w:ind w:left="1276" w:hanging="709"/>
      </w:pPr>
      <w:r w:rsidRPr="00076B61">
        <w:t xml:space="preserve">Consider excision plus </w:t>
      </w:r>
      <w:proofErr w:type="spellStart"/>
      <w:r w:rsidRPr="00076B61">
        <w:t>adhesiolysis</w:t>
      </w:r>
      <w:proofErr w:type="spellEnd"/>
      <w:r w:rsidRPr="00076B61">
        <w:t xml:space="preserve"> for endometriosis in consultation with a fertility specialist.</w:t>
      </w:r>
    </w:p>
    <w:p w14:paraId="6C943FD7" w14:textId="77777777" w:rsidR="000E3A2E" w:rsidRPr="00076B61" w:rsidRDefault="000E3A2E" w:rsidP="000E3A2E">
      <w:pPr>
        <w:pStyle w:val="Bullet"/>
        <w:numPr>
          <w:ilvl w:val="0"/>
          <w:numId w:val="26"/>
        </w:numPr>
        <w:spacing w:before="120" w:line="264" w:lineRule="auto"/>
        <w:ind w:left="1276" w:hanging="709"/>
      </w:pPr>
      <w:r w:rsidRPr="00076B61">
        <w:t xml:space="preserve">In the presence of stage III or IV disease, it may be appropriate to leave some disease behind, if fertility may be compromised. </w:t>
      </w:r>
    </w:p>
    <w:p w14:paraId="0E61FE17" w14:textId="77777777" w:rsidR="000E3A2E" w:rsidRDefault="000E3A2E" w:rsidP="000E3A2E">
      <w:pPr>
        <w:rPr>
          <w:b/>
          <w:sz w:val="24"/>
        </w:rPr>
      </w:pPr>
    </w:p>
    <w:p w14:paraId="605D69E2" w14:textId="77777777" w:rsidR="0086301C" w:rsidRDefault="0086301C" w:rsidP="0086301C"/>
    <w:p w14:paraId="7AB3DF69" w14:textId="77777777" w:rsidR="00895070" w:rsidRPr="00434299" w:rsidRDefault="00895070" w:rsidP="00C10E24"/>
    <w:p w14:paraId="618EB6F4" w14:textId="77777777" w:rsidR="00895070" w:rsidRPr="00EB06C1" w:rsidRDefault="00895070" w:rsidP="007A6E22">
      <w:pPr>
        <w:pStyle w:val="Heading1"/>
      </w:pPr>
      <w:bookmarkStart w:id="21" w:name="_Toc459381945"/>
      <w:bookmarkStart w:id="22" w:name="_Toc460302918"/>
      <w:bookmarkStart w:id="23" w:name="_Toc528588027"/>
      <w:bookmarkStart w:id="24" w:name="_Toc33785907"/>
      <w:r w:rsidRPr="00EB06C1">
        <w:lastRenderedPageBreak/>
        <w:t>Appendix 1:</w:t>
      </w:r>
      <w:r w:rsidR="00A62324" w:rsidRPr="00EB06C1">
        <w:br/>
      </w:r>
      <w:bookmarkEnd w:id="21"/>
      <w:bookmarkEnd w:id="22"/>
      <w:bookmarkEnd w:id="23"/>
      <w:r w:rsidR="003E188A" w:rsidRPr="007A2547">
        <w:rPr>
          <w:sz w:val="56"/>
        </w:rPr>
        <w:t>Recommendation for exogenous hormone therapy for patients with suspected endometriosis</w:t>
      </w:r>
      <w:bookmarkEnd w:id="24"/>
    </w:p>
    <w:p w14:paraId="3B0D9990" w14:textId="77777777" w:rsidR="003E188A" w:rsidRDefault="003E188A" w:rsidP="003E188A">
      <w:pPr>
        <w:pStyle w:val="MoHHeading2"/>
      </w:pPr>
      <w:r>
        <w:t>Progesterone only pills (POPs) and progestins as first-line</w:t>
      </w:r>
      <w:r>
        <w:rPr>
          <w:i/>
        </w:rPr>
        <w:t xml:space="preserve"> </w:t>
      </w:r>
      <w:r>
        <w:t>hormonal management of presumed or proven endometriosis</w:t>
      </w:r>
    </w:p>
    <w:p w14:paraId="13C90ADF" w14:textId="77777777" w:rsidR="003E188A" w:rsidRDefault="003E188A" w:rsidP="003E188A"/>
    <w:p w14:paraId="22B2D385" w14:textId="77777777" w:rsidR="003E188A" w:rsidRDefault="003E188A" w:rsidP="003E188A">
      <w:r>
        <w:t>Most published guidelines recommend using a combined oral contraceptive pill (COCP) as first line hormonal treatment for endometriosis.</w:t>
      </w:r>
      <w:r>
        <w:rPr>
          <w:vertAlign w:val="superscript"/>
        </w:rPr>
        <w:t>1–5</w:t>
      </w:r>
      <w:r>
        <w:t xml:space="preserve"> The evidence, however, for COCPs being the most appropriate class of hormonal medication for symptom control and controlling disease progression is not convincing and some authors are questioning the paradigm.</w:t>
      </w:r>
      <w:r>
        <w:rPr>
          <w:vertAlign w:val="superscript"/>
        </w:rPr>
        <w:t>6</w:t>
      </w:r>
      <w:r>
        <w:t xml:space="preserve"> There is only one published randomised placebo-controlled trial investigating COCP effectiveness in treating pelvic pain and dysmenorrhoea in patients with endometriosis.</w:t>
      </w:r>
      <w:r>
        <w:rPr>
          <w:vertAlign w:val="superscript"/>
        </w:rPr>
        <w:t>7</w:t>
      </w:r>
      <w:r>
        <w:t xml:space="preserve"> A 50 percent reduction in visual analogue scale pain score was reported but no effect on non-menstrual pelvic pain or dyspareunia. In another non-controlled comparative study about 50 percent of patients with dysmenorrhoea had only partial or no improvement in pain and there was no predictive value in a patient’s response to therapy as to whether they were subsequently found to have histologically proven endometriosis or not.</w:t>
      </w:r>
      <w:r>
        <w:rPr>
          <w:vertAlign w:val="superscript"/>
        </w:rPr>
        <w:t>8</w:t>
      </w:r>
      <w:r>
        <w:t xml:space="preserve"> </w:t>
      </w:r>
    </w:p>
    <w:p w14:paraId="41696C3C" w14:textId="77777777" w:rsidR="003E188A" w:rsidRDefault="003E188A" w:rsidP="003E188A"/>
    <w:p w14:paraId="046A0840" w14:textId="77777777" w:rsidR="003E188A" w:rsidRDefault="003E188A" w:rsidP="003E188A">
      <w:r>
        <w:t>Several randomised placebo-controlled trials indicate oral progestins such as medroxyprogesterone,</w:t>
      </w:r>
      <w:r>
        <w:rPr>
          <w:vertAlign w:val="superscript"/>
        </w:rPr>
        <w:t>9, 10</w:t>
      </w:r>
      <w:r>
        <w:t>, dienogest,</w:t>
      </w:r>
      <w:r>
        <w:rPr>
          <w:vertAlign w:val="superscript"/>
        </w:rPr>
        <w:t>11</w:t>
      </w:r>
      <w:r>
        <w:t xml:space="preserve"> dydrogesterone,</w:t>
      </w:r>
      <w:r>
        <w:rPr>
          <w:vertAlign w:val="superscript"/>
        </w:rPr>
        <w:t>12</w:t>
      </w:r>
      <w:r>
        <w:t xml:space="preserve"> and norethisterone</w:t>
      </w:r>
      <w:r>
        <w:rPr>
          <w:vertAlign w:val="superscript"/>
        </w:rPr>
        <w:t>13</w:t>
      </w:r>
      <w:r>
        <w:t xml:space="preserve"> are effective in reducing endometriosis-related pelvic pain. Other randomised studies have resulted in </w:t>
      </w:r>
      <w:proofErr w:type="spellStart"/>
      <w:r>
        <w:t>dienogest</w:t>
      </w:r>
      <w:proofErr w:type="spellEnd"/>
      <w:r>
        <w:t xml:space="preserve"> having become the most favoured first-line progestin for treating endometriosis within developed countries.</w:t>
      </w:r>
      <w:r>
        <w:rPr>
          <w:vertAlign w:val="superscript"/>
        </w:rPr>
        <w:t>14, 15, 16</w:t>
      </w:r>
      <w:r>
        <w:t xml:space="preserve"> An observational study has also shown a decrease in endometriosis implant size at second look laparoscopy in patients treated with </w:t>
      </w:r>
      <w:proofErr w:type="spellStart"/>
      <w:r>
        <w:t>medroxprogesterone</w:t>
      </w:r>
      <w:proofErr w:type="spellEnd"/>
      <w:r>
        <w:t xml:space="preserve"> acetate.</w:t>
      </w:r>
      <w:r>
        <w:rPr>
          <w:vertAlign w:val="superscript"/>
        </w:rPr>
        <w:t>17</w:t>
      </w:r>
      <w:r>
        <w:t xml:space="preserve"> </w:t>
      </w:r>
    </w:p>
    <w:p w14:paraId="72CB398B" w14:textId="77777777" w:rsidR="003E188A" w:rsidRDefault="003E188A" w:rsidP="003E188A"/>
    <w:p w14:paraId="796B6F78" w14:textId="77777777" w:rsidR="003E188A" w:rsidRDefault="003E188A" w:rsidP="003E188A">
      <w:r>
        <w:t>No regulatory authority has approved the use of COCPs for the treatment of endometriosis. Several of the progestin agents, however, have been approved.</w:t>
      </w:r>
    </w:p>
    <w:p w14:paraId="29A0570A" w14:textId="77777777" w:rsidR="003E188A" w:rsidRDefault="003E188A" w:rsidP="003E188A">
      <w:r>
        <w:t xml:space="preserve">The use of progesterone-only therapy should be balanced with symptom control, contraceptive efficacy and adverse effects of treatment. Common adverse effects include menstrual irregularity, mood changes and the development or deterioration of an acneiform rash. </w:t>
      </w:r>
    </w:p>
    <w:p w14:paraId="0737EBA2" w14:textId="77777777" w:rsidR="003E188A" w:rsidRDefault="003E188A" w:rsidP="003E188A"/>
    <w:p w14:paraId="075766E5" w14:textId="77777777" w:rsidR="003E188A" w:rsidRDefault="003E188A" w:rsidP="003E188A">
      <w:r>
        <w:t>Patients unable to tolerate progestin therapy alone, or those for whom symptoms are less debilitating, may be better suited to a trial of combined oral contraceptive pill (COCP) plus or minus complementary progestin therapy.</w:t>
      </w:r>
    </w:p>
    <w:p w14:paraId="3F1305C8" w14:textId="77777777" w:rsidR="003E188A" w:rsidRDefault="003E188A" w:rsidP="003E188A"/>
    <w:p w14:paraId="57D19209" w14:textId="77777777" w:rsidR="003E188A" w:rsidRDefault="003E188A" w:rsidP="003E188A">
      <w:r>
        <w:lastRenderedPageBreak/>
        <w:t xml:space="preserve">If, after six months, exogenous hormonal therapy of any type fails to control symptoms and improve quality of life, it is recommended that referral be made to secondary care services. </w:t>
      </w:r>
    </w:p>
    <w:p w14:paraId="1DDC4EF2" w14:textId="77777777" w:rsidR="003E188A" w:rsidRDefault="003E188A" w:rsidP="003E188A">
      <w:pPr>
        <w:spacing w:after="120"/>
        <w:rPr>
          <w:b/>
          <w:i/>
          <w:sz w:val="24"/>
          <w:szCs w:val="24"/>
        </w:rPr>
      </w:pPr>
      <w:r>
        <w:rPr>
          <w:noProof/>
          <w:szCs w:val="22"/>
        </w:rPr>
        <mc:AlternateContent>
          <mc:Choice Requires="wps">
            <w:drawing>
              <wp:anchor distT="45720" distB="45720" distL="114300" distR="114300" simplePos="0" relativeHeight="251659264" behindDoc="0" locked="0" layoutInCell="1" allowOverlap="1" wp14:anchorId="077D2615" wp14:editId="672AA395">
                <wp:simplePos x="0" y="0"/>
                <wp:positionH relativeFrom="column">
                  <wp:posOffset>-47625</wp:posOffset>
                </wp:positionH>
                <wp:positionV relativeFrom="paragraph">
                  <wp:posOffset>291465</wp:posOffset>
                </wp:positionV>
                <wp:extent cx="5568950" cy="5034915"/>
                <wp:effectExtent l="0" t="0" r="12700" b="133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5034915"/>
                        </a:xfrm>
                        <a:prstGeom prst="rect">
                          <a:avLst/>
                        </a:prstGeom>
                        <a:solidFill>
                          <a:srgbClr val="FFFFFF"/>
                        </a:solidFill>
                        <a:ln w="19050">
                          <a:solidFill>
                            <a:srgbClr val="002060"/>
                          </a:solidFill>
                          <a:miter lim="800000"/>
                          <a:headEnd/>
                          <a:tailEnd/>
                        </a:ln>
                      </wps:spPr>
                      <wps:txbx>
                        <w:txbxContent>
                          <w:p w14:paraId="49B15FE6" w14:textId="77777777" w:rsidR="00C51741" w:rsidRDefault="00C51741" w:rsidP="003E188A">
                            <w:pPr>
                              <w:pStyle w:val="Heading2"/>
                              <w:spacing w:before="0"/>
                            </w:pPr>
                            <w:bookmarkStart w:id="25" w:name="_Toc33613151"/>
                            <w:bookmarkStart w:id="26" w:name="_Toc33785908"/>
                            <w:r>
                              <w:t>Practical points for using progestins</w:t>
                            </w:r>
                            <w:bookmarkEnd w:id="25"/>
                            <w:bookmarkEnd w:id="26"/>
                          </w:p>
                          <w:p w14:paraId="34B8D96A" w14:textId="77777777" w:rsidR="00C51741" w:rsidRDefault="00C51741" w:rsidP="003E188A">
                            <w:pPr>
                              <w:pStyle w:val="Bullet"/>
                              <w:tabs>
                                <w:tab w:val="num" w:pos="284"/>
                              </w:tabs>
                              <w:spacing w:before="120" w:line="264" w:lineRule="auto"/>
                            </w:pPr>
                            <w:r>
                              <w:t xml:space="preserve">Start on the first day of menses. </w:t>
                            </w:r>
                          </w:p>
                          <w:p w14:paraId="32798FB3" w14:textId="77777777" w:rsidR="00C51741" w:rsidRDefault="00C51741" w:rsidP="003E188A">
                            <w:pPr>
                              <w:pStyle w:val="Bullet"/>
                              <w:tabs>
                                <w:tab w:val="num" w:pos="284"/>
                              </w:tabs>
                              <w:spacing w:before="120" w:line="264" w:lineRule="auto"/>
                            </w:pPr>
                            <w:r>
                              <w:t xml:space="preserve">Preferably prescribe at a sufficient dose to produce anovulation and therefore amenorrhoea/oligomenorrhoea. </w:t>
                            </w:r>
                          </w:p>
                          <w:p w14:paraId="7C8A97D8" w14:textId="77777777" w:rsidR="00C51741" w:rsidRDefault="00C51741" w:rsidP="003E188A">
                            <w:pPr>
                              <w:pStyle w:val="Bullet"/>
                              <w:tabs>
                                <w:tab w:val="num" w:pos="284"/>
                              </w:tabs>
                              <w:spacing w:before="120" w:line="264" w:lineRule="auto"/>
                            </w:pPr>
                            <w:r>
                              <w:t>Consider bone density: Some oral progestin therapies, such as norethisterone, have been found to protect bone mineral density</w:t>
                            </w:r>
                            <w:r>
                              <w:rPr>
                                <w:vertAlign w:val="superscript"/>
                              </w:rPr>
                              <w:t>18</w:t>
                            </w:r>
                            <w:r>
                              <w:t xml:space="preserve">. Long-term </w:t>
                            </w:r>
                            <w:r>
                              <w:rPr>
                                <w:lang w:val="en-US"/>
                              </w:rPr>
                              <w:t xml:space="preserve">medroxyprogesterone acetate </w:t>
                            </w:r>
                            <w:r>
                              <w:t>(Depo-Provera) and oral dienogest (Visanne) may be associated with a reversible reduction of bone mineral density in adolescents that should be monitored in patients under the age of 20 years.</w:t>
                            </w:r>
                            <w:r>
                              <w:rPr>
                                <w:vertAlign w:val="superscript"/>
                              </w:rPr>
                              <w:t>19, 20</w:t>
                            </w:r>
                            <w:r>
                              <w:t xml:space="preserve"> It is reasonable to perform a bone density study in those continuing progestin therapy for two years or more, and repeating thereafter depending upon the study recommendation. Most patients, following the use of </w:t>
                            </w:r>
                            <w:r>
                              <w:rPr>
                                <w:lang w:val="en-US"/>
                              </w:rPr>
                              <w:t>medroxyprogesterone acetate</w:t>
                            </w:r>
                            <w:r>
                              <w:t>, show a spontaneous recovery in bone mineral density to base levels over the following two to three years.</w:t>
                            </w:r>
                            <w:r>
                              <w:rPr>
                                <w:vertAlign w:val="superscript"/>
                              </w:rPr>
                              <w:t>21</w:t>
                            </w:r>
                            <w:r>
                              <w:t xml:space="preserve"> Loss of bone mineral density can be prevented by the concurrent use of ‘add back’ oestrogen therapy in the form of 1 mg of oestrodiol valerate (Progynova)</w:t>
                            </w:r>
                            <w:r>
                              <w:rPr>
                                <w:vertAlign w:val="superscript"/>
                              </w:rPr>
                              <w:t>22, 23, 24</w:t>
                            </w:r>
                            <w:r>
                              <w:t>.</w:t>
                            </w:r>
                          </w:p>
                          <w:p w14:paraId="6BF04728" w14:textId="77777777" w:rsidR="00C51741" w:rsidRDefault="00C51741" w:rsidP="003E188A">
                            <w:pPr>
                              <w:pStyle w:val="Bullet"/>
                              <w:tabs>
                                <w:tab w:val="num" w:pos="284"/>
                              </w:tabs>
                              <w:spacing w:before="120" w:line="264" w:lineRule="auto"/>
                            </w:pPr>
                            <w:r>
                              <w:t xml:space="preserve">If troublesome bleeding occurs, suggested strategies include: </w:t>
                            </w:r>
                          </w:p>
                          <w:p w14:paraId="7BE6B5F3" w14:textId="77777777" w:rsidR="00C51741" w:rsidRPr="00D4589E" w:rsidRDefault="00C51741" w:rsidP="003E188A">
                            <w:pPr>
                              <w:pStyle w:val="Bullet"/>
                              <w:numPr>
                                <w:ilvl w:val="0"/>
                                <w:numId w:val="26"/>
                              </w:numPr>
                              <w:spacing w:before="120" w:line="264" w:lineRule="auto"/>
                              <w:ind w:left="1276" w:hanging="709"/>
                            </w:pPr>
                            <w:r w:rsidRPr="00D4589E">
                              <w:t>increasing the progestin dose</w:t>
                            </w:r>
                          </w:p>
                          <w:p w14:paraId="5CDF252F" w14:textId="77777777" w:rsidR="00C51741" w:rsidRPr="00D4589E" w:rsidRDefault="00C51741" w:rsidP="003E188A">
                            <w:pPr>
                              <w:pStyle w:val="Bullet"/>
                              <w:numPr>
                                <w:ilvl w:val="0"/>
                                <w:numId w:val="26"/>
                              </w:numPr>
                              <w:spacing w:before="120" w:line="264" w:lineRule="auto"/>
                              <w:ind w:left="1276" w:hanging="709"/>
                            </w:pPr>
                            <w:r w:rsidRPr="00D4589E">
                              <w:t>five days of low-dose oestrogen therapy (eg, Progynova 1 mg od).</w:t>
                            </w:r>
                          </w:p>
                          <w:p w14:paraId="77A26A4A" w14:textId="77777777" w:rsidR="00C51741" w:rsidRPr="00D4589E" w:rsidRDefault="00C51741" w:rsidP="003E188A">
                            <w:pPr>
                              <w:pStyle w:val="Bullet"/>
                              <w:numPr>
                                <w:ilvl w:val="0"/>
                                <w:numId w:val="26"/>
                              </w:numPr>
                              <w:spacing w:before="120" w:line="264" w:lineRule="auto"/>
                              <w:ind w:left="1276" w:hanging="709"/>
                            </w:pPr>
                            <w:r w:rsidRPr="00D4589E">
                              <w:t>Doxycycline 100 mg i od for five days.</w:t>
                            </w:r>
                          </w:p>
                          <w:p w14:paraId="2CD4A081" w14:textId="77777777" w:rsidR="00C51741" w:rsidRPr="00D4589E" w:rsidRDefault="00C51741" w:rsidP="003E188A">
                            <w:pPr>
                              <w:pStyle w:val="Bullet"/>
                              <w:tabs>
                                <w:tab w:val="num" w:pos="284"/>
                              </w:tabs>
                              <w:spacing w:before="120" w:line="264" w:lineRule="auto"/>
                            </w:pPr>
                            <w:r>
                              <w:t>If hormone therapy is ineffective then refer to secondary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D2615" id="_x0000_t202" coordsize="21600,21600" o:spt="202" path="m,l,21600r21600,l21600,xe">
                <v:stroke joinstyle="miter"/>
                <v:path gradientshapeok="t" o:connecttype="rect"/>
              </v:shapetype>
              <v:shape id="Text Box 4" o:spid="_x0000_s1026" type="#_x0000_t202" style="position:absolute;margin-left:-3.75pt;margin-top:22.95pt;width:438.5pt;height:39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" strokecolor="#002060" strokeweight="1.5pt">
                <v:textbox>
                  <w:txbxContent>
                    <w:p w14:paraId="49B15FE6" w14:textId="77777777" w:rsidR="00C51741" w:rsidRDefault="00C51741" w:rsidP="003E188A">
                      <w:pPr>
                        <w:pStyle w:val="Heading2"/>
                        <w:spacing w:before="0"/>
                      </w:pPr>
                      <w:bookmarkStart w:id="27" w:name="_Toc33613151"/>
                      <w:bookmarkStart w:id="28" w:name="_Toc33785908"/>
                      <w:r>
                        <w:t>Practical points for using progestins</w:t>
                      </w:r>
                      <w:bookmarkEnd w:id="27"/>
                      <w:bookmarkEnd w:id="28"/>
                    </w:p>
                    <w:p w14:paraId="34B8D96A" w14:textId="77777777" w:rsidR="00C51741" w:rsidRDefault="00C51741" w:rsidP="003E188A">
                      <w:pPr>
                        <w:pStyle w:val="Bullet"/>
                        <w:tabs>
                          <w:tab w:val="num" w:pos="284"/>
                        </w:tabs>
                        <w:spacing w:before="120" w:line="264" w:lineRule="auto"/>
                      </w:pPr>
                      <w:r>
                        <w:t xml:space="preserve">Start on the first day of menses. </w:t>
                      </w:r>
                    </w:p>
                    <w:p w14:paraId="32798FB3" w14:textId="77777777" w:rsidR="00C51741" w:rsidRDefault="00C51741" w:rsidP="003E188A">
                      <w:pPr>
                        <w:pStyle w:val="Bullet"/>
                        <w:tabs>
                          <w:tab w:val="num" w:pos="284"/>
                        </w:tabs>
                        <w:spacing w:before="120" w:line="264" w:lineRule="auto"/>
                      </w:pPr>
                      <w:r>
                        <w:t xml:space="preserve">Preferably prescribe at a sufficient dose to produce anovulation and therefore amenorrhoea/oligomenorrhoea. </w:t>
                      </w:r>
                    </w:p>
                    <w:p w14:paraId="7C8A97D8" w14:textId="77777777" w:rsidR="00C51741" w:rsidRDefault="00C51741" w:rsidP="003E188A">
                      <w:pPr>
                        <w:pStyle w:val="Bullet"/>
                        <w:tabs>
                          <w:tab w:val="num" w:pos="284"/>
                        </w:tabs>
                        <w:spacing w:before="120" w:line="264" w:lineRule="auto"/>
                      </w:pPr>
                      <w:r>
                        <w:t>Consider bone density: Some oral progestin therapies, such as norethisterone, have been found to protect bone mineral density</w:t>
                      </w:r>
                      <w:r>
                        <w:rPr>
                          <w:vertAlign w:val="superscript"/>
                        </w:rPr>
                        <w:t>18</w:t>
                      </w:r>
                      <w:r>
                        <w:t xml:space="preserve">. Long-term </w:t>
                      </w:r>
                      <w:r>
                        <w:rPr>
                          <w:lang w:val="en-US"/>
                        </w:rPr>
                        <w:t xml:space="preserve">medroxyprogesterone acetate </w:t>
                      </w:r>
                      <w:r>
                        <w:t>(Depo-Provera) and oral dienogest (Visanne) may be associated with a reversible reduction of bone mineral density in adolescents that should be monitored in patients under the age of 20 years.</w:t>
                      </w:r>
                      <w:r>
                        <w:rPr>
                          <w:vertAlign w:val="superscript"/>
                        </w:rPr>
                        <w:t>19, 20</w:t>
                      </w:r>
                      <w:r>
                        <w:t xml:space="preserve"> It is reasonable to perform a bone density study in those continuing progestin therapy for two years or more, and repeating thereafter depending upon the study recommendation. Most patients, following the use of </w:t>
                      </w:r>
                      <w:r>
                        <w:rPr>
                          <w:lang w:val="en-US"/>
                        </w:rPr>
                        <w:t>medroxyprogesterone acetate</w:t>
                      </w:r>
                      <w:r>
                        <w:t>, show a spontaneous recovery in bone mineral density to base levels over the following two to three years.</w:t>
                      </w:r>
                      <w:r>
                        <w:rPr>
                          <w:vertAlign w:val="superscript"/>
                        </w:rPr>
                        <w:t>21</w:t>
                      </w:r>
                      <w:r>
                        <w:t xml:space="preserve"> Loss of bone mineral density can be prevented by the concurrent use of ‘add back’ oestrogen therapy in the form of 1 mg of oestrodiol valerate (Progynova)</w:t>
                      </w:r>
                      <w:r>
                        <w:rPr>
                          <w:vertAlign w:val="superscript"/>
                        </w:rPr>
                        <w:t>22, 23, 24</w:t>
                      </w:r>
                      <w:r>
                        <w:t>.</w:t>
                      </w:r>
                    </w:p>
                    <w:p w14:paraId="6BF04728" w14:textId="77777777" w:rsidR="00C51741" w:rsidRDefault="00C51741" w:rsidP="003E188A">
                      <w:pPr>
                        <w:pStyle w:val="Bullet"/>
                        <w:tabs>
                          <w:tab w:val="num" w:pos="284"/>
                        </w:tabs>
                        <w:spacing w:before="120" w:line="264" w:lineRule="auto"/>
                      </w:pPr>
                      <w:r>
                        <w:t xml:space="preserve">If troublesome bleeding occurs, suggested strategies include: </w:t>
                      </w:r>
                    </w:p>
                    <w:p w14:paraId="7BE6B5F3" w14:textId="77777777" w:rsidR="00C51741" w:rsidRPr="00D4589E" w:rsidRDefault="00C51741" w:rsidP="003E188A">
                      <w:pPr>
                        <w:pStyle w:val="Bullet"/>
                        <w:numPr>
                          <w:ilvl w:val="0"/>
                          <w:numId w:val="26"/>
                        </w:numPr>
                        <w:spacing w:before="120" w:line="264" w:lineRule="auto"/>
                        <w:ind w:left="1276" w:hanging="709"/>
                      </w:pPr>
                      <w:r w:rsidRPr="00D4589E">
                        <w:t>increasing the progestin dose</w:t>
                      </w:r>
                    </w:p>
                    <w:p w14:paraId="5CDF252F" w14:textId="77777777" w:rsidR="00C51741" w:rsidRPr="00D4589E" w:rsidRDefault="00C51741" w:rsidP="003E188A">
                      <w:pPr>
                        <w:pStyle w:val="Bullet"/>
                        <w:numPr>
                          <w:ilvl w:val="0"/>
                          <w:numId w:val="26"/>
                        </w:numPr>
                        <w:spacing w:before="120" w:line="264" w:lineRule="auto"/>
                        <w:ind w:left="1276" w:hanging="709"/>
                      </w:pPr>
                      <w:r w:rsidRPr="00D4589E">
                        <w:t>five days of low-dose oestrogen therapy (eg, Progynova 1 mg od).</w:t>
                      </w:r>
                    </w:p>
                    <w:p w14:paraId="77A26A4A" w14:textId="77777777" w:rsidR="00C51741" w:rsidRPr="00D4589E" w:rsidRDefault="00C51741" w:rsidP="003E188A">
                      <w:pPr>
                        <w:pStyle w:val="Bullet"/>
                        <w:numPr>
                          <w:ilvl w:val="0"/>
                          <w:numId w:val="26"/>
                        </w:numPr>
                        <w:spacing w:before="120" w:line="264" w:lineRule="auto"/>
                        <w:ind w:left="1276" w:hanging="709"/>
                      </w:pPr>
                      <w:r w:rsidRPr="00D4589E">
                        <w:t>Doxycycline 100 mg i od for five days.</w:t>
                      </w:r>
                    </w:p>
                    <w:p w14:paraId="2CD4A081" w14:textId="77777777" w:rsidR="00C51741" w:rsidRPr="00D4589E" w:rsidRDefault="00C51741" w:rsidP="003E188A">
                      <w:pPr>
                        <w:pStyle w:val="Bullet"/>
                        <w:tabs>
                          <w:tab w:val="num" w:pos="284"/>
                        </w:tabs>
                        <w:spacing w:before="120" w:line="264" w:lineRule="auto"/>
                      </w:pPr>
                      <w:r>
                        <w:t>If hormone therapy is ineffective then refer to secondary care.</w:t>
                      </w:r>
                    </w:p>
                  </w:txbxContent>
                </v:textbox>
                <w10:wrap type="square"/>
              </v:shape>
            </w:pict>
          </mc:Fallback>
        </mc:AlternateContent>
      </w:r>
    </w:p>
    <w:p w14:paraId="3A3EDD68" w14:textId="77777777" w:rsidR="003E188A" w:rsidRDefault="003E188A" w:rsidP="003E188A">
      <w:pPr>
        <w:rPr>
          <w:sz w:val="24"/>
          <w:szCs w:val="24"/>
        </w:rPr>
      </w:pPr>
      <w:r>
        <w:rPr>
          <w:sz w:val="24"/>
          <w:szCs w:val="24"/>
        </w:rPr>
        <w:br w:type="page"/>
      </w:r>
    </w:p>
    <w:p w14:paraId="18C0B062" w14:textId="77777777" w:rsidR="00E23B79" w:rsidRDefault="003E188A" w:rsidP="007A2547">
      <w:pPr>
        <w:pStyle w:val="Heading2"/>
      </w:pPr>
      <w:bookmarkStart w:id="29" w:name="_Toc33785909"/>
      <w:bookmarkStart w:id="30" w:name="_Toc33613152"/>
      <w:r>
        <w:lastRenderedPageBreak/>
        <w:t>Summary of medication options</w:t>
      </w:r>
      <w:bookmarkEnd w:id="29"/>
      <w:r>
        <w:t xml:space="preserve"> </w:t>
      </w:r>
    </w:p>
    <w:p w14:paraId="333B4BA9" w14:textId="77777777" w:rsidR="003E188A" w:rsidRPr="007A2547" w:rsidRDefault="003E188A" w:rsidP="007A2547">
      <w:r w:rsidRPr="007A2547">
        <w:rPr>
          <w:lang w:eastAsia="en-US"/>
        </w:rPr>
        <w:t>(as at November 2019)</w:t>
      </w:r>
      <w:bookmarkEnd w:id="30"/>
    </w:p>
    <w:p w14:paraId="04D264BF" w14:textId="77777777" w:rsidR="003E188A" w:rsidRDefault="003E188A" w:rsidP="003E188A">
      <w:pPr>
        <w:rPr>
          <w:sz w:val="24"/>
          <w:szCs w:val="24"/>
        </w:rPr>
      </w:pPr>
    </w:p>
    <w:p w14:paraId="166F9867" w14:textId="77777777" w:rsidR="003E188A" w:rsidRDefault="003E188A" w:rsidP="003E188A">
      <w:pPr>
        <w:spacing w:after="120"/>
        <w:ind w:left="-426"/>
        <w:rPr>
          <w:b/>
          <w:i/>
          <w:sz w:val="24"/>
          <w:szCs w:val="24"/>
        </w:rPr>
      </w:pPr>
      <w:r>
        <w:rPr>
          <w:noProof/>
          <w:color w:val="FF1966"/>
          <w:lang w:eastAsia="en-NZ"/>
        </w:rPr>
        <w:drawing>
          <wp:inline distT="0" distB="0" distL="0" distR="0" wp14:anchorId="69D26E8E" wp14:editId="4561A129">
            <wp:extent cx="6324600" cy="6628974"/>
            <wp:effectExtent l="0" t="0" r="38100" b="0"/>
            <wp:docPr id="1" name="Diagram 1" descr="Endometriosis suspected: Suggest hormonal therapy.&#10;&#10;Recommended first-line management: Start progestin therapy to inhibit ovulation and produce amenorrhea/oligomenorrhoea&#10;&#10;Alternative first-line management: Consider COCPs preparations if progestin therapy proves unsuitable or if patient preference.&#10;&#10;Progestins not tested or licensed as contraceptives (condoms needed if contraception a requirement): Dienogest, medroxyprogesterone acetate, norethisterone, cyproterone acetate.&#10;&#10;Progestins licensed as contraceptives (contraceptive efficacy equal or greater than COCPs): Desogestrel, medroxyprogesterone acetate, levonorgestrel intrauterine contraceptive devices, levonorgestrel subcutaneous implant, etonogestrel subcutaneous impla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23676EB" w14:textId="77777777" w:rsidR="003E188A" w:rsidRDefault="003E188A" w:rsidP="003E188A">
      <w:pPr>
        <w:rPr>
          <w:b/>
          <w:i/>
          <w:sz w:val="24"/>
          <w:szCs w:val="24"/>
        </w:rPr>
      </w:pPr>
      <w:r>
        <w:rPr>
          <w:b/>
          <w:i/>
          <w:sz w:val="24"/>
          <w:szCs w:val="24"/>
        </w:rPr>
        <w:br w:type="page"/>
      </w:r>
    </w:p>
    <w:p w14:paraId="0E7CE480" w14:textId="77777777" w:rsidR="003E188A" w:rsidRDefault="003E188A" w:rsidP="003E188A">
      <w:pPr>
        <w:pStyle w:val="Heading2"/>
      </w:pPr>
      <w:bookmarkStart w:id="31" w:name="_Toc33613153"/>
      <w:bookmarkStart w:id="32" w:name="_Toc33785910"/>
      <w:r>
        <w:lastRenderedPageBreak/>
        <w:t>Preparations</w:t>
      </w:r>
      <w:bookmarkEnd w:id="31"/>
      <w:bookmarkEnd w:id="32"/>
    </w:p>
    <w:tbl>
      <w:tblPr>
        <w:tblStyle w:val="TableGrid"/>
        <w:tblW w:w="921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9"/>
        <w:gridCol w:w="2977"/>
        <w:gridCol w:w="2268"/>
        <w:gridCol w:w="2126"/>
      </w:tblGrid>
      <w:tr w:rsidR="003E188A" w:rsidRPr="001F10F8" w14:paraId="6245B260" w14:textId="77777777" w:rsidTr="003E188A">
        <w:trPr>
          <w:trHeight w:val="661"/>
        </w:trPr>
        <w:tc>
          <w:tcPr>
            <w:tcW w:w="1838" w:type="dxa"/>
            <w:shd w:val="clear" w:color="auto" w:fill="D9D9D9" w:themeFill="background1" w:themeFillShade="D9"/>
          </w:tcPr>
          <w:p w14:paraId="6856AEC8" w14:textId="77777777" w:rsidR="003E188A" w:rsidRPr="001F10F8" w:rsidRDefault="003E188A" w:rsidP="00C51741">
            <w:pPr>
              <w:spacing w:line="240" w:lineRule="auto"/>
              <w:rPr>
                <w:b/>
                <w:szCs w:val="22"/>
              </w:rPr>
            </w:pPr>
          </w:p>
        </w:tc>
        <w:tc>
          <w:tcPr>
            <w:tcW w:w="2977" w:type="dxa"/>
            <w:shd w:val="clear" w:color="auto" w:fill="D9D9D9" w:themeFill="background1" w:themeFillShade="D9"/>
            <w:vAlign w:val="center"/>
            <w:hideMark/>
          </w:tcPr>
          <w:p w14:paraId="607C15E8" w14:textId="77777777" w:rsidR="003E188A" w:rsidRPr="001F10F8" w:rsidRDefault="003E188A" w:rsidP="00C51741">
            <w:pPr>
              <w:spacing w:line="240" w:lineRule="auto"/>
              <w:jc w:val="center"/>
              <w:rPr>
                <w:b/>
              </w:rPr>
            </w:pPr>
            <w:r w:rsidRPr="001F10F8">
              <w:rPr>
                <w:b/>
              </w:rPr>
              <w:t>Subsidised</w:t>
            </w:r>
          </w:p>
        </w:tc>
        <w:tc>
          <w:tcPr>
            <w:tcW w:w="2268" w:type="dxa"/>
            <w:shd w:val="clear" w:color="auto" w:fill="D9D9D9" w:themeFill="background1" w:themeFillShade="D9"/>
            <w:vAlign w:val="center"/>
            <w:hideMark/>
          </w:tcPr>
          <w:p w14:paraId="13614AAA" w14:textId="77777777" w:rsidR="003E188A" w:rsidRPr="001F10F8" w:rsidRDefault="003E188A" w:rsidP="00C51741">
            <w:pPr>
              <w:spacing w:line="240" w:lineRule="auto"/>
              <w:jc w:val="center"/>
              <w:rPr>
                <w:b/>
              </w:rPr>
            </w:pPr>
            <w:r w:rsidRPr="001F10F8">
              <w:rPr>
                <w:b/>
              </w:rPr>
              <w:t>Partially subsidised</w:t>
            </w:r>
          </w:p>
        </w:tc>
        <w:tc>
          <w:tcPr>
            <w:tcW w:w="2126" w:type="dxa"/>
            <w:shd w:val="clear" w:color="auto" w:fill="D9D9D9" w:themeFill="background1" w:themeFillShade="D9"/>
            <w:vAlign w:val="center"/>
            <w:hideMark/>
          </w:tcPr>
          <w:p w14:paraId="167A0605" w14:textId="77777777" w:rsidR="003E188A" w:rsidRPr="001F10F8" w:rsidRDefault="003E188A" w:rsidP="00C51741">
            <w:pPr>
              <w:spacing w:line="240" w:lineRule="auto"/>
              <w:jc w:val="center"/>
              <w:rPr>
                <w:b/>
              </w:rPr>
            </w:pPr>
            <w:r w:rsidRPr="001F10F8">
              <w:rPr>
                <w:b/>
              </w:rPr>
              <w:t>Not subsidised</w:t>
            </w:r>
          </w:p>
        </w:tc>
      </w:tr>
      <w:tr w:rsidR="003E188A" w14:paraId="0E8FE900" w14:textId="77777777" w:rsidTr="003E188A">
        <w:trPr>
          <w:trHeight w:val="3108"/>
        </w:trPr>
        <w:tc>
          <w:tcPr>
            <w:tcW w:w="1838" w:type="dxa"/>
            <w:shd w:val="clear" w:color="auto" w:fill="auto"/>
            <w:hideMark/>
          </w:tcPr>
          <w:p w14:paraId="26D8EE6F" w14:textId="77777777" w:rsidR="003E188A" w:rsidRPr="001F10F8" w:rsidRDefault="003E188A" w:rsidP="00C51741">
            <w:pPr>
              <w:spacing w:before="60" w:after="60"/>
            </w:pPr>
            <w:r w:rsidRPr="001F10F8">
              <w:t>Progesterone only contraceptives (POPs) and other progestins</w:t>
            </w:r>
          </w:p>
        </w:tc>
        <w:tc>
          <w:tcPr>
            <w:tcW w:w="2977" w:type="dxa"/>
            <w:shd w:val="clear" w:color="auto" w:fill="auto"/>
            <w:hideMark/>
          </w:tcPr>
          <w:p w14:paraId="6B3FDED4" w14:textId="77777777" w:rsidR="003E188A" w:rsidRDefault="003E188A" w:rsidP="003E188A">
            <w:pPr>
              <w:pStyle w:val="Bullet"/>
              <w:tabs>
                <w:tab w:val="num" w:pos="284"/>
              </w:tabs>
              <w:spacing w:before="120"/>
            </w:pPr>
            <w:r>
              <w:t>Norethisterone (</w:t>
            </w:r>
            <w:proofErr w:type="spellStart"/>
            <w:r>
              <w:t>Primolut</w:t>
            </w:r>
            <w:proofErr w:type="spellEnd"/>
            <w:r>
              <w:t xml:space="preserve">) </w:t>
            </w:r>
            <w:r>
              <w:rPr>
                <w:color w:val="FF0000"/>
              </w:rPr>
              <w:t xml:space="preserve">5 mg </w:t>
            </w:r>
          </w:p>
          <w:p w14:paraId="0C54684D" w14:textId="77777777" w:rsidR="003E188A" w:rsidRDefault="003E188A" w:rsidP="003E188A">
            <w:pPr>
              <w:pStyle w:val="Bullet"/>
              <w:tabs>
                <w:tab w:val="num" w:pos="284"/>
              </w:tabs>
              <w:spacing w:before="120"/>
            </w:pPr>
            <w:r>
              <w:t xml:space="preserve">Medroxyprogesterone acetate (Provera) 2.5, 5mg, </w:t>
            </w:r>
            <w:r>
              <w:rPr>
                <w:color w:val="FF0000"/>
              </w:rPr>
              <w:t>10 mg</w:t>
            </w:r>
            <w:r>
              <w:t>, 100 mg</w:t>
            </w:r>
          </w:p>
          <w:p w14:paraId="1D31FA10" w14:textId="77777777" w:rsidR="003E188A" w:rsidRDefault="003E188A" w:rsidP="003E188A">
            <w:pPr>
              <w:pStyle w:val="Bullet"/>
              <w:tabs>
                <w:tab w:val="num" w:pos="284"/>
              </w:tabs>
              <w:spacing w:before="120"/>
            </w:pPr>
            <w:r>
              <w:t>Cyproterone acetate (</w:t>
            </w:r>
            <w:proofErr w:type="spellStart"/>
            <w:r>
              <w:t>Siterone</w:t>
            </w:r>
            <w:proofErr w:type="spellEnd"/>
            <w:r>
              <w:t xml:space="preserve">) </w:t>
            </w:r>
            <w:r>
              <w:rPr>
                <w:color w:val="FF0000"/>
              </w:rPr>
              <w:t>50 mg</w:t>
            </w:r>
          </w:p>
          <w:p w14:paraId="2152F21C" w14:textId="7550771F" w:rsidR="003E188A" w:rsidRDefault="003E188A" w:rsidP="003E188A">
            <w:pPr>
              <w:pStyle w:val="Bullet"/>
              <w:tabs>
                <w:tab w:val="num" w:pos="284"/>
              </w:tabs>
              <w:spacing w:before="120"/>
            </w:pPr>
            <w:r>
              <w:t>Norethisterone (</w:t>
            </w:r>
            <w:proofErr w:type="spellStart"/>
            <w:r>
              <w:t>Noriday</w:t>
            </w:r>
            <w:proofErr w:type="spellEnd"/>
            <w:r>
              <w:t>) 35</w:t>
            </w:r>
            <w:r w:rsidR="00433117">
              <w:t>0</w:t>
            </w:r>
            <w:r>
              <w:t xml:space="preserve"> mcg</w:t>
            </w:r>
          </w:p>
        </w:tc>
        <w:tc>
          <w:tcPr>
            <w:tcW w:w="2268" w:type="dxa"/>
            <w:shd w:val="clear" w:color="auto" w:fill="auto"/>
          </w:tcPr>
          <w:p w14:paraId="061EDBCA" w14:textId="5045C084" w:rsidR="003E188A" w:rsidRDefault="003E188A" w:rsidP="003E188A">
            <w:pPr>
              <w:pStyle w:val="Bullet"/>
              <w:tabs>
                <w:tab w:val="num" w:pos="284"/>
              </w:tabs>
              <w:spacing w:before="120"/>
            </w:pPr>
            <w:r>
              <w:t>Levonorgestrel (</w:t>
            </w:r>
            <w:proofErr w:type="spellStart"/>
            <w:r>
              <w:t>Microlut</w:t>
            </w:r>
            <w:proofErr w:type="spellEnd"/>
            <w:r>
              <w:t xml:space="preserve">) </w:t>
            </w:r>
            <w:r w:rsidR="00241C48" w:rsidRPr="00076A9F">
              <w:rPr>
                <w:color w:val="000000" w:themeColor="text1"/>
              </w:rPr>
              <w:t xml:space="preserve">30 mcg, </w:t>
            </w:r>
            <w:r w:rsidR="00241C48">
              <w:rPr>
                <w:color w:val="FF0000"/>
              </w:rPr>
              <w:t>6</w:t>
            </w:r>
            <w:r>
              <w:rPr>
                <w:color w:val="FF0000"/>
              </w:rPr>
              <w:t>0 mcg</w:t>
            </w:r>
          </w:p>
          <w:p w14:paraId="68E29006" w14:textId="77777777" w:rsidR="003E188A" w:rsidRDefault="003E188A" w:rsidP="00C51741">
            <w:pPr>
              <w:pStyle w:val="Bullet"/>
              <w:numPr>
                <w:ilvl w:val="0"/>
                <w:numId w:val="0"/>
              </w:numPr>
            </w:pPr>
          </w:p>
        </w:tc>
        <w:tc>
          <w:tcPr>
            <w:tcW w:w="2126" w:type="dxa"/>
            <w:shd w:val="clear" w:color="auto" w:fill="auto"/>
            <w:hideMark/>
          </w:tcPr>
          <w:p w14:paraId="56BC267F" w14:textId="77777777" w:rsidR="003E188A" w:rsidRDefault="003E188A" w:rsidP="003E188A">
            <w:pPr>
              <w:pStyle w:val="Bullet"/>
              <w:tabs>
                <w:tab w:val="num" w:pos="284"/>
              </w:tabs>
              <w:spacing w:before="120"/>
            </w:pPr>
            <w:proofErr w:type="spellStart"/>
            <w:r>
              <w:t>Desogestrel</w:t>
            </w:r>
            <w:proofErr w:type="spellEnd"/>
            <w:r>
              <w:t xml:space="preserve"> (</w:t>
            </w:r>
            <w:proofErr w:type="spellStart"/>
            <w:r>
              <w:t>Cerazette</w:t>
            </w:r>
            <w:proofErr w:type="spellEnd"/>
            <w:r>
              <w:t xml:space="preserve">) </w:t>
            </w:r>
            <w:r>
              <w:rPr>
                <w:color w:val="FF0000"/>
              </w:rPr>
              <w:t>75 mcg</w:t>
            </w:r>
          </w:p>
          <w:p w14:paraId="0B1DBAB2" w14:textId="77777777" w:rsidR="003E188A" w:rsidRDefault="003E188A" w:rsidP="003E188A">
            <w:pPr>
              <w:pStyle w:val="Bullet"/>
              <w:tabs>
                <w:tab w:val="num" w:pos="284"/>
              </w:tabs>
              <w:spacing w:before="120"/>
              <w:rPr>
                <w:i/>
              </w:rPr>
            </w:pPr>
            <w:proofErr w:type="spellStart"/>
            <w:r>
              <w:rPr>
                <w:i/>
              </w:rPr>
              <w:t>Dienogest</w:t>
            </w:r>
            <w:proofErr w:type="spellEnd"/>
            <w:r>
              <w:rPr>
                <w:i/>
              </w:rPr>
              <w:t xml:space="preserve"> (</w:t>
            </w:r>
            <w:proofErr w:type="spellStart"/>
            <w:r>
              <w:rPr>
                <w:i/>
              </w:rPr>
              <w:t>Visanne</w:t>
            </w:r>
            <w:proofErr w:type="spellEnd"/>
            <w:r>
              <w:rPr>
                <w:i/>
              </w:rPr>
              <w:t xml:space="preserve">) </w:t>
            </w:r>
            <w:r>
              <w:rPr>
                <w:i/>
                <w:color w:val="FF0000"/>
              </w:rPr>
              <w:t>2 mg</w:t>
            </w:r>
          </w:p>
        </w:tc>
        <w:bookmarkStart w:id="33" w:name="_GoBack"/>
        <w:bookmarkEnd w:id="33"/>
      </w:tr>
      <w:tr w:rsidR="003E188A" w14:paraId="462DADBF" w14:textId="77777777" w:rsidTr="003E188A">
        <w:tc>
          <w:tcPr>
            <w:tcW w:w="1838" w:type="dxa"/>
            <w:shd w:val="clear" w:color="auto" w:fill="auto"/>
            <w:hideMark/>
          </w:tcPr>
          <w:p w14:paraId="41EA7087" w14:textId="77777777" w:rsidR="003E188A" w:rsidRPr="001F10F8" w:rsidRDefault="003E188A" w:rsidP="00C51741">
            <w:pPr>
              <w:spacing w:before="60" w:after="60"/>
            </w:pPr>
            <w:r w:rsidRPr="001F10F8">
              <w:t>Progesterone injections</w:t>
            </w:r>
          </w:p>
        </w:tc>
        <w:tc>
          <w:tcPr>
            <w:tcW w:w="2977" w:type="dxa"/>
            <w:shd w:val="clear" w:color="auto" w:fill="auto"/>
            <w:hideMark/>
          </w:tcPr>
          <w:p w14:paraId="59EBC87A" w14:textId="77777777" w:rsidR="003E188A" w:rsidRDefault="003E188A" w:rsidP="003E188A">
            <w:pPr>
              <w:pStyle w:val="Bullet"/>
              <w:tabs>
                <w:tab w:val="num" w:pos="284"/>
              </w:tabs>
              <w:spacing w:before="120"/>
            </w:pPr>
            <w:r>
              <w:t xml:space="preserve">Medroxyprogesterone acetate (Depo-Provera) </w:t>
            </w:r>
            <w:r>
              <w:rPr>
                <w:color w:val="FF0000"/>
              </w:rPr>
              <w:t>150 mg/ml</w:t>
            </w:r>
          </w:p>
        </w:tc>
        <w:tc>
          <w:tcPr>
            <w:tcW w:w="2268" w:type="dxa"/>
            <w:shd w:val="clear" w:color="auto" w:fill="auto"/>
          </w:tcPr>
          <w:p w14:paraId="4576DD91" w14:textId="77777777" w:rsidR="003E188A" w:rsidRDefault="003E188A" w:rsidP="00C51741">
            <w:pPr>
              <w:pStyle w:val="Bullet"/>
              <w:numPr>
                <w:ilvl w:val="0"/>
                <w:numId w:val="0"/>
              </w:numPr>
              <w:ind w:left="284"/>
            </w:pPr>
          </w:p>
        </w:tc>
        <w:tc>
          <w:tcPr>
            <w:tcW w:w="2126" w:type="dxa"/>
            <w:shd w:val="clear" w:color="auto" w:fill="auto"/>
          </w:tcPr>
          <w:p w14:paraId="7C1ED711" w14:textId="77777777" w:rsidR="003E188A" w:rsidRDefault="003E188A" w:rsidP="00C51741">
            <w:pPr>
              <w:pStyle w:val="Bullet"/>
              <w:numPr>
                <w:ilvl w:val="0"/>
                <w:numId w:val="0"/>
              </w:numPr>
              <w:ind w:left="284"/>
            </w:pPr>
          </w:p>
        </w:tc>
      </w:tr>
      <w:tr w:rsidR="003E188A" w14:paraId="3D8FFDD9" w14:textId="77777777" w:rsidTr="003E188A">
        <w:tc>
          <w:tcPr>
            <w:tcW w:w="1838" w:type="dxa"/>
            <w:shd w:val="clear" w:color="auto" w:fill="auto"/>
            <w:hideMark/>
          </w:tcPr>
          <w:p w14:paraId="616F5AEA" w14:textId="77777777" w:rsidR="003E188A" w:rsidRPr="001F10F8" w:rsidRDefault="003E188A" w:rsidP="00C51741">
            <w:pPr>
              <w:spacing w:before="60" w:after="60"/>
            </w:pPr>
            <w:r w:rsidRPr="001F10F8">
              <w:t>Intrauterine devices (delivery systems)</w:t>
            </w:r>
          </w:p>
        </w:tc>
        <w:tc>
          <w:tcPr>
            <w:tcW w:w="2977" w:type="dxa"/>
            <w:shd w:val="clear" w:color="auto" w:fill="auto"/>
            <w:hideMark/>
          </w:tcPr>
          <w:p w14:paraId="07FFBDBE" w14:textId="77777777" w:rsidR="003E188A" w:rsidRDefault="003E188A" w:rsidP="003E188A">
            <w:pPr>
              <w:pStyle w:val="Bullet"/>
              <w:tabs>
                <w:tab w:val="num" w:pos="284"/>
              </w:tabs>
              <w:spacing w:before="120"/>
            </w:pPr>
            <w:r>
              <w:t>Levonorgestrel (Mirena) 52 mg (mean release 15 ug/24 hrs)</w:t>
            </w:r>
          </w:p>
          <w:p w14:paraId="791EE9BA" w14:textId="77777777" w:rsidR="003E188A" w:rsidRDefault="003E188A" w:rsidP="003E188A">
            <w:pPr>
              <w:pStyle w:val="Bullet"/>
              <w:tabs>
                <w:tab w:val="num" w:pos="284"/>
              </w:tabs>
              <w:spacing w:before="120"/>
            </w:pPr>
            <w:r>
              <w:t>Levonorgestrel (</w:t>
            </w:r>
            <w:proofErr w:type="spellStart"/>
            <w:r>
              <w:t>Jaydess</w:t>
            </w:r>
            <w:proofErr w:type="spellEnd"/>
            <w:r>
              <w:t>) 13.5 mg (mean release 6 ug/24 hrs)</w:t>
            </w:r>
          </w:p>
        </w:tc>
        <w:tc>
          <w:tcPr>
            <w:tcW w:w="2268" w:type="dxa"/>
            <w:shd w:val="clear" w:color="auto" w:fill="auto"/>
          </w:tcPr>
          <w:p w14:paraId="31F97E41" w14:textId="77777777" w:rsidR="003E188A" w:rsidRDefault="003E188A" w:rsidP="00C51741">
            <w:pPr>
              <w:pStyle w:val="Bullet"/>
              <w:numPr>
                <w:ilvl w:val="0"/>
                <w:numId w:val="0"/>
              </w:numPr>
              <w:ind w:left="284"/>
            </w:pPr>
          </w:p>
        </w:tc>
        <w:tc>
          <w:tcPr>
            <w:tcW w:w="2126" w:type="dxa"/>
            <w:shd w:val="clear" w:color="auto" w:fill="auto"/>
          </w:tcPr>
          <w:p w14:paraId="4B6D5CDA" w14:textId="77777777" w:rsidR="003E188A" w:rsidRDefault="003E188A" w:rsidP="00C51741">
            <w:pPr>
              <w:pStyle w:val="Bullet"/>
              <w:numPr>
                <w:ilvl w:val="0"/>
                <w:numId w:val="0"/>
              </w:numPr>
              <w:ind w:left="284"/>
            </w:pPr>
          </w:p>
        </w:tc>
      </w:tr>
      <w:tr w:rsidR="003E188A" w14:paraId="0A0D6757" w14:textId="77777777" w:rsidTr="003E188A">
        <w:trPr>
          <w:trHeight w:val="768"/>
        </w:trPr>
        <w:tc>
          <w:tcPr>
            <w:tcW w:w="1838" w:type="dxa"/>
            <w:shd w:val="clear" w:color="auto" w:fill="auto"/>
            <w:hideMark/>
          </w:tcPr>
          <w:p w14:paraId="580A41D3" w14:textId="77777777" w:rsidR="003E188A" w:rsidRPr="001F10F8" w:rsidRDefault="003E188A" w:rsidP="00C51741">
            <w:pPr>
              <w:spacing w:before="60" w:after="60"/>
            </w:pPr>
            <w:r w:rsidRPr="001F10F8">
              <w:t>Implantable devices</w:t>
            </w:r>
          </w:p>
        </w:tc>
        <w:tc>
          <w:tcPr>
            <w:tcW w:w="2977" w:type="dxa"/>
            <w:shd w:val="clear" w:color="auto" w:fill="auto"/>
            <w:hideMark/>
          </w:tcPr>
          <w:p w14:paraId="1C8C2D3F" w14:textId="77777777" w:rsidR="003E188A" w:rsidRDefault="003E188A" w:rsidP="003E188A">
            <w:pPr>
              <w:pStyle w:val="Bullet"/>
              <w:tabs>
                <w:tab w:val="num" w:pos="284"/>
              </w:tabs>
              <w:spacing w:before="120"/>
            </w:pPr>
            <w:r>
              <w:t>Levonorgestrel (</w:t>
            </w:r>
            <w:proofErr w:type="spellStart"/>
            <w:r>
              <w:t>Jadelle</w:t>
            </w:r>
            <w:proofErr w:type="spellEnd"/>
            <w:r>
              <w:t>) 2x75 mg rods</w:t>
            </w:r>
          </w:p>
        </w:tc>
        <w:tc>
          <w:tcPr>
            <w:tcW w:w="2268" w:type="dxa"/>
            <w:shd w:val="clear" w:color="auto" w:fill="auto"/>
          </w:tcPr>
          <w:p w14:paraId="48B08B73" w14:textId="77777777" w:rsidR="003E188A" w:rsidRDefault="003E188A" w:rsidP="00C51741">
            <w:pPr>
              <w:pStyle w:val="Bullet"/>
              <w:numPr>
                <w:ilvl w:val="0"/>
                <w:numId w:val="0"/>
              </w:numPr>
              <w:ind w:left="284"/>
            </w:pPr>
          </w:p>
        </w:tc>
        <w:tc>
          <w:tcPr>
            <w:tcW w:w="2126" w:type="dxa"/>
            <w:shd w:val="clear" w:color="auto" w:fill="auto"/>
            <w:hideMark/>
          </w:tcPr>
          <w:p w14:paraId="37E29225" w14:textId="77777777" w:rsidR="003E188A" w:rsidRDefault="003E188A" w:rsidP="003E188A">
            <w:pPr>
              <w:pStyle w:val="Bullet"/>
              <w:tabs>
                <w:tab w:val="num" w:pos="284"/>
              </w:tabs>
              <w:spacing w:before="120"/>
              <w:rPr>
                <w:i/>
              </w:rPr>
            </w:pPr>
            <w:proofErr w:type="spellStart"/>
            <w:r>
              <w:rPr>
                <w:i/>
              </w:rPr>
              <w:t>Etonogestrel</w:t>
            </w:r>
            <w:proofErr w:type="spellEnd"/>
            <w:r>
              <w:rPr>
                <w:i/>
              </w:rPr>
              <w:t xml:space="preserve"> (1x68 mg rod)</w:t>
            </w:r>
          </w:p>
        </w:tc>
      </w:tr>
      <w:tr w:rsidR="003E188A" w14:paraId="7A22E651" w14:textId="77777777" w:rsidTr="003E188A">
        <w:tc>
          <w:tcPr>
            <w:tcW w:w="1838" w:type="dxa"/>
            <w:shd w:val="clear" w:color="auto" w:fill="auto"/>
            <w:hideMark/>
          </w:tcPr>
          <w:p w14:paraId="3F423C89" w14:textId="77777777" w:rsidR="003E188A" w:rsidRPr="001F10F8" w:rsidRDefault="003E188A" w:rsidP="00C51741">
            <w:pPr>
              <w:spacing w:before="60" w:after="60"/>
            </w:pPr>
            <w:r w:rsidRPr="001F10F8">
              <w:t>Combined oral contraceptive pills (COCPs)</w:t>
            </w:r>
          </w:p>
        </w:tc>
        <w:tc>
          <w:tcPr>
            <w:tcW w:w="2977" w:type="dxa"/>
            <w:shd w:val="clear" w:color="auto" w:fill="auto"/>
            <w:hideMark/>
          </w:tcPr>
          <w:p w14:paraId="6B193BFE" w14:textId="77777777" w:rsidR="003E188A" w:rsidRDefault="003E188A" w:rsidP="003E188A">
            <w:pPr>
              <w:pStyle w:val="Bullet"/>
              <w:tabs>
                <w:tab w:val="num" w:pos="284"/>
              </w:tabs>
              <w:spacing w:before="120"/>
            </w:pPr>
            <w:r>
              <w:t>Numerous preparations with subsidy attached</w:t>
            </w:r>
          </w:p>
        </w:tc>
        <w:tc>
          <w:tcPr>
            <w:tcW w:w="2268" w:type="dxa"/>
            <w:shd w:val="clear" w:color="auto" w:fill="auto"/>
          </w:tcPr>
          <w:p w14:paraId="421F7283" w14:textId="77777777" w:rsidR="003E188A" w:rsidRDefault="003E188A" w:rsidP="00C51741">
            <w:pPr>
              <w:pStyle w:val="Bullet"/>
              <w:numPr>
                <w:ilvl w:val="0"/>
                <w:numId w:val="0"/>
              </w:numPr>
              <w:ind w:left="284"/>
            </w:pPr>
          </w:p>
        </w:tc>
        <w:tc>
          <w:tcPr>
            <w:tcW w:w="2126" w:type="dxa"/>
            <w:shd w:val="clear" w:color="auto" w:fill="auto"/>
          </w:tcPr>
          <w:p w14:paraId="4B78F384" w14:textId="77777777" w:rsidR="003E188A" w:rsidRDefault="003E188A" w:rsidP="00C51741">
            <w:pPr>
              <w:pStyle w:val="Bullet"/>
              <w:numPr>
                <w:ilvl w:val="0"/>
                <w:numId w:val="0"/>
              </w:numPr>
              <w:ind w:left="284"/>
            </w:pPr>
          </w:p>
        </w:tc>
      </w:tr>
      <w:tr w:rsidR="003E188A" w14:paraId="54CEA649" w14:textId="77777777" w:rsidTr="003E188A">
        <w:trPr>
          <w:trHeight w:val="1363"/>
        </w:trPr>
        <w:tc>
          <w:tcPr>
            <w:tcW w:w="1838" w:type="dxa"/>
            <w:shd w:val="clear" w:color="auto" w:fill="auto"/>
            <w:hideMark/>
          </w:tcPr>
          <w:p w14:paraId="27EAA9B0" w14:textId="77777777" w:rsidR="003E188A" w:rsidRPr="001F10F8" w:rsidRDefault="003E188A" w:rsidP="00C51741">
            <w:pPr>
              <w:spacing w:before="60" w:after="60"/>
            </w:pPr>
            <w:r w:rsidRPr="001F10F8">
              <w:t>Gonadotrophin releasing hormone agonists (GnRH-agonist)</w:t>
            </w:r>
          </w:p>
        </w:tc>
        <w:tc>
          <w:tcPr>
            <w:tcW w:w="2977" w:type="dxa"/>
            <w:shd w:val="clear" w:color="auto" w:fill="auto"/>
            <w:hideMark/>
          </w:tcPr>
          <w:p w14:paraId="707C8CF1" w14:textId="77777777" w:rsidR="003E188A" w:rsidRDefault="003E188A" w:rsidP="003E188A">
            <w:pPr>
              <w:pStyle w:val="Bullet"/>
              <w:tabs>
                <w:tab w:val="num" w:pos="284"/>
              </w:tabs>
              <w:spacing w:before="120"/>
            </w:pPr>
            <w:proofErr w:type="spellStart"/>
            <w:r>
              <w:t>Goserelin</w:t>
            </w:r>
            <w:proofErr w:type="spellEnd"/>
            <w:r>
              <w:t xml:space="preserve"> (</w:t>
            </w:r>
            <w:proofErr w:type="spellStart"/>
            <w:r>
              <w:t>Zoladex</w:t>
            </w:r>
            <w:proofErr w:type="spellEnd"/>
            <w:r>
              <w:t>) 3.6mg, 10.8mg</w:t>
            </w:r>
          </w:p>
          <w:p w14:paraId="7537E8BE" w14:textId="77777777" w:rsidR="003E188A" w:rsidRDefault="003E188A" w:rsidP="003E188A">
            <w:pPr>
              <w:pStyle w:val="Bullet"/>
              <w:tabs>
                <w:tab w:val="num" w:pos="284"/>
              </w:tabs>
              <w:spacing w:before="120"/>
            </w:pPr>
            <w:r>
              <w:t>Leuprorelin (</w:t>
            </w:r>
            <w:proofErr w:type="spellStart"/>
            <w:r>
              <w:t>Lucrin</w:t>
            </w:r>
            <w:proofErr w:type="spellEnd"/>
            <w:r>
              <w:t>) 3.75 mg, 11.25 mg (1 and 3 months)</w:t>
            </w:r>
          </w:p>
        </w:tc>
        <w:tc>
          <w:tcPr>
            <w:tcW w:w="2268" w:type="dxa"/>
            <w:shd w:val="clear" w:color="auto" w:fill="auto"/>
          </w:tcPr>
          <w:p w14:paraId="7CE8B024" w14:textId="77777777" w:rsidR="003E188A" w:rsidRDefault="003E188A" w:rsidP="00C51741">
            <w:pPr>
              <w:pStyle w:val="Bullet"/>
              <w:numPr>
                <w:ilvl w:val="0"/>
                <w:numId w:val="0"/>
              </w:numPr>
              <w:ind w:left="284"/>
            </w:pPr>
          </w:p>
        </w:tc>
        <w:tc>
          <w:tcPr>
            <w:tcW w:w="2126" w:type="dxa"/>
            <w:shd w:val="clear" w:color="auto" w:fill="auto"/>
          </w:tcPr>
          <w:p w14:paraId="05BA3D4F" w14:textId="77777777" w:rsidR="003E188A" w:rsidRDefault="003E188A" w:rsidP="00C51741">
            <w:pPr>
              <w:pStyle w:val="Bullet"/>
              <w:numPr>
                <w:ilvl w:val="0"/>
                <w:numId w:val="0"/>
              </w:numPr>
              <w:ind w:left="284"/>
            </w:pPr>
          </w:p>
        </w:tc>
      </w:tr>
    </w:tbl>
    <w:p w14:paraId="16CE2D44" w14:textId="22113F62" w:rsidR="009410FE" w:rsidRDefault="003E188A" w:rsidP="003E188A">
      <w:pPr>
        <w:spacing w:before="60" w:after="120"/>
        <w:rPr>
          <w:color w:val="000000" w:themeColor="text1"/>
          <w:sz w:val="20"/>
          <w:szCs w:val="24"/>
        </w:rPr>
      </w:pPr>
      <w:r>
        <w:rPr>
          <w:sz w:val="20"/>
          <w:szCs w:val="24"/>
        </w:rPr>
        <w:t xml:space="preserve">Note: </w:t>
      </w:r>
      <w:r>
        <w:rPr>
          <w:color w:val="FF0000"/>
          <w:sz w:val="20"/>
          <w:szCs w:val="24"/>
        </w:rPr>
        <w:t xml:space="preserve">red </w:t>
      </w:r>
      <w:r>
        <w:rPr>
          <w:color w:val="000000" w:themeColor="text1"/>
          <w:sz w:val="20"/>
          <w:szCs w:val="24"/>
        </w:rPr>
        <w:t xml:space="preserve">denotes anovulatory dose; </w:t>
      </w:r>
      <w:r>
        <w:rPr>
          <w:i/>
          <w:color w:val="000000" w:themeColor="text1"/>
          <w:sz w:val="20"/>
          <w:szCs w:val="24"/>
        </w:rPr>
        <w:t>italics</w:t>
      </w:r>
      <w:r>
        <w:rPr>
          <w:color w:val="000000" w:themeColor="text1"/>
          <w:sz w:val="20"/>
          <w:szCs w:val="24"/>
        </w:rPr>
        <w:t xml:space="preserve"> denotes not currently registered in New Zealand as of December 2019</w:t>
      </w:r>
    </w:p>
    <w:p w14:paraId="0AB949C1" w14:textId="77777777" w:rsidR="009410FE" w:rsidRDefault="009410FE">
      <w:pPr>
        <w:rPr>
          <w:color w:val="000000" w:themeColor="text1"/>
          <w:sz w:val="20"/>
          <w:szCs w:val="24"/>
        </w:rPr>
      </w:pPr>
      <w:r>
        <w:rPr>
          <w:color w:val="000000" w:themeColor="text1"/>
          <w:sz w:val="20"/>
          <w:szCs w:val="24"/>
        </w:rPr>
        <w:br w:type="page"/>
      </w:r>
    </w:p>
    <w:p w14:paraId="0D03009B" w14:textId="77777777" w:rsidR="003E188A" w:rsidRDefault="003E188A" w:rsidP="003E188A">
      <w:pPr>
        <w:pStyle w:val="Heading2"/>
      </w:pPr>
      <w:bookmarkStart w:id="34" w:name="_Toc33613154"/>
      <w:bookmarkStart w:id="35" w:name="_Toc33785911"/>
      <w:r>
        <w:lastRenderedPageBreak/>
        <w:t>References</w:t>
      </w:r>
      <w:bookmarkEnd w:id="34"/>
      <w:bookmarkEnd w:id="35"/>
    </w:p>
    <w:p w14:paraId="473AFDF8" w14:textId="77777777" w:rsidR="003E188A" w:rsidRPr="001F10F8" w:rsidRDefault="003E188A" w:rsidP="003E188A">
      <w:pPr>
        <w:pStyle w:val="ListParagraph"/>
        <w:numPr>
          <w:ilvl w:val="0"/>
          <w:numId w:val="28"/>
        </w:numPr>
        <w:spacing w:before="160" w:after="200"/>
        <w:ind w:left="567" w:hanging="567"/>
        <w:contextualSpacing w:val="0"/>
        <w:rPr>
          <w:color w:val="000000" w:themeColor="text1"/>
        </w:rPr>
      </w:pPr>
      <w:r w:rsidRPr="001F10F8">
        <w:rPr>
          <w:color w:val="000000" w:themeColor="text1"/>
        </w:rPr>
        <w:t xml:space="preserve">Neil P, Johnson N, </w:t>
      </w:r>
      <w:proofErr w:type="spellStart"/>
      <w:r w:rsidRPr="001F10F8">
        <w:rPr>
          <w:color w:val="000000" w:themeColor="text1"/>
        </w:rPr>
        <w:t>Hummelshoj</w:t>
      </w:r>
      <w:proofErr w:type="spellEnd"/>
      <w:r w:rsidRPr="001F10F8">
        <w:rPr>
          <w:color w:val="000000" w:themeColor="text1"/>
        </w:rPr>
        <w:t xml:space="preserve"> L. 2013. Consensus on current management of endometriosis. </w:t>
      </w:r>
      <w:r w:rsidRPr="001F10F8">
        <w:rPr>
          <w:i/>
          <w:color w:val="000000" w:themeColor="text1"/>
        </w:rPr>
        <w:t>Human Reproduction</w:t>
      </w:r>
      <w:r w:rsidRPr="001F10F8">
        <w:rPr>
          <w:color w:val="000000" w:themeColor="text1"/>
        </w:rPr>
        <w:t xml:space="preserve"> 2013(28):</w:t>
      </w:r>
      <w:r w:rsidRPr="001F10F8">
        <w:rPr>
          <w:color w:val="000000" w:themeColor="text1"/>
          <w:shd w:val="clear" w:color="auto" w:fill="FCFCFC"/>
        </w:rPr>
        <w:t xml:space="preserve"> 1552–68.</w:t>
      </w:r>
    </w:p>
    <w:p w14:paraId="3D2DEDC2" w14:textId="77777777" w:rsidR="003E188A" w:rsidRPr="001F10F8" w:rsidRDefault="003E188A" w:rsidP="003E188A">
      <w:pPr>
        <w:pStyle w:val="ListParagraph"/>
        <w:widowControl w:val="0"/>
        <w:numPr>
          <w:ilvl w:val="0"/>
          <w:numId w:val="28"/>
        </w:numPr>
        <w:autoSpaceDE w:val="0"/>
        <w:autoSpaceDN w:val="0"/>
        <w:adjustRightInd w:val="0"/>
        <w:spacing w:before="160"/>
        <w:ind w:left="567" w:hanging="567"/>
        <w:contextualSpacing w:val="0"/>
        <w:rPr>
          <w:rFonts w:eastAsiaTheme="minorHAnsi"/>
          <w:color w:val="000000" w:themeColor="text1"/>
        </w:rPr>
      </w:pPr>
      <w:r w:rsidRPr="001F10F8">
        <w:rPr>
          <w:color w:val="000000" w:themeColor="text1"/>
        </w:rPr>
        <w:t xml:space="preserve">American College of Obstetricians and </w:t>
      </w:r>
      <w:proofErr w:type="spellStart"/>
      <w:r w:rsidRPr="001F10F8">
        <w:rPr>
          <w:color w:val="000000" w:themeColor="text1"/>
        </w:rPr>
        <w:t>Gynecologists</w:t>
      </w:r>
      <w:proofErr w:type="spellEnd"/>
      <w:r w:rsidRPr="001F10F8">
        <w:rPr>
          <w:color w:val="000000" w:themeColor="text1"/>
        </w:rPr>
        <w:t xml:space="preserve">. 2010. Practice Bulletin no 114. Management of endometriosis. </w:t>
      </w:r>
      <w:r w:rsidRPr="001F10F8">
        <w:rPr>
          <w:i/>
          <w:iCs/>
          <w:color w:val="000000" w:themeColor="text1"/>
        </w:rPr>
        <w:t xml:space="preserve">Obstetrics &amp; </w:t>
      </w:r>
      <w:proofErr w:type="spellStart"/>
      <w:r w:rsidRPr="001F10F8">
        <w:rPr>
          <w:i/>
          <w:iCs/>
          <w:color w:val="000000" w:themeColor="text1"/>
        </w:rPr>
        <w:t>Gynecology</w:t>
      </w:r>
      <w:proofErr w:type="spellEnd"/>
      <w:r w:rsidRPr="001F10F8">
        <w:rPr>
          <w:i/>
          <w:color w:val="000000" w:themeColor="text1"/>
        </w:rPr>
        <w:t>.</w:t>
      </w:r>
      <w:r w:rsidRPr="001F10F8">
        <w:rPr>
          <w:color w:val="000000" w:themeColor="text1"/>
        </w:rPr>
        <w:t xml:space="preserve"> 116: 223–36.</w:t>
      </w:r>
    </w:p>
    <w:p w14:paraId="2606FD13" w14:textId="77777777" w:rsidR="003E188A" w:rsidRPr="001F10F8" w:rsidRDefault="003E188A" w:rsidP="003E188A">
      <w:pPr>
        <w:pStyle w:val="ListParagraph"/>
        <w:widowControl w:val="0"/>
        <w:numPr>
          <w:ilvl w:val="0"/>
          <w:numId w:val="28"/>
        </w:numPr>
        <w:autoSpaceDE w:val="0"/>
        <w:autoSpaceDN w:val="0"/>
        <w:adjustRightInd w:val="0"/>
        <w:spacing w:before="160"/>
        <w:ind w:left="567" w:hanging="567"/>
        <w:contextualSpacing w:val="0"/>
        <w:rPr>
          <w:color w:val="000000" w:themeColor="text1"/>
        </w:rPr>
      </w:pPr>
      <w:proofErr w:type="spellStart"/>
      <w:r w:rsidRPr="001F10F8">
        <w:rPr>
          <w:color w:val="000000" w:themeColor="text1"/>
        </w:rPr>
        <w:t>Dunselman</w:t>
      </w:r>
      <w:proofErr w:type="spellEnd"/>
      <w:r w:rsidRPr="001F10F8">
        <w:rPr>
          <w:color w:val="000000" w:themeColor="text1"/>
        </w:rPr>
        <w:t xml:space="preserve"> G, Vermeulen N, Becker C et al. 2014. ESHRE guideline: management of women with endometriosis. </w:t>
      </w:r>
      <w:r w:rsidRPr="001F10F8">
        <w:rPr>
          <w:i/>
          <w:color w:val="000000" w:themeColor="text1"/>
        </w:rPr>
        <w:t>Human Reproduction</w:t>
      </w:r>
      <w:r w:rsidRPr="001F10F8">
        <w:rPr>
          <w:color w:val="000000" w:themeColor="text1"/>
        </w:rPr>
        <w:t xml:space="preserve"> 29: 400–12.</w:t>
      </w:r>
    </w:p>
    <w:p w14:paraId="75279452" w14:textId="77777777" w:rsidR="003E188A" w:rsidRPr="001F10F8" w:rsidRDefault="003E188A" w:rsidP="003E188A">
      <w:pPr>
        <w:pStyle w:val="ListParagraph"/>
        <w:numPr>
          <w:ilvl w:val="0"/>
          <w:numId w:val="28"/>
        </w:numPr>
        <w:spacing w:before="160"/>
        <w:ind w:left="567" w:hanging="567"/>
        <w:contextualSpacing w:val="0"/>
        <w:rPr>
          <w:color w:val="000000" w:themeColor="text1"/>
        </w:rPr>
      </w:pPr>
      <w:r w:rsidRPr="001F10F8">
        <w:rPr>
          <w:color w:val="000000" w:themeColor="text1"/>
          <w:shd w:val="clear" w:color="auto" w:fill="FFFFFF"/>
        </w:rPr>
        <w:t>Leyland N, Casper R, Laberge P, Singh S, SOCG. 2010. </w:t>
      </w:r>
      <w:r w:rsidRPr="001F10F8">
        <w:rPr>
          <w:bCs/>
          <w:color w:val="000000" w:themeColor="text1"/>
          <w:shd w:val="clear" w:color="auto" w:fill="FFFFFF"/>
        </w:rPr>
        <w:t xml:space="preserve"> Endometriosis: diagnosis and management. </w:t>
      </w:r>
      <w:r w:rsidRPr="001F10F8">
        <w:rPr>
          <w:bCs/>
          <w:i/>
          <w:iCs/>
          <w:color w:val="000000" w:themeColor="text1"/>
          <w:shd w:val="clear" w:color="auto" w:fill="FFFFFF"/>
        </w:rPr>
        <w:t>Journal of Obstetrics and Gynaecology Canada</w:t>
      </w:r>
      <w:r w:rsidRPr="001F10F8">
        <w:rPr>
          <w:color w:val="000000" w:themeColor="text1"/>
          <w:shd w:val="clear" w:color="auto" w:fill="FFFFFF"/>
        </w:rPr>
        <w:t> 32:  S1–S32.</w:t>
      </w:r>
    </w:p>
    <w:p w14:paraId="0A720681" w14:textId="77777777" w:rsidR="003E188A" w:rsidRPr="001F10F8" w:rsidRDefault="003E188A" w:rsidP="003E188A">
      <w:pPr>
        <w:pStyle w:val="ListParagraph"/>
        <w:numPr>
          <w:ilvl w:val="0"/>
          <w:numId w:val="28"/>
        </w:numPr>
        <w:spacing w:before="160"/>
        <w:ind w:left="567" w:hanging="567"/>
        <w:contextualSpacing w:val="0"/>
        <w:rPr>
          <w:color w:val="000000" w:themeColor="text1"/>
        </w:rPr>
      </w:pPr>
      <w:proofErr w:type="spellStart"/>
      <w:r w:rsidRPr="001F10F8">
        <w:rPr>
          <w:color w:val="000000" w:themeColor="text1"/>
          <w:shd w:val="clear" w:color="auto" w:fill="FFFFFF"/>
        </w:rPr>
        <w:t>Vercellini</w:t>
      </w:r>
      <w:proofErr w:type="spellEnd"/>
      <w:r w:rsidRPr="001F10F8">
        <w:rPr>
          <w:color w:val="000000" w:themeColor="text1"/>
          <w:shd w:val="clear" w:color="auto" w:fill="FFFFFF"/>
        </w:rPr>
        <w:t xml:space="preserve"> P, </w:t>
      </w:r>
      <w:proofErr w:type="spellStart"/>
      <w:r w:rsidRPr="001F10F8">
        <w:rPr>
          <w:color w:val="000000" w:themeColor="text1"/>
          <w:shd w:val="clear" w:color="auto" w:fill="FFFFFF"/>
        </w:rPr>
        <w:t>Buggio</w:t>
      </w:r>
      <w:proofErr w:type="spellEnd"/>
      <w:r w:rsidRPr="001F10F8">
        <w:rPr>
          <w:color w:val="000000" w:themeColor="text1"/>
          <w:shd w:val="clear" w:color="auto" w:fill="FFFFFF"/>
        </w:rPr>
        <w:t xml:space="preserve"> L, </w:t>
      </w:r>
      <w:proofErr w:type="spellStart"/>
      <w:r w:rsidRPr="001F10F8">
        <w:rPr>
          <w:color w:val="000000" w:themeColor="text1"/>
          <w:shd w:val="clear" w:color="auto" w:fill="FFFFFF"/>
        </w:rPr>
        <w:t>Berlanda</w:t>
      </w:r>
      <w:proofErr w:type="spellEnd"/>
      <w:r w:rsidRPr="001F10F8">
        <w:rPr>
          <w:color w:val="000000" w:themeColor="text1"/>
          <w:shd w:val="clear" w:color="auto" w:fill="FFFFFF"/>
        </w:rPr>
        <w:t xml:space="preserve"> N, Barbara G et al. 2016. </w:t>
      </w:r>
      <w:proofErr w:type="spellStart"/>
      <w:r w:rsidRPr="001F10F8">
        <w:rPr>
          <w:bCs/>
          <w:color w:val="000000" w:themeColor="text1"/>
          <w:shd w:val="clear" w:color="auto" w:fill="FFFFFF"/>
        </w:rPr>
        <w:t>Estrogen</w:t>
      </w:r>
      <w:proofErr w:type="spellEnd"/>
      <w:r w:rsidRPr="001F10F8">
        <w:rPr>
          <w:bCs/>
          <w:color w:val="000000" w:themeColor="text1"/>
          <w:shd w:val="clear" w:color="auto" w:fill="FFFFFF"/>
        </w:rPr>
        <w:t>-progestins and progestins for the management of endometriosis. </w:t>
      </w:r>
      <w:r w:rsidRPr="001F10F8">
        <w:rPr>
          <w:i/>
          <w:iCs/>
          <w:color w:val="000000" w:themeColor="text1"/>
          <w:shd w:val="clear" w:color="auto" w:fill="FFFFFF"/>
        </w:rPr>
        <w:t>Fertility and Sterility</w:t>
      </w:r>
      <w:r w:rsidRPr="001F10F8">
        <w:rPr>
          <w:color w:val="000000" w:themeColor="text1"/>
          <w:shd w:val="clear" w:color="auto" w:fill="FFFFFF"/>
        </w:rPr>
        <w:t> 106: 1552–1571.</w:t>
      </w:r>
    </w:p>
    <w:p w14:paraId="537027F4" w14:textId="77777777" w:rsidR="003E188A" w:rsidRPr="001F10F8" w:rsidRDefault="003E188A" w:rsidP="003E188A">
      <w:pPr>
        <w:pStyle w:val="ListParagraph"/>
        <w:numPr>
          <w:ilvl w:val="0"/>
          <w:numId w:val="28"/>
        </w:numPr>
        <w:spacing w:before="160"/>
        <w:ind w:left="567" w:hanging="567"/>
        <w:contextualSpacing w:val="0"/>
        <w:rPr>
          <w:color w:val="000000" w:themeColor="text1"/>
        </w:rPr>
      </w:pPr>
      <w:r w:rsidRPr="001F10F8">
        <w:rPr>
          <w:color w:val="000000" w:themeColor="text1"/>
          <w:shd w:val="clear" w:color="auto" w:fill="FFFFFF"/>
        </w:rPr>
        <w:t xml:space="preserve">Casper F. 2017. Progestin-only pills may be a better first-line treatment for endometriosis than combined </w:t>
      </w:r>
      <w:proofErr w:type="spellStart"/>
      <w:r w:rsidRPr="001F10F8">
        <w:rPr>
          <w:color w:val="000000" w:themeColor="text1"/>
          <w:shd w:val="clear" w:color="auto" w:fill="FFFFFF"/>
        </w:rPr>
        <w:t>estrogen</w:t>
      </w:r>
      <w:proofErr w:type="spellEnd"/>
      <w:r w:rsidRPr="001F10F8">
        <w:rPr>
          <w:color w:val="000000" w:themeColor="text1"/>
          <w:shd w:val="clear" w:color="auto" w:fill="FFFFFF"/>
        </w:rPr>
        <w:t xml:space="preserve">-progestin contraceptive pills. </w:t>
      </w:r>
      <w:r w:rsidRPr="001F10F8">
        <w:rPr>
          <w:i/>
          <w:iCs/>
          <w:color w:val="000000" w:themeColor="text1"/>
          <w:shd w:val="clear" w:color="auto" w:fill="FFFFFF"/>
        </w:rPr>
        <w:t>Fertility and Sterility</w:t>
      </w:r>
      <w:r w:rsidRPr="001F10F8">
        <w:rPr>
          <w:color w:val="000000" w:themeColor="text1"/>
          <w:shd w:val="clear" w:color="auto" w:fill="FFFFFF"/>
        </w:rPr>
        <w:t xml:space="preserve"> 107: 533–36.</w:t>
      </w:r>
    </w:p>
    <w:p w14:paraId="10B9921C" w14:textId="77777777" w:rsidR="003E188A" w:rsidRPr="001F10F8" w:rsidRDefault="003E188A" w:rsidP="003E188A">
      <w:pPr>
        <w:pStyle w:val="ListParagraph"/>
        <w:numPr>
          <w:ilvl w:val="0"/>
          <w:numId w:val="28"/>
        </w:numPr>
        <w:spacing w:before="160"/>
        <w:ind w:left="567" w:hanging="567"/>
        <w:contextualSpacing w:val="0"/>
        <w:rPr>
          <w:color w:val="000000" w:themeColor="text1"/>
        </w:rPr>
      </w:pPr>
      <w:r w:rsidRPr="001F10F8">
        <w:rPr>
          <w:color w:val="000000" w:themeColor="text1"/>
          <w:shd w:val="clear" w:color="auto" w:fill="FFFFFF"/>
        </w:rPr>
        <w:t xml:space="preserve">Harada T, </w:t>
      </w:r>
      <w:proofErr w:type="spellStart"/>
      <w:r w:rsidRPr="001F10F8">
        <w:rPr>
          <w:color w:val="000000" w:themeColor="text1"/>
          <w:shd w:val="clear" w:color="auto" w:fill="FFFFFF"/>
        </w:rPr>
        <w:t>Momoeda</w:t>
      </w:r>
      <w:proofErr w:type="spellEnd"/>
      <w:r w:rsidRPr="001F10F8">
        <w:rPr>
          <w:color w:val="000000" w:themeColor="text1"/>
          <w:shd w:val="clear" w:color="auto" w:fill="FFFFFF"/>
        </w:rPr>
        <w:t xml:space="preserve"> M </w:t>
      </w:r>
      <w:proofErr w:type="spellStart"/>
      <w:r w:rsidRPr="001F10F8">
        <w:rPr>
          <w:color w:val="000000" w:themeColor="text1"/>
          <w:shd w:val="clear" w:color="auto" w:fill="FFFFFF"/>
        </w:rPr>
        <w:t>Taketani</w:t>
      </w:r>
      <w:proofErr w:type="spellEnd"/>
      <w:r w:rsidRPr="001F10F8">
        <w:rPr>
          <w:color w:val="000000" w:themeColor="text1"/>
          <w:shd w:val="clear" w:color="auto" w:fill="FFFFFF"/>
        </w:rPr>
        <w:t xml:space="preserve"> Y et al. 2008. </w:t>
      </w:r>
      <w:r w:rsidRPr="001F10F8">
        <w:rPr>
          <w:bCs/>
          <w:color w:val="000000" w:themeColor="text1"/>
          <w:shd w:val="clear" w:color="auto" w:fill="FFFFFF"/>
        </w:rPr>
        <w:t>Low-dose oral contraceptive pill for dysmenorrhea associated with endometriosis: a placebo-controlled, double-blind, randomized trial. </w:t>
      </w:r>
      <w:r w:rsidRPr="001F10F8">
        <w:rPr>
          <w:i/>
          <w:iCs/>
          <w:color w:val="000000" w:themeColor="text1"/>
          <w:shd w:val="clear" w:color="auto" w:fill="FFFFFF"/>
        </w:rPr>
        <w:t>Fertility and Sterility</w:t>
      </w:r>
      <w:r w:rsidRPr="001F10F8">
        <w:rPr>
          <w:color w:val="000000" w:themeColor="text1"/>
          <w:shd w:val="clear" w:color="auto" w:fill="FFFFFF"/>
        </w:rPr>
        <w:t xml:space="preserve"> 90: 1583–1588.</w:t>
      </w:r>
    </w:p>
    <w:p w14:paraId="3A27072D" w14:textId="77777777" w:rsidR="003E188A" w:rsidRPr="001F10F8" w:rsidRDefault="003E188A" w:rsidP="003E188A">
      <w:pPr>
        <w:pStyle w:val="ListParagraph"/>
        <w:numPr>
          <w:ilvl w:val="0"/>
          <w:numId w:val="28"/>
        </w:numPr>
        <w:spacing w:before="160"/>
        <w:ind w:left="567" w:hanging="567"/>
        <w:contextualSpacing w:val="0"/>
        <w:rPr>
          <w:color w:val="000000" w:themeColor="text1"/>
        </w:rPr>
      </w:pPr>
      <w:r w:rsidRPr="001F10F8">
        <w:rPr>
          <w:color w:val="000000" w:themeColor="text1"/>
          <w:shd w:val="clear" w:color="auto" w:fill="FFFFFF"/>
        </w:rPr>
        <w:t xml:space="preserve">Jenkins T, Liu C and White J. 2008. </w:t>
      </w:r>
      <w:r w:rsidRPr="001F10F8">
        <w:rPr>
          <w:bCs/>
          <w:color w:val="000000" w:themeColor="text1"/>
          <w:shd w:val="clear" w:color="auto" w:fill="FFFFFF"/>
        </w:rPr>
        <w:t>Does response to hormonal therapy predict presence or absence of endometriosis</w:t>
      </w:r>
      <w:r w:rsidRPr="001F10F8">
        <w:t xml:space="preserve"> </w:t>
      </w:r>
      <w:r w:rsidRPr="001F10F8">
        <w:rPr>
          <w:bCs/>
          <w:i/>
          <w:iCs/>
          <w:color w:val="000000" w:themeColor="text1"/>
          <w:shd w:val="clear" w:color="auto" w:fill="FFFFFF"/>
        </w:rPr>
        <w:t xml:space="preserve">Journal of Minimally Invasive </w:t>
      </w:r>
      <w:proofErr w:type="spellStart"/>
      <w:r w:rsidRPr="001F10F8">
        <w:rPr>
          <w:bCs/>
          <w:i/>
          <w:iCs/>
          <w:color w:val="000000" w:themeColor="text1"/>
          <w:shd w:val="clear" w:color="auto" w:fill="FFFFFF"/>
        </w:rPr>
        <w:t>Gynecology</w:t>
      </w:r>
      <w:proofErr w:type="spellEnd"/>
      <w:r w:rsidRPr="001F10F8">
        <w:rPr>
          <w:color w:val="000000" w:themeColor="text1"/>
          <w:shd w:val="clear" w:color="auto" w:fill="FFFFFF"/>
        </w:rPr>
        <w:t xml:space="preserve"> 2008(15): 82–86.</w:t>
      </w:r>
    </w:p>
    <w:p w14:paraId="064B1C5F" w14:textId="77777777" w:rsidR="003E188A" w:rsidRPr="001F10F8" w:rsidRDefault="003E188A" w:rsidP="003E188A">
      <w:pPr>
        <w:pStyle w:val="ListParagraph"/>
        <w:widowControl w:val="0"/>
        <w:numPr>
          <w:ilvl w:val="0"/>
          <w:numId w:val="28"/>
        </w:numPr>
        <w:autoSpaceDE w:val="0"/>
        <w:autoSpaceDN w:val="0"/>
        <w:adjustRightInd w:val="0"/>
        <w:spacing w:before="160"/>
        <w:ind w:left="567" w:hanging="567"/>
        <w:contextualSpacing w:val="0"/>
        <w:rPr>
          <w:rFonts w:eastAsiaTheme="minorHAnsi"/>
          <w:color w:val="000000" w:themeColor="text1"/>
        </w:rPr>
      </w:pPr>
      <w:r w:rsidRPr="001F10F8">
        <w:rPr>
          <w:color w:val="000000" w:themeColor="text1"/>
        </w:rPr>
        <w:t xml:space="preserve">Harrison R and Barry-Kinsella C. 2000. Efficacy of medroxyprogesterone acetate in infertile women with endometriosis: a prospective, randomized, placebo-controlled study. </w:t>
      </w:r>
      <w:r w:rsidRPr="001F10F8">
        <w:rPr>
          <w:i/>
          <w:iCs/>
          <w:color w:val="000000" w:themeColor="text1"/>
          <w:shd w:val="clear" w:color="auto" w:fill="FFFFFF"/>
        </w:rPr>
        <w:t>Fertility and Sterility</w:t>
      </w:r>
      <w:r w:rsidRPr="001F10F8">
        <w:rPr>
          <w:color w:val="000000" w:themeColor="text1"/>
        </w:rPr>
        <w:t xml:space="preserve"> (1):52–61.</w:t>
      </w:r>
    </w:p>
    <w:p w14:paraId="0A8C25E2" w14:textId="77777777" w:rsidR="003E188A" w:rsidRPr="001F10F8" w:rsidRDefault="003E188A" w:rsidP="003E188A">
      <w:pPr>
        <w:pStyle w:val="ListParagraph"/>
        <w:widowControl w:val="0"/>
        <w:numPr>
          <w:ilvl w:val="0"/>
          <w:numId w:val="28"/>
        </w:numPr>
        <w:autoSpaceDE w:val="0"/>
        <w:autoSpaceDN w:val="0"/>
        <w:adjustRightInd w:val="0"/>
        <w:spacing w:before="160"/>
        <w:ind w:left="567" w:hanging="567"/>
        <w:contextualSpacing w:val="0"/>
        <w:rPr>
          <w:color w:val="000000" w:themeColor="text1"/>
        </w:rPr>
      </w:pPr>
      <w:r w:rsidRPr="001F10F8">
        <w:rPr>
          <w:color w:val="000000" w:themeColor="text1"/>
        </w:rPr>
        <w:t xml:space="preserve">Brown J, </w:t>
      </w:r>
      <w:proofErr w:type="spellStart"/>
      <w:r w:rsidRPr="001F10F8">
        <w:rPr>
          <w:color w:val="000000" w:themeColor="text1"/>
        </w:rPr>
        <w:t>Kives</w:t>
      </w:r>
      <w:proofErr w:type="spellEnd"/>
      <w:r w:rsidRPr="001F10F8">
        <w:rPr>
          <w:color w:val="000000" w:themeColor="text1"/>
        </w:rPr>
        <w:t xml:space="preserve"> S and Akhtar M. 2012. Progestins and anti-progestins for pain associated with endometriosis. Cochrane Database of Systematic Reviews. DOI: 10.1002/14651858.CD002122.pub2</w:t>
      </w:r>
    </w:p>
    <w:p w14:paraId="3D95F983" w14:textId="77777777" w:rsidR="003E188A" w:rsidRPr="001F10F8" w:rsidRDefault="003E188A" w:rsidP="003E188A">
      <w:pPr>
        <w:pStyle w:val="ListParagraph"/>
        <w:widowControl w:val="0"/>
        <w:numPr>
          <w:ilvl w:val="0"/>
          <w:numId w:val="28"/>
        </w:numPr>
        <w:autoSpaceDE w:val="0"/>
        <w:autoSpaceDN w:val="0"/>
        <w:adjustRightInd w:val="0"/>
        <w:spacing w:before="160"/>
        <w:ind w:left="567" w:hanging="567"/>
        <w:contextualSpacing w:val="0"/>
        <w:rPr>
          <w:color w:val="000000" w:themeColor="text1"/>
        </w:rPr>
      </w:pPr>
      <w:proofErr w:type="spellStart"/>
      <w:r w:rsidRPr="001F10F8">
        <w:rPr>
          <w:color w:val="000000" w:themeColor="text1"/>
        </w:rPr>
        <w:t>Strowitzki</w:t>
      </w:r>
      <w:proofErr w:type="spellEnd"/>
      <w:r w:rsidRPr="001F10F8">
        <w:rPr>
          <w:color w:val="000000" w:themeColor="text1"/>
        </w:rPr>
        <w:t xml:space="preserve"> T, </w:t>
      </w:r>
      <w:proofErr w:type="spellStart"/>
      <w:r w:rsidRPr="001F10F8">
        <w:rPr>
          <w:color w:val="000000" w:themeColor="text1"/>
        </w:rPr>
        <w:t>Faustmann</w:t>
      </w:r>
      <w:proofErr w:type="spellEnd"/>
      <w:r w:rsidRPr="001F10F8">
        <w:rPr>
          <w:color w:val="000000" w:themeColor="text1"/>
        </w:rPr>
        <w:t xml:space="preserve"> T, </w:t>
      </w:r>
      <w:proofErr w:type="spellStart"/>
      <w:r w:rsidRPr="001F10F8">
        <w:rPr>
          <w:color w:val="000000" w:themeColor="text1"/>
        </w:rPr>
        <w:t>Gerlinger</w:t>
      </w:r>
      <w:proofErr w:type="spellEnd"/>
      <w:r w:rsidRPr="001F10F8">
        <w:rPr>
          <w:color w:val="000000" w:themeColor="text1"/>
        </w:rPr>
        <w:t xml:space="preserve"> C et al. 2010. </w:t>
      </w:r>
      <w:proofErr w:type="spellStart"/>
      <w:r w:rsidRPr="001F10F8">
        <w:rPr>
          <w:color w:val="000000" w:themeColor="text1"/>
        </w:rPr>
        <w:t>Dienogest</w:t>
      </w:r>
      <w:proofErr w:type="spellEnd"/>
      <w:r w:rsidRPr="001F10F8">
        <w:rPr>
          <w:color w:val="000000" w:themeColor="text1"/>
        </w:rPr>
        <w:t xml:space="preserve"> in the treatment of endometriosis related pelvic pain: a 12-week, randomized, double blind, </w:t>
      </w:r>
      <w:proofErr w:type="gramStart"/>
      <w:r w:rsidRPr="001F10F8">
        <w:rPr>
          <w:color w:val="000000" w:themeColor="text1"/>
        </w:rPr>
        <w:t>placebo controlled</w:t>
      </w:r>
      <w:proofErr w:type="gramEnd"/>
      <w:r w:rsidRPr="001F10F8">
        <w:rPr>
          <w:color w:val="000000" w:themeColor="text1"/>
        </w:rPr>
        <w:t xml:space="preserve"> study. </w:t>
      </w:r>
      <w:r w:rsidRPr="001F10F8">
        <w:rPr>
          <w:i/>
          <w:iCs/>
          <w:color w:val="000000" w:themeColor="text1"/>
        </w:rPr>
        <w:t xml:space="preserve">European Journal of Obstetrics &amp; </w:t>
      </w:r>
      <w:proofErr w:type="spellStart"/>
      <w:r w:rsidRPr="001F10F8">
        <w:rPr>
          <w:i/>
          <w:iCs/>
          <w:color w:val="000000" w:themeColor="text1"/>
        </w:rPr>
        <w:t>Gynecology</w:t>
      </w:r>
      <w:proofErr w:type="spellEnd"/>
      <w:r w:rsidRPr="001F10F8">
        <w:rPr>
          <w:i/>
          <w:iCs/>
          <w:color w:val="000000" w:themeColor="text1"/>
        </w:rPr>
        <w:t xml:space="preserve"> and Reproductive Biology</w:t>
      </w:r>
      <w:r w:rsidRPr="001F10F8">
        <w:rPr>
          <w:color w:val="000000" w:themeColor="text1"/>
        </w:rPr>
        <w:t xml:space="preserve"> 151(2): 193–98.</w:t>
      </w:r>
    </w:p>
    <w:p w14:paraId="3D91E916" w14:textId="77777777" w:rsidR="003E188A" w:rsidRPr="001F10F8" w:rsidRDefault="003E188A" w:rsidP="003E188A">
      <w:pPr>
        <w:pStyle w:val="ListParagraph"/>
        <w:widowControl w:val="0"/>
        <w:numPr>
          <w:ilvl w:val="0"/>
          <w:numId w:val="28"/>
        </w:numPr>
        <w:autoSpaceDE w:val="0"/>
        <w:autoSpaceDN w:val="0"/>
        <w:adjustRightInd w:val="0"/>
        <w:spacing w:before="160"/>
        <w:ind w:left="567" w:hanging="567"/>
        <w:contextualSpacing w:val="0"/>
        <w:rPr>
          <w:color w:val="000000" w:themeColor="text1"/>
        </w:rPr>
      </w:pPr>
      <w:r w:rsidRPr="001F10F8">
        <w:rPr>
          <w:color w:val="000000" w:themeColor="text1"/>
        </w:rPr>
        <w:t xml:space="preserve">Overton C, Lindsay P, Johal B et al. 1994. A randomized, double blind, </w:t>
      </w:r>
      <w:proofErr w:type="gramStart"/>
      <w:r w:rsidRPr="001F10F8">
        <w:rPr>
          <w:color w:val="000000" w:themeColor="text1"/>
        </w:rPr>
        <w:t>placebo controlled</w:t>
      </w:r>
      <w:proofErr w:type="gramEnd"/>
      <w:r w:rsidRPr="001F10F8">
        <w:rPr>
          <w:color w:val="000000" w:themeColor="text1"/>
        </w:rPr>
        <w:t xml:space="preserve"> study of luteal phase </w:t>
      </w:r>
      <w:proofErr w:type="spellStart"/>
      <w:r w:rsidRPr="001F10F8">
        <w:rPr>
          <w:color w:val="000000" w:themeColor="text1"/>
        </w:rPr>
        <w:t>dydrogesterone</w:t>
      </w:r>
      <w:proofErr w:type="spellEnd"/>
      <w:r w:rsidRPr="001F10F8">
        <w:rPr>
          <w:color w:val="000000" w:themeColor="text1"/>
        </w:rPr>
        <w:t xml:space="preserve"> (</w:t>
      </w:r>
      <w:proofErr w:type="spellStart"/>
      <w:r w:rsidRPr="001F10F8">
        <w:rPr>
          <w:color w:val="000000" w:themeColor="text1"/>
        </w:rPr>
        <w:t>Duphaston</w:t>
      </w:r>
      <w:proofErr w:type="spellEnd"/>
      <w:r w:rsidRPr="001F10F8">
        <w:rPr>
          <w:color w:val="000000" w:themeColor="text1"/>
        </w:rPr>
        <w:t xml:space="preserve">) in women with minimal to mild endometriosis. </w:t>
      </w:r>
      <w:r w:rsidRPr="001F10F8">
        <w:rPr>
          <w:i/>
          <w:iCs/>
          <w:color w:val="000000" w:themeColor="text1"/>
          <w:shd w:val="clear" w:color="auto" w:fill="FFFFFF"/>
        </w:rPr>
        <w:t>Fertility and Sterility</w:t>
      </w:r>
      <w:r w:rsidRPr="001F10F8">
        <w:rPr>
          <w:color w:val="000000" w:themeColor="text1"/>
        </w:rPr>
        <w:t xml:space="preserve"> 62: 701–7. </w:t>
      </w:r>
    </w:p>
    <w:p w14:paraId="21A7CA4F" w14:textId="77777777" w:rsidR="003E188A" w:rsidRDefault="003E188A" w:rsidP="003E188A">
      <w:pPr>
        <w:pStyle w:val="ListParagraph"/>
        <w:widowControl w:val="0"/>
        <w:numPr>
          <w:ilvl w:val="0"/>
          <w:numId w:val="28"/>
        </w:numPr>
        <w:autoSpaceDE w:val="0"/>
        <w:autoSpaceDN w:val="0"/>
        <w:adjustRightInd w:val="0"/>
        <w:spacing w:before="160"/>
        <w:ind w:left="567" w:hanging="567"/>
        <w:contextualSpacing w:val="0"/>
        <w:rPr>
          <w:color w:val="000000" w:themeColor="text1"/>
        </w:rPr>
        <w:sectPr w:rsidR="003E188A" w:rsidSect="004766FB">
          <w:headerReference w:type="default" r:id="rId24"/>
          <w:footerReference w:type="even" r:id="rId25"/>
          <w:footerReference w:type="default" r:id="rId26"/>
          <w:pgSz w:w="11907" w:h="16834" w:code="9"/>
          <w:pgMar w:top="1418" w:right="1701" w:bottom="1134" w:left="1843" w:header="284" w:footer="425" w:gutter="284"/>
          <w:pgNumType w:start="1"/>
          <w:cols w:space="720"/>
        </w:sectPr>
      </w:pPr>
      <w:proofErr w:type="spellStart"/>
      <w:r w:rsidRPr="001F10F8">
        <w:rPr>
          <w:color w:val="000000" w:themeColor="text1"/>
        </w:rPr>
        <w:t>Morotti</w:t>
      </w:r>
      <w:proofErr w:type="spellEnd"/>
      <w:r w:rsidRPr="001F10F8">
        <w:rPr>
          <w:color w:val="000000" w:themeColor="text1"/>
        </w:rPr>
        <w:t xml:space="preserve"> M, </w:t>
      </w:r>
      <w:proofErr w:type="spellStart"/>
      <w:r w:rsidRPr="001F10F8">
        <w:rPr>
          <w:color w:val="000000" w:themeColor="text1"/>
        </w:rPr>
        <w:t>Venturini</w:t>
      </w:r>
      <w:proofErr w:type="spellEnd"/>
      <w:r w:rsidRPr="001F10F8">
        <w:rPr>
          <w:color w:val="000000" w:themeColor="text1"/>
        </w:rPr>
        <w:t xml:space="preserve"> P, </w:t>
      </w:r>
      <w:proofErr w:type="spellStart"/>
      <w:r w:rsidRPr="001F10F8">
        <w:rPr>
          <w:color w:val="000000" w:themeColor="text1"/>
        </w:rPr>
        <w:t>Biscaldi</w:t>
      </w:r>
      <w:proofErr w:type="spellEnd"/>
      <w:r w:rsidRPr="001F10F8">
        <w:rPr>
          <w:color w:val="000000" w:themeColor="text1"/>
        </w:rPr>
        <w:t xml:space="preserve"> et al. 2017. Efficacy and acceptability of long-term norethindrone acetate for the treatment of rectovaginal endometriosis. </w:t>
      </w:r>
      <w:r w:rsidRPr="001F10F8">
        <w:rPr>
          <w:i/>
          <w:iCs/>
          <w:color w:val="000000" w:themeColor="text1"/>
        </w:rPr>
        <w:t xml:space="preserve">European Journal of Obstetrics &amp; </w:t>
      </w:r>
      <w:proofErr w:type="spellStart"/>
      <w:r w:rsidRPr="001F10F8">
        <w:rPr>
          <w:i/>
          <w:iCs/>
          <w:color w:val="000000" w:themeColor="text1"/>
        </w:rPr>
        <w:t>Gynecology</w:t>
      </w:r>
      <w:proofErr w:type="spellEnd"/>
      <w:r w:rsidRPr="001F10F8">
        <w:rPr>
          <w:i/>
          <w:iCs/>
          <w:color w:val="000000" w:themeColor="text1"/>
        </w:rPr>
        <w:t xml:space="preserve"> and Reproductive Biology</w:t>
      </w:r>
      <w:r w:rsidRPr="001F10F8">
        <w:rPr>
          <w:color w:val="000000" w:themeColor="text1"/>
        </w:rPr>
        <w:t xml:space="preserve"> 213: 4–10.</w:t>
      </w:r>
    </w:p>
    <w:p w14:paraId="3D08FFF5" w14:textId="77777777" w:rsidR="003E188A" w:rsidRPr="001F10F8" w:rsidRDefault="003E188A" w:rsidP="003E188A">
      <w:pPr>
        <w:pStyle w:val="ListParagraph"/>
        <w:widowControl w:val="0"/>
        <w:numPr>
          <w:ilvl w:val="0"/>
          <w:numId w:val="28"/>
        </w:numPr>
        <w:autoSpaceDE w:val="0"/>
        <w:autoSpaceDN w:val="0"/>
        <w:adjustRightInd w:val="0"/>
        <w:spacing w:before="160"/>
        <w:ind w:left="567" w:hanging="567"/>
        <w:contextualSpacing w:val="0"/>
        <w:rPr>
          <w:color w:val="000000" w:themeColor="text1"/>
        </w:rPr>
      </w:pPr>
      <w:r w:rsidRPr="001F10F8">
        <w:rPr>
          <w:color w:val="000000" w:themeColor="text1"/>
        </w:rPr>
        <w:t xml:space="preserve">Harada T, </w:t>
      </w:r>
      <w:proofErr w:type="spellStart"/>
      <w:r w:rsidRPr="001F10F8">
        <w:rPr>
          <w:color w:val="000000" w:themeColor="text1"/>
        </w:rPr>
        <w:t>Momoeda</w:t>
      </w:r>
      <w:proofErr w:type="spellEnd"/>
      <w:r w:rsidRPr="001F10F8">
        <w:rPr>
          <w:color w:val="000000" w:themeColor="text1"/>
        </w:rPr>
        <w:t xml:space="preserve"> M, </w:t>
      </w:r>
      <w:proofErr w:type="spellStart"/>
      <w:r w:rsidRPr="001F10F8">
        <w:rPr>
          <w:color w:val="000000" w:themeColor="text1"/>
        </w:rPr>
        <w:t>Taketani</w:t>
      </w:r>
      <w:proofErr w:type="spellEnd"/>
      <w:r w:rsidRPr="001F10F8">
        <w:rPr>
          <w:color w:val="000000" w:themeColor="text1"/>
        </w:rPr>
        <w:t xml:space="preserve"> Y et al. 2009. </w:t>
      </w:r>
      <w:proofErr w:type="spellStart"/>
      <w:r w:rsidRPr="001F10F8">
        <w:rPr>
          <w:color w:val="000000" w:themeColor="text1"/>
        </w:rPr>
        <w:t>Dienogest</w:t>
      </w:r>
      <w:proofErr w:type="spellEnd"/>
      <w:r w:rsidRPr="001F10F8">
        <w:rPr>
          <w:color w:val="000000" w:themeColor="text1"/>
        </w:rPr>
        <w:t xml:space="preserve"> is as effective as intranasal </w:t>
      </w:r>
      <w:proofErr w:type="spellStart"/>
      <w:r w:rsidRPr="001F10F8">
        <w:rPr>
          <w:color w:val="000000" w:themeColor="text1"/>
        </w:rPr>
        <w:t>buserelin</w:t>
      </w:r>
      <w:proofErr w:type="spellEnd"/>
      <w:r w:rsidRPr="001F10F8">
        <w:rPr>
          <w:color w:val="000000" w:themeColor="text1"/>
        </w:rPr>
        <w:t xml:space="preserve"> acetate for the relief of pain symptoms associated with endometriosis: a randomized, double-blind, </w:t>
      </w:r>
      <w:proofErr w:type="spellStart"/>
      <w:r w:rsidRPr="001F10F8">
        <w:rPr>
          <w:color w:val="000000" w:themeColor="text1"/>
        </w:rPr>
        <w:t>multicenter</w:t>
      </w:r>
      <w:proofErr w:type="spellEnd"/>
      <w:r w:rsidRPr="001F10F8">
        <w:rPr>
          <w:color w:val="000000" w:themeColor="text1"/>
        </w:rPr>
        <w:t>, controlled trial. </w:t>
      </w:r>
      <w:r w:rsidRPr="001F10F8">
        <w:rPr>
          <w:i/>
          <w:iCs/>
          <w:color w:val="000000" w:themeColor="text1"/>
          <w:shd w:val="clear" w:color="auto" w:fill="FFFFFF"/>
        </w:rPr>
        <w:t>Fertility and Sterility</w:t>
      </w:r>
      <w:r w:rsidRPr="001F10F8">
        <w:rPr>
          <w:color w:val="000000" w:themeColor="text1"/>
        </w:rPr>
        <w:t xml:space="preserve"> 91: 675–681.</w:t>
      </w:r>
    </w:p>
    <w:p w14:paraId="1D5029E1" w14:textId="77777777" w:rsidR="003E188A" w:rsidRPr="001F10F8" w:rsidRDefault="003E188A" w:rsidP="003E188A">
      <w:pPr>
        <w:pStyle w:val="ListParagraph"/>
        <w:widowControl w:val="0"/>
        <w:numPr>
          <w:ilvl w:val="0"/>
          <w:numId w:val="28"/>
        </w:numPr>
        <w:autoSpaceDE w:val="0"/>
        <w:autoSpaceDN w:val="0"/>
        <w:adjustRightInd w:val="0"/>
        <w:spacing w:before="160"/>
        <w:ind w:left="567" w:hanging="567"/>
        <w:contextualSpacing w:val="0"/>
        <w:rPr>
          <w:color w:val="000000" w:themeColor="text1"/>
        </w:rPr>
      </w:pPr>
      <w:proofErr w:type="spellStart"/>
      <w:r w:rsidRPr="001F10F8">
        <w:rPr>
          <w:color w:val="000000" w:themeColor="text1"/>
          <w:shd w:val="clear" w:color="auto" w:fill="FFFFFF"/>
        </w:rPr>
        <w:lastRenderedPageBreak/>
        <w:t>Strowitzki</w:t>
      </w:r>
      <w:proofErr w:type="spellEnd"/>
      <w:r w:rsidRPr="001F10F8">
        <w:rPr>
          <w:color w:val="000000" w:themeColor="text1"/>
          <w:shd w:val="clear" w:color="auto" w:fill="FFFFFF"/>
        </w:rPr>
        <w:t xml:space="preserve"> T, Marr J, </w:t>
      </w:r>
      <w:proofErr w:type="spellStart"/>
      <w:r w:rsidRPr="001F10F8">
        <w:rPr>
          <w:color w:val="000000" w:themeColor="text1"/>
          <w:shd w:val="clear" w:color="auto" w:fill="FFFFFF"/>
        </w:rPr>
        <w:t>Gerlinger</w:t>
      </w:r>
      <w:proofErr w:type="spellEnd"/>
      <w:r w:rsidRPr="001F10F8">
        <w:rPr>
          <w:color w:val="000000" w:themeColor="text1"/>
          <w:shd w:val="clear" w:color="auto" w:fill="FFFFFF"/>
        </w:rPr>
        <w:t xml:space="preserve"> C et al. 2010. </w:t>
      </w:r>
      <w:proofErr w:type="spellStart"/>
      <w:r w:rsidRPr="001F10F8">
        <w:rPr>
          <w:color w:val="000000" w:themeColor="text1"/>
          <w:shd w:val="clear" w:color="auto" w:fill="FFFFFF"/>
        </w:rPr>
        <w:t>Dienogest</w:t>
      </w:r>
      <w:proofErr w:type="spellEnd"/>
      <w:r w:rsidRPr="001F10F8">
        <w:rPr>
          <w:color w:val="000000" w:themeColor="text1"/>
          <w:shd w:val="clear" w:color="auto" w:fill="FFFFFF"/>
        </w:rPr>
        <w:t xml:space="preserve"> is as effective as leuprolide acetate in treating the painful symptoms of endometriosis: a 24-week, randomized, multicentre, open-label trial. </w:t>
      </w:r>
      <w:r w:rsidRPr="001F10F8">
        <w:rPr>
          <w:i/>
          <w:color w:val="000000" w:themeColor="text1"/>
        </w:rPr>
        <w:t>Human Reproduction</w:t>
      </w:r>
      <w:r w:rsidRPr="001F10F8">
        <w:rPr>
          <w:color w:val="000000" w:themeColor="text1"/>
          <w:shd w:val="clear" w:color="auto" w:fill="FFFFFF"/>
        </w:rPr>
        <w:t xml:space="preserve"> 25: 633–641. </w:t>
      </w:r>
    </w:p>
    <w:p w14:paraId="27636858" w14:textId="77777777" w:rsidR="003E188A" w:rsidRPr="001F10F8" w:rsidRDefault="003E188A" w:rsidP="003E188A">
      <w:pPr>
        <w:pStyle w:val="ListParagraph"/>
        <w:widowControl w:val="0"/>
        <w:numPr>
          <w:ilvl w:val="0"/>
          <w:numId w:val="28"/>
        </w:numPr>
        <w:autoSpaceDE w:val="0"/>
        <w:autoSpaceDN w:val="0"/>
        <w:adjustRightInd w:val="0"/>
        <w:spacing w:before="160"/>
        <w:ind w:left="567" w:hanging="567"/>
        <w:contextualSpacing w:val="0"/>
        <w:rPr>
          <w:color w:val="000000" w:themeColor="text1"/>
        </w:rPr>
      </w:pPr>
      <w:proofErr w:type="spellStart"/>
      <w:r w:rsidRPr="001F10F8">
        <w:rPr>
          <w:color w:val="000000" w:themeColor="text1"/>
        </w:rPr>
        <w:t>Momoeda</w:t>
      </w:r>
      <w:proofErr w:type="spellEnd"/>
      <w:r w:rsidRPr="001F10F8">
        <w:rPr>
          <w:color w:val="000000" w:themeColor="text1"/>
        </w:rPr>
        <w:t xml:space="preserve"> M and </w:t>
      </w:r>
      <w:proofErr w:type="spellStart"/>
      <w:r w:rsidRPr="001F10F8">
        <w:rPr>
          <w:color w:val="000000" w:themeColor="text1"/>
        </w:rPr>
        <w:t>Taketani</w:t>
      </w:r>
      <w:proofErr w:type="spellEnd"/>
      <w:r w:rsidRPr="001F10F8">
        <w:rPr>
          <w:color w:val="000000" w:themeColor="text1"/>
        </w:rPr>
        <w:t xml:space="preserve"> Y. 2007. A randomized, double-blind, </w:t>
      </w:r>
      <w:proofErr w:type="spellStart"/>
      <w:r w:rsidRPr="001F10F8">
        <w:rPr>
          <w:color w:val="000000" w:themeColor="text1"/>
        </w:rPr>
        <w:t>multicenter</w:t>
      </w:r>
      <w:proofErr w:type="spellEnd"/>
      <w:r w:rsidRPr="001F10F8">
        <w:rPr>
          <w:color w:val="000000" w:themeColor="text1"/>
        </w:rPr>
        <w:t xml:space="preserve">, parallel, dose-response study of </w:t>
      </w:r>
      <w:proofErr w:type="spellStart"/>
      <w:r w:rsidRPr="001F10F8">
        <w:rPr>
          <w:color w:val="000000" w:themeColor="text1"/>
        </w:rPr>
        <w:t>dienogest</w:t>
      </w:r>
      <w:proofErr w:type="spellEnd"/>
      <w:r w:rsidRPr="001F10F8">
        <w:rPr>
          <w:color w:val="000000" w:themeColor="text1"/>
        </w:rPr>
        <w:t xml:space="preserve"> in patients with endometriosis. </w:t>
      </w:r>
      <w:r w:rsidRPr="001F10F8">
        <w:rPr>
          <w:i/>
          <w:iCs/>
          <w:color w:val="000000" w:themeColor="text1"/>
        </w:rPr>
        <w:t>Japanese Pharmacology and Therapeutics</w:t>
      </w:r>
      <w:r w:rsidRPr="001F10F8">
        <w:rPr>
          <w:color w:val="000000" w:themeColor="text1"/>
        </w:rPr>
        <w:t xml:space="preserve"> 35: 769–783.</w:t>
      </w:r>
    </w:p>
    <w:p w14:paraId="2BA6B603" w14:textId="77777777" w:rsidR="003E188A" w:rsidRPr="001F10F8" w:rsidRDefault="003E188A" w:rsidP="003E188A">
      <w:pPr>
        <w:pStyle w:val="ListParagraph"/>
        <w:widowControl w:val="0"/>
        <w:numPr>
          <w:ilvl w:val="0"/>
          <w:numId w:val="28"/>
        </w:numPr>
        <w:autoSpaceDE w:val="0"/>
        <w:autoSpaceDN w:val="0"/>
        <w:adjustRightInd w:val="0"/>
        <w:spacing w:before="160"/>
        <w:ind w:left="567" w:hanging="567"/>
        <w:contextualSpacing w:val="0"/>
        <w:rPr>
          <w:color w:val="000000" w:themeColor="text1"/>
        </w:rPr>
      </w:pPr>
      <w:proofErr w:type="spellStart"/>
      <w:r w:rsidRPr="001F10F8">
        <w:rPr>
          <w:color w:val="000000" w:themeColor="text1"/>
        </w:rPr>
        <w:t>Moghissi</w:t>
      </w:r>
      <w:proofErr w:type="spellEnd"/>
      <w:r w:rsidRPr="001F10F8">
        <w:rPr>
          <w:color w:val="000000" w:themeColor="text1"/>
        </w:rPr>
        <w:t xml:space="preserve"> K and Boyce C. 1976. Management of endometriosis with oral medroxyprogesterone. </w:t>
      </w:r>
      <w:r w:rsidRPr="001F10F8">
        <w:rPr>
          <w:i/>
          <w:iCs/>
          <w:color w:val="000000" w:themeColor="text1"/>
        </w:rPr>
        <w:t xml:space="preserve">Obstetrics &amp; </w:t>
      </w:r>
      <w:proofErr w:type="spellStart"/>
      <w:r w:rsidRPr="001F10F8">
        <w:rPr>
          <w:i/>
          <w:iCs/>
          <w:color w:val="000000" w:themeColor="text1"/>
        </w:rPr>
        <w:t>Gynecology</w:t>
      </w:r>
      <w:proofErr w:type="spellEnd"/>
      <w:r w:rsidRPr="001F10F8">
        <w:rPr>
          <w:color w:val="000000" w:themeColor="text1"/>
        </w:rPr>
        <w:t>. 47: 265–7.</w:t>
      </w:r>
    </w:p>
    <w:p w14:paraId="35A153DA" w14:textId="77777777" w:rsidR="003E188A" w:rsidRPr="001F10F8" w:rsidRDefault="003E188A" w:rsidP="003E188A">
      <w:pPr>
        <w:pStyle w:val="ListParagraph"/>
        <w:widowControl w:val="0"/>
        <w:numPr>
          <w:ilvl w:val="0"/>
          <w:numId w:val="28"/>
        </w:numPr>
        <w:autoSpaceDE w:val="0"/>
        <w:autoSpaceDN w:val="0"/>
        <w:adjustRightInd w:val="0"/>
        <w:spacing w:before="160"/>
        <w:ind w:left="567" w:hanging="567"/>
        <w:contextualSpacing w:val="0"/>
        <w:rPr>
          <w:color w:val="000000" w:themeColor="text1"/>
        </w:rPr>
      </w:pPr>
      <w:proofErr w:type="spellStart"/>
      <w:r w:rsidRPr="001F10F8">
        <w:rPr>
          <w:color w:val="000000" w:themeColor="text1"/>
        </w:rPr>
        <w:t>Caird</w:t>
      </w:r>
      <w:proofErr w:type="spellEnd"/>
      <w:r w:rsidRPr="001F10F8">
        <w:rPr>
          <w:color w:val="000000" w:themeColor="text1"/>
        </w:rPr>
        <w:t xml:space="preserve"> L, Reid-Thomas V, Hannan W et al. 1994. Oral progestogen-only contraception may protect against loss of bone mass in breast-feeding women. </w:t>
      </w:r>
      <w:r w:rsidRPr="001F10F8">
        <w:rPr>
          <w:i/>
          <w:iCs/>
          <w:color w:val="000000" w:themeColor="text1"/>
        </w:rPr>
        <w:t xml:space="preserve">Journal of Clinical Endocrinology </w:t>
      </w:r>
      <w:r w:rsidRPr="001F10F8">
        <w:rPr>
          <w:color w:val="000000" w:themeColor="text1"/>
        </w:rPr>
        <w:t>41(6): 739.</w:t>
      </w:r>
    </w:p>
    <w:p w14:paraId="091AA5F8" w14:textId="77777777" w:rsidR="003E188A" w:rsidRPr="001F10F8" w:rsidRDefault="003E188A" w:rsidP="003E188A">
      <w:pPr>
        <w:pStyle w:val="ListParagraph"/>
        <w:widowControl w:val="0"/>
        <w:numPr>
          <w:ilvl w:val="0"/>
          <w:numId w:val="28"/>
        </w:numPr>
        <w:autoSpaceDE w:val="0"/>
        <w:autoSpaceDN w:val="0"/>
        <w:adjustRightInd w:val="0"/>
        <w:spacing w:before="160"/>
        <w:ind w:left="567" w:hanging="567"/>
        <w:contextualSpacing w:val="0"/>
        <w:rPr>
          <w:color w:val="000000" w:themeColor="text1"/>
        </w:rPr>
      </w:pPr>
      <w:r w:rsidRPr="001F10F8">
        <w:rPr>
          <w:color w:val="000000" w:themeColor="text1"/>
        </w:rPr>
        <w:t xml:space="preserve">Scholes D, LaCroix A, Ichikawa L et al. 2005. Change in bone mineral density among adolescent women using and discontinuing depot medroxyprogesterone acetate contraception. </w:t>
      </w:r>
      <w:r w:rsidRPr="001F10F8">
        <w:rPr>
          <w:i/>
          <w:iCs/>
          <w:color w:val="000000" w:themeColor="text1"/>
        </w:rPr>
        <w:t xml:space="preserve">Archives of </w:t>
      </w:r>
      <w:proofErr w:type="spellStart"/>
      <w:r w:rsidRPr="001F10F8">
        <w:rPr>
          <w:i/>
          <w:iCs/>
          <w:color w:val="000000" w:themeColor="text1"/>
        </w:rPr>
        <w:t>Pediatrics</w:t>
      </w:r>
      <w:proofErr w:type="spellEnd"/>
      <w:r w:rsidRPr="001F10F8">
        <w:rPr>
          <w:i/>
          <w:iCs/>
          <w:color w:val="000000" w:themeColor="text1"/>
        </w:rPr>
        <w:t xml:space="preserve"> &amp; Adolescent Medicine</w:t>
      </w:r>
      <w:r w:rsidRPr="001F10F8">
        <w:rPr>
          <w:color w:val="000000" w:themeColor="text1"/>
        </w:rPr>
        <w:t xml:space="preserve"> 159(2): 139.</w:t>
      </w:r>
    </w:p>
    <w:p w14:paraId="5E5DD16A" w14:textId="77777777" w:rsidR="003E188A" w:rsidRPr="001F10F8" w:rsidRDefault="003E188A" w:rsidP="003E188A">
      <w:pPr>
        <w:pStyle w:val="ListParagraph"/>
        <w:numPr>
          <w:ilvl w:val="0"/>
          <w:numId w:val="28"/>
        </w:numPr>
        <w:spacing w:before="160"/>
        <w:ind w:left="567" w:hanging="567"/>
        <w:contextualSpacing w:val="0"/>
        <w:rPr>
          <w:color w:val="000000" w:themeColor="text1"/>
        </w:rPr>
      </w:pPr>
      <w:r w:rsidRPr="001F10F8">
        <w:rPr>
          <w:color w:val="000000" w:themeColor="text1"/>
        </w:rPr>
        <w:t xml:space="preserve">Ebert A, Dong L, Merz M et al. 2017. </w:t>
      </w:r>
      <w:proofErr w:type="spellStart"/>
      <w:r w:rsidRPr="001F10F8">
        <w:rPr>
          <w:color w:val="000000" w:themeColor="text1"/>
        </w:rPr>
        <w:t>Dienogest</w:t>
      </w:r>
      <w:proofErr w:type="spellEnd"/>
      <w:r w:rsidRPr="001F10F8">
        <w:rPr>
          <w:color w:val="000000" w:themeColor="text1"/>
        </w:rPr>
        <w:t xml:space="preserve"> 2mg Daily in the Treatment of Adolescents with Clinically Suspected Endometriosis: The </w:t>
      </w:r>
      <w:proofErr w:type="spellStart"/>
      <w:r w:rsidRPr="001F10F8">
        <w:rPr>
          <w:color w:val="000000" w:themeColor="text1"/>
        </w:rPr>
        <w:t>VISanne</w:t>
      </w:r>
      <w:proofErr w:type="spellEnd"/>
      <w:r w:rsidRPr="001F10F8">
        <w:rPr>
          <w:color w:val="000000" w:themeColor="text1"/>
        </w:rPr>
        <w:t xml:space="preserve"> Study to Assess Safety in Adolescents</w:t>
      </w:r>
      <w:r w:rsidRPr="001F10F8">
        <w:rPr>
          <w:i/>
          <w:iCs/>
          <w:color w:val="000000" w:themeColor="text1"/>
        </w:rPr>
        <w:t xml:space="preserve">. Journal of </w:t>
      </w:r>
      <w:proofErr w:type="spellStart"/>
      <w:r w:rsidRPr="001F10F8">
        <w:rPr>
          <w:i/>
          <w:iCs/>
          <w:color w:val="000000" w:themeColor="text1"/>
        </w:rPr>
        <w:t>Pediatric</w:t>
      </w:r>
      <w:proofErr w:type="spellEnd"/>
      <w:r w:rsidRPr="001F10F8">
        <w:rPr>
          <w:i/>
          <w:iCs/>
          <w:color w:val="000000" w:themeColor="text1"/>
        </w:rPr>
        <w:t xml:space="preserve"> and Adolescent </w:t>
      </w:r>
      <w:proofErr w:type="spellStart"/>
      <w:r w:rsidRPr="001F10F8">
        <w:rPr>
          <w:i/>
          <w:iCs/>
          <w:color w:val="000000" w:themeColor="text1"/>
        </w:rPr>
        <w:t>Gynecology</w:t>
      </w:r>
      <w:proofErr w:type="spellEnd"/>
      <w:r w:rsidRPr="001F10F8">
        <w:rPr>
          <w:color w:val="000000" w:themeColor="text1"/>
        </w:rPr>
        <w:t xml:space="preserve"> 30: 560–7.</w:t>
      </w:r>
    </w:p>
    <w:p w14:paraId="5037C3CC" w14:textId="2AA34831" w:rsidR="003E188A" w:rsidRPr="001F10F8" w:rsidRDefault="003E188A" w:rsidP="003E188A">
      <w:pPr>
        <w:pStyle w:val="ListParagraph"/>
        <w:widowControl w:val="0"/>
        <w:numPr>
          <w:ilvl w:val="0"/>
          <w:numId w:val="28"/>
        </w:numPr>
        <w:autoSpaceDE w:val="0"/>
        <w:autoSpaceDN w:val="0"/>
        <w:adjustRightInd w:val="0"/>
        <w:spacing w:before="160"/>
        <w:ind w:left="567" w:hanging="567"/>
        <w:contextualSpacing w:val="0"/>
        <w:rPr>
          <w:color w:val="000000" w:themeColor="text1"/>
          <w:spacing w:val="-5"/>
          <w:shd w:val="clear" w:color="auto" w:fill="FFFFFF"/>
        </w:rPr>
      </w:pPr>
      <w:r w:rsidRPr="001F10F8">
        <w:rPr>
          <w:color w:val="000000" w:themeColor="text1"/>
          <w:spacing w:val="-5"/>
          <w:shd w:val="clear" w:color="auto" w:fill="FFFFFF"/>
        </w:rPr>
        <w:t xml:space="preserve">World Health Organization. 2005. Technical consultation on the effects of hormonal contraception on bone health, Geneva, Switzerland, </w:t>
      </w:r>
      <w:r w:rsidRPr="001F10F8">
        <w:rPr>
          <w:i/>
          <w:color w:val="000000" w:themeColor="text1"/>
          <w:spacing w:val="-5"/>
          <w:shd w:val="clear" w:color="auto" w:fill="FFFFFF"/>
        </w:rPr>
        <w:t>WHO Weekly Epidemiological Record</w:t>
      </w:r>
      <w:r w:rsidRPr="001F10F8">
        <w:rPr>
          <w:color w:val="000000" w:themeColor="text1"/>
          <w:spacing w:val="-5"/>
          <w:shd w:val="clear" w:color="auto" w:fill="FFFFFF"/>
        </w:rPr>
        <w:t xml:space="preserve">. </w:t>
      </w:r>
      <w:r w:rsidRPr="001F10F8">
        <w:t xml:space="preserve">URL: </w:t>
      </w:r>
      <w:hyperlink r:id="rId27" w:history="1">
        <w:r w:rsidRPr="001F10F8">
          <w:rPr>
            <w:rStyle w:val="Hyperlink"/>
          </w:rPr>
          <w:t>https://www.who.int/reproductivehealth/publications/family_planning/hc_bone_health/en/</w:t>
        </w:r>
      </w:hyperlink>
      <w:r w:rsidRPr="001F10F8">
        <w:t>.</w:t>
      </w:r>
    </w:p>
    <w:p w14:paraId="065F3F5B" w14:textId="55154C87" w:rsidR="003E188A" w:rsidRPr="001F10F8" w:rsidRDefault="003E188A" w:rsidP="003E188A">
      <w:pPr>
        <w:pStyle w:val="ListParagraph"/>
        <w:widowControl w:val="0"/>
        <w:numPr>
          <w:ilvl w:val="0"/>
          <w:numId w:val="28"/>
        </w:numPr>
        <w:autoSpaceDE w:val="0"/>
        <w:autoSpaceDN w:val="0"/>
        <w:adjustRightInd w:val="0"/>
        <w:spacing w:before="160"/>
        <w:ind w:left="567" w:hanging="567"/>
        <w:contextualSpacing w:val="0"/>
        <w:rPr>
          <w:color w:val="000000" w:themeColor="text1"/>
          <w:spacing w:val="-5"/>
          <w:shd w:val="clear" w:color="auto" w:fill="FFFFFF"/>
        </w:rPr>
      </w:pPr>
      <w:r w:rsidRPr="001F10F8">
        <w:rPr>
          <w:color w:val="000000" w:themeColor="text1"/>
          <w:spacing w:val="-5"/>
          <w:shd w:val="clear" w:color="auto" w:fill="FFFFFF"/>
        </w:rPr>
        <w:t>Lopez L, Grimes D, Schulz K et al. 2014. Steroidal contraceptives: effect on bone fractures in women. Cochrane Database of Systematic Reviews 2014, Issue 6. Art. No.: CD006033. DOI: 10.1002/14651858.CD006033.pub5</w:t>
      </w:r>
    </w:p>
    <w:p w14:paraId="0F0E3C29" w14:textId="77777777" w:rsidR="003E188A" w:rsidRPr="001F10F8" w:rsidRDefault="003E188A" w:rsidP="003E188A">
      <w:pPr>
        <w:pStyle w:val="ListParagraph"/>
        <w:numPr>
          <w:ilvl w:val="0"/>
          <w:numId w:val="28"/>
        </w:numPr>
        <w:spacing w:before="160"/>
        <w:ind w:left="567" w:hanging="567"/>
        <w:contextualSpacing w:val="0"/>
        <w:rPr>
          <w:color w:val="000000" w:themeColor="text1"/>
        </w:rPr>
      </w:pPr>
      <w:proofErr w:type="spellStart"/>
      <w:r w:rsidRPr="001F10F8">
        <w:rPr>
          <w:color w:val="000000" w:themeColor="text1"/>
        </w:rPr>
        <w:t>Kulvinder</w:t>
      </w:r>
      <w:proofErr w:type="spellEnd"/>
      <w:r w:rsidRPr="001F10F8">
        <w:rPr>
          <w:color w:val="000000" w:themeColor="text1"/>
        </w:rPr>
        <w:t xml:space="preserve"> K, </w:t>
      </w:r>
      <w:proofErr w:type="spellStart"/>
      <w:r w:rsidRPr="001F10F8">
        <w:rPr>
          <w:color w:val="000000" w:themeColor="text1"/>
        </w:rPr>
        <w:t>Allahbadia</w:t>
      </w:r>
      <w:proofErr w:type="spellEnd"/>
      <w:r w:rsidRPr="001F10F8">
        <w:rPr>
          <w:color w:val="000000" w:themeColor="text1"/>
        </w:rPr>
        <w:t xml:space="preserve"> G, Singh M. 2018. Use of </w:t>
      </w:r>
      <w:proofErr w:type="spellStart"/>
      <w:r w:rsidRPr="001F10F8">
        <w:rPr>
          <w:color w:val="000000" w:themeColor="text1"/>
        </w:rPr>
        <w:t>Dienogest</w:t>
      </w:r>
      <w:proofErr w:type="spellEnd"/>
      <w:r w:rsidRPr="001F10F8">
        <w:rPr>
          <w:color w:val="000000" w:themeColor="text1"/>
        </w:rPr>
        <w:t xml:space="preserve"> or Gonadotropin Releasing Hormone Agonist with Add back </w:t>
      </w:r>
      <w:r w:rsidRPr="001F10F8">
        <w:rPr>
          <w:iCs/>
          <w:color w:val="000000" w:themeColor="text1"/>
        </w:rPr>
        <w:t xml:space="preserve">Hormone Therapy in </w:t>
      </w:r>
      <w:proofErr w:type="spellStart"/>
      <w:r w:rsidRPr="001F10F8">
        <w:rPr>
          <w:iCs/>
          <w:color w:val="000000" w:themeColor="text1"/>
        </w:rPr>
        <w:t>Longterm</w:t>
      </w:r>
      <w:proofErr w:type="spellEnd"/>
      <w:r w:rsidRPr="001F10F8">
        <w:rPr>
          <w:iCs/>
          <w:color w:val="000000" w:themeColor="text1"/>
        </w:rPr>
        <w:t xml:space="preserve"> Endometriosis Medical Management</w:t>
      </w:r>
      <w:r w:rsidRPr="001F10F8">
        <w:rPr>
          <w:i/>
          <w:color w:val="000000" w:themeColor="text1"/>
        </w:rPr>
        <w:t xml:space="preserve">. Open Access Journal of Gynaecology </w:t>
      </w:r>
      <w:r w:rsidRPr="001F10F8">
        <w:rPr>
          <w:iCs/>
          <w:color w:val="000000" w:themeColor="text1"/>
        </w:rPr>
        <w:t>3(1): 1–9.</w:t>
      </w:r>
    </w:p>
    <w:p w14:paraId="3026A9EB" w14:textId="014F189B" w:rsidR="003E188A" w:rsidRDefault="003E188A" w:rsidP="003E188A">
      <w:pPr>
        <w:pStyle w:val="ListParagraph"/>
        <w:numPr>
          <w:ilvl w:val="0"/>
          <w:numId w:val="28"/>
        </w:numPr>
        <w:spacing w:before="160"/>
        <w:ind w:left="567" w:hanging="567"/>
        <w:contextualSpacing w:val="0"/>
        <w:rPr>
          <w:rFonts w:asciiTheme="minorHAnsi" w:eastAsiaTheme="minorHAnsi" w:hAnsiTheme="minorHAnsi" w:cstheme="minorBidi"/>
          <w:b/>
          <w:sz w:val="24"/>
          <w:szCs w:val="24"/>
        </w:rPr>
      </w:pPr>
      <w:r w:rsidRPr="001F10F8">
        <w:rPr>
          <w:color w:val="000000" w:themeColor="text1"/>
        </w:rPr>
        <w:t xml:space="preserve">Cundy T, Ames R, Horne A et al. 2003. A randomized controlled trial of </w:t>
      </w:r>
      <w:proofErr w:type="spellStart"/>
      <w:r w:rsidRPr="001F10F8">
        <w:rPr>
          <w:color w:val="000000" w:themeColor="text1"/>
        </w:rPr>
        <w:t>estrogen</w:t>
      </w:r>
      <w:proofErr w:type="spellEnd"/>
      <w:r w:rsidRPr="001F10F8">
        <w:rPr>
          <w:color w:val="000000" w:themeColor="text1"/>
        </w:rPr>
        <w:t xml:space="preserve"> replacement therapy in long-term users of depot medroxyprogesterone acetate. </w:t>
      </w:r>
      <w:r w:rsidRPr="001F10F8">
        <w:rPr>
          <w:i/>
          <w:iCs/>
          <w:color w:val="000000" w:themeColor="text1"/>
        </w:rPr>
        <w:t>Journal of Clinical Endocrinology</w:t>
      </w:r>
      <w:r w:rsidRPr="001F10F8">
        <w:rPr>
          <w:i/>
          <w:color w:val="000000" w:themeColor="text1"/>
        </w:rPr>
        <w:t>.</w:t>
      </w:r>
      <w:r w:rsidRPr="001F10F8">
        <w:rPr>
          <w:color w:val="000000" w:themeColor="text1"/>
        </w:rPr>
        <w:t xml:space="preserve"> 88: 78–81.</w:t>
      </w:r>
    </w:p>
    <w:p w14:paraId="5651589D" w14:textId="77777777" w:rsidR="003E188A" w:rsidRDefault="003E188A" w:rsidP="003E188A">
      <w:pPr>
        <w:pStyle w:val="Heading1"/>
      </w:pPr>
      <w:bookmarkStart w:id="36" w:name="_Toc33613155"/>
      <w:bookmarkStart w:id="37" w:name="_Toc33785912"/>
      <w:r>
        <w:lastRenderedPageBreak/>
        <w:t>Appendix 2: General staging of endometriosis</w:t>
      </w:r>
      <w:bookmarkEnd w:id="36"/>
      <w:bookmarkEnd w:id="37"/>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19"/>
        <w:gridCol w:w="1252"/>
        <w:gridCol w:w="5808"/>
      </w:tblGrid>
      <w:tr w:rsidR="003E188A" w:rsidRPr="001F10F8" w14:paraId="09E0FA91" w14:textId="77777777" w:rsidTr="003E188A">
        <w:tc>
          <w:tcPr>
            <w:tcW w:w="2405" w:type="dxa"/>
            <w:gridSpan w:val="2"/>
            <w:shd w:val="clear" w:color="auto" w:fill="D9D9D9" w:themeFill="background1" w:themeFillShade="D9"/>
            <w:hideMark/>
          </w:tcPr>
          <w:p w14:paraId="09C15A60" w14:textId="77777777" w:rsidR="003E188A" w:rsidRPr="001F10F8" w:rsidRDefault="003E188A" w:rsidP="00C51741">
            <w:pPr>
              <w:spacing w:before="60" w:after="60"/>
              <w:rPr>
                <w:b/>
              </w:rPr>
            </w:pPr>
            <w:r w:rsidRPr="001F10F8">
              <w:rPr>
                <w:b/>
              </w:rPr>
              <w:t xml:space="preserve">Grade / </w:t>
            </w:r>
            <w:r>
              <w:rPr>
                <w:b/>
              </w:rPr>
              <w:t>S</w:t>
            </w:r>
            <w:r w:rsidRPr="001F10F8">
              <w:rPr>
                <w:b/>
              </w:rPr>
              <w:t>tage</w:t>
            </w:r>
          </w:p>
        </w:tc>
        <w:tc>
          <w:tcPr>
            <w:tcW w:w="6611" w:type="dxa"/>
            <w:shd w:val="clear" w:color="auto" w:fill="D9D9D9" w:themeFill="background1" w:themeFillShade="D9"/>
            <w:hideMark/>
          </w:tcPr>
          <w:p w14:paraId="59B4D876" w14:textId="77777777" w:rsidR="003E188A" w:rsidRPr="001F10F8" w:rsidRDefault="003E188A" w:rsidP="00C51741">
            <w:pPr>
              <w:spacing w:before="60" w:after="60"/>
              <w:rPr>
                <w:b/>
              </w:rPr>
            </w:pPr>
            <w:r w:rsidRPr="001F10F8">
              <w:rPr>
                <w:b/>
              </w:rPr>
              <w:t>Appearance</w:t>
            </w:r>
          </w:p>
        </w:tc>
      </w:tr>
      <w:tr w:rsidR="003E188A" w14:paraId="01E9B95D" w14:textId="77777777" w:rsidTr="003E188A">
        <w:tc>
          <w:tcPr>
            <w:tcW w:w="1129" w:type="dxa"/>
            <w:shd w:val="clear" w:color="auto" w:fill="auto"/>
            <w:hideMark/>
          </w:tcPr>
          <w:p w14:paraId="16F93C09" w14:textId="77777777" w:rsidR="003E188A" w:rsidRDefault="003E188A" w:rsidP="00C51741">
            <w:pPr>
              <w:spacing w:before="60" w:after="60"/>
            </w:pPr>
            <w:r>
              <w:t>I</w:t>
            </w:r>
          </w:p>
        </w:tc>
        <w:tc>
          <w:tcPr>
            <w:tcW w:w="1276" w:type="dxa"/>
            <w:shd w:val="clear" w:color="auto" w:fill="auto"/>
            <w:hideMark/>
          </w:tcPr>
          <w:p w14:paraId="7280D0F3" w14:textId="77777777" w:rsidR="003E188A" w:rsidRDefault="003E188A" w:rsidP="00C51741">
            <w:pPr>
              <w:spacing w:before="60" w:after="60"/>
            </w:pPr>
            <w:r>
              <w:t>Mild</w:t>
            </w:r>
          </w:p>
        </w:tc>
        <w:tc>
          <w:tcPr>
            <w:tcW w:w="6611" w:type="dxa"/>
            <w:shd w:val="clear" w:color="auto" w:fill="auto"/>
            <w:hideMark/>
          </w:tcPr>
          <w:p w14:paraId="52DCF682" w14:textId="77777777" w:rsidR="003E188A" w:rsidRDefault="003E188A" w:rsidP="00C51741">
            <w:pPr>
              <w:spacing w:before="60" w:after="60"/>
            </w:pPr>
            <w:r>
              <w:t>Small patches or surface lesions scattered around the pelvic cavity.</w:t>
            </w:r>
          </w:p>
        </w:tc>
      </w:tr>
      <w:tr w:rsidR="003E188A" w14:paraId="6A0479F1" w14:textId="77777777" w:rsidTr="003E188A">
        <w:tc>
          <w:tcPr>
            <w:tcW w:w="1129" w:type="dxa"/>
            <w:shd w:val="clear" w:color="auto" w:fill="auto"/>
            <w:hideMark/>
          </w:tcPr>
          <w:p w14:paraId="7E78D9FB" w14:textId="77777777" w:rsidR="003E188A" w:rsidRDefault="003E188A" w:rsidP="00C51741">
            <w:pPr>
              <w:spacing w:before="60" w:after="60"/>
            </w:pPr>
            <w:r>
              <w:t>II or III</w:t>
            </w:r>
          </w:p>
        </w:tc>
        <w:tc>
          <w:tcPr>
            <w:tcW w:w="1276" w:type="dxa"/>
            <w:shd w:val="clear" w:color="auto" w:fill="auto"/>
            <w:hideMark/>
          </w:tcPr>
          <w:p w14:paraId="7D4F7109" w14:textId="77777777" w:rsidR="003E188A" w:rsidRDefault="003E188A" w:rsidP="00C51741">
            <w:pPr>
              <w:spacing w:before="60" w:after="60"/>
            </w:pPr>
            <w:r>
              <w:t>Moderate</w:t>
            </w:r>
          </w:p>
        </w:tc>
        <w:tc>
          <w:tcPr>
            <w:tcW w:w="6611" w:type="dxa"/>
            <w:shd w:val="clear" w:color="auto" w:fill="auto"/>
            <w:hideMark/>
          </w:tcPr>
          <w:p w14:paraId="6BB06AF7" w14:textId="77777777" w:rsidR="003E188A" w:rsidRDefault="003E188A" w:rsidP="00C51741">
            <w:pPr>
              <w:spacing w:before="60" w:after="60"/>
            </w:pPr>
            <w:r>
              <w:t>Larger widespread disease starting to infiltrate tissue and often found on the ovaries, uterosacral ligaments and Pouch of Douglas. Sometimes there is also significant scarring and adhesions.</w:t>
            </w:r>
          </w:p>
        </w:tc>
      </w:tr>
      <w:tr w:rsidR="003E188A" w14:paraId="7C0E84FB" w14:textId="77777777" w:rsidTr="003E188A">
        <w:tc>
          <w:tcPr>
            <w:tcW w:w="1129" w:type="dxa"/>
            <w:shd w:val="clear" w:color="auto" w:fill="auto"/>
            <w:hideMark/>
          </w:tcPr>
          <w:p w14:paraId="48C70843" w14:textId="77777777" w:rsidR="003E188A" w:rsidRDefault="003E188A" w:rsidP="00C51741">
            <w:pPr>
              <w:spacing w:before="60" w:after="60"/>
            </w:pPr>
            <w:r>
              <w:t>IV</w:t>
            </w:r>
          </w:p>
        </w:tc>
        <w:tc>
          <w:tcPr>
            <w:tcW w:w="1276" w:type="dxa"/>
            <w:shd w:val="clear" w:color="auto" w:fill="auto"/>
            <w:hideMark/>
          </w:tcPr>
          <w:p w14:paraId="1694D9E5" w14:textId="77777777" w:rsidR="003E188A" w:rsidRDefault="003E188A" w:rsidP="00C51741">
            <w:pPr>
              <w:spacing w:before="60" w:after="60"/>
            </w:pPr>
            <w:r>
              <w:t>Severe</w:t>
            </w:r>
          </w:p>
        </w:tc>
        <w:tc>
          <w:tcPr>
            <w:tcW w:w="6611" w:type="dxa"/>
            <w:shd w:val="clear" w:color="auto" w:fill="auto"/>
            <w:hideMark/>
          </w:tcPr>
          <w:p w14:paraId="6777DAB7" w14:textId="77777777" w:rsidR="003E188A" w:rsidRDefault="003E188A" w:rsidP="00C51741">
            <w:pPr>
              <w:spacing w:before="60" w:after="60"/>
            </w:pPr>
            <w:r>
              <w:t>Affects most of the pelvic organs, often with distortion of the anatomy and adhesions.</w:t>
            </w:r>
          </w:p>
        </w:tc>
      </w:tr>
    </w:tbl>
    <w:p w14:paraId="3FA80C4F" w14:textId="0A01E70A" w:rsidR="009B4C7E" w:rsidRDefault="003E188A" w:rsidP="003E188A">
      <w:pPr>
        <w:rPr>
          <w:lang w:eastAsia="en-NZ"/>
        </w:rPr>
      </w:pPr>
      <w:r w:rsidRPr="001F10F8">
        <w:rPr>
          <w:sz w:val="20"/>
          <w:szCs w:val="24"/>
        </w:rPr>
        <w:t>Note: the stage of the endometriosis does not necessarily reflect the level of pain experienced, risk of infertility or symptoms present.</w:t>
      </w:r>
    </w:p>
    <w:sectPr w:rsidR="009B4C7E" w:rsidSect="009410FE">
      <w:type w:val="continuous"/>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9981E" w14:textId="77777777" w:rsidR="001818BC" w:rsidRDefault="001818BC">
      <w:r>
        <w:separator/>
      </w:r>
    </w:p>
    <w:p w14:paraId="596D5CBD" w14:textId="77777777" w:rsidR="001818BC" w:rsidRDefault="001818BC"/>
  </w:endnote>
  <w:endnote w:type="continuationSeparator" w:id="0">
    <w:p w14:paraId="2D8FCF55" w14:textId="77777777" w:rsidR="001818BC" w:rsidRDefault="001818BC">
      <w:r>
        <w:continuationSeparator/>
      </w:r>
    </w:p>
    <w:p w14:paraId="0111C06E" w14:textId="77777777" w:rsidR="001818BC" w:rsidRDefault="00181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5738" w14:textId="77777777" w:rsidR="00C51741" w:rsidRPr="00581136" w:rsidRDefault="00C51741" w:rsidP="005A79E5">
    <w:pPr>
      <w:pStyle w:val="Footer"/>
      <w:pBdr>
        <w:bottom w:val="single" w:sz="4" w:space="1" w:color="auto"/>
      </w:pBdr>
      <w:tabs>
        <w:tab w:val="right" w:pos="9639"/>
      </w:tabs>
      <w:rPr>
        <w:b/>
      </w:rPr>
    </w:pPr>
    <w:r w:rsidRPr="00581136">
      <w:rPr>
        <w:b/>
      </w:rPr>
      <w:t>Released 20</w:t>
    </w:r>
    <w:r>
      <w:rPr>
        <w:b/>
      </w:rPr>
      <w:t>20</w:t>
    </w:r>
    <w:r w:rsidRPr="00581136">
      <w:rPr>
        <w:b/>
      </w:rPr>
      <w:tab/>
      <w:t>health.govt.nz</w:t>
    </w:r>
  </w:p>
  <w:p w14:paraId="4D29E984" w14:textId="77777777" w:rsidR="00C51741" w:rsidRPr="005A79E5" w:rsidRDefault="00C5174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1D1D0" w14:textId="77777777" w:rsidR="00C51741" w:rsidRDefault="00C51741"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3DB6" w14:textId="77777777" w:rsidR="00C51741" w:rsidRDefault="00C517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C51741" w14:paraId="5F3F19BD" w14:textId="77777777" w:rsidTr="00875F9E">
      <w:trPr>
        <w:cantSplit/>
      </w:trPr>
      <w:tc>
        <w:tcPr>
          <w:tcW w:w="709" w:type="dxa"/>
          <w:vAlign w:val="center"/>
        </w:tcPr>
        <w:p w14:paraId="07B7003E" w14:textId="77777777" w:rsidR="00C51741" w:rsidRPr="00931466" w:rsidRDefault="00C51741" w:rsidP="00875F9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1290FCCE" w14:textId="77777777" w:rsidR="00C51741" w:rsidRDefault="00C51741" w:rsidP="00875F9E">
          <w:pPr>
            <w:pStyle w:val="RectoFooter"/>
            <w:jc w:val="left"/>
          </w:pPr>
          <w:r w:rsidRPr="003E188A">
            <w:t>Diagnosis and Management of Endometriosis in New Zealand</w:t>
          </w:r>
        </w:p>
      </w:tc>
    </w:tr>
  </w:tbl>
  <w:p w14:paraId="12CB5CA0" w14:textId="77777777" w:rsidR="00C51741" w:rsidRPr="00875F9E" w:rsidRDefault="00C51741" w:rsidP="00875F9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C51741" w14:paraId="0F0FD3ED" w14:textId="77777777" w:rsidTr="00875F9E">
      <w:trPr>
        <w:cantSplit/>
      </w:trPr>
      <w:tc>
        <w:tcPr>
          <w:tcW w:w="8080" w:type="dxa"/>
          <w:vAlign w:val="center"/>
        </w:tcPr>
        <w:p w14:paraId="74D836CA" w14:textId="77777777" w:rsidR="00C51741" w:rsidRDefault="00C51741" w:rsidP="00875F9E">
          <w:pPr>
            <w:pStyle w:val="RectoFooter"/>
          </w:pPr>
          <w:r w:rsidRPr="003E188A">
            <w:t>Diagnosis and Management of Endometriosis in New Zealand</w:t>
          </w:r>
        </w:p>
      </w:tc>
      <w:tc>
        <w:tcPr>
          <w:tcW w:w="709" w:type="dxa"/>
          <w:vAlign w:val="center"/>
        </w:tcPr>
        <w:p w14:paraId="25BAEC81" w14:textId="77777777" w:rsidR="00C51741" w:rsidRPr="00931466" w:rsidRDefault="00C51741" w:rsidP="00875F9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6D41F460" w14:textId="77777777" w:rsidR="00C51741" w:rsidRPr="00581EB8" w:rsidRDefault="00C51741"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B359B" w14:textId="77777777" w:rsidR="001818BC" w:rsidRPr="003E188A" w:rsidRDefault="001818BC" w:rsidP="003E188A">
      <w:pPr>
        <w:pStyle w:val="Footer"/>
      </w:pPr>
    </w:p>
  </w:footnote>
  <w:footnote w:type="continuationSeparator" w:id="0">
    <w:p w14:paraId="33791591" w14:textId="77777777" w:rsidR="001818BC" w:rsidRDefault="001818BC">
      <w:r>
        <w:continuationSeparator/>
      </w:r>
    </w:p>
    <w:p w14:paraId="473D1C44" w14:textId="77777777" w:rsidR="001818BC" w:rsidRDefault="001818BC"/>
  </w:footnote>
  <w:footnote w:type="continuationNotice" w:id="1">
    <w:p w14:paraId="4C30A05C" w14:textId="77777777" w:rsidR="001818BC" w:rsidRDefault="001818BC"/>
  </w:footnote>
  <w:footnote w:id="2">
    <w:p w14:paraId="7ACF6DFB" w14:textId="77777777" w:rsidR="00C51741" w:rsidRPr="000E3A2E" w:rsidRDefault="00C51741" w:rsidP="000E3A2E">
      <w:pPr>
        <w:pStyle w:val="FootnoteText"/>
        <w:ind w:left="154" w:hanging="140"/>
        <w:rPr>
          <w:lang w:val="en-AU"/>
        </w:rPr>
      </w:pPr>
      <w:r>
        <w:rPr>
          <w:rStyle w:val="FootnoteReference"/>
        </w:rPr>
        <w:footnoteRef/>
      </w:r>
      <w:r>
        <w:t xml:space="preserve"> Choosing Wisely is a global initiative that aims to promote a culture where low value and inappropriate clinical interventions are avoided, and patients and health professionals have well-informed conversations around their treatment options, leading to better decisions and outcomes. For more information, see </w:t>
      </w:r>
      <w:hyperlink r:id="rId1" w:history="1">
        <w:r>
          <w:rPr>
            <w:rStyle w:val="Hyperlink"/>
          </w:rPr>
          <w:t>https://choosingwisely.org.nz/</w:t>
        </w:r>
      </w:hyperlink>
    </w:p>
  </w:footnote>
  <w:footnote w:id="3">
    <w:p w14:paraId="02BB224F" w14:textId="77777777" w:rsidR="00C51741" w:rsidRDefault="00C51741" w:rsidP="000E3A2E">
      <w:pPr>
        <w:pStyle w:val="FootnoteText"/>
        <w:rPr>
          <w:sz w:val="20"/>
        </w:rPr>
      </w:pPr>
      <w:r>
        <w:rPr>
          <w:rStyle w:val="FootnoteReference"/>
        </w:rPr>
        <w:footnoteRef/>
      </w:r>
      <w:r>
        <w:t xml:space="preserve"> Available at: </w:t>
      </w:r>
      <w:hyperlink r:id="rId2" w:history="1">
        <w:r>
          <w:rPr>
            <w:rStyle w:val="Hyperlink"/>
          </w:rPr>
          <w:t>https://www.health.govt.nz/our-work/populations/maori-health/he-korowai-oranga</w:t>
        </w:r>
      </w:hyperlink>
    </w:p>
  </w:footnote>
  <w:footnote w:id="4">
    <w:p w14:paraId="601FE85F" w14:textId="77777777" w:rsidR="00C51741" w:rsidRDefault="00C51741">
      <w:pPr>
        <w:pStyle w:val="FootnoteText"/>
      </w:pPr>
      <w:r>
        <w:rPr>
          <w:rStyle w:val="FootnoteReference"/>
        </w:rPr>
        <w:footnoteRef/>
      </w:r>
      <w:r>
        <w:t xml:space="preserve"> See: </w:t>
      </w:r>
      <w:hyperlink r:id="rId3" w:history="1">
        <w:r>
          <w:rPr>
            <w:rStyle w:val="Hyperlink"/>
          </w:rPr>
          <w:t>https://www.nzshs.org/guidelines</w:t>
        </w:r>
      </w:hyperlink>
    </w:p>
  </w:footnote>
  <w:footnote w:id="5">
    <w:p w14:paraId="43225CC8" w14:textId="77777777" w:rsidR="00C51741" w:rsidRDefault="00C51741" w:rsidP="000E3A2E">
      <w:pPr>
        <w:pStyle w:val="FootnoteText"/>
      </w:pPr>
      <w:r>
        <w:rPr>
          <w:rStyle w:val="FootnoteReference"/>
        </w:rPr>
        <w:footnoteRef/>
      </w:r>
      <w:r>
        <w:t xml:space="preserve"> See appendix 2 for staging classification of endometriosis.</w:t>
      </w:r>
    </w:p>
  </w:footnote>
  <w:footnote w:id="6">
    <w:p w14:paraId="184E2E17" w14:textId="77777777" w:rsidR="00C51741" w:rsidRDefault="00C51741" w:rsidP="000E3A2E">
      <w:pPr>
        <w:pStyle w:val="FootnoteText"/>
        <w:ind w:hanging="142"/>
      </w:pPr>
      <w:r>
        <w:rPr>
          <w:rStyle w:val="FootnoteReference"/>
        </w:rPr>
        <w:footnoteRef/>
      </w:r>
      <w:r>
        <w:t xml:space="preserve"> See </w:t>
      </w:r>
      <w:hyperlink r:id="rId4" w:history="1">
        <w:r>
          <w:rPr>
            <w:rStyle w:val="Hyperlink"/>
          </w:rPr>
          <w:t>https://ranzcog.edu.au/RANZCOG_SITE/media/RANZCOG-MEDIA/Women%27s%20Health/Statement%20and%20guidelines/Clinical%20-%20Training/Guidelines-for-performing-gynaecological-endoscopic-procedures-(C-Trg-2).pdf?ext=.pdf</w:t>
        </w:r>
      </w:hyperlink>
    </w:p>
  </w:footnote>
  <w:footnote w:id="7">
    <w:p w14:paraId="0A4ADC22" w14:textId="77777777" w:rsidR="00C51741" w:rsidRDefault="00C51741" w:rsidP="000E3A2E">
      <w:pPr>
        <w:pStyle w:val="FootnoteText"/>
        <w:ind w:hanging="142"/>
      </w:pPr>
      <w:r>
        <w:rPr>
          <w:rStyle w:val="FootnoteReference"/>
        </w:rPr>
        <w:footnoteRef/>
      </w:r>
      <w:r>
        <w:t xml:space="preserve"> Enzian is a tool developed for the classification of deep infiltrating endometriosis</w:t>
      </w:r>
    </w:p>
  </w:footnote>
  <w:footnote w:id="8">
    <w:p w14:paraId="74EBCB88" w14:textId="77777777" w:rsidR="00C51741" w:rsidRDefault="00C51741" w:rsidP="000E3A2E">
      <w:pPr>
        <w:pStyle w:val="FootnoteText"/>
        <w:ind w:hanging="142"/>
      </w:pPr>
      <w:r>
        <w:rPr>
          <w:rStyle w:val="FootnoteReference"/>
        </w:rPr>
        <w:footnoteRef/>
      </w:r>
      <w:r>
        <w:t xml:space="preserve"> Multidisciplinary meetings (MDMs) are deliberate, regular meetings where health professionals with expertise in different specialties discuss and recommend options for patient’s treatment and care.</w:t>
      </w:r>
    </w:p>
  </w:footnote>
  <w:footnote w:id="9">
    <w:p w14:paraId="14EC0FAD" w14:textId="77777777" w:rsidR="00C51741" w:rsidRDefault="00C51741" w:rsidP="000E3A2E">
      <w:pPr>
        <w:pStyle w:val="FootnoteText"/>
        <w:ind w:hanging="142"/>
      </w:pPr>
      <w:r>
        <w:rPr>
          <w:rStyle w:val="FootnoteReference"/>
        </w:rPr>
        <w:footnoteRef/>
      </w:r>
      <w:r>
        <w:t xml:space="preserve"> Note, bilateral oophorectomy at the time of hysterectomy should be avoided, where possible, as there is a significant increase in all-cause mortality, particularly cardiovascular morbidity.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C51741" w14:paraId="6DBF5AB6" w14:textId="77777777" w:rsidTr="005A79E5">
      <w:trPr>
        <w:cantSplit/>
      </w:trPr>
      <w:tc>
        <w:tcPr>
          <w:tcW w:w="5210" w:type="dxa"/>
        </w:tcPr>
        <w:p w14:paraId="3F222FA6" w14:textId="77777777" w:rsidR="00C51741" w:rsidRDefault="00C51741" w:rsidP="00802C89">
          <w:pPr>
            <w:pStyle w:val="Header"/>
          </w:pPr>
          <w:r>
            <w:rPr>
              <w:noProof/>
              <w:lang w:eastAsia="en-NZ"/>
            </w:rPr>
            <w:drawing>
              <wp:inline distT="0" distB="0" distL="0" distR="0" wp14:anchorId="2EDBC276" wp14:editId="3FBFF7EB">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D8AB7F1" w14:textId="77777777" w:rsidR="00C51741" w:rsidRDefault="00C51741" w:rsidP="00802C89">
          <w:pPr>
            <w:pStyle w:val="Header"/>
            <w:jc w:val="right"/>
          </w:pPr>
          <w:r>
            <w:rPr>
              <w:noProof/>
              <w:lang w:eastAsia="en-NZ"/>
            </w:rPr>
            <w:drawing>
              <wp:inline distT="0" distB="0" distL="0" distR="0" wp14:anchorId="4296BE0D" wp14:editId="2C05BDBC">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6107E0DE" w14:textId="77777777" w:rsidR="00C51741" w:rsidRDefault="00C51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21228" w14:textId="77777777" w:rsidR="00C51741" w:rsidRDefault="00C517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98FD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F4B6F37"/>
    <w:multiLevelType w:val="multilevel"/>
    <w:tmpl w:val="1D161EEE"/>
    <w:lvl w:ilvl="0">
      <w:start w:val="8"/>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610A6B"/>
    <w:multiLevelType w:val="hybridMultilevel"/>
    <w:tmpl w:val="BC2A4D62"/>
    <w:lvl w:ilvl="0" w:tplc="1242B9C2">
      <w:start w:val="1"/>
      <w:numFmt w:val="decimal"/>
      <w:lvlText w:val="%1."/>
      <w:lvlJc w:val="left"/>
      <w:pPr>
        <w:ind w:left="1070" w:hanging="360"/>
      </w:pPr>
      <w:rPr>
        <w:rFonts w:ascii="Arial" w:hAnsi="Arial" w:cs="Arial"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1A4DAF"/>
    <w:multiLevelType w:val="hybridMultilevel"/>
    <w:tmpl w:val="A9FA5D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E0707D"/>
    <w:multiLevelType w:val="multilevel"/>
    <w:tmpl w:val="BAE8F29E"/>
    <w:lvl w:ilvl="0">
      <w:start w:val="16"/>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0D2D06"/>
    <w:multiLevelType w:val="multilevel"/>
    <w:tmpl w:val="42A4E726"/>
    <w:lvl w:ilvl="0">
      <w:start w:val="1"/>
      <w:numFmt w:val="none"/>
      <w:suff w:val="nothing"/>
      <w:lvlText w:val="%1"/>
      <w:lvlJc w:val="left"/>
      <w:pPr>
        <w:ind w:left="0" w:firstLine="0"/>
      </w:pPr>
    </w:lvl>
    <w:lvl w:ilvl="1">
      <w:start w:val="1"/>
      <w:numFmt w:val="none"/>
      <w:suff w:val="nothing"/>
      <w:lvlText w:val="%1"/>
      <w:lvlJc w:val="left"/>
      <w:pPr>
        <w:ind w:left="0" w:firstLine="0"/>
      </w:pPr>
    </w:lvl>
    <w:lvl w:ilvl="2">
      <w:start w:val="1"/>
      <w:numFmt w:val="decimal"/>
      <w:lvlRestart w:val="0"/>
      <w:lvlText w:val="%3."/>
      <w:lvlJc w:val="left"/>
      <w:pPr>
        <w:tabs>
          <w:tab w:val="num" w:pos="708"/>
        </w:tabs>
        <w:ind w:left="708" w:hanging="567"/>
      </w:pPr>
    </w:lvl>
    <w:lvl w:ilvl="3">
      <w:start w:val="1"/>
      <w:numFmt w:val="lowerLetter"/>
      <w:lvlText w:val="(%4)"/>
      <w:lvlJc w:val="left"/>
      <w:pPr>
        <w:ind w:left="1134" w:hanging="567"/>
      </w:pPr>
    </w:lvl>
    <w:lvl w:ilvl="4">
      <w:start w:val="1"/>
      <w:numFmt w:val="lowerRoman"/>
      <w:lvlText w:val="(%5)"/>
      <w:lvlJc w:val="left"/>
      <w:pPr>
        <w:ind w:left="1701" w:hanging="567"/>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E309D6"/>
    <w:multiLevelType w:val="hybridMultilevel"/>
    <w:tmpl w:val="29A8747C"/>
    <w:lvl w:ilvl="0" w:tplc="A36C1656">
      <w:start w:val="8"/>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23DC7796"/>
    <w:multiLevelType w:val="multilevel"/>
    <w:tmpl w:val="B8D2E37E"/>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275"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7E1C52"/>
    <w:multiLevelType w:val="hybridMultilevel"/>
    <w:tmpl w:val="A9FA5D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A839BD"/>
    <w:multiLevelType w:val="hybridMultilevel"/>
    <w:tmpl w:val="A9FA5D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C30E9E"/>
    <w:multiLevelType w:val="hybridMultilevel"/>
    <w:tmpl w:val="A9FA5D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6DA5560"/>
    <w:multiLevelType w:val="hybridMultilevel"/>
    <w:tmpl w:val="A9FA5D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3342FAE"/>
    <w:multiLevelType w:val="multilevel"/>
    <w:tmpl w:val="D2F491D2"/>
    <w:lvl w:ilvl="0">
      <w:start w:val="2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7F64785"/>
    <w:multiLevelType w:val="hybridMultilevel"/>
    <w:tmpl w:val="F1F02E8E"/>
    <w:lvl w:ilvl="0" w:tplc="414A383C">
      <w:start w:val="7"/>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6DE66B12"/>
    <w:multiLevelType w:val="hybridMultilevel"/>
    <w:tmpl w:val="C084046E"/>
    <w:lvl w:ilvl="0" w:tplc="7310B1C8">
      <w:start w:val="9"/>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8" w15:restartNumberingAfterBreak="0">
    <w:nsid w:val="712E2EBA"/>
    <w:multiLevelType w:val="hybridMultilevel"/>
    <w:tmpl w:val="1CB0D838"/>
    <w:lvl w:ilvl="0" w:tplc="949497D8">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5CE25EC"/>
    <w:multiLevelType w:val="multilevel"/>
    <w:tmpl w:val="5888CD34"/>
    <w:lvl w:ilvl="0">
      <w:start w:val="2"/>
      <w:numFmt w:val="none"/>
      <w:suff w:val="nothing"/>
      <w:lvlText w:val="%1"/>
      <w:lvlJc w:val="left"/>
      <w:pPr>
        <w:ind w:left="0" w:firstLine="0"/>
      </w:pPr>
    </w:lvl>
    <w:lvl w:ilvl="1">
      <w:start w:val="1"/>
      <w:numFmt w:val="none"/>
      <w:suff w:val="nothing"/>
      <w:lvlText w:val="%1"/>
      <w:lvlJc w:val="left"/>
      <w:pPr>
        <w:ind w:left="0" w:firstLine="0"/>
      </w:pPr>
    </w:lvl>
    <w:lvl w:ilvl="2">
      <w:start w:val="19"/>
      <w:numFmt w:val="decimal"/>
      <w:lvlRestart w:val="0"/>
      <w:lvlText w:val="%3."/>
      <w:lvlJc w:val="left"/>
      <w:pPr>
        <w:tabs>
          <w:tab w:val="num" w:pos="708"/>
        </w:tabs>
        <w:ind w:left="708" w:hanging="567"/>
      </w:pPr>
    </w:lvl>
    <w:lvl w:ilvl="3">
      <w:start w:val="1"/>
      <w:numFmt w:val="lowerLetter"/>
      <w:lvlText w:val="(%4)"/>
      <w:lvlJc w:val="left"/>
      <w:pPr>
        <w:ind w:left="1134" w:hanging="567"/>
      </w:pPr>
    </w:lvl>
    <w:lvl w:ilvl="4">
      <w:start w:val="1"/>
      <w:numFmt w:val="lowerRoman"/>
      <w:lvlText w:val="(%5)"/>
      <w:lvlJc w:val="left"/>
      <w:pPr>
        <w:ind w:left="1701" w:hanging="567"/>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020549"/>
    <w:multiLevelType w:val="hybridMultilevel"/>
    <w:tmpl w:val="A9FA5D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83F5742"/>
    <w:multiLevelType w:val="multilevel"/>
    <w:tmpl w:val="6FCAFFEE"/>
    <w:lvl w:ilvl="0">
      <w:start w:val="10"/>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2"/>
  </w:num>
  <w:num w:numId="2">
    <w:abstractNumId w:val="11"/>
  </w:num>
  <w:num w:numId="3">
    <w:abstractNumId w:val="12"/>
  </w:num>
  <w:num w:numId="4">
    <w:abstractNumId w:val="1"/>
  </w:num>
  <w:num w:numId="5">
    <w:abstractNumId w:val="8"/>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2"/>
    </w:lvlOverride>
    <w:lvlOverride w:ilvl="1">
      <w:startOverride w:val="1"/>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0"/>
  </w:num>
  <w:num w:numId="23">
    <w:abstractNumId w:val="13"/>
  </w:num>
  <w:num w:numId="24">
    <w:abstractNumId w:val="9"/>
  </w:num>
  <w:num w:numId="25">
    <w:abstractNumId w:val="14"/>
  </w:num>
  <w:num w:numId="26">
    <w:abstractNumId w:val="20"/>
  </w:num>
  <w:num w:numId="27">
    <w:abstractNumId w:val="4"/>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NZ" w:vendorID="64" w:dllVersion="6" w:nlCheck="1" w:checkStyle="1"/>
  <w:activeWritingStyle w:appName="MSWord" w:lang="en-NZ" w:vendorID="64" w:dllVersion="4096" w:nlCheck="1" w:checkStyle="0"/>
  <w:activeWritingStyle w:appName="MSWord" w:lang="en-NZ"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1878"/>
    <w:rsid w:val="000025B8"/>
    <w:rsid w:val="0001168D"/>
    <w:rsid w:val="000165CC"/>
    <w:rsid w:val="00017BE8"/>
    <w:rsid w:val="000212BA"/>
    <w:rsid w:val="00023F4D"/>
    <w:rsid w:val="00024C77"/>
    <w:rsid w:val="0002545A"/>
    <w:rsid w:val="00025A6F"/>
    <w:rsid w:val="0002618D"/>
    <w:rsid w:val="00030B26"/>
    <w:rsid w:val="00030E84"/>
    <w:rsid w:val="00032C0A"/>
    <w:rsid w:val="00035257"/>
    <w:rsid w:val="00035D68"/>
    <w:rsid w:val="00043973"/>
    <w:rsid w:val="00043C1E"/>
    <w:rsid w:val="00044480"/>
    <w:rsid w:val="000457F7"/>
    <w:rsid w:val="00050EEB"/>
    <w:rsid w:val="00052C5B"/>
    <w:rsid w:val="00053A27"/>
    <w:rsid w:val="00054B44"/>
    <w:rsid w:val="00055A92"/>
    <w:rsid w:val="000563C9"/>
    <w:rsid w:val="000569D8"/>
    <w:rsid w:val="0006228D"/>
    <w:rsid w:val="00062330"/>
    <w:rsid w:val="00063B33"/>
    <w:rsid w:val="00063FC4"/>
    <w:rsid w:val="000706E2"/>
    <w:rsid w:val="00071EBA"/>
    <w:rsid w:val="00072BD6"/>
    <w:rsid w:val="00074549"/>
    <w:rsid w:val="00075B78"/>
    <w:rsid w:val="00076A9F"/>
    <w:rsid w:val="00082CD6"/>
    <w:rsid w:val="0008437D"/>
    <w:rsid w:val="00085AFE"/>
    <w:rsid w:val="00094800"/>
    <w:rsid w:val="000B0730"/>
    <w:rsid w:val="000B1D4D"/>
    <w:rsid w:val="000B3F43"/>
    <w:rsid w:val="000C3AE5"/>
    <w:rsid w:val="000D08BE"/>
    <w:rsid w:val="000D19F4"/>
    <w:rsid w:val="000D489F"/>
    <w:rsid w:val="000D58DD"/>
    <w:rsid w:val="000E00C3"/>
    <w:rsid w:val="000E3A2E"/>
    <w:rsid w:val="000E4E74"/>
    <w:rsid w:val="000E7D06"/>
    <w:rsid w:val="000F2AE2"/>
    <w:rsid w:val="000F2BFF"/>
    <w:rsid w:val="000F4CCB"/>
    <w:rsid w:val="00102063"/>
    <w:rsid w:val="00102D25"/>
    <w:rsid w:val="00103973"/>
    <w:rsid w:val="0010541C"/>
    <w:rsid w:val="00106F93"/>
    <w:rsid w:val="001112A5"/>
    <w:rsid w:val="00111D50"/>
    <w:rsid w:val="001138AD"/>
    <w:rsid w:val="00113B8E"/>
    <w:rsid w:val="0011564B"/>
    <w:rsid w:val="00116F98"/>
    <w:rsid w:val="00117DC3"/>
    <w:rsid w:val="0012053C"/>
    <w:rsid w:val="001218C8"/>
    <w:rsid w:val="00121956"/>
    <w:rsid w:val="00122363"/>
    <w:rsid w:val="00123D75"/>
    <w:rsid w:val="00124768"/>
    <w:rsid w:val="001249F6"/>
    <w:rsid w:val="001300AC"/>
    <w:rsid w:val="001342C7"/>
    <w:rsid w:val="0013585C"/>
    <w:rsid w:val="00140437"/>
    <w:rsid w:val="0014080A"/>
    <w:rsid w:val="00142261"/>
    <w:rsid w:val="00142954"/>
    <w:rsid w:val="00145BA9"/>
    <w:rsid w:val="001460E0"/>
    <w:rsid w:val="00146937"/>
    <w:rsid w:val="001472F0"/>
    <w:rsid w:val="00147F71"/>
    <w:rsid w:val="00150A6E"/>
    <w:rsid w:val="001536D1"/>
    <w:rsid w:val="001538BC"/>
    <w:rsid w:val="001545BC"/>
    <w:rsid w:val="00154B32"/>
    <w:rsid w:val="00161DAC"/>
    <w:rsid w:val="0016468A"/>
    <w:rsid w:val="00167DA3"/>
    <w:rsid w:val="00170833"/>
    <w:rsid w:val="00174A67"/>
    <w:rsid w:val="00175364"/>
    <w:rsid w:val="00175B47"/>
    <w:rsid w:val="0017606F"/>
    <w:rsid w:val="001818BC"/>
    <w:rsid w:val="0018662D"/>
    <w:rsid w:val="00194F3D"/>
    <w:rsid w:val="00195744"/>
    <w:rsid w:val="001964F5"/>
    <w:rsid w:val="00197427"/>
    <w:rsid w:val="001A21B4"/>
    <w:rsid w:val="001A5CF5"/>
    <w:rsid w:val="001A5D55"/>
    <w:rsid w:val="001A77E4"/>
    <w:rsid w:val="001B0E6D"/>
    <w:rsid w:val="001B39D2"/>
    <w:rsid w:val="001B4BF8"/>
    <w:rsid w:val="001C4326"/>
    <w:rsid w:val="001C4912"/>
    <w:rsid w:val="001D3541"/>
    <w:rsid w:val="001D3E4E"/>
    <w:rsid w:val="001D412B"/>
    <w:rsid w:val="001E254A"/>
    <w:rsid w:val="001E3C12"/>
    <w:rsid w:val="001E7386"/>
    <w:rsid w:val="001F03AA"/>
    <w:rsid w:val="001F45A7"/>
    <w:rsid w:val="001F67E4"/>
    <w:rsid w:val="00201A01"/>
    <w:rsid w:val="00204230"/>
    <w:rsid w:val="00205510"/>
    <w:rsid w:val="00205692"/>
    <w:rsid w:val="0020754B"/>
    <w:rsid w:val="002104D3"/>
    <w:rsid w:val="00213A33"/>
    <w:rsid w:val="0021763B"/>
    <w:rsid w:val="002222C7"/>
    <w:rsid w:val="00230EF3"/>
    <w:rsid w:val="00235455"/>
    <w:rsid w:val="0024145F"/>
    <w:rsid w:val="00241C48"/>
    <w:rsid w:val="002469F7"/>
    <w:rsid w:val="00246DB1"/>
    <w:rsid w:val="002474F6"/>
    <w:rsid w:val="002476B5"/>
    <w:rsid w:val="00250BDA"/>
    <w:rsid w:val="002520CC"/>
    <w:rsid w:val="00253ECF"/>
    <w:rsid w:val="002546A1"/>
    <w:rsid w:val="002564DB"/>
    <w:rsid w:val="00262791"/>
    <w:rsid w:val="002628F4"/>
    <w:rsid w:val="002633EA"/>
    <w:rsid w:val="00267324"/>
    <w:rsid w:val="002711B8"/>
    <w:rsid w:val="00275D08"/>
    <w:rsid w:val="002841FA"/>
    <w:rsid w:val="002858E3"/>
    <w:rsid w:val="00287A30"/>
    <w:rsid w:val="00287E03"/>
    <w:rsid w:val="00291658"/>
    <w:rsid w:val="0029190A"/>
    <w:rsid w:val="00292C5A"/>
    <w:rsid w:val="00295241"/>
    <w:rsid w:val="002A24C4"/>
    <w:rsid w:val="002A26D9"/>
    <w:rsid w:val="002A4000"/>
    <w:rsid w:val="002A4DFC"/>
    <w:rsid w:val="002A744D"/>
    <w:rsid w:val="002B047D"/>
    <w:rsid w:val="002B1D27"/>
    <w:rsid w:val="002B3B4F"/>
    <w:rsid w:val="002B6485"/>
    <w:rsid w:val="002B6DD9"/>
    <w:rsid w:val="002B732B"/>
    <w:rsid w:val="002B76A7"/>
    <w:rsid w:val="002C0205"/>
    <w:rsid w:val="002C0D2B"/>
    <w:rsid w:val="002C2219"/>
    <w:rsid w:val="002C2552"/>
    <w:rsid w:val="002C2805"/>
    <w:rsid w:val="002C6B8B"/>
    <w:rsid w:val="002C7641"/>
    <w:rsid w:val="002D0DF2"/>
    <w:rsid w:val="002D23BD"/>
    <w:rsid w:val="002D2841"/>
    <w:rsid w:val="002D623D"/>
    <w:rsid w:val="002E07F5"/>
    <w:rsid w:val="002E0B47"/>
    <w:rsid w:val="002E3727"/>
    <w:rsid w:val="002E5189"/>
    <w:rsid w:val="002F3B52"/>
    <w:rsid w:val="002F4685"/>
    <w:rsid w:val="002F7213"/>
    <w:rsid w:val="0030029C"/>
    <w:rsid w:val="003020CF"/>
    <w:rsid w:val="0030382F"/>
    <w:rsid w:val="0030408D"/>
    <w:rsid w:val="003044B0"/>
    <w:rsid w:val="00304969"/>
    <w:rsid w:val="003060E4"/>
    <w:rsid w:val="003126D7"/>
    <w:rsid w:val="003142E7"/>
    <w:rsid w:val="003160E7"/>
    <w:rsid w:val="0031739E"/>
    <w:rsid w:val="003175E4"/>
    <w:rsid w:val="003245F7"/>
    <w:rsid w:val="003309A5"/>
    <w:rsid w:val="003309CA"/>
    <w:rsid w:val="003325AB"/>
    <w:rsid w:val="003332D1"/>
    <w:rsid w:val="00333840"/>
    <w:rsid w:val="00333906"/>
    <w:rsid w:val="0033412B"/>
    <w:rsid w:val="00335F8B"/>
    <w:rsid w:val="00337885"/>
    <w:rsid w:val="00341161"/>
    <w:rsid w:val="00343365"/>
    <w:rsid w:val="003445F4"/>
    <w:rsid w:val="00345239"/>
    <w:rsid w:val="00347D11"/>
    <w:rsid w:val="00351E21"/>
    <w:rsid w:val="003523E4"/>
    <w:rsid w:val="00353501"/>
    <w:rsid w:val="00353520"/>
    <w:rsid w:val="00353734"/>
    <w:rsid w:val="003553F5"/>
    <w:rsid w:val="003606F8"/>
    <w:rsid w:val="003648EF"/>
    <w:rsid w:val="00366395"/>
    <w:rsid w:val="003673E6"/>
    <w:rsid w:val="00375344"/>
    <w:rsid w:val="00377264"/>
    <w:rsid w:val="003779D2"/>
    <w:rsid w:val="0038180E"/>
    <w:rsid w:val="0038302E"/>
    <w:rsid w:val="00383295"/>
    <w:rsid w:val="00383647"/>
    <w:rsid w:val="00383A46"/>
    <w:rsid w:val="00385E38"/>
    <w:rsid w:val="00385FC4"/>
    <w:rsid w:val="00390BC8"/>
    <w:rsid w:val="00393E2B"/>
    <w:rsid w:val="003A0138"/>
    <w:rsid w:val="003A0423"/>
    <w:rsid w:val="003A26A5"/>
    <w:rsid w:val="003A3761"/>
    <w:rsid w:val="003A512D"/>
    <w:rsid w:val="003A5FEA"/>
    <w:rsid w:val="003A61FD"/>
    <w:rsid w:val="003B1D10"/>
    <w:rsid w:val="003B3262"/>
    <w:rsid w:val="003B4CCC"/>
    <w:rsid w:val="003B6E9B"/>
    <w:rsid w:val="003C0D0C"/>
    <w:rsid w:val="003C76D4"/>
    <w:rsid w:val="003D0D54"/>
    <w:rsid w:val="003D137D"/>
    <w:rsid w:val="003D2CC5"/>
    <w:rsid w:val="003E04C1"/>
    <w:rsid w:val="003E0887"/>
    <w:rsid w:val="003E188A"/>
    <w:rsid w:val="003E232E"/>
    <w:rsid w:val="003E3147"/>
    <w:rsid w:val="003E7C46"/>
    <w:rsid w:val="003F2106"/>
    <w:rsid w:val="003F228E"/>
    <w:rsid w:val="003F36F7"/>
    <w:rsid w:val="003F52A7"/>
    <w:rsid w:val="003F7013"/>
    <w:rsid w:val="0040240C"/>
    <w:rsid w:val="00402CCF"/>
    <w:rsid w:val="004061F4"/>
    <w:rsid w:val="00413021"/>
    <w:rsid w:val="004159BE"/>
    <w:rsid w:val="004201FC"/>
    <w:rsid w:val="00420E4E"/>
    <w:rsid w:val="00422937"/>
    <w:rsid w:val="004301C6"/>
    <w:rsid w:val="00430545"/>
    <w:rsid w:val="00433117"/>
    <w:rsid w:val="00434299"/>
    <w:rsid w:val="0043478F"/>
    <w:rsid w:val="004353C3"/>
    <w:rsid w:val="004357B4"/>
    <w:rsid w:val="0043602B"/>
    <w:rsid w:val="00440BE0"/>
    <w:rsid w:val="00442C1C"/>
    <w:rsid w:val="0044357E"/>
    <w:rsid w:val="0044584B"/>
    <w:rsid w:val="00447CB7"/>
    <w:rsid w:val="00450D78"/>
    <w:rsid w:val="004516B7"/>
    <w:rsid w:val="004534C4"/>
    <w:rsid w:val="00455CC9"/>
    <w:rsid w:val="00460826"/>
    <w:rsid w:val="00460EA7"/>
    <w:rsid w:val="0046195B"/>
    <w:rsid w:val="0046362D"/>
    <w:rsid w:val="00463669"/>
    <w:rsid w:val="0046395F"/>
    <w:rsid w:val="0046596D"/>
    <w:rsid w:val="004766FB"/>
    <w:rsid w:val="004805AD"/>
    <w:rsid w:val="00481F58"/>
    <w:rsid w:val="004852C5"/>
    <w:rsid w:val="00487C04"/>
    <w:rsid w:val="004907E1"/>
    <w:rsid w:val="00496336"/>
    <w:rsid w:val="00497F3D"/>
    <w:rsid w:val="004A035B"/>
    <w:rsid w:val="004A2108"/>
    <w:rsid w:val="004A38D7"/>
    <w:rsid w:val="004A778C"/>
    <w:rsid w:val="004A78C9"/>
    <w:rsid w:val="004B11E9"/>
    <w:rsid w:val="004B48C7"/>
    <w:rsid w:val="004B49A6"/>
    <w:rsid w:val="004C2E6A"/>
    <w:rsid w:val="004C64B8"/>
    <w:rsid w:val="004C69F6"/>
    <w:rsid w:val="004C77E9"/>
    <w:rsid w:val="004D1553"/>
    <w:rsid w:val="004D1848"/>
    <w:rsid w:val="004D2A2D"/>
    <w:rsid w:val="004D2FB2"/>
    <w:rsid w:val="004D365D"/>
    <w:rsid w:val="004D369B"/>
    <w:rsid w:val="004D53EE"/>
    <w:rsid w:val="004D6689"/>
    <w:rsid w:val="004E1D1D"/>
    <w:rsid w:val="004E7AC8"/>
    <w:rsid w:val="004E7C6F"/>
    <w:rsid w:val="004F0C94"/>
    <w:rsid w:val="004F2B93"/>
    <w:rsid w:val="005019AE"/>
    <w:rsid w:val="005026EE"/>
    <w:rsid w:val="00503749"/>
    <w:rsid w:val="00504CF4"/>
    <w:rsid w:val="00505E3B"/>
    <w:rsid w:val="0050635B"/>
    <w:rsid w:val="005151C2"/>
    <w:rsid w:val="00523187"/>
    <w:rsid w:val="00524724"/>
    <w:rsid w:val="00526CA7"/>
    <w:rsid w:val="00526FB1"/>
    <w:rsid w:val="0053199F"/>
    <w:rsid w:val="00533B90"/>
    <w:rsid w:val="00534B7D"/>
    <w:rsid w:val="0054075D"/>
    <w:rsid w:val="005410F8"/>
    <w:rsid w:val="005411F6"/>
    <w:rsid w:val="0054173E"/>
    <w:rsid w:val="005448EC"/>
    <w:rsid w:val="00545963"/>
    <w:rsid w:val="00550256"/>
    <w:rsid w:val="00553165"/>
    <w:rsid w:val="00553958"/>
    <w:rsid w:val="00556BB7"/>
    <w:rsid w:val="0055763D"/>
    <w:rsid w:val="00561516"/>
    <w:rsid w:val="005621F2"/>
    <w:rsid w:val="0056445E"/>
    <w:rsid w:val="00567B58"/>
    <w:rsid w:val="00571223"/>
    <w:rsid w:val="0057477D"/>
    <w:rsid w:val="005763E0"/>
    <w:rsid w:val="00580AAB"/>
    <w:rsid w:val="00581136"/>
    <w:rsid w:val="005813EC"/>
    <w:rsid w:val="00581EB8"/>
    <w:rsid w:val="00583972"/>
    <w:rsid w:val="00586413"/>
    <w:rsid w:val="005A2533"/>
    <w:rsid w:val="005A27CA"/>
    <w:rsid w:val="005A43BD"/>
    <w:rsid w:val="005A72DA"/>
    <w:rsid w:val="005A79E5"/>
    <w:rsid w:val="005B1584"/>
    <w:rsid w:val="005B56BC"/>
    <w:rsid w:val="005B6BCE"/>
    <w:rsid w:val="005B770F"/>
    <w:rsid w:val="005C6AD3"/>
    <w:rsid w:val="005D034C"/>
    <w:rsid w:val="005D070B"/>
    <w:rsid w:val="005D289F"/>
    <w:rsid w:val="005D43A9"/>
    <w:rsid w:val="005D5677"/>
    <w:rsid w:val="005D6B68"/>
    <w:rsid w:val="005D7990"/>
    <w:rsid w:val="005E226E"/>
    <w:rsid w:val="005E2636"/>
    <w:rsid w:val="005E6454"/>
    <w:rsid w:val="005F3D10"/>
    <w:rsid w:val="006015D7"/>
    <w:rsid w:val="00601B21"/>
    <w:rsid w:val="006041F0"/>
    <w:rsid w:val="00605C6D"/>
    <w:rsid w:val="006100EF"/>
    <w:rsid w:val="006120CA"/>
    <w:rsid w:val="00612A82"/>
    <w:rsid w:val="0062333C"/>
    <w:rsid w:val="00624174"/>
    <w:rsid w:val="00626CF8"/>
    <w:rsid w:val="00630859"/>
    <w:rsid w:val="006314AF"/>
    <w:rsid w:val="00632B65"/>
    <w:rsid w:val="00632D25"/>
    <w:rsid w:val="006334FB"/>
    <w:rsid w:val="0063378D"/>
    <w:rsid w:val="00634ED8"/>
    <w:rsid w:val="00636375"/>
    <w:rsid w:val="00636D7D"/>
    <w:rsid w:val="00637194"/>
    <w:rsid w:val="00637408"/>
    <w:rsid w:val="0064041A"/>
    <w:rsid w:val="00641AA2"/>
    <w:rsid w:val="00642868"/>
    <w:rsid w:val="00647AFE"/>
    <w:rsid w:val="006506F3"/>
    <w:rsid w:val="00650722"/>
    <w:rsid w:val="006512BC"/>
    <w:rsid w:val="00653A5A"/>
    <w:rsid w:val="006550F1"/>
    <w:rsid w:val="006575F4"/>
    <w:rsid w:val="0065764A"/>
    <w:rsid w:val="006579E6"/>
    <w:rsid w:val="00660682"/>
    <w:rsid w:val="00661C7B"/>
    <w:rsid w:val="0066381A"/>
    <w:rsid w:val="00663EDC"/>
    <w:rsid w:val="006644AA"/>
    <w:rsid w:val="00664602"/>
    <w:rsid w:val="00665913"/>
    <w:rsid w:val="006664B0"/>
    <w:rsid w:val="00671078"/>
    <w:rsid w:val="0067411C"/>
    <w:rsid w:val="006758CA"/>
    <w:rsid w:val="00675CCF"/>
    <w:rsid w:val="00680A04"/>
    <w:rsid w:val="0068158B"/>
    <w:rsid w:val="006831F0"/>
    <w:rsid w:val="00686D80"/>
    <w:rsid w:val="006904A5"/>
    <w:rsid w:val="00690691"/>
    <w:rsid w:val="00691132"/>
    <w:rsid w:val="006917E1"/>
    <w:rsid w:val="0069189E"/>
    <w:rsid w:val="00694895"/>
    <w:rsid w:val="006953CC"/>
    <w:rsid w:val="00697E2E"/>
    <w:rsid w:val="006A0367"/>
    <w:rsid w:val="006A25A2"/>
    <w:rsid w:val="006A3B87"/>
    <w:rsid w:val="006B04FF"/>
    <w:rsid w:val="006B0E73"/>
    <w:rsid w:val="006B1E3D"/>
    <w:rsid w:val="006B4A4D"/>
    <w:rsid w:val="006B5695"/>
    <w:rsid w:val="006B7B2E"/>
    <w:rsid w:val="006C2BF3"/>
    <w:rsid w:val="006C6382"/>
    <w:rsid w:val="006C78EB"/>
    <w:rsid w:val="006D0568"/>
    <w:rsid w:val="006D0B8C"/>
    <w:rsid w:val="006D15E5"/>
    <w:rsid w:val="006D1660"/>
    <w:rsid w:val="006D2932"/>
    <w:rsid w:val="006D38A8"/>
    <w:rsid w:val="006D3A45"/>
    <w:rsid w:val="006D63E5"/>
    <w:rsid w:val="006E3225"/>
    <w:rsid w:val="006E3911"/>
    <w:rsid w:val="006E3DAB"/>
    <w:rsid w:val="006E439F"/>
    <w:rsid w:val="006F0028"/>
    <w:rsid w:val="006F1B67"/>
    <w:rsid w:val="006F3909"/>
    <w:rsid w:val="006F4BD3"/>
    <w:rsid w:val="006F4D9C"/>
    <w:rsid w:val="0070091D"/>
    <w:rsid w:val="0070230F"/>
    <w:rsid w:val="00702854"/>
    <w:rsid w:val="00704388"/>
    <w:rsid w:val="00704CD8"/>
    <w:rsid w:val="007131F5"/>
    <w:rsid w:val="0071666E"/>
    <w:rsid w:val="00717128"/>
    <w:rsid w:val="0071741C"/>
    <w:rsid w:val="00717D25"/>
    <w:rsid w:val="00723B0B"/>
    <w:rsid w:val="007275F4"/>
    <w:rsid w:val="007357DA"/>
    <w:rsid w:val="007363E4"/>
    <w:rsid w:val="007429DE"/>
    <w:rsid w:val="00742B90"/>
    <w:rsid w:val="00743CB9"/>
    <w:rsid w:val="0074434D"/>
    <w:rsid w:val="00746236"/>
    <w:rsid w:val="00757BA4"/>
    <w:rsid w:val="00757F02"/>
    <w:rsid w:val="007601EE"/>
    <w:rsid w:val="007605B8"/>
    <w:rsid w:val="007614C6"/>
    <w:rsid w:val="00765DAB"/>
    <w:rsid w:val="00766877"/>
    <w:rsid w:val="00771B1E"/>
    <w:rsid w:val="00773C95"/>
    <w:rsid w:val="00774650"/>
    <w:rsid w:val="007813B7"/>
    <w:rsid w:val="0078171E"/>
    <w:rsid w:val="0078481B"/>
    <w:rsid w:val="0078658E"/>
    <w:rsid w:val="00786613"/>
    <w:rsid w:val="00791A68"/>
    <w:rsid w:val="007920E2"/>
    <w:rsid w:val="0079566E"/>
    <w:rsid w:val="00795B34"/>
    <w:rsid w:val="00796A41"/>
    <w:rsid w:val="007A067F"/>
    <w:rsid w:val="007A2547"/>
    <w:rsid w:val="007A3D5B"/>
    <w:rsid w:val="007A6E22"/>
    <w:rsid w:val="007B1770"/>
    <w:rsid w:val="007B2230"/>
    <w:rsid w:val="007B2EDB"/>
    <w:rsid w:val="007B4D3E"/>
    <w:rsid w:val="007B7C70"/>
    <w:rsid w:val="007B7DEB"/>
    <w:rsid w:val="007C08B6"/>
    <w:rsid w:val="007C1F30"/>
    <w:rsid w:val="007D2151"/>
    <w:rsid w:val="007D3B90"/>
    <w:rsid w:val="007D42CC"/>
    <w:rsid w:val="007D446C"/>
    <w:rsid w:val="007D4E03"/>
    <w:rsid w:val="007D5DE4"/>
    <w:rsid w:val="007D7C3A"/>
    <w:rsid w:val="007E0777"/>
    <w:rsid w:val="007E1341"/>
    <w:rsid w:val="007E1B41"/>
    <w:rsid w:val="007E1EC4"/>
    <w:rsid w:val="007E30B9"/>
    <w:rsid w:val="007E3C72"/>
    <w:rsid w:val="007E3E13"/>
    <w:rsid w:val="007E74F1"/>
    <w:rsid w:val="007F09B1"/>
    <w:rsid w:val="007F0F0C"/>
    <w:rsid w:val="007F1288"/>
    <w:rsid w:val="007F2B15"/>
    <w:rsid w:val="007F368B"/>
    <w:rsid w:val="007F5467"/>
    <w:rsid w:val="00800A8A"/>
    <w:rsid w:val="0080155C"/>
    <w:rsid w:val="00802C89"/>
    <w:rsid w:val="008052E1"/>
    <w:rsid w:val="008061F3"/>
    <w:rsid w:val="00820321"/>
    <w:rsid w:val="00822F2C"/>
    <w:rsid w:val="00823DEE"/>
    <w:rsid w:val="008305E8"/>
    <w:rsid w:val="00832C28"/>
    <w:rsid w:val="008338C4"/>
    <w:rsid w:val="00836165"/>
    <w:rsid w:val="00841F8C"/>
    <w:rsid w:val="0084640C"/>
    <w:rsid w:val="00856088"/>
    <w:rsid w:val="00860826"/>
    <w:rsid w:val="00860CC3"/>
    <w:rsid w:val="00860E21"/>
    <w:rsid w:val="0086301C"/>
    <w:rsid w:val="00863117"/>
    <w:rsid w:val="008637AD"/>
    <w:rsid w:val="0086388B"/>
    <w:rsid w:val="00863A70"/>
    <w:rsid w:val="008642E5"/>
    <w:rsid w:val="00870A36"/>
    <w:rsid w:val="00872D93"/>
    <w:rsid w:val="00874825"/>
    <w:rsid w:val="00875F9E"/>
    <w:rsid w:val="00880470"/>
    <w:rsid w:val="00880ADD"/>
    <w:rsid w:val="00880D94"/>
    <w:rsid w:val="008859FE"/>
    <w:rsid w:val="00886F64"/>
    <w:rsid w:val="008904C0"/>
    <w:rsid w:val="008924DE"/>
    <w:rsid w:val="00895070"/>
    <w:rsid w:val="0089571B"/>
    <w:rsid w:val="008A3755"/>
    <w:rsid w:val="008A3EFE"/>
    <w:rsid w:val="008B19DC"/>
    <w:rsid w:val="008B264F"/>
    <w:rsid w:val="008B6F83"/>
    <w:rsid w:val="008B7E47"/>
    <w:rsid w:val="008B7FD8"/>
    <w:rsid w:val="008C199B"/>
    <w:rsid w:val="008C2973"/>
    <w:rsid w:val="008C6324"/>
    <w:rsid w:val="008C64C4"/>
    <w:rsid w:val="008D0BD6"/>
    <w:rsid w:val="008D1A46"/>
    <w:rsid w:val="008D2D63"/>
    <w:rsid w:val="008D6DB0"/>
    <w:rsid w:val="008D74D5"/>
    <w:rsid w:val="008E0786"/>
    <w:rsid w:val="008E3A07"/>
    <w:rsid w:val="008E537B"/>
    <w:rsid w:val="008E65C3"/>
    <w:rsid w:val="008E7A4A"/>
    <w:rsid w:val="008F0619"/>
    <w:rsid w:val="008F0805"/>
    <w:rsid w:val="008F29BE"/>
    <w:rsid w:val="008F2F08"/>
    <w:rsid w:val="008F4AE5"/>
    <w:rsid w:val="008F51EB"/>
    <w:rsid w:val="008F6D42"/>
    <w:rsid w:val="00900197"/>
    <w:rsid w:val="00900BC9"/>
    <w:rsid w:val="009016D2"/>
    <w:rsid w:val="00902126"/>
    <w:rsid w:val="00902DFE"/>
    <w:rsid w:val="00902F55"/>
    <w:rsid w:val="0090582B"/>
    <w:rsid w:val="009060C0"/>
    <w:rsid w:val="009133F5"/>
    <w:rsid w:val="00914725"/>
    <w:rsid w:val="00916B8C"/>
    <w:rsid w:val="009171E7"/>
    <w:rsid w:val="0091756F"/>
    <w:rsid w:val="00920A27"/>
    <w:rsid w:val="00920CA1"/>
    <w:rsid w:val="00921216"/>
    <w:rsid w:val="009216CC"/>
    <w:rsid w:val="00926083"/>
    <w:rsid w:val="00930D08"/>
    <w:rsid w:val="00931466"/>
    <w:rsid w:val="00932D69"/>
    <w:rsid w:val="00935589"/>
    <w:rsid w:val="009409AC"/>
    <w:rsid w:val="009410FE"/>
    <w:rsid w:val="00942644"/>
    <w:rsid w:val="009438EC"/>
    <w:rsid w:val="00944647"/>
    <w:rsid w:val="00945D20"/>
    <w:rsid w:val="0095565C"/>
    <w:rsid w:val="00956935"/>
    <w:rsid w:val="009603B8"/>
    <w:rsid w:val="00966F9A"/>
    <w:rsid w:val="009734C0"/>
    <w:rsid w:val="00977B8A"/>
    <w:rsid w:val="0098113B"/>
    <w:rsid w:val="009822EB"/>
    <w:rsid w:val="0098253E"/>
    <w:rsid w:val="00982971"/>
    <w:rsid w:val="009845AD"/>
    <w:rsid w:val="00984835"/>
    <w:rsid w:val="009933EF"/>
    <w:rsid w:val="00993C43"/>
    <w:rsid w:val="00995BA0"/>
    <w:rsid w:val="009969AE"/>
    <w:rsid w:val="00996B33"/>
    <w:rsid w:val="009A0959"/>
    <w:rsid w:val="009A1278"/>
    <w:rsid w:val="009A2ADD"/>
    <w:rsid w:val="009A315A"/>
    <w:rsid w:val="009A418B"/>
    <w:rsid w:val="009A426F"/>
    <w:rsid w:val="009A42D5"/>
    <w:rsid w:val="009A4473"/>
    <w:rsid w:val="009A7735"/>
    <w:rsid w:val="009B05C9"/>
    <w:rsid w:val="009B18E1"/>
    <w:rsid w:val="009B286C"/>
    <w:rsid w:val="009B2981"/>
    <w:rsid w:val="009B4C7E"/>
    <w:rsid w:val="009B6561"/>
    <w:rsid w:val="009B76F6"/>
    <w:rsid w:val="009C151C"/>
    <w:rsid w:val="009C2F0B"/>
    <w:rsid w:val="009C2F25"/>
    <w:rsid w:val="009C440A"/>
    <w:rsid w:val="009C69C9"/>
    <w:rsid w:val="009C7224"/>
    <w:rsid w:val="009C7C91"/>
    <w:rsid w:val="009D5125"/>
    <w:rsid w:val="009D60B8"/>
    <w:rsid w:val="009D7D4B"/>
    <w:rsid w:val="009E36ED"/>
    <w:rsid w:val="009E3C8C"/>
    <w:rsid w:val="009E6B77"/>
    <w:rsid w:val="009F0D39"/>
    <w:rsid w:val="009F2204"/>
    <w:rsid w:val="009F460A"/>
    <w:rsid w:val="009F7A47"/>
    <w:rsid w:val="00A01143"/>
    <w:rsid w:val="00A03868"/>
    <w:rsid w:val="00A043FB"/>
    <w:rsid w:val="00A06070"/>
    <w:rsid w:val="00A0654A"/>
    <w:rsid w:val="00A06BE4"/>
    <w:rsid w:val="00A0729C"/>
    <w:rsid w:val="00A07779"/>
    <w:rsid w:val="00A106F0"/>
    <w:rsid w:val="00A1166A"/>
    <w:rsid w:val="00A20B2E"/>
    <w:rsid w:val="00A24F33"/>
    <w:rsid w:val="00A25069"/>
    <w:rsid w:val="00A26E6B"/>
    <w:rsid w:val="00A3068F"/>
    <w:rsid w:val="00A3145B"/>
    <w:rsid w:val="00A3172D"/>
    <w:rsid w:val="00A31A11"/>
    <w:rsid w:val="00A339D0"/>
    <w:rsid w:val="00A34DEA"/>
    <w:rsid w:val="00A34EA2"/>
    <w:rsid w:val="00A359E9"/>
    <w:rsid w:val="00A41002"/>
    <w:rsid w:val="00A4201A"/>
    <w:rsid w:val="00A44E9D"/>
    <w:rsid w:val="00A463E6"/>
    <w:rsid w:val="00A46E6F"/>
    <w:rsid w:val="00A5465D"/>
    <w:rsid w:val="00A553CE"/>
    <w:rsid w:val="00A5677A"/>
    <w:rsid w:val="00A56DCC"/>
    <w:rsid w:val="00A607E9"/>
    <w:rsid w:val="00A62077"/>
    <w:rsid w:val="00A62324"/>
    <w:rsid w:val="00A625E8"/>
    <w:rsid w:val="00A6378C"/>
    <w:rsid w:val="00A63DFF"/>
    <w:rsid w:val="00A6490D"/>
    <w:rsid w:val="00A70ED2"/>
    <w:rsid w:val="00A71A2A"/>
    <w:rsid w:val="00A720AB"/>
    <w:rsid w:val="00A7415D"/>
    <w:rsid w:val="00A80363"/>
    <w:rsid w:val="00A80939"/>
    <w:rsid w:val="00A81AD1"/>
    <w:rsid w:val="00A83E9D"/>
    <w:rsid w:val="00A87C05"/>
    <w:rsid w:val="00A9169D"/>
    <w:rsid w:val="00A935E5"/>
    <w:rsid w:val="00AA240C"/>
    <w:rsid w:val="00AB5E0D"/>
    <w:rsid w:val="00AB6C23"/>
    <w:rsid w:val="00AC08C2"/>
    <w:rsid w:val="00AC101C"/>
    <w:rsid w:val="00AC355A"/>
    <w:rsid w:val="00AC5B63"/>
    <w:rsid w:val="00AC6476"/>
    <w:rsid w:val="00AD2E1F"/>
    <w:rsid w:val="00AD46DE"/>
    <w:rsid w:val="00AD4CF1"/>
    <w:rsid w:val="00AD5116"/>
    <w:rsid w:val="00AD5988"/>
    <w:rsid w:val="00AE228B"/>
    <w:rsid w:val="00AE5EE3"/>
    <w:rsid w:val="00AF7800"/>
    <w:rsid w:val="00B00CF5"/>
    <w:rsid w:val="00B072E0"/>
    <w:rsid w:val="00B1007E"/>
    <w:rsid w:val="00B10E4D"/>
    <w:rsid w:val="00B17083"/>
    <w:rsid w:val="00B20E1F"/>
    <w:rsid w:val="00B22104"/>
    <w:rsid w:val="00B253F6"/>
    <w:rsid w:val="00B254C1"/>
    <w:rsid w:val="00B26675"/>
    <w:rsid w:val="00B305DB"/>
    <w:rsid w:val="00B332F8"/>
    <w:rsid w:val="00B3492B"/>
    <w:rsid w:val="00B40E12"/>
    <w:rsid w:val="00B4646F"/>
    <w:rsid w:val="00B52BB3"/>
    <w:rsid w:val="00B55C7D"/>
    <w:rsid w:val="00B56A48"/>
    <w:rsid w:val="00B56B5D"/>
    <w:rsid w:val="00B571CF"/>
    <w:rsid w:val="00B577BD"/>
    <w:rsid w:val="00B63038"/>
    <w:rsid w:val="00B63450"/>
    <w:rsid w:val="00B64BD8"/>
    <w:rsid w:val="00B701D1"/>
    <w:rsid w:val="00B71F7F"/>
    <w:rsid w:val="00B73AF2"/>
    <w:rsid w:val="00B7551A"/>
    <w:rsid w:val="00B76F14"/>
    <w:rsid w:val="00B773F1"/>
    <w:rsid w:val="00B85285"/>
    <w:rsid w:val="00B86391"/>
    <w:rsid w:val="00B86AB1"/>
    <w:rsid w:val="00B919D2"/>
    <w:rsid w:val="00B921DE"/>
    <w:rsid w:val="00BA2BF7"/>
    <w:rsid w:val="00BB0340"/>
    <w:rsid w:val="00BB2A06"/>
    <w:rsid w:val="00BB2CBB"/>
    <w:rsid w:val="00BB2DA6"/>
    <w:rsid w:val="00BB4198"/>
    <w:rsid w:val="00BC03EE"/>
    <w:rsid w:val="00BC1F88"/>
    <w:rsid w:val="00BC370C"/>
    <w:rsid w:val="00BC59F1"/>
    <w:rsid w:val="00BC7546"/>
    <w:rsid w:val="00BD50A8"/>
    <w:rsid w:val="00BD670F"/>
    <w:rsid w:val="00BE4309"/>
    <w:rsid w:val="00BE5267"/>
    <w:rsid w:val="00BE5742"/>
    <w:rsid w:val="00BE7E16"/>
    <w:rsid w:val="00BF3DE1"/>
    <w:rsid w:val="00BF4843"/>
    <w:rsid w:val="00BF489C"/>
    <w:rsid w:val="00BF5205"/>
    <w:rsid w:val="00C001E8"/>
    <w:rsid w:val="00C02294"/>
    <w:rsid w:val="00C05132"/>
    <w:rsid w:val="00C10E24"/>
    <w:rsid w:val="00C12508"/>
    <w:rsid w:val="00C20152"/>
    <w:rsid w:val="00C21B60"/>
    <w:rsid w:val="00C22EE4"/>
    <w:rsid w:val="00C23728"/>
    <w:rsid w:val="00C254BC"/>
    <w:rsid w:val="00C25F4C"/>
    <w:rsid w:val="00C2648A"/>
    <w:rsid w:val="00C26649"/>
    <w:rsid w:val="00C313A9"/>
    <w:rsid w:val="00C3260F"/>
    <w:rsid w:val="00C40142"/>
    <w:rsid w:val="00C441CF"/>
    <w:rsid w:val="00C45AA2"/>
    <w:rsid w:val="00C4792C"/>
    <w:rsid w:val="00C506D4"/>
    <w:rsid w:val="00C51741"/>
    <w:rsid w:val="00C51823"/>
    <w:rsid w:val="00C52ABA"/>
    <w:rsid w:val="00C55BEF"/>
    <w:rsid w:val="00C57AE0"/>
    <w:rsid w:val="00C57B04"/>
    <w:rsid w:val="00C601AF"/>
    <w:rsid w:val="00C6163A"/>
    <w:rsid w:val="00C61A63"/>
    <w:rsid w:val="00C63B53"/>
    <w:rsid w:val="00C66296"/>
    <w:rsid w:val="00C7394D"/>
    <w:rsid w:val="00C74443"/>
    <w:rsid w:val="00C77282"/>
    <w:rsid w:val="00C77D1D"/>
    <w:rsid w:val="00C80B58"/>
    <w:rsid w:val="00C8154D"/>
    <w:rsid w:val="00C817F7"/>
    <w:rsid w:val="00C84DE5"/>
    <w:rsid w:val="00C86248"/>
    <w:rsid w:val="00C90B31"/>
    <w:rsid w:val="00C94CDC"/>
    <w:rsid w:val="00CA0D6F"/>
    <w:rsid w:val="00CA4C33"/>
    <w:rsid w:val="00CA6F4A"/>
    <w:rsid w:val="00CB17DA"/>
    <w:rsid w:val="00CB6427"/>
    <w:rsid w:val="00CC0FBE"/>
    <w:rsid w:val="00CC5266"/>
    <w:rsid w:val="00CD2119"/>
    <w:rsid w:val="00CD237A"/>
    <w:rsid w:val="00CD36AC"/>
    <w:rsid w:val="00CD4D45"/>
    <w:rsid w:val="00CE13A3"/>
    <w:rsid w:val="00CE36BC"/>
    <w:rsid w:val="00CE6C0A"/>
    <w:rsid w:val="00CF1747"/>
    <w:rsid w:val="00CF322B"/>
    <w:rsid w:val="00CF60ED"/>
    <w:rsid w:val="00CF7DDE"/>
    <w:rsid w:val="00D03E03"/>
    <w:rsid w:val="00D05D74"/>
    <w:rsid w:val="00D13D02"/>
    <w:rsid w:val="00D15FDE"/>
    <w:rsid w:val="00D20C59"/>
    <w:rsid w:val="00D21307"/>
    <w:rsid w:val="00D23323"/>
    <w:rsid w:val="00D2392A"/>
    <w:rsid w:val="00D24964"/>
    <w:rsid w:val="00D25FFE"/>
    <w:rsid w:val="00D27C1D"/>
    <w:rsid w:val="00D30CDE"/>
    <w:rsid w:val="00D34DD0"/>
    <w:rsid w:val="00D35EEE"/>
    <w:rsid w:val="00D36714"/>
    <w:rsid w:val="00D42447"/>
    <w:rsid w:val="00D42589"/>
    <w:rsid w:val="00D4476F"/>
    <w:rsid w:val="00D50573"/>
    <w:rsid w:val="00D54D50"/>
    <w:rsid w:val="00D560B4"/>
    <w:rsid w:val="00D623EF"/>
    <w:rsid w:val="00D63878"/>
    <w:rsid w:val="00D662F8"/>
    <w:rsid w:val="00D66797"/>
    <w:rsid w:val="00D67113"/>
    <w:rsid w:val="00D7087C"/>
    <w:rsid w:val="00D70C3C"/>
    <w:rsid w:val="00D71DF7"/>
    <w:rsid w:val="00D724F3"/>
    <w:rsid w:val="00D72BE5"/>
    <w:rsid w:val="00D75C05"/>
    <w:rsid w:val="00D81462"/>
    <w:rsid w:val="00D81DCB"/>
    <w:rsid w:val="00D82F26"/>
    <w:rsid w:val="00D84795"/>
    <w:rsid w:val="00D863D0"/>
    <w:rsid w:val="00D86FB9"/>
    <w:rsid w:val="00D87C87"/>
    <w:rsid w:val="00D90BB4"/>
    <w:rsid w:val="00D90E07"/>
    <w:rsid w:val="00D932C2"/>
    <w:rsid w:val="00D9510C"/>
    <w:rsid w:val="00D97551"/>
    <w:rsid w:val="00DA25A6"/>
    <w:rsid w:val="00DA76FA"/>
    <w:rsid w:val="00DB1C24"/>
    <w:rsid w:val="00DB39CF"/>
    <w:rsid w:val="00DB7256"/>
    <w:rsid w:val="00DB758D"/>
    <w:rsid w:val="00DC0401"/>
    <w:rsid w:val="00DC20BD"/>
    <w:rsid w:val="00DD0BCD"/>
    <w:rsid w:val="00DD28E9"/>
    <w:rsid w:val="00DD2A6D"/>
    <w:rsid w:val="00DD447A"/>
    <w:rsid w:val="00DD65C3"/>
    <w:rsid w:val="00DE3B20"/>
    <w:rsid w:val="00DE408D"/>
    <w:rsid w:val="00DE6C94"/>
    <w:rsid w:val="00DE6FD7"/>
    <w:rsid w:val="00DF0182"/>
    <w:rsid w:val="00DF191E"/>
    <w:rsid w:val="00DF46F8"/>
    <w:rsid w:val="00E02CEF"/>
    <w:rsid w:val="00E12712"/>
    <w:rsid w:val="00E13665"/>
    <w:rsid w:val="00E16776"/>
    <w:rsid w:val="00E23271"/>
    <w:rsid w:val="00E233B0"/>
    <w:rsid w:val="00E23B79"/>
    <w:rsid w:val="00E242D8"/>
    <w:rsid w:val="00E24F80"/>
    <w:rsid w:val="00E259F3"/>
    <w:rsid w:val="00E30985"/>
    <w:rsid w:val="00E33238"/>
    <w:rsid w:val="00E359C1"/>
    <w:rsid w:val="00E376B7"/>
    <w:rsid w:val="00E410BD"/>
    <w:rsid w:val="00E42F5D"/>
    <w:rsid w:val="00E4348B"/>
    <w:rsid w:val="00E4486C"/>
    <w:rsid w:val="00E460B6"/>
    <w:rsid w:val="00E511D5"/>
    <w:rsid w:val="00E60249"/>
    <w:rsid w:val="00E65269"/>
    <w:rsid w:val="00E673AA"/>
    <w:rsid w:val="00E721BD"/>
    <w:rsid w:val="00E747F1"/>
    <w:rsid w:val="00E751D4"/>
    <w:rsid w:val="00E763E9"/>
    <w:rsid w:val="00E76D66"/>
    <w:rsid w:val="00E80395"/>
    <w:rsid w:val="00E956BA"/>
    <w:rsid w:val="00E957E2"/>
    <w:rsid w:val="00E96140"/>
    <w:rsid w:val="00EA41A5"/>
    <w:rsid w:val="00EA5357"/>
    <w:rsid w:val="00EA796A"/>
    <w:rsid w:val="00EB06C1"/>
    <w:rsid w:val="00EB1856"/>
    <w:rsid w:val="00EC2092"/>
    <w:rsid w:val="00EC34E2"/>
    <w:rsid w:val="00EC41D9"/>
    <w:rsid w:val="00EC50CE"/>
    <w:rsid w:val="00EC5B34"/>
    <w:rsid w:val="00ED021E"/>
    <w:rsid w:val="00ED0275"/>
    <w:rsid w:val="00ED323C"/>
    <w:rsid w:val="00ED44A2"/>
    <w:rsid w:val="00ED6B29"/>
    <w:rsid w:val="00EE1595"/>
    <w:rsid w:val="00EE2D5C"/>
    <w:rsid w:val="00EE4ADE"/>
    <w:rsid w:val="00EE4DE8"/>
    <w:rsid w:val="00EE5CB7"/>
    <w:rsid w:val="00EF1CF2"/>
    <w:rsid w:val="00F024FE"/>
    <w:rsid w:val="00F05AD4"/>
    <w:rsid w:val="00F07782"/>
    <w:rsid w:val="00F10EB6"/>
    <w:rsid w:val="00F13F07"/>
    <w:rsid w:val="00F140B2"/>
    <w:rsid w:val="00F150F1"/>
    <w:rsid w:val="00F16628"/>
    <w:rsid w:val="00F16D42"/>
    <w:rsid w:val="00F2189C"/>
    <w:rsid w:val="00F2494A"/>
    <w:rsid w:val="00F25970"/>
    <w:rsid w:val="00F311A9"/>
    <w:rsid w:val="00F31FBE"/>
    <w:rsid w:val="00F32B57"/>
    <w:rsid w:val="00F426FA"/>
    <w:rsid w:val="00F5180D"/>
    <w:rsid w:val="00F520D3"/>
    <w:rsid w:val="00F54D22"/>
    <w:rsid w:val="00F6065C"/>
    <w:rsid w:val="00F63201"/>
    <w:rsid w:val="00F63781"/>
    <w:rsid w:val="00F655D3"/>
    <w:rsid w:val="00F67496"/>
    <w:rsid w:val="00F801BA"/>
    <w:rsid w:val="00F8069D"/>
    <w:rsid w:val="00F808D6"/>
    <w:rsid w:val="00F855D3"/>
    <w:rsid w:val="00F913FF"/>
    <w:rsid w:val="00F9366A"/>
    <w:rsid w:val="00F946C9"/>
    <w:rsid w:val="00FA0EA5"/>
    <w:rsid w:val="00FA64F1"/>
    <w:rsid w:val="00FA74EE"/>
    <w:rsid w:val="00FB1179"/>
    <w:rsid w:val="00FB1A80"/>
    <w:rsid w:val="00FB7A92"/>
    <w:rsid w:val="00FC3711"/>
    <w:rsid w:val="00FC46E7"/>
    <w:rsid w:val="00FC5D25"/>
    <w:rsid w:val="00FD0D7E"/>
    <w:rsid w:val="00FD4FFB"/>
    <w:rsid w:val="00FD7594"/>
    <w:rsid w:val="00FD7BBD"/>
    <w:rsid w:val="00FE0071"/>
    <w:rsid w:val="00FE118B"/>
    <w:rsid w:val="00FE35AC"/>
    <w:rsid w:val="00FE6E13"/>
    <w:rsid w:val="00FF15F6"/>
    <w:rsid w:val="00FF469C"/>
    <w:rsid w:val="00FF527C"/>
    <w:rsid w:val="00FF5CB6"/>
    <w:rsid w:val="00FF62D9"/>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97C921"/>
  <w15:docId w15:val="{2D2EAA27-C90D-4BBC-8163-EFC338CE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AD"/>
    <w:rPr>
      <w:rFonts w:ascii="Segoe UI" w:hAnsi="Segoe UI"/>
      <w:sz w:val="21"/>
      <w:lang w:eastAsia="en-GB"/>
    </w:rPr>
  </w:style>
  <w:style w:type="paragraph" w:styleId="Heading1">
    <w:name w:val="heading 1"/>
    <w:basedOn w:val="Normal"/>
    <w:next w:val="Normal"/>
    <w:link w:val="Heading1Char"/>
    <w:uiPriority w:val="9"/>
    <w:qFormat/>
    <w:rsid w:val="00C10E24"/>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uiPriority w:val="99"/>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C10E24"/>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Number">
    <w:name w:val="Number"/>
    <w:basedOn w:val="Normal"/>
    <w:qFormat/>
    <w:rsid w:val="00F140B2"/>
    <w:pPr>
      <w:numPr>
        <w:numId w:val="5"/>
      </w:numPr>
      <w:spacing w:before="180"/>
    </w:pPr>
    <w:rPr>
      <w:szCs w:val="24"/>
    </w:rPr>
  </w:style>
  <w:style w:type="paragraph" w:customStyle="1" w:styleId="Letter">
    <w:name w:val="Letter"/>
    <w:basedOn w:val="Normal"/>
    <w:qFormat/>
    <w:rsid w:val="00C10E24"/>
    <w:pPr>
      <w:numPr>
        <w:ilvl w:val="1"/>
        <w:numId w:val="5"/>
      </w:numPr>
      <w:spacing w:before="120"/>
      <w:ind w:left="1134"/>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character" w:customStyle="1" w:styleId="TableTextChar">
    <w:name w:val="TableText Char"/>
    <w:link w:val="TableText"/>
    <w:rsid w:val="00895070"/>
    <w:rPr>
      <w:rFonts w:ascii="Segoe UI" w:hAnsi="Segoe UI"/>
      <w:sz w:val="18"/>
      <w:lang w:eastAsia="en-GB"/>
    </w:rPr>
  </w:style>
  <w:style w:type="paragraph" w:customStyle="1" w:styleId="Roman">
    <w:name w:val="Roman"/>
    <w:basedOn w:val="Normal"/>
    <w:qFormat/>
    <w:rsid w:val="00A463E6"/>
    <w:pPr>
      <w:numPr>
        <w:ilvl w:val="2"/>
        <w:numId w:val="5"/>
      </w:numPr>
      <w:spacing w:before="90"/>
    </w:pPr>
  </w:style>
  <w:style w:type="paragraph" w:styleId="BalloonText">
    <w:name w:val="Balloon Text"/>
    <w:basedOn w:val="Normal"/>
    <w:link w:val="BalloonTextChar"/>
    <w:uiPriority w:val="99"/>
    <w:semiHidden/>
    <w:unhideWhenUsed/>
    <w:rsid w:val="000569D8"/>
    <w:rPr>
      <w:rFonts w:ascii="Tahoma" w:hAnsi="Tahoma" w:cs="Tahoma"/>
      <w:sz w:val="16"/>
      <w:szCs w:val="16"/>
    </w:rPr>
  </w:style>
  <w:style w:type="character" w:customStyle="1" w:styleId="BalloonTextChar">
    <w:name w:val="Balloon Text Char"/>
    <w:basedOn w:val="DefaultParagraphFont"/>
    <w:link w:val="BalloonText"/>
    <w:uiPriority w:val="99"/>
    <w:semiHidden/>
    <w:rsid w:val="000569D8"/>
    <w:rPr>
      <w:rFonts w:ascii="Tahoma" w:hAnsi="Tahoma" w:cs="Tahoma"/>
      <w:sz w:val="16"/>
      <w:szCs w:val="16"/>
      <w:lang w:eastAsia="en-GB"/>
    </w:rPr>
  </w:style>
  <w:style w:type="character" w:styleId="CommentReference">
    <w:name w:val="annotation reference"/>
    <w:basedOn w:val="DefaultParagraphFont"/>
    <w:uiPriority w:val="99"/>
    <w:semiHidden/>
    <w:unhideWhenUsed/>
    <w:rsid w:val="002469F7"/>
    <w:rPr>
      <w:sz w:val="16"/>
      <w:szCs w:val="16"/>
    </w:rPr>
  </w:style>
  <w:style w:type="paragraph" w:styleId="CommentSubject">
    <w:name w:val="annotation subject"/>
    <w:basedOn w:val="Normal"/>
    <w:next w:val="Normal"/>
    <w:link w:val="CommentSubjectChar"/>
    <w:uiPriority w:val="99"/>
    <w:semiHidden/>
    <w:unhideWhenUsed/>
    <w:rsid w:val="00BC370C"/>
    <w:rPr>
      <w:b/>
      <w:bCs/>
      <w:sz w:val="20"/>
    </w:rPr>
  </w:style>
  <w:style w:type="character" w:customStyle="1" w:styleId="CommentSubjectChar">
    <w:name w:val="Comment Subject Char"/>
    <w:basedOn w:val="DefaultParagraphFont"/>
    <w:link w:val="CommentSubject"/>
    <w:uiPriority w:val="99"/>
    <w:semiHidden/>
    <w:rsid w:val="00BC370C"/>
    <w:rPr>
      <w:rFonts w:ascii="Segoe UI" w:hAnsi="Segoe UI"/>
      <w:b/>
      <w:bCs/>
      <w:lang w:eastAsia="en-GB"/>
    </w:rPr>
  </w:style>
  <w:style w:type="paragraph" w:styleId="ListParagraph">
    <w:name w:val="List Paragraph"/>
    <w:aliases w:val="Normal text,List Paragraph1,Bullet Normal,Colorful List - Accent 11,List Paragraph 1,Table Bullet Points"/>
    <w:basedOn w:val="Normal"/>
    <w:link w:val="ListParagraphChar"/>
    <w:uiPriority w:val="34"/>
    <w:qFormat/>
    <w:rsid w:val="00D42589"/>
    <w:pPr>
      <w:ind w:left="720"/>
      <w:contextualSpacing/>
    </w:pPr>
  </w:style>
  <w:style w:type="paragraph" w:styleId="CommentText">
    <w:name w:val="annotation text"/>
    <w:basedOn w:val="Normal"/>
    <w:link w:val="CommentTextChar"/>
    <w:uiPriority w:val="99"/>
    <w:semiHidden/>
    <w:unhideWhenUsed/>
    <w:rsid w:val="004B49A6"/>
    <w:rPr>
      <w:sz w:val="20"/>
    </w:rPr>
  </w:style>
  <w:style w:type="character" w:customStyle="1" w:styleId="CommentTextChar">
    <w:name w:val="Comment Text Char"/>
    <w:basedOn w:val="DefaultParagraphFont"/>
    <w:link w:val="CommentText"/>
    <w:uiPriority w:val="99"/>
    <w:semiHidden/>
    <w:rsid w:val="004B49A6"/>
    <w:rPr>
      <w:rFonts w:ascii="Segoe UI" w:hAnsi="Segoe UI"/>
      <w:lang w:eastAsia="en-GB"/>
    </w:rPr>
  </w:style>
  <w:style w:type="paragraph" w:styleId="ListBullet">
    <w:name w:val="List Bullet"/>
    <w:basedOn w:val="Normal"/>
    <w:uiPriority w:val="99"/>
    <w:unhideWhenUsed/>
    <w:rsid w:val="007F09B1"/>
    <w:pPr>
      <w:numPr>
        <w:numId w:val="6"/>
      </w:numPr>
      <w:contextualSpacing/>
    </w:pPr>
  </w:style>
  <w:style w:type="character" w:customStyle="1" w:styleId="UnresolvedMention1">
    <w:name w:val="Unresolved Mention1"/>
    <w:basedOn w:val="DefaultParagraphFont"/>
    <w:uiPriority w:val="99"/>
    <w:semiHidden/>
    <w:unhideWhenUsed/>
    <w:rsid w:val="009A1278"/>
    <w:rPr>
      <w:color w:val="605E5C"/>
      <w:shd w:val="clear" w:color="auto" w:fill="E1DFDD"/>
    </w:rPr>
  </w:style>
  <w:style w:type="character" w:styleId="UnresolvedMention">
    <w:name w:val="Unresolved Mention"/>
    <w:basedOn w:val="DefaultParagraphFont"/>
    <w:uiPriority w:val="99"/>
    <w:semiHidden/>
    <w:unhideWhenUsed/>
    <w:rsid w:val="0086301C"/>
    <w:rPr>
      <w:color w:val="605E5C"/>
      <w:shd w:val="clear" w:color="auto" w:fill="E1DFDD"/>
    </w:rPr>
  </w:style>
  <w:style w:type="character" w:customStyle="1" w:styleId="ListParagraphChar">
    <w:name w:val="List Paragraph Char"/>
    <w:aliases w:val="Normal text Char,List Paragraph1 Char,Bullet Normal Char,Colorful List - Accent 11 Char,List Paragraph 1 Char,Table Bullet Points Char"/>
    <w:link w:val="ListParagraph"/>
    <w:uiPriority w:val="34"/>
    <w:rsid w:val="000E3A2E"/>
    <w:rPr>
      <w:rFonts w:ascii="Segoe UI" w:hAnsi="Segoe UI"/>
      <w:sz w:val="21"/>
      <w:lang w:eastAsia="en-GB"/>
    </w:rPr>
  </w:style>
  <w:style w:type="paragraph" w:customStyle="1" w:styleId="MoHHeading2">
    <w:name w:val="MoH Heading2"/>
    <w:basedOn w:val="Normal"/>
    <w:rsid w:val="003E188A"/>
    <w:rPr>
      <w:rFonts w:ascii="Arial Mäori" w:hAnsi="Arial Mäori"/>
      <w:b/>
      <w:sz w:val="24"/>
      <w:szCs w:val="24"/>
      <w:lang w:eastAsia="en-US"/>
    </w:rPr>
  </w:style>
  <w:style w:type="character" w:styleId="FollowedHyperlink">
    <w:name w:val="FollowedHyperlink"/>
    <w:basedOn w:val="DefaultParagraphFont"/>
    <w:uiPriority w:val="99"/>
    <w:semiHidden/>
    <w:unhideWhenUsed/>
    <w:rsid w:val="00E23B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388">
      <w:bodyDiv w:val="1"/>
      <w:marLeft w:val="0"/>
      <w:marRight w:val="0"/>
      <w:marTop w:val="0"/>
      <w:marBottom w:val="0"/>
      <w:divBdr>
        <w:top w:val="none" w:sz="0" w:space="0" w:color="auto"/>
        <w:left w:val="none" w:sz="0" w:space="0" w:color="auto"/>
        <w:bottom w:val="none" w:sz="0" w:space="0" w:color="auto"/>
        <w:right w:val="none" w:sz="0" w:space="0" w:color="auto"/>
      </w:divBdr>
    </w:div>
    <w:div w:id="56125391">
      <w:bodyDiv w:val="1"/>
      <w:marLeft w:val="0"/>
      <w:marRight w:val="0"/>
      <w:marTop w:val="0"/>
      <w:marBottom w:val="0"/>
      <w:divBdr>
        <w:top w:val="none" w:sz="0" w:space="0" w:color="auto"/>
        <w:left w:val="none" w:sz="0" w:space="0" w:color="auto"/>
        <w:bottom w:val="none" w:sz="0" w:space="0" w:color="auto"/>
        <w:right w:val="none" w:sz="0" w:space="0" w:color="auto"/>
      </w:divBdr>
    </w:div>
    <w:div w:id="154299558">
      <w:bodyDiv w:val="1"/>
      <w:marLeft w:val="0"/>
      <w:marRight w:val="0"/>
      <w:marTop w:val="0"/>
      <w:marBottom w:val="0"/>
      <w:divBdr>
        <w:top w:val="none" w:sz="0" w:space="0" w:color="auto"/>
        <w:left w:val="none" w:sz="0" w:space="0" w:color="auto"/>
        <w:bottom w:val="none" w:sz="0" w:space="0" w:color="auto"/>
        <w:right w:val="none" w:sz="0" w:space="0" w:color="auto"/>
      </w:divBdr>
    </w:div>
    <w:div w:id="195195411">
      <w:bodyDiv w:val="1"/>
      <w:marLeft w:val="0"/>
      <w:marRight w:val="0"/>
      <w:marTop w:val="0"/>
      <w:marBottom w:val="0"/>
      <w:divBdr>
        <w:top w:val="none" w:sz="0" w:space="0" w:color="auto"/>
        <w:left w:val="none" w:sz="0" w:space="0" w:color="auto"/>
        <w:bottom w:val="none" w:sz="0" w:space="0" w:color="auto"/>
        <w:right w:val="none" w:sz="0" w:space="0" w:color="auto"/>
      </w:divBdr>
    </w:div>
    <w:div w:id="204953035">
      <w:bodyDiv w:val="1"/>
      <w:marLeft w:val="0"/>
      <w:marRight w:val="0"/>
      <w:marTop w:val="0"/>
      <w:marBottom w:val="0"/>
      <w:divBdr>
        <w:top w:val="none" w:sz="0" w:space="0" w:color="auto"/>
        <w:left w:val="none" w:sz="0" w:space="0" w:color="auto"/>
        <w:bottom w:val="none" w:sz="0" w:space="0" w:color="auto"/>
        <w:right w:val="none" w:sz="0" w:space="0" w:color="auto"/>
      </w:divBdr>
    </w:div>
    <w:div w:id="738749606">
      <w:bodyDiv w:val="1"/>
      <w:marLeft w:val="0"/>
      <w:marRight w:val="0"/>
      <w:marTop w:val="0"/>
      <w:marBottom w:val="0"/>
      <w:divBdr>
        <w:top w:val="none" w:sz="0" w:space="0" w:color="auto"/>
        <w:left w:val="none" w:sz="0" w:space="0" w:color="auto"/>
        <w:bottom w:val="none" w:sz="0" w:space="0" w:color="auto"/>
        <w:right w:val="none" w:sz="0" w:space="0" w:color="auto"/>
      </w:divBdr>
    </w:div>
    <w:div w:id="885214683">
      <w:bodyDiv w:val="1"/>
      <w:marLeft w:val="0"/>
      <w:marRight w:val="0"/>
      <w:marTop w:val="0"/>
      <w:marBottom w:val="0"/>
      <w:divBdr>
        <w:top w:val="none" w:sz="0" w:space="0" w:color="auto"/>
        <w:left w:val="none" w:sz="0" w:space="0" w:color="auto"/>
        <w:bottom w:val="none" w:sz="0" w:space="0" w:color="auto"/>
        <w:right w:val="none" w:sz="0" w:space="0" w:color="auto"/>
      </w:divBdr>
    </w:div>
    <w:div w:id="1174611100">
      <w:bodyDiv w:val="1"/>
      <w:marLeft w:val="0"/>
      <w:marRight w:val="0"/>
      <w:marTop w:val="0"/>
      <w:marBottom w:val="0"/>
      <w:divBdr>
        <w:top w:val="none" w:sz="0" w:space="0" w:color="auto"/>
        <w:left w:val="none" w:sz="0" w:space="0" w:color="auto"/>
        <w:bottom w:val="none" w:sz="0" w:space="0" w:color="auto"/>
        <w:right w:val="none" w:sz="0" w:space="0" w:color="auto"/>
      </w:divBdr>
    </w:div>
    <w:div w:id="1546407142">
      <w:bodyDiv w:val="1"/>
      <w:marLeft w:val="0"/>
      <w:marRight w:val="0"/>
      <w:marTop w:val="0"/>
      <w:marBottom w:val="0"/>
      <w:divBdr>
        <w:top w:val="none" w:sz="0" w:space="0" w:color="auto"/>
        <w:left w:val="none" w:sz="0" w:space="0" w:color="auto"/>
        <w:bottom w:val="none" w:sz="0" w:space="0" w:color="auto"/>
        <w:right w:val="none" w:sz="0" w:space="0" w:color="auto"/>
      </w:divBdr>
    </w:div>
    <w:div w:id="1597783807">
      <w:bodyDiv w:val="1"/>
      <w:marLeft w:val="0"/>
      <w:marRight w:val="0"/>
      <w:marTop w:val="0"/>
      <w:marBottom w:val="0"/>
      <w:divBdr>
        <w:top w:val="none" w:sz="0" w:space="0" w:color="auto"/>
        <w:left w:val="none" w:sz="0" w:space="0" w:color="auto"/>
        <w:bottom w:val="none" w:sz="0" w:space="0" w:color="auto"/>
        <w:right w:val="none" w:sz="0" w:space="0" w:color="auto"/>
      </w:divBdr>
    </w:div>
    <w:div w:id="1625307881">
      <w:bodyDiv w:val="1"/>
      <w:marLeft w:val="0"/>
      <w:marRight w:val="0"/>
      <w:marTop w:val="0"/>
      <w:marBottom w:val="0"/>
      <w:divBdr>
        <w:top w:val="none" w:sz="0" w:space="0" w:color="auto"/>
        <w:left w:val="none" w:sz="0" w:space="0" w:color="auto"/>
        <w:bottom w:val="none" w:sz="0" w:space="0" w:color="auto"/>
        <w:right w:val="none" w:sz="0" w:space="0" w:color="auto"/>
      </w:divBdr>
    </w:div>
    <w:div w:id="1690985585">
      <w:bodyDiv w:val="1"/>
      <w:marLeft w:val="0"/>
      <w:marRight w:val="0"/>
      <w:marTop w:val="0"/>
      <w:marBottom w:val="0"/>
      <w:divBdr>
        <w:top w:val="none" w:sz="0" w:space="0" w:color="auto"/>
        <w:left w:val="none" w:sz="0" w:space="0" w:color="auto"/>
        <w:bottom w:val="none" w:sz="0" w:space="0" w:color="auto"/>
        <w:right w:val="none" w:sz="0" w:space="0" w:color="auto"/>
      </w:divBdr>
    </w:div>
    <w:div w:id="1972007479">
      <w:bodyDiv w:val="1"/>
      <w:marLeft w:val="0"/>
      <w:marRight w:val="0"/>
      <w:marTop w:val="0"/>
      <w:marBottom w:val="0"/>
      <w:divBdr>
        <w:top w:val="none" w:sz="0" w:space="0" w:color="auto"/>
        <w:left w:val="none" w:sz="0" w:space="0" w:color="auto"/>
        <w:bottom w:val="none" w:sz="0" w:space="0" w:color="auto"/>
        <w:right w:val="none" w:sz="0" w:space="0" w:color="auto"/>
      </w:divBdr>
    </w:div>
    <w:div w:id="21078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file:///C:\Users\grwise\AppData\Local\Temp\notesDECC48\FINAL%20Endometriosis%20Guidance%20Feb2020_Formatted.docx"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diagramColors" Target="diagrams/colors1.xml"/><Relationship Id="rId27" Type="http://schemas.openxmlformats.org/officeDocument/2006/relationships/hyperlink" Target="https://www.who.int/reproductivehealth/publications/family_planning/hc_bone_health/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zshs.org/guidelines" TargetMode="External"/><Relationship Id="rId2" Type="http://schemas.openxmlformats.org/officeDocument/2006/relationships/hyperlink" Target="https://www.health.govt.nz/our-work/populations/maori-health/he-korowai-oranga" TargetMode="External"/><Relationship Id="rId1" Type="http://schemas.openxmlformats.org/officeDocument/2006/relationships/hyperlink" Target="https://choosingwisely.org.nz/" TargetMode="External"/><Relationship Id="rId4" Type="http://schemas.openxmlformats.org/officeDocument/2006/relationships/hyperlink" Target="https://ranzcog.edu.au/RANZCOG_SITE/media/RANZCOG-MEDIA/Women%27s%20Health/Statement%20and%20guidelines/Clinical%20-%20Training/Guidelines-for-performing-gynaecological-endoscopic-procedures-(C-Trg-2).pdf?ex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BFA70-74A7-C743-B63B-7ED9FC6B6FBE}" type="doc">
      <dgm:prSet loTypeId="urn:microsoft.com/office/officeart/2005/8/layout/hierarchy6" loCatId="hierarchy" qsTypeId="urn:microsoft.com/office/officeart/2005/8/quickstyle/simple1" qsCatId="simple" csTypeId="urn:microsoft.com/office/officeart/2005/8/colors/accent2_1" csCatId="accent2" phldr="1"/>
      <dgm:spPr/>
      <dgm:t>
        <a:bodyPr/>
        <a:lstStyle/>
        <a:p>
          <a:endParaRPr lang="en-US"/>
        </a:p>
      </dgm:t>
    </dgm:pt>
    <dgm:pt modelId="{1E204AE4-1D1E-A44B-B9FE-20EB1F6D8019}">
      <dgm:prSet custT="1"/>
      <dgm:spPr>
        <a:ln w="19050">
          <a:solidFill>
            <a:srgbClr val="002060"/>
          </a:solidFill>
        </a:ln>
      </dgm:spPr>
      <dgm:t>
        <a:bodyPr/>
        <a:lstStyle/>
        <a:p>
          <a:r>
            <a:rPr lang="en-US" sz="1100">
              <a:latin typeface="Segoe UI" panose="020B0502040204020203" pitchFamily="34" charset="0"/>
              <a:cs typeface="Segoe UI" panose="020B0502040204020203" pitchFamily="34" charset="0"/>
            </a:rPr>
            <a:t>Endometriosis suspected</a:t>
          </a:r>
        </a:p>
        <a:p>
          <a:r>
            <a:rPr lang="en-US" sz="1100">
              <a:latin typeface="Segoe UI" panose="020B0502040204020203" pitchFamily="34" charset="0"/>
              <a:cs typeface="Segoe UI" panose="020B0502040204020203" pitchFamily="34" charset="0"/>
            </a:rPr>
            <a:t>Suggest hormonal therapy</a:t>
          </a:r>
        </a:p>
      </dgm:t>
    </dgm:pt>
    <dgm:pt modelId="{7470E62D-59CC-0743-9D39-5FE7A0D49610}" type="parTrans" cxnId="{429E8C62-145B-3F45-855B-177B301603BC}">
      <dgm:prSet/>
      <dgm:spPr/>
      <dgm:t>
        <a:bodyPr/>
        <a:lstStyle/>
        <a:p>
          <a:endParaRPr lang="en-US" sz="1000">
            <a:latin typeface="Segoe UI" panose="020B0502040204020203" pitchFamily="34" charset="0"/>
            <a:cs typeface="Segoe UI" panose="020B0502040204020203" pitchFamily="34" charset="0"/>
          </a:endParaRPr>
        </a:p>
      </dgm:t>
    </dgm:pt>
    <dgm:pt modelId="{156C2513-640B-AD4D-B70C-C55771DE1FB7}" type="sibTrans" cxnId="{429E8C62-145B-3F45-855B-177B301603BC}">
      <dgm:prSet/>
      <dgm:spPr/>
      <dgm:t>
        <a:bodyPr/>
        <a:lstStyle/>
        <a:p>
          <a:endParaRPr lang="en-US" sz="1000">
            <a:latin typeface="Segoe UI" panose="020B0502040204020203" pitchFamily="34" charset="0"/>
            <a:cs typeface="Segoe UI" panose="020B0502040204020203" pitchFamily="34" charset="0"/>
          </a:endParaRPr>
        </a:p>
      </dgm:t>
    </dgm:pt>
    <dgm:pt modelId="{1CFF4FF5-F44A-D747-BB5C-AA55B7A2C220}">
      <dgm:prSet custT="1"/>
      <dgm:spPr>
        <a:ln w="19050">
          <a:solidFill>
            <a:srgbClr val="002060"/>
          </a:solidFill>
        </a:ln>
      </dgm:spPr>
      <dgm:t>
        <a:bodyPr/>
        <a:lstStyle/>
        <a:p>
          <a:pPr>
            <a:lnSpc>
              <a:spcPct val="90000"/>
            </a:lnSpc>
            <a:spcBef>
              <a:spcPct val="0"/>
            </a:spcBef>
            <a:spcAft>
              <a:spcPts val="0"/>
            </a:spcAft>
          </a:pPr>
          <a:r>
            <a:rPr lang="en-US" sz="1000">
              <a:latin typeface="Segoe UI" panose="020B0502040204020203" pitchFamily="34" charset="0"/>
              <a:cs typeface="Segoe UI" panose="020B0502040204020203" pitchFamily="34" charset="0"/>
            </a:rPr>
            <a:t>Progestins licensed as contraceptives </a:t>
          </a:r>
        </a:p>
        <a:p>
          <a:pPr>
            <a:lnSpc>
              <a:spcPct val="90000"/>
            </a:lnSpc>
            <a:spcBef>
              <a:spcPct val="0"/>
            </a:spcBef>
            <a:spcAft>
              <a:spcPts val="400"/>
            </a:spcAft>
          </a:pPr>
          <a:r>
            <a:rPr lang="en-US" sz="1000">
              <a:latin typeface="Segoe UI" panose="020B0502040204020203" pitchFamily="34" charset="0"/>
              <a:cs typeface="Segoe UI" panose="020B0502040204020203" pitchFamily="34" charset="0"/>
            </a:rPr>
            <a:t>(contraceptive efficacy equal or greater than COCPs)</a:t>
          </a:r>
        </a:p>
        <a:p>
          <a:pPr>
            <a:lnSpc>
              <a:spcPct val="100000"/>
            </a:lnSpc>
            <a:spcBef>
              <a:spcPts val="300"/>
            </a:spcBef>
            <a:spcAft>
              <a:spcPts val="300"/>
            </a:spcAft>
          </a:pPr>
          <a:r>
            <a:rPr lang="en-US" sz="900">
              <a:solidFill>
                <a:sysClr val="windowText" lastClr="000000"/>
              </a:solidFill>
              <a:latin typeface="Segoe UI" panose="020B0502040204020203" pitchFamily="34" charset="0"/>
              <a:cs typeface="Segoe UI" panose="020B0502040204020203" pitchFamily="34" charset="0"/>
            </a:rPr>
            <a:t>Desogestrel (Cerazette) 75 ug od </a:t>
          </a:r>
          <a:endParaRPr lang="en-NZ" sz="900">
            <a:solidFill>
              <a:sysClr val="windowText" lastClr="000000"/>
            </a:solidFill>
            <a:latin typeface="Segoe UI" panose="020B0502040204020203" pitchFamily="34" charset="0"/>
            <a:cs typeface="Segoe UI" panose="020B0502040204020203" pitchFamily="34" charset="0"/>
          </a:endParaRPr>
        </a:p>
        <a:p>
          <a:pPr>
            <a:lnSpc>
              <a:spcPct val="100000"/>
            </a:lnSpc>
            <a:spcBef>
              <a:spcPts val="300"/>
            </a:spcBef>
            <a:spcAft>
              <a:spcPts val="300"/>
            </a:spcAft>
          </a:pPr>
          <a:r>
            <a:rPr lang="en-US" sz="900">
              <a:solidFill>
                <a:sysClr val="windowText" lastClr="000000"/>
              </a:solidFill>
              <a:latin typeface="Segoe UI" panose="020B0502040204020203" pitchFamily="34" charset="0"/>
              <a:cs typeface="Segoe UI" panose="020B0502040204020203" pitchFamily="34" charset="0"/>
            </a:rPr>
            <a:t>Medroxyprogesterone acetate (Depo-Provera) 150 mg, three monthly</a:t>
          </a:r>
          <a:endParaRPr lang="en-NZ" sz="900">
            <a:solidFill>
              <a:sysClr val="windowText" lastClr="000000"/>
            </a:solidFill>
            <a:latin typeface="Segoe UI" panose="020B0502040204020203" pitchFamily="34" charset="0"/>
            <a:cs typeface="Segoe UI" panose="020B0502040204020203" pitchFamily="34" charset="0"/>
          </a:endParaRPr>
        </a:p>
        <a:p>
          <a:pPr>
            <a:lnSpc>
              <a:spcPct val="100000"/>
            </a:lnSpc>
            <a:spcBef>
              <a:spcPts val="300"/>
            </a:spcBef>
            <a:spcAft>
              <a:spcPts val="300"/>
            </a:spcAft>
          </a:pPr>
          <a:r>
            <a:rPr lang="en-US" sz="900">
              <a:solidFill>
                <a:sysClr val="windowText" lastClr="000000"/>
              </a:solidFill>
              <a:latin typeface="Segoe UI" panose="020B0502040204020203" pitchFamily="34" charset="0"/>
              <a:cs typeface="Segoe UI" panose="020B0502040204020203" pitchFamily="34" charset="0"/>
            </a:rPr>
            <a:t>Levonorgestrel intrauterine contraceptive devices (Mirena, Jaydess) </a:t>
          </a:r>
          <a:endParaRPr lang="en-NZ" sz="900">
            <a:solidFill>
              <a:sysClr val="windowText" lastClr="000000"/>
            </a:solidFill>
            <a:latin typeface="Segoe UI" panose="020B0502040204020203" pitchFamily="34" charset="0"/>
            <a:cs typeface="Segoe UI" panose="020B0502040204020203" pitchFamily="34" charset="0"/>
          </a:endParaRPr>
        </a:p>
        <a:p>
          <a:pPr>
            <a:lnSpc>
              <a:spcPct val="100000"/>
            </a:lnSpc>
            <a:spcBef>
              <a:spcPts val="300"/>
            </a:spcBef>
            <a:spcAft>
              <a:spcPts val="300"/>
            </a:spcAft>
          </a:pPr>
          <a:r>
            <a:rPr lang="en-US" sz="900">
              <a:solidFill>
                <a:sysClr val="windowText" lastClr="000000"/>
              </a:solidFill>
              <a:latin typeface="Segoe UI" panose="020B0502040204020203" pitchFamily="34" charset="0"/>
              <a:cs typeface="Segoe UI" panose="020B0502040204020203" pitchFamily="34" charset="0"/>
            </a:rPr>
            <a:t>Levonorgestrel subcutaneous implant (Jadelle) 2x75 mg implants</a:t>
          </a:r>
          <a:endParaRPr lang="en-NZ" sz="900">
            <a:solidFill>
              <a:sysClr val="windowText" lastClr="000000"/>
            </a:solidFill>
            <a:latin typeface="Segoe UI" panose="020B0502040204020203" pitchFamily="34" charset="0"/>
            <a:cs typeface="Segoe UI" panose="020B0502040204020203" pitchFamily="34" charset="0"/>
          </a:endParaRPr>
        </a:p>
        <a:p>
          <a:pPr>
            <a:lnSpc>
              <a:spcPct val="100000"/>
            </a:lnSpc>
            <a:spcBef>
              <a:spcPts val="300"/>
            </a:spcBef>
            <a:spcAft>
              <a:spcPts val="300"/>
            </a:spcAft>
          </a:pPr>
          <a:r>
            <a:rPr lang="en-US" sz="900">
              <a:solidFill>
                <a:sysClr val="windowText" lastClr="000000"/>
              </a:solidFill>
              <a:latin typeface="Segoe UI" panose="020B0502040204020203" pitchFamily="34" charset="0"/>
              <a:cs typeface="Segoe UI" panose="020B0502040204020203" pitchFamily="34" charset="0"/>
            </a:rPr>
            <a:t>Etonogestrel subcutaneous implant (Implanon) 68 mg rod</a:t>
          </a:r>
        </a:p>
      </dgm:t>
    </dgm:pt>
    <dgm:pt modelId="{6D978CED-AAE7-5048-9128-DB22CCA77831}" type="parTrans" cxnId="{5559DA08-B350-054B-875A-F5500FA75E9F}">
      <dgm:prSet/>
      <dgm:spPr>
        <a:ln w="19050">
          <a:solidFill>
            <a:srgbClr val="002060"/>
          </a:solidFill>
        </a:ln>
      </dgm:spPr>
      <dgm:t>
        <a:bodyPr/>
        <a:lstStyle/>
        <a:p>
          <a:endParaRPr lang="en-US" sz="1000">
            <a:latin typeface="Segoe UI" panose="020B0502040204020203" pitchFamily="34" charset="0"/>
            <a:cs typeface="Segoe UI" panose="020B0502040204020203" pitchFamily="34" charset="0"/>
          </a:endParaRPr>
        </a:p>
      </dgm:t>
    </dgm:pt>
    <dgm:pt modelId="{34473DD5-1792-BF43-B61A-1F8B41641C44}" type="sibTrans" cxnId="{5559DA08-B350-054B-875A-F5500FA75E9F}">
      <dgm:prSet/>
      <dgm:spPr/>
      <dgm:t>
        <a:bodyPr/>
        <a:lstStyle/>
        <a:p>
          <a:endParaRPr lang="en-US" sz="1000">
            <a:latin typeface="Segoe UI" panose="020B0502040204020203" pitchFamily="34" charset="0"/>
            <a:cs typeface="Segoe UI" panose="020B0502040204020203" pitchFamily="34" charset="0"/>
          </a:endParaRPr>
        </a:p>
      </dgm:t>
    </dgm:pt>
    <dgm:pt modelId="{3685D5F5-FB76-084C-9E58-D1D5DC1077F8}">
      <dgm:prSet phldrT="[Text]" custT="1"/>
      <dgm:spPr>
        <a:ln w="19050">
          <a:solidFill>
            <a:srgbClr val="002060"/>
          </a:solidFill>
        </a:ln>
      </dgm:spPr>
      <dgm:t>
        <a:bodyPr/>
        <a:lstStyle/>
        <a:p>
          <a:r>
            <a:rPr lang="en-US" sz="1100">
              <a:solidFill>
                <a:srgbClr val="FF0000"/>
              </a:solidFill>
              <a:latin typeface="Segoe UI" panose="020B0502040204020203" pitchFamily="34" charset="0"/>
              <a:cs typeface="Segoe UI" panose="020B0502040204020203" pitchFamily="34" charset="0"/>
            </a:rPr>
            <a:t>Recommended first-line management</a:t>
          </a:r>
        </a:p>
        <a:p>
          <a:r>
            <a:rPr lang="en-US" sz="1050">
              <a:latin typeface="Segoe UI" panose="020B0502040204020203" pitchFamily="34" charset="0"/>
              <a:cs typeface="Segoe UI" panose="020B0502040204020203" pitchFamily="34" charset="0"/>
            </a:rPr>
            <a:t>Start progestin therapy to inhibit ovulation and produce amenorrhoea / oligomenorrhoea</a:t>
          </a:r>
          <a:r>
            <a:rPr lang="en-US" sz="1000">
              <a:latin typeface="Segoe UI" panose="020B0502040204020203" pitchFamily="34" charset="0"/>
              <a:cs typeface="Segoe UI" panose="020B0502040204020203" pitchFamily="34" charset="0"/>
            </a:rPr>
            <a:t> </a:t>
          </a:r>
        </a:p>
      </dgm:t>
    </dgm:pt>
    <dgm:pt modelId="{B21F801E-BC60-F448-AF68-5F56E5421057}" type="parTrans" cxnId="{8FA834AE-457B-2F41-80D9-07D515A08A1D}">
      <dgm:prSet/>
      <dgm:spPr>
        <a:ln w="19050">
          <a:solidFill>
            <a:srgbClr val="002060"/>
          </a:solidFill>
        </a:ln>
      </dgm:spPr>
      <dgm:t>
        <a:bodyPr/>
        <a:lstStyle/>
        <a:p>
          <a:endParaRPr lang="en-US" sz="1000">
            <a:latin typeface="Segoe UI" panose="020B0502040204020203" pitchFamily="34" charset="0"/>
            <a:cs typeface="Segoe UI" panose="020B0502040204020203" pitchFamily="34" charset="0"/>
          </a:endParaRPr>
        </a:p>
      </dgm:t>
    </dgm:pt>
    <dgm:pt modelId="{2191BF50-FB7A-9141-A041-6F1349DEB8CC}" type="sibTrans" cxnId="{8FA834AE-457B-2F41-80D9-07D515A08A1D}">
      <dgm:prSet/>
      <dgm:spPr/>
      <dgm:t>
        <a:bodyPr/>
        <a:lstStyle/>
        <a:p>
          <a:endParaRPr lang="en-US" sz="1000">
            <a:latin typeface="Segoe UI" panose="020B0502040204020203" pitchFamily="34" charset="0"/>
            <a:cs typeface="Segoe UI" panose="020B0502040204020203" pitchFamily="34" charset="0"/>
          </a:endParaRPr>
        </a:p>
      </dgm:t>
    </dgm:pt>
    <dgm:pt modelId="{73D25840-20E9-A94B-ACF6-2B74E953840E}">
      <dgm:prSet phldrT="[Text]" custT="1"/>
      <dgm:spPr>
        <a:ln w="19050">
          <a:solidFill>
            <a:srgbClr val="002060"/>
          </a:solidFill>
        </a:ln>
      </dgm:spPr>
      <dgm:t>
        <a:bodyPr/>
        <a:lstStyle/>
        <a:p>
          <a:r>
            <a:rPr lang="en-US" sz="1100">
              <a:solidFill>
                <a:srgbClr val="0070C0"/>
              </a:solidFill>
              <a:latin typeface="Segoe UI" panose="020B0502040204020203" pitchFamily="34" charset="0"/>
              <a:cs typeface="Segoe UI" panose="020B0502040204020203" pitchFamily="34" charset="0"/>
            </a:rPr>
            <a:t>Alternative first-line management </a:t>
          </a:r>
        </a:p>
        <a:p>
          <a:r>
            <a:rPr lang="en-US" sz="1100">
              <a:latin typeface="Segoe UI" panose="020B0502040204020203" pitchFamily="34" charset="0"/>
              <a:cs typeface="Segoe UI" panose="020B0502040204020203" pitchFamily="34" charset="0"/>
            </a:rPr>
            <a:t> Consider COCPs preparations if progestin therapy proves unsuitable or if patient preference</a:t>
          </a:r>
        </a:p>
      </dgm:t>
    </dgm:pt>
    <dgm:pt modelId="{6BEBFA50-2E6F-3B43-BC78-702D8F302FB6}" type="sibTrans" cxnId="{A4076064-9ED2-6F48-991D-4240214E933B}">
      <dgm:prSet/>
      <dgm:spPr/>
      <dgm:t>
        <a:bodyPr/>
        <a:lstStyle/>
        <a:p>
          <a:endParaRPr lang="en-US" sz="1000">
            <a:latin typeface="Segoe UI" panose="020B0502040204020203" pitchFamily="34" charset="0"/>
            <a:cs typeface="Segoe UI" panose="020B0502040204020203" pitchFamily="34" charset="0"/>
          </a:endParaRPr>
        </a:p>
      </dgm:t>
    </dgm:pt>
    <dgm:pt modelId="{778C4049-D14A-CA47-A2BB-DCE88115CD9E}" type="parTrans" cxnId="{A4076064-9ED2-6F48-991D-4240214E933B}">
      <dgm:prSet/>
      <dgm:spPr>
        <a:ln w="19050">
          <a:solidFill>
            <a:srgbClr val="002060"/>
          </a:solidFill>
        </a:ln>
      </dgm:spPr>
      <dgm:t>
        <a:bodyPr/>
        <a:lstStyle/>
        <a:p>
          <a:endParaRPr lang="en-US" sz="1000">
            <a:latin typeface="Segoe UI" panose="020B0502040204020203" pitchFamily="34" charset="0"/>
            <a:cs typeface="Segoe UI" panose="020B0502040204020203" pitchFamily="34" charset="0"/>
          </a:endParaRPr>
        </a:p>
      </dgm:t>
    </dgm:pt>
    <dgm:pt modelId="{3630FE6B-8B67-7B48-BB33-954B6236827D}">
      <dgm:prSet phldrT="[Text]" custT="1"/>
      <dgm:spPr>
        <a:ln w="19050">
          <a:solidFill>
            <a:srgbClr val="002060"/>
          </a:solidFill>
        </a:ln>
      </dgm:spPr>
      <dgm:t>
        <a:bodyPr/>
        <a:lstStyle/>
        <a:p>
          <a:pPr>
            <a:lnSpc>
              <a:spcPct val="90000"/>
            </a:lnSpc>
            <a:spcBef>
              <a:spcPct val="0"/>
            </a:spcBef>
            <a:spcAft>
              <a:spcPct val="35000"/>
            </a:spcAft>
          </a:pPr>
          <a:r>
            <a:rPr lang="en-US" sz="1100">
              <a:latin typeface="Segoe UI" panose="020B0502040204020203" pitchFamily="34" charset="0"/>
              <a:cs typeface="Segoe UI" panose="020B0502040204020203" pitchFamily="34" charset="0"/>
            </a:rPr>
            <a:t>Progestins </a:t>
          </a:r>
          <a:r>
            <a:rPr lang="en-US" sz="1100" b="1" i="1">
              <a:solidFill>
                <a:sysClr val="windowText" lastClr="000000"/>
              </a:solidFill>
              <a:latin typeface="Segoe UI" panose="020B0502040204020203" pitchFamily="34" charset="0"/>
              <a:cs typeface="Segoe UI" panose="020B0502040204020203" pitchFamily="34" charset="0"/>
            </a:rPr>
            <a:t>not</a:t>
          </a:r>
          <a:r>
            <a:rPr lang="en-US" sz="1100">
              <a:solidFill>
                <a:sysClr val="windowText" lastClr="000000"/>
              </a:solidFill>
              <a:latin typeface="Segoe UI" panose="020B0502040204020203" pitchFamily="34" charset="0"/>
              <a:cs typeface="Segoe UI" panose="020B0502040204020203" pitchFamily="34" charset="0"/>
            </a:rPr>
            <a:t> </a:t>
          </a:r>
          <a:r>
            <a:rPr lang="en-US" sz="1100">
              <a:latin typeface="Segoe UI" panose="020B0502040204020203" pitchFamily="34" charset="0"/>
              <a:cs typeface="Segoe UI" panose="020B0502040204020203" pitchFamily="34" charset="0"/>
            </a:rPr>
            <a:t>tested or licensed as contraceptives (condoms needed if contraception a requirement)</a:t>
          </a:r>
        </a:p>
        <a:p>
          <a:pPr>
            <a:lnSpc>
              <a:spcPct val="100000"/>
            </a:lnSpc>
            <a:spcBef>
              <a:spcPts val="300"/>
            </a:spcBef>
            <a:spcAft>
              <a:spcPts val="300"/>
            </a:spcAft>
          </a:pPr>
          <a:r>
            <a:rPr lang="en-US" sz="900">
              <a:latin typeface="Segoe UI" panose="020B0502040204020203" pitchFamily="34" charset="0"/>
              <a:cs typeface="Segoe UI" panose="020B0502040204020203" pitchFamily="34" charset="0"/>
            </a:rPr>
            <a:t> </a:t>
          </a:r>
          <a:r>
            <a:rPr lang="en-US" sz="900">
              <a:solidFill>
                <a:sysClr val="windowText" lastClr="000000"/>
              </a:solidFill>
              <a:latin typeface="Segoe UI" panose="020B0502040204020203" pitchFamily="34" charset="0"/>
              <a:cs typeface="Segoe UI" panose="020B0502040204020203" pitchFamily="34" charset="0"/>
            </a:rPr>
            <a:t>  </a:t>
          </a:r>
          <a:r>
            <a:rPr lang="en-NZ" sz="900">
              <a:solidFill>
                <a:sysClr val="windowText" lastClr="000000"/>
              </a:solidFill>
              <a:latin typeface="Segoe UI" panose="020B0502040204020203" pitchFamily="34" charset="0"/>
              <a:cs typeface="Segoe UI" panose="020B0502040204020203" pitchFamily="34" charset="0"/>
            </a:rPr>
            <a:t>Dienogest (Visanne) 2 mg od</a:t>
          </a:r>
        </a:p>
        <a:p>
          <a:pPr>
            <a:lnSpc>
              <a:spcPct val="100000"/>
            </a:lnSpc>
            <a:spcBef>
              <a:spcPts val="300"/>
            </a:spcBef>
            <a:spcAft>
              <a:spcPts val="300"/>
            </a:spcAft>
          </a:pPr>
          <a:r>
            <a:rPr lang="en-NZ" sz="900">
              <a:solidFill>
                <a:sysClr val="windowText" lastClr="000000"/>
              </a:solidFill>
              <a:latin typeface="Segoe UI" panose="020B0502040204020203" pitchFamily="34" charset="0"/>
              <a:cs typeface="Segoe UI" panose="020B0502040204020203" pitchFamily="34" charset="0"/>
            </a:rPr>
            <a:t>Medroxyprogesterone acetate (Provera) 10 mg od </a:t>
          </a:r>
        </a:p>
        <a:p>
          <a:pPr>
            <a:lnSpc>
              <a:spcPct val="100000"/>
            </a:lnSpc>
            <a:spcBef>
              <a:spcPts val="300"/>
            </a:spcBef>
            <a:spcAft>
              <a:spcPts val="300"/>
            </a:spcAft>
          </a:pPr>
          <a:r>
            <a:rPr lang="en-NZ" sz="900">
              <a:solidFill>
                <a:sysClr val="windowText" lastClr="000000"/>
              </a:solidFill>
              <a:latin typeface="Segoe UI" panose="020B0502040204020203" pitchFamily="34" charset="0"/>
              <a:cs typeface="Segoe UI" panose="020B0502040204020203" pitchFamily="34" charset="0"/>
            </a:rPr>
            <a:t>Norethisterone (Primolut) 5 mg od</a:t>
          </a:r>
        </a:p>
        <a:p>
          <a:pPr>
            <a:lnSpc>
              <a:spcPct val="100000"/>
            </a:lnSpc>
            <a:spcBef>
              <a:spcPts val="300"/>
            </a:spcBef>
            <a:spcAft>
              <a:spcPts val="300"/>
            </a:spcAft>
          </a:pPr>
          <a:r>
            <a:rPr lang="en-NZ" sz="900">
              <a:solidFill>
                <a:sysClr val="windowText" lastClr="000000"/>
              </a:solidFill>
              <a:latin typeface="Segoe UI" panose="020B0502040204020203" pitchFamily="34" charset="0"/>
              <a:cs typeface="Segoe UI" panose="020B0502040204020203" pitchFamily="34" charset="0"/>
            </a:rPr>
            <a:t>Cyproterone acetate 50 mg od</a:t>
          </a:r>
        </a:p>
      </dgm:t>
    </dgm:pt>
    <dgm:pt modelId="{619818E8-521F-4F45-917E-5561AA9996F7}" type="sibTrans" cxnId="{2F4CFA48-2848-2842-9980-75393F21D901}">
      <dgm:prSet/>
      <dgm:spPr/>
      <dgm:t>
        <a:bodyPr/>
        <a:lstStyle/>
        <a:p>
          <a:endParaRPr lang="en-US" sz="1000">
            <a:latin typeface="Segoe UI" panose="020B0502040204020203" pitchFamily="34" charset="0"/>
            <a:cs typeface="Segoe UI" panose="020B0502040204020203" pitchFamily="34" charset="0"/>
          </a:endParaRPr>
        </a:p>
      </dgm:t>
    </dgm:pt>
    <dgm:pt modelId="{893F56A0-BF30-5141-8C49-A9A3249996B7}" type="parTrans" cxnId="{2F4CFA48-2848-2842-9980-75393F21D901}">
      <dgm:prSet/>
      <dgm:spPr>
        <a:ln w="19050">
          <a:solidFill>
            <a:srgbClr val="002060"/>
          </a:solidFill>
        </a:ln>
      </dgm:spPr>
      <dgm:t>
        <a:bodyPr/>
        <a:lstStyle/>
        <a:p>
          <a:endParaRPr lang="en-US" sz="1000">
            <a:latin typeface="Segoe UI" panose="020B0502040204020203" pitchFamily="34" charset="0"/>
            <a:cs typeface="Segoe UI" panose="020B0502040204020203" pitchFamily="34" charset="0"/>
          </a:endParaRPr>
        </a:p>
      </dgm:t>
    </dgm:pt>
    <dgm:pt modelId="{04E8FDB0-519A-4F72-B51C-5C6F4289892A}" type="pres">
      <dgm:prSet presAssocID="{1C2BFA70-74A7-C743-B63B-7ED9FC6B6FBE}" presName="mainComposite" presStyleCnt="0">
        <dgm:presLayoutVars>
          <dgm:chPref val="1"/>
          <dgm:dir/>
          <dgm:animOne val="branch"/>
          <dgm:animLvl val="lvl"/>
          <dgm:resizeHandles val="exact"/>
        </dgm:presLayoutVars>
      </dgm:prSet>
      <dgm:spPr/>
    </dgm:pt>
    <dgm:pt modelId="{C75FB338-0476-41A4-8265-6E22CDBDFBB4}" type="pres">
      <dgm:prSet presAssocID="{1C2BFA70-74A7-C743-B63B-7ED9FC6B6FBE}" presName="hierFlow" presStyleCnt="0"/>
      <dgm:spPr/>
    </dgm:pt>
    <dgm:pt modelId="{2BFC8E6C-BE0B-492A-A0EC-4ABF1581AC2E}" type="pres">
      <dgm:prSet presAssocID="{1C2BFA70-74A7-C743-B63B-7ED9FC6B6FBE}" presName="hierChild1" presStyleCnt="0">
        <dgm:presLayoutVars>
          <dgm:chPref val="1"/>
          <dgm:animOne val="branch"/>
          <dgm:animLvl val="lvl"/>
        </dgm:presLayoutVars>
      </dgm:prSet>
      <dgm:spPr/>
    </dgm:pt>
    <dgm:pt modelId="{8DE3FDAC-351B-45A7-BC2C-A3EC220FD233}" type="pres">
      <dgm:prSet presAssocID="{1E204AE4-1D1E-A44B-B9FE-20EB1F6D8019}" presName="Name14" presStyleCnt="0"/>
      <dgm:spPr/>
    </dgm:pt>
    <dgm:pt modelId="{D1C73A7A-C72E-4FA3-A56D-3CBD0BF87202}" type="pres">
      <dgm:prSet presAssocID="{1E204AE4-1D1E-A44B-B9FE-20EB1F6D8019}" presName="level1Shape" presStyleLbl="node0" presStyleIdx="0" presStyleCnt="1" custScaleY="73192">
        <dgm:presLayoutVars>
          <dgm:chPref val="3"/>
        </dgm:presLayoutVars>
      </dgm:prSet>
      <dgm:spPr/>
    </dgm:pt>
    <dgm:pt modelId="{D8BD8CE4-15F7-4CC3-954F-D28B35B8E9E6}" type="pres">
      <dgm:prSet presAssocID="{1E204AE4-1D1E-A44B-B9FE-20EB1F6D8019}" presName="hierChild2" presStyleCnt="0"/>
      <dgm:spPr/>
    </dgm:pt>
    <dgm:pt modelId="{B4FC5C68-EC3B-4E3F-8B9E-4AD70D1F98E8}" type="pres">
      <dgm:prSet presAssocID="{B21F801E-BC60-F448-AF68-5F56E5421057}" presName="Name19" presStyleLbl="parChTrans1D2" presStyleIdx="0" presStyleCnt="2"/>
      <dgm:spPr/>
    </dgm:pt>
    <dgm:pt modelId="{DB6AB189-7380-44FE-AC4A-918A87AE29E5}" type="pres">
      <dgm:prSet presAssocID="{3685D5F5-FB76-084C-9E58-D1D5DC1077F8}" presName="Name21" presStyleCnt="0"/>
      <dgm:spPr/>
    </dgm:pt>
    <dgm:pt modelId="{308FC412-8DFD-4A99-8114-385533695C0F}" type="pres">
      <dgm:prSet presAssocID="{3685D5F5-FB76-084C-9E58-D1D5DC1077F8}" presName="level2Shape" presStyleLbl="node2" presStyleIdx="0" presStyleCnt="2" custScaleY="106195"/>
      <dgm:spPr/>
    </dgm:pt>
    <dgm:pt modelId="{DBC13ECB-FE85-4FB4-B46C-FA74F238058D}" type="pres">
      <dgm:prSet presAssocID="{3685D5F5-FB76-084C-9E58-D1D5DC1077F8}" presName="hierChild3" presStyleCnt="0"/>
      <dgm:spPr/>
    </dgm:pt>
    <dgm:pt modelId="{D5B3155D-9047-4AE6-A4F6-F75F397BB83B}" type="pres">
      <dgm:prSet presAssocID="{893F56A0-BF30-5141-8C49-A9A3249996B7}" presName="Name19" presStyleLbl="parChTrans1D3" presStyleIdx="0" presStyleCnt="2"/>
      <dgm:spPr/>
    </dgm:pt>
    <dgm:pt modelId="{4B638BB8-D600-4A69-923D-7FBA6EF73296}" type="pres">
      <dgm:prSet presAssocID="{3630FE6B-8B67-7B48-BB33-954B6236827D}" presName="Name21" presStyleCnt="0"/>
      <dgm:spPr/>
    </dgm:pt>
    <dgm:pt modelId="{83374117-30A0-4056-815B-D04FB0B1EB39}" type="pres">
      <dgm:prSet presAssocID="{3630FE6B-8B67-7B48-BB33-954B6236827D}" presName="level2Shape" presStyleLbl="node3" presStyleIdx="0" presStyleCnt="2" custScaleX="115425" custScaleY="178531"/>
      <dgm:spPr/>
    </dgm:pt>
    <dgm:pt modelId="{D5C405EC-C99B-4FFC-BE5C-1441FD44425A}" type="pres">
      <dgm:prSet presAssocID="{3630FE6B-8B67-7B48-BB33-954B6236827D}" presName="hierChild3" presStyleCnt="0"/>
      <dgm:spPr/>
    </dgm:pt>
    <dgm:pt modelId="{45F6AB5A-8B06-4BF2-B9BD-034D23A4B4E9}" type="pres">
      <dgm:prSet presAssocID="{6D978CED-AAE7-5048-9128-DB22CCA77831}" presName="Name19" presStyleLbl="parChTrans1D3" presStyleIdx="1" presStyleCnt="2"/>
      <dgm:spPr/>
    </dgm:pt>
    <dgm:pt modelId="{DFEF7FC3-B28D-4330-A444-ACE0546C4F7A}" type="pres">
      <dgm:prSet presAssocID="{1CFF4FF5-F44A-D747-BB5C-AA55B7A2C220}" presName="Name21" presStyleCnt="0"/>
      <dgm:spPr/>
    </dgm:pt>
    <dgm:pt modelId="{FEE42355-BCCF-4894-9F76-525764E7B60C}" type="pres">
      <dgm:prSet presAssocID="{1CFF4FF5-F44A-D747-BB5C-AA55B7A2C220}" presName="level2Shape" presStyleLbl="node3" presStyleIdx="1" presStyleCnt="2" custScaleX="102858" custScaleY="175921"/>
      <dgm:spPr/>
    </dgm:pt>
    <dgm:pt modelId="{0E82CCCF-D191-464B-B317-DEC08AFE838F}" type="pres">
      <dgm:prSet presAssocID="{1CFF4FF5-F44A-D747-BB5C-AA55B7A2C220}" presName="hierChild3" presStyleCnt="0"/>
      <dgm:spPr/>
    </dgm:pt>
    <dgm:pt modelId="{F1EA8478-A116-4214-A14E-5B41EDBFD5C8}" type="pres">
      <dgm:prSet presAssocID="{778C4049-D14A-CA47-A2BB-DCE88115CD9E}" presName="Name19" presStyleLbl="parChTrans1D2" presStyleIdx="1" presStyleCnt="2"/>
      <dgm:spPr/>
    </dgm:pt>
    <dgm:pt modelId="{ACEB2D9F-563E-4EAC-9276-8D2722AD21B2}" type="pres">
      <dgm:prSet presAssocID="{73D25840-20E9-A94B-ACF6-2B74E953840E}" presName="Name21" presStyleCnt="0"/>
      <dgm:spPr/>
    </dgm:pt>
    <dgm:pt modelId="{8188BC80-7BDC-4E5E-A4CC-1FF98190F510}" type="pres">
      <dgm:prSet presAssocID="{73D25840-20E9-A94B-ACF6-2B74E953840E}" presName="level2Shape" presStyleLbl="node2" presStyleIdx="1" presStyleCnt="2" custScaleY="108403"/>
      <dgm:spPr/>
    </dgm:pt>
    <dgm:pt modelId="{514F5B31-6A94-4138-AB2D-F366FE7D9CEE}" type="pres">
      <dgm:prSet presAssocID="{73D25840-20E9-A94B-ACF6-2B74E953840E}" presName="hierChild3" presStyleCnt="0"/>
      <dgm:spPr/>
    </dgm:pt>
    <dgm:pt modelId="{F54C4364-8487-417E-8DF2-16A5163FCD98}" type="pres">
      <dgm:prSet presAssocID="{1C2BFA70-74A7-C743-B63B-7ED9FC6B6FBE}" presName="bgShapesFlow" presStyleCnt="0"/>
      <dgm:spPr/>
    </dgm:pt>
  </dgm:ptLst>
  <dgm:cxnLst>
    <dgm:cxn modelId="{5559DA08-B350-054B-875A-F5500FA75E9F}" srcId="{3685D5F5-FB76-084C-9E58-D1D5DC1077F8}" destId="{1CFF4FF5-F44A-D747-BB5C-AA55B7A2C220}" srcOrd="1" destOrd="0" parTransId="{6D978CED-AAE7-5048-9128-DB22CCA77831}" sibTransId="{34473DD5-1792-BF43-B61A-1F8B41641C44}"/>
    <dgm:cxn modelId="{45C5A017-E9C2-4F09-AF0C-95196F3A30BD}" type="presOf" srcId="{6D978CED-AAE7-5048-9128-DB22CCA77831}" destId="{45F6AB5A-8B06-4BF2-B9BD-034D23A4B4E9}" srcOrd="0" destOrd="0" presId="urn:microsoft.com/office/officeart/2005/8/layout/hierarchy6"/>
    <dgm:cxn modelId="{CD3C5D28-8E2F-4C0E-A130-E425CF741F59}" type="presOf" srcId="{B21F801E-BC60-F448-AF68-5F56E5421057}" destId="{B4FC5C68-EC3B-4E3F-8B9E-4AD70D1F98E8}" srcOrd="0" destOrd="0" presId="urn:microsoft.com/office/officeart/2005/8/layout/hierarchy6"/>
    <dgm:cxn modelId="{4E007B41-B939-44FA-B68D-F4058854DC29}" type="presOf" srcId="{3630FE6B-8B67-7B48-BB33-954B6236827D}" destId="{83374117-30A0-4056-815B-D04FB0B1EB39}" srcOrd="0" destOrd="0" presId="urn:microsoft.com/office/officeart/2005/8/layout/hierarchy6"/>
    <dgm:cxn modelId="{429E8C62-145B-3F45-855B-177B301603BC}" srcId="{1C2BFA70-74A7-C743-B63B-7ED9FC6B6FBE}" destId="{1E204AE4-1D1E-A44B-B9FE-20EB1F6D8019}" srcOrd="0" destOrd="0" parTransId="{7470E62D-59CC-0743-9D39-5FE7A0D49610}" sibTransId="{156C2513-640B-AD4D-B70C-C55771DE1FB7}"/>
    <dgm:cxn modelId="{A4076064-9ED2-6F48-991D-4240214E933B}" srcId="{1E204AE4-1D1E-A44B-B9FE-20EB1F6D8019}" destId="{73D25840-20E9-A94B-ACF6-2B74E953840E}" srcOrd="1" destOrd="0" parTransId="{778C4049-D14A-CA47-A2BB-DCE88115CD9E}" sibTransId="{6BEBFA50-2E6F-3B43-BC78-702D8F302FB6}"/>
    <dgm:cxn modelId="{2F4CFA48-2848-2842-9980-75393F21D901}" srcId="{3685D5F5-FB76-084C-9E58-D1D5DC1077F8}" destId="{3630FE6B-8B67-7B48-BB33-954B6236827D}" srcOrd="0" destOrd="0" parTransId="{893F56A0-BF30-5141-8C49-A9A3249996B7}" sibTransId="{619818E8-521F-4F45-917E-5561AA9996F7}"/>
    <dgm:cxn modelId="{5EDF3B73-0126-4CF7-92B9-32A78D0992C4}" type="presOf" srcId="{1C2BFA70-74A7-C743-B63B-7ED9FC6B6FBE}" destId="{04E8FDB0-519A-4F72-B51C-5C6F4289892A}" srcOrd="0" destOrd="0" presId="urn:microsoft.com/office/officeart/2005/8/layout/hierarchy6"/>
    <dgm:cxn modelId="{C8100055-E451-469F-A022-BF5AAC6ED994}" type="presOf" srcId="{3685D5F5-FB76-084C-9E58-D1D5DC1077F8}" destId="{308FC412-8DFD-4A99-8114-385533695C0F}" srcOrd="0" destOrd="0" presId="urn:microsoft.com/office/officeart/2005/8/layout/hierarchy6"/>
    <dgm:cxn modelId="{6BC00456-425A-47F2-B8AB-F7FD5CCB150E}" type="presOf" srcId="{893F56A0-BF30-5141-8C49-A9A3249996B7}" destId="{D5B3155D-9047-4AE6-A4F6-F75F397BB83B}" srcOrd="0" destOrd="0" presId="urn:microsoft.com/office/officeart/2005/8/layout/hierarchy6"/>
    <dgm:cxn modelId="{15A58F7D-56CC-4B8E-80AA-F5353781F3AD}" type="presOf" srcId="{1CFF4FF5-F44A-D747-BB5C-AA55B7A2C220}" destId="{FEE42355-BCCF-4894-9F76-525764E7B60C}" srcOrd="0" destOrd="0" presId="urn:microsoft.com/office/officeart/2005/8/layout/hierarchy6"/>
    <dgm:cxn modelId="{8FA834AE-457B-2F41-80D9-07D515A08A1D}" srcId="{1E204AE4-1D1E-A44B-B9FE-20EB1F6D8019}" destId="{3685D5F5-FB76-084C-9E58-D1D5DC1077F8}" srcOrd="0" destOrd="0" parTransId="{B21F801E-BC60-F448-AF68-5F56E5421057}" sibTransId="{2191BF50-FB7A-9141-A041-6F1349DEB8CC}"/>
    <dgm:cxn modelId="{A5A32CEA-B65F-40BD-BFEC-9CA647069910}" type="presOf" srcId="{778C4049-D14A-CA47-A2BB-DCE88115CD9E}" destId="{F1EA8478-A116-4214-A14E-5B41EDBFD5C8}" srcOrd="0" destOrd="0" presId="urn:microsoft.com/office/officeart/2005/8/layout/hierarchy6"/>
    <dgm:cxn modelId="{922061F0-90D7-47DF-A504-1543C8634557}" type="presOf" srcId="{1E204AE4-1D1E-A44B-B9FE-20EB1F6D8019}" destId="{D1C73A7A-C72E-4FA3-A56D-3CBD0BF87202}" srcOrd="0" destOrd="0" presId="urn:microsoft.com/office/officeart/2005/8/layout/hierarchy6"/>
    <dgm:cxn modelId="{1E57CCF5-4FFC-4ECB-990C-B89E78512DDC}" type="presOf" srcId="{73D25840-20E9-A94B-ACF6-2B74E953840E}" destId="{8188BC80-7BDC-4E5E-A4CC-1FF98190F510}" srcOrd="0" destOrd="0" presId="urn:microsoft.com/office/officeart/2005/8/layout/hierarchy6"/>
    <dgm:cxn modelId="{34AA49B1-3500-451B-B146-DCE873E93BBD}" type="presParOf" srcId="{04E8FDB0-519A-4F72-B51C-5C6F4289892A}" destId="{C75FB338-0476-41A4-8265-6E22CDBDFBB4}" srcOrd="0" destOrd="0" presId="urn:microsoft.com/office/officeart/2005/8/layout/hierarchy6"/>
    <dgm:cxn modelId="{21026D4A-08B9-4A8E-A566-13E319B54B9A}" type="presParOf" srcId="{C75FB338-0476-41A4-8265-6E22CDBDFBB4}" destId="{2BFC8E6C-BE0B-492A-A0EC-4ABF1581AC2E}" srcOrd="0" destOrd="0" presId="urn:microsoft.com/office/officeart/2005/8/layout/hierarchy6"/>
    <dgm:cxn modelId="{79DAE9F9-7186-4325-8C0C-71D685158970}" type="presParOf" srcId="{2BFC8E6C-BE0B-492A-A0EC-4ABF1581AC2E}" destId="{8DE3FDAC-351B-45A7-BC2C-A3EC220FD233}" srcOrd="0" destOrd="0" presId="urn:microsoft.com/office/officeart/2005/8/layout/hierarchy6"/>
    <dgm:cxn modelId="{FAA16BC3-6565-4AAE-B005-171EB57D8C95}" type="presParOf" srcId="{8DE3FDAC-351B-45A7-BC2C-A3EC220FD233}" destId="{D1C73A7A-C72E-4FA3-A56D-3CBD0BF87202}" srcOrd="0" destOrd="0" presId="urn:microsoft.com/office/officeart/2005/8/layout/hierarchy6"/>
    <dgm:cxn modelId="{E2FBD623-1231-4E6F-9998-5F870E5BF493}" type="presParOf" srcId="{8DE3FDAC-351B-45A7-BC2C-A3EC220FD233}" destId="{D8BD8CE4-15F7-4CC3-954F-D28B35B8E9E6}" srcOrd="1" destOrd="0" presId="urn:microsoft.com/office/officeart/2005/8/layout/hierarchy6"/>
    <dgm:cxn modelId="{5C291EA3-BA5C-4F09-95F1-40F4CA0026A1}" type="presParOf" srcId="{D8BD8CE4-15F7-4CC3-954F-D28B35B8E9E6}" destId="{B4FC5C68-EC3B-4E3F-8B9E-4AD70D1F98E8}" srcOrd="0" destOrd="0" presId="urn:microsoft.com/office/officeart/2005/8/layout/hierarchy6"/>
    <dgm:cxn modelId="{D53570B3-BFA2-4F2C-BE1C-231E91E58D2B}" type="presParOf" srcId="{D8BD8CE4-15F7-4CC3-954F-D28B35B8E9E6}" destId="{DB6AB189-7380-44FE-AC4A-918A87AE29E5}" srcOrd="1" destOrd="0" presId="urn:microsoft.com/office/officeart/2005/8/layout/hierarchy6"/>
    <dgm:cxn modelId="{A8038D46-B285-48D4-B206-29B725F21A43}" type="presParOf" srcId="{DB6AB189-7380-44FE-AC4A-918A87AE29E5}" destId="{308FC412-8DFD-4A99-8114-385533695C0F}" srcOrd="0" destOrd="0" presId="urn:microsoft.com/office/officeart/2005/8/layout/hierarchy6"/>
    <dgm:cxn modelId="{DD0FE3D5-5198-4168-BAFE-B5D531307183}" type="presParOf" srcId="{DB6AB189-7380-44FE-AC4A-918A87AE29E5}" destId="{DBC13ECB-FE85-4FB4-B46C-FA74F238058D}" srcOrd="1" destOrd="0" presId="urn:microsoft.com/office/officeart/2005/8/layout/hierarchy6"/>
    <dgm:cxn modelId="{129AC7AD-5893-4A50-8147-C7E3ACC07B79}" type="presParOf" srcId="{DBC13ECB-FE85-4FB4-B46C-FA74F238058D}" destId="{D5B3155D-9047-4AE6-A4F6-F75F397BB83B}" srcOrd="0" destOrd="0" presId="urn:microsoft.com/office/officeart/2005/8/layout/hierarchy6"/>
    <dgm:cxn modelId="{23838AD5-1D37-41E8-890A-98BA71293543}" type="presParOf" srcId="{DBC13ECB-FE85-4FB4-B46C-FA74F238058D}" destId="{4B638BB8-D600-4A69-923D-7FBA6EF73296}" srcOrd="1" destOrd="0" presId="urn:microsoft.com/office/officeart/2005/8/layout/hierarchy6"/>
    <dgm:cxn modelId="{20F866E0-3141-4F27-AC5C-DA864D17FABD}" type="presParOf" srcId="{4B638BB8-D600-4A69-923D-7FBA6EF73296}" destId="{83374117-30A0-4056-815B-D04FB0B1EB39}" srcOrd="0" destOrd="0" presId="urn:microsoft.com/office/officeart/2005/8/layout/hierarchy6"/>
    <dgm:cxn modelId="{A7736B61-AD1F-461E-8EBE-7B95A52772EA}" type="presParOf" srcId="{4B638BB8-D600-4A69-923D-7FBA6EF73296}" destId="{D5C405EC-C99B-4FFC-BE5C-1441FD44425A}" srcOrd="1" destOrd="0" presId="urn:microsoft.com/office/officeart/2005/8/layout/hierarchy6"/>
    <dgm:cxn modelId="{44E8393B-2299-46EE-BE93-F0C010646B50}" type="presParOf" srcId="{DBC13ECB-FE85-4FB4-B46C-FA74F238058D}" destId="{45F6AB5A-8B06-4BF2-B9BD-034D23A4B4E9}" srcOrd="2" destOrd="0" presId="urn:microsoft.com/office/officeart/2005/8/layout/hierarchy6"/>
    <dgm:cxn modelId="{B56A86B0-4572-4FBD-8EC2-1E3D05A460F5}" type="presParOf" srcId="{DBC13ECB-FE85-4FB4-B46C-FA74F238058D}" destId="{DFEF7FC3-B28D-4330-A444-ACE0546C4F7A}" srcOrd="3" destOrd="0" presId="urn:microsoft.com/office/officeart/2005/8/layout/hierarchy6"/>
    <dgm:cxn modelId="{992CDE58-6600-4811-A281-56A3685259B6}" type="presParOf" srcId="{DFEF7FC3-B28D-4330-A444-ACE0546C4F7A}" destId="{FEE42355-BCCF-4894-9F76-525764E7B60C}" srcOrd="0" destOrd="0" presId="urn:microsoft.com/office/officeart/2005/8/layout/hierarchy6"/>
    <dgm:cxn modelId="{D3717246-E5B8-46D6-A3DA-800CC317AE88}" type="presParOf" srcId="{DFEF7FC3-B28D-4330-A444-ACE0546C4F7A}" destId="{0E82CCCF-D191-464B-B317-DEC08AFE838F}" srcOrd="1" destOrd="0" presId="urn:microsoft.com/office/officeart/2005/8/layout/hierarchy6"/>
    <dgm:cxn modelId="{EB6E88BC-CD63-494D-9055-D2314F87DA6E}" type="presParOf" srcId="{D8BD8CE4-15F7-4CC3-954F-D28B35B8E9E6}" destId="{F1EA8478-A116-4214-A14E-5B41EDBFD5C8}" srcOrd="2" destOrd="0" presId="urn:microsoft.com/office/officeart/2005/8/layout/hierarchy6"/>
    <dgm:cxn modelId="{38D0A217-6425-4BB7-88C9-087B40EA06D2}" type="presParOf" srcId="{D8BD8CE4-15F7-4CC3-954F-D28B35B8E9E6}" destId="{ACEB2D9F-563E-4EAC-9276-8D2722AD21B2}" srcOrd="3" destOrd="0" presId="urn:microsoft.com/office/officeart/2005/8/layout/hierarchy6"/>
    <dgm:cxn modelId="{16E7F43B-18C5-4DBA-A425-52FE4A897807}" type="presParOf" srcId="{ACEB2D9F-563E-4EAC-9276-8D2722AD21B2}" destId="{8188BC80-7BDC-4E5E-A4CC-1FF98190F510}" srcOrd="0" destOrd="0" presId="urn:microsoft.com/office/officeart/2005/8/layout/hierarchy6"/>
    <dgm:cxn modelId="{D4ED4F3E-6C98-4EC9-AB93-4A55764BCB1B}" type="presParOf" srcId="{ACEB2D9F-563E-4EAC-9276-8D2722AD21B2}" destId="{514F5B31-6A94-4138-AB2D-F366FE7D9CEE}" srcOrd="1" destOrd="0" presId="urn:microsoft.com/office/officeart/2005/8/layout/hierarchy6"/>
    <dgm:cxn modelId="{2D87DAC5-A59C-4F00-A031-23DE11B94C1D}" type="presParOf" srcId="{04E8FDB0-519A-4F72-B51C-5C6F4289892A}" destId="{F54C4364-8487-417E-8DF2-16A5163FCD98}" srcOrd="1" destOrd="0" presId="urn:microsoft.com/office/officeart/2005/8/layout/hierarchy6"/>
  </dgm:cxnLst>
  <dgm:bg/>
  <dgm:whole>
    <a:ln w="28575">
      <a:noFill/>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C73A7A-C72E-4FA3-A56D-3CBD0BF87202}">
      <dsp:nvSpPr>
        <dsp:cNvPr id="0" name=""/>
        <dsp:cNvSpPr/>
      </dsp:nvSpPr>
      <dsp:spPr>
        <a:xfrm>
          <a:off x="2893585" y="280667"/>
          <a:ext cx="2078347" cy="1014122"/>
        </a:xfrm>
        <a:prstGeom prst="roundRect">
          <a:avLst>
            <a:gd name="adj" fmla="val 10000"/>
          </a:avLst>
        </a:prstGeom>
        <a:solidFill>
          <a:schemeClr val="lt1">
            <a:hueOff val="0"/>
            <a:satOff val="0"/>
            <a:lumOff val="0"/>
            <a:alphaOff val="0"/>
          </a:schemeClr>
        </a:solidFill>
        <a:ln w="1905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Segoe UI" panose="020B0502040204020203" pitchFamily="34" charset="0"/>
              <a:cs typeface="Segoe UI" panose="020B0502040204020203" pitchFamily="34" charset="0"/>
            </a:rPr>
            <a:t>Endometriosis suspected</a:t>
          </a:r>
        </a:p>
        <a:p>
          <a:pPr marL="0" lvl="0" indent="0" algn="ctr" defTabSz="488950">
            <a:lnSpc>
              <a:spcPct val="90000"/>
            </a:lnSpc>
            <a:spcBef>
              <a:spcPct val="0"/>
            </a:spcBef>
            <a:spcAft>
              <a:spcPct val="35000"/>
            </a:spcAft>
            <a:buNone/>
          </a:pPr>
          <a:r>
            <a:rPr lang="en-US" sz="1100" kern="1200">
              <a:latin typeface="Segoe UI" panose="020B0502040204020203" pitchFamily="34" charset="0"/>
              <a:cs typeface="Segoe UI" panose="020B0502040204020203" pitchFamily="34" charset="0"/>
            </a:rPr>
            <a:t>Suggest hormonal therapy</a:t>
          </a:r>
        </a:p>
      </dsp:txBody>
      <dsp:txXfrm>
        <a:off x="2923288" y="310370"/>
        <a:ext cx="2018941" cy="954716"/>
      </dsp:txXfrm>
    </dsp:sp>
    <dsp:sp modelId="{B4FC5C68-EC3B-4E3F-8B9E-4AD70D1F98E8}">
      <dsp:nvSpPr>
        <dsp:cNvPr id="0" name=""/>
        <dsp:cNvSpPr/>
      </dsp:nvSpPr>
      <dsp:spPr>
        <a:xfrm>
          <a:off x="2581833" y="1294790"/>
          <a:ext cx="1350925" cy="554226"/>
        </a:xfrm>
        <a:custGeom>
          <a:avLst/>
          <a:gdLst/>
          <a:ahLst/>
          <a:cxnLst/>
          <a:rect l="0" t="0" r="0" b="0"/>
          <a:pathLst>
            <a:path>
              <a:moveTo>
                <a:pt x="1350925" y="0"/>
              </a:moveTo>
              <a:lnTo>
                <a:pt x="1350925" y="277113"/>
              </a:lnTo>
              <a:lnTo>
                <a:pt x="0" y="277113"/>
              </a:lnTo>
              <a:lnTo>
                <a:pt x="0" y="554226"/>
              </a:lnTo>
            </a:path>
          </a:pathLst>
        </a:custGeom>
        <a:noFill/>
        <a:ln w="1905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308FC412-8DFD-4A99-8114-385533695C0F}">
      <dsp:nvSpPr>
        <dsp:cNvPr id="0" name=""/>
        <dsp:cNvSpPr/>
      </dsp:nvSpPr>
      <dsp:spPr>
        <a:xfrm>
          <a:off x="1542659" y="1849016"/>
          <a:ext cx="2078347" cy="1471400"/>
        </a:xfrm>
        <a:prstGeom prst="roundRect">
          <a:avLst>
            <a:gd name="adj" fmla="val 10000"/>
          </a:avLst>
        </a:prstGeom>
        <a:solidFill>
          <a:schemeClr val="lt1">
            <a:hueOff val="0"/>
            <a:satOff val="0"/>
            <a:lumOff val="0"/>
            <a:alphaOff val="0"/>
          </a:schemeClr>
        </a:solidFill>
        <a:ln w="1905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0000"/>
              </a:solidFill>
              <a:latin typeface="Segoe UI" panose="020B0502040204020203" pitchFamily="34" charset="0"/>
              <a:cs typeface="Segoe UI" panose="020B0502040204020203" pitchFamily="34" charset="0"/>
            </a:rPr>
            <a:t>Recommended first-line management</a:t>
          </a:r>
        </a:p>
        <a:p>
          <a:pPr marL="0" lvl="0" indent="0" algn="ctr" defTabSz="488950">
            <a:lnSpc>
              <a:spcPct val="90000"/>
            </a:lnSpc>
            <a:spcBef>
              <a:spcPct val="0"/>
            </a:spcBef>
            <a:spcAft>
              <a:spcPct val="35000"/>
            </a:spcAft>
            <a:buNone/>
          </a:pPr>
          <a:r>
            <a:rPr lang="en-US" sz="1050" kern="1200">
              <a:latin typeface="Segoe UI" panose="020B0502040204020203" pitchFamily="34" charset="0"/>
              <a:cs typeface="Segoe UI" panose="020B0502040204020203" pitchFamily="34" charset="0"/>
            </a:rPr>
            <a:t>Start progestin therapy to inhibit ovulation and produce amenorrhoea / oligomenorrhoea</a:t>
          </a:r>
          <a:r>
            <a:rPr lang="en-US" sz="1000" kern="1200">
              <a:latin typeface="Segoe UI" panose="020B0502040204020203" pitchFamily="34" charset="0"/>
              <a:cs typeface="Segoe UI" panose="020B0502040204020203" pitchFamily="34" charset="0"/>
            </a:rPr>
            <a:t> </a:t>
          </a:r>
        </a:p>
      </dsp:txBody>
      <dsp:txXfrm>
        <a:off x="1585755" y="1892112"/>
        <a:ext cx="1992155" cy="1385208"/>
      </dsp:txXfrm>
    </dsp:sp>
    <dsp:sp modelId="{D5B3155D-9047-4AE6-A4F6-F75F397BB83B}">
      <dsp:nvSpPr>
        <dsp:cNvPr id="0" name=""/>
        <dsp:cNvSpPr/>
      </dsp:nvSpPr>
      <dsp:spPr>
        <a:xfrm>
          <a:off x="1201207" y="3320417"/>
          <a:ext cx="1380625" cy="554226"/>
        </a:xfrm>
        <a:custGeom>
          <a:avLst/>
          <a:gdLst/>
          <a:ahLst/>
          <a:cxnLst/>
          <a:rect l="0" t="0" r="0" b="0"/>
          <a:pathLst>
            <a:path>
              <a:moveTo>
                <a:pt x="1380625" y="0"/>
              </a:moveTo>
              <a:lnTo>
                <a:pt x="1380625" y="277113"/>
              </a:lnTo>
              <a:lnTo>
                <a:pt x="0" y="277113"/>
              </a:lnTo>
              <a:lnTo>
                <a:pt x="0" y="554226"/>
              </a:lnTo>
            </a:path>
          </a:pathLst>
        </a:custGeom>
        <a:noFill/>
        <a:ln w="1905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83374117-30A0-4056-815B-D04FB0B1EB39}">
      <dsp:nvSpPr>
        <dsp:cNvPr id="0" name=""/>
        <dsp:cNvSpPr/>
      </dsp:nvSpPr>
      <dsp:spPr>
        <a:xfrm>
          <a:off x="1741" y="3874643"/>
          <a:ext cx="2398932" cy="2473663"/>
        </a:xfrm>
        <a:prstGeom prst="roundRect">
          <a:avLst>
            <a:gd name="adj" fmla="val 10000"/>
          </a:avLst>
        </a:prstGeom>
        <a:solidFill>
          <a:schemeClr val="lt1">
            <a:hueOff val="0"/>
            <a:satOff val="0"/>
            <a:lumOff val="0"/>
            <a:alphaOff val="0"/>
          </a:schemeClr>
        </a:solidFill>
        <a:ln w="1905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Segoe UI" panose="020B0502040204020203" pitchFamily="34" charset="0"/>
              <a:cs typeface="Segoe UI" panose="020B0502040204020203" pitchFamily="34" charset="0"/>
            </a:rPr>
            <a:t>Progestins </a:t>
          </a:r>
          <a:r>
            <a:rPr lang="en-US" sz="1100" b="1" i="1" kern="1200">
              <a:solidFill>
                <a:sysClr val="windowText" lastClr="000000"/>
              </a:solidFill>
              <a:latin typeface="Segoe UI" panose="020B0502040204020203" pitchFamily="34" charset="0"/>
              <a:cs typeface="Segoe UI" panose="020B0502040204020203" pitchFamily="34" charset="0"/>
            </a:rPr>
            <a:t>not</a:t>
          </a:r>
          <a:r>
            <a:rPr lang="en-US" sz="1100" kern="1200">
              <a:solidFill>
                <a:sysClr val="windowText" lastClr="000000"/>
              </a:solidFill>
              <a:latin typeface="Segoe UI" panose="020B0502040204020203" pitchFamily="34" charset="0"/>
              <a:cs typeface="Segoe UI" panose="020B0502040204020203" pitchFamily="34" charset="0"/>
            </a:rPr>
            <a:t> </a:t>
          </a:r>
          <a:r>
            <a:rPr lang="en-US" sz="1100" kern="1200">
              <a:latin typeface="Segoe UI" panose="020B0502040204020203" pitchFamily="34" charset="0"/>
              <a:cs typeface="Segoe UI" panose="020B0502040204020203" pitchFamily="34" charset="0"/>
            </a:rPr>
            <a:t>tested or licensed as contraceptives (condoms needed if contraception a requirement)</a:t>
          </a:r>
        </a:p>
        <a:p>
          <a:pPr marL="0" lvl="0" indent="0" algn="ctr" defTabSz="488950">
            <a:lnSpc>
              <a:spcPct val="100000"/>
            </a:lnSpc>
            <a:spcBef>
              <a:spcPct val="0"/>
            </a:spcBef>
            <a:spcAft>
              <a:spcPts val="300"/>
            </a:spcAft>
            <a:buNone/>
          </a:pPr>
          <a:r>
            <a:rPr lang="en-US" sz="900" kern="1200">
              <a:latin typeface="Segoe UI" panose="020B0502040204020203" pitchFamily="34" charset="0"/>
              <a:cs typeface="Segoe UI" panose="020B0502040204020203" pitchFamily="34" charset="0"/>
            </a:rPr>
            <a:t> </a:t>
          </a:r>
          <a:r>
            <a:rPr lang="en-US" sz="900" kern="1200">
              <a:solidFill>
                <a:sysClr val="windowText" lastClr="000000"/>
              </a:solidFill>
              <a:latin typeface="Segoe UI" panose="020B0502040204020203" pitchFamily="34" charset="0"/>
              <a:cs typeface="Segoe UI" panose="020B0502040204020203" pitchFamily="34" charset="0"/>
            </a:rPr>
            <a:t>  </a:t>
          </a:r>
          <a:r>
            <a:rPr lang="en-NZ" sz="900" kern="1200">
              <a:solidFill>
                <a:sysClr val="windowText" lastClr="000000"/>
              </a:solidFill>
              <a:latin typeface="Segoe UI" panose="020B0502040204020203" pitchFamily="34" charset="0"/>
              <a:cs typeface="Segoe UI" panose="020B0502040204020203" pitchFamily="34" charset="0"/>
            </a:rPr>
            <a:t>Dienogest (Visanne) 2 mg od</a:t>
          </a:r>
        </a:p>
        <a:p>
          <a:pPr marL="0" lvl="0" indent="0" algn="ctr" defTabSz="488950">
            <a:lnSpc>
              <a:spcPct val="100000"/>
            </a:lnSpc>
            <a:spcBef>
              <a:spcPct val="0"/>
            </a:spcBef>
            <a:spcAft>
              <a:spcPts val="300"/>
            </a:spcAft>
            <a:buNone/>
          </a:pPr>
          <a:r>
            <a:rPr lang="en-NZ" sz="900" kern="1200">
              <a:solidFill>
                <a:sysClr val="windowText" lastClr="000000"/>
              </a:solidFill>
              <a:latin typeface="Segoe UI" panose="020B0502040204020203" pitchFamily="34" charset="0"/>
              <a:cs typeface="Segoe UI" panose="020B0502040204020203" pitchFamily="34" charset="0"/>
            </a:rPr>
            <a:t>Medroxyprogesterone acetate (Provera) 10 mg od </a:t>
          </a:r>
        </a:p>
        <a:p>
          <a:pPr marL="0" lvl="0" indent="0" algn="ctr" defTabSz="488950">
            <a:lnSpc>
              <a:spcPct val="100000"/>
            </a:lnSpc>
            <a:spcBef>
              <a:spcPct val="0"/>
            </a:spcBef>
            <a:spcAft>
              <a:spcPts val="300"/>
            </a:spcAft>
            <a:buNone/>
          </a:pPr>
          <a:r>
            <a:rPr lang="en-NZ" sz="900" kern="1200">
              <a:solidFill>
                <a:sysClr val="windowText" lastClr="000000"/>
              </a:solidFill>
              <a:latin typeface="Segoe UI" panose="020B0502040204020203" pitchFamily="34" charset="0"/>
              <a:cs typeface="Segoe UI" panose="020B0502040204020203" pitchFamily="34" charset="0"/>
            </a:rPr>
            <a:t>Norethisterone (Primolut) 5 mg od</a:t>
          </a:r>
        </a:p>
        <a:p>
          <a:pPr marL="0" lvl="0" indent="0" algn="ctr" defTabSz="488950">
            <a:lnSpc>
              <a:spcPct val="100000"/>
            </a:lnSpc>
            <a:spcBef>
              <a:spcPct val="0"/>
            </a:spcBef>
            <a:spcAft>
              <a:spcPts val="300"/>
            </a:spcAft>
            <a:buNone/>
          </a:pPr>
          <a:r>
            <a:rPr lang="en-NZ" sz="900" kern="1200">
              <a:solidFill>
                <a:sysClr val="windowText" lastClr="000000"/>
              </a:solidFill>
              <a:latin typeface="Segoe UI" panose="020B0502040204020203" pitchFamily="34" charset="0"/>
              <a:cs typeface="Segoe UI" panose="020B0502040204020203" pitchFamily="34" charset="0"/>
            </a:rPr>
            <a:t>Cyproterone acetate 50 mg od</a:t>
          </a:r>
        </a:p>
      </dsp:txBody>
      <dsp:txXfrm>
        <a:off x="72003" y="3944905"/>
        <a:ext cx="2258408" cy="2333139"/>
      </dsp:txXfrm>
    </dsp:sp>
    <dsp:sp modelId="{45F6AB5A-8B06-4BF2-B9BD-034D23A4B4E9}">
      <dsp:nvSpPr>
        <dsp:cNvPr id="0" name=""/>
        <dsp:cNvSpPr/>
      </dsp:nvSpPr>
      <dsp:spPr>
        <a:xfrm>
          <a:off x="2581833" y="3320417"/>
          <a:ext cx="1511218" cy="554226"/>
        </a:xfrm>
        <a:custGeom>
          <a:avLst/>
          <a:gdLst/>
          <a:ahLst/>
          <a:cxnLst/>
          <a:rect l="0" t="0" r="0" b="0"/>
          <a:pathLst>
            <a:path>
              <a:moveTo>
                <a:pt x="0" y="0"/>
              </a:moveTo>
              <a:lnTo>
                <a:pt x="0" y="277113"/>
              </a:lnTo>
              <a:lnTo>
                <a:pt x="1511218" y="277113"/>
              </a:lnTo>
              <a:lnTo>
                <a:pt x="1511218" y="554226"/>
              </a:lnTo>
            </a:path>
          </a:pathLst>
        </a:custGeom>
        <a:noFill/>
        <a:ln w="1905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FEE42355-BCCF-4894-9F76-525764E7B60C}">
      <dsp:nvSpPr>
        <dsp:cNvPr id="0" name=""/>
        <dsp:cNvSpPr/>
      </dsp:nvSpPr>
      <dsp:spPr>
        <a:xfrm>
          <a:off x="3024178" y="3874643"/>
          <a:ext cx="2137746" cy="2437499"/>
        </a:xfrm>
        <a:prstGeom prst="roundRect">
          <a:avLst>
            <a:gd name="adj" fmla="val 10000"/>
          </a:avLst>
        </a:prstGeom>
        <a:solidFill>
          <a:schemeClr val="lt1">
            <a:hueOff val="0"/>
            <a:satOff val="0"/>
            <a:lumOff val="0"/>
            <a:alphaOff val="0"/>
          </a:schemeClr>
        </a:solidFill>
        <a:ln w="1905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US" sz="1000" kern="1200">
              <a:latin typeface="Segoe UI" panose="020B0502040204020203" pitchFamily="34" charset="0"/>
              <a:cs typeface="Segoe UI" panose="020B0502040204020203" pitchFamily="34" charset="0"/>
            </a:rPr>
            <a:t>Progestins licensed as contraceptives </a:t>
          </a:r>
        </a:p>
        <a:p>
          <a:pPr marL="0" lvl="0" indent="0" algn="ctr" defTabSz="444500">
            <a:lnSpc>
              <a:spcPct val="90000"/>
            </a:lnSpc>
            <a:spcBef>
              <a:spcPct val="0"/>
            </a:spcBef>
            <a:spcAft>
              <a:spcPts val="400"/>
            </a:spcAft>
            <a:buNone/>
          </a:pPr>
          <a:r>
            <a:rPr lang="en-US" sz="1000" kern="1200">
              <a:latin typeface="Segoe UI" panose="020B0502040204020203" pitchFamily="34" charset="0"/>
              <a:cs typeface="Segoe UI" panose="020B0502040204020203" pitchFamily="34" charset="0"/>
            </a:rPr>
            <a:t>(contraceptive efficacy equal or greater than COCPs)</a:t>
          </a:r>
        </a:p>
        <a:p>
          <a:pPr marL="0" lvl="0" indent="0" algn="ctr" defTabSz="444500">
            <a:lnSpc>
              <a:spcPct val="100000"/>
            </a:lnSpc>
            <a:spcBef>
              <a:spcPct val="0"/>
            </a:spcBef>
            <a:spcAft>
              <a:spcPts val="300"/>
            </a:spcAft>
            <a:buNone/>
          </a:pPr>
          <a:r>
            <a:rPr lang="en-US" sz="900" kern="1200">
              <a:solidFill>
                <a:sysClr val="windowText" lastClr="000000"/>
              </a:solidFill>
              <a:latin typeface="Segoe UI" panose="020B0502040204020203" pitchFamily="34" charset="0"/>
              <a:cs typeface="Segoe UI" panose="020B0502040204020203" pitchFamily="34" charset="0"/>
            </a:rPr>
            <a:t>Desogestrel (Cerazette) 75 ug od </a:t>
          </a:r>
          <a:endParaRPr lang="en-NZ" sz="900" kern="1200">
            <a:solidFill>
              <a:sysClr val="windowText" lastClr="000000"/>
            </a:solidFill>
            <a:latin typeface="Segoe UI" panose="020B0502040204020203" pitchFamily="34" charset="0"/>
            <a:cs typeface="Segoe UI" panose="020B0502040204020203" pitchFamily="34" charset="0"/>
          </a:endParaRPr>
        </a:p>
        <a:p>
          <a:pPr marL="0" lvl="0" indent="0" algn="ctr" defTabSz="444500">
            <a:lnSpc>
              <a:spcPct val="100000"/>
            </a:lnSpc>
            <a:spcBef>
              <a:spcPct val="0"/>
            </a:spcBef>
            <a:spcAft>
              <a:spcPts val="300"/>
            </a:spcAft>
            <a:buNone/>
          </a:pPr>
          <a:r>
            <a:rPr lang="en-US" sz="900" kern="1200">
              <a:solidFill>
                <a:sysClr val="windowText" lastClr="000000"/>
              </a:solidFill>
              <a:latin typeface="Segoe UI" panose="020B0502040204020203" pitchFamily="34" charset="0"/>
              <a:cs typeface="Segoe UI" panose="020B0502040204020203" pitchFamily="34" charset="0"/>
            </a:rPr>
            <a:t>Medroxyprogesterone acetate (Depo-Provera) 150 mg, three monthly</a:t>
          </a:r>
          <a:endParaRPr lang="en-NZ" sz="900" kern="1200">
            <a:solidFill>
              <a:sysClr val="windowText" lastClr="000000"/>
            </a:solidFill>
            <a:latin typeface="Segoe UI" panose="020B0502040204020203" pitchFamily="34" charset="0"/>
            <a:cs typeface="Segoe UI" panose="020B0502040204020203" pitchFamily="34" charset="0"/>
          </a:endParaRPr>
        </a:p>
        <a:p>
          <a:pPr marL="0" lvl="0" indent="0" algn="ctr" defTabSz="444500">
            <a:lnSpc>
              <a:spcPct val="100000"/>
            </a:lnSpc>
            <a:spcBef>
              <a:spcPct val="0"/>
            </a:spcBef>
            <a:spcAft>
              <a:spcPts val="300"/>
            </a:spcAft>
            <a:buNone/>
          </a:pPr>
          <a:r>
            <a:rPr lang="en-US" sz="900" kern="1200">
              <a:solidFill>
                <a:sysClr val="windowText" lastClr="000000"/>
              </a:solidFill>
              <a:latin typeface="Segoe UI" panose="020B0502040204020203" pitchFamily="34" charset="0"/>
              <a:cs typeface="Segoe UI" panose="020B0502040204020203" pitchFamily="34" charset="0"/>
            </a:rPr>
            <a:t>Levonorgestrel intrauterine contraceptive devices (Mirena, Jaydess) </a:t>
          </a:r>
          <a:endParaRPr lang="en-NZ" sz="900" kern="1200">
            <a:solidFill>
              <a:sysClr val="windowText" lastClr="000000"/>
            </a:solidFill>
            <a:latin typeface="Segoe UI" panose="020B0502040204020203" pitchFamily="34" charset="0"/>
            <a:cs typeface="Segoe UI" panose="020B0502040204020203" pitchFamily="34" charset="0"/>
          </a:endParaRPr>
        </a:p>
        <a:p>
          <a:pPr marL="0" lvl="0" indent="0" algn="ctr" defTabSz="444500">
            <a:lnSpc>
              <a:spcPct val="100000"/>
            </a:lnSpc>
            <a:spcBef>
              <a:spcPct val="0"/>
            </a:spcBef>
            <a:spcAft>
              <a:spcPts val="300"/>
            </a:spcAft>
            <a:buNone/>
          </a:pPr>
          <a:r>
            <a:rPr lang="en-US" sz="900" kern="1200">
              <a:solidFill>
                <a:sysClr val="windowText" lastClr="000000"/>
              </a:solidFill>
              <a:latin typeface="Segoe UI" panose="020B0502040204020203" pitchFamily="34" charset="0"/>
              <a:cs typeface="Segoe UI" panose="020B0502040204020203" pitchFamily="34" charset="0"/>
            </a:rPr>
            <a:t>Levonorgestrel subcutaneous implant (Jadelle) 2x75 mg implants</a:t>
          </a:r>
          <a:endParaRPr lang="en-NZ" sz="900" kern="1200">
            <a:solidFill>
              <a:sysClr val="windowText" lastClr="000000"/>
            </a:solidFill>
            <a:latin typeface="Segoe UI" panose="020B0502040204020203" pitchFamily="34" charset="0"/>
            <a:cs typeface="Segoe UI" panose="020B0502040204020203" pitchFamily="34" charset="0"/>
          </a:endParaRPr>
        </a:p>
        <a:p>
          <a:pPr marL="0" lvl="0" indent="0" algn="ctr" defTabSz="444500">
            <a:lnSpc>
              <a:spcPct val="100000"/>
            </a:lnSpc>
            <a:spcBef>
              <a:spcPct val="0"/>
            </a:spcBef>
            <a:spcAft>
              <a:spcPts val="300"/>
            </a:spcAft>
            <a:buNone/>
          </a:pPr>
          <a:r>
            <a:rPr lang="en-US" sz="900" kern="1200">
              <a:solidFill>
                <a:sysClr val="windowText" lastClr="000000"/>
              </a:solidFill>
              <a:latin typeface="Segoe UI" panose="020B0502040204020203" pitchFamily="34" charset="0"/>
              <a:cs typeface="Segoe UI" panose="020B0502040204020203" pitchFamily="34" charset="0"/>
            </a:rPr>
            <a:t>Etonogestrel subcutaneous implant (Implanon) 68 mg rod</a:t>
          </a:r>
        </a:p>
      </dsp:txBody>
      <dsp:txXfrm>
        <a:off x="3086790" y="3937255"/>
        <a:ext cx="2012522" cy="2312275"/>
      </dsp:txXfrm>
    </dsp:sp>
    <dsp:sp modelId="{F1EA8478-A116-4214-A14E-5B41EDBFD5C8}">
      <dsp:nvSpPr>
        <dsp:cNvPr id="0" name=""/>
        <dsp:cNvSpPr/>
      </dsp:nvSpPr>
      <dsp:spPr>
        <a:xfrm>
          <a:off x="3932759" y="1294790"/>
          <a:ext cx="1350925" cy="554226"/>
        </a:xfrm>
        <a:custGeom>
          <a:avLst/>
          <a:gdLst/>
          <a:ahLst/>
          <a:cxnLst/>
          <a:rect l="0" t="0" r="0" b="0"/>
          <a:pathLst>
            <a:path>
              <a:moveTo>
                <a:pt x="0" y="0"/>
              </a:moveTo>
              <a:lnTo>
                <a:pt x="0" y="277113"/>
              </a:lnTo>
              <a:lnTo>
                <a:pt x="1350925" y="277113"/>
              </a:lnTo>
              <a:lnTo>
                <a:pt x="1350925" y="554226"/>
              </a:lnTo>
            </a:path>
          </a:pathLst>
        </a:custGeom>
        <a:noFill/>
        <a:ln w="1905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8188BC80-7BDC-4E5E-A4CC-1FF98190F510}">
      <dsp:nvSpPr>
        <dsp:cNvPr id="0" name=""/>
        <dsp:cNvSpPr/>
      </dsp:nvSpPr>
      <dsp:spPr>
        <a:xfrm>
          <a:off x="4244511" y="1849016"/>
          <a:ext cx="2078347" cy="1501994"/>
        </a:xfrm>
        <a:prstGeom prst="roundRect">
          <a:avLst>
            <a:gd name="adj" fmla="val 10000"/>
          </a:avLst>
        </a:prstGeom>
        <a:solidFill>
          <a:schemeClr val="lt1">
            <a:hueOff val="0"/>
            <a:satOff val="0"/>
            <a:lumOff val="0"/>
            <a:alphaOff val="0"/>
          </a:schemeClr>
        </a:solidFill>
        <a:ln w="1905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0070C0"/>
              </a:solidFill>
              <a:latin typeface="Segoe UI" panose="020B0502040204020203" pitchFamily="34" charset="0"/>
              <a:cs typeface="Segoe UI" panose="020B0502040204020203" pitchFamily="34" charset="0"/>
            </a:rPr>
            <a:t>Alternative first-line management </a:t>
          </a:r>
        </a:p>
        <a:p>
          <a:pPr marL="0" lvl="0" indent="0" algn="ctr" defTabSz="488950">
            <a:lnSpc>
              <a:spcPct val="90000"/>
            </a:lnSpc>
            <a:spcBef>
              <a:spcPct val="0"/>
            </a:spcBef>
            <a:spcAft>
              <a:spcPct val="35000"/>
            </a:spcAft>
            <a:buNone/>
          </a:pPr>
          <a:r>
            <a:rPr lang="en-US" sz="1100" kern="1200">
              <a:latin typeface="Segoe UI" panose="020B0502040204020203" pitchFamily="34" charset="0"/>
              <a:cs typeface="Segoe UI" panose="020B0502040204020203" pitchFamily="34" charset="0"/>
            </a:rPr>
            <a:t> Consider COCPs preparations if progestin therapy proves unsuitable or if patient preference</a:t>
          </a:r>
        </a:p>
      </dsp:txBody>
      <dsp:txXfrm>
        <a:off x="4288503" y="1893008"/>
        <a:ext cx="1990363" cy="14140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78fb08c3f9ed1acfc8b60216ee3b6090">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ff2e8f7da96e48ed77233c9bd7f181d7"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5F87-B1D0-4830-9696-8E50D03992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F139301-DAE1-4C93-9DC1-332DF22C216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aea5d07-0eb0-44bf-96eb-22637babf967"/>
    <ds:schemaRef ds:uri="http://purl.org/dc/terms/"/>
    <ds:schemaRef ds:uri="http://schemas.openxmlformats.org/package/2006/metadata/core-properties"/>
    <ds:schemaRef ds:uri="2ffa5dc2-4451-4ee2-b115-33f870a805e6"/>
    <ds:schemaRef ds:uri="http://www.w3.org/XML/1998/namespace"/>
    <ds:schemaRef ds:uri="http://purl.org/dc/dcmitype/"/>
  </ds:schemaRefs>
</ds:datastoreItem>
</file>

<file path=customXml/itemProps3.xml><?xml version="1.0" encoding="utf-8"?>
<ds:datastoreItem xmlns:ds="http://schemas.openxmlformats.org/officeDocument/2006/customXml" ds:itemID="{0746490F-7556-4C39-9BC6-263D230D50EC}">
  <ds:schemaRefs>
    <ds:schemaRef ds:uri="http://schemas.microsoft.com/sharepoint/v3/contenttype/forms"/>
  </ds:schemaRefs>
</ds:datastoreItem>
</file>

<file path=customXml/itemProps4.xml><?xml version="1.0" encoding="utf-8"?>
<ds:datastoreItem xmlns:ds="http://schemas.openxmlformats.org/officeDocument/2006/customXml" ds:itemID="{45D554C8-D083-4E57-A7F7-7A46D184D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C566F0-7583-4F3E-B9D9-38FCD8F9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17</Pages>
  <Words>3205</Words>
  <Characters>20327</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Diagnosis and Management of Endometriosis in New Zealand</vt:lpstr>
    </vt:vector>
  </TitlesOfParts>
  <Company>Microsoft</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Diagnosis and Management of Endometriosis in New Zealand</dc:title>
  <dc:creator>Ministry of Health</dc:creator>
  <cp:lastModifiedBy>Geneva Ruppert-Wise</cp:lastModifiedBy>
  <cp:revision>3</cp:revision>
  <cp:lastPrinted>2021-04-19T03:41:00Z</cp:lastPrinted>
  <dcterms:created xsi:type="dcterms:W3CDTF">2021-04-19T03:41:00Z</dcterms:created>
  <dcterms:modified xsi:type="dcterms:W3CDTF">2021-04-19T03:41:00Z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0d67cb6f-adab-4b26-9a6d-f7cc3ceb9c88</vt:lpwstr>
  </property>
  <property fmtid="{D5CDD505-2E9C-101B-9397-08002B2CF9AE}" pid="3" name="bjSaver">
    <vt:lpwstr>krTTd/tCey+WOl9ytoYuTtzpNMvhn08I</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0x010100FA4F869651CBED4AB058FE7F9F3ED0A7</vt:lpwstr>
  </property>
</Properties>
</file>