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8BE5" w14:textId="76E30ECC" w:rsidR="0070033B" w:rsidRPr="00B62210" w:rsidRDefault="00991563" w:rsidP="004842AB">
      <w:pPr>
        <w:spacing w:after="240" w:line="240" w:lineRule="auto"/>
        <w:jc w:val="both"/>
        <w:rPr>
          <w:rFonts w:ascii="Arial" w:hAnsi="Arial" w:cs="Arial"/>
          <w:sz w:val="23"/>
          <w:szCs w:val="23"/>
        </w:rPr>
      </w:pPr>
      <w:r w:rsidRPr="00B62210">
        <w:rPr>
          <w:rFonts w:ascii="Arial" w:hAnsi="Arial" w:cs="Arial"/>
          <w:sz w:val="23"/>
          <w:szCs w:val="23"/>
        </w:rPr>
        <w:t>In Confidence</w:t>
      </w:r>
      <w:bookmarkStart w:id="0" w:name="_GoBack"/>
      <w:bookmarkEnd w:id="0"/>
    </w:p>
    <w:p w14:paraId="4D0F2909" w14:textId="40D3CA9D" w:rsidR="00354F15" w:rsidRPr="00B62210" w:rsidRDefault="005E771C" w:rsidP="004842AB">
      <w:pPr>
        <w:spacing w:after="240" w:line="240" w:lineRule="auto"/>
        <w:jc w:val="both"/>
        <w:rPr>
          <w:rFonts w:ascii="Arial" w:hAnsi="Arial" w:cs="Arial"/>
          <w:sz w:val="23"/>
          <w:szCs w:val="23"/>
        </w:rPr>
      </w:pPr>
      <w:r w:rsidRPr="00B62210">
        <w:rPr>
          <w:rFonts w:ascii="Arial" w:hAnsi="Arial" w:cs="Arial"/>
          <w:sz w:val="23"/>
          <w:szCs w:val="23"/>
        </w:rPr>
        <w:t>Office of the</w:t>
      </w:r>
      <w:r w:rsidR="007873F8">
        <w:rPr>
          <w:rFonts w:ascii="Arial" w:hAnsi="Arial" w:cs="Arial"/>
          <w:sz w:val="23"/>
          <w:szCs w:val="23"/>
        </w:rPr>
        <w:t xml:space="preserve"> Associate</w:t>
      </w:r>
      <w:r w:rsidRPr="00B62210">
        <w:rPr>
          <w:rFonts w:ascii="Arial" w:hAnsi="Arial" w:cs="Arial"/>
          <w:sz w:val="23"/>
          <w:szCs w:val="23"/>
        </w:rPr>
        <w:t xml:space="preserve"> Minister </w:t>
      </w:r>
      <w:r w:rsidR="00991563" w:rsidRPr="00B62210">
        <w:rPr>
          <w:rFonts w:ascii="Arial" w:hAnsi="Arial" w:cs="Arial"/>
          <w:sz w:val="23"/>
          <w:szCs w:val="23"/>
        </w:rPr>
        <w:t>of Health</w:t>
      </w:r>
    </w:p>
    <w:p w14:paraId="59A6193B" w14:textId="20422125" w:rsidR="0070033B" w:rsidRPr="00B62210" w:rsidRDefault="0070033B" w:rsidP="004842AB">
      <w:pPr>
        <w:spacing w:after="240" w:line="240" w:lineRule="auto"/>
        <w:jc w:val="both"/>
        <w:rPr>
          <w:rFonts w:ascii="Arial" w:hAnsi="Arial" w:cs="Arial"/>
          <w:sz w:val="23"/>
          <w:szCs w:val="23"/>
        </w:rPr>
      </w:pPr>
      <w:r w:rsidRPr="00B62210">
        <w:rPr>
          <w:rFonts w:ascii="Arial" w:hAnsi="Arial" w:cs="Arial"/>
          <w:sz w:val="23"/>
          <w:szCs w:val="23"/>
        </w:rPr>
        <w:t xml:space="preserve">Chair, Cabinet </w:t>
      </w:r>
      <w:r w:rsidR="006B0497" w:rsidRPr="006B0497">
        <w:rPr>
          <w:rFonts w:ascii="Arial" w:hAnsi="Arial" w:cs="Arial"/>
          <w:sz w:val="23"/>
          <w:szCs w:val="23"/>
        </w:rPr>
        <w:t>Social Wellbeing Committee</w:t>
      </w:r>
    </w:p>
    <w:p w14:paraId="1DA15BAB" w14:textId="20D5D2F7" w:rsidR="00F80368" w:rsidRDefault="00F80368" w:rsidP="00FA5CF2">
      <w:pPr>
        <w:pStyle w:val="Heading1"/>
      </w:pPr>
      <w:r w:rsidRPr="00F80368">
        <w:t xml:space="preserve">Death, </w:t>
      </w:r>
      <w:r w:rsidR="000C7FC6">
        <w:t xml:space="preserve">Funerals, </w:t>
      </w:r>
      <w:r w:rsidR="000C7FC6" w:rsidRPr="00FA5CF2">
        <w:t>Burial</w:t>
      </w:r>
      <w:r w:rsidR="000C7FC6">
        <w:t xml:space="preserve"> and Cremation</w:t>
      </w:r>
      <w:r w:rsidRPr="00F80368">
        <w:t xml:space="preserve"> in New Zealand: </w:t>
      </w:r>
      <w:proofErr w:type="gramStart"/>
      <w:r w:rsidR="000C7FC6">
        <w:t>a</w:t>
      </w:r>
      <w:proofErr w:type="gramEnd"/>
      <w:r w:rsidR="000C7FC6">
        <w:t xml:space="preserve"> </w:t>
      </w:r>
      <w:r w:rsidRPr="00F80368">
        <w:t xml:space="preserve">Review of the Burial and Cremation Act 1964 </w:t>
      </w:r>
      <w:r w:rsidR="000C7FC6">
        <w:t>and Related Legislation</w:t>
      </w:r>
    </w:p>
    <w:p w14:paraId="39CE4730" w14:textId="3AC473F5" w:rsidR="005E771C" w:rsidRPr="00B62210" w:rsidRDefault="0070033B" w:rsidP="00FA5CF2">
      <w:pPr>
        <w:pStyle w:val="Heading2"/>
      </w:pPr>
      <w:r w:rsidRPr="00FA5CF2">
        <w:t>Proposal</w:t>
      </w:r>
      <w:r w:rsidRPr="00B62210">
        <w:t xml:space="preserve"> </w:t>
      </w:r>
    </w:p>
    <w:p w14:paraId="398DE018" w14:textId="19D4C7F7" w:rsidR="004C20F5" w:rsidRDefault="00526703" w:rsidP="00526703">
      <w:pPr>
        <w:pStyle w:val="CabStandard"/>
        <w:numPr>
          <w:ilvl w:val="0"/>
          <w:numId w:val="0"/>
        </w:numPr>
        <w:ind w:left="567" w:hanging="567"/>
        <w:jc w:val="both"/>
        <w:rPr>
          <w:rFonts w:ascii="Arial" w:hAnsi="Arial" w:cs="Arial"/>
          <w:sz w:val="22"/>
          <w:szCs w:val="23"/>
        </w:rPr>
      </w:pPr>
      <w:bookmarkStart w:id="1" w:name="executive-summary"/>
      <w:bookmarkEnd w:id="1"/>
      <w:r>
        <w:rPr>
          <w:rFonts w:ascii="Arial" w:hAnsi="Arial" w:cs="Arial"/>
          <w:sz w:val="22"/>
          <w:szCs w:val="23"/>
        </w:rPr>
        <w:t>1</w:t>
      </w:r>
      <w:r>
        <w:rPr>
          <w:rFonts w:ascii="Arial" w:hAnsi="Arial" w:cs="Arial"/>
          <w:sz w:val="22"/>
          <w:szCs w:val="23"/>
        </w:rPr>
        <w:tab/>
      </w:r>
      <w:r w:rsidR="00795C22" w:rsidRPr="004842AB">
        <w:rPr>
          <w:rFonts w:ascii="Arial" w:hAnsi="Arial" w:cs="Arial"/>
          <w:sz w:val="22"/>
          <w:szCs w:val="23"/>
        </w:rPr>
        <w:t>I</w:t>
      </w:r>
      <w:r w:rsidR="00991563" w:rsidRPr="004842AB">
        <w:rPr>
          <w:rFonts w:ascii="Arial" w:hAnsi="Arial" w:cs="Arial"/>
          <w:sz w:val="22"/>
          <w:szCs w:val="23"/>
        </w:rPr>
        <w:t xml:space="preserve"> seek </w:t>
      </w:r>
      <w:r w:rsidR="005B121F" w:rsidRPr="004842AB">
        <w:rPr>
          <w:rFonts w:ascii="Arial" w:hAnsi="Arial" w:cs="Arial"/>
          <w:sz w:val="22"/>
          <w:szCs w:val="23"/>
        </w:rPr>
        <w:t>Cabinet’s</w:t>
      </w:r>
      <w:r w:rsidR="00991563" w:rsidRPr="004842AB">
        <w:rPr>
          <w:rFonts w:ascii="Arial" w:hAnsi="Arial" w:cs="Arial"/>
          <w:sz w:val="22"/>
          <w:szCs w:val="23"/>
        </w:rPr>
        <w:t xml:space="preserve"> agreement </w:t>
      </w:r>
      <w:r w:rsidR="00034305" w:rsidRPr="004842AB">
        <w:rPr>
          <w:rFonts w:ascii="Arial" w:hAnsi="Arial" w:cs="Arial"/>
          <w:sz w:val="22"/>
          <w:szCs w:val="23"/>
        </w:rPr>
        <w:t>t</w:t>
      </w:r>
      <w:r w:rsidR="00AC1E72" w:rsidRPr="004842AB">
        <w:rPr>
          <w:rFonts w:ascii="Arial" w:hAnsi="Arial" w:cs="Arial"/>
          <w:sz w:val="22"/>
          <w:szCs w:val="23"/>
        </w:rPr>
        <w:t xml:space="preserve">o release </w:t>
      </w:r>
      <w:r w:rsidR="0033762B">
        <w:rPr>
          <w:rFonts w:ascii="Arial" w:hAnsi="Arial" w:cs="Arial"/>
          <w:sz w:val="22"/>
          <w:szCs w:val="23"/>
        </w:rPr>
        <w:t>the attached</w:t>
      </w:r>
      <w:r w:rsidR="00AC1E72" w:rsidRPr="004842AB">
        <w:rPr>
          <w:rFonts w:ascii="Arial" w:hAnsi="Arial" w:cs="Arial"/>
          <w:sz w:val="22"/>
          <w:szCs w:val="23"/>
        </w:rPr>
        <w:t xml:space="preserve"> </w:t>
      </w:r>
      <w:r w:rsidR="007A5C5F">
        <w:rPr>
          <w:rFonts w:ascii="Arial" w:hAnsi="Arial" w:cs="Arial"/>
          <w:sz w:val="22"/>
          <w:szCs w:val="23"/>
        </w:rPr>
        <w:t>consultation document</w:t>
      </w:r>
      <w:r w:rsidR="00AC1E72" w:rsidRPr="004842AB">
        <w:rPr>
          <w:rFonts w:ascii="Arial" w:hAnsi="Arial" w:cs="Arial"/>
          <w:sz w:val="22"/>
          <w:szCs w:val="23"/>
        </w:rPr>
        <w:t xml:space="preserve"> for public consultation on options to </w:t>
      </w:r>
      <w:r w:rsidR="00F80368" w:rsidRPr="004842AB">
        <w:rPr>
          <w:rFonts w:ascii="Arial" w:hAnsi="Arial" w:cs="Arial"/>
          <w:sz w:val="22"/>
          <w:szCs w:val="23"/>
        </w:rPr>
        <w:t>modernise the Burial and Cremation Act 1964 (the Act) and related regulations.</w:t>
      </w:r>
    </w:p>
    <w:p w14:paraId="27013A1E" w14:textId="77777777" w:rsidR="00E039C9" w:rsidRPr="00B62210" w:rsidRDefault="00E039C9" w:rsidP="00FA5CF2">
      <w:pPr>
        <w:pStyle w:val="Heading2"/>
      </w:pPr>
      <w:r w:rsidRPr="00B62210">
        <w:t xml:space="preserve">Executive Summary </w:t>
      </w:r>
    </w:p>
    <w:p w14:paraId="26406BA0" w14:textId="57A09120" w:rsidR="006E283D" w:rsidRDefault="00E039C9" w:rsidP="00B813C1">
      <w:pPr>
        <w:pStyle w:val="CabStandard"/>
        <w:tabs>
          <w:tab w:val="clear" w:pos="720"/>
          <w:tab w:val="num" w:pos="567"/>
        </w:tabs>
        <w:ind w:left="567" w:hanging="567"/>
        <w:jc w:val="both"/>
        <w:rPr>
          <w:rFonts w:ascii="Arial" w:hAnsi="Arial" w:cs="Arial"/>
          <w:sz w:val="22"/>
          <w:szCs w:val="22"/>
        </w:rPr>
      </w:pPr>
      <w:r w:rsidRPr="0029019B">
        <w:rPr>
          <w:rFonts w:ascii="Arial" w:hAnsi="Arial" w:cs="Arial"/>
          <w:sz w:val="22"/>
          <w:szCs w:val="22"/>
        </w:rPr>
        <w:t xml:space="preserve">In 2015, the Law Commission report </w:t>
      </w:r>
      <w:r w:rsidRPr="0029019B">
        <w:rPr>
          <w:rFonts w:ascii="Arial" w:hAnsi="Arial" w:cs="Arial"/>
          <w:i/>
          <w:sz w:val="22"/>
          <w:szCs w:val="22"/>
        </w:rPr>
        <w:t>Death, Burial and Cremat</w:t>
      </w:r>
      <w:r w:rsidR="00B813C1">
        <w:rPr>
          <w:rFonts w:ascii="Arial" w:hAnsi="Arial" w:cs="Arial"/>
          <w:i/>
          <w:sz w:val="22"/>
          <w:szCs w:val="22"/>
        </w:rPr>
        <w:t xml:space="preserve">ion: A New Law for Contemporary </w:t>
      </w:r>
      <w:r w:rsidRPr="0029019B">
        <w:rPr>
          <w:rFonts w:ascii="Arial" w:hAnsi="Arial" w:cs="Arial"/>
          <w:i/>
          <w:sz w:val="22"/>
          <w:szCs w:val="22"/>
        </w:rPr>
        <w:t xml:space="preserve">New Zealand </w:t>
      </w:r>
      <w:r w:rsidRPr="0029019B">
        <w:rPr>
          <w:rFonts w:ascii="Arial" w:hAnsi="Arial" w:cs="Arial"/>
          <w:sz w:val="22"/>
          <w:szCs w:val="22"/>
        </w:rPr>
        <w:t xml:space="preserve">made 127 recommendations to improve the law on death certification, cemeteries and crematoria, the funeral sector and burial decisions. </w:t>
      </w:r>
    </w:p>
    <w:p w14:paraId="751F498B" w14:textId="39FF43F0" w:rsidR="00E039C9" w:rsidRPr="0029019B" w:rsidRDefault="00E039C9" w:rsidP="00B813C1">
      <w:pPr>
        <w:pStyle w:val="CabStandard"/>
        <w:tabs>
          <w:tab w:val="clear" w:pos="720"/>
          <w:tab w:val="num" w:pos="567"/>
        </w:tabs>
        <w:ind w:left="567" w:hanging="567"/>
        <w:jc w:val="both"/>
        <w:rPr>
          <w:rFonts w:ascii="Arial" w:hAnsi="Arial" w:cs="Arial"/>
          <w:sz w:val="22"/>
          <w:szCs w:val="22"/>
        </w:rPr>
      </w:pPr>
      <w:r w:rsidRPr="0029019B">
        <w:rPr>
          <w:rFonts w:ascii="Arial" w:hAnsi="Arial" w:cs="Arial"/>
          <w:sz w:val="22"/>
          <w:szCs w:val="22"/>
        </w:rPr>
        <w:t xml:space="preserve">In </w:t>
      </w:r>
      <w:r w:rsidR="006E283D">
        <w:rPr>
          <w:rFonts w:ascii="Arial" w:hAnsi="Arial" w:cs="Arial"/>
          <w:sz w:val="22"/>
          <w:szCs w:val="22"/>
        </w:rPr>
        <w:t xml:space="preserve">April </w:t>
      </w:r>
      <w:r w:rsidRPr="0029019B">
        <w:rPr>
          <w:rFonts w:ascii="Arial" w:hAnsi="Arial" w:cs="Arial"/>
          <w:sz w:val="22"/>
          <w:szCs w:val="22"/>
        </w:rPr>
        <w:t xml:space="preserve">2016, the Government accepted almost all of the Law Commission’s recommendations but requested that officials undertake further work. In </w:t>
      </w:r>
      <w:r w:rsidR="006E283D">
        <w:rPr>
          <w:rFonts w:ascii="Arial" w:hAnsi="Arial" w:cs="Arial"/>
          <w:sz w:val="22"/>
          <w:szCs w:val="22"/>
        </w:rPr>
        <w:t xml:space="preserve">August </w:t>
      </w:r>
      <w:r w:rsidRPr="0029019B">
        <w:rPr>
          <w:rFonts w:ascii="Arial" w:hAnsi="Arial" w:cs="Arial"/>
          <w:sz w:val="22"/>
          <w:szCs w:val="22"/>
        </w:rPr>
        <w:t xml:space="preserve">2017, the Government also accepted the recommendation of the Māori Affairs Committee’s report, </w:t>
      </w:r>
      <w:r w:rsidRPr="0029019B">
        <w:rPr>
          <w:rFonts w:ascii="Arial" w:hAnsi="Arial" w:cs="Arial"/>
          <w:i/>
          <w:sz w:val="22"/>
          <w:szCs w:val="22"/>
        </w:rPr>
        <w:t xml:space="preserve">Inquiry into </w:t>
      </w:r>
      <w:proofErr w:type="spellStart"/>
      <w:r w:rsidRPr="0029019B">
        <w:rPr>
          <w:rFonts w:ascii="Arial" w:hAnsi="Arial" w:cs="Arial"/>
          <w:i/>
          <w:sz w:val="22"/>
          <w:szCs w:val="22"/>
        </w:rPr>
        <w:t>whānau</w:t>
      </w:r>
      <w:proofErr w:type="spellEnd"/>
      <w:r w:rsidRPr="0029019B">
        <w:rPr>
          <w:rFonts w:ascii="Arial" w:hAnsi="Arial" w:cs="Arial"/>
          <w:i/>
          <w:sz w:val="22"/>
          <w:szCs w:val="22"/>
        </w:rPr>
        <w:t xml:space="preserve"> access to and management of </w:t>
      </w:r>
      <w:proofErr w:type="spellStart"/>
      <w:r w:rsidRPr="0029019B">
        <w:rPr>
          <w:rFonts w:ascii="Arial" w:hAnsi="Arial" w:cs="Arial"/>
          <w:i/>
          <w:sz w:val="22"/>
          <w:szCs w:val="22"/>
        </w:rPr>
        <w:t>tūpāpaku</w:t>
      </w:r>
      <w:proofErr w:type="spellEnd"/>
      <w:r w:rsidRPr="0029019B">
        <w:rPr>
          <w:rFonts w:ascii="Arial" w:hAnsi="Arial" w:cs="Arial"/>
          <w:sz w:val="22"/>
          <w:szCs w:val="22"/>
        </w:rPr>
        <w:t xml:space="preserve">, that the Government consider implementing the recommendations suggested by the Law Commission. </w:t>
      </w:r>
    </w:p>
    <w:p w14:paraId="52932CFC" w14:textId="77777777" w:rsidR="0090113C" w:rsidRDefault="00E039C9" w:rsidP="00B813C1">
      <w:pPr>
        <w:pStyle w:val="CabStandard"/>
        <w:tabs>
          <w:tab w:val="clear" w:pos="720"/>
          <w:tab w:val="num" w:pos="567"/>
        </w:tabs>
        <w:ind w:left="567" w:hanging="578"/>
        <w:jc w:val="both"/>
        <w:rPr>
          <w:rFonts w:ascii="Arial" w:hAnsi="Arial" w:cs="Arial"/>
          <w:sz w:val="22"/>
          <w:szCs w:val="22"/>
        </w:rPr>
      </w:pPr>
      <w:r w:rsidRPr="0090113C">
        <w:rPr>
          <w:rFonts w:ascii="Arial" w:hAnsi="Arial" w:cs="Arial"/>
          <w:sz w:val="22"/>
          <w:szCs w:val="22"/>
        </w:rPr>
        <w:t xml:space="preserve">Officials have </w:t>
      </w:r>
      <w:r w:rsidR="006E283D" w:rsidRPr="0090113C">
        <w:rPr>
          <w:rFonts w:ascii="Arial" w:hAnsi="Arial" w:cs="Arial"/>
          <w:sz w:val="22"/>
          <w:szCs w:val="22"/>
        </w:rPr>
        <w:t>completed</w:t>
      </w:r>
      <w:r w:rsidRPr="0090113C">
        <w:rPr>
          <w:rFonts w:ascii="Arial" w:hAnsi="Arial" w:cs="Arial"/>
          <w:sz w:val="22"/>
          <w:szCs w:val="22"/>
        </w:rPr>
        <w:t xml:space="preserve"> policy work on the issues presented by the Law Commission and </w:t>
      </w:r>
      <w:r w:rsidR="006E283D" w:rsidRPr="0090113C">
        <w:rPr>
          <w:rFonts w:ascii="Arial" w:hAnsi="Arial" w:cs="Arial"/>
          <w:sz w:val="22"/>
          <w:szCs w:val="22"/>
        </w:rPr>
        <w:t>are seeking Cabinet approval</w:t>
      </w:r>
      <w:r w:rsidRPr="0090113C">
        <w:rPr>
          <w:rFonts w:ascii="Arial" w:hAnsi="Arial" w:cs="Arial"/>
          <w:sz w:val="22"/>
          <w:szCs w:val="22"/>
        </w:rPr>
        <w:t xml:space="preserve"> to </w:t>
      </w:r>
      <w:r w:rsidR="006E283D" w:rsidRPr="0090113C">
        <w:rPr>
          <w:rFonts w:ascii="Arial" w:hAnsi="Arial" w:cs="Arial"/>
          <w:sz w:val="22"/>
          <w:szCs w:val="22"/>
        </w:rPr>
        <w:t xml:space="preserve">release the attached public consultation document </w:t>
      </w:r>
      <w:r w:rsidRPr="0090113C">
        <w:rPr>
          <w:rFonts w:ascii="Arial" w:hAnsi="Arial" w:cs="Arial"/>
          <w:sz w:val="22"/>
          <w:szCs w:val="22"/>
        </w:rPr>
        <w:t>on options to modernise the law relating to death, burial, cremation and funerals in New Zealand</w:t>
      </w:r>
      <w:r w:rsidR="006E283D" w:rsidRPr="0090113C">
        <w:rPr>
          <w:rFonts w:ascii="Arial" w:hAnsi="Arial" w:cs="Arial"/>
          <w:sz w:val="22"/>
          <w:szCs w:val="22"/>
        </w:rPr>
        <w:t>.</w:t>
      </w:r>
      <w:r w:rsidR="0090113C">
        <w:rPr>
          <w:rFonts w:ascii="Arial" w:hAnsi="Arial" w:cs="Arial"/>
          <w:sz w:val="22"/>
          <w:szCs w:val="22"/>
        </w:rPr>
        <w:t xml:space="preserve"> </w:t>
      </w:r>
    </w:p>
    <w:p w14:paraId="4BE90F56" w14:textId="10DE2675" w:rsidR="00E039C9" w:rsidRPr="0090113C" w:rsidRDefault="00E039C9" w:rsidP="00B813C1">
      <w:pPr>
        <w:pStyle w:val="CabStandard"/>
        <w:tabs>
          <w:tab w:val="clear" w:pos="720"/>
          <w:tab w:val="num" w:pos="567"/>
        </w:tabs>
        <w:ind w:left="567" w:hanging="567"/>
        <w:jc w:val="both"/>
        <w:rPr>
          <w:rFonts w:ascii="Arial" w:hAnsi="Arial" w:cs="Arial"/>
          <w:sz w:val="22"/>
          <w:szCs w:val="22"/>
        </w:rPr>
      </w:pPr>
      <w:r w:rsidRPr="0090113C">
        <w:rPr>
          <w:rFonts w:ascii="Arial" w:hAnsi="Arial" w:cs="Arial"/>
          <w:sz w:val="22"/>
          <w:szCs w:val="22"/>
        </w:rPr>
        <w:t xml:space="preserve">Following public consultation, I will report back to Cabinet with recommendations to modernise the law relating to death certification and auditing, burial and cemetery management, cremation management, new methods of body disposal and the regulation of </w:t>
      </w:r>
      <w:r w:rsidR="005C7DD1">
        <w:rPr>
          <w:rFonts w:ascii="Arial" w:hAnsi="Arial" w:cs="Arial"/>
          <w:sz w:val="22"/>
          <w:szCs w:val="22"/>
        </w:rPr>
        <w:t xml:space="preserve">the </w:t>
      </w:r>
      <w:r w:rsidRPr="0090113C">
        <w:rPr>
          <w:rFonts w:ascii="Arial" w:hAnsi="Arial" w:cs="Arial"/>
          <w:sz w:val="22"/>
          <w:szCs w:val="22"/>
        </w:rPr>
        <w:t>funeral services sector.</w:t>
      </w:r>
    </w:p>
    <w:p w14:paraId="78796235" w14:textId="29BA9E15" w:rsidR="0070033B" w:rsidRPr="004842AB" w:rsidRDefault="0070033B" w:rsidP="00FA5CF2">
      <w:pPr>
        <w:pStyle w:val="Heading2"/>
      </w:pPr>
      <w:r w:rsidRPr="004842AB">
        <w:t xml:space="preserve">Background </w:t>
      </w:r>
    </w:p>
    <w:p w14:paraId="7849962E" w14:textId="7A104982" w:rsidR="001F0CDD" w:rsidRDefault="001F0CDD" w:rsidP="00B813C1">
      <w:pPr>
        <w:pStyle w:val="CabStandard"/>
        <w:tabs>
          <w:tab w:val="clear" w:pos="720"/>
          <w:tab w:val="num" w:pos="567"/>
        </w:tabs>
        <w:ind w:left="567" w:hanging="567"/>
        <w:jc w:val="both"/>
        <w:rPr>
          <w:rFonts w:ascii="Arial" w:hAnsi="Arial" w:cs="Arial"/>
          <w:sz w:val="22"/>
          <w:szCs w:val="22"/>
        </w:rPr>
      </w:pPr>
      <w:r w:rsidRPr="00F62D15">
        <w:rPr>
          <w:rFonts w:ascii="Arial" w:hAnsi="Arial" w:cs="Arial"/>
          <w:sz w:val="22"/>
          <w:szCs w:val="22"/>
        </w:rPr>
        <w:t>In 2015, following a five-year review and consultation</w:t>
      </w:r>
      <w:r>
        <w:rPr>
          <w:rFonts w:ascii="Arial" w:hAnsi="Arial" w:cs="Arial"/>
          <w:sz w:val="22"/>
          <w:szCs w:val="22"/>
        </w:rPr>
        <w:t>,</w:t>
      </w:r>
      <w:r w:rsidRPr="00F62D15">
        <w:rPr>
          <w:rFonts w:ascii="Arial" w:hAnsi="Arial" w:cs="Arial"/>
          <w:sz w:val="22"/>
          <w:szCs w:val="22"/>
        </w:rPr>
        <w:t xml:space="preserve"> the Law Commission released its report </w:t>
      </w:r>
      <w:r w:rsidRPr="00F62D15">
        <w:rPr>
          <w:rFonts w:ascii="Arial" w:hAnsi="Arial" w:cs="Arial"/>
          <w:i/>
          <w:sz w:val="22"/>
          <w:szCs w:val="22"/>
        </w:rPr>
        <w:t xml:space="preserve">Death, Burial and Cremation: A New Law for Contemporary New Zealand </w:t>
      </w:r>
      <w:r w:rsidRPr="00F62D15">
        <w:rPr>
          <w:rFonts w:ascii="Arial" w:hAnsi="Arial" w:cs="Arial"/>
          <w:sz w:val="22"/>
          <w:szCs w:val="22"/>
        </w:rPr>
        <w:t xml:space="preserve">and made 127 recommendations to improve the law on death certification, cemeteries and crematoria, the funeral sector and burial decisions. The </w:t>
      </w:r>
      <w:r w:rsidR="008F0F4C">
        <w:rPr>
          <w:rFonts w:ascii="Arial" w:hAnsi="Arial" w:cs="Arial"/>
          <w:sz w:val="22"/>
          <w:szCs w:val="22"/>
        </w:rPr>
        <w:t xml:space="preserve">Law </w:t>
      </w:r>
      <w:r w:rsidRPr="00F62D15">
        <w:rPr>
          <w:rFonts w:ascii="Arial" w:hAnsi="Arial" w:cs="Arial"/>
          <w:sz w:val="22"/>
          <w:szCs w:val="22"/>
        </w:rPr>
        <w:t xml:space="preserve">Commission found the Act </w:t>
      </w:r>
      <w:r>
        <w:rPr>
          <w:rFonts w:ascii="Arial" w:hAnsi="Arial" w:cs="Arial"/>
          <w:sz w:val="22"/>
          <w:szCs w:val="22"/>
        </w:rPr>
        <w:t>to be</w:t>
      </w:r>
      <w:r w:rsidRPr="00F62D15">
        <w:rPr>
          <w:rFonts w:ascii="Arial" w:hAnsi="Arial" w:cs="Arial"/>
          <w:sz w:val="22"/>
          <w:szCs w:val="22"/>
        </w:rPr>
        <w:t xml:space="preserve"> outdated, overly </w:t>
      </w:r>
      <w:r w:rsidR="00ED7015">
        <w:rPr>
          <w:rFonts w:ascii="Arial" w:hAnsi="Arial" w:cs="Arial"/>
          <w:sz w:val="22"/>
          <w:szCs w:val="22"/>
        </w:rPr>
        <w:t>prescriptive</w:t>
      </w:r>
      <w:r w:rsidR="008F0F4C">
        <w:rPr>
          <w:rFonts w:ascii="Arial" w:hAnsi="Arial" w:cs="Arial"/>
          <w:sz w:val="22"/>
          <w:szCs w:val="22"/>
        </w:rPr>
        <w:t xml:space="preserve">, </w:t>
      </w:r>
      <w:r w:rsidRPr="00F62D15">
        <w:rPr>
          <w:rFonts w:ascii="Arial" w:hAnsi="Arial" w:cs="Arial"/>
          <w:sz w:val="22"/>
          <w:szCs w:val="22"/>
        </w:rPr>
        <w:t>difficult to understand</w:t>
      </w:r>
      <w:r w:rsidR="008F0F4C">
        <w:rPr>
          <w:rFonts w:ascii="Arial" w:hAnsi="Arial" w:cs="Arial"/>
          <w:sz w:val="22"/>
          <w:szCs w:val="22"/>
        </w:rPr>
        <w:t xml:space="preserve">, and </w:t>
      </w:r>
      <w:r w:rsidRPr="00F62D15">
        <w:rPr>
          <w:rFonts w:ascii="Arial" w:hAnsi="Arial" w:cs="Arial"/>
          <w:sz w:val="22"/>
          <w:szCs w:val="22"/>
        </w:rPr>
        <w:t>incompatible with the New Zealand Bill of Rights Act 1990, the Resource Management Act 1991</w:t>
      </w:r>
      <w:r w:rsidR="00C67092">
        <w:rPr>
          <w:rFonts w:ascii="Arial" w:hAnsi="Arial" w:cs="Arial"/>
          <w:sz w:val="22"/>
          <w:szCs w:val="22"/>
        </w:rPr>
        <w:t xml:space="preserve"> (RMA)</w:t>
      </w:r>
      <w:r w:rsidRPr="00F62D15">
        <w:rPr>
          <w:rFonts w:ascii="Arial" w:hAnsi="Arial" w:cs="Arial"/>
          <w:sz w:val="22"/>
          <w:szCs w:val="22"/>
        </w:rPr>
        <w:t xml:space="preserve"> and the Local Government Act 2002</w:t>
      </w:r>
      <w:r>
        <w:rPr>
          <w:rFonts w:ascii="Arial" w:hAnsi="Arial" w:cs="Arial"/>
          <w:sz w:val="22"/>
          <w:szCs w:val="22"/>
        </w:rPr>
        <w:t xml:space="preserve">. </w:t>
      </w:r>
    </w:p>
    <w:p w14:paraId="68DC1451" w14:textId="51826C80" w:rsidR="001F0CDD" w:rsidRPr="001F0CDD" w:rsidRDefault="004842AB" w:rsidP="004545E0">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t>T</w:t>
      </w:r>
      <w:r w:rsidR="00F80368" w:rsidRPr="004842AB">
        <w:rPr>
          <w:rFonts w:ascii="Arial" w:hAnsi="Arial" w:cs="Arial"/>
          <w:sz w:val="22"/>
          <w:szCs w:val="22"/>
        </w:rPr>
        <w:t>he Law Commission recommended a number of reforms, including</w:t>
      </w:r>
      <w:r w:rsidRPr="004842AB">
        <w:rPr>
          <w:rFonts w:ascii="Arial" w:hAnsi="Arial" w:cs="Arial"/>
          <w:sz w:val="22"/>
          <w:szCs w:val="22"/>
        </w:rPr>
        <w:t xml:space="preserve"> r</w:t>
      </w:r>
      <w:r w:rsidR="00F80368" w:rsidRPr="004842AB">
        <w:rPr>
          <w:rFonts w:ascii="Arial" w:hAnsi="Arial" w:cs="Arial"/>
          <w:sz w:val="22"/>
          <w:szCs w:val="22"/>
        </w:rPr>
        <w:t xml:space="preserve">eplacing the </w:t>
      </w:r>
      <w:r w:rsidR="001F0CDD">
        <w:rPr>
          <w:rFonts w:ascii="Arial" w:hAnsi="Arial" w:cs="Arial"/>
          <w:sz w:val="22"/>
          <w:szCs w:val="22"/>
        </w:rPr>
        <w:t>Act</w:t>
      </w:r>
      <w:r w:rsidR="00F80368" w:rsidRPr="004842AB">
        <w:rPr>
          <w:rFonts w:ascii="Arial" w:hAnsi="Arial" w:cs="Arial"/>
          <w:sz w:val="22"/>
          <w:szCs w:val="22"/>
        </w:rPr>
        <w:t xml:space="preserve"> with a new statute for burial, cremation and funerals, to be administered by </w:t>
      </w:r>
      <w:r w:rsidR="001F0CDD" w:rsidRPr="004842AB">
        <w:rPr>
          <w:rFonts w:ascii="Arial" w:hAnsi="Arial" w:cs="Arial"/>
          <w:sz w:val="22"/>
          <w:szCs w:val="22"/>
        </w:rPr>
        <w:t>the Department of Internal Affairs (DIA)</w:t>
      </w:r>
      <w:r w:rsidR="008F0F4C">
        <w:rPr>
          <w:rFonts w:ascii="Arial" w:hAnsi="Arial" w:cs="Arial"/>
          <w:sz w:val="22"/>
          <w:szCs w:val="22"/>
        </w:rPr>
        <w:t xml:space="preserve">. It was also recommended that the </w:t>
      </w:r>
      <w:r>
        <w:rPr>
          <w:rFonts w:ascii="Arial" w:hAnsi="Arial" w:cs="Arial"/>
          <w:sz w:val="22"/>
          <w:szCs w:val="22"/>
        </w:rPr>
        <w:t>Ministry of Health retain</w:t>
      </w:r>
      <w:r w:rsidR="008F0F4C">
        <w:rPr>
          <w:rFonts w:ascii="Arial" w:hAnsi="Arial" w:cs="Arial"/>
          <w:sz w:val="22"/>
          <w:szCs w:val="22"/>
        </w:rPr>
        <w:t xml:space="preserve"> </w:t>
      </w:r>
      <w:r>
        <w:rPr>
          <w:rFonts w:ascii="Arial" w:hAnsi="Arial" w:cs="Arial"/>
          <w:sz w:val="22"/>
          <w:szCs w:val="22"/>
        </w:rPr>
        <w:t xml:space="preserve">responsibility for oversight of the death certification system. </w:t>
      </w:r>
    </w:p>
    <w:p w14:paraId="5E44F6EE" w14:textId="0C4175AB" w:rsidR="00565439" w:rsidRDefault="00F80368" w:rsidP="004545E0">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t>In April 2016, the former Government agreed in principle to almost all of the Law Commission’s recommendations</w:t>
      </w:r>
      <w:r w:rsidR="00565439">
        <w:rPr>
          <w:rFonts w:ascii="Arial" w:hAnsi="Arial" w:cs="Arial"/>
          <w:sz w:val="22"/>
          <w:szCs w:val="22"/>
        </w:rPr>
        <w:t xml:space="preserve">, with some caveats </w:t>
      </w:r>
      <w:r w:rsidR="00B221EC">
        <w:rPr>
          <w:rFonts w:ascii="Arial" w:hAnsi="Arial" w:cs="Arial"/>
          <w:sz w:val="22"/>
          <w:szCs w:val="22"/>
        </w:rPr>
        <w:t xml:space="preserve">[SOC-16-MIN-0040 </w:t>
      </w:r>
      <w:r w:rsidR="00012A0F">
        <w:rPr>
          <w:rFonts w:ascii="Arial" w:hAnsi="Arial" w:cs="Arial"/>
          <w:sz w:val="22"/>
          <w:szCs w:val="22"/>
        </w:rPr>
        <w:t>and CAB-16-MIN-1063 (18 Apr</w:t>
      </w:r>
      <w:r w:rsidR="005C7DD1">
        <w:rPr>
          <w:rFonts w:ascii="Arial" w:hAnsi="Arial" w:cs="Arial"/>
          <w:sz w:val="22"/>
          <w:szCs w:val="22"/>
        </w:rPr>
        <w:t>il</w:t>
      </w:r>
      <w:r w:rsidR="00012A0F">
        <w:rPr>
          <w:rFonts w:ascii="Arial" w:hAnsi="Arial" w:cs="Arial"/>
          <w:sz w:val="22"/>
          <w:szCs w:val="22"/>
        </w:rPr>
        <w:t xml:space="preserve"> </w:t>
      </w:r>
      <w:r w:rsidR="005C7DD1">
        <w:rPr>
          <w:rFonts w:ascii="Arial" w:hAnsi="Arial" w:cs="Arial"/>
          <w:sz w:val="22"/>
          <w:szCs w:val="22"/>
        </w:rPr>
        <w:t>20</w:t>
      </w:r>
      <w:r w:rsidR="00012A0F">
        <w:rPr>
          <w:rFonts w:ascii="Arial" w:hAnsi="Arial" w:cs="Arial"/>
          <w:sz w:val="22"/>
          <w:szCs w:val="22"/>
        </w:rPr>
        <w:t xml:space="preserve">16) </w:t>
      </w:r>
      <w:r w:rsidR="00B221EC">
        <w:rPr>
          <w:rFonts w:ascii="Arial" w:hAnsi="Arial" w:cs="Arial"/>
          <w:sz w:val="22"/>
          <w:szCs w:val="22"/>
        </w:rPr>
        <w:t>refer]</w:t>
      </w:r>
      <w:r w:rsidR="00565439" w:rsidRPr="004842AB">
        <w:rPr>
          <w:rFonts w:ascii="Arial" w:hAnsi="Arial" w:cs="Arial"/>
          <w:sz w:val="22"/>
          <w:szCs w:val="22"/>
        </w:rPr>
        <w:t xml:space="preserve">. </w:t>
      </w:r>
      <w:r w:rsidR="00565439">
        <w:rPr>
          <w:rFonts w:ascii="Arial" w:hAnsi="Arial" w:cs="Arial"/>
          <w:sz w:val="22"/>
          <w:szCs w:val="22"/>
        </w:rPr>
        <w:t>Cabinet</w:t>
      </w:r>
      <w:r w:rsidRPr="004842AB">
        <w:rPr>
          <w:rFonts w:ascii="Arial" w:hAnsi="Arial" w:cs="Arial"/>
          <w:sz w:val="22"/>
          <w:szCs w:val="22"/>
        </w:rPr>
        <w:t xml:space="preserve"> </w:t>
      </w:r>
      <w:r w:rsidR="00565439" w:rsidRPr="00D2549C">
        <w:rPr>
          <w:rFonts w:ascii="Arial" w:hAnsi="Arial" w:cs="Arial"/>
          <w:sz w:val="22"/>
          <w:szCs w:val="22"/>
        </w:rPr>
        <w:t xml:space="preserve">directed officials to undertake further policy work and consultation on specific elements of the recommendations before </w:t>
      </w:r>
      <w:r w:rsidR="00565439">
        <w:rPr>
          <w:rFonts w:ascii="Arial" w:hAnsi="Arial" w:cs="Arial"/>
          <w:sz w:val="22"/>
          <w:szCs w:val="22"/>
        </w:rPr>
        <w:t xml:space="preserve">a </w:t>
      </w:r>
      <w:r w:rsidR="00565439" w:rsidRPr="00D2549C">
        <w:rPr>
          <w:rFonts w:ascii="Arial" w:hAnsi="Arial" w:cs="Arial"/>
          <w:sz w:val="22"/>
          <w:szCs w:val="22"/>
        </w:rPr>
        <w:t xml:space="preserve">final position could be reached. </w:t>
      </w:r>
    </w:p>
    <w:p w14:paraId="575D8135" w14:textId="68FC22A9" w:rsidR="00F80368" w:rsidRPr="003906B7" w:rsidRDefault="004842AB" w:rsidP="00ED7015">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lastRenderedPageBreak/>
        <w:t xml:space="preserve">In </w:t>
      </w:r>
      <w:r w:rsidR="00F80368" w:rsidRPr="004842AB">
        <w:rPr>
          <w:rFonts w:ascii="Arial" w:hAnsi="Arial" w:cs="Arial"/>
          <w:sz w:val="22"/>
          <w:szCs w:val="22"/>
        </w:rPr>
        <w:t xml:space="preserve">August 2017, the Māori Affairs Committee released its report </w:t>
      </w:r>
      <w:bookmarkStart w:id="2" w:name="_Hlk521503143"/>
      <w:r w:rsidR="00F80368" w:rsidRPr="004842AB">
        <w:rPr>
          <w:rFonts w:ascii="Arial" w:hAnsi="Arial" w:cs="Arial"/>
          <w:i/>
          <w:sz w:val="22"/>
          <w:szCs w:val="22"/>
        </w:rPr>
        <w:t xml:space="preserve">Inquiry into </w:t>
      </w:r>
      <w:proofErr w:type="spellStart"/>
      <w:r w:rsidR="00F80368" w:rsidRPr="004842AB">
        <w:rPr>
          <w:rFonts w:ascii="Arial" w:hAnsi="Arial" w:cs="Arial"/>
          <w:i/>
          <w:sz w:val="22"/>
          <w:szCs w:val="22"/>
        </w:rPr>
        <w:t>whānau</w:t>
      </w:r>
      <w:proofErr w:type="spellEnd"/>
      <w:r w:rsidR="00F80368" w:rsidRPr="004842AB">
        <w:rPr>
          <w:rFonts w:ascii="Arial" w:hAnsi="Arial" w:cs="Arial"/>
          <w:i/>
          <w:sz w:val="22"/>
          <w:szCs w:val="22"/>
        </w:rPr>
        <w:t xml:space="preserve"> access to and management of </w:t>
      </w:r>
      <w:proofErr w:type="spellStart"/>
      <w:r w:rsidR="00F80368" w:rsidRPr="004842AB">
        <w:rPr>
          <w:rFonts w:ascii="Arial" w:hAnsi="Arial" w:cs="Arial"/>
          <w:i/>
          <w:sz w:val="22"/>
          <w:szCs w:val="22"/>
        </w:rPr>
        <w:t>tūpāpaku</w:t>
      </w:r>
      <w:bookmarkEnd w:id="2"/>
      <w:proofErr w:type="spellEnd"/>
      <w:r w:rsidR="00F80368" w:rsidRPr="004842AB">
        <w:rPr>
          <w:rFonts w:ascii="Arial" w:hAnsi="Arial" w:cs="Arial"/>
          <w:sz w:val="22"/>
          <w:szCs w:val="22"/>
        </w:rPr>
        <w:t xml:space="preserve">. The Committee recommended that the Government consider </w:t>
      </w:r>
      <w:r w:rsidR="00F80368" w:rsidRPr="003906B7">
        <w:rPr>
          <w:rFonts w:ascii="Arial" w:hAnsi="Arial" w:cs="Arial"/>
          <w:sz w:val="22"/>
          <w:szCs w:val="22"/>
        </w:rPr>
        <w:t>implementing the recommendations suggested by the Law Commission. The Government accepted this recommendation in its response to the Select Committee report released on 15 February 2018</w:t>
      </w:r>
      <w:r w:rsidR="00565439" w:rsidRPr="003906B7">
        <w:rPr>
          <w:rFonts w:ascii="Arial" w:hAnsi="Arial" w:cs="Arial"/>
          <w:sz w:val="22"/>
          <w:szCs w:val="22"/>
        </w:rPr>
        <w:t xml:space="preserve"> [</w:t>
      </w:r>
      <w:r w:rsidR="003906B7" w:rsidRPr="003906B7">
        <w:rPr>
          <w:rFonts w:ascii="Arial" w:hAnsi="Arial" w:cs="Arial"/>
          <w:color w:val="000000"/>
          <w:sz w:val="22"/>
          <w:szCs w:val="22"/>
        </w:rPr>
        <w:t>LEG-18-MIN-0006</w:t>
      </w:r>
      <w:r w:rsidR="00012A0F">
        <w:rPr>
          <w:rFonts w:ascii="Arial" w:hAnsi="Arial" w:cs="Arial"/>
          <w:color w:val="000000"/>
          <w:sz w:val="22"/>
          <w:szCs w:val="22"/>
        </w:rPr>
        <w:t xml:space="preserve"> and CAB-18-MIN-0018 (12 Feb</w:t>
      </w:r>
      <w:r w:rsidR="005C7DD1">
        <w:rPr>
          <w:rFonts w:ascii="Arial" w:hAnsi="Arial" w:cs="Arial"/>
          <w:color w:val="000000"/>
          <w:sz w:val="22"/>
          <w:szCs w:val="22"/>
        </w:rPr>
        <w:t>ruary 20</w:t>
      </w:r>
      <w:r w:rsidR="00012A0F">
        <w:rPr>
          <w:rFonts w:ascii="Arial" w:hAnsi="Arial" w:cs="Arial"/>
          <w:color w:val="000000"/>
          <w:sz w:val="22"/>
          <w:szCs w:val="22"/>
        </w:rPr>
        <w:t>18) refer</w:t>
      </w:r>
      <w:r w:rsidR="00565439" w:rsidRPr="003906B7">
        <w:rPr>
          <w:rFonts w:ascii="Arial" w:hAnsi="Arial" w:cs="Arial"/>
          <w:sz w:val="22"/>
          <w:szCs w:val="22"/>
        </w:rPr>
        <w:t>]</w:t>
      </w:r>
      <w:r w:rsidR="00F80368" w:rsidRPr="003906B7">
        <w:rPr>
          <w:rFonts w:ascii="Arial" w:hAnsi="Arial" w:cs="Arial"/>
          <w:sz w:val="22"/>
          <w:szCs w:val="22"/>
        </w:rPr>
        <w:t>.</w:t>
      </w:r>
    </w:p>
    <w:p w14:paraId="16E96B85" w14:textId="50F0E0D5" w:rsidR="004842AB" w:rsidRPr="004842AB" w:rsidRDefault="00FD1A0E" w:rsidP="004545E0">
      <w:pPr>
        <w:pStyle w:val="CabStandard"/>
        <w:tabs>
          <w:tab w:val="clear" w:pos="720"/>
          <w:tab w:val="num" w:pos="567"/>
        </w:tabs>
        <w:ind w:left="567" w:hanging="567"/>
        <w:jc w:val="both"/>
        <w:rPr>
          <w:rFonts w:ascii="Arial" w:hAnsi="Arial" w:cs="Arial"/>
          <w:sz w:val="22"/>
          <w:szCs w:val="22"/>
        </w:rPr>
      </w:pPr>
      <w:r w:rsidRPr="00FD1A0E">
        <w:rPr>
          <w:rFonts w:ascii="Arial" w:hAnsi="Arial" w:cs="Arial"/>
          <w:sz w:val="22"/>
          <w:szCs w:val="22"/>
        </w:rPr>
        <w:t>In June 2018,</w:t>
      </w:r>
      <w:r w:rsidR="007873F8">
        <w:rPr>
          <w:rFonts w:ascii="Arial" w:hAnsi="Arial" w:cs="Arial"/>
          <w:sz w:val="22"/>
          <w:szCs w:val="22"/>
        </w:rPr>
        <w:t xml:space="preserve"> the Minister of Health</w:t>
      </w:r>
      <w:r w:rsidR="005177CD">
        <w:rPr>
          <w:rFonts w:ascii="Arial" w:hAnsi="Arial" w:cs="Arial"/>
          <w:sz w:val="22"/>
          <w:szCs w:val="22"/>
        </w:rPr>
        <w:t xml:space="preserve"> instructed the</w:t>
      </w:r>
      <w:r w:rsidR="008F0F4C">
        <w:rPr>
          <w:rFonts w:ascii="Arial" w:hAnsi="Arial" w:cs="Arial"/>
          <w:sz w:val="22"/>
          <w:szCs w:val="22"/>
        </w:rPr>
        <w:t xml:space="preserve"> </w:t>
      </w:r>
      <w:r w:rsidRPr="00FD1A0E">
        <w:rPr>
          <w:rFonts w:ascii="Arial" w:hAnsi="Arial" w:cs="Arial"/>
          <w:sz w:val="22"/>
          <w:szCs w:val="22"/>
        </w:rPr>
        <w:t>Ministry of Health</w:t>
      </w:r>
      <w:r w:rsidR="004842AB" w:rsidRPr="004842AB">
        <w:rPr>
          <w:rFonts w:ascii="Arial" w:hAnsi="Arial" w:cs="Arial"/>
          <w:sz w:val="22"/>
          <w:szCs w:val="22"/>
        </w:rPr>
        <w:t>, in conjunction with other agencies,</w:t>
      </w:r>
      <w:r w:rsidR="00565439">
        <w:rPr>
          <w:rFonts w:ascii="Arial" w:hAnsi="Arial" w:cs="Arial"/>
          <w:sz w:val="22"/>
          <w:szCs w:val="22"/>
        </w:rPr>
        <w:t xml:space="preserve"> to</w:t>
      </w:r>
      <w:r w:rsidR="004842AB" w:rsidRPr="004842AB">
        <w:rPr>
          <w:rFonts w:ascii="Arial" w:hAnsi="Arial" w:cs="Arial"/>
          <w:sz w:val="22"/>
          <w:szCs w:val="22"/>
        </w:rPr>
        <w:t xml:space="preserve"> </w:t>
      </w:r>
      <w:r w:rsidR="004545E0">
        <w:rPr>
          <w:rFonts w:ascii="Arial" w:hAnsi="Arial" w:cs="Arial"/>
          <w:sz w:val="22"/>
          <w:szCs w:val="22"/>
        </w:rPr>
        <w:t xml:space="preserve">develop policy options </w:t>
      </w:r>
      <w:r w:rsidR="009512EC">
        <w:rPr>
          <w:rFonts w:ascii="Arial" w:hAnsi="Arial" w:cs="Arial"/>
          <w:sz w:val="22"/>
          <w:szCs w:val="22"/>
        </w:rPr>
        <w:t>for</w:t>
      </w:r>
      <w:r w:rsidR="004545E0">
        <w:rPr>
          <w:rFonts w:ascii="Arial" w:hAnsi="Arial" w:cs="Arial"/>
          <w:sz w:val="22"/>
          <w:szCs w:val="22"/>
        </w:rPr>
        <w:t xml:space="preserve"> public consultation regarding </w:t>
      </w:r>
      <w:r w:rsidR="004842AB" w:rsidRPr="004842AB">
        <w:rPr>
          <w:rFonts w:ascii="Arial" w:hAnsi="Arial" w:cs="Arial"/>
          <w:sz w:val="22"/>
          <w:szCs w:val="22"/>
        </w:rPr>
        <w:t xml:space="preserve">death certification and auditing, </w:t>
      </w:r>
      <w:r w:rsidR="00565439" w:rsidRPr="004842AB">
        <w:rPr>
          <w:rFonts w:ascii="Arial" w:hAnsi="Arial" w:cs="Arial"/>
          <w:sz w:val="22"/>
          <w:szCs w:val="22"/>
        </w:rPr>
        <w:t>regulation of</w:t>
      </w:r>
      <w:r w:rsidR="00565439">
        <w:rPr>
          <w:rFonts w:ascii="Arial" w:hAnsi="Arial" w:cs="Arial"/>
          <w:sz w:val="22"/>
          <w:szCs w:val="22"/>
        </w:rPr>
        <w:t xml:space="preserve"> the</w:t>
      </w:r>
      <w:r w:rsidR="00565439" w:rsidRPr="004842AB">
        <w:rPr>
          <w:rFonts w:ascii="Arial" w:hAnsi="Arial" w:cs="Arial"/>
          <w:sz w:val="22"/>
          <w:szCs w:val="22"/>
        </w:rPr>
        <w:t xml:space="preserve"> funeral services sector</w:t>
      </w:r>
      <w:r w:rsidR="00565439">
        <w:rPr>
          <w:rFonts w:ascii="Arial" w:hAnsi="Arial" w:cs="Arial"/>
          <w:sz w:val="22"/>
          <w:szCs w:val="22"/>
        </w:rPr>
        <w:t>,</w:t>
      </w:r>
      <w:r w:rsidR="00565439" w:rsidRPr="004842AB">
        <w:rPr>
          <w:rFonts w:ascii="Arial" w:hAnsi="Arial" w:cs="Arial"/>
          <w:sz w:val="22"/>
          <w:szCs w:val="22"/>
        </w:rPr>
        <w:t xml:space="preserve"> </w:t>
      </w:r>
      <w:r w:rsidR="004842AB" w:rsidRPr="004842AB">
        <w:rPr>
          <w:rFonts w:ascii="Arial" w:hAnsi="Arial" w:cs="Arial"/>
          <w:sz w:val="22"/>
          <w:szCs w:val="22"/>
        </w:rPr>
        <w:t xml:space="preserve">burial and cemetery management, cremation </w:t>
      </w:r>
      <w:r w:rsidR="00565439">
        <w:rPr>
          <w:rFonts w:ascii="Arial" w:hAnsi="Arial" w:cs="Arial"/>
          <w:sz w:val="22"/>
          <w:szCs w:val="22"/>
        </w:rPr>
        <w:t>and the medical referee system</w:t>
      </w:r>
      <w:r w:rsidR="004842AB" w:rsidRPr="004842AB">
        <w:rPr>
          <w:rFonts w:ascii="Arial" w:hAnsi="Arial" w:cs="Arial"/>
          <w:sz w:val="22"/>
          <w:szCs w:val="22"/>
        </w:rPr>
        <w:t xml:space="preserve">, </w:t>
      </w:r>
      <w:r w:rsidR="00565439">
        <w:rPr>
          <w:rFonts w:ascii="Arial" w:hAnsi="Arial" w:cs="Arial"/>
          <w:sz w:val="22"/>
          <w:szCs w:val="22"/>
        </w:rPr>
        <w:t xml:space="preserve">and </w:t>
      </w:r>
      <w:r w:rsidR="004842AB" w:rsidRPr="004842AB">
        <w:rPr>
          <w:rFonts w:ascii="Arial" w:hAnsi="Arial" w:cs="Arial"/>
          <w:sz w:val="22"/>
          <w:szCs w:val="22"/>
        </w:rPr>
        <w:t xml:space="preserve">new methods of body disposal. </w:t>
      </w:r>
    </w:p>
    <w:p w14:paraId="187A0F36" w14:textId="1C7435EF" w:rsidR="004842AB" w:rsidRPr="004842AB" w:rsidRDefault="00B57D1D" w:rsidP="004545E0">
      <w:pPr>
        <w:pStyle w:val="CabStandard"/>
        <w:tabs>
          <w:tab w:val="clear" w:pos="720"/>
          <w:tab w:val="num" w:pos="567"/>
        </w:tabs>
        <w:ind w:left="567" w:hanging="567"/>
        <w:jc w:val="both"/>
        <w:rPr>
          <w:rFonts w:ascii="Arial" w:hAnsi="Arial" w:cs="Arial"/>
          <w:sz w:val="22"/>
          <w:szCs w:val="22"/>
        </w:rPr>
      </w:pPr>
      <w:r>
        <w:rPr>
          <w:rFonts w:ascii="Arial" w:hAnsi="Arial" w:cs="Arial"/>
          <w:sz w:val="22"/>
          <w:szCs w:val="22"/>
        </w:rPr>
        <w:t>This</w:t>
      </w:r>
      <w:r w:rsidR="004842AB" w:rsidRPr="004842AB">
        <w:rPr>
          <w:rFonts w:ascii="Arial" w:hAnsi="Arial" w:cs="Arial"/>
          <w:sz w:val="22"/>
          <w:szCs w:val="22"/>
        </w:rPr>
        <w:t xml:space="preserve"> </w:t>
      </w:r>
      <w:r w:rsidR="007A5C5F">
        <w:rPr>
          <w:rFonts w:ascii="Arial" w:hAnsi="Arial" w:cs="Arial"/>
          <w:sz w:val="22"/>
          <w:szCs w:val="22"/>
        </w:rPr>
        <w:t>consultation document</w:t>
      </w:r>
      <w:r>
        <w:rPr>
          <w:rFonts w:ascii="Arial" w:hAnsi="Arial" w:cs="Arial"/>
          <w:sz w:val="22"/>
          <w:szCs w:val="22"/>
        </w:rPr>
        <w:t xml:space="preserve"> directly </w:t>
      </w:r>
      <w:r w:rsidRPr="00E039C9">
        <w:rPr>
          <w:rFonts w:ascii="Arial" w:hAnsi="Arial" w:cs="Arial"/>
          <w:sz w:val="22"/>
          <w:szCs w:val="22"/>
        </w:rPr>
        <w:t>responds to 10</w:t>
      </w:r>
      <w:r w:rsidR="00565439" w:rsidRPr="00E039C9">
        <w:rPr>
          <w:rFonts w:ascii="Arial" w:hAnsi="Arial" w:cs="Arial"/>
          <w:sz w:val="22"/>
          <w:szCs w:val="22"/>
        </w:rPr>
        <w:t>0</w:t>
      </w:r>
      <w:r w:rsidR="00671F72" w:rsidRPr="00E039C9">
        <w:rPr>
          <w:rFonts w:ascii="Arial" w:hAnsi="Arial" w:cs="Arial"/>
          <w:sz w:val="22"/>
          <w:szCs w:val="22"/>
        </w:rPr>
        <w:t xml:space="preserve"> of the </w:t>
      </w:r>
      <w:r w:rsidRPr="00E039C9">
        <w:rPr>
          <w:rFonts w:ascii="Arial" w:hAnsi="Arial" w:cs="Arial"/>
          <w:sz w:val="22"/>
          <w:szCs w:val="22"/>
        </w:rPr>
        <w:t>127 Law</w:t>
      </w:r>
      <w:r>
        <w:rPr>
          <w:rFonts w:ascii="Arial" w:hAnsi="Arial" w:cs="Arial"/>
          <w:sz w:val="22"/>
          <w:szCs w:val="22"/>
        </w:rPr>
        <w:t xml:space="preserve"> Commission recommendations. The document </w:t>
      </w:r>
      <w:r w:rsidR="004842AB" w:rsidRPr="004842AB">
        <w:rPr>
          <w:rFonts w:ascii="Arial" w:hAnsi="Arial" w:cs="Arial"/>
          <w:sz w:val="22"/>
          <w:szCs w:val="22"/>
        </w:rPr>
        <w:t xml:space="preserve">does not include </w:t>
      </w:r>
      <w:r w:rsidR="00C518AF">
        <w:rPr>
          <w:rFonts w:ascii="Arial" w:hAnsi="Arial" w:cs="Arial"/>
          <w:sz w:val="22"/>
          <w:szCs w:val="22"/>
        </w:rPr>
        <w:t xml:space="preserve">an </w:t>
      </w:r>
      <w:r w:rsidR="004842AB" w:rsidRPr="004842AB">
        <w:rPr>
          <w:rFonts w:ascii="Arial" w:hAnsi="Arial" w:cs="Arial"/>
          <w:sz w:val="22"/>
          <w:szCs w:val="22"/>
        </w:rPr>
        <w:t xml:space="preserve">analysis of the Law Commission’s recommendation to create a legal framework to give effect to a person’s wishes once they </w:t>
      </w:r>
      <w:r w:rsidR="00671F72">
        <w:rPr>
          <w:rFonts w:ascii="Arial" w:hAnsi="Arial" w:cs="Arial"/>
          <w:sz w:val="22"/>
          <w:szCs w:val="22"/>
        </w:rPr>
        <w:t>have died</w:t>
      </w:r>
      <w:r w:rsidR="004842AB" w:rsidRPr="004842AB">
        <w:rPr>
          <w:rFonts w:ascii="Arial" w:hAnsi="Arial" w:cs="Arial"/>
          <w:sz w:val="22"/>
          <w:szCs w:val="22"/>
        </w:rPr>
        <w:t xml:space="preserve">. </w:t>
      </w:r>
      <w:r w:rsidR="00565439">
        <w:rPr>
          <w:rFonts w:ascii="Arial" w:hAnsi="Arial" w:cs="Arial"/>
          <w:sz w:val="22"/>
          <w:szCs w:val="22"/>
        </w:rPr>
        <w:t xml:space="preserve">The </w:t>
      </w:r>
      <w:r w:rsidR="004842AB" w:rsidRPr="004842AB">
        <w:rPr>
          <w:rFonts w:ascii="Arial" w:hAnsi="Arial" w:cs="Arial"/>
          <w:sz w:val="22"/>
          <w:szCs w:val="22"/>
        </w:rPr>
        <w:t xml:space="preserve">Ministry of Justice </w:t>
      </w:r>
      <w:r>
        <w:rPr>
          <w:rFonts w:ascii="Arial" w:hAnsi="Arial" w:cs="Arial"/>
          <w:sz w:val="22"/>
          <w:szCs w:val="22"/>
        </w:rPr>
        <w:t xml:space="preserve">is </w:t>
      </w:r>
      <w:r w:rsidR="00C30A06">
        <w:rPr>
          <w:rFonts w:ascii="Arial" w:hAnsi="Arial" w:cs="Arial"/>
          <w:sz w:val="22"/>
          <w:szCs w:val="22"/>
        </w:rPr>
        <w:t xml:space="preserve">the lead agency for this work and officials have advised </w:t>
      </w:r>
      <w:r w:rsidR="004842AB" w:rsidRPr="004842AB">
        <w:rPr>
          <w:rFonts w:ascii="Arial" w:hAnsi="Arial" w:cs="Arial"/>
          <w:sz w:val="22"/>
          <w:szCs w:val="22"/>
        </w:rPr>
        <w:t xml:space="preserve">that policy work on these recommendations </w:t>
      </w:r>
      <w:r w:rsidR="00C30A06">
        <w:rPr>
          <w:rFonts w:ascii="Arial" w:hAnsi="Arial" w:cs="Arial"/>
          <w:sz w:val="22"/>
          <w:szCs w:val="22"/>
        </w:rPr>
        <w:t>will be progressed</w:t>
      </w:r>
      <w:r w:rsidR="004842AB" w:rsidRPr="004842AB">
        <w:rPr>
          <w:rFonts w:ascii="Arial" w:hAnsi="Arial" w:cs="Arial"/>
          <w:sz w:val="22"/>
          <w:szCs w:val="22"/>
        </w:rPr>
        <w:t xml:space="preserve"> as priorities allow. </w:t>
      </w:r>
    </w:p>
    <w:p w14:paraId="64CB4D46" w14:textId="0B31587A" w:rsidR="004842AB" w:rsidRPr="004842AB" w:rsidRDefault="004842AB" w:rsidP="004545E0">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t xml:space="preserve">It is proposed that the </w:t>
      </w:r>
      <w:r w:rsidR="007A5C5F">
        <w:rPr>
          <w:rFonts w:ascii="Arial" w:hAnsi="Arial" w:cs="Arial"/>
          <w:sz w:val="22"/>
          <w:szCs w:val="22"/>
        </w:rPr>
        <w:t>consultation document</w:t>
      </w:r>
      <w:r w:rsidRPr="004842AB">
        <w:rPr>
          <w:rFonts w:ascii="Arial" w:hAnsi="Arial" w:cs="Arial"/>
          <w:sz w:val="22"/>
          <w:szCs w:val="22"/>
        </w:rPr>
        <w:t xml:space="preserve"> will be released </w:t>
      </w:r>
      <w:r w:rsidR="00FB1FA4">
        <w:rPr>
          <w:rFonts w:ascii="Arial" w:hAnsi="Arial" w:cs="Arial"/>
          <w:sz w:val="22"/>
          <w:szCs w:val="22"/>
        </w:rPr>
        <w:t>in</w:t>
      </w:r>
      <w:r w:rsidR="00671F72">
        <w:rPr>
          <w:rFonts w:ascii="Arial" w:hAnsi="Arial" w:cs="Arial"/>
          <w:sz w:val="22"/>
          <w:szCs w:val="22"/>
        </w:rPr>
        <w:t xml:space="preserve"> </w:t>
      </w:r>
      <w:r w:rsidR="00FB1FA4">
        <w:rPr>
          <w:rFonts w:ascii="Arial" w:hAnsi="Arial" w:cs="Arial"/>
          <w:sz w:val="22"/>
          <w:szCs w:val="22"/>
        </w:rPr>
        <w:t>September</w:t>
      </w:r>
      <w:r w:rsidRPr="004842AB">
        <w:rPr>
          <w:rFonts w:ascii="Arial" w:hAnsi="Arial" w:cs="Arial"/>
          <w:sz w:val="22"/>
          <w:szCs w:val="22"/>
        </w:rPr>
        <w:t xml:space="preserve"> 2019. </w:t>
      </w:r>
      <w:r w:rsidR="00671F72">
        <w:rPr>
          <w:rFonts w:ascii="Arial" w:hAnsi="Arial" w:cs="Arial"/>
          <w:sz w:val="22"/>
          <w:szCs w:val="22"/>
        </w:rPr>
        <w:t xml:space="preserve">After consultation has been </w:t>
      </w:r>
      <w:r w:rsidR="000B1AAD">
        <w:rPr>
          <w:rFonts w:ascii="Arial" w:hAnsi="Arial" w:cs="Arial"/>
          <w:sz w:val="22"/>
          <w:szCs w:val="22"/>
        </w:rPr>
        <w:t>completed,</w:t>
      </w:r>
      <w:r w:rsidRPr="004842AB">
        <w:rPr>
          <w:rFonts w:ascii="Arial" w:hAnsi="Arial" w:cs="Arial"/>
          <w:sz w:val="22"/>
          <w:szCs w:val="22"/>
        </w:rPr>
        <w:t xml:space="preserve"> I will</w:t>
      </w:r>
      <w:r w:rsidR="00671F72">
        <w:rPr>
          <w:rFonts w:ascii="Arial" w:hAnsi="Arial" w:cs="Arial"/>
          <w:sz w:val="22"/>
          <w:szCs w:val="22"/>
        </w:rPr>
        <w:t xml:space="preserve"> </w:t>
      </w:r>
      <w:r w:rsidRPr="004842AB">
        <w:rPr>
          <w:rFonts w:ascii="Arial" w:hAnsi="Arial" w:cs="Arial"/>
          <w:sz w:val="22"/>
          <w:szCs w:val="22"/>
        </w:rPr>
        <w:t>report back to Cabinet with final recommendation</w:t>
      </w:r>
      <w:r w:rsidR="00671F72">
        <w:rPr>
          <w:rFonts w:ascii="Arial" w:hAnsi="Arial" w:cs="Arial"/>
          <w:sz w:val="22"/>
          <w:szCs w:val="22"/>
        </w:rPr>
        <w:t>s</w:t>
      </w:r>
      <w:r w:rsidRPr="004842AB">
        <w:rPr>
          <w:rFonts w:ascii="Arial" w:hAnsi="Arial" w:cs="Arial"/>
          <w:sz w:val="22"/>
          <w:szCs w:val="22"/>
        </w:rPr>
        <w:t xml:space="preserve"> on the development of a modern statute for death, burial, cremation, new methods of</w:t>
      </w:r>
      <w:r w:rsidR="00565439">
        <w:rPr>
          <w:rFonts w:ascii="Arial" w:hAnsi="Arial" w:cs="Arial"/>
          <w:sz w:val="22"/>
          <w:szCs w:val="22"/>
        </w:rPr>
        <w:t xml:space="preserve"> body</w:t>
      </w:r>
      <w:r w:rsidRPr="004842AB">
        <w:rPr>
          <w:rFonts w:ascii="Arial" w:hAnsi="Arial" w:cs="Arial"/>
          <w:sz w:val="22"/>
          <w:szCs w:val="22"/>
        </w:rPr>
        <w:t xml:space="preserve"> disposal and funerals.</w:t>
      </w:r>
    </w:p>
    <w:p w14:paraId="74F9DD88" w14:textId="77777777" w:rsidR="004842AB" w:rsidRDefault="004842AB" w:rsidP="00FA5CF2">
      <w:pPr>
        <w:pStyle w:val="Heading2"/>
      </w:pPr>
      <w:r w:rsidRPr="0022555A">
        <w:t>Comment</w:t>
      </w:r>
    </w:p>
    <w:p w14:paraId="6295E09F" w14:textId="5CA9CE6C" w:rsidR="004842AB" w:rsidRPr="004842AB" w:rsidRDefault="004842AB" w:rsidP="004545E0">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t xml:space="preserve">The </w:t>
      </w:r>
      <w:r w:rsidR="007A5C5F">
        <w:rPr>
          <w:rFonts w:ascii="Arial" w:hAnsi="Arial" w:cs="Arial"/>
          <w:sz w:val="22"/>
          <w:szCs w:val="22"/>
        </w:rPr>
        <w:t>consultation document</w:t>
      </w:r>
      <w:r w:rsidR="00565439">
        <w:rPr>
          <w:rFonts w:ascii="Arial" w:hAnsi="Arial" w:cs="Arial"/>
          <w:sz w:val="22"/>
          <w:szCs w:val="22"/>
        </w:rPr>
        <w:t xml:space="preserve"> </w:t>
      </w:r>
      <w:r w:rsidR="00045460">
        <w:rPr>
          <w:rFonts w:ascii="Arial" w:hAnsi="Arial" w:cs="Arial"/>
          <w:sz w:val="22"/>
          <w:szCs w:val="22"/>
        </w:rPr>
        <w:t xml:space="preserve">has </w:t>
      </w:r>
      <w:r w:rsidRPr="004842AB">
        <w:rPr>
          <w:rFonts w:ascii="Arial" w:hAnsi="Arial" w:cs="Arial"/>
          <w:sz w:val="22"/>
          <w:szCs w:val="22"/>
        </w:rPr>
        <w:t xml:space="preserve">five parts, </w:t>
      </w:r>
      <w:r w:rsidR="00565439">
        <w:rPr>
          <w:rFonts w:ascii="Arial" w:hAnsi="Arial" w:cs="Arial"/>
          <w:sz w:val="22"/>
          <w:szCs w:val="22"/>
        </w:rPr>
        <w:t xml:space="preserve">with </w:t>
      </w:r>
      <w:r w:rsidRPr="004842AB">
        <w:rPr>
          <w:rFonts w:ascii="Arial" w:hAnsi="Arial" w:cs="Arial"/>
          <w:sz w:val="22"/>
          <w:szCs w:val="22"/>
        </w:rPr>
        <w:t>each part cover</w:t>
      </w:r>
      <w:r w:rsidR="00565439">
        <w:rPr>
          <w:rFonts w:ascii="Arial" w:hAnsi="Arial" w:cs="Arial"/>
          <w:sz w:val="22"/>
          <w:szCs w:val="22"/>
        </w:rPr>
        <w:t>ing</w:t>
      </w:r>
      <w:r w:rsidRPr="004842AB">
        <w:rPr>
          <w:rFonts w:ascii="Arial" w:hAnsi="Arial" w:cs="Arial"/>
          <w:sz w:val="22"/>
          <w:szCs w:val="22"/>
        </w:rPr>
        <w:t xml:space="preserve"> a separate policy area:</w:t>
      </w:r>
    </w:p>
    <w:p w14:paraId="2F066866" w14:textId="78320E0C" w:rsidR="004842AB" w:rsidRPr="004842AB" w:rsidRDefault="004842AB"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Part A: Death Certification and Auditing</w:t>
      </w:r>
    </w:p>
    <w:p w14:paraId="556A2F69" w14:textId="3351CF15" w:rsidR="00565439" w:rsidRPr="00565439" w:rsidRDefault="004842AB"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Part B:</w:t>
      </w:r>
      <w:r w:rsidR="00565439" w:rsidRPr="00565439">
        <w:rPr>
          <w:rFonts w:ascii="Arial" w:hAnsi="Arial" w:cs="Arial"/>
          <w:sz w:val="22"/>
          <w:szCs w:val="22"/>
        </w:rPr>
        <w:t xml:space="preserve"> </w:t>
      </w:r>
      <w:r w:rsidR="00565439" w:rsidRPr="004842AB">
        <w:rPr>
          <w:rFonts w:ascii="Arial" w:hAnsi="Arial" w:cs="Arial"/>
          <w:sz w:val="22"/>
          <w:szCs w:val="22"/>
        </w:rPr>
        <w:t>Regulation of the Funeral Services Sector</w:t>
      </w:r>
      <w:r w:rsidRPr="00565439">
        <w:rPr>
          <w:rFonts w:ascii="Arial" w:hAnsi="Arial" w:cs="Arial"/>
          <w:sz w:val="22"/>
          <w:szCs w:val="22"/>
        </w:rPr>
        <w:t xml:space="preserve"> </w:t>
      </w:r>
    </w:p>
    <w:p w14:paraId="615190B1" w14:textId="648221AF" w:rsidR="004842AB" w:rsidRPr="004842AB" w:rsidRDefault="00565439" w:rsidP="00B813C1">
      <w:pPr>
        <w:pStyle w:val="CabStandard"/>
        <w:numPr>
          <w:ilvl w:val="1"/>
          <w:numId w:val="1"/>
        </w:numPr>
        <w:tabs>
          <w:tab w:val="clear" w:pos="1440"/>
          <w:tab w:val="num" w:pos="1560"/>
        </w:tabs>
        <w:ind w:left="1276"/>
        <w:jc w:val="both"/>
        <w:rPr>
          <w:rFonts w:ascii="Arial" w:hAnsi="Arial" w:cs="Arial"/>
          <w:sz w:val="22"/>
          <w:szCs w:val="22"/>
        </w:rPr>
      </w:pPr>
      <w:r>
        <w:rPr>
          <w:rFonts w:ascii="Arial" w:hAnsi="Arial" w:cs="Arial"/>
          <w:sz w:val="22"/>
          <w:szCs w:val="22"/>
        </w:rPr>
        <w:t xml:space="preserve">Part C: </w:t>
      </w:r>
      <w:r w:rsidR="004842AB" w:rsidRPr="004842AB">
        <w:rPr>
          <w:rFonts w:ascii="Arial" w:hAnsi="Arial" w:cs="Arial"/>
          <w:sz w:val="22"/>
          <w:szCs w:val="22"/>
        </w:rPr>
        <w:t xml:space="preserve">Burial and Cemetery Management </w:t>
      </w:r>
    </w:p>
    <w:p w14:paraId="4081C045" w14:textId="33633C4C" w:rsidR="004842AB" w:rsidRPr="004842AB" w:rsidRDefault="004842AB"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 xml:space="preserve">Part </w:t>
      </w:r>
      <w:r w:rsidR="00565439">
        <w:rPr>
          <w:rFonts w:ascii="Arial" w:hAnsi="Arial" w:cs="Arial"/>
          <w:sz w:val="22"/>
          <w:szCs w:val="22"/>
        </w:rPr>
        <w:t>D</w:t>
      </w:r>
      <w:r w:rsidRPr="004842AB">
        <w:rPr>
          <w:rFonts w:ascii="Arial" w:hAnsi="Arial" w:cs="Arial"/>
          <w:sz w:val="22"/>
          <w:szCs w:val="22"/>
        </w:rPr>
        <w:t xml:space="preserve">: Cremation Regulations and the Medical Referee </w:t>
      </w:r>
    </w:p>
    <w:p w14:paraId="3387D981" w14:textId="108C8370" w:rsidR="004842AB" w:rsidRPr="004842AB" w:rsidRDefault="004842AB"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 xml:space="preserve">Part </w:t>
      </w:r>
      <w:r w:rsidR="00565439">
        <w:rPr>
          <w:rFonts w:ascii="Arial" w:hAnsi="Arial" w:cs="Arial"/>
          <w:sz w:val="22"/>
          <w:szCs w:val="22"/>
        </w:rPr>
        <w:t>E</w:t>
      </w:r>
      <w:r w:rsidRPr="004842AB">
        <w:rPr>
          <w:rFonts w:ascii="Arial" w:hAnsi="Arial" w:cs="Arial"/>
          <w:sz w:val="22"/>
          <w:szCs w:val="22"/>
        </w:rPr>
        <w:t>: New Methods of Body Disposal</w:t>
      </w:r>
      <w:r w:rsidR="00045460">
        <w:rPr>
          <w:rFonts w:ascii="Arial" w:hAnsi="Arial" w:cs="Arial"/>
          <w:sz w:val="22"/>
          <w:szCs w:val="22"/>
        </w:rPr>
        <w:t>.</w:t>
      </w:r>
      <w:r w:rsidRPr="004842AB">
        <w:rPr>
          <w:rFonts w:ascii="Arial" w:hAnsi="Arial" w:cs="Arial"/>
          <w:sz w:val="22"/>
          <w:szCs w:val="22"/>
        </w:rPr>
        <w:t xml:space="preserve"> </w:t>
      </w:r>
    </w:p>
    <w:p w14:paraId="64D8CC5B" w14:textId="7D8C5C4A" w:rsidR="002721EC" w:rsidRPr="004842AB" w:rsidRDefault="002721EC" w:rsidP="004545E0">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t>The primary objective of the policy proposal</w:t>
      </w:r>
      <w:r w:rsidR="004842AB" w:rsidRPr="004842AB">
        <w:rPr>
          <w:rFonts w:ascii="Arial" w:hAnsi="Arial" w:cs="Arial"/>
          <w:sz w:val="22"/>
          <w:szCs w:val="22"/>
        </w:rPr>
        <w:t>s</w:t>
      </w:r>
      <w:r w:rsidRPr="004842AB">
        <w:rPr>
          <w:rFonts w:ascii="Arial" w:hAnsi="Arial" w:cs="Arial"/>
          <w:sz w:val="22"/>
          <w:szCs w:val="22"/>
        </w:rPr>
        <w:t xml:space="preserve"> </w:t>
      </w:r>
      <w:r w:rsidR="00AD5E99" w:rsidRPr="004842AB">
        <w:rPr>
          <w:rFonts w:ascii="Arial" w:hAnsi="Arial" w:cs="Arial"/>
          <w:sz w:val="22"/>
          <w:szCs w:val="22"/>
        </w:rPr>
        <w:t>is to modernise the law relating to death, burial, cremation, and funerals in New Zealand to ensure it is fit for purpose and it meets the needs of New Zealanders</w:t>
      </w:r>
      <w:r w:rsidRPr="004842AB">
        <w:rPr>
          <w:rFonts w:ascii="Arial" w:hAnsi="Arial" w:cs="Arial"/>
          <w:sz w:val="22"/>
          <w:szCs w:val="22"/>
        </w:rPr>
        <w:t>.</w:t>
      </w:r>
      <w:r w:rsidRPr="004842AB">
        <w:rPr>
          <w:sz w:val="22"/>
          <w:szCs w:val="22"/>
        </w:rPr>
        <w:t xml:space="preserve"> </w:t>
      </w:r>
      <w:r w:rsidRPr="004842AB">
        <w:rPr>
          <w:rFonts w:ascii="Arial" w:hAnsi="Arial" w:cs="Arial"/>
          <w:sz w:val="22"/>
          <w:szCs w:val="22"/>
        </w:rPr>
        <w:t xml:space="preserve">With this primary objective in mind, the following assessment criteria were applied when </w:t>
      </w:r>
      <w:r w:rsidR="00045460">
        <w:rPr>
          <w:rFonts w:ascii="Arial" w:hAnsi="Arial" w:cs="Arial"/>
          <w:sz w:val="22"/>
          <w:szCs w:val="22"/>
        </w:rPr>
        <w:t xml:space="preserve">considering </w:t>
      </w:r>
      <w:r w:rsidRPr="004842AB">
        <w:rPr>
          <w:rFonts w:ascii="Arial" w:hAnsi="Arial" w:cs="Arial"/>
          <w:sz w:val="22"/>
          <w:szCs w:val="22"/>
        </w:rPr>
        <w:t>options:</w:t>
      </w:r>
    </w:p>
    <w:p w14:paraId="0D5968E8" w14:textId="1D971FC9" w:rsidR="00AD5E99" w:rsidRPr="004842AB" w:rsidRDefault="00AD5E99"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 xml:space="preserve">Criterion 1: </w:t>
      </w:r>
      <w:r w:rsidR="00304D36">
        <w:rPr>
          <w:rFonts w:ascii="Arial" w:hAnsi="Arial" w:cs="Arial"/>
          <w:sz w:val="22"/>
          <w:szCs w:val="22"/>
        </w:rPr>
        <w:t>a</w:t>
      </w:r>
      <w:r w:rsidR="00304D36" w:rsidRPr="00304D36">
        <w:rPr>
          <w:rFonts w:ascii="Arial" w:hAnsi="Arial" w:cs="Arial"/>
          <w:sz w:val="22"/>
          <w:szCs w:val="22"/>
        </w:rPr>
        <w:t>ny changes to the law should be proportionate and effective in addressing identified problems (including risks to the public and environment)</w:t>
      </w:r>
    </w:p>
    <w:p w14:paraId="3A1A3A83" w14:textId="5C01C442" w:rsidR="00AD5E99" w:rsidRPr="004842AB" w:rsidRDefault="00AD5E99"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Criterion 2: any changes to the law should not impose any unnecessary or unjustified compliance costs</w:t>
      </w:r>
    </w:p>
    <w:p w14:paraId="54D1BBF5" w14:textId="1B7CF2B3" w:rsidR="00AD5E99" w:rsidRPr="004842AB" w:rsidRDefault="00AD5E99"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 xml:space="preserve">Criterion 3: any change to the law must </w:t>
      </w:r>
      <w:r w:rsidR="00304D36" w:rsidRPr="004842AB">
        <w:rPr>
          <w:rFonts w:ascii="Arial" w:hAnsi="Arial" w:cs="Arial"/>
          <w:sz w:val="22"/>
          <w:szCs w:val="22"/>
        </w:rPr>
        <w:t xml:space="preserve">be </w:t>
      </w:r>
      <w:r w:rsidRPr="004842AB">
        <w:rPr>
          <w:rFonts w:ascii="Arial" w:hAnsi="Arial" w:cs="Arial"/>
          <w:sz w:val="22"/>
          <w:szCs w:val="22"/>
        </w:rPr>
        <w:t xml:space="preserve">flexible and able to respond to future shifts in technology and consumer preferences as far as possible </w:t>
      </w:r>
    </w:p>
    <w:p w14:paraId="0C32D200" w14:textId="104821A5" w:rsidR="00AD5E99" w:rsidRDefault="00AD5E99" w:rsidP="00B813C1">
      <w:pPr>
        <w:pStyle w:val="CabStandard"/>
        <w:numPr>
          <w:ilvl w:val="1"/>
          <w:numId w:val="1"/>
        </w:numPr>
        <w:tabs>
          <w:tab w:val="clear" w:pos="1440"/>
          <w:tab w:val="num" w:pos="1560"/>
        </w:tabs>
        <w:ind w:left="1276"/>
        <w:jc w:val="both"/>
        <w:rPr>
          <w:rFonts w:ascii="Arial" w:hAnsi="Arial" w:cs="Arial"/>
          <w:sz w:val="22"/>
          <w:szCs w:val="22"/>
        </w:rPr>
      </w:pPr>
      <w:r w:rsidRPr="004842AB">
        <w:rPr>
          <w:rFonts w:ascii="Arial" w:hAnsi="Arial" w:cs="Arial"/>
          <w:sz w:val="22"/>
          <w:szCs w:val="22"/>
        </w:rPr>
        <w:t>Criterion 4: any changes to the law must consider tikanga Māori, other cultural or religious practices, and the dignity of the deceased and those who remain</w:t>
      </w:r>
      <w:r w:rsidR="00304D36">
        <w:rPr>
          <w:rFonts w:ascii="Arial" w:hAnsi="Arial" w:cs="Arial"/>
          <w:sz w:val="22"/>
          <w:szCs w:val="22"/>
        </w:rPr>
        <w:t>.</w:t>
      </w:r>
    </w:p>
    <w:p w14:paraId="6E9DC2B4" w14:textId="77777777" w:rsidR="005C7DD1" w:rsidRDefault="005C7DD1">
      <w:pPr>
        <w:rPr>
          <w:rFonts w:ascii="Arial" w:eastAsia="Times New Roman" w:hAnsi="Arial" w:cs="Arial"/>
          <w:i/>
          <w:lang w:val="en-GB" w:eastAsia="ja-JP"/>
        </w:rPr>
      </w:pPr>
      <w:r>
        <w:rPr>
          <w:rFonts w:ascii="Arial" w:hAnsi="Arial" w:cs="Arial"/>
          <w:i/>
        </w:rPr>
        <w:br w:type="page"/>
      </w:r>
    </w:p>
    <w:p w14:paraId="25E90C16" w14:textId="05357387" w:rsidR="004842AB" w:rsidRPr="004842AB" w:rsidRDefault="004842AB" w:rsidP="00D2549C">
      <w:pPr>
        <w:pStyle w:val="CabStandard"/>
        <w:numPr>
          <w:ilvl w:val="0"/>
          <w:numId w:val="0"/>
        </w:numPr>
        <w:jc w:val="both"/>
        <w:rPr>
          <w:rFonts w:ascii="Arial" w:hAnsi="Arial" w:cs="Arial"/>
          <w:i/>
          <w:sz w:val="22"/>
          <w:szCs w:val="22"/>
        </w:rPr>
      </w:pPr>
      <w:r w:rsidRPr="004842AB">
        <w:rPr>
          <w:rFonts w:ascii="Arial" w:hAnsi="Arial" w:cs="Arial"/>
          <w:i/>
          <w:sz w:val="22"/>
          <w:szCs w:val="22"/>
        </w:rPr>
        <w:lastRenderedPageBreak/>
        <w:t>Death Certification and Auditing</w:t>
      </w:r>
    </w:p>
    <w:p w14:paraId="05E2B48D" w14:textId="2E9BC10E" w:rsidR="00AB66FC" w:rsidRDefault="00C05C04" w:rsidP="00B813C1">
      <w:pPr>
        <w:pStyle w:val="CabStandard"/>
        <w:tabs>
          <w:tab w:val="clear" w:pos="720"/>
          <w:tab w:val="num" w:pos="567"/>
        </w:tabs>
        <w:ind w:left="567" w:hanging="567"/>
        <w:jc w:val="both"/>
        <w:rPr>
          <w:rFonts w:ascii="Arial" w:hAnsi="Arial" w:cs="Arial"/>
          <w:sz w:val="22"/>
          <w:szCs w:val="22"/>
        </w:rPr>
      </w:pPr>
      <w:r w:rsidRPr="00C05C04">
        <w:rPr>
          <w:rFonts w:ascii="Arial" w:hAnsi="Arial" w:cs="Arial"/>
          <w:sz w:val="22"/>
          <w:szCs w:val="22"/>
        </w:rPr>
        <w:t>Death certification is a term that describes the process of a certifying practitioner</w:t>
      </w:r>
      <w:r>
        <w:rPr>
          <w:rFonts w:ascii="Arial" w:hAnsi="Arial" w:cs="Arial"/>
          <w:sz w:val="22"/>
          <w:szCs w:val="22"/>
        </w:rPr>
        <w:t xml:space="preserve"> determining </w:t>
      </w:r>
      <w:r w:rsidRPr="00C05C04">
        <w:rPr>
          <w:rFonts w:ascii="Arial" w:hAnsi="Arial" w:cs="Arial"/>
          <w:sz w:val="22"/>
          <w:szCs w:val="22"/>
        </w:rPr>
        <w:t>the cause of death of a deceased person and issuing a Medical Certificate of Cause of Death (MCCD).</w:t>
      </w:r>
      <w:r>
        <w:rPr>
          <w:rFonts w:ascii="Arial" w:hAnsi="Arial" w:cs="Arial"/>
          <w:sz w:val="22"/>
          <w:szCs w:val="22"/>
        </w:rPr>
        <w:t xml:space="preserve"> The </w:t>
      </w:r>
      <w:r w:rsidR="005B59C9">
        <w:rPr>
          <w:rFonts w:ascii="Arial" w:hAnsi="Arial" w:cs="Arial"/>
          <w:sz w:val="22"/>
          <w:szCs w:val="22"/>
        </w:rPr>
        <w:t>Ministry</w:t>
      </w:r>
      <w:r>
        <w:rPr>
          <w:rFonts w:ascii="Arial" w:hAnsi="Arial" w:cs="Arial"/>
          <w:sz w:val="22"/>
          <w:szCs w:val="22"/>
        </w:rPr>
        <w:t xml:space="preserve"> of Health uses the MCCD to maintain</w:t>
      </w:r>
      <w:r w:rsidRPr="00C05C04">
        <w:rPr>
          <w:rFonts w:ascii="Arial" w:hAnsi="Arial" w:cs="Arial"/>
          <w:sz w:val="22"/>
          <w:szCs w:val="22"/>
        </w:rPr>
        <w:t xml:space="preserve"> accurate </w:t>
      </w:r>
      <w:r w:rsidR="008D21C2">
        <w:rPr>
          <w:rFonts w:ascii="Arial" w:hAnsi="Arial" w:cs="Arial"/>
          <w:sz w:val="22"/>
          <w:szCs w:val="22"/>
        </w:rPr>
        <w:t>cause of death statistics</w:t>
      </w:r>
      <w:r w:rsidR="00AB66FC">
        <w:rPr>
          <w:rFonts w:ascii="Arial" w:hAnsi="Arial" w:cs="Arial"/>
          <w:sz w:val="22"/>
          <w:szCs w:val="22"/>
        </w:rPr>
        <w:t>.</w:t>
      </w:r>
      <w:r>
        <w:rPr>
          <w:rFonts w:ascii="Arial" w:hAnsi="Arial" w:cs="Arial"/>
          <w:sz w:val="22"/>
          <w:szCs w:val="22"/>
        </w:rPr>
        <w:t xml:space="preserve"> </w:t>
      </w:r>
      <w:r w:rsidR="00AB66FC">
        <w:rPr>
          <w:rFonts w:ascii="Arial" w:hAnsi="Arial" w:cs="Arial"/>
          <w:sz w:val="22"/>
          <w:szCs w:val="22"/>
        </w:rPr>
        <w:t>A</w:t>
      </w:r>
      <w:r>
        <w:rPr>
          <w:rFonts w:ascii="Arial" w:hAnsi="Arial" w:cs="Arial"/>
          <w:sz w:val="22"/>
          <w:szCs w:val="22"/>
        </w:rPr>
        <w:t xml:space="preserve">uditing is the process of checking the accuracy and completeness of the MCCD. </w:t>
      </w:r>
      <w:r w:rsidR="00D04168">
        <w:rPr>
          <w:rFonts w:ascii="Arial" w:hAnsi="Arial" w:cs="Arial"/>
          <w:sz w:val="22"/>
          <w:szCs w:val="22"/>
        </w:rPr>
        <w:t xml:space="preserve">There is currently no formal approach to auditing cause of death certification in New Zealand. </w:t>
      </w:r>
      <w:r w:rsidR="00AB66FC" w:rsidRPr="000175FC">
        <w:rPr>
          <w:rFonts w:ascii="Arial" w:hAnsi="Arial" w:cs="Arial"/>
          <w:sz w:val="22"/>
          <w:szCs w:val="22"/>
        </w:rPr>
        <w:t>The Law Commission found that the current death certification system does not reflect modern medical practice</w:t>
      </w:r>
      <w:r w:rsidR="00AB66FC">
        <w:rPr>
          <w:rFonts w:ascii="Arial" w:hAnsi="Arial" w:cs="Arial"/>
          <w:sz w:val="22"/>
          <w:szCs w:val="22"/>
        </w:rPr>
        <w:t xml:space="preserve"> and lacked formal quality assurance</w:t>
      </w:r>
      <w:r w:rsidR="00AB66FC" w:rsidRPr="000175FC">
        <w:rPr>
          <w:rFonts w:ascii="Arial" w:hAnsi="Arial" w:cs="Arial"/>
          <w:sz w:val="22"/>
          <w:szCs w:val="22"/>
        </w:rPr>
        <w:t xml:space="preserve">. </w:t>
      </w:r>
    </w:p>
    <w:p w14:paraId="16C82EC4" w14:textId="173A8C78" w:rsidR="004842AB" w:rsidRPr="004842AB" w:rsidRDefault="00D04168" w:rsidP="004545E0">
      <w:pPr>
        <w:pStyle w:val="CabStandard"/>
        <w:tabs>
          <w:tab w:val="clear" w:pos="720"/>
          <w:tab w:val="num" w:pos="567"/>
        </w:tabs>
        <w:ind w:left="567" w:hanging="567"/>
        <w:jc w:val="both"/>
        <w:rPr>
          <w:rFonts w:ascii="Arial" w:hAnsi="Arial" w:cs="Arial"/>
          <w:sz w:val="22"/>
          <w:szCs w:val="22"/>
        </w:rPr>
      </w:pPr>
      <w:r w:rsidRPr="00C05C04">
        <w:rPr>
          <w:rFonts w:ascii="Arial" w:hAnsi="Arial" w:cs="Arial"/>
          <w:sz w:val="22"/>
          <w:szCs w:val="22"/>
        </w:rPr>
        <w:t xml:space="preserve">The </w:t>
      </w:r>
      <w:r w:rsidR="007A5C5F">
        <w:rPr>
          <w:rFonts w:ascii="Arial" w:hAnsi="Arial" w:cs="Arial"/>
          <w:sz w:val="22"/>
          <w:szCs w:val="22"/>
        </w:rPr>
        <w:t>consultation document</w:t>
      </w:r>
      <w:r w:rsidRPr="00C05C04">
        <w:rPr>
          <w:rFonts w:ascii="Arial" w:hAnsi="Arial" w:cs="Arial"/>
          <w:sz w:val="22"/>
          <w:szCs w:val="22"/>
        </w:rPr>
        <w:t xml:space="preserve"> outlines three options </w:t>
      </w:r>
      <w:r>
        <w:rPr>
          <w:rFonts w:ascii="Arial" w:hAnsi="Arial" w:cs="Arial"/>
          <w:sz w:val="22"/>
          <w:szCs w:val="22"/>
        </w:rPr>
        <w:t xml:space="preserve">to reform the process for death certification including </w:t>
      </w:r>
      <w:r w:rsidR="00295796">
        <w:rPr>
          <w:rFonts w:ascii="Arial" w:hAnsi="Arial" w:cs="Arial"/>
          <w:sz w:val="22"/>
          <w:szCs w:val="22"/>
        </w:rPr>
        <w:t>a</w:t>
      </w:r>
      <w:r>
        <w:rPr>
          <w:rFonts w:ascii="Arial" w:hAnsi="Arial" w:cs="Arial"/>
          <w:sz w:val="22"/>
          <w:szCs w:val="22"/>
        </w:rPr>
        <w:t xml:space="preserve"> status quo</w:t>
      </w:r>
      <w:r w:rsidR="00295796">
        <w:rPr>
          <w:rFonts w:ascii="Arial" w:hAnsi="Arial" w:cs="Arial"/>
          <w:sz w:val="22"/>
          <w:szCs w:val="22"/>
        </w:rPr>
        <w:t xml:space="preserve"> option</w:t>
      </w:r>
      <w:r>
        <w:rPr>
          <w:rFonts w:ascii="Arial" w:hAnsi="Arial" w:cs="Arial"/>
          <w:sz w:val="22"/>
          <w:szCs w:val="22"/>
        </w:rPr>
        <w:t xml:space="preserve">, </w:t>
      </w:r>
      <w:r w:rsidR="00295796">
        <w:rPr>
          <w:rFonts w:ascii="Arial" w:hAnsi="Arial" w:cs="Arial"/>
          <w:sz w:val="22"/>
          <w:szCs w:val="22"/>
        </w:rPr>
        <w:t xml:space="preserve">and two other options based on </w:t>
      </w:r>
      <w:r>
        <w:rPr>
          <w:rFonts w:ascii="Arial" w:hAnsi="Arial" w:cs="Arial"/>
          <w:sz w:val="22"/>
          <w:szCs w:val="22"/>
        </w:rPr>
        <w:t xml:space="preserve">adopting most or all of the Law Commission’s recommendations. </w:t>
      </w:r>
      <w:r w:rsidR="004842AB" w:rsidRPr="004842AB">
        <w:rPr>
          <w:rFonts w:ascii="Arial" w:hAnsi="Arial" w:cs="Arial"/>
          <w:sz w:val="22"/>
          <w:szCs w:val="22"/>
        </w:rPr>
        <w:t xml:space="preserve">The Ministry of Health’s preferred approach </w:t>
      </w:r>
      <w:r w:rsidR="000175FC">
        <w:rPr>
          <w:rFonts w:ascii="Arial" w:hAnsi="Arial" w:cs="Arial"/>
          <w:sz w:val="22"/>
          <w:szCs w:val="22"/>
        </w:rPr>
        <w:t>would</w:t>
      </w:r>
      <w:r w:rsidR="004842AB" w:rsidRPr="004842AB">
        <w:rPr>
          <w:rFonts w:ascii="Arial" w:hAnsi="Arial" w:cs="Arial"/>
          <w:sz w:val="22"/>
          <w:szCs w:val="22"/>
        </w:rPr>
        <w:t xml:space="preserve"> creat</w:t>
      </w:r>
      <w:r w:rsidR="000175FC">
        <w:rPr>
          <w:rFonts w:ascii="Arial" w:hAnsi="Arial" w:cs="Arial"/>
          <w:sz w:val="22"/>
          <w:szCs w:val="22"/>
        </w:rPr>
        <w:t>e</w:t>
      </w:r>
      <w:r w:rsidR="004842AB" w:rsidRPr="004842AB">
        <w:rPr>
          <w:rFonts w:ascii="Arial" w:hAnsi="Arial" w:cs="Arial"/>
          <w:sz w:val="22"/>
          <w:szCs w:val="22"/>
        </w:rPr>
        <w:t xml:space="preserve"> statutory oversight of the quality of outputs and outcomes from the death certification </w:t>
      </w:r>
      <w:r w:rsidR="00295796">
        <w:rPr>
          <w:rFonts w:ascii="Arial" w:hAnsi="Arial" w:cs="Arial"/>
          <w:sz w:val="22"/>
          <w:szCs w:val="22"/>
        </w:rPr>
        <w:t xml:space="preserve">process </w:t>
      </w:r>
      <w:r w:rsidR="004842AB" w:rsidRPr="004842AB">
        <w:rPr>
          <w:rFonts w:ascii="Arial" w:hAnsi="Arial" w:cs="Arial"/>
          <w:sz w:val="22"/>
          <w:szCs w:val="22"/>
        </w:rPr>
        <w:t xml:space="preserve">and update the law relating </w:t>
      </w:r>
      <w:r w:rsidR="00AB66FC">
        <w:rPr>
          <w:rFonts w:ascii="Arial" w:hAnsi="Arial" w:cs="Arial"/>
          <w:sz w:val="22"/>
          <w:szCs w:val="22"/>
        </w:rPr>
        <w:t xml:space="preserve">to </w:t>
      </w:r>
      <w:r w:rsidR="004842AB" w:rsidRPr="004842AB">
        <w:rPr>
          <w:rFonts w:ascii="Arial" w:hAnsi="Arial" w:cs="Arial"/>
          <w:sz w:val="22"/>
          <w:szCs w:val="22"/>
        </w:rPr>
        <w:t>who and how a person can certify cause of death</w:t>
      </w:r>
      <w:r w:rsidR="00295796">
        <w:rPr>
          <w:rFonts w:ascii="Arial" w:hAnsi="Arial" w:cs="Arial"/>
          <w:sz w:val="22"/>
          <w:szCs w:val="22"/>
        </w:rPr>
        <w:t>.</w:t>
      </w:r>
    </w:p>
    <w:p w14:paraId="1D4E5F80" w14:textId="44BA6F98" w:rsidR="00D04168" w:rsidRPr="007A5C5F" w:rsidRDefault="00D04168" w:rsidP="007A5C5F">
      <w:pPr>
        <w:pStyle w:val="CabStandard"/>
        <w:tabs>
          <w:tab w:val="clear" w:pos="720"/>
          <w:tab w:val="num" w:pos="567"/>
        </w:tabs>
        <w:ind w:left="567" w:hanging="567"/>
        <w:jc w:val="both"/>
        <w:rPr>
          <w:rFonts w:ascii="Arial" w:hAnsi="Arial" w:cs="Arial"/>
          <w:i/>
          <w:sz w:val="22"/>
          <w:szCs w:val="22"/>
        </w:rPr>
      </w:pPr>
      <w:r w:rsidRPr="00C05C04">
        <w:rPr>
          <w:rFonts w:ascii="Arial" w:hAnsi="Arial" w:cs="Arial"/>
          <w:sz w:val="22"/>
          <w:szCs w:val="22"/>
        </w:rPr>
        <w:t xml:space="preserve">The </w:t>
      </w:r>
      <w:r w:rsidR="007A5C5F">
        <w:rPr>
          <w:rFonts w:ascii="Arial" w:hAnsi="Arial" w:cs="Arial"/>
          <w:sz w:val="22"/>
          <w:szCs w:val="22"/>
        </w:rPr>
        <w:t>consultation document</w:t>
      </w:r>
      <w:r w:rsidRPr="00C05C04">
        <w:rPr>
          <w:rFonts w:ascii="Arial" w:hAnsi="Arial" w:cs="Arial"/>
          <w:sz w:val="22"/>
          <w:szCs w:val="22"/>
        </w:rPr>
        <w:t xml:space="preserve"> outlines </w:t>
      </w:r>
      <w:r w:rsidR="00295796">
        <w:rPr>
          <w:rFonts w:ascii="Arial" w:hAnsi="Arial" w:cs="Arial"/>
          <w:sz w:val="22"/>
          <w:szCs w:val="22"/>
        </w:rPr>
        <w:t xml:space="preserve">a further </w:t>
      </w:r>
      <w:r w:rsidRPr="00C05C04">
        <w:rPr>
          <w:rFonts w:ascii="Arial" w:hAnsi="Arial" w:cs="Arial"/>
          <w:sz w:val="22"/>
          <w:szCs w:val="22"/>
        </w:rPr>
        <w:t xml:space="preserve">three options </w:t>
      </w:r>
      <w:r>
        <w:rPr>
          <w:rFonts w:ascii="Arial" w:hAnsi="Arial" w:cs="Arial"/>
          <w:sz w:val="22"/>
          <w:szCs w:val="22"/>
        </w:rPr>
        <w:t xml:space="preserve">for </w:t>
      </w:r>
      <w:r w:rsidR="00295796">
        <w:rPr>
          <w:rFonts w:ascii="Arial" w:hAnsi="Arial" w:cs="Arial"/>
          <w:sz w:val="22"/>
          <w:szCs w:val="22"/>
        </w:rPr>
        <w:t xml:space="preserve">updating the </w:t>
      </w:r>
      <w:r>
        <w:rPr>
          <w:rFonts w:ascii="Arial" w:hAnsi="Arial" w:cs="Arial"/>
          <w:sz w:val="22"/>
          <w:szCs w:val="22"/>
        </w:rPr>
        <w:t xml:space="preserve">auditing </w:t>
      </w:r>
      <w:r w:rsidR="00295796">
        <w:rPr>
          <w:rFonts w:ascii="Arial" w:hAnsi="Arial" w:cs="Arial"/>
          <w:sz w:val="22"/>
          <w:szCs w:val="22"/>
        </w:rPr>
        <w:t xml:space="preserve">of </w:t>
      </w:r>
      <w:r>
        <w:rPr>
          <w:rFonts w:ascii="Arial" w:hAnsi="Arial" w:cs="Arial"/>
          <w:sz w:val="22"/>
          <w:szCs w:val="22"/>
        </w:rPr>
        <w:t xml:space="preserve">death certification including the status quo, establishing </w:t>
      </w:r>
      <w:r w:rsidRPr="00D04168">
        <w:rPr>
          <w:rFonts w:ascii="Arial" w:hAnsi="Arial" w:cs="Arial"/>
          <w:sz w:val="22"/>
          <w:szCs w:val="22"/>
        </w:rPr>
        <w:t xml:space="preserve">a </w:t>
      </w:r>
      <w:r>
        <w:rPr>
          <w:rFonts w:ascii="Arial" w:hAnsi="Arial" w:cs="Arial"/>
          <w:sz w:val="22"/>
          <w:szCs w:val="22"/>
        </w:rPr>
        <w:t>d</w:t>
      </w:r>
      <w:r w:rsidRPr="00D04168">
        <w:rPr>
          <w:rFonts w:ascii="Arial" w:hAnsi="Arial" w:cs="Arial"/>
          <w:sz w:val="22"/>
          <w:szCs w:val="22"/>
        </w:rPr>
        <w:t>eath</w:t>
      </w:r>
      <w:r>
        <w:rPr>
          <w:rFonts w:ascii="Arial" w:hAnsi="Arial" w:cs="Arial"/>
          <w:sz w:val="22"/>
          <w:szCs w:val="22"/>
        </w:rPr>
        <w:t xml:space="preserve"> c</w:t>
      </w:r>
      <w:r w:rsidRPr="00D04168">
        <w:rPr>
          <w:rFonts w:ascii="Arial" w:hAnsi="Arial" w:cs="Arial"/>
          <w:sz w:val="22"/>
          <w:szCs w:val="22"/>
        </w:rPr>
        <w:t xml:space="preserve">ertification </w:t>
      </w:r>
      <w:r>
        <w:rPr>
          <w:rFonts w:ascii="Arial" w:hAnsi="Arial" w:cs="Arial"/>
          <w:sz w:val="22"/>
          <w:szCs w:val="22"/>
        </w:rPr>
        <w:t>a</w:t>
      </w:r>
      <w:r w:rsidRPr="00D04168">
        <w:rPr>
          <w:rFonts w:ascii="Arial" w:hAnsi="Arial" w:cs="Arial"/>
          <w:sz w:val="22"/>
          <w:szCs w:val="22"/>
        </w:rPr>
        <w:t xml:space="preserve">uditing </w:t>
      </w:r>
      <w:r>
        <w:rPr>
          <w:rFonts w:ascii="Arial" w:hAnsi="Arial" w:cs="Arial"/>
          <w:sz w:val="22"/>
          <w:szCs w:val="22"/>
        </w:rPr>
        <w:t>c</w:t>
      </w:r>
      <w:r w:rsidRPr="00D04168">
        <w:rPr>
          <w:rFonts w:ascii="Arial" w:hAnsi="Arial" w:cs="Arial"/>
          <w:sz w:val="22"/>
          <w:szCs w:val="22"/>
        </w:rPr>
        <w:t>ommittee system</w:t>
      </w:r>
      <w:r>
        <w:rPr>
          <w:rFonts w:ascii="Arial" w:hAnsi="Arial" w:cs="Arial"/>
          <w:sz w:val="22"/>
          <w:szCs w:val="22"/>
        </w:rPr>
        <w:t xml:space="preserve">, and creating </w:t>
      </w:r>
      <w:r w:rsidRPr="00D04168">
        <w:rPr>
          <w:rFonts w:ascii="Arial" w:hAnsi="Arial" w:cs="Arial"/>
          <w:sz w:val="22"/>
          <w:szCs w:val="22"/>
        </w:rPr>
        <w:t>a statutory position of ‘cause of death reviewer’</w:t>
      </w:r>
      <w:r>
        <w:rPr>
          <w:rFonts w:ascii="Arial" w:hAnsi="Arial" w:cs="Arial"/>
          <w:sz w:val="22"/>
          <w:szCs w:val="22"/>
        </w:rPr>
        <w:t>. The Ministry</w:t>
      </w:r>
      <w:r w:rsidRPr="004842AB">
        <w:rPr>
          <w:rFonts w:ascii="Arial" w:hAnsi="Arial" w:cs="Arial"/>
          <w:sz w:val="22"/>
          <w:szCs w:val="22"/>
        </w:rPr>
        <w:t xml:space="preserve"> </w:t>
      </w:r>
      <w:r w:rsidR="005C7DD1">
        <w:rPr>
          <w:rFonts w:ascii="Arial" w:hAnsi="Arial" w:cs="Arial"/>
          <w:sz w:val="22"/>
          <w:szCs w:val="22"/>
        </w:rPr>
        <w:t xml:space="preserve">of Health </w:t>
      </w:r>
      <w:r w:rsidRPr="004842AB">
        <w:rPr>
          <w:rFonts w:ascii="Arial" w:hAnsi="Arial" w:cs="Arial"/>
          <w:sz w:val="22"/>
          <w:szCs w:val="22"/>
        </w:rPr>
        <w:t>prefer</w:t>
      </w:r>
      <w:r>
        <w:rPr>
          <w:rFonts w:ascii="Arial" w:hAnsi="Arial" w:cs="Arial"/>
          <w:sz w:val="22"/>
          <w:szCs w:val="22"/>
        </w:rPr>
        <w:t>s</w:t>
      </w:r>
      <w:r w:rsidRPr="004842AB">
        <w:rPr>
          <w:rFonts w:ascii="Arial" w:hAnsi="Arial" w:cs="Arial"/>
          <w:sz w:val="22"/>
          <w:szCs w:val="22"/>
        </w:rPr>
        <w:t xml:space="preserve"> </w:t>
      </w:r>
      <w:r>
        <w:rPr>
          <w:rFonts w:ascii="Arial" w:hAnsi="Arial" w:cs="Arial"/>
          <w:sz w:val="22"/>
          <w:szCs w:val="22"/>
        </w:rPr>
        <w:t xml:space="preserve">establishing a system of </w:t>
      </w:r>
      <w:r w:rsidRPr="004842AB">
        <w:rPr>
          <w:rFonts w:ascii="Arial" w:hAnsi="Arial" w:cs="Arial"/>
          <w:sz w:val="22"/>
          <w:szCs w:val="22"/>
        </w:rPr>
        <w:t>death certification auditing committee</w:t>
      </w:r>
      <w:r>
        <w:rPr>
          <w:rFonts w:ascii="Arial" w:hAnsi="Arial" w:cs="Arial"/>
          <w:sz w:val="22"/>
          <w:szCs w:val="22"/>
        </w:rPr>
        <w:t>s (</w:t>
      </w:r>
      <w:r w:rsidRPr="004842AB">
        <w:rPr>
          <w:rFonts w:ascii="Arial" w:hAnsi="Arial" w:cs="Arial"/>
          <w:sz w:val="22"/>
          <w:szCs w:val="22"/>
        </w:rPr>
        <w:t>which already exist within some DHBs</w:t>
      </w:r>
      <w:r>
        <w:rPr>
          <w:rFonts w:ascii="Arial" w:hAnsi="Arial" w:cs="Arial"/>
          <w:sz w:val="22"/>
          <w:szCs w:val="22"/>
        </w:rPr>
        <w:t>)</w:t>
      </w:r>
      <w:r w:rsidRPr="004842AB">
        <w:rPr>
          <w:rFonts w:ascii="Arial" w:hAnsi="Arial" w:cs="Arial"/>
          <w:sz w:val="22"/>
          <w:szCs w:val="22"/>
        </w:rPr>
        <w:t xml:space="preserve"> </w:t>
      </w:r>
      <w:r w:rsidR="005C7DD1">
        <w:rPr>
          <w:rFonts w:ascii="Arial" w:hAnsi="Arial" w:cs="Arial"/>
          <w:sz w:val="22"/>
          <w:szCs w:val="22"/>
        </w:rPr>
        <w:t>which</w:t>
      </w:r>
      <w:r w:rsidRPr="004842AB">
        <w:rPr>
          <w:rFonts w:ascii="Arial" w:hAnsi="Arial" w:cs="Arial"/>
          <w:sz w:val="22"/>
          <w:szCs w:val="22"/>
        </w:rPr>
        <w:t xml:space="preserve"> </w:t>
      </w:r>
      <w:r>
        <w:rPr>
          <w:rFonts w:ascii="Arial" w:hAnsi="Arial" w:cs="Arial"/>
          <w:sz w:val="22"/>
          <w:szCs w:val="22"/>
        </w:rPr>
        <w:t xml:space="preserve">would </w:t>
      </w:r>
      <w:r w:rsidRPr="004842AB">
        <w:rPr>
          <w:rFonts w:ascii="Arial" w:hAnsi="Arial" w:cs="Arial"/>
          <w:sz w:val="22"/>
          <w:szCs w:val="22"/>
        </w:rPr>
        <w:t>peer review cause of death determinations made within a defined geographic area (district).</w:t>
      </w:r>
      <w:r w:rsidR="002865A4">
        <w:rPr>
          <w:rFonts w:ascii="Arial" w:hAnsi="Arial" w:cs="Arial"/>
          <w:sz w:val="22"/>
          <w:szCs w:val="22"/>
        </w:rPr>
        <w:t xml:space="preserve"> A peer review committee </w:t>
      </w:r>
      <w:r w:rsidR="00263A0C">
        <w:rPr>
          <w:rFonts w:ascii="Arial" w:hAnsi="Arial" w:cs="Arial"/>
          <w:sz w:val="22"/>
          <w:szCs w:val="22"/>
        </w:rPr>
        <w:t xml:space="preserve">system will allow the sharing of </w:t>
      </w:r>
      <w:r w:rsidR="00263A0C" w:rsidRPr="00263A0C">
        <w:rPr>
          <w:rFonts w:ascii="Arial" w:hAnsi="Arial" w:cs="Arial"/>
          <w:sz w:val="22"/>
          <w:szCs w:val="22"/>
        </w:rPr>
        <w:t>guidance on completing MCCDs</w:t>
      </w:r>
      <w:r w:rsidR="00263A0C">
        <w:rPr>
          <w:rFonts w:ascii="Arial" w:hAnsi="Arial" w:cs="Arial"/>
          <w:sz w:val="22"/>
          <w:szCs w:val="22"/>
        </w:rPr>
        <w:t>, which</w:t>
      </w:r>
      <w:r w:rsidR="00263A0C" w:rsidRPr="00263A0C">
        <w:rPr>
          <w:rFonts w:ascii="Arial" w:hAnsi="Arial" w:cs="Arial"/>
          <w:sz w:val="22"/>
          <w:szCs w:val="22"/>
        </w:rPr>
        <w:t xml:space="preserve"> would help improve certifying practitioners’ decision-making, including improved guidance regarding the types of deaths that should be referred to the coroner</w:t>
      </w:r>
      <w:r w:rsidR="00263A0C">
        <w:rPr>
          <w:rFonts w:ascii="Arial" w:hAnsi="Arial" w:cs="Arial"/>
          <w:sz w:val="22"/>
          <w:szCs w:val="22"/>
        </w:rPr>
        <w:t>.</w:t>
      </w:r>
    </w:p>
    <w:p w14:paraId="221A48E4" w14:textId="35BAF99E" w:rsidR="009B0112" w:rsidRPr="004842AB" w:rsidRDefault="009B0112" w:rsidP="009B0112">
      <w:pPr>
        <w:pStyle w:val="CabStandard"/>
        <w:numPr>
          <w:ilvl w:val="0"/>
          <w:numId w:val="0"/>
        </w:numPr>
        <w:jc w:val="both"/>
        <w:rPr>
          <w:rFonts w:ascii="Arial" w:hAnsi="Arial" w:cs="Arial"/>
          <w:i/>
          <w:sz w:val="22"/>
          <w:szCs w:val="22"/>
        </w:rPr>
      </w:pPr>
      <w:r w:rsidRPr="004842AB">
        <w:rPr>
          <w:rFonts w:ascii="Arial" w:hAnsi="Arial" w:cs="Arial"/>
          <w:i/>
          <w:sz w:val="22"/>
          <w:szCs w:val="22"/>
        </w:rPr>
        <w:t>Regulation of the Funeral Services Sector</w:t>
      </w:r>
    </w:p>
    <w:p w14:paraId="161DBCDC" w14:textId="55FE176A" w:rsidR="00D04168" w:rsidRDefault="00357731" w:rsidP="004545E0">
      <w:pPr>
        <w:pStyle w:val="CabStandard"/>
        <w:tabs>
          <w:tab w:val="clear" w:pos="720"/>
          <w:tab w:val="num" w:pos="567"/>
        </w:tabs>
        <w:ind w:left="567" w:hanging="567"/>
        <w:jc w:val="both"/>
        <w:rPr>
          <w:rFonts w:ascii="Arial" w:hAnsi="Arial" w:cs="Arial"/>
          <w:sz w:val="22"/>
          <w:szCs w:val="22"/>
        </w:rPr>
      </w:pPr>
      <w:r>
        <w:rPr>
          <w:rFonts w:ascii="Arial" w:hAnsi="Arial" w:cs="Arial"/>
          <w:sz w:val="22"/>
          <w:szCs w:val="22"/>
        </w:rPr>
        <w:t>Currently</w:t>
      </w:r>
      <w:r w:rsidR="007E2CFA">
        <w:rPr>
          <w:rFonts w:ascii="Arial" w:hAnsi="Arial" w:cs="Arial"/>
          <w:sz w:val="22"/>
          <w:szCs w:val="22"/>
        </w:rPr>
        <w:t>,</w:t>
      </w:r>
      <w:r>
        <w:rPr>
          <w:rFonts w:ascii="Arial" w:hAnsi="Arial" w:cs="Arial"/>
          <w:sz w:val="22"/>
          <w:szCs w:val="22"/>
        </w:rPr>
        <w:t xml:space="preserve"> funeral directors are required to be registered with the local council in which they operate. However, the </w:t>
      </w:r>
      <w:r w:rsidR="009B0112" w:rsidRPr="004842AB">
        <w:rPr>
          <w:rFonts w:ascii="Arial" w:hAnsi="Arial" w:cs="Arial"/>
          <w:sz w:val="22"/>
          <w:szCs w:val="22"/>
        </w:rPr>
        <w:t xml:space="preserve">Law Commission </w:t>
      </w:r>
      <w:r w:rsidR="00D04168">
        <w:rPr>
          <w:rFonts w:ascii="Arial" w:hAnsi="Arial" w:cs="Arial"/>
          <w:sz w:val="22"/>
          <w:szCs w:val="22"/>
        </w:rPr>
        <w:t xml:space="preserve">found that </w:t>
      </w:r>
      <w:r>
        <w:rPr>
          <w:rFonts w:ascii="Arial" w:hAnsi="Arial" w:cs="Arial"/>
          <w:sz w:val="22"/>
          <w:szCs w:val="22"/>
        </w:rPr>
        <w:t>this requirement provides</w:t>
      </w:r>
      <w:r w:rsidR="00D04168" w:rsidRPr="00D04168">
        <w:rPr>
          <w:rFonts w:ascii="Arial" w:hAnsi="Arial" w:cs="Arial"/>
          <w:sz w:val="22"/>
          <w:szCs w:val="22"/>
        </w:rPr>
        <w:t xml:space="preserve"> limited protecti</w:t>
      </w:r>
      <w:r w:rsidR="00D04168">
        <w:rPr>
          <w:rFonts w:ascii="Arial" w:hAnsi="Arial" w:cs="Arial"/>
          <w:sz w:val="22"/>
          <w:szCs w:val="22"/>
        </w:rPr>
        <w:t xml:space="preserve">on for </w:t>
      </w:r>
      <w:r w:rsidR="00D04168" w:rsidRPr="00D04168">
        <w:rPr>
          <w:rFonts w:ascii="Arial" w:hAnsi="Arial" w:cs="Arial"/>
          <w:sz w:val="22"/>
          <w:szCs w:val="22"/>
        </w:rPr>
        <w:t>consumers who purchase funeral services and are unhappy with the service they receive</w:t>
      </w:r>
      <w:r>
        <w:rPr>
          <w:rFonts w:ascii="Arial" w:hAnsi="Arial" w:cs="Arial"/>
          <w:sz w:val="22"/>
          <w:szCs w:val="22"/>
        </w:rPr>
        <w:t xml:space="preserve">, especially from </w:t>
      </w:r>
      <w:r w:rsidRPr="00357731">
        <w:rPr>
          <w:rFonts w:ascii="Arial" w:hAnsi="Arial" w:cs="Arial"/>
          <w:sz w:val="22"/>
          <w:szCs w:val="22"/>
        </w:rPr>
        <w:t>poorly run funeral</w:t>
      </w:r>
      <w:r>
        <w:rPr>
          <w:rFonts w:ascii="Arial" w:hAnsi="Arial" w:cs="Arial"/>
          <w:sz w:val="22"/>
          <w:szCs w:val="22"/>
        </w:rPr>
        <w:t>s</w:t>
      </w:r>
      <w:r w:rsidRPr="00357731">
        <w:rPr>
          <w:rFonts w:ascii="Arial" w:hAnsi="Arial" w:cs="Arial"/>
          <w:sz w:val="22"/>
          <w:szCs w:val="22"/>
        </w:rPr>
        <w:t>, and/or disputes around unexpectedly high bills received for funeral service</w:t>
      </w:r>
      <w:r w:rsidR="00DC16A8">
        <w:rPr>
          <w:rFonts w:ascii="Arial" w:hAnsi="Arial" w:cs="Arial"/>
          <w:sz w:val="22"/>
          <w:szCs w:val="22"/>
        </w:rPr>
        <w:t>s</w:t>
      </w:r>
      <w:r>
        <w:rPr>
          <w:rFonts w:ascii="Arial" w:hAnsi="Arial" w:cs="Arial"/>
          <w:sz w:val="22"/>
          <w:szCs w:val="22"/>
        </w:rPr>
        <w:t>.</w:t>
      </w:r>
    </w:p>
    <w:p w14:paraId="674FE684" w14:textId="3F57FF13" w:rsidR="00357731" w:rsidRPr="00DC16A8" w:rsidRDefault="00357731" w:rsidP="00442B84">
      <w:pPr>
        <w:pStyle w:val="CabStandard"/>
        <w:tabs>
          <w:tab w:val="clear" w:pos="720"/>
          <w:tab w:val="num" w:pos="567"/>
        </w:tabs>
        <w:ind w:left="567" w:hanging="567"/>
        <w:jc w:val="both"/>
        <w:rPr>
          <w:rFonts w:ascii="Arial" w:hAnsi="Arial" w:cs="Arial"/>
          <w:sz w:val="22"/>
          <w:szCs w:val="22"/>
        </w:rPr>
      </w:pPr>
      <w:r w:rsidRPr="00DC16A8">
        <w:rPr>
          <w:rFonts w:ascii="Arial" w:hAnsi="Arial" w:cs="Arial"/>
          <w:sz w:val="22"/>
          <w:szCs w:val="22"/>
        </w:rPr>
        <w:t xml:space="preserve">The </w:t>
      </w:r>
      <w:r w:rsidR="007A5C5F">
        <w:rPr>
          <w:rFonts w:ascii="Arial" w:hAnsi="Arial" w:cs="Arial"/>
          <w:sz w:val="22"/>
          <w:szCs w:val="22"/>
        </w:rPr>
        <w:t>consultation document</w:t>
      </w:r>
      <w:r w:rsidRPr="00DC16A8">
        <w:rPr>
          <w:rFonts w:ascii="Arial" w:hAnsi="Arial" w:cs="Arial"/>
          <w:sz w:val="22"/>
          <w:szCs w:val="22"/>
        </w:rPr>
        <w:t xml:space="preserve"> outlines four options in relation to regulating the funeral services sector including the status quo, removing the registration requirement, central government registration, and central regulation (including good character and training requirements). The Ministry of Health’s preferred option is to retain the status quo. Although there is a theoretical justification to increase regulatory protections for consumers, officials do not consider there is enough of a case to warrant government regulatory intervention. The Ministry </w:t>
      </w:r>
      <w:r w:rsidR="005C7DD1">
        <w:rPr>
          <w:rFonts w:ascii="Arial" w:hAnsi="Arial" w:cs="Arial"/>
          <w:sz w:val="22"/>
          <w:szCs w:val="22"/>
        </w:rPr>
        <w:t xml:space="preserve">of Health </w:t>
      </w:r>
      <w:r w:rsidRPr="00DC16A8">
        <w:rPr>
          <w:rFonts w:ascii="Arial" w:hAnsi="Arial" w:cs="Arial"/>
          <w:sz w:val="22"/>
          <w:szCs w:val="22"/>
        </w:rPr>
        <w:t xml:space="preserve">is not aware of any conclusive and compelling evidence that there is </w:t>
      </w:r>
      <w:r w:rsidR="00416C17">
        <w:rPr>
          <w:rFonts w:ascii="Arial" w:hAnsi="Arial" w:cs="Arial"/>
          <w:sz w:val="22"/>
          <w:szCs w:val="22"/>
        </w:rPr>
        <w:t xml:space="preserve">a </w:t>
      </w:r>
      <w:r w:rsidRPr="00DC16A8">
        <w:rPr>
          <w:rFonts w:ascii="Arial" w:hAnsi="Arial" w:cs="Arial"/>
          <w:sz w:val="22"/>
          <w:szCs w:val="22"/>
        </w:rPr>
        <w:t xml:space="preserve">general lack of competency in the funeral services sector or any significant risk to the public that requires immediate intervention. </w:t>
      </w:r>
    </w:p>
    <w:p w14:paraId="5B5E0D82" w14:textId="078B11DB" w:rsidR="00263A0C" w:rsidRDefault="00357731" w:rsidP="00263A0C">
      <w:pPr>
        <w:pStyle w:val="CabStandard"/>
        <w:tabs>
          <w:tab w:val="clear" w:pos="720"/>
          <w:tab w:val="num" w:pos="567"/>
        </w:tabs>
        <w:ind w:left="567" w:hanging="567"/>
        <w:jc w:val="both"/>
        <w:rPr>
          <w:rFonts w:ascii="Arial" w:hAnsi="Arial" w:cs="Arial"/>
          <w:sz w:val="22"/>
          <w:szCs w:val="22"/>
        </w:rPr>
      </w:pPr>
      <w:r w:rsidRPr="00357731">
        <w:rPr>
          <w:rFonts w:ascii="Arial" w:hAnsi="Arial" w:cs="Arial"/>
          <w:sz w:val="22"/>
          <w:szCs w:val="22"/>
        </w:rPr>
        <w:t xml:space="preserve">The Law Commission </w:t>
      </w:r>
      <w:r w:rsidR="009B0112" w:rsidRPr="00357731">
        <w:rPr>
          <w:rFonts w:ascii="Arial" w:hAnsi="Arial" w:cs="Arial"/>
          <w:sz w:val="22"/>
          <w:szCs w:val="22"/>
        </w:rPr>
        <w:t>also recommend</w:t>
      </w:r>
      <w:r w:rsidR="00AB66FC" w:rsidRPr="00357731">
        <w:rPr>
          <w:rFonts w:ascii="Arial" w:hAnsi="Arial" w:cs="Arial"/>
          <w:sz w:val="22"/>
          <w:szCs w:val="22"/>
        </w:rPr>
        <w:t>ed</w:t>
      </w:r>
      <w:r w:rsidR="009B0112" w:rsidRPr="00357731">
        <w:rPr>
          <w:rFonts w:ascii="Arial" w:hAnsi="Arial" w:cs="Arial"/>
          <w:sz w:val="22"/>
          <w:szCs w:val="22"/>
        </w:rPr>
        <w:t xml:space="preserve"> that funeral service providers </w:t>
      </w:r>
      <w:r w:rsidRPr="00357731">
        <w:rPr>
          <w:rFonts w:ascii="Arial" w:hAnsi="Arial" w:cs="Arial"/>
          <w:sz w:val="22"/>
          <w:szCs w:val="22"/>
        </w:rPr>
        <w:t xml:space="preserve">should be more transparent about their costs. The </w:t>
      </w:r>
      <w:r w:rsidR="007A5C5F">
        <w:rPr>
          <w:rFonts w:ascii="Arial" w:hAnsi="Arial" w:cs="Arial"/>
          <w:sz w:val="22"/>
          <w:szCs w:val="22"/>
        </w:rPr>
        <w:t>consultation document</w:t>
      </w:r>
      <w:r w:rsidRPr="00357731">
        <w:rPr>
          <w:rFonts w:ascii="Arial" w:hAnsi="Arial" w:cs="Arial"/>
          <w:sz w:val="22"/>
          <w:szCs w:val="22"/>
        </w:rPr>
        <w:t xml:space="preserve"> outlines three options including the status quo, </w:t>
      </w:r>
      <w:r w:rsidR="003923A1">
        <w:rPr>
          <w:rFonts w:ascii="Arial" w:hAnsi="Arial" w:cs="Arial"/>
          <w:sz w:val="22"/>
          <w:szCs w:val="22"/>
        </w:rPr>
        <w:t>m</w:t>
      </w:r>
      <w:r w:rsidRPr="00357731">
        <w:rPr>
          <w:rFonts w:ascii="Arial" w:hAnsi="Arial" w:cs="Arial"/>
          <w:sz w:val="22"/>
          <w:szCs w:val="22"/>
        </w:rPr>
        <w:t>andatory disclosure of some component prices</w:t>
      </w:r>
      <w:r>
        <w:rPr>
          <w:rFonts w:ascii="Arial" w:hAnsi="Arial" w:cs="Arial"/>
          <w:sz w:val="22"/>
          <w:szCs w:val="22"/>
        </w:rPr>
        <w:t xml:space="preserve">, and </w:t>
      </w:r>
      <w:r w:rsidR="003923A1">
        <w:rPr>
          <w:rFonts w:ascii="Arial" w:hAnsi="Arial" w:cs="Arial"/>
          <w:sz w:val="22"/>
          <w:szCs w:val="22"/>
        </w:rPr>
        <w:t>m</w:t>
      </w:r>
      <w:r w:rsidRPr="00357731">
        <w:rPr>
          <w:rFonts w:ascii="Arial" w:hAnsi="Arial" w:cs="Arial"/>
          <w:sz w:val="22"/>
          <w:szCs w:val="22"/>
        </w:rPr>
        <w:t>andatory disclosure of all component prices</w:t>
      </w:r>
      <w:r>
        <w:rPr>
          <w:rFonts w:ascii="Arial" w:hAnsi="Arial" w:cs="Arial"/>
          <w:sz w:val="22"/>
          <w:szCs w:val="22"/>
        </w:rPr>
        <w:t xml:space="preserve">. The </w:t>
      </w:r>
      <w:r w:rsidRPr="004842AB">
        <w:rPr>
          <w:rFonts w:ascii="Arial" w:hAnsi="Arial" w:cs="Arial"/>
          <w:sz w:val="22"/>
          <w:szCs w:val="22"/>
        </w:rPr>
        <w:t>Ministry of Health’s preferred option is to retain the status quo</w:t>
      </w:r>
      <w:r w:rsidR="0029716E">
        <w:rPr>
          <w:rFonts w:ascii="Arial" w:hAnsi="Arial" w:cs="Arial"/>
          <w:sz w:val="22"/>
          <w:szCs w:val="22"/>
        </w:rPr>
        <w:t xml:space="preserve"> </w:t>
      </w:r>
      <w:r w:rsidR="00A50CFE">
        <w:rPr>
          <w:rFonts w:ascii="Arial" w:hAnsi="Arial" w:cs="Arial"/>
          <w:sz w:val="22"/>
          <w:szCs w:val="22"/>
        </w:rPr>
        <w:t>because</w:t>
      </w:r>
      <w:r w:rsidR="00A50CFE" w:rsidRPr="00A50CFE">
        <w:rPr>
          <w:rFonts w:ascii="Arial" w:hAnsi="Arial" w:cs="Arial"/>
          <w:sz w:val="22"/>
          <w:szCs w:val="22"/>
        </w:rPr>
        <w:t xml:space="preserve"> </w:t>
      </w:r>
      <w:r w:rsidR="00A50CFE">
        <w:rPr>
          <w:rFonts w:ascii="Arial" w:hAnsi="Arial" w:cs="Arial"/>
          <w:sz w:val="22"/>
          <w:szCs w:val="22"/>
        </w:rPr>
        <w:t>officials</w:t>
      </w:r>
      <w:r w:rsidR="00A50CFE" w:rsidRPr="00A50CFE">
        <w:rPr>
          <w:rFonts w:ascii="Arial" w:hAnsi="Arial" w:cs="Arial"/>
          <w:sz w:val="22"/>
          <w:szCs w:val="22"/>
        </w:rPr>
        <w:t xml:space="preserve"> do not consider there is enough </w:t>
      </w:r>
      <w:r w:rsidR="00263A0C">
        <w:rPr>
          <w:rFonts w:ascii="Arial" w:hAnsi="Arial" w:cs="Arial"/>
          <w:sz w:val="22"/>
          <w:szCs w:val="22"/>
        </w:rPr>
        <w:t xml:space="preserve">evidence of an existing problem </w:t>
      </w:r>
      <w:r w:rsidR="00A50CFE" w:rsidRPr="00A50CFE">
        <w:rPr>
          <w:rFonts w:ascii="Arial" w:hAnsi="Arial" w:cs="Arial"/>
          <w:sz w:val="22"/>
          <w:szCs w:val="22"/>
        </w:rPr>
        <w:t>to warrant government regulatory intervention</w:t>
      </w:r>
      <w:r w:rsidR="00A50CFE">
        <w:rPr>
          <w:rFonts w:ascii="Arial" w:hAnsi="Arial" w:cs="Arial"/>
          <w:sz w:val="22"/>
          <w:szCs w:val="22"/>
        </w:rPr>
        <w:t xml:space="preserve"> in this instance.</w:t>
      </w:r>
      <w:r w:rsidR="00263A0C">
        <w:rPr>
          <w:rFonts w:ascii="Arial" w:hAnsi="Arial" w:cs="Arial"/>
          <w:sz w:val="22"/>
          <w:szCs w:val="22"/>
        </w:rPr>
        <w:t xml:space="preserve"> </w:t>
      </w:r>
    </w:p>
    <w:p w14:paraId="77DD7098" w14:textId="6EE16FEF" w:rsidR="005C7DD1" w:rsidRPr="005C7DD1" w:rsidRDefault="00263A0C" w:rsidP="005C7DD1">
      <w:pPr>
        <w:pStyle w:val="CabStandard"/>
        <w:tabs>
          <w:tab w:val="clear" w:pos="720"/>
          <w:tab w:val="num" w:pos="567"/>
        </w:tabs>
        <w:ind w:left="567" w:hanging="567"/>
        <w:jc w:val="both"/>
        <w:rPr>
          <w:rFonts w:ascii="Arial" w:hAnsi="Arial" w:cs="Arial"/>
          <w:sz w:val="22"/>
          <w:szCs w:val="22"/>
        </w:rPr>
      </w:pPr>
      <w:r w:rsidRPr="00263A0C">
        <w:rPr>
          <w:rFonts w:ascii="Arial" w:hAnsi="Arial" w:cs="Arial"/>
          <w:sz w:val="22"/>
          <w:szCs w:val="22"/>
        </w:rPr>
        <w:t>The Ministry of Health is seeking feedback from the public about</w:t>
      </w:r>
      <w:r>
        <w:rPr>
          <w:rFonts w:ascii="Arial" w:hAnsi="Arial" w:cs="Arial"/>
          <w:sz w:val="22"/>
          <w:szCs w:val="22"/>
        </w:rPr>
        <w:t xml:space="preserve"> its preferred options in relation to regulating the funeral sector and mandatory price disclosure. </w:t>
      </w:r>
      <w:r w:rsidRPr="00263A0C">
        <w:rPr>
          <w:rFonts w:ascii="Arial" w:hAnsi="Arial" w:cs="Arial"/>
          <w:sz w:val="22"/>
          <w:szCs w:val="22"/>
        </w:rPr>
        <w:t>Following the completion of this process and depending on the nature of the submissions, the Ministry of Health is open to revising its positions.</w:t>
      </w:r>
      <w:r w:rsidR="005C7DD1" w:rsidRPr="005C7DD1">
        <w:rPr>
          <w:rFonts w:ascii="Arial" w:hAnsi="Arial" w:cs="Arial"/>
          <w:i/>
          <w:sz w:val="22"/>
          <w:szCs w:val="22"/>
        </w:rPr>
        <w:br w:type="page"/>
      </w:r>
    </w:p>
    <w:p w14:paraId="78817AEF" w14:textId="209E66E0" w:rsidR="004842AB" w:rsidRPr="00357731" w:rsidRDefault="004842AB" w:rsidP="00357731">
      <w:pPr>
        <w:pStyle w:val="CabStandard"/>
        <w:numPr>
          <w:ilvl w:val="0"/>
          <w:numId w:val="0"/>
        </w:numPr>
        <w:jc w:val="both"/>
        <w:rPr>
          <w:rFonts w:ascii="Arial" w:hAnsi="Arial" w:cs="Arial"/>
          <w:sz w:val="22"/>
          <w:szCs w:val="22"/>
        </w:rPr>
      </w:pPr>
      <w:r w:rsidRPr="00357731">
        <w:rPr>
          <w:rFonts w:ascii="Arial" w:hAnsi="Arial" w:cs="Arial"/>
          <w:i/>
          <w:sz w:val="22"/>
          <w:szCs w:val="22"/>
        </w:rPr>
        <w:lastRenderedPageBreak/>
        <w:t>Burial and Cemetery Management</w:t>
      </w:r>
    </w:p>
    <w:p w14:paraId="02F4FF56" w14:textId="40C5310D" w:rsidR="00A1608D" w:rsidRPr="00C05C04" w:rsidRDefault="00A1608D" w:rsidP="00C05C04">
      <w:pPr>
        <w:pStyle w:val="CabStandard"/>
        <w:tabs>
          <w:tab w:val="clear" w:pos="720"/>
          <w:tab w:val="num" w:pos="567"/>
        </w:tabs>
        <w:ind w:left="567" w:hanging="567"/>
        <w:jc w:val="both"/>
        <w:rPr>
          <w:rFonts w:ascii="Arial" w:hAnsi="Arial" w:cs="Arial"/>
          <w:sz w:val="22"/>
          <w:szCs w:val="22"/>
        </w:rPr>
      </w:pPr>
      <w:bookmarkStart w:id="3" w:name="_Hlk5029190"/>
      <w:r w:rsidRPr="00C05C04">
        <w:rPr>
          <w:rFonts w:ascii="Arial" w:hAnsi="Arial" w:cs="Arial"/>
          <w:sz w:val="22"/>
          <w:szCs w:val="22"/>
        </w:rPr>
        <w:t xml:space="preserve">Currently, the Act recognises six different types of burial land and subjects each type to different rules in terms of its management and the statutory restrictions that apply. The framework is unnecessarily </w:t>
      </w:r>
      <w:r w:rsidR="00317D57" w:rsidRPr="00C05C04">
        <w:rPr>
          <w:rFonts w:ascii="Arial" w:hAnsi="Arial" w:cs="Arial"/>
          <w:sz w:val="22"/>
          <w:szCs w:val="22"/>
        </w:rPr>
        <w:t>confusing,</w:t>
      </w:r>
      <w:r w:rsidRPr="00C05C04">
        <w:rPr>
          <w:rFonts w:ascii="Arial" w:hAnsi="Arial" w:cs="Arial"/>
          <w:sz w:val="22"/>
          <w:szCs w:val="22"/>
        </w:rPr>
        <w:t xml:space="preserve"> and the distinctions are often of historical interest only. The provisions are also incompatible with other legislation and do not reflect a modern approach to land management or the role of local government.   </w:t>
      </w:r>
    </w:p>
    <w:p w14:paraId="0BF4268A" w14:textId="7702C1D3" w:rsidR="00A1608D" w:rsidRPr="00C05C04" w:rsidRDefault="00A1608D" w:rsidP="00C05C04">
      <w:pPr>
        <w:pStyle w:val="CabStandard"/>
        <w:tabs>
          <w:tab w:val="clear" w:pos="720"/>
          <w:tab w:val="num" w:pos="567"/>
        </w:tabs>
        <w:ind w:left="567" w:hanging="567"/>
        <w:jc w:val="both"/>
        <w:rPr>
          <w:rFonts w:ascii="Arial" w:hAnsi="Arial" w:cs="Arial"/>
          <w:sz w:val="22"/>
          <w:szCs w:val="22"/>
        </w:rPr>
      </w:pPr>
      <w:r w:rsidRPr="00C05C04">
        <w:rPr>
          <w:rFonts w:ascii="Arial" w:hAnsi="Arial" w:cs="Arial"/>
          <w:sz w:val="22"/>
          <w:szCs w:val="22"/>
        </w:rPr>
        <w:t xml:space="preserve">The </w:t>
      </w:r>
      <w:r w:rsidR="007A5C5F">
        <w:rPr>
          <w:rFonts w:ascii="Arial" w:hAnsi="Arial" w:cs="Arial"/>
          <w:sz w:val="22"/>
          <w:szCs w:val="22"/>
        </w:rPr>
        <w:t>consultation document</w:t>
      </w:r>
      <w:r w:rsidRPr="00C05C04">
        <w:rPr>
          <w:rFonts w:ascii="Arial" w:hAnsi="Arial" w:cs="Arial"/>
          <w:sz w:val="22"/>
          <w:szCs w:val="22"/>
        </w:rPr>
        <w:t xml:space="preserve"> outlines three options for a new burial and cemetery management framework, including a status quo option and two other options based around the adoption of either some or all of the Law Commission recommendations. These options seek to modernise the law relating to burial and cemetery management</w:t>
      </w:r>
      <w:r w:rsidR="00317D57">
        <w:rPr>
          <w:rFonts w:ascii="Arial" w:hAnsi="Arial" w:cs="Arial"/>
          <w:sz w:val="22"/>
          <w:szCs w:val="22"/>
        </w:rPr>
        <w:t xml:space="preserve"> by</w:t>
      </w:r>
      <w:r w:rsidRPr="00C05C04">
        <w:rPr>
          <w:rFonts w:ascii="Arial" w:hAnsi="Arial" w:cs="Arial"/>
          <w:sz w:val="22"/>
          <w:szCs w:val="22"/>
        </w:rPr>
        <w:t xml:space="preserve"> providing a simplified framework for the provision of places of burial and streamlined obligations on cemetery managers.  </w:t>
      </w:r>
    </w:p>
    <w:p w14:paraId="30773AA0" w14:textId="1AAC7B5D" w:rsidR="00A1608D" w:rsidRDefault="00A1608D" w:rsidP="00C05C04">
      <w:pPr>
        <w:pStyle w:val="CabStandard"/>
        <w:tabs>
          <w:tab w:val="clear" w:pos="720"/>
          <w:tab w:val="num" w:pos="567"/>
        </w:tabs>
        <w:ind w:left="567" w:hanging="567"/>
        <w:jc w:val="both"/>
        <w:rPr>
          <w:rFonts w:ascii="Arial" w:hAnsi="Arial" w:cs="Arial"/>
          <w:sz w:val="22"/>
          <w:szCs w:val="22"/>
        </w:rPr>
      </w:pPr>
      <w:r>
        <w:rPr>
          <w:rFonts w:ascii="Arial" w:hAnsi="Arial" w:cs="Arial"/>
          <w:sz w:val="22"/>
          <w:szCs w:val="22"/>
        </w:rPr>
        <w:t xml:space="preserve">The Ministry of Health’s preferred option is to adopt a new burial and cemetery management framework based on most of the Law Commission’s recommendations. The proposal would provide a simplified framework for the provision of places of burial and would streamline and clarify obligations on cemetery managers. Approval for new cemeteries would be managed by local authorities and would be subject to the </w:t>
      </w:r>
      <w:r w:rsidR="00C67092">
        <w:rPr>
          <w:rFonts w:ascii="Arial" w:hAnsi="Arial" w:cs="Arial"/>
          <w:sz w:val="22"/>
          <w:szCs w:val="22"/>
        </w:rPr>
        <w:t>RMA</w:t>
      </w:r>
      <w:r>
        <w:rPr>
          <w:rFonts w:ascii="Arial" w:hAnsi="Arial" w:cs="Arial"/>
          <w:sz w:val="22"/>
          <w:szCs w:val="22"/>
        </w:rPr>
        <w:t xml:space="preserve">. </w:t>
      </w:r>
      <w:bookmarkEnd w:id="3"/>
    </w:p>
    <w:p w14:paraId="1A5625F4" w14:textId="65727374" w:rsidR="004842AB" w:rsidRPr="004842AB" w:rsidRDefault="004842AB" w:rsidP="004842AB">
      <w:pPr>
        <w:pStyle w:val="CabStandard"/>
        <w:numPr>
          <w:ilvl w:val="0"/>
          <w:numId w:val="0"/>
        </w:numPr>
        <w:jc w:val="both"/>
        <w:rPr>
          <w:rFonts w:ascii="Arial" w:hAnsi="Arial" w:cs="Arial"/>
          <w:i/>
          <w:sz w:val="22"/>
          <w:szCs w:val="22"/>
        </w:rPr>
      </w:pPr>
      <w:r w:rsidRPr="004842AB">
        <w:rPr>
          <w:rFonts w:ascii="Arial" w:hAnsi="Arial" w:cs="Arial"/>
          <w:i/>
          <w:sz w:val="22"/>
          <w:szCs w:val="22"/>
        </w:rPr>
        <w:t xml:space="preserve">Cremation Regulations and the Medical Referee </w:t>
      </w:r>
    </w:p>
    <w:p w14:paraId="1F0C34B7" w14:textId="6F8938DD" w:rsidR="00A1608D" w:rsidRDefault="00A1608D" w:rsidP="004545E0">
      <w:pPr>
        <w:pStyle w:val="CabStandard"/>
        <w:tabs>
          <w:tab w:val="clear" w:pos="720"/>
          <w:tab w:val="num" w:pos="567"/>
        </w:tabs>
        <w:ind w:left="567" w:hanging="567"/>
        <w:jc w:val="both"/>
        <w:rPr>
          <w:rFonts w:ascii="Arial" w:hAnsi="Arial" w:cs="Arial"/>
          <w:sz w:val="22"/>
          <w:szCs w:val="22"/>
        </w:rPr>
      </w:pPr>
      <w:r w:rsidRPr="00C05C04">
        <w:rPr>
          <w:rFonts w:ascii="Arial" w:hAnsi="Arial" w:cs="Arial"/>
          <w:sz w:val="22"/>
          <w:szCs w:val="22"/>
        </w:rPr>
        <w:t xml:space="preserve">Currently, about 70 percent of deceased people in New Zealand are cremated. Most of the current legislative restrictions on the operation of crematoria are not found in the Act but in the Cremation Regulations 1973 (the Regulations). The </w:t>
      </w:r>
      <w:r w:rsidR="00317D57">
        <w:rPr>
          <w:rFonts w:ascii="Arial" w:hAnsi="Arial" w:cs="Arial"/>
          <w:sz w:val="22"/>
          <w:szCs w:val="22"/>
        </w:rPr>
        <w:t>R</w:t>
      </w:r>
      <w:r w:rsidRPr="00C05C04">
        <w:rPr>
          <w:rFonts w:ascii="Arial" w:hAnsi="Arial" w:cs="Arial"/>
          <w:sz w:val="22"/>
          <w:szCs w:val="22"/>
        </w:rPr>
        <w:t xml:space="preserve">egulations are largely out of date, and the Commission recommended that they be repealed as the </w:t>
      </w:r>
      <w:r w:rsidR="00317D57">
        <w:rPr>
          <w:rFonts w:ascii="Arial" w:hAnsi="Arial" w:cs="Arial"/>
          <w:sz w:val="22"/>
          <w:szCs w:val="22"/>
        </w:rPr>
        <w:t>R</w:t>
      </w:r>
      <w:r w:rsidRPr="00C05C04">
        <w:rPr>
          <w:rFonts w:ascii="Arial" w:hAnsi="Arial" w:cs="Arial"/>
          <w:sz w:val="22"/>
          <w:szCs w:val="22"/>
        </w:rPr>
        <w:t xml:space="preserve">egulations duplicate the </w:t>
      </w:r>
      <w:r w:rsidR="00C67092" w:rsidRPr="00C05C04">
        <w:rPr>
          <w:rFonts w:ascii="Arial" w:hAnsi="Arial" w:cs="Arial"/>
          <w:sz w:val="22"/>
          <w:szCs w:val="22"/>
        </w:rPr>
        <w:t>RMA</w:t>
      </w:r>
      <w:r w:rsidRPr="00C05C04">
        <w:rPr>
          <w:rFonts w:ascii="Arial" w:hAnsi="Arial" w:cs="Arial"/>
          <w:sz w:val="22"/>
          <w:szCs w:val="22"/>
        </w:rPr>
        <w:t xml:space="preserve">. </w:t>
      </w:r>
    </w:p>
    <w:p w14:paraId="7372EF12" w14:textId="09A139AF" w:rsidR="004842AB" w:rsidRPr="00C67092" w:rsidRDefault="00A1608D" w:rsidP="00C67092">
      <w:pPr>
        <w:pStyle w:val="CabStandard"/>
        <w:tabs>
          <w:tab w:val="clear" w:pos="720"/>
          <w:tab w:val="num" w:pos="567"/>
        </w:tabs>
        <w:ind w:left="567" w:hanging="567"/>
        <w:jc w:val="both"/>
        <w:rPr>
          <w:rFonts w:ascii="Arial" w:hAnsi="Arial" w:cs="Arial"/>
          <w:sz w:val="22"/>
          <w:szCs w:val="22"/>
        </w:rPr>
      </w:pPr>
      <w:r>
        <w:rPr>
          <w:rFonts w:ascii="Arial" w:hAnsi="Arial" w:cs="Arial"/>
          <w:sz w:val="22"/>
          <w:szCs w:val="22"/>
        </w:rPr>
        <w:t xml:space="preserve">The </w:t>
      </w:r>
      <w:r w:rsidR="007A5C5F">
        <w:rPr>
          <w:rFonts w:ascii="Arial" w:hAnsi="Arial" w:cs="Arial"/>
          <w:sz w:val="22"/>
          <w:szCs w:val="22"/>
        </w:rPr>
        <w:t>consultation document</w:t>
      </w:r>
      <w:r>
        <w:rPr>
          <w:rFonts w:ascii="Arial" w:hAnsi="Arial" w:cs="Arial"/>
          <w:sz w:val="22"/>
          <w:szCs w:val="22"/>
        </w:rPr>
        <w:t xml:space="preserve"> examines two options for a new approach to regulating the </w:t>
      </w:r>
      <w:r w:rsidRPr="004842AB">
        <w:rPr>
          <w:rFonts w:ascii="Arial" w:hAnsi="Arial" w:cs="Arial"/>
          <w:sz w:val="22"/>
          <w:szCs w:val="22"/>
        </w:rPr>
        <w:t>establish</w:t>
      </w:r>
      <w:r>
        <w:rPr>
          <w:rFonts w:ascii="Arial" w:hAnsi="Arial" w:cs="Arial"/>
          <w:sz w:val="22"/>
          <w:szCs w:val="22"/>
        </w:rPr>
        <w:t>ment</w:t>
      </w:r>
      <w:r w:rsidRPr="004842AB">
        <w:rPr>
          <w:rFonts w:ascii="Arial" w:hAnsi="Arial" w:cs="Arial"/>
          <w:sz w:val="22"/>
          <w:szCs w:val="22"/>
        </w:rPr>
        <w:t>, manag</w:t>
      </w:r>
      <w:r>
        <w:rPr>
          <w:rFonts w:ascii="Arial" w:hAnsi="Arial" w:cs="Arial"/>
          <w:sz w:val="22"/>
          <w:szCs w:val="22"/>
        </w:rPr>
        <w:t>ement</w:t>
      </w:r>
      <w:r w:rsidRPr="004842AB">
        <w:rPr>
          <w:rFonts w:ascii="Arial" w:hAnsi="Arial" w:cs="Arial"/>
          <w:sz w:val="22"/>
          <w:szCs w:val="22"/>
        </w:rPr>
        <w:t xml:space="preserve"> and closing </w:t>
      </w:r>
      <w:r>
        <w:rPr>
          <w:rFonts w:ascii="Arial" w:hAnsi="Arial" w:cs="Arial"/>
          <w:sz w:val="22"/>
          <w:szCs w:val="22"/>
        </w:rPr>
        <w:t xml:space="preserve">of </w:t>
      </w:r>
      <w:r w:rsidRPr="004842AB">
        <w:rPr>
          <w:rFonts w:ascii="Arial" w:hAnsi="Arial" w:cs="Arial"/>
          <w:sz w:val="22"/>
          <w:szCs w:val="22"/>
        </w:rPr>
        <w:t>crematoria</w:t>
      </w:r>
      <w:r w:rsidR="00C67092">
        <w:rPr>
          <w:rFonts w:ascii="Arial" w:hAnsi="Arial" w:cs="Arial"/>
          <w:sz w:val="22"/>
          <w:szCs w:val="22"/>
        </w:rPr>
        <w:t>.</w:t>
      </w:r>
      <w:r w:rsidRPr="004842AB">
        <w:rPr>
          <w:rFonts w:ascii="Arial" w:hAnsi="Arial" w:cs="Arial"/>
          <w:sz w:val="22"/>
          <w:szCs w:val="22"/>
        </w:rPr>
        <w:t xml:space="preserve"> </w:t>
      </w:r>
      <w:r w:rsidR="004842AB" w:rsidRPr="004842AB">
        <w:rPr>
          <w:rFonts w:ascii="Arial" w:hAnsi="Arial" w:cs="Arial"/>
          <w:sz w:val="22"/>
          <w:szCs w:val="22"/>
        </w:rPr>
        <w:t xml:space="preserve">The Ministry of Health’s preferred option is to </w:t>
      </w:r>
      <w:r w:rsidR="00C67092">
        <w:rPr>
          <w:rFonts w:ascii="Arial" w:hAnsi="Arial" w:cs="Arial"/>
          <w:sz w:val="22"/>
          <w:szCs w:val="22"/>
        </w:rPr>
        <w:t>repeal</w:t>
      </w:r>
      <w:r w:rsidR="004842AB" w:rsidRPr="004842AB">
        <w:rPr>
          <w:rFonts w:ascii="Arial" w:hAnsi="Arial" w:cs="Arial"/>
          <w:sz w:val="22"/>
          <w:szCs w:val="22"/>
        </w:rPr>
        <w:t xml:space="preserve"> </w:t>
      </w:r>
      <w:r w:rsidR="004842AB" w:rsidRPr="00C67092">
        <w:rPr>
          <w:rFonts w:ascii="Arial" w:hAnsi="Arial" w:cs="Arial"/>
          <w:sz w:val="22"/>
          <w:szCs w:val="22"/>
        </w:rPr>
        <w:t>the Regulations. Local authorities would manage approvals for the establishment of new crematoria, cremation outside of a crematorium and scattering of ashes</w:t>
      </w:r>
      <w:r w:rsidR="00E43715">
        <w:rPr>
          <w:rFonts w:ascii="Arial" w:hAnsi="Arial" w:cs="Arial"/>
          <w:sz w:val="22"/>
          <w:szCs w:val="22"/>
        </w:rPr>
        <w:t xml:space="preserve"> on land</w:t>
      </w:r>
      <w:r w:rsidR="00C67092" w:rsidRPr="00C67092">
        <w:rPr>
          <w:rFonts w:ascii="Arial" w:hAnsi="Arial" w:cs="Arial"/>
          <w:sz w:val="22"/>
          <w:szCs w:val="22"/>
        </w:rPr>
        <w:t>, under the existing provisions in the RMA.</w:t>
      </w:r>
      <w:r w:rsidR="001D4737">
        <w:rPr>
          <w:rFonts w:ascii="Arial" w:hAnsi="Arial" w:cs="Arial"/>
          <w:sz w:val="22"/>
          <w:szCs w:val="22"/>
        </w:rPr>
        <w:t xml:space="preserve"> Regional councils would continue to manage consents for discharges </w:t>
      </w:r>
      <w:r w:rsidR="00753CF3">
        <w:rPr>
          <w:rFonts w:ascii="Arial" w:hAnsi="Arial" w:cs="Arial"/>
          <w:sz w:val="22"/>
          <w:szCs w:val="22"/>
        </w:rPr>
        <w:t>to</w:t>
      </w:r>
      <w:r w:rsidR="001D4737">
        <w:rPr>
          <w:rFonts w:ascii="Arial" w:hAnsi="Arial" w:cs="Arial"/>
          <w:sz w:val="22"/>
          <w:szCs w:val="22"/>
        </w:rPr>
        <w:t xml:space="preserve"> air. </w:t>
      </w:r>
    </w:p>
    <w:p w14:paraId="7588D571" w14:textId="0BC48F6B" w:rsidR="00C67092" w:rsidRPr="00C67092" w:rsidRDefault="00C67092" w:rsidP="00442B84">
      <w:pPr>
        <w:pStyle w:val="CabStandard"/>
        <w:tabs>
          <w:tab w:val="clear" w:pos="720"/>
          <w:tab w:val="num" w:pos="567"/>
        </w:tabs>
        <w:ind w:left="567" w:hanging="567"/>
        <w:jc w:val="both"/>
        <w:rPr>
          <w:rFonts w:ascii="Arial" w:hAnsi="Arial" w:cs="Arial"/>
          <w:sz w:val="22"/>
          <w:szCs w:val="22"/>
        </w:rPr>
      </w:pPr>
      <w:r w:rsidRPr="00C67092">
        <w:rPr>
          <w:rFonts w:ascii="Arial" w:hAnsi="Arial" w:cs="Arial"/>
          <w:sz w:val="22"/>
          <w:szCs w:val="22"/>
        </w:rPr>
        <w:t>Further, in order to legally cremate a body, permission must be obtained from a medical referee who is appointed under the Regulations. Medical referees are intended to act as an additional check on cause of death determination and to assure “that the cause of death has been definitely ascertained” before the body is irreversibly destroyed through cremation. This process largely duplicates the death certification process</w:t>
      </w:r>
      <w:r>
        <w:rPr>
          <w:rFonts w:ascii="Arial" w:hAnsi="Arial" w:cs="Arial"/>
          <w:sz w:val="22"/>
          <w:szCs w:val="22"/>
        </w:rPr>
        <w:t>.</w:t>
      </w:r>
    </w:p>
    <w:p w14:paraId="28983808" w14:textId="7C86D1DC" w:rsidR="004842AB" w:rsidRPr="004842AB" w:rsidRDefault="00C67092" w:rsidP="004545E0">
      <w:pPr>
        <w:pStyle w:val="CabStandard"/>
        <w:tabs>
          <w:tab w:val="clear" w:pos="720"/>
          <w:tab w:val="num" w:pos="567"/>
        </w:tabs>
        <w:ind w:left="567" w:hanging="567"/>
        <w:jc w:val="both"/>
        <w:rPr>
          <w:rFonts w:ascii="Arial" w:hAnsi="Arial" w:cs="Arial"/>
          <w:sz w:val="22"/>
          <w:szCs w:val="22"/>
        </w:rPr>
      </w:pPr>
      <w:r>
        <w:rPr>
          <w:rFonts w:ascii="Arial" w:hAnsi="Arial" w:cs="Arial"/>
          <w:sz w:val="22"/>
          <w:szCs w:val="22"/>
        </w:rPr>
        <w:t xml:space="preserve">Officials reviewed </w:t>
      </w:r>
      <w:r w:rsidR="00317D57">
        <w:rPr>
          <w:rFonts w:ascii="Arial" w:hAnsi="Arial" w:cs="Arial"/>
          <w:sz w:val="22"/>
          <w:szCs w:val="22"/>
        </w:rPr>
        <w:t>numerous</w:t>
      </w:r>
      <w:r>
        <w:rPr>
          <w:rFonts w:ascii="Arial" w:hAnsi="Arial" w:cs="Arial"/>
          <w:sz w:val="22"/>
          <w:szCs w:val="22"/>
        </w:rPr>
        <w:t xml:space="preserve"> options to reform the </w:t>
      </w:r>
      <w:r w:rsidR="00A43B90">
        <w:rPr>
          <w:rFonts w:ascii="Arial" w:hAnsi="Arial" w:cs="Arial"/>
          <w:sz w:val="22"/>
          <w:szCs w:val="22"/>
        </w:rPr>
        <w:t>m</w:t>
      </w:r>
      <w:r>
        <w:rPr>
          <w:rFonts w:ascii="Arial" w:hAnsi="Arial" w:cs="Arial"/>
          <w:sz w:val="22"/>
          <w:szCs w:val="22"/>
        </w:rPr>
        <w:t xml:space="preserve">edical referee system, including status quo, repeal, or expansion. </w:t>
      </w:r>
      <w:r w:rsidR="004842AB" w:rsidRPr="004842AB">
        <w:rPr>
          <w:rFonts w:ascii="Arial" w:hAnsi="Arial" w:cs="Arial"/>
          <w:sz w:val="22"/>
          <w:szCs w:val="22"/>
        </w:rPr>
        <w:t xml:space="preserve">The Ministry of Health’s preferred option is to disestablish and not replace the Medical Referee established under the Regulations. Health </w:t>
      </w:r>
      <w:r w:rsidR="00A43B90">
        <w:rPr>
          <w:rFonts w:ascii="Arial" w:hAnsi="Arial" w:cs="Arial"/>
          <w:sz w:val="22"/>
          <w:szCs w:val="22"/>
        </w:rPr>
        <w:t xml:space="preserve">officials consider </w:t>
      </w:r>
      <w:r w:rsidR="004842AB" w:rsidRPr="004842AB">
        <w:rPr>
          <w:rFonts w:ascii="Arial" w:hAnsi="Arial" w:cs="Arial"/>
          <w:sz w:val="22"/>
          <w:szCs w:val="22"/>
        </w:rPr>
        <w:t>that</w:t>
      </w:r>
      <w:r w:rsidR="0090113C">
        <w:rPr>
          <w:rFonts w:ascii="Arial" w:hAnsi="Arial" w:cs="Arial"/>
          <w:sz w:val="22"/>
          <w:szCs w:val="22"/>
        </w:rPr>
        <w:t xml:space="preserve"> the current medical referee system is an ineffective tool in the detection of wrongful death</w:t>
      </w:r>
      <w:r w:rsidR="00A43B90">
        <w:rPr>
          <w:rFonts w:ascii="Arial" w:hAnsi="Arial" w:cs="Arial"/>
          <w:sz w:val="22"/>
          <w:szCs w:val="22"/>
        </w:rPr>
        <w:t xml:space="preserve"> and also</w:t>
      </w:r>
      <w:r w:rsidR="0090113C">
        <w:rPr>
          <w:rFonts w:ascii="Arial" w:hAnsi="Arial" w:cs="Arial"/>
          <w:sz w:val="22"/>
          <w:szCs w:val="22"/>
        </w:rPr>
        <w:t xml:space="preserve"> that</w:t>
      </w:r>
      <w:r w:rsidR="004842AB" w:rsidRPr="004842AB">
        <w:rPr>
          <w:rFonts w:ascii="Arial" w:hAnsi="Arial" w:cs="Arial"/>
          <w:sz w:val="22"/>
          <w:szCs w:val="22"/>
        </w:rPr>
        <w:t xml:space="preserve"> </w:t>
      </w:r>
      <w:r w:rsidR="0090113C">
        <w:rPr>
          <w:rFonts w:ascii="Arial" w:hAnsi="Arial" w:cs="Arial"/>
          <w:sz w:val="22"/>
          <w:szCs w:val="22"/>
        </w:rPr>
        <w:t>a secondary check on death certification is unnecessary</w:t>
      </w:r>
      <w:r w:rsidR="00A43B90">
        <w:rPr>
          <w:rFonts w:ascii="Arial" w:hAnsi="Arial" w:cs="Arial"/>
          <w:sz w:val="22"/>
          <w:szCs w:val="22"/>
        </w:rPr>
        <w:t>,</w:t>
      </w:r>
      <w:r w:rsidR="0090113C">
        <w:rPr>
          <w:rFonts w:ascii="Arial" w:hAnsi="Arial" w:cs="Arial"/>
          <w:sz w:val="22"/>
          <w:szCs w:val="22"/>
        </w:rPr>
        <w:t xml:space="preserve"> as </w:t>
      </w:r>
      <w:r w:rsidR="004842AB" w:rsidRPr="004842AB">
        <w:rPr>
          <w:rFonts w:ascii="Arial" w:hAnsi="Arial" w:cs="Arial"/>
          <w:sz w:val="22"/>
          <w:szCs w:val="22"/>
        </w:rPr>
        <w:t xml:space="preserve">the existing and proposed death certification and coronial systems </w:t>
      </w:r>
      <w:r w:rsidR="0090113C">
        <w:rPr>
          <w:rFonts w:ascii="Arial" w:hAnsi="Arial" w:cs="Arial"/>
          <w:sz w:val="22"/>
          <w:szCs w:val="22"/>
        </w:rPr>
        <w:t>would</w:t>
      </w:r>
      <w:r w:rsidR="004842AB" w:rsidRPr="004842AB">
        <w:rPr>
          <w:rFonts w:ascii="Arial" w:hAnsi="Arial" w:cs="Arial"/>
          <w:sz w:val="22"/>
          <w:szCs w:val="22"/>
        </w:rPr>
        <w:t xml:space="preserve"> provide assurance as to </w:t>
      </w:r>
      <w:r w:rsidR="0090113C">
        <w:rPr>
          <w:rFonts w:ascii="Arial" w:hAnsi="Arial" w:cs="Arial"/>
          <w:sz w:val="22"/>
          <w:szCs w:val="22"/>
        </w:rPr>
        <w:t xml:space="preserve">the </w:t>
      </w:r>
      <w:r w:rsidR="004842AB" w:rsidRPr="004842AB">
        <w:rPr>
          <w:rFonts w:ascii="Arial" w:hAnsi="Arial" w:cs="Arial"/>
          <w:sz w:val="22"/>
          <w:szCs w:val="22"/>
        </w:rPr>
        <w:t>accuracy of cause of death</w:t>
      </w:r>
      <w:r w:rsidR="0090113C">
        <w:rPr>
          <w:rFonts w:ascii="Arial" w:hAnsi="Arial" w:cs="Arial"/>
          <w:sz w:val="22"/>
          <w:szCs w:val="22"/>
        </w:rPr>
        <w:t xml:space="preserve"> information</w:t>
      </w:r>
      <w:r w:rsidR="004842AB" w:rsidRPr="004842AB">
        <w:rPr>
          <w:rFonts w:ascii="Arial" w:hAnsi="Arial" w:cs="Arial"/>
          <w:sz w:val="22"/>
          <w:szCs w:val="22"/>
        </w:rPr>
        <w:t xml:space="preserve"> and </w:t>
      </w:r>
      <w:r w:rsidR="0090113C">
        <w:rPr>
          <w:rFonts w:ascii="Arial" w:hAnsi="Arial" w:cs="Arial"/>
          <w:sz w:val="22"/>
          <w:szCs w:val="22"/>
        </w:rPr>
        <w:t xml:space="preserve">the detection of </w:t>
      </w:r>
      <w:r w:rsidR="004842AB" w:rsidRPr="004842AB">
        <w:rPr>
          <w:rFonts w:ascii="Arial" w:hAnsi="Arial" w:cs="Arial"/>
          <w:sz w:val="22"/>
          <w:szCs w:val="22"/>
        </w:rPr>
        <w:t>crime</w:t>
      </w:r>
      <w:r w:rsidR="00263A0C">
        <w:rPr>
          <w:rFonts w:ascii="Arial" w:hAnsi="Arial" w:cs="Arial"/>
          <w:sz w:val="22"/>
          <w:szCs w:val="22"/>
        </w:rPr>
        <w:t xml:space="preserve">. </w:t>
      </w:r>
    </w:p>
    <w:p w14:paraId="75FAB051" w14:textId="72C41EB3" w:rsidR="004842AB" w:rsidRPr="004842AB" w:rsidRDefault="004842AB" w:rsidP="004842AB">
      <w:pPr>
        <w:pStyle w:val="CabStandard"/>
        <w:numPr>
          <w:ilvl w:val="0"/>
          <w:numId w:val="0"/>
        </w:numPr>
        <w:jc w:val="both"/>
        <w:rPr>
          <w:rFonts w:ascii="Arial" w:hAnsi="Arial" w:cs="Arial"/>
          <w:i/>
          <w:sz w:val="22"/>
          <w:szCs w:val="22"/>
        </w:rPr>
      </w:pPr>
      <w:r w:rsidRPr="004842AB">
        <w:rPr>
          <w:rFonts w:ascii="Arial" w:hAnsi="Arial" w:cs="Arial"/>
          <w:i/>
          <w:sz w:val="22"/>
          <w:szCs w:val="22"/>
        </w:rPr>
        <w:t xml:space="preserve">New Methods of Body Disposal </w:t>
      </w:r>
    </w:p>
    <w:p w14:paraId="4ECDF1EE" w14:textId="5C4C334C" w:rsidR="00C67092" w:rsidRDefault="00C67092" w:rsidP="004545E0">
      <w:pPr>
        <w:pStyle w:val="CabStandard"/>
        <w:tabs>
          <w:tab w:val="clear" w:pos="720"/>
          <w:tab w:val="num" w:pos="567"/>
        </w:tabs>
        <w:ind w:left="567" w:hanging="567"/>
        <w:jc w:val="both"/>
        <w:rPr>
          <w:rFonts w:ascii="Arial" w:hAnsi="Arial" w:cs="Arial"/>
          <w:sz w:val="22"/>
          <w:szCs w:val="22"/>
        </w:rPr>
      </w:pPr>
      <w:r w:rsidRPr="00C67092">
        <w:rPr>
          <w:rFonts w:ascii="Arial" w:hAnsi="Arial" w:cs="Arial"/>
          <w:sz w:val="22"/>
          <w:szCs w:val="22"/>
        </w:rPr>
        <w:t>As technology advances and consumer preferences change, different methods of disposing of bodies may seek to enter the New Zealand market as an alternative option to burial (in a cemetery or at sea) or cremation. One example is alkaline hydrolysis or ‘water cremation’, which involves placing the body in an alkaline solution that, when heated, dissolves the body</w:t>
      </w:r>
      <w:r w:rsidR="009512EC">
        <w:rPr>
          <w:rFonts w:ascii="Arial" w:hAnsi="Arial" w:cs="Arial"/>
          <w:sz w:val="22"/>
          <w:szCs w:val="22"/>
        </w:rPr>
        <w:t>,</w:t>
      </w:r>
      <w:r w:rsidRPr="00C67092">
        <w:rPr>
          <w:rFonts w:ascii="Arial" w:hAnsi="Arial" w:cs="Arial"/>
          <w:sz w:val="22"/>
          <w:szCs w:val="22"/>
        </w:rPr>
        <w:t xml:space="preserve"> leaving behind bone fragments and a liquid.</w:t>
      </w:r>
      <w:r>
        <w:rPr>
          <w:rFonts w:ascii="Arial" w:hAnsi="Arial" w:cs="Arial"/>
          <w:sz w:val="22"/>
          <w:szCs w:val="22"/>
        </w:rPr>
        <w:t xml:space="preserve"> </w:t>
      </w:r>
      <w:r w:rsidRPr="00C05C04">
        <w:rPr>
          <w:rFonts w:ascii="Arial" w:hAnsi="Arial" w:cs="Arial"/>
          <w:sz w:val="22"/>
          <w:szCs w:val="22"/>
        </w:rPr>
        <w:t>The law is unclear about whether other body disposal</w:t>
      </w:r>
      <w:r w:rsidR="00C05C04" w:rsidRPr="00C05C04">
        <w:rPr>
          <w:rFonts w:ascii="Arial" w:hAnsi="Arial" w:cs="Arial"/>
          <w:sz w:val="22"/>
          <w:szCs w:val="22"/>
        </w:rPr>
        <w:t xml:space="preserve"> methods</w:t>
      </w:r>
      <w:r w:rsidR="00C05C04">
        <w:rPr>
          <w:rFonts w:ascii="Arial" w:hAnsi="Arial" w:cs="Arial"/>
          <w:sz w:val="22"/>
          <w:szCs w:val="22"/>
        </w:rPr>
        <w:t xml:space="preserve">, such as water cremation, </w:t>
      </w:r>
      <w:r w:rsidRPr="00C05C04">
        <w:rPr>
          <w:rFonts w:ascii="Arial" w:hAnsi="Arial" w:cs="Arial"/>
          <w:sz w:val="22"/>
          <w:szCs w:val="22"/>
        </w:rPr>
        <w:t xml:space="preserve">are </w:t>
      </w:r>
      <w:r w:rsidR="00C05C04">
        <w:rPr>
          <w:rFonts w:ascii="Arial" w:hAnsi="Arial" w:cs="Arial"/>
          <w:sz w:val="22"/>
          <w:szCs w:val="22"/>
        </w:rPr>
        <w:t>il</w:t>
      </w:r>
      <w:r w:rsidRPr="00C05C04">
        <w:rPr>
          <w:rFonts w:ascii="Arial" w:hAnsi="Arial" w:cs="Arial"/>
          <w:sz w:val="22"/>
          <w:szCs w:val="22"/>
        </w:rPr>
        <w:t>legal</w:t>
      </w:r>
      <w:r w:rsidR="00C05C04">
        <w:rPr>
          <w:rFonts w:ascii="Arial" w:hAnsi="Arial" w:cs="Arial"/>
          <w:sz w:val="22"/>
          <w:szCs w:val="22"/>
        </w:rPr>
        <w:t xml:space="preserve"> or unregulated</w:t>
      </w:r>
      <w:r w:rsidRPr="00C05C04">
        <w:rPr>
          <w:rFonts w:ascii="Arial" w:hAnsi="Arial" w:cs="Arial"/>
          <w:sz w:val="22"/>
          <w:szCs w:val="22"/>
        </w:rPr>
        <w:t>.</w:t>
      </w:r>
      <w:r w:rsidR="00C05C04" w:rsidRPr="00C05C04">
        <w:rPr>
          <w:rFonts w:ascii="Arial" w:hAnsi="Arial" w:cs="Arial"/>
          <w:sz w:val="22"/>
          <w:szCs w:val="22"/>
        </w:rPr>
        <w:t xml:space="preserve"> </w:t>
      </w:r>
    </w:p>
    <w:p w14:paraId="0C28555A" w14:textId="6511EAFE" w:rsidR="004842AB" w:rsidRDefault="004842AB" w:rsidP="004545E0">
      <w:pPr>
        <w:pStyle w:val="CabStandard"/>
        <w:tabs>
          <w:tab w:val="clear" w:pos="720"/>
          <w:tab w:val="num" w:pos="567"/>
        </w:tabs>
        <w:ind w:left="567" w:hanging="567"/>
        <w:jc w:val="both"/>
        <w:rPr>
          <w:rFonts w:ascii="Arial" w:hAnsi="Arial" w:cs="Arial"/>
          <w:sz w:val="22"/>
          <w:szCs w:val="22"/>
        </w:rPr>
      </w:pPr>
      <w:r w:rsidRPr="004842AB">
        <w:rPr>
          <w:rFonts w:ascii="Arial" w:hAnsi="Arial" w:cs="Arial"/>
          <w:sz w:val="22"/>
          <w:szCs w:val="22"/>
        </w:rPr>
        <w:lastRenderedPageBreak/>
        <w:t>The Ministry of Health</w:t>
      </w:r>
      <w:r w:rsidR="00C67092">
        <w:rPr>
          <w:rFonts w:ascii="Arial" w:hAnsi="Arial" w:cs="Arial"/>
          <w:sz w:val="22"/>
          <w:szCs w:val="22"/>
        </w:rPr>
        <w:t xml:space="preserve"> is consulting on one </w:t>
      </w:r>
      <w:r w:rsidRPr="004842AB">
        <w:rPr>
          <w:rFonts w:ascii="Arial" w:hAnsi="Arial" w:cs="Arial"/>
          <w:sz w:val="22"/>
          <w:szCs w:val="22"/>
        </w:rPr>
        <w:t>option to require every deceased person to have their body disposed of by an approved disposal method without undue delay. Approved methods of disposal would be those that exist now such as burial (either in land or at sea) and cremation. Further,</w:t>
      </w:r>
      <w:r w:rsidR="007873F8">
        <w:rPr>
          <w:rFonts w:ascii="Arial" w:hAnsi="Arial" w:cs="Arial"/>
          <w:sz w:val="22"/>
          <w:szCs w:val="22"/>
        </w:rPr>
        <w:t xml:space="preserve"> controls on</w:t>
      </w:r>
      <w:r w:rsidRPr="004842AB">
        <w:rPr>
          <w:rFonts w:ascii="Arial" w:hAnsi="Arial" w:cs="Arial"/>
          <w:sz w:val="22"/>
          <w:szCs w:val="22"/>
        </w:rPr>
        <w:t xml:space="preserve"> </w:t>
      </w:r>
      <w:r w:rsidR="007873F8" w:rsidRPr="004842AB">
        <w:rPr>
          <w:rFonts w:ascii="Arial" w:hAnsi="Arial" w:cs="Arial"/>
          <w:sz w:val="22"/>
          <w:szCs w:val="22"/>
        </w:rPr>
        <w:t>new methods of body disposal</w:t>
      </w:r>
      <w:r w:rsidR="007873F8">
        <w:rPr>
          <w:rFonts w:ascii="Arial" w:hAnsi="Arial" w:cs="Arial"/>
          <w:sz w:val="22"/>
          <w:szCs w:val="22"/>
        </w:rPr>
        <w:t xml:space="preserve"> could be prescribed in regulation</w:t>
      </w:r>
      <w:r w:rsidRPr="004842AB">
        <w:rPr>
          <w:rFonts w:ascii="Arial" w:hAnsi="Arial" w:cs="Arial"/>
          <w:sz w:val="22"/>
          <w:szCs w:val="22"/>
        </w:rPr>
        <w:t xml:space="preserve">. </w:t>
      </w:r>
      <w:r w:rsidR="00C05C04">
        <w:rPr>
          <w:rFonts w:ascii="Arial" w:hAnsi="Arial" w:cs="Arial"/>
          <w:sz w:val="22"/>
          <w:szCs w:val="22"/>
        </w:rPr>
        <w:t>This would mean that any new law would</w:t>
      </w:r>
      <w:r w:rsidRPr="004842AB">
        <w:rPr>
          <w:rFonts w:ascii="Arial" w:hAnsi="Arial" w:cs="Arial"/>
          <w:sz w:val="22"/>
          <w:szCs w:val="22"/>
        </w:rPr>
        <w:t xml:space="preserve"> be flexible enough to </w:t>
      </w:r>
      <w:r w:rsidR="00C05C04">
        <w:rPr>
          <w:rFonts w:ascii="Arial" w:hAnsi="Arial" w:cs="Arial"/>
          <w:sz w:val="22"/>
          <w:szCs w:val="22"/>
        </w:rPr>
        <w:t>regulate</w:t>
      </w:r>
      <w:r w:rsidRPr="004842AB">
        <w:rPr>
          <w:rFonts w:ascii="Arial" w:hAnsi="Arial" w:cs="Arial"/>
          <w:sz w:val="22"/>
          <w:szCs w:val="22"/>
        </w:rPr>
        <w:t xml:space="preserve"> any such new methods that may reach New Zealand in the future</w:t>
      </w:r>
      <w:r w:rsidR="009512EC">
        <w:rPr>
          <w:rFonts w:ascii="Arial" w:hAnsi="Arial" w:cs="Arial"/>
          <w:sz w:val="22"/>
          <w:szCs w:val="22"/>
        </w:rPr>
        <w:t>.</w:t>
      </w:r>
    </w:p>
    <w:p w14:paraId="3622AC5E" w14:textId="77777777" w:rsidR="00D2549C" w:rsidRPr="00C05C04" w:rsidRDefault="00D2549C" w:rsidP="00FA5CF2">
      <w:pPr>
        <w:pStyle w:val="Heading2"/>
      </w:pPr>
      <w:r w:rsidRPr="00C05C04">
        <w:t>Consultation with the public</w:t>
      </w:r>
    </w:p>
    <w:p w14:paraId="6B3B5DF9" w14:textId="5441382C" w:rsidR="00D2549C" w:rsidRPr="00C05C04" w:rsidRDefault="00D2549C" w:rsidP="00442B84">
      <w:pPr>
        <w:pStyle w:val="CabStandard"/>
        <w:tabs>
          <w:tab w:val="clear" w:pos="720"/>
          <w:tab w:val="num" w:pos="567"/>
        </w:tabs>
        <w:ind w:left="567" w:hanging="567"/>
        <w:jc w:val="both"/>
        <w:rPr>
          <w:rFonts w:ascii="Arial" w:hAnsi="Arial" w:cs="Arial"/>
          <w:sz w:val="22"/>
          <w:szCs w:val="22"/>
        </w:rPr>
      </w:pPr>
      <w:r w:rsidRPr="00C05C04">
        <w:rPr>
          <w:rFonts w:ascii="Arial" w:hAnsi="Arial" w:cs="Arial"/>
          <w:sz w:val="22"/>
          <w:szCs w:val="22"/>
        </w:rPr>
        <w:t xml:space="preserve">The attached </w:t>
      </w:r>
      <w:r w:rsidR="007A5C5F">
        <w:rPr>
          <w:rFonts w:ascii="Arial" w:hAnsi="Arial" w:cs="Arial"/>
          <w:sz w:val="22"/>
          <w:szCs w:val="22"/>
        </w:rPr>
        <w:t>consultation document</w:t>
      </w:r>
      <w:r w:rsidRPr="00C05C04">
        <w:rPr>
          <w:rFonts w:ascii="Arial" w:hAnsi="Arial" w:cs="Arial"/>
          <w:sz w:val="22"/>
          <w:szCs w:val="22"/>
        </w:rPr>
        <w:t xml:space="preserve"> seeks stakeholders’ views on reform options. The key audience for the consultation is certifying practitioners, DHBs, the funeral sector, territorial authorities, cemetery managers, crematoria operators, medical referees, and the public. </w:t>
      </w:r>
      <w:r w:rsidR="007873F8">
        <w:rPr>
          <w:rFonts w:ascii="Arial" w:hAnsi="Arial" w:cs="Arial"/>
          <w:sz w:val="22"/>
          <w:szCs w:val="22"/>
        </w:rPr>
        <w:t>Specifically,</w:t>
      </w:r>
      <w:r w:rsidR="00283960">
        <w:rPr>
          <w:rFonts w:ascii="Arial" w:hAnsi="Arial" w:cs="Arial"/>
          <w:sz w:val="22"/>
          <w:szCs w:val="22"/>
        </w:rPr>
        <w:t xml:space="preserve"> officials will actively seek the views of Māori, Pasifika and other ethnic and religious groups, women and seniors. </w:t>
      </w:r>
    </w:p>
    <w:p w14:paraId="0F10F6B9" w14:textId="1D719DB8" w:rsidR="008A0ED4" w:rsidRDefault="00D2549C" w:rsidP="008A0ED4">
      <w:pPr>
        <w:pStyle w:val="CabStandard"/>
        <w:tabs>
          <w:tab w:val="clear" w:pos="720"/>
          <w:tab w:val="num" w:pos="567"/>
        </w:tabs>
        <w:ind w:left="567" w:hanging="567"/>
        <w:jc w:val="both"/>
        <w:rPr>
          <w:rFonts w:ascii="Arial" w:hAnsi="Arial" w:cs="Arial"/>
          <w:sz w:val="22"/>
          <w:szCs w:val="22"/>
        </w:rPr>
      </w:pPr>
      <w:r w:rsidRPr="00FE70FD">
        <w:rPr>
          <w:rFonts w:ascii="Arial" w:hAnsi="Arial" w:cs="Arial"/>
          <w:sz w:val="22"/>
          <w:szCs w:val="22"/>
        </w:rPr>
        <w:t xml:space="preserve">The Ministry of Health will use the information obtained from the consultation to inform the development of a regulatory reform package and the finalisation of the Impact Analysis. </w:t>
      </w:r>
      <w:r w:rsidR="00C05C04" w:rsidRPr="00045460">
        <w:rPr>
          <w:rFonts w:ascii="Arial" w:hAnsi="Arial" w:cs="Arial"/>
          <w:sz w:val="22"/>
          <w:szCs w:val="22"/>
        </w:rPr>
        <w:t xml:space="preserve">The Ministry of Health wants to </w:t>
      </w:r>
      <w:r w:rsidR="008A0ED4">
        <w:rPr>
          <w:rFonts w:ascii="Arial" w:hAnsi="Arial" w:cs="Arial"/>
          <w:sz w:val="22"/>
          <w:szCs w:val="22"/>
        </w:rPr>
        <w:t xml:space="preserve">test </w:t>
      </w:r>
      <w:r w:rsidR="00C05C04">
        <w:rPr>
          <w:rFonts w:ascii="Arial" w:hAnsi="Arial" w:cs="Arial"/>
          <w:sz w:val="22"/>
          <w:szCs w:val="22"/>
        </w:rPr>
        <w:t>all of its preferred options</w:t>
      </w:r>
      <w:r w:rsidR="00C05C04" w:rsidRPr="00045460">
        <w:rPr>
          <w:rFonts w:ascii="Arial" w:hAnsi="Arial" w:cs="Arial"/>
          <w:sz w:val="22"/>
          <w:szCs w:val="22"/>
        </w:rPr>
        <w:t xml:space="preserve"> with stakeholders</w:t>
      </w:r>
      <w:r w:rsidR="00DD1704">
        <w:rPr>
          <w:rFonts w:ascii="Arial" w:hAnsi="Arial" w:cs="Arial"/>
          <w:sz w:val="22"/>
          <w:szCs w:val="22"/>
        </w:rPr>
        <w:t xml:space="preserve"> and</w:t>
      </w:r>
      <w:r w:rsidR="00C05C04" w:rsidRPr="008A0ED4">
        <w:rPr>
          <w:rFonts w:ascii="Arial" w:hAnsi="Arial" w:cs="Arial"/>
          <w:sz w:val="22"/>
          <w:szCs w:val="22"/>
        </w:rPr>
        <w:t xml:space="preserve"> is open to revising its position following the completion of consultation. </w:t>
      </w:r>
    </w:p>
    <w:p w14:paraId="5F9112C4" w14:textId="7527BCA4" w:rsidR="00D2549C" w:rsidRPr="008A0ED4" w:rsidRDefault="00D2549C" w:rsidP="008A0ED4">
      <w:pPr>
        <w:pStyle w:val="CabStandard"/>
        <w:tabs>
          <w:tab w:val="clear" w:pos="720"/>
          <w:tab w:val="num" w:pos="567"/>
        </w:tabs>
        <w:ind w:left="567" w:hanging="567"/>
        <w:jc w:val="both"/>
        <w:rPr>
          <w:rFonts w:ascii="Arial" w:hAnsi="Arial" w:cs="Arial"/>
          <w:sz w:val="22"/>
          <w:szCs w:val="22"/>
        </w:rPr>
      </w:pPr>
      <w:r w:rsidRPr="008A0ED4">
        <w:rPr>
          <w:rFonts w:ascii="Arial" w:hAnsi="Arial" w:cs="Arial"/>
          <w:sz w:val="22"/>
          <w:szCs w:val="22"/>
        </w:rPr>
        <w:t>The results of the consultation will be reported back to Cabinet, along with policy proposals</w:t>
      </w:r>
      <w:r w:rsidR="00DD1704">
        <w:rPr>
          <w:rFonts w:ascii="Arial" w:hAnsi="Arial" w:cs="Arial"/>
          <w:sz w:val="22"/>
          <w:szCs w:val="22"/>
        </w:rPr>
        <w:t>.</w:t>
      </w:r>
      <w:r w:rsidRPr="008A0ED4">
        <w:rPr>
          <w:rFonts w:ascii="Arial" w:hAnsi="Arial" w:cs="Arial"/>
          <w:sz w:val="22"/>
          <w:szCs w:val="22"/>
        </w:rPr>
        <w:t xml:space="preserve"> </w:t>
      </w:r>
    </w:p>
    <w:p w14:paraId="71A46DC2" w14:textId="527B60DF" w:rsidR="0070033B" w:rsidRDefault="0070033B" w:rsidP="00FA5CF2">
      <w:pPr>
        <w:pStyle w:val="Heading2"/>
      </w:pPr>
      <w:r w:rsidRPr="00B62210">
        <w:t>Consultation</w:t>
      </w:r>
    </w:p>
    <w:p w14:paraId="4EB41551" w14:textId="58F7464A" w:rsidR="008A0ED4" w:rsidRPr="000B1AAD" w:rsidRDefault="00F80368" w:rsidP="000175FC">
      <w:pPr>
        <w:pStyle w:val="CabStandard"/>
        <w:tabs>
          <w:tab w:val="clear" w:pos="720"/>
          <w:tab w:val="num" w:pos="567"/>
        </w:tabs>
        <w:ind w:left="567" w:hanging="567"/>
        <w:jc w:val="both"/>
        <w:rPr>
          <w:rFonts w:ascii="Arial" w:hAnsi="Arial" w:cs="Arial"/>
          <w:b/>
          <w:sz w:val="23"/>
          <w:szCs w:val="23"/>
        </w:rPr>
      </w:pPr>
      <w:bookmarkStart w:id="4" w:name="financial-implications"/>
      <w:bookmarkEnd w:id="4"/>
      <w:r w:rsidRPr="00FE70FD">
        <w:rPr>
          <w:rFonts w:ascii="Arial" w:hAnsi="Arial" w:cs="Arial"/>
          <w:sz w:val="22"/>
          <w:szCs w:val="22"/>
        </w:rPr>
        <w:t xml:space="preserve">The following agencies and departments were consulted: the Ministries of/for Business, Innovation and Employment; </w:t>
      </w:r>
      <w:r w:rsidR="00442B84">
        <w:rPr>
          <w:rFonts w:ascii="Arial" w:hAnsi="Arial" w:cs="Arial"/>
          <w:sz w:val="22"/>
          <w:szCs w:val="22"/>
        </w:rPr>
        <w:t xml:space="preserve">Culture and Heritage; </w:t>
      </w:r>
      <w:r w:rsidRPr="00FE70FD">
        <w:rPr>
          <w:rFonts w:ascii="Arial" w:hAnsi="Arial" w:cs="Arial"/>
          <w:sz w:val="22"/>
          <w:szCs w:val="22"/>
        </w:rPr>
        <w:t xml:space="preserve">Environment; Foreign Affairs and Trade; </w:t>
      </w:r>
      <w:r w:rsidR="00442B84">
        <w:rPr>
          <w:rFonts w:ascii="Arial" w:hAnsi="Arial" w:cs="Arial"/>
          <w:sz w:val="22"/>
          <w:szCs w:val="22"/>
        </w:rPr>
        <w:t xml:space="preserve">Housing and Urban Development; </w:t>
      </w:r>
      <w:r w:rsidRPr="00FE70FD">
        <w:rPr>
          <w:rFonts w:ascii="Arial" w:hAnsi="Arial" w:cs="Arial"/>
          <w:sz w:val="22"/>
          <w:szCs w:val="22"/>
        </w:rPr>
        <w:t xml:space="preserve">Justice; </w:t>
      </w:r>
      <w:r w:rsidR="00442B84">
        <w:rPr>
          <w:rFonts w:ascii="Arial" w:hAnsi="Arial" w:cs="Arial"/>
          <w:sz w:val="22"/>
          <w:szCs w:val="22"/>
        </w:rPr>
        <w:t xml:space="preserve">Pacific Peoples; </w:t>
      </w:r>
      <w:r w:rsidRPr="00FE70FD">
        <w:rPr>
          <w:rFonts w:ascii="Arial" w:hAnsi="Arial" w:cs="Arial"/>
          <w:sz w:val="22"/>
          <w:szCs w:val="22"/>
        </w:rPr>
        <w:t>Social Development; Women;  Department</w:t>
      </w:r>
      <w:r w:rsidR="00442B84">
        <w:rPr>
          <w:rFonts w:ascii="Arial" w:hAnsi="Arial" w:cs="Arial"/>
          <w:sz w:val="22"/>
          <w:szCs w:val="22"/>
        </w:rPr>
        <w:t xml:space="preserve">s of Conservation; Internal Affairs; </w:t>
      </w:r>
      <w:r w:rsidR="00133CF0">
        <w:rPr>
          <w:rFonts w:ascii="Arial" w:hAnsi="Arial" w:cs="Arial"/>
          <w:sz w:val="22"/>
          <w:szCs w:val="22"/>
        </w:rPr>
        <w:t xml:space="preserve">the </w:t>
      </w:r>
      <w:r w:rsidR="00133CF0" w:rsidRPr="00FE70FD">
        <w:rPr>
          <w:rFonts w:ascii="Arial" w:hAnsi="Arial" w:cs="Arial"/>
          <w:sz w:val="22"/>
          <w:szCs w:val="22"/>
        </w:rPr>
        <w:t>Prime Minister and Cabinet</w:t>
      </w:r>
      <w:r w:rsidR="00133CF0">
        <w:rPr>
          <w:rFonts w:ascii="Arial" w:hAnsi="Arial" w:cs="Arial"/>
          <w:sz w:val="22"/>
          <w:szCs w:val="22"/>
        </w:rPr>
        <w:t>;</w:t>
      </w:r>
      <w:r w:rsidR="00442B84">
        <w:rPr>
          <w:rFonts w:ascii="Arial" w:hAnsi="Arial" w:cs="Arial"/>
          <w:sz w:val="22"/>
          <w:szCs w:val="22"/>
        </w:rPr>
        <w:t xml:space="preserve"> </w:t>
      </w:r>
      <w:r w:rsidR="00133CF0" w:rsidRPr="00FE70FD">
        <w:rPr>
          <w:rFonts w:ascii="Arial" w:hAnsi="Arial" w:cs="Arial"/>
          <w:sz w:val="22"/>
          <w:szCs w:val="22"/>
        </w:rPr>
        <w:t>Environmental Protection Authority;</w:t>
      </w:r>
      <w:r w:rsidR="00133CF0">
        <w:rPr>
          <w:rFonts w:ascii="Arial" w:hAnsi="Arial" w:cs="Arial"/>
          <w:sz w:val="22"/>
          <w:szCs w:val="22"/>
        </w:rPr>
        <w:t xml:space="preserve"> </w:t>
      </w:r>
      <w:r w:rsidR="00442B84">
        <w:rPr>
          <w:rFonts w:ascii="Arial" w:hAnsi="Arial" w:cs="Arial"/>
          <w:sz w:val="22"/>
          <w:szCs w:val="22"/>
        </w:rPr>
        <w:t>Human Rights Commission; Land Information New Zealand;</w:t>
      </w:r>
      <w:r w:rsidRPr="00FE70FD">
        <w:rPr>
          <w:rFonts w:ascii="Arial" w:hAnsi="Arial" w:cs="Arial"/>
          <w:sz w:val="22"/>
          <w:szCs w:val="22"/>
        </w:rPr>
        <w:t xml:space="preserve"> </w:t>
      </w:r>
      <w:r w:rsidR="00133CF0">
        <w:rPr>
          <w:rFonts w:ascii="Arial" w:hAnsi="Arial" w:cs="Arial"/>
          <w:sz w:val="22"/>
          <w:szCs w:val="22"/>
        </w:rPr>
        <w:t>Maritime New Zealand;</w:t>
      </w:r>
      <w:r w:rsidRPr="00FE70FD">
        <w:rPr>
          <w:rFonts w:ascii="Arial" w:hAnsi="Arial" w:cs="Arial"/>
          <w:sz w:val="22"/>
          <w:szCs w:val="22"/>
        </w:rPr>
        <w:t xml:space="preserve"> </w:t>
      </w:r>
      <w:r w:rsidR="00415653">
        <w:rPr>
          <w:rFonts w:ascii="Arial" w:hAnsi="Arial" w:cs="Arial"/>
          <w:sz w:val="22"/>
          <w:szCs w:val="22"/>
        </w:rPr>
        <w:t xml:space="preserve">New Zealand Defence Force; </w:t>
      </w:r>
      <w:r w:rsidR="00133CF0" w:rsidRPr="00FE70FD">
        <w:rPr>
          <w:rFonts w:ascii="Arial" w:hAnsi="Arial" w:cs="Arial"/>
          <w:sz w:val="22"/>
          <w:szCs w:val="22"/>
        </w:rPr>
        <w:t>New Zealand Police</w:t>
      </w:r>
      <w:r w:rsidR="00442B84">
        <w:rPr>
          <w:rFonts w:ascii="Arial" w:hAnsi="Arial" w:cs="Arial"/>
          <w:sz w:val="22"/>
          <w:szCs w:val="22"/>
        </w:rPr>
        <w:t xml:space="preserve">; </w:t>
      </w:r>
      <w:proofErr w:type="spellStart"/>
      <w:r w:rsidRPr="00FE70FD">
        <w:rPr>
          <w:rFonts w:ascii="Arial" w:hAnsi="Arial" w:cs="Arial"/>
          <w:sz w:val="22"/>
          <w:szCs w:val="22"/>
        </w:rPr>
        <w:t>Te</w:t>
      </w:r>
      <w:proofErr w:type="spellEnd"/>
      <w:r w:rsidRPr="00FE70FD">
        <w:rPr>
          <w:rFonts w:ascii="Arial" w:hAnsi="Arial" w:cs="Arial"/>
          <w:sz w:val="22"/>
          <w:szCs w:val="22"/>
        </w:rPr>
        <w:t xml:space="preserve"> </w:t>
      </w:r>
      <w:proofErr w:type="spellStart"/>
      <w:r w:rsidRPr="00FE70FD">
        <w:rPr>
          <w:rFonts w:ascii="Arial" w:hAnsi="Arial" w:cs="Arial"/>
          <w:sz w:val="22"/>
          <w:szCs w:val="22"/>
        </w:rPr>
        <w:t>Puni</w:t>
      </w:r>
      <w:proofErr w:type="spellEnd"/>
      <w:r w:rsidRPr="00FE70FD">
        <w:rPr>
          <w:rFonts w:ascii="Arial" w:hAnsi="Arial" w:cs="Arial"/>
          <w:sz w:val="22"/>
          <w:szCs w:val="22"/>
        </w:rPr>
        <w:t xml:space="preserve"> </w:t>
      </w:r>
      <w:proofErr w:type="spellStart"/>
      <w:r w:rsidRPr="00FE70FD">
        <w:rPr>
          <w:rFonts w:ascii="Arial" w:hAnsi="Arial" w:cs="Arial"/>
          <w:sz w:val="22"/>
          <w:szCs w:val="22"/>
        </w:rPr>
        <w:t>K</w:t>
      </w:r>
      <w:r>
        <w:rPr>
          <w:rFonts w:ascii="Arial" w:hAnsi="Arial" w:cs="Arial"/>
          <w:sz w:val="22"/>
          <w:szCs w:val="22"/>
        </w:rPr>
        <w:t>ō</w:t>
      </w:r>
      <w:r w:rsidRPr="00FE70FD">
        <w:rPr>
          <w:rFonts w:ascii="Arial" w:hAnsi="Arial" w:cs="Arial"/>
          <w:sz w:val="22"/>
          <w:szCs w:val="22"/>
        </w:rPr>
        <w:t>kiri</w:t>
      </w:r>
      <w:proofErr w:type="spellEnd"/>
      <w:r w:rsidRPr="00FE70FD">
        <w:rPr>
          <w:rFonts w:ascii="Arial" w:hAnsi="Arial" w:cs="Arial"/>
          <w:sz w:val="22"/>
          <w:szCs w:val="22"/>
        </w:rPr>
        <w:t>;</w:t>
      </w:r>
      <w:r w:rsidR="00133CF0">
        <w:rPr>
          <w:rFonts w:ascii="Arial" w:hAnsi="Arial" w:cs="Arial"/>
          <w:sz w:val="22"/>
          <w:szCs w:val="22"/>
        </w:rPr>
        <w:t xml:space="preserve"> Treasury and</w:t>
      </w:r>
      <w:r w:rsidRPr="00FE70FD">
        <w:rPr>
          <w:rFonts w:ascii="Arial" w:hAnsi="Arial" w:cs="Arial"/>
          <w:sz w:val="22"/>
          <w:szCs w:val="22"/>
        </w:rPr>
        <w:t xml:space="preserve"> WorkSafe</w:t>
      </w:r>
      <w:r w:rsidR="00442B84">
        <w:rPr>
          <w:rFonts w:ascii="Arial" w:hAnsi="Arial" w:cs="Arial"/>
          <w:sz w:val="22"/>
          <w:szCs w:val="22"/>
        </w:rPr>
        <w:t xml:space="preserve"> New Zealand</w:t>
      </w:r>
      <w:r w:rsidRPr="00FE70FD">
        <w:rPr>
          <w:rFonts w:ascii="Arial" w:hAnsi="Arial" w:cs="Arial"/>
          <w:sz w:val="22"/>
          <w:szCs w:val="22"/>
        </w:rPr>
        <w:t>. The</w:t>
      </w:r>
      <w:r w:rsidR="00442B84">
        <w:rPr>
          <w:rFonts w:ascii="Arial" w:hAnsi="Arial" w:cs="Arial"/>
          <w:sz w:val="22"/>
          <w:szCs w:val="22"/>
        </w:rPr>
        <w:t xml:space="preserve"> </w:t>
      </w:r>
      <w:r w:rsidRPr="00FE70FD">
        <w:rPr>
          <w:rFonts w:ascii="Arial" w:hAnsi="Arial" w:cs="Arial"/>
          <w:sz w:val="22"/>
          <w:szCs w:val="22"/>
        </w:rPr>
        <w:t xml:space="preserve">State Services Commission </w:t>
      </w:r>
      <w:r w:rsidR="00442B84">
        <w:rPr>
          <w:rFonts w:ascii="Arial" w:hAnsi="Arial" w:cs="Arial"/>
          <w:sz w:val="22"/>
          <w:szCs w:val="22"/>
        </w:rPr>
        <w:t>have</w:t>
      </w:r>
      <w:r w:rsidR="009B0112">
        <w:rPr>
          <w:rFonts w:ascii="Arial" w:hAnsi="Arial" w:cs="Arial"/>
          <w:sz w:val="22"/>
          <w:szCs w:val="22"/>
        </w:rPr>
        <w:t xml:space="preserve"> been</w:t>
      </w:r>
      <w:r w:rsidRPr="00FE70FD">
        <w:rPr>
          <w:rFonts w:ascii="Arial" w:hAnsi="Arial" w:cs="Arial"/>
          <w:sz w:val="22"/>
          <w:szCs w:val="22"/>
        </w:rPr>
        <w:t xml:space="preserve"> informed. </w:t>
      </w:r>
    </w:p>
    <w:p w14:paraId="402EC8F8" w14:textId="09925ADA" w:rsidR="0070033B" w:rsidRPr="00B62210" w:rsidRDefault="0070033B" w:rsidP="00FA5CF2">
      <w:pPr>
        <w:pStyle w:val="Heading2"/>
      </w:pPr>
      <w:r w:rsidRPr="00B62210">
        <w:t xml:space="preserve">Financial Implications </w:t>
      </w:r>
    </w:p>
    <w:p w14:paraId="0A85BCB4" w14:textId="7EBAC95E" w:rsidR="005504B2" w:rsidRDefault="009B0112" w:rsidP="004545E0">
      <w:pPr>
        <w:pStyle w:val="CabStandard"/>
        <w:tabs>
          <w:tab w:val="clear" w:pos="720"/>
          <w:tab w:val="num" w:pos="567"/>
        </w:tabs>
        <w:ind w:left="567" w:hanging="567"/>
        <w:jc w:val="both"/>
      </w:pPr>
      <w:bookmarkStart w:id="5" w:name="_Hlk258585"/>
      <w:r>
        <w:rPr>
          <w:rFonts w:ascii="Arial" w:hAnsi="Arial" w:cs="Arial"/>
          <w:sz w:val="23"/>
          <w:szCs w:val="23"/>
        </w:rPr>
        <w:t xml:space="preserve">There </w:t>
      </w:r>
      <w:r w:rsidRPr="004545E0">
        <w:rPr>
          <w:rFonts w:ascii="Arial" w:hAnsi="Arial" w:cs="Arial"/>
          <w:sz w:val="22"/>
          <w:szCs w:val="22"/>
        </w:rPr>
        <w:t>are</w:t>
      </w:r>
      <w:r w:rsidR="00795C22">
        <w:rPr>
          <w:rFonts w:ascii="Arial" w:hAnsi="Arial" w:cs="Arial"/>
          <w:sz w:val="23"/>
          <w:szCs w:val="23"/>
        </w:rPr>
        <w:t xml:space="preserve"> no </w:t>
      </w:r>
      <w:r w:rsidR="00045460">
        <w:rPr>
          <w:rFonts w:ascii="Arial" w:hAnsi="Arial" w:cs="Arial"/>
          <w:sz w:val="23"/>
          <w:szCs w:val="23"/>
        </w:rPr>
        <w:t xml:space="preserve">immediate </w:t>
      </w:r>
      <w:r w:rsidR="00795C22">
        <w:rPr>
          <w:rFonts w:ascii="Arial" w:hAnsi="Arial" w:cs="Arial"/>
          <w:sz w:val="23"/>
          <w:szCs w:val="23"/>
        </w:rPr>
        <w:t>financial implications</w:t>
      </w:r>
      <w:r w:rsidR="00045460">
        <w:rPr>
          <w:rFonts w:ascii="Arial" w:hAnsi="Arial" w:cs="Arial"/>
          <w:sz w:val="23"/>
          <w:szCs w:val="23"/>
        </w:rPr>
        <w:t xml:space="preserve"> associated with this paper</w:t>
      </w:r>
      <w:r w:rsidR="00795C22">
        <w:rPr>
          <w:rFonts w:ascii="Arial" w:hAnsi="Arial" w:cs="Arial"/>
          <w:sz w:val="23"/>
          <w:szCs w:val="23"/>
        </w:rPr>
        <w:t>.</w:t>
      </w:r>
      <w:r w:rsidR="00045460">
        <w:rPr>
          <w:rFonts w:ascii="Arial" w:hAnsi="Arial" w:cs="Arial"/>
          <w:sz w:val="23"/>
          <w:szCs w:val="23"/>
        </w:rPr>
        <w:t xml:space="preserve"> Future papers seeking government policy decisions will discuss any financial implications at that time.    </w:t>
      </w:r>
      <w:r w:rsidR="00795C22">
        <w:rPr>
          <w:rFonts w:ascii="Arial" w:hAnsi="Arial" w:cs="Arial"/>
          <w:sz w:val="23"/>
          <w:szCs w:val="23"/>
        </w:rPr>
        <w:t xml:space="preserve"> </w:t>
      </w:r>
    </w:p>
    <w:bookmarkEnd w:id="5"/>
    <w:p w14:paraId="706004B9" w14:textId="5F89560F" w:rsidR="0070033B" w:rsidRPr="00B62210" w:rsidRDefault="0070033B" w:rsidP="00FA5CF2">
      <w:pPr>
        <w:pStyle w:val="Heading2"/>
      </w:pPr>
      <w:r w:rsidRPr="00B62210">
        <w:t xml:space="preserve">Human Rights </w:t>
      </w:r>
    </w:p>
    <w:p w14:paraId="296CDA6D" w14:textId="1368E6F9" w:rsidR="00E7201C" w:rsidRDefault="008816AF" w:rsidP="004545E0">
      <w:pPr>
        <w:pStyle w:val="CabStandard"/>
        <w:tabs>
          <w:tab w:val="clear" w:pos="720"/>
          <w:tab w:val="num" w:pos="567"/>
        </w:tabs>
        <w:ind w:left="567" w:hanging="567"/>
        <w:jc w:val="both"/>
        <w:rPr>
          <w:rFonts w:ascii="Arial" w:hAnsi="Arial" w:cs="Arial"/>
          <w:sz w:val="23"/>
          <w:szCs w:val="23"/>
        </w:rPr>
      </w:pPr>
      <w:r>
        <w:rPr>
          <w:rFonts w:ascii="Arial" w:hAnsi="Arial" w:cs="Arial"/>
          <w:sz w:val="23"/>
          <w:szCs w:val="23"/>
        </w:rPr>
        <w:t xml:space="preserve">The proposals in this paper are </w:t>
      </w:r>
      <w:r w:rsidR="00D2549C">
        <w:rPr>
          <w:rFonts w:ascii="Arial" w:hAnsi="Arial" w:cs="Arial"/>
          <w:sz w:val="23"/>
          <w:szCs w:val="23"/>
        </w:rPr>
        <w:t>consistent</w:t>
      </w:r>
      <w:r w:rsidR="008455E0">
        <w:rPr>
          <w:rFonts w:ascii="Arial" w:hAnsi="Arial" w:cs="Arial"/>
          <w:sz w:val="23"/>
          <w:szCs w:val="23"/>
        </w:rPr>
        <w:t xml:space="preserve"> with </w:t>
      </w:r>
      <w:r w:rsidR="008455E0" w:rsidRPr="00B62210">
        <w:rPr>
          <w:rFonts w:ascii="Arial" w:hAnsi="Arial" w:cs="Arial"/>
          <w:sz w:val="23"/>
          <w:szCs w:val="23"/>
        </w:rPr>
        <w:t>the</w:t>
      </w:r>
      <w:r w:rsidR="005C4462">
        <w:rPr>
          <w:rFonts w:ascii="Arial" w:hAnsi="Arial" w:cs="Arial"/>
          <w:sz w:val="23"/>
          <w:szCs w:val="23"/>
        </w:rPr>
        <w:t xml:space="preserve"> </w:t>
      </w:r>
      <w:r w:rsidR="005B121F" w:rsidRPr="00B62210">
        <w:rPr>
          <w:rFonts w:ascii="Arial" w:hAnsi="Arial" w:cs="Arial"/>
          <w:sz w:val="23"/>
          <w:szCs w:val="23"/>
        </w:rPr>
        <w:t>Human Rights Act 1993</w:t>
      </w:r>
      <w:r w:rsidR="009F7CE4" w:rsidRPr="00B62210">
        <w:rPr>
          <w:rFonts w:ascii="Arial" w:hAnsi="Arial" w:cs="Arial"/>
          <w:sz w:val="23"/>
          <w:szCs w:val="23"/>
        </w:rPr>
        <w:t xml:space="preserve"> and the New </w:t>
      </w:r>
      <w:r w:rsidR="0084142D" w:rsidRPr="00B62210">
        <w:rPr>
          <w:rFonts w:ascii="Arial" w:hAnsi="Arial" w:cs="Arial"/>
          <w:sz w:val="23"/>
          <w:szCs w:val="23"/>
        </w:rPr>
        <w:t>Zealand Bill of Rights A</w:t>
      </w:r>
      <w:r w:rsidR="009F7CE4" w:rsidRPr="00B62210">
        <w:rPr>
          <w:rFonts w:ascii="Arial" w:hAnsi="Arial" w:cs="Arial"/>
          <w:sz w:val="23"/>
          <w:szCs w:val="23"/>
        </w:rPr>
        <w:t>ct 1990</w:t>
      </w:r>
      <w:r w:rsidR="005B121F" w:rsidRPr="00B62210">
        <w:rPr>
          <w:rFonts w:ascii="Arial" w:hAnsi="Arial" w:cs="Arial"/>
          <w:sz w:val="23"/>
          <w:szCs w:val="23"/>
        </w:rPr>
        <w:t>.</w:t>
      </w:r>
    </w:p>
    <w:p w14:paraId="500452E6" w14:textId="1DC62640" w:rsidR="0070033B" w:rsidRPr="00B62210" w:rsidRDefault="0070033B" w:rsidP="00FA5CF2">
      <w:pPr>
        <w:pStyle w:val="Heading2"/>
      </w:pPr>
      <w:r w:rsidRPr="00B62210">
        <w:t>Legislative Implications</w:t>
      </w:r>
    </w:p>
    <w:p w14:paraId="1F270884" w14:textId="77777777" w:rsidR="00BE2C86" w:rsidRDefault="009B0112" w:rsidP="00BE2C86">
      <w:pPr>
        <w:pStyle w:val="CabStandard"/>
        <w:tabs>
          <w:tab w:val="clear" w:pos="720"/>
          <w:tab w:val="num" w:pos="567"/>
        </w:tabs>
        <w:ind w:left="567" w:hanging="567"/>
        <w:jc w:val="both"/>
        <w:rPr>
          <w:rFonts w:ascii="Arial" w:hAnsi="Arial" w:cs="Arial"/>
          <w:b/>
          <w:sz w:val="23"/>
          <w:szCs w:val="23"/>
        </w:rPr>
      </w:pPr>
      <w:r w:rsidRPr="00BE2C86">
        <w:rPr>
          <w:rFonts w:ascii="Arial" w:hAnsi="Arial" w:cs="Arial"/>
          <w:sz w:val="23"/>
          <w:szCs w:val="23"/>
        </w:rPr>
        <w:t>There are</w:t>
      </w:r>
      <w:r w:rsidR="008816AF" w:rsidRPr="00BE2C86">
        <w:rPr>
          <w:rFonts w:ascii="Arial" w:hAnsi="Arial" w:cs="Arial"/>
          <w:sz w:val="23"/>
          <w:szCs w:val="23"/>
        </w:rPr>
        <w:t xml:space="preserve"> no</w:t>
      </w:r>
      <w:r w:rsidR="00045460" w:rsidRPr="00BE2C86">
        <w:rPr>
          <w:rFonts w:ascii="Arial" w:hAnsi="Arial" w:cs="Arial"/>
          <w:sz w:val="23"/>
          <w:szCs w:val="23"/>
        </w:rPr>
        <w:t xml:space="preserve"> immediate </w:t>
      </w:r>
      <w:r w:rsidR="008816AF" w:rsidRPr="00BE2C86">
        <w:rPr>
          <w:rFonts w:ascii="Arial" w:hAnsi="Arial" w:cs="Arial"/>
          <w:sz w:val="23"/>
          <w:szCs w:val="23"/>
        </w:rPr>
        <w:t>legislative implications.</w:t>
      </w:r>
      <w:r w:rsidR="00045460" w:rsidRPr="00BE2C86">
        <w:rPr>
          <w:rFonts w:ascii="Arial" w:hAnsi="Arial" w:cs="Arial"/>
          <w:sz w:val="23"/>
          <w:szCs w:val="23"/>
        </w:rPr>
        <w:t xml:space="preserve">  Final policy decisions may have legislative implications which will be discussed at that time.      </w:t>
      </w:r>
      <w:r w:rsidR="008816AF" w:rsidRPr="00BE2C86">
        <w:rPr>
          <w:rFonts w:ascii="Arial" w:hAnsi="Arial" w:cs="Arial"/>
          <w:sz w:val="23"/>
          <w:szCs w:val="23"/>
        </w:rPr>
        <w:t xml:space="preserve"> </w:t>
      </w:r>
    </w:p>
    <w:p w14:paraId="1738B58E" w14:textId="377E745D" w:rsidR="0070033B" w:rsidRPr="00BE2C86" w:rsidRDefault="0070033B" w:rsidP="00FA5CF2">
      <w:pPr>
        <w:pStyle w:val="Heading2"/>
      </w:pPr>
      <w:r w:rsidRPr="00BE2C86">
        <w:t>Impact Analysis</w:t>
      </w:r>
    </w:p>
    <w:p w14:paraId="675B5769" w14:textId="0C28040C" w:rsidR="00470D86" w:rsidRPr="00470D86" w:rsidRDefault="00470D86" w:rsidP="004545E0">
      <w:pPr>
        <w:pStyle w:val="CabStandard"/>
        <w:tabs>
          <w:tab w:val="clear" w:pos="720"/>
          <w:tab w:val="num" w:pos="567"/>
        </w:tabs>
        <w:ind w:left="567" w:hanging="567"/>
        <w:jc w:val="both"/>
        <w:rPr>
          <w:rFonts w:ascii="Arial" w:hAnsi="Arial" w:cs="Arial"/>
          <w:sz w:val="23"/>
          <w:szCs w:val="23"/>
        </w:rPr>
      </w:pPr>
      <w:r>
        <w:rPr>
          <w:rFonts w:ascii="Arial" w:hAnsi="Arial" w:cs="Arial"/>
          <w:sz w:val="23"/>
          <w:szCs w:val="23"/>
        </w:rPr>
        <w:t xml:space="preserve">The Regulatory Quality </w:t>
      </w:r>
      <w:r w:rsidR="00AB7759">
        <w:rPr>
          <w:rFonts w:ascii="Arial" w:hAnsi="Arial" w:cs="Arial"/>
          <w:sz w:val="23"/>
          <w:szCs w:val="23"/>
        </w:rPr>
        <w:t>t</w:t>
      </w:r>
      <w:r>
        <w:rPr>
          <w:rFonts w:ascii="Arial" w:hAnsi="Arial" w:cs="Arial"/>
          <w:sz w:val="23"/>
          <w:szCs w:val="23"/>
        </w:rPr>
        <w:t xml:space="preserve">eam at the Treasury has determined that the regulatory decisions sought </w:t>
      </w:r>
      <w:r w:rsidRPr="004545E0">
        <w:rPr>
          <w:rFonts w:ascii="Arial" w:hAnsi="Arial" w:cs="Arial"/>
          <w:sz w:val="22"/>
          <w:szCs w:val="22"/>
        </w:rPr>
        <w:t>in</w:t>
      </w:r>
      <w:r>
        <w:rPr>
          <w:rFonts w:ascii="Arial" w:hAnsi="Arial" w:cs="Arial"/>
          <w:sz w:val="23"/>
          <w:szCs w:val="23"/>
        </w:rPr>
        <w:t xml:space="preserve"> this paper are exempt from the requirement to provide an Impact Assessment</w:t>
      </w:r>
      <w:r w:rsidR="00DE0B38">
        <w:rPr>
          <w:rFonts w:ascii="Arial" w:hAnsi="Arial" w:cs="Arial"/>
          <w:sz w:val="23"/>
          <w:szCs w:val="23"/>
        </w:rPr>
        <w:t>,</w:t>
      </w:r>
      <w:r>
        <w:rPr>
          <w:rFonts w:ascii="Arial" w:hAnsi="Arial" w:cs="Arial"/>
          <w:sz w:val="23"/>
          <w:szCs w:val="23"/>
        </w:rPr>
        <w:t xml:space="preserve"> as the relevant issues have been addressed in the </w:t>
      </w:r>
      <w:r w:rsidR="007A5C5F">
        <w:rPr>
          <w:rFonts w:ascii="Arial" w:hAnsi="Arial" w:cs="Arial"/>
          <w:sz w:val="23"/>
          <w:szCs w:val="23"/>
        </w:rPr>
        <w:t>consultation document</w:t>
      </w:r>
      <w:r>
        <w:rPr>
          <w:rFonts w:ascii="Arial" w:hAnsi="Arial" w:cs="Arial"/>
          <w:sz w:val="23"/>
          <w:szCs w:val="23"/>
        </w:rPr>
        <w:t xml:space="preserve">. </w:t>
      </w:r>
    </w:p>
    <w:p w14:paraId="07FA1904" w14:textId="77777777" w:rsidR="005C7DD1" w:rsidRDefault="005C7DD1">
      <w:pPr>
        <w:rPr>
          <w:rFonts w:ascii="Arial" w:eastAsia="Times New Roman" w:hAnsi="Arial" w:cs="Arial"/>
          <w:b/>
          <w:sz w:val="23"/>
          <w:szCs w:val="23"/>
          <w:lang w:val="en-GB" w:eastAsia="ja-JP"/>
        </w:rPr>
      </w:pPr>
      <w:r>
        <w:rPr>
          <w:rFonts w:ascii="Arial" w:hAnsi="Arial" w:cs="Arial"/>
          <w:b/>
          <w:sz w:val="23"/>
          <w:szCs w:val="23"/>
        </w:rPr>
        <w:br w:type="page"/>
      </w:r>
    </w:p>
    <w:p w14:paraId="0A7CB097" w14:textId="61EE2479" w:rsidR="0070033B" w:rsidRPr="00B62210" w:rsidRDefault="0070033B" w:rsidP="004842AB">
      <w:pPr>
        <w:pStyle w:val="CabStandard"/>
        <w:numPr>
          <w:ilvl w:val="0"/>
          <w:numId w:val="0"/>
        </w:numPr>
        <w:jc w:val="both"/>
        <w:rPr>
          <w:rFonts w:ascii="Arial" w:hAnsi="Arial" w:cs="Arial"/>
          <w:b/>
          <w:sz w:val="23"/>
          <w:szCs w:val="23"/>
        </w:rPr>
      </w:pPr>
      <w:r w:rsidRPr="00B62210">
        <w:rPr>
          <w:rFonts w:ascii="Arial" w:hAnsi="Arial" w:cs="Arial"/>
          <w:b/>
          <w:sz w:val="23"/>
          <w:szCs w:val="23"/>
        </w:rPr>
        <w:lastRenderedPageBreak/>
        <w:t>Gender Implications</w:t>
      </w:r>
    </w:p>
    <w:p w14:paraId="356B77F5" w14:textId="3F4D9D6E" w:rsidR="00470D86" w:rsidRDefault="00D20D6D" w:rsidP="004545E0">
      <w:pPr>
        <w:pStyle w:val="CabStandard"/>
        <w:tabs>
          <w:tab w:val="clear" w:pos="720"/>
          <w:tab w:val="num" w:pos="567"/>
        </w:tabs>
        <w:ind w:left="567" w:hanging="567"/>
        <w:jc w:val="both"/>
        <w:rPr>
          <w:rFonts w:ascii="Arial" w:hAnsi="Arial" w:cs="Arial"/>
          <w:sz w:val="23"/>
          <w:szCs w:val="23"/>
        </w:rPr>
      </w:pPr>
      <w:r w:rsidRPr="00D20D6D">
        <w:rPr>
          <w:rFonts w:ascii="Arial" w:hAnsi="Arial" w:cs="Arial"/>
          <w:sz w:val="23"/>
          <w:szCs w:val="23"/>
        </w:rPr>
        <w:t xml:space="preserve">Cultural traditions, gender norms and demographic patterns </w:t>
      </w:r>
      <w:r w:rsidR="008215D7">
        <w:rPr>
          <w:rFonts w:ascii="Arial" w:hAnsi="Arial" w:cs="Arial"/>
          <w:sz w:val="23"/>
          <w:szCs w:val="23"/>
        </w:rPr>
        <w:t xml:space="preserve">frequently </w:t>
      </w:r>
      <w:r w:rsidRPr="00D20D6D">
        <w:rPr>
          <w:rFonts w:ascii="Arial" w:hAnsi="Arial" w:cs="Arial"/>
          <w:sz w:val="23"/>
          <w:szCs w:val="23"/>
        </w:rPr>
        <w:t xml:space="preserve">place women at the centre of the processes of death. </w:t>
      </w:r>
      <w:r w:rsidR="005C7DD1">
        <w:rPr>
          <w:rFonts w:ascii="Arial" w:hAnsi="Arial" w:cs="Arial"/>
          <w:sz w:val="23"/>
          <w:szCs w:val="23"/>
        </w:rPr>
        <w:t>W</w:t>
      </w:r>
      <w:r w:rsidRPr="00D20D6D">
        <w:rPr>
          <w:rFonts w:ascii="Arial" w:hAnsi="Arial" w:cs="Arial"/>
          <w:sz w:val="23"/>
          <w:szCs w:val="23"/>
        </w:rPr>
        <w:t xml:space="preserve">omen </w:t>
      </w:r>
      <w:r w:rsidR="005C7DD1">
        <w:rPr>
          <w:rFonts w:ascii="Arial" w:hAnsi="Arial" w:cs="Arial"/>
          <w:sz w:val="23"/>
          <w:szCs w:val="23"/>
        </w:rPr>
        <w:t>will therefore be prioritised</w:t>
      </w:r>
      <w:r w:rsidRPr="00D20D6D">
        <w:rPr>
          <w:rFonts w:ascii="Arial" w:hAnsi="Arial" w:cs="Arial"/>
          <w:sz w:val="23"/>
          <w:szCs w:val="23"/>
        </w:rPr>
        <w:t xml:space="preserve"> </w:t>
      </w:r>
      <w:r w:rsidR="005C7DD1">
        <w:rPr>
          <w:rFonts w:ascii="Arial" w:hAnsi="Arial" w:cs="Arial"/>
          <w:sz w:val="23"/>
          <w:szCs w:val="23"/>
        </w:rPr>
        <w:t>during</w:t>
      </w:r>
      <w:r w:rsidRPr="00D20D6D">
        <w:rPr>
          <w:rFonts w:ascii="Arial" w:hAnsi="Arial" w:cs="Arial"/>
          <w:sz w:val="23"/>
          <w:szCs w:val="23"/>
        </w:rPr>
        <w:t xml:space="preserve"> consultation, in particular those </w:t>
      </w:r>
      <w:r>
        <w:rPr>
          <w:rFonts w:ascii="Arial" w:hAnsi="Arial" w:cs="Arial"/>
          <w:sz w:val="23"/>
          <w:szCs w:val="23"/>
        </w:rPr>
        <w:t>who are financially vulnerable</w:t>
      </w:r>
      <w:r w:rsidRPr="00D20D6D">
        <w:rPr>
          <w:rFonts w:ascii="Arial" w:hAnsi="Arial" w:cs="Arial"/>
          <w:sz w:val="23"/>
          <w:szCs w:val="23"/>
        </w:rPr>
        <w:t xml:space="preserve"> and those </w:t>
      </w:r>
      <w:r>
        <w:rPr>
          <w:rFonts w:ascii="Arial" w:hAnsi="Arial" w:cs="Arial"/>
          <w:sz w:val="23"/>
          <w:szCs w:val="23"/>
        </w:rPr>
        <w:t>from a non-New Zealand European cultural context.</w:t>
      </w:r>
    </w:p>
    <w:p w14:paraId="4FA1DE06" w14:textId="472A4A7B" w:rsidR="0070033B" w:rsidRPr="00B62210" w:rsidRDefault="001C72F6" w:rsidP="00FA5CF2">
      <w:pPr>
        <w:pStyle w:val="Heading2"/>
      </w:pPr>
      <w:r w:rsidRPr="00BC24E6">
        <w:t>Disability</w:t>
      </w:r>
      <w:r w:rsidR="0070033B" w:rsidRPr="00B62210">
        <w:t xml:space="preserve"> Perspective </w:t>
      </w:r>
    </w:p>
    <w:p w14:paraId="1B599404" w14:textId="5CADA3BC" w:rsidR="00FC5924" w:rsidRDefault="00704BF0" w:rsidP="004545E0">
      <w:pPr>
        <w:pStyle w:val="CabStandard"/>
        <w:tabs>
          <w:tab w:val="clear" w:pos="720"/>
          <w:tab w:val="num" w:pos="567"/>
        </w:tabs>
        <w:ind w:left="567" w:hanging="567"/>
        <w:jc w:val="both"/>
        <w:rPr>
          <w:rFonts w:ascii="Arial" w:hAnsi="Arial" w:cs="Arial"/>
          <w:sz w:val="23"/>
          <w:szCs w:val="23"/>
        </w:rPr>
      </w:pPr>
      <w:r w:rsidRPr="00B62210">
        <w:rPr>
          <w:rFonts w:ascii="Arial" w:hAnsi="Arial" w:cs="Arial"/>
          <w:sz w:val="23"/>
          <w:szCs w:val="23"/>
        </w:rPr>
        <w:t>The</w:t>
      </w:r>
      <w:r w:rsidR="00736C88">
        <w:rPr>
          <w:rFonts w:ascii="Arial" w:hAnsi="Arial" w:cs="Arial"/>
          <w:sz w:val="23"/>
          <w:szCs w:val="23"/>
        </w:rPr>
        <w:t xml:space="preserve"> </w:t>
      </w:r>
      <w:r w:rsidR="00736C88" w:rsidRPr="004545E0">
        <w:rPr>
          <w:rFonts w:ascii="Arial" w:hAnsi="Arial" w:cs="Arial"/>
          <w:sz w:val="22"/>
          <w:szCs w:val="22"/>
        </w:rPr>
        <w:t>proposals</w:t>
      </w:r>
      <w:r w:rsidR="00736C88">
        <w:rPr>
          <w:rFonts w:ascii="Arial" w:hAnsi="Arial" w:cs="Arial"/>
          <w:sz w:val="23"/>
          <w:szCs w:val="23"/>
        </w:rPr>
        <w:t xml:space="preserve"> in this paper have no implications for disabled people.</w:t>
      </w:r>
      <w:r w:rsidRPr="00B62210">
        <w:rPr>
          <w:rFonts w:ascii="Arial" w:hAnsi="Arial" w:cs="Arial"/>
          <w:sz w:val="23"/>
          <w:szCs w:val="23"/>
        </w:rPr>
        <w:t xml:space="preserve"> </w:t>
      </w:r>
    </w:p>
    <w:p w14:paraId="744199F4" w14:textId="13BC0B52" w:rsidR="00FC5924" w:rsidRDefault="00FC5924" w:rsidP="00FA5CF2">
      <w:pPr>
        <w:pStyle w:val="Heading2"/>
      </w:pPr>
      <w:r w:rsidRPr="00B62210">
        <w:t>Publicity</w:t>
      </w:r>
    </w:p>
    <w:p w14:paraId="3F73BF1C" w14:textId="1F9D5E0E" w:rsidR="00CA2F18" w:rsidRDefault="00082F28" w:rsidP="004545E0">
      <w:pPr>
        <w:pStyle w:val="CabStandard"/>
        <w:tabs>
          <w:tab w:val="clear" w:pos="720"/>
          <w:tab w:val="num" w:pos="567"/>
        </w:tabs>
        <w:ind w:left="567" w:hanging="567"/>
        <w:jc w:val="both"/>
        <w:rPr>
          <w:rFonts w:ascii="Arial" w:hAnsi="Arial" w:cs="Arial"/>
          <w:sz w:val="23"/>
          <w:szCs w:val="23"/>
        </w:rPr>
      </w:pPr>
      <w:r>
        <w:rPr>
          <w:rFonts w:ascii="Arial" w:hAnsi="Arial" w:cs="Arial"/>
          <w:sz w:val="23"/>
          <w:szCs w:val="23"/>
        </w:rPr>
        <w:t xml:space="preserve">Prior to the launch of the </w:t>
      </w:r>
      <w:r w:rsidR="007A5C5F">
        <w:rPr>
          <w:rFonts w:ascii="Arial" w:hAnsi="Arial" w:cs="Arial"/>
          <w:sz w:val="23"/>
          <w:szCs w:val="23"/>
        </w:rPr>
        <w:t>consultation document</w:t>
      </w:r>
      <w:r>
        <w:rPr>
          <w:rFonts w:ascii="Arial" w:hAnsi="Arial" w:cs="Arial"/>
          <w:sz w:val="23"/>
          <w:szCs w:val="23"/>
        </w:rPr>
        <w:t>, a</w:t>
      </w:r>
      <w:r w:rsidR="006161E6" w:rsidRPr="00FC5924">
        <w:rPr>
          <w:rFonts w:ascii="Arial" w:hAnsi="Arial" w:cs="Arial"/>
          <w:sz w:val="23"/>
          <w:szCs w:val="23"/>
        </w:rPr>
        <w:t xml:space="preserve"> media release </w:t>
      </w:r>
      <w:r w:rsidR="006B0497" w:rsidRPr="00FC5924">
        <w:rPr>
          <w:rFonts w:ascii="Arial" w:hAnsi="Arial" w:cs="Arial"/>
          <w:sz w:val="23"/>
          <w:szCs w:val="23"/>
        </w:rPr>
        <w:t>will be</w:t>
      </w:r>
      <w:r w:rsidR="006161E6" w:rsidRPr="00FC5924">
        <w:rPr>
          <w:rFonts w:ascii="Arial" w:hAnsi="Arial" w:cs="Arial"/>
          <w:sz w:val="23"/>
          <w:szCs w:val="23"/>
        </w:rPr>
        <w:t xml:space="preserve"> </w:t>
      </w:r>
      <w:r w:rsidR="006B0497" w:rsidRPr="00FC5924">
        <w:rPr>
          <w:rFonts w:ascii="Arial" w:hAnsi="Arial" w:cs="Arial"/>
          <w:sz w:val="23"/>
          <w:szCs w:val="23"/>
        </w:rPr>
        <w:t>issued</w:t>
      </w:r>
      <w:r w:rsidR="00470D86">
        <w:rPr>
          <w:rFonts w:ascii="Arial" w:hAnsi="Arial" w:cs="Arial"/>
          <w:sz w:val="23"/>
          <w:szCs w:val="23"/>
        </w:rPr>
        <w:t xml:space="preserve">. The </w:t>
      </w:r>
      <w:r w:rsidR="007A5C5F">
        <w:rPr>
          <w:rFonts w:ascii="Arial" w:hAnsi="Arial" w:cs="Arial"/>
          <w:sz w:val="23"/>
          <w:szCs w:val="23"/>
        </w:rPr>
        <w:t>consultation document</w:t>
      </w:r>
      <w:r w:rsidR="00470D86">
        <w:rPr>
          <w:rFonts w:ascii="Arial" w:hAnsi="Arial" w:cs="Arial"/>
          <w:sz w:val="23"/>
          <w:szCs w:val="23"/>
        </w:rPr>
        <w:t xml:space="preserve"> will be available on the Ministry of Health’s website</w:t>
      </w:r>
      <w:r w:rsidR="003E5D3F">
        <w:rPr>
          <w:rFonts w:ascii="Arial" w:hAnsi="Arial" w:cs="Arial"/>
          <w:sz w:val="23"/>
          <w:szCs w:val="23"/>
        </w:rPr>
        <w:t xml:space="preserve">. The Ministry </w:t>
      </w:r>
      <w:r w:rsidR="005C7DD1">
        <w:rPr>
          <w:rFonts w:ascii="Arial" w:hAnsi="Arial" w:cs="Arial"/>
          <w:sz w:val="23"/>
          <w:szCs w:val="23"/>
        </w:rPr>
        <w:t xml:space="preserve">of Health </w:t>
      </w:r>
      <w:r w:rsidR="003E5D3F">
        <w:rPr>
          <w:rFonts w:ascii="Arial" w:hAnsi="Arial" w:cs="Arial"/>
          <w:sz w:val="23"/>
          <w:szCs w:val="23"/>
        </w:rPr>
        <w:t xml:space="preserve">will also notify </w:t>
      </w:r>
      <w:r w:rsidR="00F80368">
        <w:rPr>
          <w:rFonts w:ascii="Arial" w:hAnsi="Arial" w:cs="Arial"/>
          <w:sz w:val="23"/>
          <w:szCs w:val="23"/>
        </w:rPr>
        <w:t>relevant stakeholders of the release of the document</w:t>
      </w:r>
      <w:r w:rsidR="00470D86">
        <w:rPr>
          <w:rFonts w:ascii="Arial" w:hAnsi="Arial" w:cs="Arial"/>
          <w:sz w:val="23"/>
          <w:szCs w:val="23"/>
        </w:rPr>
        <w:t xml:space="preserve">. </w:t>
      </w:r>
    </w:p>
    <w:p w14:paraId="499761A8" w14:textId="3B6D5AA3" w:rsidR="00304D36" w:rsidRPr="00304D36" w:rsidRDefault="00304D36" w:rsidP="00FA5CF2">
      <w:pPr>
        <w:pStyle w:val="Heading2"/>
      </w:pPr>
      <w:r w:rsidRPr="00304D36">
        <w:t>Proactive Release</w:t>
      </w:r>
    </w:p>
    <w:p w14:paraId="32FDB2A6" w14:textId="21F6B241" w:rsidR="008257D1" w:rsidRPr="00FC5924" w:rsidRDefault="00276177" w:rsidP="004545E0">
      <w:pPr>
        <w:pStyle w:val="CabStandard"/>
        <w:tabs>
          <w:tab w:val="clear" w:pos="720"/>
          <w:tab w:val="num" w:pos="567"/>
        </w:tabs>
        <w:ind w:left="567" w:hanging="567"/>
        <w:jc w:val="both"/>
        <w:rPr>
          <w:rFonts w:ascii="Arial" w:hAnsi="Arial" w:cs="Arial"/>
          <w:sz w:val="23"/>
          <w:szCs w:val="23"/>
        </w:rPr>
      </w:pPr>
      <w:r>
        <w:rPr>
          <w:rFonts w:ascii="Arial" w:hAnsi="Arial" w:cs="Arial"/>
          <w:sz w:val="23"/>
          <w:szCs w:val="23"/>
        </w:rPr>
        <w:t xml:space="preserve">This </w:t>
      </w:r>
      <w:r w:rsidRPr="004545E0">
        <w:rPr>
          <w:rFonts w:ascii="Arial" w:hAnsi="Arial" w:cs="Arial"/>
          <w:sz w:val="22"/>
          <w:szCs w:val="22"/>
        </w:rPr>
        <w:t>paper</w:t>
      </w:r>
      <w:r>
        <w:rPr>
          <w:rFonts w:ascii="Arial" w:hAnsi="Arial" w:cs="Arial"/>
          <w:sz w:val="23"/>
          <w:szCs w:val="23"/>
        </w:rPr>
        <w:t xml:space="preserve"> will be proactively released on the Ministry of Health’s website</w:t>
      </w:r>
      <w:r w:rsidR="00F80368">
        <w:rPr>
          <w:rFonts w:ascii="Arial" w:hAnsi="Arial" w:cs="Arial"/>
          <w:sz w:val="23"/>
          <w:szCs w:val="23"/>
        </w:rPr>
        <w:t>.</w:t>
      </w:r>
    </w:p>
    <w:p w14:paraId="043A19A1" w14:textId="228BE588" w:rsidR="0070033B" w:rsidRPr="00B62210" w:rsidRDefault="0070033B" w:rsidP="00FA5CF2">
      <w:pPr>
        <w:pStyle w:val="Heading2"/>
      </w:pPr>
      <w:r w:rsidRPr="00B62210">
        <w:t xml:space="preserve">Recommendations </w:t>
      </w:r>
    </w:p>
    <w:p w14:paraId="4CC46203" w14:textId="3FD1237A" w:rsidR="00885640" w:rsidRPr="00B57D1D" w:rsidRDefault="006161E6" w:rsidP="004545E0">
      <w:pPr>
        <w:pStyle w:val="CabStandard"/>
        <w:tabs>
          <w:tab w:val="clear" w:pos="720"/>
          <w:tab w:val="num" w:pos="567"/>
        </w:tabs>
        <w:ind w:left="567" w:hanging="567"/>
        <w:jc w:val="both"/>
        <w:rPr>
          <w:rFonts w:ascii="Arial" w:hAnsi="Arial" w:cs="Arial"/>
          <w:sz w:val="22"/>
          <w:szCs w:val="22"/>
        </w:rPr>
      </w:pPr>
      <w:r w:rsidRPr="00B57D1D">
        <w:rPr>
          <w:rFonts w:ascii="Arial" w:hAnsi="Arial" w:cs="Arial"/>
          <w:sz w:val="22"/>
          <w:szCs w:val="22"/>
        </w:rPr>
        <w:t xml:space="preserve">I recommend that </w:t>
      </w:r>
      <w:r w:rsidR="006B0497" w:rsidRPr="00B57D1D">
        <w:rPr>
          <w:rFonts w:ascii="Arial" w:hAnsi="Arial" w:cs="Arial"/>
          <w:sz w:val="22"/>
          <w:szCs w:val="22"/>
        </w:rPr>
        <w:t>the Committee</w:t>
      </w:r>
      <w:r w:rsidRPr="00B57D1D">
        <w:rPr>
          <w:rFonts w:ascii="Arial" w:hAnsi="Arial" w:cs="Arial"/>
          <w:sz w:val="22"/>
          <w:szCs w:val="22"/>
        </w:rPr>
        <w:t>:</w:t>
      </w:r>
    </w:p>
    <w:p w14:paraId="207EE255" w14:textId="77777777" w:rsidR="005C7DD1" w:rsidRDefault="00F80368" w:rsidP="004842AB">
      <w:pPr>
        <w:numPr>
          <w:ilvl w:val="0"/>
          <w:numId w:val="2"/>
        </w:numPr>
        <w:overflowPunct w:val="0"/>
        <w:autoSpaceDE w:val="0"/>
        <w:autoSpaceDN w:val="0"/>
        <w:adjustRightInd w:val="0"/>
        <w:spacing w:after="240" w:line="240" w:lineRule="auto"/>
        <w:jc w:val="both"/>
        <w:textAlignment w:val="baseline"/>
        <w:rPr>
          <w:rFonts w:ascii="Arial" w:hAnsi="Arial" w:cs="Arial"/>
        </w:rPr>
      </w:pPr>
      <w:r w:rsidRPr="00B57D1D">
        <w:rPr>
          <w:rFonts w:ascii="Arial" w:hAnsi="Arial" w:cs="Arial"/>
          <w:b/>
        </w:rPr>
        <w:t>Note</w:t>
      </w:r>
      <w:r w:rsidRPr="00B57D1D">
        <w:rPr>
          <w:rFonts w:ascii="Arial" w:hAnsi="Arial" w:cs="Arial"/>
        </w:rPr>
        <w:t xml:space="preserve"> that the Law Commission report on </w:t>
      </w:r>
      <w:r w:rsidRPr="00B57D1D">
        <w:rPr>
          <w:rFonts w:ascii="Arial" w:hAnsi="Arial" w:cs="Arial"/>
          <w:i/>
        </w:rPr>
        <w:t xml:space="preserve">Death, Burial and Cremation </w:t>
      </w:r>
      <w:r w:rsidRPr="00B57D1D">
        <w:rPr>
          <w:rFonts w:ascii="Arial" w:hAnsi="Arial" w:cs="Arial"/>
        </w:rPr>
        <w:t>made 127 recommendations to improve the law on death certification, cemeteries and crematoria, the funeral sector, and burial decisions</w:t>
      </w:r>
      <w:r w:rsidR="005C7DD1">
        <w:rPr>
          <w:rFonts w:ascii="Arial" w:hAnsi="Arial" w:cs="Arial"/>
        </w:rPr>
        <w:t>.</w:t>
      </w:r>
    </w:p>
    <w:p w14:paraId="61F2A270" w14:textId="10466672" w:rsidR="00F80368" w:rsidRPr="00B57D1D" w:rsidRDefault="005C7DD1" w:rsidP="004842AB">
      <w:pPr>
        <w:numPr>
          <w:ilvl w:val="0"/>
          <w:numId w:val="2"/>
        </w:numPr>
        <w:overflowPunct w:val="0"/>
        <w:autoSpaceDE w:val="0"/>
        <w:autoSpaceDN w:val="0"/>
        <w:adjustRightInd w:val="0"/>
        <w:spacing w:after="240" w:line="240" w:lineRule="auto"/>
        <w:jc w:val="both"/>
        <w:textAlignment w:val="baseline"/>
        <w:rPr>
          <w:rFonts w:ascii="Arial" w:hAnsi="Arial" w:cs="Arial"/>
        </w:rPr>
      </w:pPr>
      <w:r>
        <w:rPr>
          <w:rFonts w:ascii="Arial" w:hAnsi="Arial" w:cs="Arial"/>
          <w:b/>
        </w:rPr>
        <w:t xml:space="preserve">Note </w:t>
      </w:r>
      <w:r w:rsidRPr="005C7DD1">
        <w:rPr>
          <w:rFonts w:ascii="Arial" w:hAnsi="Arial" w:cs="Arial"/>
        </w:rPr>
        <w:t>that</w:t>
      </w:r>
      <w:r w:rsidR="00F80368" w:rsidRPr="005C7DD1">
        <w:rPr>
          <w:rFonts w:ascii="Arial" w:hAnsi="Arial" w:cs="Arial"/>
        </w:rPr>
        <w:t xml:space="preserve"> </w:t>
      </w:r>
      <w:r w:rsidR="00304D36">
        <w:rPr>
          <w:rFonts w:ascii="Arial" w:hAnsi="Arial" w:cs="Arial"/>
        </w:rPr>
        <w:t>in April 2016,</w:t>
      </w:r>
      <w:r w:rsidR="00F80368" w:rsidRPr="00B57D1D">
        <w:rPr>
          <w:rFonts w:ascii="Arial" w:hAnsi="Arial" w:cs="Arial"/>
        </w:rPr>
        <w:t xml:space="preserve"> </w:t>
      </w:r>
      <w:r>
        <w:rPr>
          <w:rFonts w:ascii="Arial" w:hAnsi="Arial" w:cs="Arial"/>
        </w:rPr>
        <w:t xml:space="preserve">while </w:t>
      </w:r>
      <w:r w:rsidR="00F80368" w:rsidRPr="00B57D1D">
        <w:rPr>
          <w:rFonts w:ascii="Arial" w:hAnsi="Arial" w:cs="Arial"/>
        </w:rPr>
        <w:t>the Government accepted almost all of the Law Commission’s recommendations</w:t>
      </w:r>
      <w:r>
        <w:rPr>
          <w:rFonts w:ascii="Arial" w:hAnsi="Arial" w:cs="Arial"/>
        </w:rPr>
        <w:t>,</w:t>
      </w:r>
      <w:r w:rsidR="00F80368" w:rsidRPr="00B57D1D">
        <w:rPr>
          <w:rFonts w:ascii="Arial" w:hAnsi="Arial" w:cs="Arial"/>
        </w:rPr>
        <w:t xml:space="preserve"> it requested that official</w:t>
      </w:r>
      <w:r>
        <w:rPr>
          <w:rFonts w:ascii="Arial" w:hAnsi="Arial" w:cs="Arial"/>
        </w:rPr>
        <w:t>s undertake further policy work</w:t>
      </w:r>
      <w:r w:rsidR="00012A0F">
        <w:rPr>
          <w:rFonts w:ascii="Arial" w:hAnsi="Arial" w:cs="Arial"/>
        </w:rPr>
        <w:t xml:space="preserve"> [SOC-16-MIN-0040 and CAB-16-MIN-1063 (18 Apr 16) refer]</w:t>
      </w:r>
      <w:r w:rsidR="00B221EC" w:rsidRPr="004842AB">
        <w:rPr>
          <w:rFonts w:ascii="Arial" w:hAnsi="Arial" w:cs="Arial"/>
        </w:rPr>
        <w:t>.</w:t>
      </w:r>
    </w:p>
    <w:p w14:paraId="374DC13B" w14:textId="062D950C" w:rsidR="00F80368" w:rsidRPr="003906B7" w:rsidRDefault="00F80368" w:rsidP="004842AB">
      <w:pPr>
        <w:numPr>
          <w:ilvl w:val="0"/>
          <w:numId w:val="2"/>
        </w:numPr>
        <w:overflowPunct w:val="0"/>
        <w:autoSpaceDE w:val="0"/>
        <w:autoSpaceDN w:val="0"/>
        <w:adjustRightInd w:val="0"/>
        <w:spacing w:after="240" w:line="240" w:lineRule="auto"/>
        <w:jc w:val="both"/>
        <w:textAlignment w:val="baseline"/>
        <w:rPr>
          <w:rFonts w:ascii="Arial" w:hAnsi="Arial" w:cs="Arial"/>
        </w:rPr>
      </w:pPr>
      <w:r w:rsidRPr="00B57D1D">
        <w:rPr>
          <w:rFonts w:ascii="Arial" w:hAnsi="Arial" w:cs="Arial"/>
          <w:b/>
        </w:rPr>
        <w:t xml:space="preserve">Note </w:t>
      </w:r>
      <w:r w:rsidRPr="00B57D1D">
        <w:rPr>
          <w:rFonts w:ascii="Arial" w:hAnsi="Arial" w:cs="Arial"/>
        </w:rPr>
        <w:t xml:space="preserve">that </w:t>
      </w:r>
      <w:r w:rsidR="00304D36">
        <w:rPr>
          <w:rFonts w:ascii="Arial" w:hAnsi="Arial" w:cs="Arial"/>
        </w:rPr>
        <w:t>in August 2017</w:t>
      </w:r>
      <w:r w:rsidR="0090113C">
        <w:rPr>
          <w:rFonts w:ascii="Arial" w:hAnsi="Arial" w:cs="Arial"/>
        </w:rPr>
        <w:t xml:space="preserve">, </w:t>
      </w:r>
      <w:bookmarkStart w:id="6" w:name="_Hlk10801886"/>
      <w:r w:rsidRPr="00B57D1D">
        <w:rPr>
          <w:rFonts w:ascii="Arial" w:hAnsi="Arial" w:cs="Arial"/>
        </w:rPr>
        <w:t xml:space="preserve">Cabinet accepted all the recommendations of the Māori Affairs Committee’s review </w:t>
      </w:r>
      <w:r w:rsidRPr="00B57D1D">
        <w:rPr>
          <w:rFonts w:ascii="Arial" w:hAnsi="Arial" w:cs="Arial"/>
          <w:i/>
        </w:rPr>
        <w:t xml:space="preserve">Inquiry into </w:t>
      </w:r>
      <w:proofErr w:type="spellStart"/>
      <w:r w:rsidRPr="00B57D1D">
        <w:rPr>
          <w:rFonts w:ascii="Arial" w:hAnsi="Arial" w:cs="Arial"/>
          <w:i/>
        </w:rPr>
        <w:t>whānau</w:t>
      </w:r>
      <w:proofErr w:type="spellEnd"/>
      <w:r w:rsidRPr="00B57D1D">
        <w:rPr>
          <w:rFonts w:ascii="Arial" w:hAnsi="Arial" w:cs="Arial"/>
          <w:i/>
        </w:rPr>
        <w:t xml:space="preserve"> access to and management of </w:t>
      </w:r>
      <w:proofErr w:type="spellStart"/>
      <w:r w:rsidRPr="00B57D1D">
        <w:rPr>
          <w:rFonts w:ascii="Arial" w:hAnsi="Arial" w:cs="Arial"/>
          <w:i/>
        </w:rPr>
        <w:t>tūpāpaku</w:t>
      </w:r>
      <w:proofErr w:type="spellEnd"/>
      <w:r w:rsidRPr="00B57D1D">
        <w:rPr>
          <w:rFonts w:ascii="Arial" w:hAnsi="Arial" w:cs="Arial"/>
          <w:i/>
        </w:rPr>
        <w:t xml:space="preserve">, </w:t>
      </w:r>
      <w:r w:rsidRPr="00B57D1D">
        <w:rPr>
          <w:rFonts w:ascii="Arial" w:hAnsi="Arial" w:cs="Arial"/>
        </w:rPr>
        <w:t xml:space="preserve">including the recommendation to “consider implementing the recommendations suggested by the Law </w:t>
      </w:r>
      <w:r w:rsidRPr="003906B7">
        <w:rPr>
          <w:rFonts w:ascii="Arial" w:hAnsi="Arial" w:cs="Arial"/>
        </w:rPr>
        <w:t>Commission</w:t>
      </w:r>
      <w:bookmarkEnd w:id="6"/>
      <w:r w:rsidRPr="003906B7">
        <w:rPr>
          <w:rFonts w:ascii="Arial" w:hAnsi="Arial" w:cs="Arial"/>
        </w:rPr>
        <w:t xml:space="preserve">” </w:t>
      </w:r>
      <w:r w:rsidR="00012A0F" w:rsidRPr="003906B7">
        <w:rPr>
          <w:rFonts w:ascii="Arial" w:hAnsi="Arial" w:cs="Arial"/>
        </w:rPr>
        <w:t>[</w:t>
      </w:r>
      <w:r w:rsidR="00012A0F" w:rsidRPr="003906B7">
        <w:rPr>
          <w:rFonts w:ascii="Arial" w:hAnsi="Arial" w:cs="Arial"/>
          <w:color w:val="000000"/>
        </w:rPr>
        <w:t>LEG-18-MIN-0006</w:t>
      </w:r>
      <w:r w:rsidR="00012A0F">
        <w:rPr>
          <w:rFonts w:ascii="Arial" w:hAnsi="Arial" w:cs="Arial"/>
          <w:color w:val="000000"/>
        </w:rPr>
        <w:t xml:space="preserve"> and CAB-18-MIN-0018 (12 Feb 18) refer</w:t>
      </w:r>
      <w:r w:rsidR="00012A0F" w:rsidRPr="003906B7">
        <w:rPr>
          <w:rFonts w:ascii="Arial" w:hAnsi="Arial" w:cs="Arial"/>
        </w:rPr>
        <w:t>]</w:t>
      </w:r>
      <w:r w:rsidR="003906B7">
        <w:rPr>
          <w:rFonts w:ascii="Arial" w:hAnsi="Arial" w:cs="Arial"/>
        </w:rPr>
        <w:t>.</w:t>
      </w:r>
    </w:p>
    <w:p w14:paraId="02979C8D" w14:textId="38B88FB5" w:rsidR="004C480F" w:rsidRPr="004C480F" w:rsidRDefault="004C480F" w:rsidP="004C480F">
      <w:pPr>
        <w:numPr>
          <w:ilvl w:val="0"/>
          <w:numId w:val="2"/>
        </w:numPr>
        <w:overflowPunct w:val="0"/>
        <w:autoSpaceDE w:val="0"/>
        <w:autoSpaceDN w:val="0"/>
        <w:adjustRightInd w:val="0"/>
        <w:spacing w:after="240" w:line="240" w:lineRule="auto"/>
        <w:jc w:val="both"/>
        <w:textAlignment w:val="baseline"/>
        <w:rPr>
          <w:rFonts w:ascii="Arial" w:hAnsi="Arial" w:cs="Arial"/>
        </w:rPr>
      </w:pPr>
      <w:r w:rsidRPr="00F62D15">
        <w:rPr>
          <w:rFonts w:ascii="Arial" w:hAnsi="Arial" w:cs="Arial"/>
          <w:b/>
        </w:rPr>
        <w:t>Note</w:t>
      </w:r>
      <w:r w:rsidRPr="00F62D15">
        <w:rPr>
          <w:rFonts w:ascii="Arial" w:hAnsi="Arial" w:cs="Arial"/>
        </w:rPr>
        <w:t xml:space="preserve"> the Ministry of Health’s preferred options </w:t>
      </w:r>
      <w:r>
        <w:rPr>
          <w:rFonts w:ascii="Arial" w:hAnsi="Arial" w:cs="Arial"/>
        </w:rPr>
        <w:t xml:space="preserve">regarding reform </w:t>
      </w:r>
      <w:r w:rsidRPr="00B57D1D">
        <w:rPr>
          <w:rFonts w:ascii="Arial" w:hAnsi="Arial" w:cs="Arial"/>
        </w:rPr>
        <w:t>of the law relating to death certification, regulation of the funeral services sector</w:t>
      </w:r>
      <w:r>
        <w:rPr>
          <w:rFonts w:ascii="Arial" w:hAnsi="Arial" w:cs="Arial"/>
        </w:rPr>
        <w:t xml:space="preserve">, </w:t>
      </w:r>
      <w:r w:rsidRPr="00B57D1D">
        <w:rPr>
          <w:rFonts w:ascii="Arial" w:hAnsi="Arial" w:cs="Arial"/>
        </w:rPr>
        <w:t xml:space="preserve">cemetery management, cremation management, </w:t>
      </w:r>
      <w:r>
        <w:rPr>
          <w:rFonts w:ascii="Arial" w:hAnsi="Arial" w:cs="Arial"/>
        </w:rPr>
        <w:t xml:space="preserve">and </w:t>
      </w:r>
      <w:r w:rsidRPr="00B57D1D">
        <w:rPr>
          <w:rFonts w:ascii="Arial" w:hAnsi="Arial" w:cs="Arial"/>
        </w:rPr>
        <w:t>new methods of body disposal.</w:t>
      </w:r>
      <w:r>
        <w:rPr>
          <w:rFonts w:ascii="Arial" w:hAnsi="Arial" w:cs="Arial"/>
        </w:rPr>
        <w:t xml:space="preserve"> </w:t>
      </w:r>
      <w:r w:rsidRPr="00F62D15">
        <w:rPr>
          <w:rFonts w:ascii="Arial" w:hAnsi="Arial" w:cs="Arial"/>
        </w:rPr>
        <w:t xml:space="preserve"> </w:t>
      </w:r>
    </w:p>
    <w:p w14:paraId="106E6829" w14:textId="3E649BBA" w:rsidR="00F80368" w:rsidRDefault="00F80368" w:rsidP="004842AB">
      <w:pPr>
        <w:numPr>
          <w:ilvl w:val="0"/>
          <w:numId w:val="2"/>
        </w:numPr>
        <w:overflowPunct w:val="0"/>
        <w:autoSpaceDE w:val="0"/>
        <w:autoSpaceDN w:val="0"/>
        <w:adjustRightInd w:val="0"/>
        <w:spacing w:after="240" w:line="240" w:lineRule="auto"/>
        <w:jc w:val="both"/>
        <w:textAlignment w:val="baseline"/>
        <w:rPr>
          <w:rFonts w:ascii="Arial" w:hAnsi="Arial" w:cs="Arial"/>
        </w:rPr>
      </w:pPr>
      <w:r w:rsidRPr="00B57D1D">
        <w:rPr>
          <w:rFonts w:ascii="Arial" w:hAnsi="Arial" w:cs="Arial"/>
          <w:b/>
        </w:rPr>
        <w:t>Agree</w:t>
      </w:r>
      <w:r w:rsidRPr="00B57D1D">
        <w:rPr>
          <w:rFonts w:ascii="Arial" w:hAnsi="Arial" w:cs="Arial"/>
        </w:rPr>
        <w:t xml:space="preserve"> to the release of the attached </w:t>
      </w:r>
      <w:r w:rsidR="007A5C5F">
        <w:rPr>
          <w:rFonts w:ascii="Arial" w:hAnsi="Arial" w:cs="Arial"/>
        </w:rPr>
        <w:t>consultation document</w:t>
      </w:r>
      <w:r w:rsidRPr="00B57D1D">
        <w:rPr>
          <w:rFonts w:ascii="Arial" w:hAnsi="Arial" w:cs="Arial"/>
        </w:rPr>
        <w:t xml:space="preserve"> proposing regulatory reform of the law relating to death certification, </w:t>
      </w:r>
      <w:r w:rsidR="0033762B" w:rsidRPr="00B57D1D">
        <w:rPr>
          <w:rFonts w:ascii="Arial" w:hAnsi="Arial" w:cs="Arial"/>
        </w:rPr>
        <w:t>regulation of the funeral services sector</w:t>
      </w:r>
      <w:r w:rsidR="0033762B">
        <w:rPr>
          <w:rFonts w:ascii="Arial" w:hAnsi="Arial" w:cs="Arial"/>
        </w:rPr>
        <w:t xml:space="preserve">, </w:t>
      </w:r>
      <w:r w:rsidRPr="00B57D1D">
        <w:rPr>
          <w:rFonts w:ascii="Arial" w:hAnsi="Arial" w:cs="Arial"/>
        </w:rPr>
        <w:t xml:space="preserve">cemetery management, cremation management, </w:t>
      </w:r>
      <w:r w:rsidR="0033762B">
        <w:rPr>
          <w:rFonts w:ascii="Arial" w:hAnsi="Arial" w:cs="Arial"/>
        </w:rPr>
        <w:t xml:space="preserve">and </w:t>
      </w:r>
      <w:r w:rsidRPr="00B57D1D">
        <w:rPr>
          <w:rFonts w:ascii="Arial" w:hAnsi="Arial" w:cs="Arial"/>
        </w:rPr>
        <w:t xml:space="preserve">new methods of body disposal. </w:t>
      </w:r>
    </w:p>
    <w:p w14:paraId="3D372346" w14:textId="47FB306A" w:rsidR="002629BB" w:rsidRDefault="009B0112" w:rsidP="004842AB">
      <w:pPr>
        <w:numPr>
          <w:ilvl w:val="0"/>
          <w:numId w:val="2"/>
        </w:numPr>
        <w:overflowPunct w:val="0"/>
        <w:autoSpaceDE w:val="0"/>
        <w:autoSpaceDN w:val="0"/>
        <w:adjustRightInd w:val="0"/>
        <w:spacing w:after="0" w:line="240" w:lineRule="auto"/>
        <w:jc w:val="both"/>
        <w:textAlignment w:val="baseline"/>
        <w:rPr>
          <w:rFonts w:ascii="Arial" w:hAnsi="Arial" w:cs="Arial"/>
        </w:rPr>
      </w:pPr>
      <w:r>
        <w:rPr>
          <w:rFonts w:ascii="Arial" w:hAnsi="Arial" w:cs="Arial"/>
          <w:b/>
        </w:rPr>
        <w:t>Note</w:t>
      </w:r>
      <w:r w:rsidR="002629BB" w:rsidRPr="00B57D1D">
        <w:rPr>
          <w:rFonts w:ascii="Arial" w:hAnsi="Arial" w:cs="Arial"/>
          <w:b/>
        </w:rPr>
        <w:t xml:space="preserve"> </w:t>
      </w:r>
      <w:r w:rsidRPr="00D2549C">
        <w:rPr>
          <w:rFonts w:ascii="Arial" w:hAnsi="Arial" w:cs="Arial"/>
        </w:rPr>
        <w:t xml:space="preserve">that </w:t>
      </w:r>
      <w:r w:rsidR="005177CD">
        <w:rPr>
          <w:rFonts w:ascii="Arial" w:hAnsi="Arial" w:cs="Arial"/>
        </w:rPr>
        <w:t>I</w:t>
      </w:r>
      <w:r w:rsidR="002629BB" w:rsidRPr="00B57D1D">
        <w:rPr>
          <w:rFonts w:ascii="Arial" w:hAnsi="Arial" w:cs="Arial"/>
        </w:rPr>
        <w:t xml:space="preserve"> </w:t>
      </w:r>
      <w:r>
        <w:rPr>
          <w:rFonts w:ascii="Arial" w:hAnsi="Arial" w:cs="Arial"/>
        </w:rPr>
        <w:t>will</w:t>
      </w:r>
      <w:r w:rsidR="002629BB" w:rsidRPr="00B57D1D">
        <w:rPr>
          <w:rFonts w:ascii="Arial" w:hAnsi="Arial" w:cs="Arial"/>
        </w:rPr>
        <w:t xml:space="preserve"> report back to Cabinet after consultation and further policy development with recommendations on whether there should be </w:t>
      </w:r>
      <w:r w:rsidR="00F80368" w:rsidRPr="00B57D1D">
        <w:rPr>
          <w:rFonts w:ascii="Arial" w:hAnsi="Arial" w:cs="Arial"/>
        </w:rPr>
        <w:t>regulatory reform</w:t>
      </w:r>
      <w:r w:rsidR="002629BB" w:rsidRPr="00B57D1D">
        <w:rPr>
          <w:rFonts w:ascii="Arial" w:hAnsi="Arial" w:cs="Arial"/>
        </w:rPr>
        <w:t>, and if so, with a regulatory impact assessment.</w:t>
      </w:r>
    </w:p>
    <w:p w14:paraId="0942E769" w14:textId="77777777" w:rsidR="00BE2C86" w:rsidRPr="00B57D1D" w:rsidRDefault="00BE2C86" w:rsidP="00BE2C86">
      <w:pPr>
        <w:overflowPunct w:val="0"/>
        <w:autoSpaceDE w:val="0"/>
        <w:autoSpaceDN w:val="0"/>
        <w:adjustRightInd w:val="0"/>
        <w:spacing w:after="0" w:line="240" w:lineRule="auto"/>
        <w:ind w:left="720"/>
        <w:jc w:val="both"/>
        <w:textAlignment w:val="baseline"/>
        <w:rPr>
          <w:rFonts w:ascii="Arial" w:hAnsi="Arial" w:cs="Arial"/>
        </w:rPr>
      </w:pPr>
    </w:p>
    <w:p w14:paraId="31E75DAC" w14:textId="737B421B" w:rsidR="00736C88" w:rsidRPr="00B57D1D" w:rsidRDefault="00736C88" w:rsidP="00177278">
      <w:pPr>
        <w:pStyle w:val="ListParagraph"/>
        <w:numPr>
          <w:ilvl w:val="0"/>
          <w:numId w:val="2"/>
        </w:numPr>
        <w:spacing w:after="120"/>
        <w:ind w:left="714" w:hanging="357"/>
        <w:jc w:val="both"/>
        <w:rPr>
          <w:rFonts w:ascii="Arial" w:hAnsi="Arial" w:cs="Arial"/>
        </w:rPr>
      </w:pPr>
      <w:r w:rsidRPr="00B57D1D">
        <w:rPr>
          <w:rFonts w:ascii="Arial" w:hAnsi="Arial" w:cs="Arial"/>
          <w:b/>
        </w:rPr>
        <w:t xml:space="preserve">Note </w:t>
      </w:r>
      <w:r w:rsidRPr="00B57D1D">
        <w:rPr>
          <w:rFonts w:ascii="Arial" w:hAnsi="Arial" w:cs="Arial"/>
        </w:rPr>
        <w:t xml:space="preserve">that this </w:t>
      </w:r>
      <w:r w:rsidR="00082F28" w:rsidRPr="00B57D1D">
        <w:rPr>
          <w:rFonts w:ascii="Arial" w:hAnsi="Arial" w:cs="Arial"/>
        </w:rPr>
        <w:t>C</w:t>
      </w:r>
      <w:r w:rsidRPr="00B57D1D">
        <w:rPr>
          <w:rFonts w:ascii="Arial" w:hAnsi="Arial" w:cs="Arial"/>
        </w:rPr>
        <w:t xml:space="preserve">abinet </w:t>
      </w:r>
      <w:r w:rsidR="00082F28" w:rsidRPr="00B57D1D">
        <w:rPr>
          <w:rFonts w:ascii="Arial" w:hAnsi="Arial" w:cs="Arial"/>
        </w:rPr>
        <w:t>P</w:t>
      </w:r>
      <w:r w:rsidRPr="00B57D1D">
        <w:rPr>
          <w:rFonts w:ascii="Arial" w:hAnsi="Arial" w:cs="Arial"/>
        </w:rPr>
        <w:t>aper will be proactively released</w:t>
      </w:r>
      <w:r w:rsidR="00795C22" w:rsidRPr="00B57D1D">
        <w:rPr>
          <w:rFonts w:ascii="Arial" w:hAnsi="Arial" w:cs="Arial"/>
        </w:rPr>
        <w:t xml:space="preserve"> </w:t>
      </w:r>
      <w:r w:rsidRPr="00B57D1D">
        <w:rPr>
          <w:rFonts w:ascii="Arial" w:hAnsi="Arial" w:cs="Arial"/>
        </w:rPr>
        <w:t xml:space="preserve">on the Ministry of Health’s website. </w:t>
      </w:r>
    </w:p>
    <w:p w14:paraId="35A72385" w14:textId="59541A27" w:rsidR="00B813C1" w:rsidRPr="00B62210" w:rsidRDefault="002B5745" w:rsidP="00177278">
      <w:pPr>
        <w:spacing w:after="120" w:line="240" w:lineRule="auto"/>
        <w:jc w:val="both"/>
        <w:rPr>
          <w:rFonts w:ascii="Arial" w:hAnsi="Arial" w:cs="Arial"/>
          <w:sz w:val="23"/>
          <w:szCs w:val="23"/>
        </w:rPr>
      </w:pPr>
      <w:r w:rsidRPr="00B62210">
        <w:rPr>
          <w:rFonts w:ascii="Arial" w:hAnsi="Arial" w:cs="Arial"/>
          <w:sz w:val="23"/>
          <w:szCs w:val="23"/>
        </w:rPr>
        <w:t>Authorised for lodgement</w:t>
      </w:r>
    </w:p>
    <w:p w14:paraId="7BD86B76" w14:textId="77777777" w:rsidR="00177278" w:rsidRDefault="00AB095C" w:rsidP="00177278">
      <w:pPr>
        <w:spacing w:after="120" w:line="240" w:lineRule="auto"/>
        <w:jc w:val="both"/>
        <w:rPr>
          <w:rFonts w:ascii="Arial" w:hAnsi="Arial" w:cs="Arial"/>
          <w:sz w:val="23"/>
          <w:szCs w:val="23"/>
        </w:rPr>
      </w:pPr>
      <w:r w:rsidRPr="00B62210">
        <w:rPr>
          <w:rFonts w:ascii="Arial" w:hAnsi="Arial" w:cs="Arial"/>
          <w:sz w:val="23"/>
          <w:szCs w:val="23"/>
        </w:rPr>
        <w:t xml:space="preserve">Hon </w:t>
      </w:r>
      <w:r w:rsidR="007873F8">
        <w:rPr>
          <w:rFonts w:ascii="Arial" w:hAnsi="Arial" w:cs="Arial"/>
          <w:sz w:val="23"/>
          <w:szCs w:val="23"/>
        </w:rPr>
        <w:t xml:space="preserve">Julie Anne </w:t>
      </w:r>
      <w:proofErr w:type="spellStart"/>
      <w:r w:rsidR="007873F8">
        <w:rPr>
          <w:rFonts w:ascii="Arial" w:hAnsi="Arial" w:cs="Arial"/>
          <w:sz w:val="23"/>
          <w:szCs w:val="23"/>
        </w:rPr>
        <w:t>Genter</w:t>
      </w:r>
      <w:proofErr w:type="spellEnd"/>
    </w:p>
    <w:p w14:paraId="50ED1D22" w14:textId="389F7B90" w:rsidR="00E5555D" w:rsidRPr="00B85373" w:rsidRDefault="007873F8" w:rsidP="00177278">
      <w:pPr>
        <w:spacing w:after="120" w:line="240" w:lineRule="auto"/>
        <w:jc w:val="both"/>
        <w:rPr>
          <w:rFonts w:ascii="Arial" w:hAnsi="Arial" w:cs="Arial"/>
          <w:sz w:val="23"/>
          <w:szCs w:val="23"/>
        </w:rPr>
      </w:pPr>
      <w:r>
        <w:rPr>
          <w:rFonts w:ascii="Arial" w:hAnsi="Arial" w:cs="Arial"/>
          <w:sz w:val="23"/>
          <w:szCs w:val="23"/>
        </w:rPr>
        <w:t xml:space="preserve">Associate </w:t>
      </w:r>
      <w:r w:rsidR="0070033B" w:rsidRPr="00B62210">
        <w:rPr>
          <w:rFonts w:ascii="Arial" w:hAnsi="Arial" w:cs="Arial"/>
          <w:sz w:val="23"/>
          <w:szCs w:val="23"/>
        </w:rPr>
        <w:t xml:space="preserve">Minister </w:t>
      </w:r>
      <w:r w:rsidR="00780276">
        <w:rPr>
          <w:rFonts w:ascii="Arial" w:hAnsi="Arial" w:cs="Arial"/>
          <w:sz w:val="23"/>
          <w:szCs w:val="23"/>
        </w:rPr>
        <w:t xml:space="preserve">of </w:t>
      </w:r>
      <w:r w:rsidR="004405AA" w:rsidRPr="00B62210">
        <w:rPr>
          <w:rFonts w:ascii="Arial" w:hAnsi="Arial" w:cs="Arial"/>
          <w:sz w:val="23"/>
          <w:szCs w:val="23"/>
        </w:rPr>
        <w:t>Health</w:t>
      </w:r>
    </w:p>
    <w:sectPr w:rsidR="00E5555D" w:rsidRPr="00B85373" w:rsidSect="005C7DD1">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F1A6" w14:textId="77777777" w:rsidR="009B0F77" w:rsidRDefault="009B0F77" w:rsidP="009846A6">
      <w:pPr>
        <w:spacing w:after="0" w:line="240" w:lineRule="auto"/>
      </w:pPr>
      <w:r>
        <w:separator/>
      </w:r>
    </w:p>
  </w:endnote>
  <w:endnote w:type="continuationSeparator" w:id="0">
    <w:p w14:paraId="42C538B9" w14:textId="77777777" w:rsidR="009B0F77" w:rsidRDefault="009B0F77" w:rsidP="009846A6">
      <w:pPr>
        <w:spacing w:after="0" w:line="240" w:lineRule="auto"/>
      </w:pPr>
      <w:r>
        <w:continuationSeparator/>
      </w:r>
    </w:p>
  </w:endnote>
  <w:endnote w:type="continuationNotice" w:id="1">
    <w:p w14:paraId="4EFCCF74" w14:textId="77777777" w:rsidR="009B0F77" w:rsidRDefault="009B0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781605"/>
      <w:docPartObj>
        <w:docPartGallery w:val="Page Numbers (Bottom of Page)"/>
        <w:docPartUnique/>
      </w:docPartObj>
    </w:sdtPr>
    <w:sdtEndPr>
      <w:rPr>
        <w:noProof/>
      </w:rPr>
    </w:sdtEndPr>
    <w:sdtContent>
      <w:p w14:paraId="2BBB7936" w14:textId="61CCBA9B" w:rsidR="00442B84" w:rsidRDefault="00442B84">
        <w:pPr>
          <w:pStyle w:val="Footer"/>
          <w:jc w:val="right"/>
        </w:pPr>
        <w:r>
          <w:fldChar w:fldCharType="begin"/>
        </w:r>
        <w:r>
          <w:instrText xml:space="preserve"> PAGE   \* MERGEFORMAT </w:instrText>
        </w:r>
        <w:r>
          <w:fldChar w:fldCharType="separate"/>
        </w:r>
        <w:r w:rsidR="005C7DD1">
          <w:rPr>
            <w:noProof/>
          </w:rPr>
          <w:t>6</w:t>
        </w:r>
        <w:r>
          <w:rPr>
            <w:noProof/>
          </w:rPr>
          <w:fldChar w:fldCharType="end"/>
        </w:r>
      </w:p>
    </w:sdtContent>
  </w:sdt>
  <w:p w14:paraId="125074A6" w14:textId="77777777" w:rsidR="00442B84" w:rsidRDefault="00442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91492" w14:textId="77777777" w:rsidR="009B0F77" w:rsidRDefault="009B0F77" w:rsidP="009846A6">
      <w:pPr>
        <w:spacing w:after="0" w:line="240" w:lineRule="auto"/>
      </w:pPr>
      <w:r>
        <w:separator/>
      </w:r>
    </w:p>
  </w:footnote>
  <w:footnote w:type="continuationSeparator" w:id="0">
    <w:p w14:paraId="29BF0BB8" w14:textId="77777777" w:rsidR="009B0F77" w:rsidRDefault="009B0F77" w:rsidP="009846A6">
      <w:pPr>
        <w:spacing w:after="0" w:line="240" w:lineRule="auto"/>
      </w:pPr>
      <w:r>
        <w:continuationSeparator/>
      </w:r>
    </w:p>
  </w:footnote>
  <w:footnote w:type="continuationNotice" w:id="1">
    <w:p w14:paraId="7F4D9222" w14:textId="77777777" w:rsidR="009B0F77" w:rsidRDefault="009B0F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C5BCC"/>
    <w:multiLevelType w:val="multilevel"/>
    <w:tmpl w:val="4D422D48"/>
    <w:lvl w:ilvl="0">
      <w:start w:val="2"/>
      <w:numFmt w:val="decimal"/>
      <w:pStyle w:val="CabStandard"/>
      <w:lvlText w:val="%1"/>
      <w:lvlJc w:val="left"/>
      <w:pPr>
        <w:tabs>
          <w:tab w:val="num" w:pos="720"/>
        </w:tabs>
        <w:ind w:left="720" w:hanging="720"/>
      </w:pPr>
      <w:rPr>
        <w:rFonts w:ascii="Arial" w:hAnsi="Arial" w:cs="Arial" w:hint="default"/>
        <w:b w:val="0"/>
        <w:i w:val="0"/>
        <w:sz w:val="23"/>
        <w:szCs w:val="23"/>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3E4C3B1C"/>
    <w:multiLevelType w:val="hybridMultilevel"/>
    <w:tmpl w:val="B3820F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4B15623"/>
    <w:multiLevelType w:val="multilevel"/>
    <w:tmpl w:val="F17E3492"/>
    <w:lvl w:ilvl="0">
      <w:start w:val="1"/>
      <w:numFmt w:val="decimal"/>
      <w:lvlText w:val="%1."/>
      <w:lvlJc w:val="left"/>
      <w:pPr>
        <w:ind w:left="720" w:hanging="360"/>
      </w:pPr>
      <w:rPr>
        <w:rFonts w:hint="default"/>
        <w:b w:val="0"/>
      </w:rPr>
    </w:lvl>
    <w:lvl w:ilvl="1">
      <w:start w:val="1"/>
      <w:numFmt w:val="decimal"/>
      <w:isLgl/>
      <w:lvlText w:val="%1.%2"/>
      <w:lvlJc w:val="left"/>
      <w:pPr>
        <w:ind w:left="1286" w:hanging="435"/>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6328356D"/>
    <w:multiLevelType w:val="multilevel"/>
    <w:tmpl w:val="A9B876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yMrI0NTc0MjIxNzVU0lEKTi0uzszPAykwtKwFAAwBlT0tAAAA"/>
  </w:docVars>
  <w:rsids>
    <w:rsidRoot w:val="0070033B"/>
    <w:rsid w:val="00000052"/>
    <w:rsid w:val="000019E1"/>
    <w:rsid w:val="000037A0"/>
    <w:rsid w:val="00004C4D"/>
    <w:rsid w:val="00006E36"/>
    <w:rsid w:val="00012896"/>
    <w:rsid w:val="00012A0F"/>
    <w:rsid w:val="000175FC"/>
    <w:rsid w:val="0002018B"/>
    <w:rsid w:val="0002120E"/>
    <w:rsid w:val="00026EDB"/>
    <w:rsid w:val="00031141"/>
    <w:rsid w:val="00034305"/>
    <w:rsid w:val="00036E05"/>
    <w:rsid w:val="00037B25"/>
    <w:rsid w:val="00045460"/>
    <w:rsid w:val="00046252"/>
    <w:rsid w:val="000532D7"/>
    <w:rsid w:val="000552AB"/>
    <w:rsid w:val="00057304"/>
    <w:rsid w:val="00057D0C"/>
    <w:rsid w:val="00062A35"/>
    <w:rsid w:val="000742C5"/>
    <w:rsid w:val="00074EF7"/>
    <w:rsid w:val="00076CEC"/>
    <w:rsid w:val="00081E5A"/>
    <w:rsid w:val="00082F28"/>
    <w:rsid w:val="00082FE5"/>
    <w:rsid w:val="00083F78"/>
    <w:rsid w:val="00087FB6"/>
    <w:rsid w:val="00087FE4"/>
    <w:rsid w:val="00090511"/>
    <w:rsid w:val="00092481"/>
    <w:rsid w:val="000940D9"/>
    <w:rsid w:val="000A25A9"/>
    <w:rsid w:val="000A4D9A"/>
    <w:rsid w:val="000A65C8"/>
    <w:rsid w:val="000A6670"/>
    <w:rsid w:val="000A7F00"/>
    <w:rsid w:val="000B1AAD"/>
    <w:rsid w:val="000B4213"/>
    <w:rsid w:val="000B6CC6"/>
    <w:rsid w:val="000B6EC1"/>
    <w:rsid w:val="000C04EC"/>
    <w:rsid w:val="000C7FC6"/>
    <w:rsid w:val="000D43FF"/>
    <w:rsid w:val="000D6BF2"/>
    <w:rsid w:val="000D74DC"/>
    <w:rsid w:val="000E3127"/>
    <w:rsid w:val="000E52B9"/>
    <w:rsid w:val="000E5D1A"/>
    <w:rsid w:val="000E65ED"/>
    <w:rsid w:val="000E70EB"/>
    <w:rsid w:val="000F2D7D"/>
    <w:rsid w:val="000F462B"/>
    <w:rsid w:val="000F5370"/>
    <w:rsid w:val="000F6FEC"/>
    <w:rsid w:val="00100248"/>
    <w:rsid w:val="001045D9"/>
    <w:rsid w:val="001074D0"/>
    <w:rsid w:val="001076C2"/>
    <w:rsid w:val="001146D4"/>
    <w:rsid w:val="00133CF0"/>
    <w:rsid w:val="001364BD"/>
    <w:rsid w:val="001529E1"/>
    <w:rsid w:val="001605FF"/>
    <w:rsid w:val="001611ED"/>
    <w:rsid w:val="00172768"/>
    <w:rsid w:val="00177278"/>
    <w:rsid w:val="001803EF"/>
    <w:rsid w:val="00181EAD"/>
    <w:rsid w:val="00182708"/>
    <w:rsid w:val="001848DC"/>
    <w:rsid w:val="00185C3A"/>
    <w:rsid w:val="0018772C"/>
    <w:rsid w:val="00191D97"/>
    <w:rsid w:val="001938D3"/>
    <w:rsid w:val="00195734"/>
    <w:rsid w:val="00195B71"/>
    <w:rsid w:val="001A0E2E"/>
    <w:rsid w:val="001A1F29"/>
    <w:rsid w:val="001A4543"/>
    <w:rsid w:val="001A5217"/>
    <w:rsid w:val="001A6220"/>
    <w:rsid w:val="001A71B4"/>
    <w:rsid w:val="001B1347"/>
    <w:rsid w:val="001B637D"/>
    <w:rsid w:val="001C72F6"/>
    <w:rsid w:val="001C77BC"/>
    <w:rsid w:val="001D4737"/>
    <w:rsid w:val="001D50B4"/>
    <w:rsid w:val="001F0CDD"/>
    <w:rsid w:val="001F54C2"/>
    <w:rsid w:val="00203E2E"/>
    <w:rsid w:val="00204491"/>
    <w:rsid w:val="00204DA1"/>
    <w:rsid w:val="00220678"/>
    <w:rsid w:val="00222B60"/>
    <w:rsid w:val="002238FE"/>
    <w:rsid w:val="0022555A"/>
    <w:rsid w:val="002323A5"/>
    <w:rsid w:val="00237223"/>
    <w:rsid w:val="0024002F"/>
    <w:rsid w:val="00245865"/>
    <w:rsid w:val="0024657A"/>
    <w:rsid w:val="002563BC"/>
    <w:rsid w:val="002629BB"/>
    <w:rsid w:val="00263A0C"/>
    <w:rsid w:val="00264488"/>
    <w:rsid w:val="0026782D"/>
    <w:rsid w:val="002721EC"/>
    <w:rsid w:val="00276177"/>
    <w:rsid w:val="00283960"/>
    <w:rsid w:val="00283AED"/>
    <w:rsid w:val="002865A4"/>
    <w:rsid w:val="002905C3"/>
    <w:rsid w:val="002947F7"/>
    <w:rsid w:val="00295796"/>
    <w:rsid w:val="0029716E"/>
    <w:rsid w:val="002A42BB"/>
    <w:rsid w:val="002B39A2"/>
    <w:rsid w:val="002B5745"/>
    <w:rsid w:val="002C1ADB"/>
    <w:rsid w:val="002C26EF"/>
    <w:rsid w:val="002F0669"/>
    <w:rsid w:val="002F43B6"/>
    <w:rsid w:val="00300397"/>
    <w:rsid w:val="00300FEB"/>
    <w:rsid w:val="00301285"/>
    <w:rsid w:val="00304D36"/>
    <w:rsid w:val="00311E34"/>
    <w:rsid w:val="003157B4"/>
    <w:rsid w:val="00316CE8"/>
    <w:rsid w:val="003175BF"/>
    <w:rsid w:val="00317A81"/>
    <w:rsid w:val="00317D57"/>
    <w:rsid w:val="00320488"/>
    <w:rsid w:val="00323DAD"/>
    <w:rsid w:val="00324E24"/>
    <w:rsid w:val="00333739"/>
    <w:rsid w:val="0033762B"/>
    <w:rsid w:val="00343276"/>
    <w:rsid w:val="00354F15"/>
    <w:rsid w:val="003570ED"/>
    <w:rsid w:val="00357731"/>
    <w:rsid w:val="003579ED"/>
    <w:rsid w:val="00361D00"/>
    <w:rsid w:val="00382004"/>
    <w:rsid w:val="00382160"/>
    <w:rsid w:val="0038275E"/>
    <w:rsid w:val="003906B7"/>
    <w:rsid w:val="00390F2E"/>
    <w:rsid w:val="003923A1"/>
    <w:rsid w:val="00395F76"/>
    <w:rsid w:val="003B2BE6"/>
    <w:rsid w:val="003B487F"/>
    <w:rsid w:val="003B4C35"/>
    <w:rsid w:val="003C5089"/>
    <w:rsid w:val="003C6CB8"/>
    <w:rsid w:val="003C6E0A"/>
    <w:rsid w:val="003C7E36"/>
    <w:rsid w:val="003D0112"/>
    <w:rsid w:val="003D1B94"/>
    <w:rsid w:val="003D4EB6"/>
    <w:rsid w:val="003E5D3F"/>
    <w:rsid w:val="003F35B6"/>
    <w:rsid w:val="003F64CA"/>
    <w:rsid w:val="004014F1"/>
    <w:rsid w:val="00401595"/>
    <w:rsid w:val="0040355D"/>
    <w:rsid w:val="00404CD9"/>
    <w:rsid w:val="004055A6"/>
    <w:rsid w:val="004056CE"/>
    <w:rsid w:val="00415653"/>
    <w:rsid w:val="00416C17"/>
    <w:rsid w:val="00427281"/>
    <w:rsid w:val="00430967"/>
    <w:rsid w:val="004312BB"/>
    <w:rsid w:val="004374D4"/>
    <w:rsid w:val="004376F9"/>
    <w:rsid w:val="004405AA"/>
    <w:rsid w:val="00442B84"/>
    <w:rsid w:val="0044783E"/>
    <w:rsid w:val="004523CD"/>
    <w:rsid w:val="004545E0"/>
    <w:rsid w:val="00455D5D"/>
    <w:rsid w:val="0046135E"/>
    <w:rsid w:val="00463FB6"/>
    <w:rsid w:val="00470D86"/>
    <w:rsid w:val="004715CB"/>
    <w:rsid w:val="00476CCE"/>
    <w:rsid w:val="00476DA1"/>
    <w:rsid w:val="00477871"/>
    <w:rsid w:val="00477CDF"/>
    <w:rsid w:val="004842AB"/>
    <w:rsid w:val="00484E16"/>
    <w:rsid w:val="00493AB6"/>
    <w:rsid w:val="004964BE"/>
    <w:rsid w:val="00497129"/>
    <w:rsid w:val="004A319A"/>
    <w:rsid w:val="004B0BED"/>
    <w:rsid w:val="004B4F11"/>
    <w:rsid w:val="004B75AE"/>
    <w:rsid w:val="004C20F5"/>
    <w:rsid w:val="004C2790"/>
    <w:rsid w:val="004C2B38"/>
    <w:rsid w:val="004C2E97"/>
    <w:rsid w:val="004C3E84"/>
    <w:rsid w:val="004C480F"/>
    <w:rsid w:val="004C76F9"/>
    <w:rsid w:val="004D04B6"/>
    <w:rsid w:val="004D4A85"/>
    <w:rsid w:val="004D57F0"/>
    <w:rsid w:val="004E1F4B"/>
    <w:rsid w:val="004E2CDF"/>
    <w:rsid w:val="004F196F"/>
    <w:rsid w:val="004F62B3"/>
    <w:rsid w:val="005064D1"/>
    <w:rsid w:val="00514357"/>
    <w:rsid w:val="00514B5D"/>
    <w:rsid w:val="0051516B"/>
    <w:rsid w:val="005177CD"/>
    <w:rsid w:val="00522D09"/>
    <w:rsid w:val="005239D8"/>
    <w:rsid w:val="00523FD2"/>
    <w:rsid w:val="0052546A"/>
    <w:rsid w:val="00526703"/>
    <w:rsid w:val="00534035"/>
    <w:rsid w:val="00540DB2"/>
    <w:rsid w:val="005410CC"/>
    <w:rsid w:val="00547059"/>
    <w:rsid w:val="00547ED9"/>
    <w:rsid w:val="005504B2"/>
    <w:rsid w:val="0055669C"/>
    <w:rsid w:val="00565439"/>
    <w:rsid w:val="00572F82"/>
    <w:rsid w:val="005753AB"/>
    <w:rsid w:val="00575E5D"/>
    <w:rsid w:val="005774FA"/>
    <w:rsid w:val="00581DE0"/>
    <w:rsid w:val="00585295"/>
    <w:rsid w:val="00586899"/>
    <w:rsid w:val="005977B7"/>
    <w:rsid w:val="005A01AB"/>
    <w:rsid w:val="005A357C"/>
    <w:rsid w:val="005A3C21"/>
    <w:rsid w:val="005A5F5C"/>
    <w:rsid w:val="005B121F"/>
    <w:rsid w:val="005B59C9"/>
    <w:rsid w:val="005C27C0"/>
    <w:rsid w:val="005C33A8"/>
    <w:rsid w:val="005C4462"/>
    <w:rsid w:val="005C6151"/>
    <w:rsid w:val="005C7DD1"/>
    <w:rsid w:val="005D40C1"/>
    <w:rsid w:val="005D4EC3"/>
    <w:rsid w:val="005D4F72"/>
    <w:rsid w:val="005D5CD9"/>
    <w:rsid w:val="005E771C"/>
    <w:rsid w:val="005F1CF2"/>
    <w:rsid w:val="005F2329"/>
    <w:rsid w:val="005F5656"/>
    <w:rsid w:val="005F6149"/>
    <w:rsid w:val="005F6B3C"/>
    <w:rsid w:val="00602BC5"/>
    <w:rsid w:val="006112C6"/>
    <w:rsid w:val="00611645"/>
    <w:rsid w:val="00611698"/>
    <w:rsid w:val="00613583"/>
    <w:rsid w:val="006148CB"/>
    <w:rsid w:val="006161E6"/>
    <w:rsid w:val="00622141"/>
    <w:rsid w:val="00631A93"/>
    <w:rsid w:val="0063695B"/>
    <w:rsid w:val="006404E3"/>
    <w:rsid w:val="00643883"/>
    <w:rsid w:val="006453FF"/>
    <w:rsid w:val="00645883"/>
    <w:rsid w:val="0065016E"/>
    <w:rsid w:val="006526C1"/>
    <w:rsid w:val="00661927"/>
    <w:rsid w:val="006620E9"/>
    <w:rsid w:val="0066270B"/>
    <w:rsid w:val="00667A67"/>
    <w:rsid w:val="00667ED4"/>
    <w:rsid w:val="0067077C"/>
    <w:rsid w:val="00671F72"/>
    <w:rsid w:val="00677CEF"/>
    <w:rsid w:val="00680696"/>
    <w:rsid w:val="00680793"/>
    <w:rsid w:val="00682BB4"/>
    <w:rsid w:val="00683090"/>
    <w:rsid w:val="00685071"/>
    <w:rsid w:val="00687305"/>
    <w:rsid w:val="00695A95"/>
    <w:rsid w:val="00696BF6"/>
    <w:rsid w:val="006A1F69"/>
    <w:rsid w:val="006A44C4"/>
    <w:rsid w:val="006A787C"/>
    <w:rsid w:val="006B0497"/>
    <w:rsid w:val="006B0F6D"/>
    <w:rsid w:val="006B0F92"/>
    <w:rsid w:val="006B3472"/>
    <w:rsid w:val="006B66F7"/>
    <w:rsid w:val="006B7E58"/>
    <w:rsid w:val="006C04A8"/>
    <w:rsid w:val="006C174F"/>
    <w:rsid w:val="006D0DB3"/>
    <w:rsid w:val="006D584F"/>
    <w:rsid w:val="006E283D"/>
    <w:rsid w:val="006E30B1"/>
    <w:rsid w:val="006E70A4"/>
    <w:rsid w:val="0070033B"/>
    <w:rsid w:val="00703551"/>
    <w:rsid w:val="00703B38"/>
    <w:rsid w:val="00704BF0"/>
    <w:rsid w:val="00707352"/>
    <w:rsid w:val="00707C08"/>
    <w:rsid w:val="007113F1"/>
    <w:rsid w:val="00716008"/>
    <w:rsid w:val="00716E49"/>
    <w:rsid w:val="00725FD6"/>
    <w:rsid w:val="00736C88"/>
    <w:rsid w:val="00740F3B"/>
    <w:rsid w:val="00742A61"/>
    <w:rsid w:val="00753CF3"/>
    <w:rsid w:val="00755FEE"/>
    <w:rsid w:val="00757C00"/>
    <w:rsid w:val="00764B63"/>
    <w:rsid w:val="007800EA"/>
    <w:rsid w:val="00780276"/>
    <w:rsid w:val="007873F8"/>
    <w:rsid w:val="00791F31"/>
    <w:rsid w:val="00793604"/>
    <w:rsid w:val="00794EC7"/>
    <w:rsid w:val="00795C22"/>
    <w:rsid w:val="007A5C5F"/>
    <w:rsid w:val="007B2935"/>
    <w:rsid w:val="007D3635"/>
    <w:rsid w:val="007E2CFA"/>
    <w:rsid w:val="007E47F8"/>
    <w:rsid w:val="007E67D8"/>
    <w:rsid w:val="007E77EF"/>
    <w:rsid w:val="007F109A"/>
    <w:rsid w:val="007F7DBA"/>
    <w:rsid w:val="00800777"/>
    <w:rsid w:val="00804602"/>
    <w:rsid w:val="008079EB"/>
    <w:rsid w:val="0081446E"/>
    <w:rsid w:val="00817374"/>
    <w:rsid w:val="008215D7"/>
    <w:rsid w:val="00821EBF"/>
    <w:rsid w:val="00823790"/>
    <w:rsid w:val="008257D1"/>
    <w:rsid w:val="008307EF"/>
    <w:rsid w:val="00831FD6"/>
    <w:rsid w:val="008327DD"/>
    <w:rsid w:val="008337E4"/>
    <w:rsid w:val="00840C09"/>
    <w:rsid w:val="0084142D"/>
    <w:rsid w:val="00843A81"/>
    <w:rsid w:val="00843C68"/>
    <w:rsid w:val="00844178"/>
    <w:rsid w:val="00844209"/>
    <w:rsid w:val="008455E0"/>
    <w:rsid w:val="00846739"/>
    <w:rsid w:val="00853BE4"/>
    <w:rsid w:val="00855631"/>
    <w:rsid w:val="00864F9C"/>
    <w:rsid w:val="00871C92"/>
    <w:rsid w:val="0087566B"/>
    <w:rsid w:val="008816AF"/>
    <w:rsid w:val="00885640"/>
    <w:rsid w:val="008A0ED4"/>
    <w:rsid w:val="008A6818"/>
    <w:rsid w:val="008B71DB"/>
    <w:rsid w:val="008C6E75"/>
    <w:rsid w:val="008D21C2"/>
    <w:rsid w:val="008D2CE5"/>
    <w:rsid w:val="008D4F8B"/>
    <w:rsid w:val="008E505B"/>
    <w:rsid w:val="008E515E"/>
    <w:rsid w:val="008E5740"/>
    <w:rsid w:val="008E5D20"/>
    <w:rsid w:val="008F0F4C"/>
    <w:rsid w:val="008F5165"/>
    <w:rsid w:val="0090113C"/>
    <w:rsid w:val="00903C12"/>
    <w:rsid w:val="00903C4F"/>
    <w:rsid w:val="0091595D"/>
    <w:rsid w:val="00921EF8"/>
    <w:rsid w:val="00927F74"/>
    <w:rsid w:val="009341FF"/>
    <w:rsid w:val="00934590"/>
    <w:rsid w:val="0093466E"/>
    <w:rsid w:val="00935CBC"/>
    <w:rsid w:val="009512EC"/>
    <w:rsid w:val="00952F3B"/>
    <w:rsid w:val="0096177A"/>
    <w:rsid w:val="00963F50"/>
    <w:rsid w:val="0098250C"/>
    <w:rsid w:val="009826F7"/>
    <w:rsid w:val="009846A6"/>
    <w:rsid w:val="009851F7"/>
    <w:rsid w:val="00990335"/>
    <w:rsid w:val="00991563"/>
    <w:rsid w:val="00991FC4"/>
    <w:rsid w:val="009A1572"/>
    <w:rsid w:val="009A6FF4"/>
    <w:rsid w:val="009B0112"/>
    <w:rsid w:val="009B0F77"/>
    <w:rsid w:val="009B7A10"/>
    <w:rsid w:val="009D1078"/>
    <w:rsid w:val="009D1F8D"/>
    <w:rsid w:val="009D2A2F"/>
    <w:rsid w:val="009D497F"/>
    <w:rsid w:val="009D77D6"/>
    <w:rsid w:val="009E25DC"/>
    <w:rsid w:val="009E2937"/>
    <w:rsid w:val="009E4E10"/>
    <w:rsid w:val="009F15C7"/>
    <w:rsid w:val="009F4B15"/>
    <w:rsid w:val="009F6E81"/>
    <w:rsid w:val="009F7CE4"/>
    <w:rsid w:val="00A13176"/>
    <w:rsid w:val="00A14252"/>
    <w:rsid w:val="00A1608D"/>
    <w:rsid w:val="00A16C72"/>
    <w:rsid w:val="00A21FBC"/>
    <w:rsid w:val="00A24CA4"/>
    <w:rsid w:val="00A31223"/>
    <w:rsid w:val="00A35A7A"/>
    <w:rsid w:val="00A43B90"/>
    <w:rsid w:val="00A50CFE"/>
    <w:rsid w:val="00A56FD6"/>
    <w:rsid w:val="00A62258"/>
    <w:rsid w:val="00A63FD6"/>
    <w:rsid w:val="00A642E1"/>
    <w:rsid w:val="00A64895"/>
    <w:rsid w:val="00A67AE7"/>
    <w:rsid w:val="00A70514"/>
    <w:rsid w:val="00A734BE"/>
    <w:rsid w:val="00A761E5"/>
    <w:rsid w:val="00A77501"/>
    <w:rsid w:val="00A77C43"/>
    <w:rsid w:val="00A870AC"/>
    <w:rsid w:val="00A932B0"/>
    <w:rsid w:val="00A97D2D"/>
    <w:rsid w:val="00AB095C"/>
    <w:rsid w:val="00AB1458"/>
    <w:rsid w:val="00AB66FC"/>
    <w:rsid w:val="00AB7759"/>
    <w:rsid w:val="00AC1E72"/>
    <w:rsid w:val="00AC28D0"/>
    <w:rsid w:val="00AC39FE"/>
    <w:rsid w:val="00AD0086"/>
    <w:rsid w:val="00AD16C4"/>
    <w:rsid w:val="00AD5E99"/>
    <w:rsid w:val="00AD70DE"/>
    <w:rsid w:val="00AE2960"/>
    <w:rsid w:val="00AE49EF"/>
    <w:rsid w:val="00AF089C"/>
    <w:rsid w:val="00AF3BA1"/>
    <w:rsid w:val="00AF44D9"/>
    <w:rsid w:val="00AF7FBE"/>
    <w:rsid w:val="00B07945"/>
    <w:rsid w:val="00B1204A"/>
    <w:rsid w:val="00B149C7"/>
    <w:rsid w:val="00B171B0"/>
    <w:rsid w:val="00B20F69"/>
    <w:rsid w:val="00B215EC"/>
    <w:rsid w:val="00B221EC"/>
    <w:rsid w:val="00B24796"/>
    <w:rsid w:val="00B27C5F"/>
    <w:rsid w:val="00B30ED2"/>
    <w:rsid w:val="00B3439B"/>
    <w:rsid w:val="00B3536C"/>
    <w:rsid w:val="00B35EE8"/>
    <w:rsid w:val="00B40110"/>
    <w:rsid w:val="00B51952"/>
    <w:rsid w:val="00B55343"/>
    <w:rsid w:val="00B57D1D"/>
    <w:rsid w:val="00B6012D"/>
    <w:rsid w:val="00B62210"/>
    <w:rsid w:val="00B62AC4"/>
    <w:rsid w:val="00B64A71"/>
    <w:rsid w:val="00B807EA"/>
    <w:rsid w:val="00B813C1"/>
    <w:rsid w:val="00B830F1"/>
    <w:rsid w:val="00B85076"/>
    <w:rsid w:val="00B85373"/>
    <w:rsid w:val="00B963DD"/>
    <w:rsid w:val="00BA1657"/>
    <w:rsid w:val="00BA28C8"/>
    <w:rsid w:val="00BA36D6"/>
    <w:rsid w:val="00BA43F7"/>
    <w:rsid w:val="00BA7FE1"/>
    <w:rsid w:val="00BC0933"/>
    <w:rsid w:val="00BC24E6"/>
    <w:rsid w:val="00BC2961"/>
    <w:rsid w:val="00BD1A13"/>
    <w:rsid w:val="00BD1AA2"/>
    <w:rsid w:val="00BD1B1F"/>
    <w:rsid w:val="00BD57BF"/>
    <w:rsid w:val="00BD7617"/>
    <w:rsid w:val="00BE14CC"/>
    <w:rsid w:val="00BE2C86"/>
    <w:rsid w:val="00BE2E43"/>
    <w:rsid w:val="00BE3201"/>
    <w:rsid w:val="00BE42F6"/>
    <w:rsid w:val="00BF0EB5"/>
    <w:rsid w:val="00BF3601"/>
    <w:rsid w:val="00BF7A5A"/>
    <w:rsid w:val="00C04C35"/>
    <w:rsid w:val="00C05C04"/>
    <w:rsid w:val="00C05F7B"/>
    <w:rsid w:val="00C221D6"/>
    <w:rsid w:val="00C30A06"/>
    <w:rsid w:val="00C371F2"/>
    <w:rsid w:val="00C41676"/>
    <w:rsid w:val="00C426F0"/>
    <w:rsid w:val="00C44A35"/>
    <w:rsid w:val="00C518AF"/>
    <w:rsid w:val="00C564A1"/>
    <w:rsid w:val="00C5703D"/>
    <w:rsid w:val="00C57DD6"/>
    <w:rsid w:val="00C63B2A"/>
    <w:rsid w:val="00C66C72"/>
    <w:rsid w:val="00C66FEB"/>
    <w:rsid w:val="00C67092"/>
    <w:rsid w:val="00C70465"/>
    <w:rsid w:val="00C86C5A"/>
    <w:rsid w:val="00C9439D"/>
    <w:rsid w:val="00C94BBB"/>
    <w:rsid w:val="00CA2F18"/>
    <w:rsid w:val="00CA466D"/>
    <w:rsid w:val="00CA609D"/>
    <w:rsid w:val="00CB300A"/>
    <w:rsid w:val="00CB467E"/>
    <w:rsid w:val="00CB5C37"/>
    <w:rsid w:val="00CB753A"/>
    <w:rsid w:val="00CC2499"/>
    <w:rsid w:val="00CD18EC"/>
    <w:rsid w:val="00CD2BCA"/>
    <w:rsid w:val="00CD71D8"/>
    <w:rsid w:val="00CE0E75"/>
    <w:rsid w:val="00CE4403"/>
    <w:rsid w:val="00CF143D"/>
    <w:rsid w:val="00CF1B0A"/>
    <w:rsid w:val="00CF3065"/>
    <w:rsid w:val="00CF60BC"/>
    <w:rsid w:val="00CF7B34"/>
    <w:rsid w:val="00D02C9D"/>
    <w:rsid w:val="00D02F74"/>
    <w:rsid w:val="00D04168"/>
    <w:rsid w:val="00D0634C"/>
    <w:rsid w:val="00D107FD"/>
    <w:rsid w:val="00D15B46"/>
    <w:rsid w:val="00D16AE1"/>
    <w:rsid w:val="00D20898"/>
    <w:rsid w:val="00D20D6D"/>
    <w:rsid w:val="00D2549C"/>
    <w:rsid w:val="00D2789F"/>
    <w:rsid w:val="00D30C25"/>
    <w:rsid w:val="00D34C01"/>
    <w:rsid w:val="00D351F6"/>
    <w:rsid w:val="00D35FBA"/>
    <w:rsid w:val="00D3678F"/>
    <w:rsid w:val="00D3693A"/>
    <w:rsid w:val="00D41032"/>
    <w:rsid w:val="00D44971"/>
    <w:rsid w:val="00D504EA"/>
    <w:rsid w:val="00D52E9A"/>
    <w:rsid w:val="00D653FC"/>
    <w:rsid w:val="00D6688F"/>
    <w:rsid w:val="00D724BF"/>
    <w:rsid w:val="00D761DA"/>
    <w:rsid w:val="00D82246"/>
    <w:rsid w:val="00D82BA4"/>
    <w:rsid w:val="00D86B62"/>
    <w:rsid w:val="00DA5729"/>
    <w:rsid w:val="00DB699F"/>
    <w:rsid w:val="00DC16A8"/>
    <w:rsid w:val="00DC58C1"/>
    <w:rsid w:val="00DD1704"/>
    <w:rsid w:val="00DD565A"/>
    <w:rsid w:val="00DD5903"/>
    <w:rsid w:val="00DE0B38"/>
    <w:rsid w:val="00DE0BED"/>
    <w:rsid w:val="00DE1A24"/>
    <w:rsid w:val="00DE1F40"/>
    <w:rsid w:val="00DE6B75"/>
    <w:rsid w:val="00DE6E9B"/>
    <w:rsid w:val="00DF1F0E"/>
    <w:rsid w:val="00DF3A59"/>
    <w:rsid w:val="00DF3EB9"/>
    <w:rsid w:val="00DF4B39"/>
    <w:rsid w:val="00DF60BE"/>
    <w:rsid w:val="00DF7882"/>
    <w:rsid w:val="00E039C9"/>
    <w:rsid w:val="00E06203"/>
    <w:rsid w:val="00E127A1"/>
    <w:rsid w:val="00E1384B"/>
    <w:rsid w:val="00E16E01"/>
    <w:rsid w:val="00E20A23"/>
    <w:rsid w:val="00E27EE4"/>
    <w:rsid w:val="00E32645"/>
    <w:rsid w:val="00E41E68"/>
    <w:rsid w:val="00E43715"/>
    <w:rsid w:val="00E458B4"/>
    <w:rsid w:val="00E503BC"/>
    <w:rsid w:val="00E5555D"/>
    <w:rsid w:val="00E57ACB"/>
    <w:rsid w:val="00E62053"/>
    <w:rsid w:val="00E65A97"/>
    <w:rsid w:val="00E66AC0"/>
    <w:rsid w:val="00E7201C"/>
    <w:rsid w:val="00E74F74"/>
    <w:rsid w:val="00E77C44"/>
    <w:rsid w:val="00E81885"/>
    <w:rsid w:val="00E8390D"/>
    <w:rsid w:val="00E8476A"/>
    <w:rsid w:val="00E90D01"/>
    <w:rsid w:val="00EA0860"/>
    <w:rsid w:val="00EA7F8D"/>
    <w:rsid w:val="00EB01D1"/>
    <w:rsid w:val="00EB444F"/>
    <w:rsid w:val="00EB726C"/>
    <w:rsid w:val="00EB7867"/>
    <w:rsid w:val="00EC1194"/>
    <w:rsid w:val="00EC350F"/>
    <w:rsid w:val="00EC4BC6"/>
    <w:rsid w:val="00ED0F57"/>
    <w:rsid w:val="00ED4E6C"/>
    <w:rsid w:val="00ED7015"/>
    <w:rsid w:val="00EE300A"/>
    <w:rsid w:val="00EF1743"/>
    <w:rsid w:val="00EF24CD"/>
    <w:rsid w:val="00F05F70"/>
    <w:rsid w:val="00F15B01"/>
    <w:rsid w:val="00F16922"/>
    <w:rsid w:val="00F16ED7"/>
    <w:rsid w:val="00F17BC4"/>
    <w:rsid w:val="00F22D8D"/>
    <w:rsid w:val="00F31C48"/>
    <w:rsid w:val="00F36F06"/>
    <w:rsid w:val="00F376CC"/>
    <w:rsid w:val="00F44113"/>
    <w:rsid w:val="00F46770"/>
    <w:rsid w:val="00F50C6C"/>
    <w:rsid w:val="00F54B88"/>
    <w:rsid w:val="00F55C3C"/>
    <w:rsid w:val="00F571AB"/>
    <w:rsid w:val="00F57646"/>
    <w:rsid w:val="00F66725"/>
    <w:rsid w:val="00F764FF"/>
    <w:rsid w:val="00F77911"/>
    <w:rsid w:val="00F80368"/>
    <w:rsid w:val="00F808D2"/>
    <w:rsid w:val="00F80DE3"/>
    <w:rsid w:val="00F834B5"/>
    <w:rsid w:val="00F90997"/>
    <w:rsid w:val="00F938AB"/>
    <w:rsid w:val="00F9740D"/>
    <w:rsid w:val="00FA1649"/>
    <w:rsid w:val="00FA5CF2"/>
    <w:rsid w:val="00FB1FA4"/>
    <w:rsid w:val="00FB2B62"/>
    <w:rsid w:val="00FB5155"/>
    <w:rsid w:val="00FB6463"/>
    <w:rsid w:val="00FC02BA"/>
    <w:rsid w:val="00FC09D4"/>
    <w:rsid w:val="00FC5924"/>
    <w:rsid w:val="00FD1A0E"/>
    <w:rsid w:val="00FD21AB"/>
    <w:rsid w:val="00FE0CFA"/>
    <w:rsid w:val="00FE2C59"/>
    <w:rsid w:val="00FE38A4"/>
    <w:rsid w:val="00FF1E6C"/>
    <w:rsid w:val="00FF2D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C44532"/>
  <w15:docId w15:val="{6A7A4602-A59E-4949-B371-548A3841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656"/>
  </w:style>
  <w:style w:type="paragraph" w:styleId="Heading1">
    <w:name w:val="heading 1"/>
    <w:basedOn w:val="CabStandard"/>
    <w:next w:val="Normal"/>
    <w:link w:val="Heading1Char"/>
    <w:uiPriority w:val="9"/>
    <w:qFormat/>
    <w:rsid w:val="00FA5CF2"/>
    <w:pPr>
      <w:numPr>
        <w:numId w:val="0"/>
      </w:numPr>
      <w:jc w:val="both"/>
      <w:outlineLvl w:val="0"/>
    </w:pPr>
    <w:rPr>
      <w:rFonts w:ascii="Arial" w:eastAsiaTheme="minorHAnsi" w:hAnsi="Arial" w:cs="Arial"/>
      <w:b/>
      <w:sz w:val="28"/>
      <w:szCs w:val="28"/>
      <w:lang w:val="en-NZ" w:eastAsia="en-US"/>
    </w:rPr>
  </w:style>
  <w:style w:type="paragraph" w:styleId="Heading2">
    <w:name w:val="heading 2"/>
    <w:basedOn w:val="CabStandard"/>
    <w:next w:val="Normal"/>
    <w:link w:val="Heading2Char"/>
    <w:uiPriority w:val="9"/>
    <w:unhideWhenUsed/>
    <w:qFormat/>
    <w:rsid w:val="00FA5CF2"/>
    <w:pPr>
      <w:numPr>
        <w:numId w:val="0"/>
      </w:numPr>
      <w:ind w:left="720" w:hanging="720"/>
      <w:jc w:val="both"/>
      <w:outlineLvl w:val="1"/>
    </w:pPr>
    <w:rPr>
      <w:rFonts w:ascii="Arial" w:hAnsi="Arial" w:cs="Arial"/>
      <w:b/>
      <w:sz w:val="23"/>
      <w:szCs w:val="23"/>
    </w:rPr>
  </w:style>
  <w:style w:type="paragraph" w:styleId="Heading3">
    <w:name w:val="heading 3"/>
    <w:basedOn w:val="Normal"/>
    <w:next w:val="Normal"/>
    <w:link w:val="Heading3Char"/>
    <w:uiPriority w:val="9"/>
    <w:semiHidden/>
    <w:unhideWhenUsed/>
    <w:qFormat/>
    <w:rsid w:val="00D82246"/>
    <w:pPr>
      <w:spacing w:before="200" w:after="0" w:line="268" w:lineRule="auto"/>
      <w:jc w:val="both"/>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33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abStandard">
    <w:name w:val="CabStandard"/>
    <w:basedOn w:val="Normal"/>
    <w:rsid w:val="004C20F5"/>
    <w:pPr>
      <w:numPr>
        <w:numId w:val="1"/>
      </w:numPr>
      <w:spacing w:after="240" w:line="240" w:lineRule="auto"/>
    </w:pPr>
    <w:rPr>
      <w:rFonts w:ascii="Times New Roman" w:eastAsia="Times New Roman" w:hAnsi="Times New Roman" w:cs="Times New Roman"/>
      <w:sz w:val="24"/>
      <w:szCs w:val="20"/>
      <w:lang w:val="en-GB" w:eastAsia="ja-JP"/>
    </w:rPr>
  </w:style>
  <w:style w:type="character" w:styleId="Emphasis">
    <w:name w:val="Emphasis"/>
    <w:basedOn w:val="DefaultParagraphFont"/>
    <w:uiPriority w:val="20"/>
    <w:qFormat/>
    <w:rsid w:val="0070033B"/>
    <w:rPr>
      <w:i/>
      <w:iCs/>
    </w:rPr>
  </w:style>
  <w:style w:type="character" w:styleId="Strong">
    <w:name w:val="Strong"/>
    <w:basedOn w:val="DefaultParagraphFont"/>
    <w:uiPriority w:val="22"/>
    <w:qFormat/>
    <w:rsid w:val="0070033B"/>
    <w:rPr>
      <w:b/>
      <w:bCs/>
    </w:rPr>
  </w:style>
  <w:style w:type="paragraph" w:styleId="Header">
    <w:name w:val="header"/>
    <w:basedOn w:val="Normal"/>
    <w:link w:val="HeaderChar"/>
    <w:uiPriority w:val="99"/>
    <w:unhideWhenUsed/>
    <w:rsid w:val="00984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6A6"/>
  </w:style>
  <w:style w:type="paragraph" w:styleId="Footer">
    <w:name w:val="footer"/>
    <w:basedOn w:val="Normal"/>
    <w:link w:val="FooterChar"/>
    <w:uiPriority w:val="99"/>
    <w:unhideWhenUsed/>
    <w:rsid w:val="00984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6A6"/>
  </w:style>
  <w:style w:type="paragraph" w:styleId="ListParagraph">
    <w:name w:val="List Paragraph"/>
    <w:basedOn w:val="Normal"/>
    <w:uiPriority w:val="34"/>
    <w:qFormat/>
    <w:rsid w:val="00AD16C4"/>
    <w:pPr>
      <w:ind w:left="720"/>
      <w:contextualSpacing/>
    </w:pPr>
  </w:style>
  <w:style w:type="paragraph" w:styleId="BalloonText">
    <w:name w:val="Balloon Text"/>
    <w:basedOn w:val="Normal"/>
    <w:link w:val="BalloonTextChar"/>
    <w:uiPriority w:val="99"/>
    <w:semiHidden/>
    <w:unhideWhenUsed/>
    <w:rsid w:val="005C3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A8"/>
    <w:rPr>
      <w:rFonts w:ascii="Segoe UI" w:hAnsi="Segoe UI" w:cs="Segoe UI"/>
      <w:sz w:val="18"/>
      <w:szCs w:val="18"/>
    </w:rPr>
  </w:style>
  <w:style w:type="character" w:styleId="CommentReference">
    <w:name w:val="annotation reference"/>
    <w:basedOn w:val="DefaultParagraphFont"/>
    <w:uiPriority w:val="99"/>
    <w:semiHidden/>
    <w:unhideWhenUsed/>
    <w:rsid w:val="00687305"/>
    <w:rPr>
      <w:sz w:val="16"/>
      <w:szCs w:val="16"/>
    </w:rPr>
  </w:style>
  <w:style w:type="paragraph" w:styleId="CommentText">
    <w:name w:val="annotation text"/>
    <w:basedOn w:val="Normal"/>
    <w:link w:val="CommentTextChar"/>
    <w:uiPriority w:val="99"/>
    <w:unhideWhenUsed/>
    <w:rsid w:val="00687305"/>
    <w:pPr>
      <w:spacing w:line="240" w:lineRule="auto"/>
    </w:pPr>
    <w:rPr>
      <w:sz w:val="20"/>
      <w:szCs w:val="20"/>
    </w:rPr>
  </w:style>
  <w:style w:type="character" w:customStyle="1" w:styleId="CommentTextChar">
    <w:name w:val="Comment Text Char"/>
    <w:basedOn w:val="DefaultParagraphFont"/>
    <w:link w:val="CommentText"/>
    <w:uiPriority w:val="99"/>
    <w:rsid w:val="00687305"/>
    <w:rPr>
      <w:sz w:val="20"/>
      <w:szCs w:val="20"/>
    </w:rPr>
  </w:style>
  <w:style w:type="paragraph" w:styleId="CommentSubject">
    <w:name w:val="annotation subject"/>
    <w:basedOn w:val="CommentText"/>
    <w:next w:val="CommentText"/>
    <w:link w:val="CommentSubjectChar"/>
    <w:uiPriority w:val="99"/>
    <w:semiHidden/>
    <w:unhideWhenUsed/>
    <w:rsid w:val="00687305"/>
    <w:rPr>
      <w:b/>
      <w:bCs/>
    </w:rPr>
  </w:style>
  <w:style w:type="character" w:customStyle="1" w:styleId="CommentSubjectChar">
    <w:name w:val="Comment Subject Char"/>
    <w:basedOn w:val="CommentTextChar"/>
    <w:link w:val="CommentSubject"/>
    <w:uiPriority w:val="99"/>
    <w:semiHidden/>
    <w:rsid w:val="00687305"/>
    <w:rPr>
      <w:b/>
      <w:bCs/>
      <w:sz w:val="20"/>
      <w:szCs w:val="20"/>
    </w:rPr>
  </w:style>
  <w:style w:type="paragraph" w:styleId="Revision">
    <w:name w:val="Revision"/>
    <w:hidden/>
    <w:uiPriority w:val="99"/>
    <w:semiHidden/>
    <w:rsid w:val="00823790"/>
    <w:pPr>
      <w:spacing w:after="0" w:line="240" w:lineRule="auto"/>
    </w:pPr>
  </w:style>
  <w:style w:type="paragraph" w:styleId="FootnoteText">
    <w:name w:val="footnote text"/>
    <w:basedOn w:val="Normal"/>
    <w:link w:val="FootnoteTextChar"/>
    <w:uiPriority w:val="99"/>
    <w:semiHidden/>
    <w:unhideWhenUsed/>
    <w:rsid w:val="00523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FD2"/>
    <w:rPr>
      <w:sz w:val="20"/>
      <w:szCs w:val="20"/>
    </w:rPr>
  </w:style>
  <w:style w:type="character" w:styleId="FootnoteReference">
    <w:name w:val="footnote reference"/>
    <w:basedOn w:val="DefaultParagraphFont"/>
    <w:uiPriority w:val="99"/>
    <w:semiHidden/>
    <w:unhideWhenUsed/>
    <w:rsid w:val="00523FD2"/>
    <w:rPr>
      <w:vertAlign w:val="superscript"/>
    </w:rPr>
  </w:style>
  <w:style w:type="table" w:styleId="TableGrid">
    <w:name w:val="Table Grid"/>
    <w:basedOn w:val="TableNormal"/>
    <w:uiPriority w:val="59"/>
    <w:rsid w:val="0069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82246"/>
    <w:rPr>
      <w:rFonts w:asciiTheme="majorHAnsi" w:eastAsiaTheme="majorEastAsia" w:hAnsiTheme="majorHAnsi" w:cstheme="majorBidi"/>
      <w:b/>
      <w:bCs/>
      <w:sz w:val="24"/>
      <w:szCs w:val="24"/>
    </w:rPr>
  </w:style>
  <w:style w:type="paragraph" w:customStyle="1" w:styleId="CabStandard10pt">
    <w:name w:val="CabStandard10pt"/>
    <w:basedOn w:val="CabStandard"/>
    <w:rsid w:val="000F6FEC"/>
    <w:pPr>
      <w:spacing w:before="40" w:after="40"/>
      <w:ind w:hanging="360"/>
    </w:pPr>
    <w:rPr>
      <w:sz w:val="20"/>
      <w:szCs w:val="24"/>
      <w:lang w:val="en-NZ" w:eastAsia="en-US"/>
    </w:rPr>
  </w:style>
  <w:style w:type="paragraph" w:styleId="NoSpacing">
    <w:name w:val="No Spacing"/>
    <w:uiPriority w:val="1"/>
    <w:qFormat/>
    <w:rsid w:val="00AB66FC"/>
    <w:pPr>
      <w:spacing w:after="0" w:line="240" w:lineRule="auto"/>
    </w:pPr>
    <w:rPr>
      <w:rFonts w:ascii="Arial" w:eastAsia="Times New Roman" w:hAnsi="Arial" w:cs="Times"/>
      <w:szCs w:val="24"/>
      <w:lang w:eastAsia="en-GB"/>
    </w:rPr>
  </w:style>
  <w:style w:type="character" w:customStyle="1" w:styleId="Heading1Char">
    <w:name w:val="Heading 1 Char"/>
    <w:basedOn w:val="DefaultParagraphFont"/>
    <w:link w:val="Heading1"/>
    <w:uiPriority w:val="9"/>
    <w:rsid w:val="00FA5CF2"/>
    <w:rPr>
      <w:rFonts w:ascii="Arial" w:hAnsi="Arial" w:cs="Arial"/>
      <w:b/>
      <w:sz w:val="28"/>
      <w:szCs w:val="28"/>
    </w:rPr>
  </w:style>
  <w:style w:type="character" w:customStyle="1" w:styleId="Heading2Char">
    <w:name w:val="Heading 2 Char"/>
    <w:basedOn w:val="DefaultParagraphFont"/>
    <w:link w:val="Heading2"/>
    <w:uiPriority w:val="9"/>
    <w:rsid w:val="00FA5CF2"/>
    <w:rPr>
      <w:rFonts w:ascii="Arial" w:eastAsia="Times New Roman" w:hAnsi="Arial" w:cs="Arial"/>
      <w:b/>
      <w:sz w:val="23"/>
      <w:szCs w:val="23"/>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4481">
      <w:bodyDiv w:val="1"/>
      <w:marLeft w:val="0"/>
      <w:marRight w:val="0"/>
      <w:marTop w:val="0"/>
      <w:marBottom w:val="0"/>
      <w:divBdr>
        <w:top w:val="none" w:sz="0" w:space="0" w:color="auto"/>
        <w:left w:val="none" w:sz="0" w:space="0" w:color="auto"/>
        <w:bottom w:val="none" w:sz="0" w:space="0" w:color="auto"/>
        <w:right w:val="none" w:sz="0" w:space="0" w:color="auto"/>
      </w:divBdr>
    </w:div>
    <w:div w:id="147795887">
      <w:bodyDiv w:val="1"/>
      <w:marLeft w:val="0"/>
      <w:marRight w:val="0"/>
      <w:marTop w:val="0"/>
      <w:marBottom w:val="0"/>
      <w:divBdr>
        <w:top w:val="none" w:sz="0" w:space="0" w:color="auto"/>
        <w:left w:val="none" w:sz="0" w:space="0" w:color="auto"/>
        <w:bottom w:val="none" w:sz="0" w:space="0" w:color="auto"/>
        <w:right w:val="none" w:sz="0" w:space="0" w:color="auto"/>
      </w:divBdr>
    </w:div>
    <w:div w:id="316888295">
      <w:bodyDiv w:val="1"/>
      <w:marLeft w:val="0"/>
      <w:marRight w:val="0"/>
      <w:marTop w:val="0"/>
      <w:marBottom w:val="0"/>
      <w:divBdr>
        <w:top w:val="none" w:sz="0" w:space="0" w:color="auto"/>
        <w:left w:val="none" w:sz="0" w:space="0" w:color="auto"/>
        <w:bottom w:val="none" w:sz="0" w:space="0" w:color="auto"/>
        <w:right w:val="none" w:sz="0" w:space="0" w:color="auto"/>
      </w:divBdr>
    </w:div>
    <w:div w:id="329260839">
      <w:bodyDiv w:val="1"/>
      <w:marLeft w:val="0"/>
      <w:marRight w:val="0"/>
      <w:marTop w:val="0"/>
      <w:marBottom w:val="0"/>
      <w:divBdr>
        <w:top w:val="none" w:sz="0" w:space="0" w:color="auto"/>
        <w:left w:val="none" w:sz="0" w:space="0" w:color="auto"/>
        <w:bottom w:val="none" w:sz="0" w:space="0" w:color="auto"/>
        <w:right w:val="none" w:sz="0" w:space="0" w:color="auto"/>
      </w:divBdr>
    </w:div>
    <w:div w:id="394160622">
      <w:bodyDiv w:val="1"/>
      <w:marLeft w:val="0"/>
      <w:marRight w:val="0"/>
      <w:marTop w:val="0"/>
      <w:marBottom w:val="0"/>
      <w:divBdr>
        <w:top w:val="none" w:sz="0" w:space="0" w:color="auto"/>
        <w:left w:val="none" w:sz="0" w:space="0" w:color="auto"/>
        <w:bottom w:val="none" w:sz="0" w:space="0" w:color="auto"/>
        <w:right w:val="none" w:sz="0" w:space="0" w:color="auto"/>
      </w:divBdr>
    </w:div>
    <w:div w:id="972905232">
      <w:bodyDiv w:val="1"/>
      <w:marLeft w:val="0"/>
      <w:marRight w:val="0"/>
      <w:marTop w:val="0"/>
      <w:marBottom w:val="0"/>
      <w:divBdr>
        <w:top w:val="none" w:sz="0" w:space="0" w:color="auto"/>
        <w:left w:val="none" w:sz="0" w:space="0" w:color="auto"/>
        <w:bottom w:val="none" w:sz="0" w:space="0" w:color="auto"/>
        <w:right w:val="none" w:sz="0" w:space="0" w:color="auto"/>
      </w:divBdr>
    </w:div>
    <w:div w:id="986859893">
      <w:bodyDiv w:val="1"/>
      <w:marLeft w:val="0"/>
      <w:marRight w:val="0"/>
      <w:marTop w:val="0"/>
      <w:marBottom w:val="0"/>
      <w:divBdr>
        <w:top w:val="none" w:sz="0" w:space="0" w:color="auto"/>
        <w:left w:val="none" w:sz="0" w:space="0" w:color="auto"/>
        <w:bottom w:val="none" w:sz="0" w:space="0" w:color="auto"/>
        <w:right w:val="none" w:sz="0" w:space="0" w:color="auto"/>
      </w:divBdr>
    </w:div>
    <w:div w:id="1015957648">
      <w:bodyDiv w:val="1"/>
      <w:marLeft w:val="0"/>
      <w:marRight w:val="0"/>
      <w:marTop w:val="0"/>
      <w:marBottom w:val="0"/>
      <w:divBdr>
        <w:top w:val="none" w:sz="0" w:space="0" w:color="auto"/>
        <w:left w:val="none" w:sz="0" w:space="0" w:color="auto"/>
        <w:bottom w:val="none" w:sz="0" w:space="0" w:color="auto"/>
        <w:right w:val="none" w:sz="0" w:space="0" w:color="auto"/>
      </w:divBdr>
    </w:div>
    <w:div w:id="1089472388">
      <w:bodyDiv w:val="1"/>
      <w:marLeft w:val="0"/>
      <w:marRight w:val="0"/>
      <w:marTop w:val="0"/>
      <w:marBottom w:val="0"/>
      <w:divBdr>
        <w:top w:val="none" w:sz="0" w:space="0" w:color="auto"/>
        <w:left w:val="none" w:sz="0" w:space="0" w:color="auto"/>
        <w:bottom w:val="none" w:sz="0" w:space="0" w:color="auto"/>
        <w:right w:val="none" w:sz="0" w:space="0" w:color="auto"/>
      </w:divBdr>
    </w:div>
    <w:div w:id="1147625773">
      <w:bodyDiv w:val="1"/>
      <w:marLeft w:val="0"/>
      <w:marRight w:val="0"/>
      <w:marTop w:val="0"/>
      <w:marBottom w:val="0"/>
      <w:divBdr>
        <w:top w:val="none" w:sz="0" w:space="0" w:color="auto"/>
        <w:left w:val="none" w:sz="0" w:space="0" w:color="auto"/>
        <w:bottom w:val="none" w:sz="0" w:space="0" w:color="auto"/>
        <w:right w:val="none" w:sz="0" w:space="0" w:color="auto"/>
      </w:divBdr>
    </w:div>
    <w:div w:id="1262764860">
      <w:bodyDiv w:val="1"/>
      <w:marLeft w:val="0"/>
      <w:marRight w:val="0"/>
      <w:marTop w:val="0"/>
      <w:marBottom w:val="0"/>
      <w:divBdr>
        <w:top w:val="none" w:sz="0" w:space="0" w:color="auto"/>
        <w:left w:val="none" w:sz="0" w:space="0" w:color="auto"/>
        <w:bottom w:val="none" w:sz="0" w:space="0" w:color="auto"/>
        <w:right w:val="none" w:sz="0" w:space="0" w:color="auto"/>
      </w:divBdr>
    </w:div>
    <w:div w:id="1410811784">
      <w:bodyDiv w:val="1"/>
      <w:marLeft w:val="0"/>
      <w:marRight w:val="0"/>
      <w:marTop w:val="0"/>
      <w:marBottom w:val="0"/>
      <w:divBdr>
        <w:top w:val="none" w:sz="0" w:space="0" w:color="auto"/>
        <w:left w:val="none" w:sz="0" w:space="0" w:color="auto"/>
        <w:bottom w:val="none" w:sz="0" w:space="0" w:color="auto"/>
        <w:right w:val="none" w:sz="0" w:space="0" w:color="auto"/>
      </w:divBdr>
    </w:div>
    <w:div w:id="1515267284">
      <w:bodyDiv w:val="1"/>
      <w:marLeft w:val="0"/>
      <w:marRight w:val="0"/>
      <w:marTop w:val="0"/>
      <w:marBottom w:val="0"/>
      <w:divBdr>
        <w:top w:val="none" w:sz="0" w:space="0" w:color="auto"/>
        <w:left w:val="none" w:sz="0" w:space="0" w:color="auto"/>
        <w:bottom w:val="none" w:sz="0" w:space="0" w:color="auto"/>
        <w:right w:val="none" w:sz="0" w:space="0" w:color="auto"/>
      </w:divBdr>
    </w:div>
    <w:div w:id="17215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0508-6510-498F-9698-89E9C66B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82D0DB36</Template>
  <TotalTime>0</TotalTime>
  <Pages>6</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Policy Paper</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 Paper</dc:title>
  <dc:subject/>
  <dc:creator>Alasdair MacLeod</dc:creator>
  <cp:keywords/>
  <dc:description/>
  <cp:lastModifiedBy>Allan Potter</cp:lastModifiedBy>
  <cp:revision>2</cp:revision>
  <cp:lastPrinted>2020-01-05T22:25:00Z</cp:lastPrinted>
  <dcterms:created xsi:type="dcterms:W3CDTF">2020-01-05T22:26:00Z</dcterms:created>
  <dcterms:modified xsi:type="dcterms:W3CDTF">2020-01-05T22:26:00Z</dcterms:modified>
</cp:coreProperties>
</file>