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788C8" w14:textId="77777777" w:rsidR="00C86248" w:rsidRDefault="007F5F89" w:rsidP="00926083">
      <w:pPr>
        <w:pStyle w:val="Title"/>
      </w:pPr>
      <w:bookmarkStart w:id="0" w:name="_GoBack"/>
      <w:bookmarkEnd w:id="0"/>
      <w:r>
        <w:t>Care and Support Workforce Qualification Attainment</w:t>
      </w:r>
    </w:p>
    <w:p w14:paraId="7FA754F1" w14:textId="77777777" w:rsidR="00D27922" w:rsidRDefault="007F5F89" w:rsidP="00D27922">
      <w:pPr>
        <w:pStyle w:val="Subhead"/>
      </w:pPr>
      <w:r>
        <w:t>October 2019</w:t>
      </w:r>
    </w:p>
    <w:p w14:paraId="51729E28" w14:textId="77777777" w:rsidR="00C05132" w:rsidRDefault="00C05132" w:rsidP="00A06BE4"/>
    <w:p w14:paraId="352A4112"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310F0F87"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3D270C">
        <w:rPr>
          <w:rFonts w:cs="Segoe UI"/>
        </w:rPr>
        <w:t>2020</w:t>
      </w:r>
      <w:r w:rsidR="00442C1C" w:rsidRPr="00C05132">
        <w:rPr>
          <w:rFonts w:cs="Segoe UI"/>
        </w:rPr>
        <w:t xml:space="preserve">. </w:t>
      </w:r>
      <w:r w:rsidR="007F5F89">
        <w:rPr>
          <w:rFonts w:cs="Segoe UI"/>
          <w:i/>
        </w:rPr>
        <w:t>Care and Support Workforce Qualification Attainment</w:t>
      </w:r>
      <w:r w:rsidR="00442C1C" w:rsidRPr="00C05132">
        <w:rPr>
          <w:rFonts w:cs="Segoe UI"/>
        </w:rPr>
        <w:t>. Wellington: Ministry of Health.</w:t>
      </w:r>
    </w:p>
    <w:p w14:paraId="29D38C87" w14:textId="77777777" w:rsidR="00C86248" w:rsidRDefault="00C86248">
      <w:pPr>
        <w:pStyle w:val="Imprint"/>
      </w:pPr>
      <w:r>
        <w:t xml:space="preserve">Published in </w:t>
      </w:r>
      <w:r w:rsidR="003D270C">
        <w:t>January</w:t>
      </w:r>
      <w:r w:rsidR="00D27922">
        <w:t xml:space="preserve"> </w:t>
      </w:r>
      <w:r w:rsidR="003235C6">
        <w:t>20</w:t>
      </w:r>
      <w:r w:rsidR="003D270C">
        <w:t>20</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33C2F2C2" w14:textId="77777777" w:rsidR="00082CD6" w:rsidRPr="009C0F2D" w:rsidRDefault="00D863D0" w:rsidP="00082CD6">
      <w:pPr>
        <w:pStyle w:val="Imprint"/>
      </w:pPr>
      <w:r>
        <w:t>ISBN</w:t>
      </w:r>
      <w:r w:rsidR="00442C1C">
        <w:t xml:space="preserve"> </w:t>
      </w:r>
      <w:r w:rsidR="00861379" w:rsidRPr="00861379">
        <w:t>978-1-98-859765-2</w:t>
      </w:r>
      <w:r w:rsidR="00861379">
        <w:t xml:space="preserve"> </w:t>
      </w:r>
      <w:r>
        <w:t>(</w:t>
      </w:r>
      <w:r w:rsidR="00442C1C">
        <w:t>online</w:t>
      </w:r>
      <w:r>
        <w:t>)</w:t>
      </w:r>
      <w:r w:rsidR="00082CD6">
        <w:br/>
      </w:r>
      <w:r w:rsidR="00082CD6" w:rsidRPr="009C0F2D">
        <w:t xml:space="preserve">HP </w:t>
      </w:r>
      <w:r w:rsidR="00861379">
        <w:t>7313</w:t>
      </w:r>
    </w:p>
    <w:p w14:paraId="58E7BC8A" w14:textId="77777777" w:rsidR="00C86248" w:rsidRDefault="008C64C4" w:rsidP="00D27922">
      <w:pPr>
        <w:spacing w:before="360"/>
      </w:pPr>
      <w:r>
        <w:rPr>
          <w:noProof/>
          <w:lang w:eastAsia="en-NZ"/>
        </w:rPr>
        <w:drawing>
          <wp:inline distT="0" distB="0" distL="0" distR="0" wp14:anchorId="52FAA99E" wp14:editId="7549F8BF">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4D38DF96" w14:textId="77777777" w:rsidR="00A63DFF" w:rsidRDefault="00A63DFF" w:rsidP="00A63DFF">
      <w:pPr>
        <w:pStyle w:val="Imprint"/>
        <w:spacing w:before="240" w:after="480"/>
      </w:pPr>
      <w:r>
        <w:t>This document is available at health.govt.nz</w:t>
      </w:r>
    </w:p>
    <w:tbl>
      <w:tblPr>
        <w:tblW w:w="0" w:type="auto"/>
        <w:tblLayout w:type="fixed"/>
        <w:tblLook w:val="04A0" w:firstRow="1" w:lastRow="0" w:firstColumn="1" w:lastColumn="0" w:noHBand="0" w:noVBand="1"/>
      </w:tblPr>
      <w:tblGrid>
        <w:gridCol w:w="1526"/>
        <w:gridCol w:w="6061"/>
      </w:tblGrid>
      <w:tr w:rsidR="00A63DFF" w:rsidRPr="00A63DFF" w14:paraId="1F5376E5" w14:textId="77777777" w:rsidTr="00A63DFF">
        <w:trPr>
          <w:cantSplit/>
        </w:trPr>
        <w:tc>
          <w:tcPr>
            <w:tcW w:w="1526" w:type="dxa"/>
          </w:tcPr>
          <w:p w14:paraId="19E65516"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31D8BC3C" wp14:editId="62BA2595">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345AED6E"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w:t>
            </w:r>
            <w:proofErr w:type="gramStart"/>
            <w:r w:rsidRPr="00A63DFF">
              <w:rPr>
                <w:rFonts w:cs="Segoe UI"/>
                <w:sz w:val="15"/>
                <w:szCs w:val="15"/>
              </w:rPr>
              <w:t xml:space="preserve">In essence, </w:t>
            </w:r>
            <w:r w:rsidRPr="00A63DFF">
              <w:rPr>
                <w:rFonts w:cs="Segoe UI"/>
                <w:bCs/>
                <w:sz w:val="15"/>
                <w:szCs w:val="15"/>
              </w:rPr>
              <w:t>you</w:t>
            </w:r>
            <w:proofErr w:type="gramEnd"/>
            <w:r w:rsidRPr="00A63DFF">
              <w:rPr>
                <w:rFonts w:cs="Segoe UI"/>
                <w:bCs/>
                <w:sz w:val="15"/>
                <w:szCs w:val="15"/>
              </w:rPr>
              <w:t xml:space="preserve">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6004F22D" w14:textId="77777777" w:rsidR="007E74F1" w:rsidRPr="001F45A7" w:rsidRDefault="007E74F1" w:rsidP="006E2886">
      <w:pPr>
        <w:pStyle w:val="Imprint"/>
      </w:pPr>
    </w:p>
    <w:p w14:paraId="38CB9106" w14:textId="77777777" w:rsidR="00C86248" w:rsidRDefault="00C86248">
      <w:pPr>
        <w:jc w:val="center"/>
        <w:sectPr w:rsidR="00C86248" w:rsidSect="00925892">
          <w:footerReference w:type="even" r:id="rId12"/>
          <w:footerReference w:type="default" r:id="rId13"/>
          <w:pgSz w:w="11907" w:h="16834" w:code="9"/>
          <w:pgMar w:top="1701" w:right="2268" w:bottom="1134" w:left="2268" w:header="0" w:footer="0" w:gutter="0"/>
          <w:cols w:space="720"/>
          <w:vAlign w:val="bottom"/>
        </w:sectPr>
      </w:pPr>
    </w:p>
    <w:p w14:paraId="74876380" w14:textId="77777777" w:rsidR="00C86248" w:rsidRDefault="00C86248" w:rsidP="00025A6F">
      <w:pPr>
        <w:pStyle w:val="IntroHead"/>
      </w:pPr>
      <w:bookmarkStart w:id="1" w:name="_Toc405792991"/>
      <w:bookmarkStart w:id="2" w:name="_Toc405793224"/>
      <w:r>
        <w:lastRenderedPageBreak/>
        <w:t>Contents</w:t>
      </w:r>
      <w:bookmarkEnd w:id="1"/>
      <w:bookmarkEnd w:id="2"/>
    </w:p>
    <w:p w14:paraId="09011AEB" w14:textId="34C94549" w:rsidR="00800C75" w:rsidRDefault="00800C75">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27123867" w:history="1">
        <w:r w:rsidRPr="00091FE5">
          <w:rPr>
            <w:rStyle w:val="Hyperlink"/>
            <w:noProof/>
          </w:rPr>
          <w:t>1</w:t>
        </w:r>
        <w:r>
          <w:rPr>
            <w:rFonts w:asciiTheme="minorHAnsi" w:eastAsiaTheme="minorEastAsia" w:hAnsiTheme="minorHAnsi" w:cstheme="minorBidi"/>
            <w:noProof/>
            <w:sz w:val="22"/>
            <w:szCs w:val="22"/>
            <w:lang w:eastAsia="en-NZ"/>
          </w:rPr>
          <w:tab/>
        </w:r>
        <w:r w:rsidRPr="00091FE5">
          <w:rPr>
            <w:rStyle w:val="Hyperlink"/>
            <w:noProof/>
          </w:rPr>
          <w:t>Introduction</w:t>
        </w:r>
        <w:r>
          <w:rPr>
            <w:noProof/>
            <w:webHidden/>
          </w:rPr>
          <w:tab/>
        </w:r>
        <w:r>
          <w:rPr>
            <w:noProof/>
            <w:webHidden/>
          </w:rPr>
          <w:fldChar w:fldCharType="begin"/>
        </w:r>
        <w:r>
          <w:rPr>
            <w:noProof/>
            <w:webHidden/>
          </w:rPr>
          <w:instrText xml:space="preserve"> PAGEREF _Toc27123867 \h </w:instrText>
        </w:r>
        <w:r>
          <w:rPr>
            <w:noProof/>
            <w:webHidden/>
          </w:rPr>
        </w:r>
        <w:r>
          <w:rPr>
            <w:noProof/>
            <w:webHidden/>
          </w:rPr>
          <w:fldChar w:fldCharType="separate"/>
        </w:r>
        <w:r w:rsidR="0085609C">
          <w:rPr>
            <w:noProof/>
            <w:webHidden/>
          </w:rPr>
          <w:t>1</w:t>
        </w:r>
        <w:r>
          <w:rPr>
            <w:noProof/>
            <w:webHidden/>
          </w:rPr>
          <w:fldChar w:fldCharType="end"/>
        </w:r>
      </w:hyperlink>
    </w:p>
    <w:p w14:paraId="0A724EC4" w14:textId="6CA97253" w:rsidR="00800C75" w:rsidRDefault="0085609C">
      <w:pPr>
        <w:pStyle w:val="TOC1"/>
        <w:rPr>
          <w:rFonts w:asciiTheme="minorHAnsi" w:eastAsiaTheme="minorEastAsia" w:hAnsiTheme="minorHAnsi" w:cstheme="minorBidi"/>
          <w:noProof/>
          <w:sz w:val="22"/>
          <w:szCs w:val="22"/>
          <w:lang w:eastAsia="en-NZ"/>
        </w:rPr>
      </w:pPr>
      <w:hyperlink w:anchor="_Toc27123868" w:history="1">
        <w:r w:rsidR="00800C75" w:rsidRPr="00091FE5">
          <w:rPr>
            <w:rStyle w:val="Hyperlink"/>
            <w:noProof/>
          </w:rPr>
          <w:t>2</w:t>
        </w:r>
        <w:r w:rsidR="00800C75">
          <w:rPr>
            <w:rFonts w:asciiTheme="minorHAnsi" w:eastAsiaTheme="minorEastAsia" w:hAnsiTheme="minorHAnsi" w:cstheme="minorBidi"/>
            <w:noProof/>
            <w:sz w:val="22"/>
            <w:szCs w:val="22"/>
            <w:lang w:eastAsia="en-NZ"/>
          </w:rPr>
          <w:tab/>
        </w:r>
        <w:r w:rsidR="00800C75" w:rsidRPr="00091FE5">
          <w:rPr>
            <w:rStyle w:val="Hyperlink"/>
            <w:noProof/>
          </w:rPr>
          <w:t>Key findings</w:t>
        </w:r>
        <w:r w:rsidR="00800C75">
          <w:rPr>
            <w:noProof/>
            <w:webHidden/>
          </w:rPr>
          <w:tab/>
        </w:r>
        <w:r w:rsidR="00800C75">
          <w:rPr>
            <w:noProof/>
            <w:webHidden/>
          </w:rPr>
          <w:fldChar w:fldCharType="begin"/>
        </w:r>
        <w:r w:rsidR="00800C75">
          <w:rPr>
            <w:noProof/>
            <w:webHidden/>
          </w:rPr>
          <w:instrText xml:space="preserve"> PAGEREF _Toc27123868 \h </w:instrText>
        </w:r>
        <w:r w:rsidR="00800C75">
          <w:rPr>
            <w:noProof/>
            <w:webHidden/>
          </w:rPr>
        </w:r>
        <w:r w:rsidR="00800C75">
          <w:rPr>
            <w:noProof/>
            <w:webHidden/>
          </w:rPr>
          <w:fldChar w:fldCharType="separate"/>
        </w:r>
        <w:r>
          <w:rPr>
            <w:noProof/>
            <w:webHidden/>
          </w:rPr>
          <w:t>2</w:t>
        </w:r>
        <w:r w:rsidR="00800C75">
          <w:rPr>
            <w:noProof/>
            <w:webHidden/>
          </w:rPr>
          <w:fldChar w:fldCharType="end"/>
        </w:r>
      </w:hyperlink>
    </w:p>
    <w:p w14:paraId="5E445AD1" w14:textId="323B13DF" w:rsidR="00800C75" w:rsidRDefault="0085609C">
      <w:pPr>
        <w:pStyle w:val="TOC1"/>
        <w:rPr>
          <w:rFonts w:asciiTheme="minorHAnsi" w:eastAsiaTheme="minorEastAsia" w:hAnsiTheme="minorHAnsi" w:cstheme="minorBidi"/>
          <w:noProof/>
          <w:sz w:val="22"/>
          <w:szCs w:val="22"/>
          <w:lang w:eastAsia="en-NZ"/>
        </w:rPr>
      </w:pPr>
      <w:hyperlink w:anchor="_Toc27123869" w:history="1">
        <w:r w:rsidR="00800C75" w:rsidRPr="00091FE5">
          <w:rPr>
            <w:rStyle w:val="Hyperlink"/>
            <w:noProof/>
          </w:rPr>
          <w:t>3</w:t>
        </w:r>
        <w:r w:rsidR="00800C75">
          <w:rPr>
            <w:rFonts w:asciiTheme="minorHAnsi" w:eastAsiaTheme="minorEastAsia" w:hAnsiTheme="minorHAnsi" w:cstheme="minorBidi"/>
            <w:noProof/>
            <w:sz w:val="22"/>
            <w:szCs w:val="22"/>
            <w:lang w:eastAsia="en-NZ"/>
          </w:rPr>
          <w:tab/>
        </w:r>
        <w:r w:rsidR="00800C75" w:rsidRPr="00091FE5">
          <w:rPr>
            <w:rStyle w:val="Hyperlink"/>
            <w:noProof/>
          </w:rPr>
          <w:t>Background</w:t>
        </w:r>
        <w:r w:rsidR="00800C75">
          <w:rPr>
            <w:noProof/>
            <w:webHidden/>
          </w:rPr>
          <w:tab/>
        </w:r>
        <w:r w:rsidR="00800C75">
          <w:rPr>
            <w:noProof/>
            <w:webHidden/>
          </w:rPr>
          <w:fldChar w:fldCharType="begin"/>
        </w:r>
        <w:r w:rsidR="00800C75">
          <w:rPr>
            <w:noProof/>
            <w:webHidden/>
          </w:rPr>
          <w:instrText xml:space="preserve"> PAGEREF _Toc27123869 \h </w:instrText>
        </w:r>
        <w:r w:rsidR="00800C75">
          <w:rPr>
            <w:noProof/>
            <w:webHidden/>
          </w:rPr>
        </w:r>
        <w:r w:rsidR="00800C75">
          <w:rPr>
            <w:noProof/>
            <w:webHidden/>
          </w:rPr>
          <w:fldChar w:fldCharType="separate"/>
        </w:r>
        <w:r>
          <w:rPr>
            <w:noProof/>
            <w:webHidden/>
          </w:rPr>
          <w:t>3</w:t>
        </w:r>
        <w:r w:rsidR="00800C75">
          <w:rPr>
            <w:noProof/>
            <w:webHidden/>
          </w:rPr>
          <w:fldChar w:fldCharType="end"/>
        </w:r>
      </w:hyperlink>
    </w:p>
    <w:p w14:paraId="7F5CE4CE" w14:textId="12C24447" w:rsidR="00800C75" w:rsidRDefault="0085609C">
      <w:pPr>
        <w:pStyle w:val="TOC1"/>
        <w:rPr>
          <w:rFonts w:asciiTheme="minorHAnsi" w:eastAsiaTheme="minorEastAsia" w:hAnsiTheme="minorHAnsi" w:cstheme="minorBidi"/>
          <w:noProof/>
          <w:sz w:val="22"/>
          <w:szCs w:val="22"/>
          <w:lang w:eastAsia="en-NZ"/>
        </w:rPr>
      </w:pPr>
      <w:hyperlink w:anchor="_Toc27123870" w:history="1">
        <w:r w:rsidR="00800C75" w:rsidRPr="00091FE5">
          <w:rPr>
            <w:rStyle w:val="Hyperlink"/>
            <w:noProof/>
            <w:lang w:eastAsia="en-NZ"/>
          </w:rPr>
          <w:t>4</w:t>
        </w:r>
        <w:r w:rsidR="00800C75">
          <w:rPr>
            <w:rFonts w:asciiTheme="minorHAnsi" w:eastAsiaTheme="minorEastAsia" w:hAnsiTheme="minorHAnsi" w:cstheme="minorBidi"/>
            <w:noProof/>
            <w:sz w:val="22"/>
            <w:szCs w:val="22"/>
            <w:lang w:eastAsia="en-NZ"/>
          </w:rPr>
          <w:tab/>
        </w:r>
        <w:r w:rsidR="00800C75" w:rsidRPr="00091FE5">
          <w:rPr>
            <w:rStyle w:val="Hyperlink"/>
            <w:noProof/>
            <w:lang w:eastAsia="en-NZ"/>
          </w:rPr>
          <w:t>Data and methodology</w:t>
        </w:r>
        <w:r w:rsidR="00800C75">
          <w:rPr>
            <w:noProof/>
            <w:webHidden/>
          </w:rPr>
          <w:tab/>
        </w:r>
        <w:r w:rsidR="00800C75">
          <w:rPr>
            <w:noProof/>
            <w:webHidden/>
          </w:rPr>
          <w:fldChar w:fldCharType="begin"/>
        </w:r>
        <w:r w:rsidR="00800C75">
          <w:rPr>
            <w:noProof/>
            <w:webHidden/>
          </w:rPr>
          <w:instrText xml:space="preserve"> PAGEREF _Toc27123870 \h </w:instrText>
        </w:r>
        <w:r w:rsidR="00800C75">
          <w:rPr>
            <w:noProof/>
            <w:webHidden/>
          </w:rPr>
        </w:r>
        <w:r w:rsidR="00800C75">
          <w:rPr>
            <w:noProof/>
            <w:webHidden/>
          </w:rPr>
          <w:fldChar w:fldCharType="separate"/>
        </w:r>
        <w:r>
          <w:rPr>
            <w:noProof/>
            <w:webHidden/>
          </w:rPr>
          <w:t>4</w:t>
        </w:r>
        <w:r w:rsidR="00800C75">
          <w:rPr>
            <w:noProof/>
            <w:webHidden/>
          </w:rPr>
          <w:fldChar w:fldCharType="end"/>
        </w:r>
      </w:hyperlink>
    </w:p>
    <w:p w14:paraId="29C2ADB8" w14:textId="4C0C09AD" w:rsidR="00800C75" w:rsidRDefault="0085609C">
      <w:pPr>
        <w:pStyle w:val="TOC2"/>
        <w:rPr>
          <w:rFonts w:asciiTheme="minorHAnsi" w:eastAsiaTheme="minorEastAsia" w:hAnsiTheme="minorHAnsi" w:cstheme="minorBidi"/>
          <w:noProof/>
          <w:sz w:val="22"/>
          <w:szCs w:val="22"/>
          <w:lang w:eastAsia="en-NZ"/>
        </w:rPr>
      </w:pPr>
      <w:hyperlink w:anchor="_Toc27123871" w:history="1">
        <w:r w:rsidR="00800C75" w:rsidRPr="00091FE5">
          <w:rPr>
            <w:rStyle w:val="Hyperlink"/>
            <w:noProof/>
            <w:lang w:eastAsia="en-NZ"/>
          </w:rPr>
          <w:t>4.1</w:t>
        </w:r>
        <w:r w:rsidR="00800C75">
          <w:rPr>
            <w:rFonts w:asciiTheme="minorHAnsi" w:eastAsiaTheme="minorEastAsia" w:hAnsiTheme="minorHAnsi" w:cstheme="minorBidi"/>
            <w:noProof/>
            <w:sz w:val="22"/>
            <w:szCs w:val="22"/>
            <w:lang w:eastAsia="en-NZ"/>
          </w:rPr>
          <w:tab/>
        </w:r>
        <w:r w:rsidR="00800C75" w:rsidRPr="00091FE5">
          <w:rPr>
            <w:rStyle w:val="Hyperlink"/>
            <w:noProof/>
            <w:lang w:eastAsia="en-NZ"/>
          </w:rPr>
          <w:t>Home and community, disability, and mental health and addiction sectors</w:t>
        </w:r>
        <w:r w:rsidR="00800C75">
          <w:rPr>
            <w:noProof/>
            <w:webHidden/>
          </w:rPr>
          <w:tab/>
        </w:r>
        <w:r w:rsidR="00800C75">
          <w:rPr>
            <w:noProof/>
            <w:webHidden/>
          </w:rPr>
          <w:fldChar w:fldCharType="begin"/>
        </w:r>
        <w:r w:rsidR="00800C75">
          <w:rPr>
            <w:noProof/>
            <w:webHidden/>
          </w:rPr>
          <w:instrText xml:space="preserve"> PAGEREF _Toc27123871 \h </w:instrText>
        </w:r>
        <w:r w:rsidR="00800C75">
          <w:rPr>
            <w:noProof/>
            <w:webHidden/>
          </w:rPr>
        </w:r>
        <w:r w:rsidR="00800C75">
          <w:rPr>
            <w:noProof/>
            <w:webHidden/>
          </w:rPr>
          <w:fldChar w:fldCharType="separate"/>
        </w:r>
        <w:r>
          <w:rPr>
            <w:noProof/>
            <w:webHidden/>
          </w:rPr>
          <w:t>4</w:t>
        </w:r>
        <w:r w:rsidR="00800C75">
          <w:rPr>
            <w:noProof/>
            <w:webHidden/>
          </w:rPr>
          <w:fldChar w:fldCharType="end"/>
        </w:r>
      </w:hyperlink>
    </w:p>
    <w:p w14:paraId="2C8F417D" w14:textId="0C2BA8E9" w:rsidR="00800C75" w:rsidRDefault="0085609C">
      <w:pPr>
        <w:pStyle w:val="TOC2"/>
        <w:rPr>
          <w:rFonts w:asciiTheme="minorHAnsi" w:eastAsiaTheme="minorEastAsia" w:hAnsiTheme="minorHAnsi" w:cstheme="minorBidi"/>
          <w:noProof/>
          <w:sz w:val="22"/>
          <w:szCs w:val="22"/>
          <w:lang w:eastAsia="en-NZ"/>
        </w:rPr>
      </w:pPr>
      <w:hyperlink w:anchor="_Toc27123872" w:history="1">
        <w:r w:rsidR="00800C75" w:rsidRPr="00091FE5">
          <w:rPr>
            <w:rStyle w:val="Hyperlink"/>
            <w:noProof/>
            <w:lang w:eastAsia="en-NZ"/>
          </w:rPr>
          <w:t>4.2</w:t>
        </w:r>
        <w:r w:rsidR="00800C75">
          <w:rPr>
            <w:rFonts w:asciiTheme="minorHAnsi" w:eastAsiaTheme="minorEastAsia" w:hAnsiTheme="minorHAnsi" w:cstheme="minorBidi"/>
            <w:noProof/>
            <w:sz w:val="22"/>
            <w:szCs w:val="22"/>
            <w:lang w:eastAsia="en-NZ"/>
          </w:rPr>
          <w:tab/>
        </w:r>
        <w:r w:rsidR="00800C75" w:rsidRPr="00091FE5">
          <w:rPr>
            <w:rStyle w:val="Hyperlink"/>
            <w:noProof/>
            <w:lang w:eastAsia="en-NZ"/>
          </w:rPr>
          <w:t>Aged residential care sector</w:t>
        </w:r>
        <w:r w:rsidR="00800C75">
          <w:rPr>
            <w:noProof/>
            <w:webHidden/>
          </w:rPr>
          <w:tab/>
        </w:r>
        <w:r w:rsidR="00800C75">
          <w:rPr>
            <w:noProof/>
            <w:webHidden/>
          </w:rPr>
          <w:fldChar w:fldCharType="begin"/>
        </w:r>
        <w:r w:rsidR="00800C75">
          <w:rPr>
            <w:noProof/>
            <w:webHidden/>
          </w:rPr>
          <w:instrText xml:space="preserve"> PAGEREF _Toc27123872 \h </w:instrText>
        </w:r>
        <w:r w:rsidR="00800C75">
          <w:rPr>
            <w:noProof/>
            <w:webHidden/>
          </w:rPr>
        </w:r>
        <w:r w:rsidR="00800C75">
          <w:rPr>
            <w:noProof/>
            <w:webHidden/>
          </w:rPr>
          <w:fldChar w:fldCharType="separate"/>
        </w:r>
        <w:r>
          <w:rPr>
            <w:noProof/>
            <w:webHidden/>
          </w:rPr>
          <w:t>5</w:t>
        </w:r>
        <w:r w:rsidR="00800C75">
          <w:rPr>
            <w:noProof/>
            <w:webHidden/>
          </w:rPr>
          <w:fldChar w:fldCharType="end"/>
        </w:r>
      </w:hyperlink>
    </w:p>
    <w:p w14:paraId="0ED0237E" w14:textId="2E2F244A" w:rsidR="00800C75" w:rsidRDefault="0085609C">
      <w:pPr>
        <w:pStyle w:val="TOC1"/>
        <w:rPr>
          <w:rFonts w:asciiTheme="minorHAnsi" w:eastAsiaTheme="minorEastAsia" w:hAnsiTheme="minorHAnsi" w:cstheme="minorBidi"/>
          <w:noProof/>
          <w:sz w:val="22"/>
          <w:szCs w:val="22"/>
          <w:lang w:eastAsia="en-NZ"/>
        </w:rPr>
      </w:pPr>
      <w:hyperlink w:anchor="_Toc27123873" w:history="1">
        <w:r w:rsidR="00800C75" w:rsidRPr="00091FE5">
          <w:rPr>
            <w:rStyle w:val="Hyperlink"/>
            <w:noProof/>
            <w:lang w:eastAsia="en-NZ"/>
          </w:rPr>
          <w:t>5</w:t>
        </w:r>
        <w:r w:rsidR="00800C75">
          <w:rPr>
            <w:rFonts w:asciiTheme="minorHAnsi" w:eastAsiaTheme="minorEastAsia" w:hAnsiTheme="minorHAnsi" w:cstheme="minorBidi"/>
            <w:noProof/>
            <w:sz w:val="22"/>
            <w:szCs w:val="22"/>
            <w:lang w:eastAsia="en-NZ"/>
          </w:rPr>
          <w:tab/>
        </w:r>
        <w:r w:rsidR="00800C75" w:rsidRPr="00091FE5">
          <w:rPr>
            <w:rStyle w:val="Hyperlink"/>
            <w:noProof/>
            <w:lang w:eastAsia="en-NZ"/>
          </w:rPr>
          <w:t>Analysis</w:t>
        </w:r>
        <w:r w:rsidR="00800C75">
          <w:rPr>
            <w:noProof/>
            <w:webHidden/>
          </w:rPr>
          <w:tab/>
        </w:r>
        <w:r w:rsidR="00800C75">
          <w:rPr>
            <w:noProof/>
            <w:webHidden/>
          </w:rPr>
          <w:fldChar w:fldCharType="begin"/>
        </w:r>
        <w:r w:rsidR="00800C75">
          <w:rPr>
            <w:noProof/>
            <w:webHidden/>
          </w:rPr>
          <w:instrText xml:space="preserve"> PAGEREF _Toc27123873 \h </w:instrText>
        </w:r>
        <w:r w:rsidR="00800C75">
          <w:rPr>
            <w:noProof/>
            <w:webHidden/>
          </w:rPr>
        </w:r>
        <w:r w:rsidR="00800C75">
          <w:rPr>
            <w:noProof/>
            <w:webHidden/>
          </w:rPr>
          <w:fldChar w:fldCharType="separate"/>
        </w:r>
        <w:r>
          <w:rPr>
            <w:noProof/>
            <w:webHidden/>
          </w:rPr>
          <w:t>6</w:t>
        </w:r>
        <w:r w:rsidR="00800C75">
          <w:rPr>
            <w:noProof/>
            <w:webHidden/>
          </w:rPr>
          <w:fldChar w:fldCharType="end"/>
        </w:r>
      </w:hyperlink>
    </w:p>
    <w:p w14:paraId="61EE4C66" w14:textId="69EA5A38" w:rsidR="00800C75" w:rsidRDefault="0085609C">
      <w:pPr>
        <w:pStyle w:val="TOC1"/>
        <w:rPr>
          <w:rFonts w:asciiTheme="minorHAnsi" w:eastAsiaTheme="minorEastAsia" w:hAnsiTheme="minorHAnsi" w:cstheme="minorBidi"/>
          <w:noProof/>
          <w:sz w:val="22"/>
          <w:szCs w:val="22"/>
          <w:lang w:eastAsia="en-NZ"/>
        </w:rPr>
      </w:pPr>
      <w:hyperlink w:anchor="_Toc27123874" w:history="1">
        <w:r w:rsidR="00800C75" w:rsidRPr="00091FE5">
          <w:rPr>
            <w:rStyle w:val="Hyperlink"/>
            <w:noProof/>
            <w:lang w:eastAsia="en-NZ"/>
          </w:rPr>
          <w:t>6</w:t>
        </w:r>
        <w:r w:rsidR="00800C75">
          <w:rPr>
            <w:rFonts w:asciiTheme="minorHAnsi" w:eastAsiaTheme="minorEastAsia" w:hAnsiTheme="minorHAnsi" w:cstheme="minorBidi"/>
            <w:noProof/>
            <w:sz w:val="22"/>
            <w:szCs w:val="22"/>
            <w:lang w:eastAsia="en-NZ"/>
          </w:rPr>
          <w:tab/>
        </w:r>
        <w:r w:rsidR="00800C75" w:rsidRPr="00091FE5">
          <w:rPr>
            <w:rStyle w:val="Hyperlink"/>
            <w:noProof/>
            <w:lang w:eastAsia="en-NZ"/>
          </w:rPr>
          <w:t>Increase in qualification levels of workers in 2017/18</w:t>
        </w:r>
        <w:r w:rsidR="00800C75">
          <w:rPr>
            <w:noProof/>
            <w:webHidden/>
          </w:rPr>
          <w:tab/>
        </w:r>
        <w:r w:rsidR="00800C75">
          <w:rPr>
            <w:noProof/>
            <w:webHidden/>
          </w:rPr>
          <w:fldChar w:fldCharType="begin"/>
        </w:r>
        <w:r w:rsidR="00800C75">
          <w:rPr>
            <w:noProof/>
            <w:webHidden/>
          </w:rPr>
          <w:instrText xml:space="preserve"> PAGEREF _Toc27123874 \h </w:instrText>
        </w:r>
        <w:r w:rsidR="00800C75">
          <w:rPr>
            <w:noProof/>
            <w:webHidden/>
          </w:rPr>
        </w:r>
        <w:r w:rsidR="00800C75">
          <w:rPr>
            <w:noProof/>
            <w:webHidden/>
          </w:rPr>
          <w:fldChar w:fldCharType="separate"/>
        </w:r>
        <w:r>
          <w:rPr>
            <w:noProof/>
            <w:webHidden/>
          </w:rPr>
          <w:t>7</w:t>
        </w:r>
        <w:r w:rsidR="00800C75">
          <w:rPr>
            <w:noProof/>
            <w:webHidden/>
          </w:rPr>
          <w:fldChar w:fldCharType="end"/>
        </w:r>
      </w:hyperlink>
    </w:p>
    <w:p w14:paraId="0DF5C4AB" w14:textId="71D5CEAB" w:rsidR="00800C75" w:rsidRDefault="0085609C">
      <w:pPr>
        <w:pStyle w:val="TOC2"/>
        <w:rPr>
          <w:rFonts w:asciiTheme="minorHAnsi" w:eastAsiaTheme="minorEastAsia" w:hAnsiTheme="minorHAnsi" w:cstheme="minorBidi"/>
          <w:noProof/>
          <w:sz w:val="22"/>
          <w:szCs w:val="22"/>
          <w:lang w:eastAsia="en-NZ"/>
        </w:rPr>
      </w:pPr>
      <w:hyperlink w:anchor="_Toc27123875" w:history="1">
        <w:r w:rsidR="00800C75" w:rsidRPr="00091FE5">
          <w:rPr>
            <w:rStyle w:val="Hyperlink"/>
            <w:noProof/>
            <w:lang w:eastAsia="en-NZ"/>
          </w:rPr>
          <w:t>6.1</w:t>
        </w:r>
        <w:r w:rsidR="00800C75">
          <w:rPr>
            <w:rFonts w:asciiTheme="minorHAnsi" w:eastAsiaTheme="minorEastAsia" w:hAnsiTheme="minorHAnsi" w:cstheme="minorBidi"/>
            <w:noProof/>
            <w:sz w:val="22"/>
            <w:szCs w:val="22"/>
            <w:lang w:eastAsia="en-NZ"/>
          </w:rPr>
          <w:tab/>
        </w:r>
        <w:r w:rsidR="00800C75" w:rsidRPr="00091FE5">
          <w:rPr>
            <w:rStyle w:val="Hyperlink"/>
            <w:noProof/>
            <w:lang w:eastAsia="en-NZ"/>
          </w:rPr>
          <w:t>Home and community support sector</w:t>
        </w:r>
        <w:r w:rsidR="00800C75">
          <w:rPr>
            <w:noProof/>
            <w:webHidden/>
          </w:rPr>
          <w:tab/>
        </w:r>
        <w:r w:rsidR="00800C75">
          <w:rPr>
            <w:noProof/>
            <w:webHidden/>
          </w:rPr>
          <w:fldChar w:fldCharType="begin"/>
        </w:r>
        <w:r w:rsidR="00800C75">
          <w:rPr>
            <w:noProof/>
            <w:webHidden/>
          </w:rPr>
          <w:instrText xml:space="preserve"> PAGEREF _Toc27123875 \h </w:instrText>
        </w:r>
        <w:r w:rsidR="00800C75">
          <w:rPr>
            <w:noProof/>
            <w:webHidden/>
          </w:rPr>
        </w:r>
        <w:r w:rsidR="00800C75">
          <w:rPr>
            <w:noProof/>
            <w:webHidden/>
          </w:rPr>
          <w:fldChar w:fldCharType="separate"/>
        </w:r>
        <w:r>
          <w:rPr>
            <w:noProof/>
            <w:webHidden/>
          </w:rPr>
          <w:t>7</w:t>
        </w:r>
        <w:r w:rsidR="00800C75">
          <w:rPr>
            <w:noProof/>
            <w:webHidden/>
          </w:rPr>
          <w:fldChar w:fldCharType="end"/>
        </w:r>
      </w:hyperlink>
    </w:p>
    <w:p w14:paraId="28867EE8" w14:textId="1C8905EC" w:rsidR="00800C75" w:rsidRDefault="0085609C">
      <w:pPr>
        <w:pStyle w:val="TOC2"/>
        <w:rPr>
          <w:rFonts w:asciiTheme="minorHAnsi" w:eastAsiaTheme="minorEastAsia" w:hAnsiTheme="minorHAnsi" w:cstheme="minorBidi"/>
          <w:noProof/>
          <w:sz w:val="22"/>
          <w:szCs w:val="22"/>
          <w:lang w:eastAsia="en-NZ"/>
        </w:rPr>
      </w:pPr>
      <w:hyperlink w:anchor="_Toc27123876" w:history="1">
        <w:r w:rsidR="00800C75" w:rsidRPr="00091FE5">
          <w:rPr>
            <w:rStyle w:val="Hyperlink"/>
            <w:noProof/>
            <w:lang w:eastAsia="en-NZ"/>
          </w:rPr>
          <w:t>6.2</w:t>
        </w:r>
        <w:r w:rsidR="00800C75">
          <w:rPr>
            <w:rFonts w:asciiTheme="minorHAnsi" w:eastAsiaTheme="minorEastAsia" w:hAnsiTheme="minorHAnsi" w:cstheme="minorBidi"/>
            <w:noProof/>
            <w:sz w:val="22"/>
            <w:szCs w:val="22"/>
            <w:lang w:eastAsia="en-NZ"/>
          </w:rPr>
          <w:tab/>
        </w:r>
        <w:r w:rsidR="00800C75" w:rsidRPr="00091FE5">
          <w:rPr>
            <w:rStyle w:val="Hyperlink"/>
            <w:noProof/>
            <w:lang w:eastAsia="en-NZ"/>
          </w:rPr>
          <w:t>Disability sector</w:t>
        </w:r>
        <w:r w:rsidR="00800C75">
          <w:rPr>
            <w:noProof/>
            <w:webHidden/>
          </w:rPr>
          <w:tab/>
        </w:r>
        <w:r w:rsidR="00800C75">
          <w:rPr>
            <w:noProof/>
            <w:webHidden/>
          </w:rPr>
          <w:fldChar w:fldCharType="begin"/>
        </w:r>
        <w:r w:rsidR="00800C75">
          <w:rPr>
            <w:noProof/>
            <w:webHidden/>
          </w:rPr>
          <w:instrText xml:space="preserve"> PAGEREF _Toc27123876 \h </w:instrText>
        </w:r>
        <w:r w:rsidR="00800C75">
          <w:rPr>
            <w:noProof/>
            <w:webHidden/>
          </w:rPr>
        </w:r>
        <w:r w:rsidR="00800C75">
          <w:rPr>
            <w:noProof/>
            <w:webHidden/>
          </w:rPr>
          <w:fldChar w:fldCharType="separate"/>
        </w:r>
        <w:r>
          <w:rPr>
            <w:noProof/>
            <w:webHidden/>
          </w:rPr>
          <w:t>7</w:t>
        </w:r>
        <w:r w:rsidR="00800C75">
          <w:rPr>
            <w:noProof/>
            <w:webHidden/>
          </w:rPr>
          <w:fldChar w:fldCharType="end"/>
        </w:r>
      </w:hyperlink>
    </w:p>
    <w:p w14:paraId="4ABF5941" w14:textId="6DA9B17F" w:rsidR="00800C75" w:rsidRDefault="0085609C">
      <w:pPr>
        <w:pStyle w:val="TOC2"/>
        <w:rPr>
          <w:rFonts w:asciiTheme="minorHAnsi" w:eastAsiaTheme="minorEastAsia" w:hAnsiTheme="minorHAnsi" w:cstheme="minorBidi"/>
          <w:noProof/>
          <w:sz w:val="22"/>
          <w:szCs w:val="22"/>
          <w:lang w:eastAsia="en-NZ"/>
        </w:rPr>
      </w:pPr>
      <w:hyperlink w:anchor="_Toc27123877" w:history="1">
        <w:r w:rsidR="00800C75" w:rsidRPr="00091FE5">
          <w:rPr>
            <w:rStyle w:val="Hyperlink"/>
            <w:noProof/>
            <w:lang w:eastAsia="en-NZ"/>
          </w:rPr>
          <w:t>6.3</w:t>
        </w:r>
        <w:r w:rsidR="00800C75">
          <w:rPr>
            <w:rFonts w:asciiTheme="minorHAnsi" w:eastAsiaTheme="minorEastAsia" w:hAnsiTheme="minorHAnsi" w:cstheme="minorBidi"/>
            <w:noProof/>
            <w:sz w:val="22"/>
            <w:szCs w:val="22"/>
            <w:lang w:eastAsia="en-NZ"/>
          </w:rPr>
          <w:tab/>
        </w:r>
        <w:r w:rsidR="00800C75" w:rsidRPr="00091FE5">
          <w:rPr>
            <w:rStyle w:val="Hyperlink"/>
            <w:noProof/>
            <w:lang w:eastAsia="en-NZ"/>
          </w:rPr>
          <w:t>Mental health and addiction sector</w:t>
        </w:r>
        <w:r w:rsidR="00800C75">
          <w:rPr>
            <w:noProof/>
            <w:webHidden/>
          </w:rPr>
          <w:tab/>
        </w:r>
        <w:r w:rsidR="00800C75">
          <w:rPr>
            <w:noProof/>
            <w:webHidden/>
          </w:rPr>
          <w:fldChar w:fldCharType="begin"/>
        </w:r>
        <w:r w:rsidR="00800C75">
          <w:rPr>
            <w:noProof/>
            <w:webHidden/>
          </w:rPr>
          <w:instrText xml:space="preserve"> PAGEREF _Toc27123877 \h </w:instrText>
        </w:r>
        <w:r w:rsidR="00800C75">
          <w:rPr>
            <w:noProof/>
            <w:webHidden/>
          </w:rPr>
        </w:r>
        <w:r w:rsidR="00800C75">
          <w:rPr>
            <w:noProof/>
            <w:webHidden/>
          </w:rPr>
          <w:fldChar w:fldCharType="separate"/>
        </w:r>
        <w:r>
          <w:rPr>
            <w:noProof/>
            <w:webHidden/>
          </w:rPr>
          <w:t>8</w:t>
        </w:r>
        <w:r w:rsidR="00800C75">
          <w:rPr>
            <w:noProof/>
            <w:webHidden/>
          </w:rPr>
          <w:fldChar w:fldCharType="end"/>
        </w:r>
      </w:hyperlink>
    </w:p>
    <w:p w14:paraId="29CFFDB0" w14:textId="25B674DF" w:rsidR="00800C75" w:rsidRDefault="0085609C">
      <w:pPr>
        <w:pStyle w:val="TOC2"/>
        <w:rPr>
          <w:rFonts w:asciiTheme="minorHAnsi" w:eastAsiaTheme="minorEastAsia" w:hAnsiTheme="minorHAnsi" w:cstheme="minorBidi"/>
          <w:noProof/>
          <w:sz w:val="22"/>
          <w:szCs w:val="22"/>
          <w:lang w:eastAsia="en-NZ"/>
        </w:rPr>
      </w:pPr>
      <w:hyperlink w:anchor="_Toc27123878" w:history="1">
        <w:r w:rsidR="00800C75" w:rsidRPr="00091FE5">
          <w:rPr>
            <w:rStyle w:val="Hyperlink"/>
            <w:noProof/>
            <w:lang w:eastAsia="en-NZ"/>
          </w:rPr>
          <w:t>6.4</w:t>
        </w:r>
        <w:r w:rsidR="00800C75">
          <w:rPr>
            <w:rFonts w:asciiTheme="minorHAnsi" w:eastAsiaTheme="minorEastAsia" w:hAnsiTheme="minorHAnsi" w:cstheme="minorBidi"/>
            <w:noProof/>
            <w:sz w:val="22"/>
            <w:szCs w:val="22"/>
            <w:lang w:eastAsia="en-NZ"/>
          </w:rPr>
          <w:tab/>
        </w:r>
        <w:r w:rsidR="00800C75" w:rsidRPr="00091FE5">
          <w:rPr>
            <w:rStyle w:val="Hyperlink"/>
            <w:noProof/>
            <w:lang w:eastAsia="en-NZ"/>
          </w:rPr>
          <w:t>Aged residential care sector</w:t>
        </w:r>
        <w:r w:rsidR="00800C75">
          <w:rPr>
            <w:noProof/>
            <w:webHidden/>
          </w:rPr>
          <w:tab/>
        </w:r>
        <w:r w:rsidR="00800C75">
          <w:rPr>
            <w:noProof/>
            <w:webHidden/>
          </w:rPr>
          <w:fldChar w:fldCharType="begin"/>
        </w:r>
        <w:r w:rsidR="00800C75">
          <w:rPr>
            <w:noProof/>
            <w:webHidden/>
          </w:rPr>
          <w:instrText xml:space="preserve"> PAGEREF _Toc27123878 \h </w:instrText>
        </w:r>
        <w:r w:rsidR="00800C75">
          <w:rPr>
            <w:noProof/>
            <w:webHidden/>
          </w:rPr>
        </w:r>
        <w:r w:rsidR="00800C75">
          <w:rPr>
            <w:noProof/>
            <w:webHidden/>
          </w:rPr>
          <w:fldChar w:fldCharType="separate"/>
        </w:r>
        <w:r>
          <w:rPr>
            <w:noProof/>
            <w:webHidden/>
          </w:rPr>
          <w:t>8</w:t>
        </w:r>
        <w:r w:rsidR="00800C75">
          <w:rPr>
            <w:noProof/>
            <w:webHidden/>
          </w:rPr>
          <w:fldChar w:fldCharType="end"/>
        </w:r>
      </w:hyperlink>
    </w:p>
    <w:p w14:paraId="2B441212" w14:textId="32FC7BC2" w:rsidR="00800C75" w:rsidRDefault="0085609C">
      <w:pPr>
        <w:pStyle w:val="TOC1"/>
        <w:rPr>
          <w:rFonts w:asciiTheme="minorHAnsi" w:eastAsiaTheme="minorEastAsia" w:hAnsiTheme="minorHAnsi" w:cstheme="minorBidi"/>
          <w:noProof/>
          <w:sz w:val="22"/>
          <w:szCs w:val="22"/>
          <w:lang w:eastAsia="en-NZ"/>
        </w:rPr>
      </w:pPr>
      <w:hyperlink w:anchor="_Toc27123879" w:history="1">
        <w:r w:rsidR="00800C75" w:rsidRPr="00091FE5">
          <w:rPr>
            <w:rStyle w:val="Hyperlink"/>
            <w:noProof/>
            <w:lang w:eastAsia="en-NZ"/>
          </w:rPr>
          <w:t>7</w:t>
        </w:r>
        <w:r w:rsidR="00800C75">
          <w:rPr>
            <w:rFonts w:asciiTheme="minorHAnsi" w:eastAsiaTheme="minorEastAsia" w:hAnsiTheme="minorHAnsi" w:cstheme="minorBidi"/>
            <w:noProof/>
            <w:sz w:val="22"/>
            <w:szCs w:val="22"/>
            <w:lang w:eastAsia="en-NZ"/>
          </w:rPr>
          <w:tab/>
        </w:r>
        <w:r w:rsidR="00800C75" w:rsidRPr="00091FE5">
          <w:rPr>
            <w:rStyle w:val="Hyperlink"/>
            <w:noProof/>
            <w:lang w:eastAsia="en-NZ"/>
          </w:rPr>
          <w:t>Qualification movement of unqualified workers: home and community support, disability and mental health and addiction sectors</w:t>
        </w:r>
        <w:r w:rsidR="00800C75">
          <w:rPr>
            <w:noProof/>
            <w:webHidden/>
          </w:rPr>
          <w:tab/>
        </w:r>
        <w:r w:rsidR="00800C75">
          <w:rPr>
            <w:noProof/>
            <w:webHidden/>
          </w:rPr>
          <w:fldChar w:fldCharType="begin"/>
        </w:r>
        <w:r w:rsidR="00800C75">
          <w:rPr>
            <w:noProof/>
            <w:webHidden/>
          </w:rPr>
          <w:instrText xml:space="preserve"> PAGEREF _Toc27123879 \h </w:instrText>
        </w:r>
        <w:r w:rsidR="00800C75">
          <w:rPr>
            <w:noProof/>
            <w:webHidden/>
          </w:rPr>
        </w:r>
        <w:r w:rsidR="00800C75">
          <w:rPr>
            <w:noProof/>
            <w:webHidden/>
          </w:rPr>
          <w:fldChar w:fldCharType="separate"/>
        </w:r>
        <w:r>
          <w:rPr>
            <w:noProof/>
            <w:webHidden/>
          </w:rPr>
          <w:t>9</w:t>
        </w:r>
        <w:r w:rsidR="00800C75">
          <w:rPr>
            <w:noProof/>
            <w:webHidden/>
          </w:rPr>
          <w:fldChar w:fldCharType="end"/>
        </w:r>
      </w:hyperlink>
    </w:p>
    <w:p w14:paraId="6D75FACD" w14:textId="666A23F7" w:rsidR="00800C75" w:rsidRDefault="0085609C">
      <w:pPr>
        <w:pStyle w:val="TOC1"/>
        <w:rPr>
          <w:rFonts w:asciiTheme="minorHAnsi" w:eastAsiaTheme="minorEastAsia" w:hAnsiTheme="minorHAnsi" w:cstheme="minorBidi"/>
          <w:noProof/>
          <w:sz w:val="22"/>
          <w:szCs w:val="22"/>
          <w:lang w:eastAsia="en-NZ"/>
        </w:rPr>
      </w:pPr>
      <w:hyperlink w:anchor="_Toc27123880" w:history="1">
        <w:r w:rsidR="00800C75" w:rsidRPr="00091FE5">
          <w:rPr>
            <w:rStyle w:val="Hyperlink"/>
            <w:noProof/>
            <w:lang w:eastAsia="en-NZ"/>
          </w:rPr>
          <w:t>8</w:t>
        </w:r>
        <w:r w:rsidR="00800C75">
          <w:rPr>
            <w:rFonts w:asciiTheme="minorHAnsi" w:eastAsiaTheme="minorEastAsia" w:hAnsiTheme="minorHAnsi" w:cstheme="minorBidi"/>
            <w:noProof/>
            <w:sz w:val="22"/>
            <w:szCs w:val="22"/>
            <w:lang w:eastAsia="en-NZ"/>
          </w:rPr>
          <w:tab/>
        </w:r>
        <w:r w:rsidR="00800C75" w:rsidRPr="00091FE5">
          <w:rPr>
            <w:rStyle w:val="Hyperlink"/>
            <w:noProof/>
            <w:lang w:eastAsia="en-NZ"/>
          </w:rPr>
          <w:t>Conclusion</w:t>
        </w:r>
        <w:r w:rsidR="00800C75">
          <w:rPr>
            <w:noProof/>
            <w:webHidden/>
          </w:rPr>
          <w:tab/>
        </w:r>
        <w:r w:rsidR="00800C75">
          <w:rPr>
            <w:noProof/>
            <w:webHidden/>
          </w:rPr>
          <w:fldChar w:fldCharType="begin"/>
        </w:r>
        <w:r w:rsidR="00800C75">
          <w:rPr>
            <w:noProof/>
            <w:webHidden/>
          </w:rPr>
          <w:instrText xml:space="preserve"> PAGEREF _Toc27123880 \h </w:instrText>
        </w:r>
        <w:r w:rsidR="00800C75">
          <w:rPr>
            <w:noProof/>
            <w:webHidden/>
          </w:rPr>
        </w:r>
        <w:r w:rsidR="00800C75">
          <w:rPr>
            <w:noProof/>
            <w:webHidden/>
          </w:rPr>
          <w:fldChar w:fldCharType="separate"/>
        </w:r>
        <w:r>
          <w:rPr>
            <w:noProof/>
            <w:webHidden/>
          </w:rPr>
          <w:t>11</w:t>
        </w:r>
        <w:r w:rsidR="00800C75">
          <w:rPr>
            <w:noProof/>
            <w:webHidden/>
          </w:rPr>
          <w:fldChar w:fldCharType="end"/>
        </w:r>
      </w:hyperlink>
    </w:p>
    <w:p w14:paraId="62238880" w14:textId="4A4ADC62" w:rsidR="00800C75" w:rsidRDefault="0085609C">
      <w:pPr>
        <w:pStyle w:val="TOC1"/>
        <w:rPr>
          <w:rFonts w:asciiTheme="minorHAnsi" w:eastAsiaTheme="minorEastAsia" w:hAnsiTheme="minorHAnsi" w:cstheme="minorBidi"/>
          <w:noProof/>
          <w:sz w:val="22"/>
          <w:szCs w:val="22"/>
          <w:lang w:eastAsia="en-NZ"/>
        </w:rPr>
      </w:pPr>
      <w:hyperlink w:anchor="_Toc27123881" w:history="1">
        <w:r w:rsidR="00800C75" w:rsidRPr="00091FE5">
          <w:rPr>
            <w:rStyle w:val="Hyperlink"/>
            <w:noProof/>
          </w:rPr>
          <w:t>Appendices</w:t>
        </w:r>
        <w:r w:rsidR="00800C75">
          <w:rPr>
            <w:noProof/>
            <w:webHidden/>
          </w:rPr>
          <w:tab/>
        </w:r>
        <w:r w:rsidR="00800C75">
          <w:rPr>
            <w:noProof/>
            <w:webHidden/>
          </w:rPr>
          <w:fldChar w:fldCharType="begin"/>
        </w:r>
        <w:r w:rsidR="00800C75">
          <w:rPr>
            <w:noProof/>
            <w:webHidden/>
          </w:rPr>
          <w:instrText xml:space="preserve"> PAGEREF _Toc27123881 \h </w:instrText>
        </w:r>
        <w:r w:rsidR="00800C75">
          <w:rPr>
            <w:noProof/>
            <w:webHidden/>
          </w:rPr>
        </w:r>
        <w:r w:rsidR="00800C75">
          <w:rPr>
            <w:noProof/>
            <w:webHidden/>
          </w:rPr>
          <w:fldChar w:fldCharType="separate"/>
        </w:r>
        <w:r>
          <w:rPr>
            <w:noProof/>
            <w:webHidden/>
          </w:rPr>
          <w:t>12</w:t>
        </w:r>
        <w:r w:rsidR="00800C75">
          <w:rPr>
            <w:noProof/>
            <w:webHidden/>
          </w:rPr>
          <w:fldChar w:fldCharType="end"/>
        </w:r>
      </w:hyperlink>
    </w:p>
    <w:p w14:paraId="0838846C" w14:textId="4AC37DE6" w:rsidR="00800C75" w:rsidRDefault="0085609C">
      <w:pPr>
        <w:pStyle w:val="TOC2"/>
        <w:rPr>
          <w:rFonts w:asciiTheme="minorHAnsi" w:eastAsiaTheme="minorEastAsia" w:hAnsiTheme="minorHAnsi" w:cstheme="minorBidi"/>
          <w:noProof/>
          <w:sz w:val="22"/>
          <w:szCs w:val="22"/>
          <w:lang w:eastAsia="en-NZ"/>
        </w:rPr>
      </w:pPr>
      <w:hyperlink w:anchor="_Toc27123882" w:history="1">
        <w:r w:rsidR="00800C75" w:rsidRPr="00091FE5">
          <w:rPr>
            <w:rStyle w:val="Hyperlink"/>
            <w:noProof/>
          </w:rPr>
          <w:t>Appendix 1: Home and community support, mental health and addiction, and disability sectors: comparison of qualification levels by numbers of workers</w:t>
        </w:r>
        <w:r w:rsidR="00800C75">
          <w:rPr>
            <w:noProof/>
            <w:webHidden/>
          </w:rPr>
          <w:tab/>
        </w:r>
        <w:r w:rsidR="00800C75">
          <w:rPr>
            <w:noProof/>
            <w:webHidden/>
          </w:rPr>
          <w:fldChar w:fldCharType="begin"/>
        </w:r>
        <w:r w:rsidR="00800C75">
          <w:rPr>
            <w:noProof/>
            <w:webHidden/>
          </w:rPr>
          <w:instrText xml:space="preserve"> PAGEREF _Toc27123882 \h </w:instrText>
        </w:r>
        <w:r w:rsidR="00800C75">
          <w:rPr>
            <w:noProof/>
            <w:webHidden/>
          </w:rPr>
        </w:r>
        <w:r w:rsidR="00800C75">
          <w:rPr>
            <w:noProof/>
            <w:webHidden/>
          </w:rPr>
          <w:fldChar w:fldCharType="separate"/>
        </w:r>
        <w:r>
          <w:rPr>
            <w:noProof/>
            <w:webHidden/>
          </w:rPr>
          <w:t>12</w:t>
        </w:r>
        <w:r w:rsidR="00800C75">
          <w:rPr>
            <w:noProof/>
            <w:webHidden/>
          </w:rPr>
          <w:fldChar w:fldCharType="end"/>
        </w:r>
      </w:hyperlink>
    </w:p>
    <w:p w14:paraId="7B3CE89D" w14:textId="4C6E96F9" w:rsidR="00800C75" w:rsidRDefault="0085609C">
      <w:pPr>
        <w:pStyle w:val="TOC2"/>
        <w:rPr>
          <w:rFonts w:asciiTheme="minorHAnsi" w:eastAsiaTheme="minorEastAsia" w:hAnsiTheme="minorHAnsi" w:cstheme="minorBidi"/>
          <w:noProof/>
          <w:sz w:val="22"/>
          <w:szCs w:val="22"/>
          <w:lang w:eastAsia="en-NZ"/>
        </w:rPr>
      </w:pPr>
      <w:hyperlink w:anchor="_Toc27123883" w:history="1">
        <w:r w:rsidR="00800C75" w:rsidRPr="00091FE5">
          <w:rPr>
            <w:rStyle w:val="Hyperlink"/>
            <w:noProof/>
          </w:rPr>
          <w:t>Appendix 2: Home and community support, mental health and addiction, and disability sectors: comparison of qualification levels by worked hours</w:t>
        </w:r>
        <w:r w:rsidR="00800C75">
          <w:rPr>
            <w:noProof/>
            <w:webHidden/>
          </w:rPr>
          <w:tab/>
        </w:r>
        <w:r w:rsidR="00800C75">
          <w:rPr>
            <w:noProof/>
            <w:webHidden/>
          </w:rPr>
          <w:fldChar w:fldCharType="begin"/>
        </w:r>
        <w:r w:rsidR="00800C75">
          <w:rPr>
            <w:noProof/>
            <w:webHidden/>
          </w:rPr>
          <w:instrText xml:space="preserve"> PAGEREF _Toc27123883 \h </w:instrText>
        </w:r>
        <w:r w:rsidR="00800C75">
          <w:rPr>
            <w:noProof/>
            <w:webHidden/>
          </w:rPr>
        </w:r>
        <w:r w:rsidR="00800C75">
          <w:rPr>
            <w:noProof/>
            <w:webHidden/>
          </w:rPr>
          <w:fldChar w:fldCharType="separate"/>
        </w:r>
        <w:r>
          <w:rPr>
            <w:noProof/>
            <w:webHidden/>
          </w:rPr>
          <w:t>14</w:t>
        </w:r>
        <w:r w:rsidR="00800C75">
          <w:rPr>
            <w:noProof/>
            <w:webHidden/>
          </w:rPr>
          <w:fldChar w:fldCharType="end"/>
        </w:r>
      </w:hyperlink>
    </w:p>
    <w:p w14:paraId="6AB4D6E1" w14:textId="014D0FB5" w:rsidR="00800C75" w:rsidRDefault="0085609C">
      <w:pPr>
        <w:pStyle w:val="TOC2"/>
        <w:rPr>
          <w:rFonts w:asciiTheme="minorHAnsi" w:eastAsiaTheme="minorEastAsia" w:hAnsiTheme="minorHAnsi" w:cstheme="minorBidi"/>
          <w:noProof/>
          <w:sz w:val="22"/>
          <w:szCs w:val="22"/>
          <w:lang w:eastAsia="en-NZ"/>
        </w:rPr>
      </w:pPr>
      <w:hyperlink w:anchor="_Toc27123884" w:history="1">
        <w:r w:rsidR="00800C75" w:rsidRPr="00091FE5">
          <w:rPr>
            <w:rStyle w:val="Hyperlink"/>
            <w:noProof/>
          </w:rPr>
          <w:t>Appendix 3: Home and community support sector: comparison of qualification levels by number of workers and worked hours</w:t>
        </w:r>
        <w:r w:rsidR="00800C75">
          <w:rPr>
            <w:noProof/>
            <w:webHidden/>
          </w:rPr>
          <w:tab/>
        </w:r>
        <w:r w:rsidR="00800C75">
          <w:rPr>
            <w:noProof/>
            <w:webHidden/>
          </w:rPr>
          <w:fldChar w:fldCharType="begin"/>
        </w:r>
        <w:r w:rsidR="00800C75">
          <w:rPr>
            <w:noProof/>
            <w:webHidden/>
          </w:rPr>
          <w:instrText xml:space="preserve"> PAGEREF _Toc27123884 \h </w:instrText>
        </w:r>
        <w:r w:rsidR="00800C75">
          <w:rPr>
            <w:noProof/>
            <w:webHidden/>
          </w:rPr>
        </w:r>
        <w:r w:rsidR="00800C75">
          <w:rPr>
            <w:noProof/>
            <w:webHidden/>
          </w:rPr>
          <w:fldChar w:fldCharType="separate"/>
        </w:r>
        <w:r>
          <w:rPr>
            <w:noProof/>
            <w:webHidden/>
          </w:rPr>
          <w:t>16</w:t>
        </w:r>
        <w:r w:rsidR="00800C75">
          <w:rPr>
            <w:noProof/>
            <w:webHidden/>
          </w:rPr>
          <w:fldChar w:fldCharType="end"/>
        </w:r>
      </w:hyperlink>
    </w:p>
    <w:p w14:paraId="36A45BB7" w14:textId="7AC6CA5F" w:rsidR="00800C75" w:rsidRDefault="0085609C">
      <w:pPr>
        <w:pStyle w:val="TOC2"/>
        <w:rPr>
          <w:rFonts w:asciiTheme="minorHAnsi" w:eastAsiaTheme="minorEastAsia" w:hAnsiTheme="minorHAnsi" w:cstheme="minorBidi"/>
          <w:noProof/>
          <w:sz w:val="22"/>
          <w:szCs w:val="22"/>
          <w:lang w:eastAsia="en-NZ"/>
        </w:rPr>
      </w:pPr>
      <w:hyperlink w:anchor="_Toc27123885" w:history="1">
        <w:r w:rsidR="00800C75" w:rsidRPr="00091FE5">
          <w:rPr>
            <w:rStyle w:val="Hyperlink"/>
            <w:noProof/>
          </w:rPr>
          <w:t>Appendix 4: Disability sector: comparison of qualification levels by number of workers and worked hours</w:t>
        </w:r>
        <w:r w:rsidR="00800C75">
          <w:rPr>
            <w:noProof/>
            <w:webHidden/>
          </w:rPr>
          <w:tab/>
        </w:r>
        <w:r w:rsidR="00800C75">
          <w:rPr>
            <w:noProof/>
            <w:webHidden/>
          </w:rPr>
          <w:fldChar w:fldCharType="begin"/>
        </w:r>
        <w:r w:rsidR="00800C75">
          <w:rPr>
            <w:noProof/>
            <w:webHidden/>
          </w:rPr>
          <w:instrText xml:space="preserve"> PAGEREF _Toc27123885 \h </w:instrText>
        </w:r>
        <w:r w:rsidR="00800C75">
          <w:rPr>
            <w:noProof/>
            <w:webHidden/>
          </w:rPr>
        </w:r>
        <w:r w:rsidR="00800C75">
          <w:rPr>
            <w:noProof/>
            <w:webHidden/>
          </w:rPr>
          <w:fldChar w:fldCharType="separate"/>
        </w:r>
        <w:r>
          <w:rPr>
            <w:noProof/>
            <w:webHidden/>
          </w:rPr>
          <w:t>20</w:t>
        </w:r>
        <w:r w:rsidR="00800C75">
          <w:rPr>
            <w:noProof/>
            <w:webHidden/>
          </w:rPr>
          <w:fldChar w:fldCharType="end"/>
        </w:r>
      </w:hyperlink>
    </w:p>
    <w:p w14:paraId="5A5F5D7C" w14:textId="5FDC12B8" w:rsidR="00800C75" w:rsidRDefault="0085609C">
      <w:pPr>
        <w:pStyle w:val="TOC2"/>
        <w:rPr>
          <w:rFonts w:asciiTheme="minorHAnsi" w:eastAsiaTheme="minorEastAsia" w:hAnsiTheme="minorHAnsi" w:cstheme="minorBidi"/>
          <w:noProof/>
          <w:sz w:val="22"/>
          <w:szCs w:val="22"/>
          <w:lang w:eastAsia="en-NZ"/>
        </w:rPr>
      </w:pPr>
      <w:hyperlink w:anchor="_Toc27123886" w:history="1">
        <w:r w:rsidR="00800C75" w:rsidRPr="00091FE5">
          <w:rPr>
            <w:rStyle w:val="Hyperlink"/>
            <w:noProof/>
          </w:rPr>
          <w:t>Appendix 5: Mental health and addiction sector: comparison of qualification levels by number of workers and worked hours</w:t>
        </w:r>
        <w:r w:rsidR="00800C75">
          <w:rPr>
            <w:noProof/>
            <w:webHidden/>
          </w:rPr>
          <w:tab/>
        </w:r>
        <w:r w:rsidR="00800C75">
          <w:rPr>
            <w:noProof/>
            <w:webHidden/>
          </w:rPr>
          <w:fldChar w:fldCharType="begin"/>
        </w:r>
        <w:r w:rsidR="00800C75">
          <w:rPr>
            <w:noProof/>
            <w:webHidden/>
          </w:rPr>
          <w:instrText xml:space="preserve"> PAGEREF _Toc27123886 \h </w:instrText>
        </w:r>
        <w:r w:rsidR="00800C75">
          <w:rPr>
            <w:noProof/>
            <w:webHidden/>
          </w:rPr>
        </w:r>
        <w:r w:rsidR="00800C75">
          <w:rPr>
            <w:noProof/>
            <w:webHidden/>
          </w:rPr>
          <w:fldChar w:fldCharType="separate"/>
        </w:r>
        <w:r>
          <w:rPr>
            <w:noProof/>
            <w:webHidden/>
          </w:rPr>
          <w:t>24</w:t>
        </w:r>
        <w:r w:rsidR="00800C75">
          <w:rPr>
            <w:noProof/>
            <w:webHidden/>
          </w:rPr>
          <w:fldChar w:fldCharType="end"/>
        </w:r>
      </w:hyperlink>
    </w:p>
    <w:p w14:paraId="17924E5E" w14:textId="2628AFC5" w:rsidR="00800C75" w:rsidRDefault="0085609C">
      <w:pPr>
        <w:pStyle w:val="TOC2"/>
        <w:rPr>
          <w:rFonts w:asciiTheme="minorHAnsi" w:eastAsiaTheme="minorEastAsia" w:hAnsiTheme="minorHAnsi" w:cstheme="minorBidi"/>
          <w:noProof/>
          <w:sz w:val="22"/>
          <w:szCs w:val="22"/>
          <w:lang w:eastAsia="en-NZ"/>
        </w:rPr>
      </w:pPr>
      <w:hyperlink w:anchor="_Toc27123887" w:history="1">
        <w:r w:rsidR="00800C75" w:rsidRPr="00091FE5">
          <w:rPr>
            <w:rStyle w:val="Hyperlink"/>
            <w:noProof/>
          </w:rPr>
          <w:t>Appendix 6: Aged residential care data</w:t>
        </w:r>
        <w:r w:rsidR="00800C75">
          <w:rPr>
            <w:noProof/>
            <w:webHidden/>
          </w:rPr>
          <w:tab/>
        </w:r>
        <w:r w:rsidR="00800C75">
          <w:rPr>
            <w:noProof/>
            <w:webHidden/>
          </w:rPr>
          <w:fldChar w:fldCharType="begin"/>
        </w:r>
        <w:r w:rsidR="00800C75">
          <w:rPr>
            <w:noProof/>
            <w:webHidden/>
          </w:rPr>
          <w:instrText xml:space="preserve"> PAGEREF _Toc27123887 \h </w:instrText>
        </w:r>
        <w:r w:rsidR="00800C75">
          <w:rPr>
            <w:noProof/>
            <w:webHidden/>
          </w:rPr>
        </w:r>
        <w:r w:rsidR="00800C75">
          <w:rPr>
            <w:noProof/>
            <w:webHidden/>
          </w:rPr>
          <w:fldChar w:fldCharType="separate"/>
        </w:r>
        <w:r>
          <w:rPr>
            <w:noProof/>
            <w:webHidden/>
          </w:rPr>
          <w:t>28</w:t>
        </w:r>
        <w:r w:rsidR="00800C75">
          <w:rPr>
            <w:noProof/>
            <w:webHidden/>
          </w:rPr>
          <w:fldChar w:fldCharType="end"/>
        </w:r>
      </w:hyperlink>
    </w:p>
    <w:p w14:paraId="62D52A56" w14:textId="77777777" w:rsidR="00C86248" w:rsidRDefault="00800C75">
      <w:r>
        <w:rPr>
          <w:rFonts w:ascii="Segoe UI Semibold" w:hAnsi="Segoe UI Semibold"/>
          <w:b/>
          <w:sz w:val="24"/>
        </w:rPr>
        <w:fldChar w:fldCharType="end"/>
      </w:r>
    </w:p>
    <w:p w14:paraId="26C61C4E" w14:textId="77777777" w:rsidR="0033448B" w:rsidRDefault="0033448B" w:rsidP="0033448B">
      <w:pPr>
        <w:pStyle w:val="TOC1"/>
        <w:keepNext/>
      </w:pPr>
      <w:r>
        <w:lastRenderedPageBreak/>
        <w:t>List of Figures</w:t>
      </w:r>
    </w:p>
    <w:p w14:paraId="1938A7DE" w14:textId="2863790C" w:rsidR="00800C75" w:rsidRDefault="00800C75">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27123888" w:history="1">
        <w:r w:rsidRPr="00213053">
          <w:rPr>
            <w:rStyle w:val="Hyperlink"/>
            <w:noProof/>
          </w:rPr>
          <w:t>Figure 1: Percentage of workers in home and community support, mental health and addiction and disability sectors, by qualification level, 2017/18</w:t>
        </w:r>
        <w:r>
          <w:rPr>
            <w:noProof/>
            <w:webHidden/>
          </w:rPr>
          <w:tab/>
        </w:r>
        <w:r>
          <w:rPr>
            <w:noProof/>
            <w:webHidden/>
          </w:rPr>
          <w:fldChar w:fldCharType="begin"/>
        </w:r>
        <w:r>
          <w:rPr>
            <w:noProof/>
            <w:webHidden/>
          </w:rPr>
          <w:instrText xml:space="preserve"> PAGEREF _Toc27123888 \h </w:instrText>
        </w:r>
        <w:r>
          <w:rPr>
            <w:noProof/>
            <w:webHidden/>
          </w:rPr>
        </w:r>
        <w:r>
          <w:rPr>
            <w:noProof/>
            <w:webHidden/>
          </w:rPr>
          <w:fldChar w:fldCharType="separate"/>
        </w:r>
        <w:r w:rsidR="0085609C">
          <w:rPr>
            <w:noProof/>
            <w:webHidden/>
          </w:rPr>
          <w:t>12</w:t>
        </w:r>
        <w:r>
          <w:rPr>
            <w:noProof/>
            <w:webHidden/>
          </w:rPr>
          <w:fldChar w:fldCharType="end"/>
        </w:r>
      </w:hyperlink>
    </w:p>
    <w:p w14:paraId="2D8CA6B9" w14:textId="08885011" w:rsidR="00800C75" w:rsidRDefault="0085609C">
      <w:pPr>
        <w:pStyle w:val="TOC3"/>
        <w:rPr>
          <w:rFonts w:asciiTheme="minorHAnsi" w:eastAsiaTheme="minorEastAsia" w:hAnsiTheme="minorHAnsi" w:cstheme="minorBidi"/>
          <w:noProof/>
          <w:sz w:val="22"/>
          <w:szCs w:val="22"/>
          <w:lang w:eastAsia="en-NZ"/>
        </w:rPr>
      </w:pPr>
      <w:hyperlink w:anchor="_Toc27123889" w:history="1">
        <w:r w:rsidR="00800C75" w:rsidRPr="00213053">
          <w:rPr>
            <w:rStyle w:val="Hyperlink"/>
            <w:noProof/>
          </w:rPr>
          <w:t>Figure 2: Percentage of workers in home and community support, mental health and addiction and disability sectors, by qualification level, February 2019</w:t>
        </w:r>
        <w:r w:rsidR="00800C75">
          <w:rPr>
            <w:noProof/>
            <w:webHidden/>
          </w:rPr>
          <w:tab/>
        </w:r>
        <w:r w:rsidR="00800C75">
          <w:rPr>
            <w:noProof/>
            <w:webHidden/>
          </w:rPr>
          <w:fldChar w:fldCharType="begin"/>
        </w:r>
        <w:r w:rsidR="00800C75">
          <w:rPr>
            <w:noProof/>
            <w:webHidden/>
          </w:rPr>
          <w:instrText xml:space="preserve"> PAGEREF _Toc27123889 \h </w:instrText>
        </w:r>
        <w:r w:rsidR="00800C75">
          <w:rPr>
            <w:noProof/>
            <w:webHidden/>
          </w:rPr>
        </w:r>
        <w:r w:rsidR="00800C75">
          <w:rPr>
            <w:noProof/>
            <w:webHidden/>
          </w:rPr>
          <w:fldChar w:fldCharType="separate"/>
        </w:r>
        <w:r>
          <w:rPr>
            <w:noProof/>
            <w:webHidden/>
          </w:rPr>
          <w:t>13</w:t>
        </w:r>
        <w:r w:rsidR="00800C75">
          <w:rPr>
            <w:noProof/>
            <w:webHidden/>
          </w:rPr>
          <w:fldChar w:fldCharType="end"/>
        </w:r>
      </w:hyperlink>
    </w:p>
    <w:p w14:paraId="07E4CE18" w14:textId="3931CA91" w:rsidR="00800C75" w:rsidRDefault="0085609C">
      <w:pPr>
        <w:pStyle w:val="TOC3"/>
        <w:rPr>
          <w:rFonts w:asciiTheme="minorHAnsi" w:eastAsiaTheme="minorEastAsia" w:hAnsiTheme="minorHAnsi" w:cstheme="minorBidi"/>
          <w:noProof/>
          <w:sz w:val="22"/>
          <w:szCs w:val="22"/>
          <w:lang w:eastAsia="en-NZ"/>
        </w:rPr>
      </w:pPr>
      <w:hyperlink w:anchor="_Toc27123890" w:history="1">
        <w:r w:rsidR="00800C75" w:rsidRPr="00213053">
          <w:rPr>
            <w:rStyle w:val="Hyperlink"/>
            <w:noProof/>
          </w:rPr>
          <w:t>Figure 3: Percentage of worked hours in home and community support, mental health and addiction and disability sectors, by qualification level, 2017/18</w:t>
        </w:r>
        <w:r w:rsidR="00800C75">
          <w:rPr>
            <w:noProof/>
            <w:webHidden/>
          </w:rPr>
          <w:tab/>
        </w:r>
        <w:r w:rsidR="00800C75">
          <w:rPr>
            <w:noProof/>
            <w:webHidden/>
          </w:rPr>
          <w:fldChar w:fldCharType="begin"/>
        </w:r>
        <w:r w:rsidR="00800C75">
          <w:rPr>
            <w:noProof/>
            <w:webHidden/>
          </w:rPr>
          <w:instrText xml:space="preserve"> PAGEREF _Toc27123890 \h </w:instrText>
        </w:r>
        <w:r w:rsidR="00800C75">
          <w:rPr>
            <w:noProof/>
            <w:webHidden/>
          </w:rPr>
        </w:r>
        <w:r w:rsidR="00800C75">
          <w:rPr>
            <w:noProof/>
            <w:webHidden/>
          </w:rPr>
          <w:fldChar w:fldCharType="separate"/>
        </w:r>
        <w:r>
          <w:rPr>
            <w:noProof/>
            <w:webHidden/>
          </w:rPr>
          <w:t>14</w:t>
        </w:r>
        <w:r w:rsidR="00800C75">
          <w:rPr>
            <w:noProof/>
            <w:webHidden/>
          </w:rPr>
          <w:fldChar w:fldCharType="end"/>
        </w:r>
      </w:hyperlink>
    </w:p>
    <w:p w14:paraId="6FC31BC0" w14:textId="751C2313" w:rsidR="00800C75" w:rsidRDefault="0085609C">
      <w:pPr>
        <w:pStyle w:val="TOC3"/>
        <w:rPr>
          <w:rFonts w:asciiTheme="minorHAnsi" w:eastAsiaTheme="minorEastAsia" w:hAnsiTheme="minorHAnsi" w:cstheme="minorBidi"/>
          <w:noProof/>
          <w:sz w:val="22"/>
          <w:szCs w:val="22"/>
          <w:lang w:eastAsia="en-NZ"/>
        </w:rPr>
      </w:pPr>
      <w:hyperlink w:anchor="_Toc27123891" w:history="1">
        <w:r w:rsidR="00800C75" w:rsidRPr="00213053">
          <w:rPr>
            <w:rStyle w:val="Hyperlink"/>
            <w:noProof/>
          </w:rPr>
          <w:t>Figure 4: Percentage of worked hours in home and community support, mental health and addiction and disability sectors, by qualification level, February 2019</w:t>
        </w:r>
        <w:r w:rsidR="00800C75">
          <w:rPr>
            <w:noProof/>
            <w:webHidden/>
          </w:rPr>
          <w:tab/>
        </w:r>
        <w:r w:rsidR="00800C75">
          <w:rPr>
            <w:noProof/>
            <w:webHidden/>
          </w:rPr>
          <w:fldChar w:fldCharType="begin"/>
        </w:r>
        <w:r w:rsidR="00800C75">
          <w:rPr>
            <w:noProof/>
            <w:webHidden/>
          </w:rPr>
          <w:instrText xml:space="preserve"> PAGEREF _Toc27123891 \h </w:instrText>
        </w:r>
        <w:r w:rsidR="00800C75">
          <w:rPr>
            <w:noProof/>
            <w:webHidden/>
          </w:rPr>
        </w:r>
        <w:r w:rsidR="00800C75">
          <w:rPr>
            <w:noProof/>
            <w:webHidden/>
          </w:rPr>
          <w:fldChar w:fldCharType="separate"/>
        </w:r>
        <w:r>
          <w:rPr>
            <w:noProof/>
            <w:webHidden/>
          </w:rPr>
          <w:t>15</w:t>
        </w:r>
        <w:r w:rsidR="00800C75">
          <w:rPr>
            <w:noProof/>
            <w:webHidden/>
          </w:rPr>
          <w:fldChar w:fldCharType="end"/>
        </w:r>
      </w:hyperlink>
    </w:p>
    <w:p w14:paraId="2B0C74F6" w14:textId="206FE820" w:rsidR="00800C75" w:rsidRDefault="0085609C">
      <w:pPr>
        <w:pStyle w:val="TOC3"/>
        <w:rPr>
          <w:rFonts w:asciiTheme="minorHAnsi" w:eastAsiaTheme="minorEastAsia" w:hAnsiTheme="minorHAnsi" w:cstheme="minorBidi"/>
          <w:noProof/>
          <w:sz w:val="22"/>
          <w:szCs w:val="22"/>
          <w:lang w:eastAsia="en-NZ"/>
        </w:rPr>
      </w:pPr>
      <w:hyperlink w:anchor="_Toc27123892" w:history="1">
        <w:r w:rsidR="00800C75" w:rsidRPr="00213053">
          <w:rPr>
            <w:rStyle w:val="Hyperlink"/>
            <w:noProof/>
          </w:rPr>
          <w:t>Figure 5: Percentage of home and community support sector workers, by qualification level, 2017/18</w:t>
        </w:r>
        <w:r w:rsidR="00800C75">
          <w:rPr>
            <w:noProof/>
            <w:webHidden/>
          </w:rPr>
          <w:tab/>
        </w:r>
        <w:r w:rsidR="00800C75">
          <w:rPr>
            <w:noProof/>
            <w:webHidden/>
          </w:rPr>
          <w:fldChar w:fldCharType="begin"/>
        </w:r>
        <w:r w:rsidR="00800C75">
          <w:rPr>
            <w:noProof/>
            <w:webHidden/>
          </w:rPr>
          <w:instrText xml:space="preserve"> PAGEREF _Toc27123892 \h </w:instrText>
        </w:r>
        <w:r w:rsidR="00800C75">
          <w:rPr>
            <w:noProof/>
            <w:webHidden/>
          </w:rPr>
        </w:r>
        <w:r w:rsidR="00800C75">
          <w:rPr>
            <w:noProof/>
            <w:webHidden/>
          </w:rPr>
          <w:fldChar w:fldCharType="separate"/>
        </w:r>
        <w:r>
          <w:rPr>
            <w:noProof/>
            <w:webHidden/>
          </w:rPr>
          <w:t>16</w:t>
        </w:r>
        <w:r w:rsidR="00800C75">
          <w:rPr>
            <w:noProof/>
            <w:webHidden/>
          </w:rPr>
          <w:fldChar w:fldCharType="end"/>
        </w:r>
      </w:hyperlink>
    </w:p>
    <w:p w14:paraId="17EFBD8A" w14:textId="3B33B689" w:rsidR="00800C75" w:rsidRDefault="0085609C">
      <w:pPr>
        <w:pStyle w:val="TOC3"/>
        <w:rPr>
          <w:rFonts w:asciiTheme="minorHAnsi" w:eastAsiaTheme="minorEastAsia" w:hAnsiTheme="minorHAnsi" w:cstheme="minorBidi"/>
          <w:noProof/>
          <w:sz w:val="22"/>
          <w:szCs w:val="22"/>
          <w:lang w:eastAsia="en-NZ"/>
        </w:rPr>
      </w:pPr>
      <w:hyperlink w:anchor="_Toc27123893" w:history="1">
        <w:r w:rsidR="00800C75" w:rsidRPr="00213053">
          <w:rPr>
            <w:rStyle w:val="Hyperlink"/>
            <w:noProof/>
          </w:rPr>
          <w:t>Figure 6: Percentage of home and community support sector workers, by qualification level, February 2019</w:t>
        </w:r>
        <w:r w:rsidR="00800C75">
          <w:rPr>
            <w:noProof/>
            <w:webHidden/>
          </w:rPr>
          <w:tab/>
        </w:r>
        <w:r w:rsidR="00800C75">
          <w:rPr>
            <w:noProof/>
            <w:webHidden/>
          </w:rPr>
          <w:fldChar w:fldCharType="begin"/>
        </w:r>
        <w:r w:rsidR="00800C75">
          <w:rPr>
            <w:noProof/>
            <w:webHidden/>
          </w:rPr>
          <w:instrText xml:space="preserve"> PAGEREF _Toc27123893 \h </w:instrText>
        </w:r>
        <w:r w:rsidR="00800C75">
          <w:rPr>
            <w:noProof/>
            <w:webHidden/>
          </w:rPr>
        </w:r>
        <w:r w:rsidR="00800C75">
          <w:rPr>
            <w:noProof/>
            <w:webHidden/>
          </w:rPr>
          <w:fldChar w:fldCharType="separate"/>
        </w:r>
        <w:r>
          <w:rPr>
            <w:noProof/>
            <w:webHidden/>
          </w:rPr>
          <w:t>17</w:t>
        </w:r>
        <w:r w:rsidR="00800C75">
          <w:rPr>
            <w:noProof/>
            <w:webHidden/>
          </w:rPr>
          <w:fldChar w:fldCharType="end"/>
        </w:r>
      </w:hyperlink>
    </w:p>
    <w:p w14:paraId="63470523" w14:textId="5C6911D3" w:rsidR="00800C75" w:rsidRDefault="0085609C">
      <w:pPr>
        <w:pStyle w:val="TOC3"/>
        <w:rPr>
          <w:rFonts w:asciiTheme="minorHAnsi" w:eastAsiaTheme="minorEastAsia" w:hAnsiTheme="minorHAnsi" w:cstheme="minorBidi"/>
          <w:noProof/>
          <w:sz w:val="22"/>
          <w:szCs w:val="22"/>
          <w:lang w:eastAsia="en-NZ"/>
        </w:rPr>
      </w:pPr>
      <w:hyperlink w:anchor="_Toc27123894" w:history="1">
        <w:r w:rsidR="00800C75" w:rsidRPr="00213053">
          <w:rPr>
            <w:rStyle w:val="Hyperlink"/>
            <w:noProof/>
          </w:rPr>
          <w:t>Figure 7: Percentage of home and community support sector worked hours, by qualification level, 2017/18</w:t>
        </w:r>
        <w:r w:rsidR="00800C75">
          <w:rPr>
            <w:noProof/>
            <w:webHidden/>
          </w:rPr>
          <w:tab/>
        </w:r>
        <w:r w:rsidR="00800C75">
          <w:rPr>
            <w:noProof/>
            <w:webHidden/>
          </w:rPr>
          <w:fldChar w:fldCharType="begin"/>
        </w:r>
        <w:r w:rsidR="00800C75">
          <w:rPr>
            <w:noProof/>
            <w:webHidden/>
          </w:rPr>
          <w:instrText xml:space="preserve"> PAGEREF _Toc27123894 \h </w:instrText>
        </w:r>
        <w:r w:rsidR="00800C75">
          <w:rPr>
            <w:noProof/>
            <w:webHidden/>
          </w:rPr>
        </w:r>
        <w:r w:rsidR="00800C75">
          <w:rPr>
            <w:noProof/>
            <w:webHidden/>
          </w:rPr>
          <w:fldChar w:fldCharType="separate"/>
        </w:r>
        <w:r>
          <w:rPr>
            <w:noProof/>
            <w:webHidden/>
          </w:rPr>
          <w:t>18</w:t>
        </w:r>
        <w:r w:rsidR="00800C75">
          <w:rPr>
            <w:noProof/>
            <w:webHidden/>
          </w:rPr>
          <w:fldChar w:fldCharType="end"/>
        </w:r>
      </w:hyperlink>
    </w:p>
    <w:p w14:paraId="369CFDC9" w14:textId="666CDE8D" w:rsidR="00800C75" w:rsidRDefault="0085609C">
      <w:pPr>
        <w:pStyle w:val="TOC3"/>
        <w:rPr>
          <w:rFonts w:asciiTheme="minorHAnsi" w:eastAsiaTheme="minorEastAsia" w:hAnsiTheme="minorHAnsi" w:cstheme="minorBidi"/>
          <w:noProof/>
          <w:sz w:val="22"/>
          <w:szCs w:val="22"/>
          <w:lang w:eastAsia="en-NZ"/>
        </w:rPr>
      </w:pPr>
      <w:hyperlink w:anchor="_Toc27123895" w:history="1">
        <w:r w:rsidR="00800C75" w:rsidRPr="00213053">
          <w:rPr>
            <w:rStyle w:val="Hyperlink"/>
            <w:noProof/>
          </w:rPr>
          <w:t>Figure 8: Percentage of home and community support sector worked hours, by qualification level, February 2019</w:t>
        </w:r>
        <w:r w:rsidR="00800C75">
          <w:rPr>
            <w:noProof/>
            <w:webHidden/>
          </w:rPr>
          <w:tab/>
        </w:r>
        <w:r w:rsidR="00800C75">
          <w:rPr>
            <w:noProof/>
            <w:webHidden/>
          </w:rPr>
          <w:fldChar w:fldCharType="begin"/>
        </w:r>
        <w:r w:rsidR="00800C75">
          <w:rPr>
            <w:noProof/>
            <w:webHidden/>
          </w:rPr>
          <w:instrText xml:space="preserve"> PAGEREF _Toc27123895 \h </w:instrText>
        </w:r>
        <w:r w:rsidR="00800C75">
          <w:rPr>
            <w:noProof/>
            <w:webHidden/>
          </w:rPr>
        </w:r>
        <w:r w:rsidR="00800C75">
          <w:rPr>
            <w:noProof/>
            <w:webHidden/>
          </w:rPr>
          <w:fldChar w:fldCharType="separate"/>
        </w:r>
        <w:r>
          <w:rPr>
            <w:noProof/>
            <w:webHidden/>
          </w:rPr>
          <w:t>18</w:t>
        </w:r>
        <w:r w:rsidR="00800C75">
          <w:rPr>
            <w:noProof/>
            <w:webHidden/>
          </w:rPr>
          <w:fldChar w:fldCharType="end"/>
        </w:r>
      </w:hyperlink>
    </w:p>
    <w:p w14:paraId="3FC0DB57" w14:textId="71FDB278" w:rsidR="00800C75" w:rsidRDefault="0085609C">
      <w:pPr>
        <w:pStyle w:val="TOC3"/>
        <w:rPr>
          <w:rFonts w:asciiTheme="minorHAnsi" w:eastAsiaTheme="minorEastAsia" w:hAnsiTheme="minorHAnsi" w:cstheme="minorBidi"/>
          <w:noProof/>
          <w:sz w:val="22"/>
          <w:szCs w:val="22"/>
          <w:lang w:eastAsia="en-NZ"/>
        </w:rPr>
      </w:pPr>
      <w:hyperlink w:anchor="_Toc27123896" w:history="1">
        <w:r w:rsidR="00800C75" w:rsidRPr="00213053">
          <w:rPr>
            <w:rStyle w:val="Hyperlink"/>
            <w:noProof/>
          </w:rPr>
          <w:t>Figure 9: Percentage of disability sector workers, by qualification level, 2017/18</w:t>
        </w:r>
        <w:r w:rsidR="00800C75">
          <w:rPr>
            <w:noProof/>
            <w:webHidden/>
          </w:rPr>
          <w:tab/>
        </w:r>
        <w:r w:rsidR="00800C75">
          <w:rPr>
            <w:noProof/>
            <w:webHidden/>
          </w:rPr>
          <w:fldChar w:fldCharType="begin"/>
        </w:r>
        <w:r w:rsidR="00800C75">
          <w:rPr>
            <w:noProof/>
            <w:webHidden/>
          </w:rPr>
          <w:instrText xml:space="preserve"> PAGEREF _Toc27123896 \h </w:instrText>
        </w:r>
        <w:r w:rsidR="00800C75">
          <w:rPr>
            <w:noProof/>
            <w:webHidden/>
          </w:rPr>
        </w:r>
        <w:r w:rsidR="00800C75">
          <w:rPr>
            <w:noProof/>
            <w:webHidden/>
          </w:rPr>
          <w:fldChar w:fldCharType="separate"/>
        </w:r>
        <w:r>
          <w:rPr>
            <w:noProof/>
            <w:webHidden/>
          </w:rPr>
          <w:t>20</w:t>
        </w:r>
        <w:r w:rsidR="00800C75">
          <w:rPr>
            <w:noProof/>
            <w:webHidden/>
          </w:rPr>
          <w:fldChar w:fldCharType="end"/>
        </w:r>
      </w:hyperlink>
    </w:p>
    <w:p w14:paraId="64AB71D8" w14:textId="27C82630" w:rsidR="00800C75" w:rsidRDefault="0085609C">
      <w:pPr>
        <w:pStyle w:val="TOC3"/>
        <w:rPr>
          <w:rFonts w:asciiTheme="minorHAnsi" w:eastAsiaTheme="minorEastAsia" w:hAnsiTheme="minorHAnsi" w:cstheme="minorBidi"/>
          <w:noProof/>
          <w:sz w:val="22"/>
          <w:szCs w:val="22"/>
          <w:lang w:eastAsia="en-NZ"/>
        </w:rPr>
      </w:pPr>
      <w:hyperlink w:anchor="_Toc27123897" w:history="1">
        <w:r w:rsidR="00800C75" w:rsidRPr="00213053">
          <w:rPr>
            <w:rStyle w:val="Hyperlink"/>
            <w:noProof/>
          </w:rPr>
          <w:t>Figure 10: Percentage of disability sector workers, by qualification level, February 2019</w:t>
        </w:r>
        <w:r w:rsidR="00800C75">
          <w:rPr>
            <w:noProof/>
            <w:webHidden/>
          </w:rPr>
          <w:tab/>
        </w:r>
        <w:r w:rsidR="00800C75">
          <w:rPr>
            <w:noProof/>
            <w:webHidden/>
          </w:rPr>
          <w:fldChar w:fldCharType="begin"/>
        </w:r>
        <w:r w:rsidR="00800C75">
          <w:rPr>
            <w:noProof/>
            <w:webHidden/>
          </w:rPr>
          <w:instrText xml:space="preserve"> PAGEREF _Toc27123897 \h </w:instrText>
        </w:r>
        <w:r w:rsidR="00800C75">
          <w:rPr>
            <w:noProof/>
            <w:webHidden/>
          </w:rPr>
        </w:r>
        <w:r w:rsidR="00800C75">
          <w:rPr>
            <w:noProof/>
            <w:webHidden/>
          </w:rPr>
          <w:fldChar w:fldCharType="separate"/>
        </w:r>
        <w:r>
          <w:rPr>
            <w:noProof/>
            <w:webHidden/>
          </w:rPr>
          <w:t>21</w:t>
        </w:r>
        <w:r w:rsidR="00800C75">
          <w:rPr>
            <w:noProof/>
            <w:webHidden/>
          </w:rPr>
          <w:fldChar w:fldCharType="end"/>
        </w:r>
      </w:hyperlink>
    </w:p>
    <w:p w14:paraId="203B521F" w14:textId="42B4474E" w:rsidR="00800C75" w:rsidRDefault="0085609C">
      <w:pPr>
        <w:pStyle w:val="TOC3"/>
        <w:rPr>
          <w:rFonts w:asciiTheme="minorHAnsi" w:eastAsiaTheme="minorEastAsia" w:hAnsiTheme="minorHAnsi" w:cstheme="minorBidi"/>
          <w:noProof/>
          <w:sz w:val="22"/>
          <w:szCs w:val="22"/>
          <w:lang w:eastAsia="en-NZ"/>
        </w:rPr>
      </w:pPr>
      <w:hyperlink w:anchor="_Toc27123898" w:history="1">
        <w:r w:rsidR="00800C75" w:rsidRPr="00213053">
          <w:rPr>
            <w:rStyle w:val="Hyperlink"/>
            <w:noProof/>
          </w:rPr>
          <w:t>Figure 11: Percentage of disability sector worked hours, by qualification level, 2017/18</w:t>
        </w:r>
        <w:r w:rsidR="00800C75">
          <w:rPr>
            <w:noProof/>
            <w:webHidden/>
          </w:rPr>
          <w:tab/>
        </w:r>
        <w:r w:rsidR="00800C75">
          <w:rPr>
            <w:noProof/>
            <w:webHidden/>
          </w:rPr>
          <w:fldChar w:fldCharType="begin"/>
        </w:r>
        <w:r w:rsidR="00800C75">
          <w:rPr>
            <w:noProof/>
            <w:webHidden/>
          </w:rPr>
          <w:instrText xml:space="preserve"> PAGEREF _Toc27123898 \h </w:instrText>
        </w:r>
        <w:r w:rsidR="00800C75">
          <w:rPr>
            <w:noProof/>
            <w:webHidden/>
          </w:rPr>
        </w:r>
        <w:r w:rsidR="00800C75">
          <w:rPr>
            <w:noProof/>
            <w:webHidden/>
          </w:rPr>
          <w:fldChar w:fldCharType="separate"/>
        </w:r>
        <w:r>
          <w:rPr>
            <w:noProof/>
            <w:webHidden/>
          </w:rPr>
          <w:t>22</w:t>
        </w:r>
        <w:r w:rsidR="00800C75">
          <w:rPr>
            <w:noProof/>
            <w:webHidden/>
          </w:rPr>
          <w:fldChar w:fldCharType="end"/>
        </w:r>
      </w:hyperlink>
    </w:p>
    <w:p w14:paraId="1ECA4342" w14:textId="081D14C6" w:rsidR="00800C75" w:rsidRDefault="0085609C">
      <w:pPr>
        <w:pStyle w:val="TOC3"/>
        <w:rPr>
          <w:rFonts w:asciiTheme="minorHAnsi" w:eastAsiaTheme="minorEastAsia" w:hAnsiTheme="minorHAnsi" w:cstheme="minorBidi"/>
          <w:noProof/>
          <w:sz w:val="22"/>
          <w:szCs w:val="22"/>
          <w:lang w:eastAsia="en-NZ"/>
        </w:rPr>
      </w:pPr>
      <w:hyperlink w:anchor="_Toc27123899" w:history="1">
        <w:r w:rsidR="00800C75" w:rsidRPr="00213053">
          <w:rPr>
            <w:rStyle w:val="Hyperlink"/>
            <w:noProof/>
          </w:rPr>
          <w:t>Figure 12: Percentage of disability sector worked hours, by qualification level, February 2019</w:t>
        </w:r>
        <w:r w:rsidR="00800C75">
          <w:rPr>
            <w:noProof/>
            <w:webHidden/>
          </w:rPr>
          <w:tab/>
        </w:r>
        <w:r w:rsidR="00800C75">
          <w:rPr>
            <w:noProof/>
            <w:webHidden/>
          </w:rPr>
          <w:fldChar w:fldCharType="begin"/>
        </w:r>
        <w:r w:rsidR="00800C75">
          <w:rPr>
            <w:noProof/>
            <w:webHidden/>
          </w:rPr>
          <w:instrText xml:space="preserve"> PAGEREF _Toc27123899 \h </w:instrText>
        </w:r>
        <w:r w:rsidR="00800C75">
          <w:rPr>
            <w:noProof/>
            <w:webHidden/>
          </w:rPr>
        </w:r>
        <w:r w:rsidR="00800C75">
          <w:rPr>
            <w:noProof/>
            <w:webHidden/>
          </w:rPr>
          <w:fldChar w:fldCharType="separate"/>
        </w:r>
        <w:r>
          <w:rPr>
            <w:noProof/>
            <w:webHidden/>
          </w:rPr>
          <w:t>22</w:t>
        </w:r>
        <w:r w:rsidR="00800C75">
          <w:rPr>
            <w:noProof/>
            <w:webHidden/>
          </w:rPr>
          <w:fldChar w:fldCharType="end"/>
        </w:r>
      </w:hyperlink>
    </w:p>
    <w:p w14:paraId="50830634" w14:textId="06CBF79A" w:rsidR="00800C75" w:rsidRDefault="0085609C">
      <w:pPr>
        <w:pStyle w:val="TOC3"/>
        <w:rPr>
          <w:rFonts w:asciiTheme="minorHAnsi" w:eastAsiaTheme="minorEastAsia" w:hAnsiTheme="minorHAnsi" w:cstheme="minorBidi"/>
          <w:noProof/>
          <w:sz w:val="22"/>
          <w:szCs w:val="22"/>
          <w:lang w:eastAsia="en-NZ"/>
        </w:rPr>
      </w:pPr>
      <w:hyperlink w:anchor="_Toc27123900" w:history="1">
        <w:r w:rsidR="00800C75" w:rsidRPr="00213053">
          <w:rPr>
            <w:rStyle w:val="Hyperlink"/>
            <w:noProof/>
          </w:rPr>
          <w:t>Figure 13: Percentage of mental health and addiction sector workers, by qualification level, 2017/18</w:t>
        </w:r>
        <w:r w:rsidR="00800C75">
          <w:rPr>
            <w:noProof/>
            <w:webHidden/>
          </w:rPr>
          <w:tab/>
        </w:r>
        <w:r w:rsidR="00800C75">
          <w:rPr>
            <w:noProof/>
            <w:webHidden/>
          </w:rPr>
          <w:fldChar w:fldCharType="begin"/>
        </w:r>
        <w:r w:rsidR="00800C75">
          <w:rPr>
            <w:noProof/>
            <w:webHidden/>
          </w:rPr>
          <w:instrText xml:space="preserve"> PAGEREF _Toc27123900 \h </w:instrText>
        </w:r>
        <w:r w:rsidR="00800C75">
          <w:rPr>
            <w:noProof/>
            <w:webHidden/>
          </w:rPr>
        </w:r>
        <w:r w:rsidR="00800C75">
          <w:rPr>
            <w:noProof/>
            <w:webHidden/>
          </w:rPr>
          <w:fldChar w:fldCharType="separate"/>
        </w:r>
        <w:r>
          <w:rPr>
            <w:noProof/>
            <w:webHidden/>
          </w:rPr>
          <w:t>24</w:t>
        </w:r>
        <w:r w:rsidR="00800C75">
          <w:rPr>
            <w:noProof/>
            <w:webHidden/>
          </w:rPr>
          <w:fldChar w:fldCharType="end"/>
        </w:r>
      </w:hyperlink>
    </w:p>
    <w:p w14:paraId="4D91E0D1" w14:textId="7CD84760" w:rsidR="00800C75" w:rsidRDefault="0085609C">
      <w:pPr>
        <w:pStyle w:val="TOC3"/>
        <w:rPr>
          <w:rFonts w:asciiTheme="minorHAnsi" w:eastAsiaTheme="minorEastAsia" w:hAnsiTheme="minorHAnsi" w:cstheme="minorBidi"/>
          <w:noProof/>
          <w:sz w:val="22"/>
          <w:szCs w:val="22"/>
          <w:lang w:eastAsia="en-NZ"/>
        </w:rPr>
      </w:pPr>
      <w:hyperlink w:anchor="_Toc27123901" w:history="1">
        <w:r w:rsidR="00800C75" w:rsidRPr="00213053">
          <w:rPr>
            <w:rStyle w:val="Hyperlink"/>
            <w:noProof/>
          </w:rPr>
          <w:t>Figure 14: Percentage of mental health and addiction sector workers, by qualification level, February 2019</w:t>
        </w:r>
        <w:r w:rsidR="00800C75">
          <w:rPr>
            <w:noProof/>
            <w:webHidden/>
          </w:rPr>
          <w:tab/>
        </w:r>
        <w:r w:rsidR="00800C75">
          <w:rPr>
            <w:noProof/>
            <w:webHidden/>
          </w:rPr>
          <w:fldChar w:fldCharType="begin"/>
        </w:r>
        <w:r w:rsidR="00800C75">
          <w:rPr>
            <w:noProof/>
            <w:webHidden/>
          </w:rPr>
          <w:instrText xml:space="preserve"> PAGEREF _Toc27123901 \h </w:instrText>
        </w:r>
        <w:r w:rsidR="00800C75">
          <w:rPr>
            <w:noProof/>
            <w:webHidden/>
          </w:rPr>
        </w:r>
        <w:r w:rsidR="00800C75">
          <w:rPr>
            <w:noProof/>
            <w:webHidden/>
          </w:rPr>
          <w:fldChar w:fldCharType="separate"/>
        </w:r>
        <w:r>
          <w:rPr>
            <w:noProof/>
            <w:webHidden/>
          </w:rPr>
          <w:t>25</w:t>
        </w:r>
        <w:r w:rsidR="00800C75">
          <w:rPr>
            <w:noProof/>
            <w:webHidden/>
          </w:rPr>
          <w:fldChar w:fldCharType="end"/>
        </w:r>
      </w:hyperlink>
    </w:p>
    <w:p w14:paraId="706A894A" w14:textId="2E997654" w:rsidR="00800C75" w:rsidRDefault="0085609C">
      <w:pPr>
        <w:pStyle w:val="TOC3"/>
        <w:rPr>
          <w:rFonts w:asciiTheme="minorHAnsi" w:eastAsiaTheme="minorEastAsia" w:hAnsiTheme="minorHAnsi" w:cstheme="minorBidi"/>
          <w:noProof/>
          <w:sz w:val="22"/>
          <w:szCs w:val="22"/>
          <w:lang w:eastAsia="en-NZ"/>
        </w:rPr>
      </w:pPr>
      <w:hyperlink w:anchor="_Toc27123902" w:history="1">
        <w:r w:rsidR="00800C75" w:rsidRPr="00213053">
          <w:rPr>
            <w:rStyle w:val="Hyperlink"/>
            <w:noProof/>
          </w:rPr>
          <w:t>Figure 15: Percentage of mental health and addiction sector worked hours, by qualification level, 2017/18</w:t>
        </w:r>
        <w:r w:rsidR="00800C75">
          <w:rPr>
            <w:noProof/>
            <w:webHidden/>
          </w:rPr>
          <w:tab/>
        </w:r>
        <w:r w:rsidR="00800C75">
          <w:rPr>
            <w:noProof/>
            <w:webHidden/>
          </w:rPr>
          <w:fldChar w:fldCharType="begin"/>
        </w:r>
        <w:r w:rsidR="00800C75">
          <w:rPr>
            <w:noProof/>
            <w:webHidden/>
          </w:rPr>
          <w:instrText xml:space="preserve"> PAGEREF _Toc27123902 \h </w:instrText>
        </w:r>
        <w:r w:rsidR="00800C75">
          <w:rPr>
            <w:noProof/>
            <w:webHidden/>
          </w:rPr>
        </w:r>
        <w:r w:rsidR="00800C75">
          <w:rPr>
            <w:noProof/>
            <w:webHidden/>
          </w:rPr>
          <w:fldChar w:fldCharType="separate"/>
        </w:r>
        <w:r>
          <w:rPr>
            <w:noProof/>
            <w:webHidden/>
          </w:rPr>
          <w:t>26</w:t>
        </w:r>
        <w:r w:rsidR="00800C75">
          <w:rPr>
            <w:noProof/>
            <w:webHidden/>
          </w:rPr>
          <w:fldChar w:fldCharType="end"/>
        </w:r>
      </w:hyperlink>
    </w:p>
    <w:p w14:paraId="4221D425" w14:textId="254379DD" w:rsidR="00800C75" w:rsidRDefault="0085609C">
      <w:pPr>
        <w:pStyle w:val="TOC3"/>
        <w:rPr>
          <w:rFonts w:asciiTheme="minorHAnsi" w:eastAsiaTheme="minorEastAsia" w:hAnsiTheme="minorHAnsi" w:cstheme="minorBidi"/>
          <w:noProof/>
          <w:sz w:val="22"/>
          <w:szCs w:val="22"/>
          <w:lang w:eastAsia="en-NZ"/>
        </w:rPr>
      </w:pPr>
      <w:hyperlink w:anchor="_Toc27123903" w:history="1">
        <w:r w:rsidR="00800C75" w:rsidRPr="00213053">
          <w:rPr>
            <w:rStyle w:val="Hyperlink"/>
            <w:noProof/>
          </w:rPr>
          <w:t>Figure 16: Percentage of mental health and addiction sector worked hours, by qualification level, February 2019</w:t>
        </w:r>
        <w:r w:rsidR="00800C75">
          <w:rPr>
            <w:noProof/>
            <w:webHidden/>
          </w:rPr>
          <w:tab/>
        </w:r>
        <w:r w:rsidR="00800C75">
          <w:rPr>
            <w:noProof/>
            <w:webHidden/>
          </w:rPr>
          <w:fldChar w:fldCharType="begin"/>
        </w:r>
        <w:r w:rsidR="00800C75">
          <w:rPr>
            <w:noProof/>
            <w:webHidden/>
          </w:rPr>
          <w:instrText xml:space="preserve"> PAGEREF _Toc27123903 \h </w:instrText>
        </w:r>
        <w:r w:rsidR="00800C75">
          <w:rPr>
            <w:noProof/>
            <w:webHidden/>
          </w:rPr>
        </w:r>
        <w:r w:rsidR="00800C75">
          <w:rPr>
            <w:noProof/>
            <w:webHidden/>
          </w:rPr>
          <w:fldChar w:fldCharType="separate"/>
        </w:r>
        <w:r>
          <w:rPr>
            <w:noProof/>
            <w:webHidden/>
          </w:rPr>
          <w:t>26</w:t>
        </w:r>
        <w:r w:rsidR="00800C75">
          <w:rPr>
            <w:noProof/>
            <w:webHidden/>
          </w:rPr>
          <w:fldChar w:fldCharType="end"/>
        </w:r>
      </w:hyperlink>
    </w:p>
    <w:p w14:paraId="26D45773" w14:textId="245733A8" w:rsidR="00800C75" w:rsidRDefault="0085609C">
      <w:pPr>
        <w:pStyle w:val="TOC3"/>
        <w:rPr>
          <w:rFonts w:asciiTheme="minorHAnsi" w:eastAsiaTheme="minorEastAsia" w:hAnsiTheme="minorHAnsi" w:cstheme="minorBidi"/>
          <w:noProof/>
          <w:sz w:val="22"/>
          <w:szCs w:val="22"/>
          <w:lang w:eastAsia="en-NZ"/>
        </w:rPr>
      </w:pPr>
      <w:hyperlink w:anchor="_Toc27123904" w:history="1">
        <w:r w:rsidR="00800C75" w:rsidRPr="00213053">
          <w:rPr>
            <w:rStyle w:val="Hyperlink"/>
            <w:noProof/>
          </w:rPr>
          <w:t>Figure 17: Percentage of aged residential care sector workers, by qualification level, March 2019</w:t>
        </w:r>
        <w:r w:rsidR="00800C75">
          <w:rPr>
            <w:noProof/>
            <w:webHidden/>
          </w:rPr>
          <w:tab/>
        </w:r>
        <w:r w:rsidR="00800C75">
          <w:rPr>
            <w:noProof/>
            <w:webHidden/>
          </w:rPr>
          <w:fldChar w:fldCharType="begin"/>
        </w:r>
        <w:r w:rsidR="00800C75">
          <w:rPr>
            <w:noProof/>
            <w:webHidden/>
          </w:rPr>
          <w:instrText xml:space="preserve"> PAGEREF _Toc27123904 \h </w:instrText>
        </w:r>
        <w:r w:rsidR="00800C75">
          <w:rPr>
            <w:noProof/>
            <w:webHidden/>
          </w:rPr>
        </w:r>
        <w:r w:rsidR="00800C75">
          <w:rPr>
            <w:noProof/>
            <w:webHidden/>
          </w:rPr>
          <w:fldChar w:fldCharType="separate"/>
        </w:r>
        <w:r>
          <w:rPr>
            <w:noProof/>
            <w:webHidden/>
          </w:rPr>
          <w:t>28</w:t>
        </w:r>
        <w:r w:rsidR="00800C75">
          <w:rPr>
            <w:noProof/>
            <w:webHidden/>
          </w:rPr>
          <w:fldChar w:fldCharType="end"/>
        </w:r>
      </w:hyperlink>
    </w:p>
    <w:p w14:paraId="3B2B9F9C" w14:textId="0F65BF33" w:rsidR="00800C75" w:rsidRDefault="0085609C">
      <w:pPr>
        <w:pStyle w:val="TOC3"/>
        <w:rPr>
          <w:rFonts w:asciiTheme="minorHAnsi" w:eastAsiaTheme="minorEastAsia" w:hAnsiTheme="minorHAnsi" w:cstheme="minorBidi"/>
          <w:noProof/>
          <w:sz w:val="22"/>
          <w:szCs w:val="22"/>
          <w:lang w:eastAsia="en-NZ"/>
        </w:rPr>
      </w:pPr>
      <w:hyperlink w:anchor="_Toc27123905" w:history="1">
        <w:r w:rsidR="00800C75" w:rsidRPr="00213053">
          <w:rPr>
            <w:rStyle w:val="Hyperlink"/>
            <w:noProof/>
          </w:rPr>
          <w:t>Figure 18: Percentage of aged residential care sector worked hours, by qualification level, March 2019</w:t>
        </w:r>
        <w:r w:rsidR="00800C75">
          <w:rPr>
            <w:noProof/>
            <w:webHidden/>
          </w:rPr>
          <w:tab/>
        </w:r>
        <w:r w:rsidR="00800C75">
          <w:rPr>
            <w:noProof/>
            <w:webHidden/>
          </w:rPr>
          <w:fldChar w:fldCharType="begin"/>
        </w:r>
        <w:r w:rsidR="00800C75">
          <w:rPr>
            <w:noProof/>
            <w:webHidden/>
          </w:rPr>
          <w:instrText xml:space="preserve"> PAGEREF _Toc27123905 \h </w:instrText>
        </w:r>
        <w:r w:rsidR="00800C75">
          <w:rPr>
            <w:noProof/>
            <w:webHidden/>
          </w:rPr>
        </w:r>
        <w:r w:rsidR="00800C75">
          <w:rPr>
            <w:noProof/>
            <w:webHidden/>
          </w:rPr>
          <w:fldChar w:fldCharType="separate"/>
        </w:r>
        <w:r>
          <w:rPr>
            <w:noProof/>
            <w:webHidden/>
          </w:rPr>
          <w:t>28</w:t>
        </w:r>
        <w:r w:rsidR="00800C75">
          <w:rPr>
            <w:noProof/>
            <w:webHidden/>
          </w:rPr>
          <w:fldChar w:fldCharType="end"/>
        </w:r>
      </w:hyperlink>
    </w:p>
    <w:p w14:paraId="1396EC6E" w14:textId="77777777" w:rsidR="0033448B" w:rsidRPr="000A0158" w:rsidRDefault="00800C75" w:rsidP="0033448B">
      <w:r>
        <w:fldChar w:fldCharType="end"/>
      </w:r>
    </w:p>
    <w:p w14:paraId="1FF8F9C0" w14:textId="77777777" w:rsidR="001B59B9" w:rsidRDefault="001B59B9" w:rsidP="001B59B9">
      <w:pPr>
        <w:pStyle w:val="TOC1"/>
        <w:keepNext/>
      </w:pPr>
      <w:r>
        <w:lastRenderedPageBreak/>
        <w:t>List of Tables</w:t>
      </w:r>
    </w:p>
    <w:p w14:paraId="2D9200A9" w14:textId="2F1BA7DE" w:rsidR="00800C75" w:rsidRDefault="00800C75">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27123906" w:history="1">
        <w:r w:rsidRPr="00C8197D">
          <w:rPr>
            <w:rStyle w:val="Hyperlink"/>
            <w:noProof/>
            <w:lang w:eastAsia="en-NZ"/>
          </w:rPr>
          <w:t>Table 1: Number of workers, by sector (excluding aged residential care) who had no qualifications prior to 1 January 2018 and still no qualifications as at February 2019</w:t>
        </w:r>
        <w:r>
          <w:rPr>
            <w:noProof/>
            <w:webHidden/>
          </w:rPr>
          <w:tab/>
        </w:r>
        <w:r>
          <w:rPr>
            <w:noProof/>
            <w:webHidden/>
          </w:rPr>
          <w:fldChar w:fldCharType="begin"/>
        </w:r>
        <w:r>
          <w:rPr>
            <w:noProof/>
            <w:webHidden/>
          </w:rPr>
          <w:instrText xml:space="preserve"> PAGEREF _Toc27123906 \h </w:instrText>
        </w:r>
        <w:r>
          <w:rPr>
            <w:noProof/>
            <w:webHidden/>
          </w:rPr>
        </w:r>
        <w:r>
          <w:rPr>
            <w:noProof/>
            <w:webHidden/>
          </w:rPr>
          <w:fldChar w:fldCharType="separate"/>
        </w:r>
        <w:r w:rsidR="0085609C">
          <w:rPr>
            <w:noProof/>
            <w:webHidden/>
          </w:rPr>
          <w:t>10</w:t>
        </w:r>
        <w:r>
          <w:rPr>
            <w:noProof/>
            <w:webHidden/>
          </w:rPr>
          <w:fldChar w:fldCharType="end"/>
        </w:r>
      </w:hyperlink>
    </w:p>
    <w:p w14:paraId="553018ED" w14:textId="53E82B7C" w:rsidR="00800C75" w:rsidRDefault="0085609C">
      <w:pPr>
        <w:pStyle w:val="TOC3"/>
        <w:rPr>
          <w:rFonts w:asciiTheme="minorHAnsi" w:eastAsiaTheme="minorEastAsia" w:hAnsiTheme="minorHAnsi" w:cstheme="minorBidi"/>
          <w:noProof/>
          <w:sz w:val="22"/>
          <w:szCs w:val="22"/>
          <w:lang w:eastAsia="en-NZ"/>
        </w:rPr>
      </w:pPr>
      <w:hyperlink w:anchor="_Toc27123907" w:history="1">
        <w:r w:rsidR="00800C75" w:rsidRPr="00C8197D">
          <w:rPr>
            <w:rStyle w:val="Hyperlink"/>
            <w:noProof/>
          </w:rPr>
          <w:t>Table 2: Number of workers in home and community support, mental health and addiction and disability sectors, by qualification level, 2017/18 and February 2019</w:t>
        </w:r>
        <w:r w:rsidR="00800C75">
          <w:rPr>
            <w:noProof/>
            <w:webHidden/>
          </w:rPr>
          <w:tab/>
        </w:r>
        <w:r w:rsidR="00800C75">
          <w:rPr>
            <w:noProof/>
            <w:webHidden/>
          </w:rPr>
          <w:fldChar w:fldCharType="begin"/>
        </w:r>
        <w:r w:rsidR="00800C75">
          <w:rPr>
            <w:noProof/>
            <w:webHidden/>
          </w:rPr>
          <w:instrText xml:space="preserve"> PAGEREF _Toc27123907 \h </w:instrText>
        </w:r>
        <w:r w:rsidR="00800C75">
          <w:rPr>
            <w:noProof/>
            <w:webHidden/>
          </w:rPr>
        </w:r>
        <w:r w:rsidR="00800C75">
          <w:rPr>
            <w:noProof/>
            <w:webHidden/>
          </w:rPr>
          <w:fldChar w:fldCharType="separate"/>
        </w:r>
        <w:r>
          <w:rPr>
            <w:noProof/>
            <w:webHidden/>
          </w:rPr>
          <w:t>13</w:t>
        </w:r>
        <w:r w:rsidR="00800C75">
          <w:rPr>
            <w:noProof/>
            <w:webHidden/>
          </w:rPr>
          <w:fldChar w:fldCharType="end"/>
        </w:r>
      </w:hyperlink>
    </w:p>
    <w:p w14:paraId="31392B84" w14:textId="00E4CD63" w:rsidR="00800C75" w:rsidRDefault="0085609C">
      <w:pPr>
        <w:pStyle w:val="TOC3"/>
        <w:rPr>
          <w:rFonts w:asciiTheme="minorHAnsi" w:eastAsiaTheme="minorEastAsia" w:hAnsiTheme="minorHAnsi" w:cstheme="minorBidi"/>
          <w:noProof/>
          <w:sz w:val="22"/>
          <w:szCs w:val="22"/>
          <w:lang w:eastAsia="en-NZ"/>
        </w:rPr>
      </w:pPr>
      <w:hyperlink w:anchor="_Toc27123908" w:history="1">
        <w:r w:rsidR="00800C75" w:rsidRPr="00C8197D">
          <w:rPr>
            <w:rStyle w:val="Hyperlink"/>
            <w:noProof/>
          </w:rPr>
          <w:t>Table 3: Number of worked hours in home and community support, mental health and addiction and disability sectors, by qualification level, 2017/18 and February 2019</w:t>
        </w:r>
        <w:r w:rsidR="00800C75">
          <w:rPr>
            <w:noProof/>
            <w:webHidden/>
          </w:rPr>
          <w:tab/>
        </w:r>
        <w:r w:rsidR="00800C75">
          <w:rPr>
            <w:noProof/>
            <w:webHidden/>
          </w:rPr>
          <w:fldChar w:fldCharType="begin"/>
        </w:r>
        <w:r w:rsidR="00800C75">
          <w:rPr>
            <w:noProof/>
            <w:webHidden/>
          </w:rPr>
          <w:instrText xml:space="preserve"> PAGEREF _Toc27123908 \h </w:instrText>
        </w:r>
        <w:r w:rsidR="00800C75">
          <w:rPr>
            <w:noProof/>
            <w:webHidden/>
          </w:rPr>
        </w:r>
        <w:r w:rsidR="00800C75">
          <w:rPr>
            <w:noProof/>
            <w:webHidden/>
          </w:rPr>
          <w:fldChar w:fldCharType="separate"/>
        </w:r>
        <w:r>
          <w:rPr>
            <w:noProof/>
            <w:webHidden/>
          </w:rPr>
          <w:t>15</w:t>
        </w:r>
        <w:r w:rsidR="00800C75">
          <w:rPr>
            <w:noProof/>
            <w:webHidden/>
          </w:rPr>
          <w:fldChar w:fldCharType="end"/>
        </w:r>
      </w:hyperlink>
    </w:p>
    <w:p w14:paraId="7947449C" w14:textId="1C2A9DF6" w:rsidR="00800C75" w:rsidRDefault="0085609C">
      <w:pPr>
        <w:pStyle w:val="TOC3"/>
        <w:rPr>
          <w:rFonts w:asciiTheme="minorHAnsi" w:eastAsiaTheme="minorEastAsia" w:hAnsiTheme="minorHAnsi" w:cstheme="minorBidi"/>
          <w:noProof/>
          <w:sz w:val="22"/>
          <w:szCs w:val="22"/>
          <w:lang w:eastAsia="en-NZ"/>
        </w:rPr>
      </w:pPr>
      <w:hyperlink w:anchor="_Toc27123909" w:history="1">
        <w:r w:rsidR="00800C75" w:rsidRPr="00C8197D">
          <w:rPr>
            <w:rStyle w:val="Hyperlink"/>
            <w:noProof/>
          </w:rPr>
          <w:t>Table 4: Number of home and community support sector workers, by qualification level, 2017/18 and February 2019</w:t>
        </w:r>
        <w:r w:rsidR="00800C75">
          <w:rPr>
            <w:noProof/>
            <w:webHidden/>
          </w:rPr>
          <w:tab/>
        </w:r>
        <w:r w:rsidR="00800C75">
          <w:rPr>
            <w:noProof/>
            <w:webHidden/>
          </w:rPr>
          <w:fldChar w:fldCharType="begin"/>
        </w:r>
        <w:r w:rsidR="00800C75">
          <w:rPr>
            <w:noProof/>
            <w:webHidden/>
          </w:rPr>
          <w:instrText xml:space="preserve"> PAGEREF _Toc27123909 \h </w:instrText>
        </w:r>
        <w:r w:rsidR="00800C75">
          <w:rPr>
            <w:noProof/>
            <w:webHidden/>
          </w:rPr>
        </w:r>
        <w:r w:rsidR="00800C75">
          <w:rPr>
            <w:noProof/>
            <w:webHidden/>
          </w:rPr>
          <w:fldChar w:fldCharType="separate"/>
        </w:r>
        <w:r>
          <w:rPr>
            <w:noProof/>
            <w:webHidden/>
          </w:rPr>
          <w:t>17</w:t>
        </w:r>
        <w:r w:rsidR="00800C75">
          <w:rPr>
            <w:noProof/>
            <w:webHidden/>
          </w:rPr>
          <w:fldChar w:fldCharType="end"/>
        </w:r>
      </w:hyperlink>
    </w:p>
    <w:p w14:paraId="3E2016D3" w14:textId="0DC486F4" w:rsidR="00800C75" w:rsidRDefault="0085609C">
      <w:pPr>
        <w:pStyle w:val="TOC3"/>
        <w:rPr>
          <w:rFonts w:asciiTheme="minorHAnsi" w:eastAsiaTheme="minorEastAsia" w:hAnsiTheme="minorHAnsi" w:cstheme="minorBidi"/>
          <w:noProof/>
          <w:sz w:val="22"/>
          <w:szCs w:val="22"/>
          <w:lang w:eastAsia="en-NZ"/>
        </w:rPr>
      </w:pPr>
      <w:hyperlink w:anchor="_Toc27123910" w:history="1">
        <w:r w:rsidR="00800C75" w:rsidRPr="00C8197D">
          <w:rPr>
            <w:rStyle w:val="Hyperlink"/>
            <w:noProof/>
          </w:rPr>
          <w:t>Table 5: Number of home and community support sector worked hours, by qualification level, 2017/18 and February 2019</w:t>
        </w:r>
        <w:r w:rsidR="00800C75">
          <w:rPr>
            <w:noProof/>
            <w:webHidden/>
          </w:rPr>
          <w:tab/>
        </w:r>
        <w:r w:rsidR="00800C75">
          <w:rPr>
            <w:noProof/>
            <w:webHidden/>
          </w:rPr>
          <w:fldChar w:fldCharType="begin"/>
        </w:r>
        <w:r w:rsidR="00800C75">
          <w:rPr>
            <w:noProof/>
            <w:webHidden/>
          </w:rPr>
          <w:instrText xml:space="preserve"> PAGEREF _Toc27123910 \h </w:instrText>
        </w:r>
        <w:r w:rsidR="00800C75">
          <w:rPr>
            <w:noProof/>
            <w:webHidden/>
          </w:rPr>
        </w:r>
        <w:r w:rsidR="00800C75">
          <w:rPr>
            <w:noProof/>
            <w:webHidden/>
          </w:rPr>
          <w:fldChar w:fldCharType="separate"/>
        </w:r>
        <w:r>
          <w:rPr>
            <w:noProof/>
            <w:webHidden/>
          </w:rPr>
          <w:t>19</w:t>
        </w:r>
        <w:r w:rsidR="00800C75">
          <w:rPr>
            <w:noProof/>
            <w:webHidden/>
          </w:rPr>
          <w:fldChar w:fldCharType="end"/>
        </w:r>
      </w:hyperlink>
    </w:p>
    <w:p w14:paraId="701863C2" w14:textId="2F1E99FB" w:rsidR="00800C75" w:rsidRDefault="0085609C">
      <w:pPr>
        <w:pStyle w:val="TOC3"/>
        <w:rPr>
          <w:rFonts w:asciiTheme="minorHAnsi" w:eastAsiaTheme="minorEastAsia" w:hAnsiTheme="minorHAnsi" w:cstheme="minorBidi"/>
          <w:noProof/>
          <w:sz w:val="22"/>
          <w:szCs w:val="22"/>
          <w:lang w:eastAsia="en-NZ"/>
        </w:rPr>
      </w:pPr>
      <w:hyperlink w:anchor="_Toc27123911" w:history="1">
        <w:r w:rsidR="00800C75" w:rsidRPr="00C8197D">
          <w:rPr>
            <w:rStyle w:val="Hyperlink"/>
            <w:noProof/>
          </w:rPr>
          <w:t>Table 6: Number of disability sector workers, by qualification level, 2017/18 and February 2019</w:t>
        </w:r>
        <w:r w:rsidR="00800C75">
          <w:rPr>
            <w:noProof/>
            <w:webHidden/>
          </w:rPr>
          <w:tab/>
        </w:r>
        <w:r w:rsidR="00800C75">
          <w:rPr>
            <w:noProof/>
            <w:webHidden/>
          </w:rPr>
          <w:fldChar w:fldCharType="begin"/>
        </w:r>
        <w:r w:rsidR="00800C75">
          <w:rPr>
            <w:noProof/>
            <w:webHidden/>
          </w:rPr>
          <w:instrText xml:space="preserve"> PAGEREF _Toc27123911 \h </w:instrText>
        </w:r>
        <w:r w:rsidR="00800C75">
          <w:rPr>
            <w:noProof/>
            <w:webHidden/>
          </w:rPr>
        </w:r>
        <w:r w:rsidR="00800C75">
          <w:rPr>
            <w:noProof/>
            <w:webHidden/>
          </w:rPr>
          <w:fldChar w:fldCharType="separate"/>
        </w:r>
        <w:r>
          <w:rPr>
            <w:noProof/>
            <w:webHidden/>
          </w:rPr>
          <w:t>21</w:t>
        </w:r>
        <w:r w:rsidR="00800C75">
          <w:rPr>
            <w:noProof/>
            <w:webHidden/>
          </w:rPr>
          <w:fldChar w:fldCharType="end"/>
        </w:r>
      </w:hyperlink>
    </w:p>
    <w:p w14:paraId="72B7F1C6" w14:textId="368F5949" w:rsidR="00800C75" w:rsidRDefault="0085609C">
      <w:pPr>
        <w:pStyle w:val="TOC3"/>
        <w:rPr>
          <w:rFonts w:asciiTheme="minorHAnsi" w:eastAsiaTheme="minorEastAsia" w:hAnsiTheme="minorHAnsi" w:cstheme="minorBidi"/>
          <w:noProof/>
          <w:sz w:val="22"/>
          <w:szCs w:val="22"/>
          <w:lang w:eastAsia="en-NZ"/>
        </w:rPr>
      </w:pPr>
      <w:hyperlink w:anchor="_Toc27123912" w:history="1">
        <w:r w:rsidR="00800C75" w:rsidRPr="00C8197D">
          <w:rPr>
            <w:rStyle w:val="Hyperlink"/>
            <w:noProof/>
          </w:rPr>
          <w:t>Table 7: Number of disability sector worked hours, by qualification level, 2017/18 and February 2019</w:t>
        </w:r>
        <w:r w:rsidR="00800C75">
          <w:rPr>
            <w:noProof/>
            <w:webHidden/>
          </w:rPr>
          <w:tab/>
        </w:r>
        <w:r w:rsidR="00800C75">
          <w:rPr>
            <w:noProof/>
            <w:webHidden/>
          </w:rPr>
          <w:fldChar w:fldCharType="begin"/>
        </w:r>
        <w:r w:rsidR="00800C75">
          <w:rPr>
            <w:noProof/>
            <w:webHidden/>
          </w:rPr>
          <w:instrText xml:space="preserve"> PAGEREF _Toc27123912 \h </w:instrText>
        </w:r>
        <w:r w:rsidR="00800C75">
          <w:rPr>
            <w:noProof/>
            <w:webHidden/>
          </w:rPr>
        </w:r>
        <w:r w:rsidR="00800C75">
          <w:rPr>
            <w:noProof/>
            <w:webHidden/>
          </w:rPr>
          <w:fldChar w:fldCharType="separate"/>
        </w:r>
        <w:r>
          <w:rPr>
            <w:noProof/>
            <w:webHidden/>
          </w:rPr>
          <w:t>23</w:t>
        </w:r>
        <w:r w:rsidR="00800C75">
          <w:rPr>
            <w:noProof/>
            <w:webHidden/>
          </w:rPr>
          <w:fldChar w:fldCharType="end"/>
        </w:r>
      </w:hyperlink>
    </w:p>
    <w:p w14:paraId="15C33324" w14:textId="0A1CFF34" w:rsidR="00800C75" w:rsidRDefault="0085609C">
      <w:pPr>
        <w:pStyle w:val="TOC3"/>
        <w:rPr>
          <w:rFonts w:asciiTheme="minorHAnsi" w:eastAsiaTheme="minorEastAsia" w:hAnsiTheme="minorHAnsi" w:cstheme="minorBidi"/>
          <w:noProof/>
          <w:sz w:val="22"/>
          <w:szCs w:val="22"/>
          <w:lang w:eastAsia="en-NZ"/>
        </w:rPr>
      </w:pPr>
      <w:hyperlink w:anchor="_Toc27123913" w:history="1">
        <w:r w:rsidR="00800C75" w:rsidRPr="00C8197D">
          <w:rPr>
            <w:rStyle w:val="Hyperlink"/>
            <w:noProof/>
          </w:rPr>
          <w:t>Table 8: Mental health and addiction sector workers, by qualification level, 2017/18 and February 2019</w:t>
        </w:r>
        <w:r w:rsidR="00800C75">
          <w:rPr>
            <w:noProof/>
            <w:webHidden/>
          </w:rPr>
          <w:tab/>
        </w:r>
        <w:r w:rsidR="00800C75">
          <w:rPr>
            <w:noProof/>
            <w:webHidden/>
          </w:rPr>
          <w:fldChar w:fldCharType="begin"/>
        </w:r>
        <w:r w:rsidR="00800C75">
          <w:rPr>
            <w:noProof/>
            <w:webHidden/>
          </w:rPr>
          <w:instrText xml:space="preserve"> PAGEREF _Toc27123913 \h </w:instrText>
        </w:r>
        <w:r w:rsidR="00800C75">
          <w:rPr>
            <w:noProof/>
            <w:webHidden/>
          </w:rPr>
        </w:r>
        <w:r w:rsidR="00800C75">
          <w:rPr>
            <w:noProof/>
            <w:webHidden/>
          </w:rPr>
          <w:fldChar w:fldCharType="separate"/>
        </w:r>
        <w:r>
          <w:rPr>
            <w:noProof/>
            <w:webHidden/>
          </w:rPr>
          <w:t>25</w:t>
        </w:r>
        <w:r w:rsidR="00800C75">
          <w:rPr>
            <w:noProof/>
            <w:webHidden/>
          </w:rPr>
          <w:fldChar w:fldCharType="end"/>
        </w:r>
      </w:hyperlink>
    </w:p>
    <w:p w14:paraId="7C8DA971" w14:textId="1916847E" w:rsidR="00800C75" w:rsidRDefault="0085609C">
      <w:pPr>
        <w:pStyle w:val="TOC3"/>
        <w:rPr>
          <w:rFonts w:asciiTheme="minorHAnsi" w:eastAsiaTheme="minorEastAsia" w:hAnsiTheme="minorHAnsi" w:cstheme="minorBidi"/>
          <w:noProof/>
          <w:sz w:val="22"/>
          <w:szCs w:val="22"/>
          <w:lang w:eastAsia="en-NZ"/>
        </w:rPr>
      </w:pPr>
      <w:hyperlink w:anchor="_Toc27123914" w:history="1">
        <w:r w:rsidR="00800C75" w:rsidRPr="00C8197D">
          <w:rPr>
            <w:rStyle w:val="Hyperlink"/>
            <w:noProof/>
          </w:rPr>
          <w:t>Table 9: Mental health and addiction sector worked hours, by qualification level, 2017/18 and February 2019</w:t>
        </w:r>
        <w:r w:rsidR="00800C75">
          <w:rPr>
            <w:noProof/>
            <w:webHidden/>
          </w:rPr>
          <w:tab/>
        </w:r>
        <w:r w:rsidR="00800C75">
          <w:rPr>
            <w:noProof/>
            <w:webHidden/>
          </w:rPr>
          <w:fldChar w:fldCharType="begin"/>
        </w:r>
        <w:r w:rsidR="00800C75">
          <w:rPr>
            <w:noProof/>
            <w:webHidden/>
          </w:rPr>
          <w:instrText xml:space="preserve"> PAGEREF _Toc27123914 \h </w:instrText>
        </w:r>
        <w:r w:rsidR="00800C75">
          <w:rPr>
            <w:noProof/>
            <w:webHidden/>
          </w:rPr>
        </w:r>
        <w:r w:rsidR="00800C75">
          <w:rPr>
            <w:noProof/>
            <w:webHidden/>
          </w:rPr>
          <w:fldChar w:fldCharType="separate"/>
        </w:r>
        <w:r>
          <w:rPr>
            <w:noProof/>
            <w:webHidden/>
          </w:rPr>
          <w:t>27</w:t>
        </w:r>
        <w:r w:rsidR="00800C75">
          <w:rPr>
            <w:noProof/>
            <w:webHidden/>
          </w:rPr>
          <w:fldChar w:fldCharType="end"/>
        </w:r>
      </w:hyperlink>
    </w:p>
    <w:p w14:paraId="61AA4B2F" w14:textId="7492A520" w:rsidR="00800C75" w:rsidRDefault="0085609C">
      <w:pPr>
        <w:pStyle w:val="TOC3"/>
        <w:rPr>
          <w:rFonts w:asciiTheme="minorHAnsi" w:eastAsiaTheme="minorEastAsia" w:hAnsiTheme="minorHAnsi" w:cstheme="minorBidi"/>
          <w:noProof/>
          <w:sz w:val="22"/>
          <w:szCs w:val="22"/>
          <w:lang w:eastAsia="en-NZ"/>
        </w:rPr>
      </w:pPr>
      <w:hyperlink w:anchor="_Toc27123915" w:history="1">
        <w:r w:rsidR="00800C75" w:rsidRPr="00C8197D">
          <w:rPr>
            <w:rStyle w:val="Hyperlink"/>
            <w:noProof/>
          </w:rPr>
          <w:t>Table 10: Aged residential care staff numbers and worked hours, by qualification level, March 2019</w:t>
        </w:r>
        <w:r w:rsidR="00800C75">
          <w:rPr>
            <w:noProof/>
            <w:webHidden/>
          </w:rPr>
          <w:tab/>
        </w:r>
        <w:r w:rsidR="00800C75">
          <w:rPr>
            <w:noProof/>
            <w:webHidden/>
          </w:rPr>
          <w:fldChar w:fldCharType="begin"/>
        </w:r>
        <w:r w:rsidR="00800C75">
          <w:rPr>
            <w:noProof/>
            <w:webHidden/>
          </w:rPr>
          <w:instrText xml:space="preserve"> PAGEREF _Toc27123915 \h </w:instrText>
        </w:r>
        <w:r w:rsidR="00800C75">
          <w:rPr>
            <w:noProof/>
            <w:webHidden/>
          </w:rPr>
        </w:r>
        <w:r w:rsidR="00800C75">
          <w:rPr>
            <w:noProof/>
            <w:webHidden/>
          </w:rPr>
          <w:fldChar w:fldCharType="separate"/>
        </w:r>
        <w:r>
          <w:rPr>
            <w:noProof/>
            <w:webHidden/>
          </w:rPr>
          <w:t>29</w:t>
        </w:r>
        <w:r w:rsidR="00800C75">
          <w:rPr>
            <w:noProof/>
            <w:webHidden/>
          </w:rPr>
          <w:fldChar w:fldCharType="end"/>
        </w:r>
      </w:hyperlink>
    </w:p>
    <w:p w14:paraId="5D134315" w14:textId="77777777" w:rsidR="001B59B9" w:rsidRDefault="00800C75" w:rsidP="001B59B9">
      <w:r>
        <w:rPr>
          <w:sz w:val="20"/>
        </w:rPr>
        <w:fldChar w:fldCharType="end"/>
      </w:r>
    </w:p>
    <w:p w14:paraId="470163E1" w14:textId="77777777" w:rsidR="0033448B" w:rsidRDefault="0033448B" w:rsidP="003A5FEA"/>
    <w:p w14:paraId="1B61941E" w14:textId="77777777" w:rsidR="001D3E4E" w:rsidRDefault="001D3E4E" w:rsidP="003A5FEA">
      <w:pPr>
        <w:sectPr w:rsidR="001D3E4E" w:rsidSect="00925892">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14:paraId="097C1386" w14:textId="77777777" w:rsidR="008C2973" w:rsidRDefault="002B7BEC" w:rsidP="007F5F89">
      <w:pPr>
        <w:pStyle w:val="Heading1"/>
      </w:pPr>
      <w:bookmarkStart w:id="3" w:name="_Toc27123867"/>
      <w:r>
        <w:lastRenderedPageBreak/>
        <w:t>Introduction</w:t>
      </w:r>
      <w:bookmarkEnd w:id="3"/>
    </w:p>
    <w:p w14:paraId="7805C03C" w14:textId="71ACAF9E" w:rsidR="007F5F89" w:rsidRDefault="007F5F89" w:rsidP="00776894">
      <w:r>
        <w:t xml:space="preserve">This report uses care and support </w:t>
      </w:r>
      <w:r w:rsidR="00AF0842">
        <w:t>workforce</w:t>
      </w:r>
      <w:r>
        <w:t xml:space="preserve"> data from 2017/18</w:t>
      </w:r>
      <w:r w:rsidRPr="00776894">
        <w:rPr>
          <w:rStyle w:val="FootnoteReference"/>
        </w:rPr>
        <w:footnoteReference w:id="1"/>
      </w:r>
      <w:r>
        <w:t xml:space="preserve"> and 2019 to identify trends in qualification attainment among care and support workers. The purpose of this report is to provide information on care and support worker qualification attainment to employers, un</w:t>
      </w:r>
      <w:r w:rsidR="00776894">
        <w:t>ions, funders, and researchers.</w:t>
      </w:r>
    </w:p>
    <w:p w14:paraId="0FACC5B8" w14:textId="77777777" w:rsidR="007F5F89" w:rsidRPr="00D97F97" w:rsidRDefault="007F5F89" w:rsidP="00D62D23"/>
    <w:p w14:paraId="7229EA80" w14:textId="77777777" w:rsidR="007F5F89" w:rsidRPr="00B30B6C" w:rsidRDefault="007F5F89" w:rsidP="00D62D23">
      <w:pPr>
        <w:pStyle w:val="Heading1"/>
      </w:pPr>
      <w:bookmarkStart w:id="4" w:name="_Toc27123868"/>
      <w:r w:rsidRPr="00B30B6C">
        <w:lastRenderedPageBreak/>
        <w:t xml:space="preserve">Key </w:t>
      </w:r>
      <w:r>
        <w:t>f</w:t>
      </w:r>
      <w:r w:rsidRPr="00B30B6C">
        <w:t>indings</w:t>
      </w:r>
      <w:bookmarkEnd w:id="4"/>
    </w:p>
    <w:p w14:paraId="4D16155A" w14:textId="77777777" w:rsidR="007F5F89" w:rsidRDefault="007F5F89" w:rsidP="00D62D23">
      <w:r>
        <w:t>Analysis of data collected in 2017/18 and 2019 on care and support workers shows that:</w:t>
      </w:r>
    </w:p>
    <w:p w14:paraId="633E0A6A" w14:textId="77777777" w:rsidR="007F5F89" w:rsidRDefault="007F5F89" w:rsidP="00D62D23">
      <w:pPr>
        <w:pStyle w:val="Number"/>
      </w:pPr>
      <w:r>
        <w:t>there has been a significant increase in support workers with qualifications in the home and community support, disability, and mental health and addiction sectors</w:t>
      </w:r>
    </w:p>
    <w:p w14:paraId="5E2273DA" w14:textId="77777777" w:rsidR="007F5F89" w:rsidRPr="00D97F97" w:rsidRDefault="007F5F89" w:rsidP="00D62D23">
      <w:pPr>
        <w:pStyle w:val="Number"/>
      </w:pPr>
      <w:r>
        <w:t>support workers with higher qualifications deliver relatively more hours of care than unqualified workers</w:t>
      </w:r>
    </w:p>
    <w:p w14:paraId="6AC348E3" w14:textId="77777777" w:rsidR="00776894" w:rsidRDefault="007F5F89" w:rsidP="00D62D23">
      <w:pPr>
        <w:pStyle w:val="Number"/>
      </w:pPr>
      <w:r>
        <w:t xml:space="preserve">there are a number of workers with no qualifications who are paid based on their length of </w:t>
      </w:r>
      <w:proofErr w:type="gramStart"/>
      <w:r>
        <w:t>service, and</w:t>
      </w:r>
      <w:proofErr w:type="gramEnd"/>
      <w:r>
        <w:t xml:space="preserve"> are therefore unlikely to take up training opportunities.</w:t>
      </w:r>
    </w:p>
    <w:p w14:paraId="60D00C5F" w14:textId="77777777" w:rsidR="00D62D23" w:rsidRDefault="00D62D23" w:rsidP="00D62D23"/>
    <w:p w14:paraId="28778589" w14:textId="77777777" w:rsidR="007F5F89" w:rsidRPr="001D0C30" w:rsidRDefault="007F5F89" w:rsidP="00D62D23">
      <w:pPr>
        <w:pStyle w:val="Heading1"/>
      </w:pPr>
      <w:bookmarkStart w:id="5" w:name="_Toc27123869"/>
      <w:r w:rsidRPr="001D0C30">
        <w:lastRenderedPageBreak/>
        <w:t>Background</w:t>
      </w:r>
      <w:bookmarkEnd w:id="5"/>
    </w:p>
    <w:p w14:paraId="0C4A9743" w14:textId="77777777" w:rsidR="00776894" w:rsidRDefault="007F5F89" w:rsidP="00D62D23">
      <w:r w:rsidRPr="001D0C30">
        <w:t>The Care and Support Workers (Pay Equity) Settlement Act 2017 increased the wage rates of care and support workers in New Zealand</w:t>
      </w:r>
      <w:r w:rsidR="00776894">
        <w:t>’</w:t>
      </w:r>
      <w:r w:rsidRPr="001D0C30">
        <w:t>s aged and disability residential care and home and community support services. Wages are now based on a worker</w:t>
      </w:r>
      <w:r w:rsidR="00776894">
        <w:t>’</w:t>
      </w:r>
      <w:r w:rsidRPr="001D0C30">
        <w:t>s level of qualification or length of service, whichever is the most advantageous to the worker</w:t>
      </w:r>
      <w:r>
        <w:t>.</w:t>
      </w:r>
      <w:r w:rsidRPr="00D62D23">
        <w:rPr>
          <w:rStyle w:val="FootnoteReference"/>
        </w:rPr>
        <w:footnoteReference w:id="2"/>
      </w:r>
      <w:r w:rsidRPr="001D0C30">
        <w:t xml:space="preserve"> </w:t>
      </w:r>
      <w:r>
        <w:t xml:space="preserve">The Act </w:t>
      </w:r>
      <w:r w:rsidRPr="001D0C30">
        <w:t>redresses the past undervaluation of care and support work</w:t>
      </w:r>
      <w:r>
        <w:t>,</w:t>
      </w:r>
      <w:r w:rsidRPr="001D0C30">
        <w:t xml:space="preserve"> which </w:t>
      </w:r>
      <w:r>
        <w:t xml:space="preserve">is </w:t>
      </w:r>
      <w:r w:rsidRPr="001D0C30">
        <w:t>carried out by a predominantly female workforce.</w:t>
      </w:r>
    </w:p>
    <w:p w14:paraId="2499AB8D" w14:textId="77777777" w:rsidR="007F5F89" w:rsidRDefault="007F5F89" w:rsidP="00D62D23"/>
    <w:p w14:paraId="3656FB44" w14:textId="77777777" w:rsidR="00776894" w:rsidRDefault="007F5F89" w:rsidP="00D62D23">
      <w:r>
        <w:t>The original Act excluded m</w:t>
      </w:r>
      <w:r w:rsidRPr="001D0C30">
        <w:t xml:space="preserve">ental </w:t>
      </w:r>
      <w:r>
        <w:t>h</w:t>
      </w:r>
      <w:r w:rsidRPr="001D0C30">
        <w:t xml:space="preserve">ealth and </w:t>
      </w:r>
      <w:r>
        <w:t>a</w:t>
      </w:r>
      <w:r w:rsidRPr="001D0C30">
        <w:t xml:space="preserve">ddiction </w:t>
      </w:r>
      <w:r>
        <w:t>s</w:t>
      </w:r>
      <w:r w:rsidRPr="001D0C30">
        <w:t>upport workers</w:t>
      </w:r>
      <w:r>
        <w:t>.</w:t>
      </w:r>
      <w:r w:rsidRPr="001D0C30">
        <w:t xml:space="preserve"> </w:t>
      </w:r>
      <w:r>
        <w:t>H</w:t>
      </w:r>
      <w:r w:rsidRPr="001D0C30">
        <w:t>owever</w:t>
      </w:r>
      <w:r>
        <w:t>,</w:t>
      </w:r>
      <w:r w:rsidRPr="001D0C30">
        <w:t xml:space="preserve"> a </w:t>
      </w:r>
      <w:r>
        <w:t xml:space="preserve">separate </w:t>
      </w:r>
      <w:r w:rsidRPr="001D0C30">
        <w:t xml:space="preserve">agreement </w:t>
      </w:r>
      <w:r>
        <w:t xml:space="preserve">covering these workers </w:t>
      </w:r>
      <w:r w:rsidRPr="001D0C30">
        <w:t>(</w:t>
      </w:r>
      <w:r>
        <w:t xml:space="preserve">the </w:t>
      </w:r>
      <w:r w:rsidRPr="001D0C30">
        <w:t>Mental Health and Addiction Support Workers (Pay Equity) Settlement 2018) was reached in 2018</w:t>
      </w:r>
      <w:r>
        <w:t>; it</w:t>
      </w:r>
      <w:r w:rsidRPr="001D0C30">
        <w:t xml:space="preserve"> closely follows the original Act</w:t>
      </w:r>
      <w:r w:rsidR="00D62D23">
        <w:t>.</w:t>
      </w:r>
      <w:r w:rsidRPr="00D62D23">
        <w:rPr>
          <w:rStyle w:val="FootnoteReference"/>
        </w:rPr>
        <w:footnoteReference w:id="3"/>
      </w:r>
    </w:p>
    <w:p w14:paraId="41F23EA3" w14:textId="77777777" w:rsidR="007F5F89" w:rsidRDefault="007F5F89" w:rsidP="00D62D23"/>
    <w:p w14:paraId="0559D261" w14:textId="77777777" w:rsidR="007F5F89" w:rsidRPr="00280A3D" w:rsidRDefault="007F5F89" w:rsidP="00D62D23">
      <w:r w:rsidRPr="00E45752">
        <w:t xml:space="preserve">The </w:t>
      </w:r>
      <w:r>
        <w:t>cost of the Act and the mental health and addiction support worker s</w:t>
      </w:r>
      <w:r w:rsidRPr="00E45752">
        <w:t xml:space="preserve">ettlement </w:t>
      </w:r>
      <w:r>
        <w:t xml:space="preserve">to the Crown through to its expiry on 30 June 2022 is $2.2 billion; this includes </w:t>
      </w:r>
      <w:r w:rsidRPr="00E45752">
        <w:t xml:space="preserve">funding for employers to facilitate training for their workforce. The provision for training </w:t>
      </w:r>
      <w:r w:rsidRPr="00664A98">
        <w:t>is an important part of this agreement</w:t>
      </w:r>
      <w:r>
        <w:t>;</w:t>
      </w:r>
      <w:r w:rsidRPr="00664A98">
        <w:t xml:space="preserve"> </w:t>
      </w:r>
      <w:r>
        <w:t>it</w:t>
      </w:r>
      <w:r w:rsidRPr="00664A98">
        <w:t xml:space="preserve"> should, over time, res</w:t>
      </w:r>
      <w:r w:rsidRPr="00280A3D">
        <w:t>ult in a more consistent workforce with higher qualifications.</w:t>
      </w:r>
    </w:p>
    <w:p w14:paraId="61E87A93" w14:textId="77777777" w:rsidR="007F5F89" w:rsidRDefault="007F5F89" w:rsidP="00D62D23">
      <w:pPr>
        <w:rPr>
          <w:lang w:eastAsia="en-NZ"/>
        </w:rPr>
      </w:pPr>
    </w:p>
    <w:p w14:paraId="2EB3411B" w14:textId="77777777" w:rsidR="007F5F89" w:rsidRPr="00B30B6C" w:rsidRDefault="007F5F89" w:rsidP="00D62D23">
      <w:pPr>
        <w:pStyle w:val="Heading1"/>
        <w:rPr>
          <w:lang w:eastAsia="en-NZ"/>
        </w:rPr>
      </w:pPr>
      <w:bookmarkStart w:id="6" w:name="_Toc27123870"/>
      <w:r w:rsidRPr="00B30B6C">
        <w:rPr>
          <w:lang w:eastAsia="en-NZ"/>
        </w:rPr>
        <w:lastRenderedPageBreak/>
        <w:t xml:space="preserve">Data </w:t>
      </w:r>
      <w:r>
        <w:rPr>
          <w:lang w:eastAsia="en-NZ"/>
        </w:rPr>
        <w:t>and</w:t>
      </w:r>
      <w:r w:rsidRPr="00B30B6C">
        <w:rPr>
          <w:lang w:eastAsia="en-NZ"/>
        </w:rPr>
        <w:t xml:space="preserve"> </w:t>
      </w:r>
      <w:r>
        <w:rPr>
          <w:lang w:eastAsia="en-NZ"/>
        </w:rPr>
        <w:t>m</w:t>
      </w:r>
      <w:r w:rsidRPr="00B30B6C">
        <w:rPr>
          <w:lang w:eastAsia="en-NZ"/>
        </w:rPr>
        <w:t>ethodology</w:t>
      </w:r>
      <w:bookmarkEnd w:id="6"/>
    </w:p>
    <w:p w14:paraId="2DD56B45" w14:textId="77777777" w:rsidR="007F5F89" w:rsidRPr="001D0C30" w:rsidRDefault="007F5F89" w:rsidP="00D62D23">
      <w:pPr>
        <w:pStyle w:val="Heading2"/>
        <w:rPr>
          <w:lang w:eastAsia="en-NZ"/>
        </w:rPr>
      </w:pPr>
      <w:bookmarkStart w:id="7" w:name="_Toc27123871"/>
      <w:r w:rsidRPr="001D0C30">
        <w:rPr>
          <w:lang w:eastAsia="en-NZ"/>
        </w:rPr>
        <w:t xml:space="preserve">Home and </w:t>
      </w:r>
      <w:r>
        <w:rPr>
          <w:lang w:eastAsia="en-NZ"/>
        </w:rPr>
        <w:t>c</w:t>
      </w:r>
      <w:r w:rsidRPr="001D0C30">
        <w:rPr>
          <w:lang w:eastAsia="en-NZ"/>
        </w:rPr>
        <w:t xml:space="preserve">ommunity, </w:t>
      </w:r>
      <w:r>
        <w:rPr>
          <w:lang w:eastAsia="en-NZ"/>
        </w:rPr>
        <w:t>d</w:t>
      </w:r>
      <w:r w:rsidRPr="001D0C30">
        <w:rPr>
          <w:lang w:eastAsia="en-NZ"/>
        </w:rPr>
        <w:t xml:space="preserve">isability and </w:t>
      </w:r>
      <w:r>
        <w:rPr>
          <w:lang w:eastAsia="en-NZ"/>
        </w:rPr>
        <w:t>m</w:t>
      </w:r>
      <w:r w:rsidRPr="001D0C30">
        <w:rPr>
          <w:lang w:eastAsia="en-NZ"/>
        </w:rPr>
        <w:t xml:space="preserve">ental </w:t>
      </w:r>
      <w:r>
        <w:rPr>
          <w:lang w:eastAsia="en-NZ"/>
        </w:rPr>
        <w:t>h</w:t>
      </w:r>
      <w:r w:rsidRPr="001D0C30">
        <w:rPr>
          <w:lang w:eastAsia="en-NZ"/>
        </w:rPr>
        <w:t xml:space="preserve">ealth </w:t>
      </w:r>
      <w:r>
        <w:rPr>
          <w:lang w:eastAsia="en-NZ"/>
        </w:rPr>
        <w:t>and a</w:t>
      </w:r>
      <w:r w:rsidRPr="001D0C30">
        <w:rPr>
          <w:lang w:eastAsia="en-NZ"/>
        </w:rPr>
        <w:t>ddiction</w:t>
      </w:r>
      <w:r>
        <w:rPr>
          <w:lang w:eastAsia="en-NZ"/>
        </w:rPr>
        <w:t xml:space="preserve"> sectors</w:t>
      </w:r>
      <w:bookmarkEnd w:id="7"/>
    </w:p>
    <w:p w14:paraId="6F811453" w14:textId="5F23AF66" w:rsidR="007F5F89" w:rsidRDefault="007F5F89" w:rsidP="00D62D23">
      <w:pPr>
        <w:rPr>
          <w:lang w:eastAsia="en-NZ"/>
        </w:rPr>
      </w:pPr>
      <w:r>
        <w:rPr>
          <w:lang w:eastAsia="en-NZ"/>
        </w:rPr>
        <w:t xml:space="preserve">Throughout the home and community support (HCS), disability, and mental health and addiction (MH&amp;A) sectors, </w:t>
      </w:r>
      <w:r w:rsidRPr="001D0C30">
        <w:rPr>
          <w:lang w:eastAsia="en-NZ"/>
        </w:rPr>
        <w:t xml:space="preserve">2017/18 payments </w:t>
      </w:r>
      <w:r>
        <w:rPr>
          <w:lang w:eastAsia="en-NZ"/>
        </w:rPr>
        <w:t xml:space="preserve">were made </w:t>
      </w:r>
      <w:r w:rsidRPr="001D0C30">
        <w:rPr>
          <w:lang w:eastAsia="en-NZ"/>
        </w:rPr>
        <w:t xml:space="preserve">to eligible providers </w:t>
      </w:r>
      <w:r>
        <w:rPr>
          <w:lang w:eastAsia="en-NZ"/>
        </w:rPr>
        <w:t xml:space="preserve">so that </w:t>
      </w:r>
      <w:r w:rsidRPr="001D0C30">
        <w:rPr>
          <w:lang w:eastAsia="en-NZ"/>
        </w:rPr>
        <w:t xml:space="preserve">the increase in wage rates </w:t>
      </w:r>
      <w:r>
        <w:rPr>
          <w:lang w:eastAsia="en-NZ"/>
        </w:rPr>
        <w:t>w</w:t>
      </w:r>
      <w:r w:rsidR="00214963">
        <w:rPr>
          <w:lang w:eastAsia="en-NZ"/>
        </w:rPr>
        <w:t>as</w:t>
      </w:r>
      <w:r>
        <w:rPr>
          <w:lang w:eastAsia="en-NZ"/>
        </w:rPr>
        <w:t xml:space="preserve"> determined by</w:t>
      </w:r>
      <w:r w:rsidRPr="001D0C30">
        <w:rPr>
          <w:lang w:eastAsia="en-NZ"/>
        </w:rPr>
        <w:t xml:space="preserve"> each worker</w:t>
      </w:r>
      <w:r w:rsidR="00776894">
        <w:rPr>
          <w:lang w:eastAsia="en-NZ"/>
        </w:rPr>
        <w:t>’</w:t>
      </w:r>
      <w:r w:rsidRPr="001D0C30">
        <w:rPr>
          <w:lang w:eastAsia="en-NZ"/>
        </w:rPr>
        <w:t>s actual hours (using the</w:t>
      </w:r>
      <w:r>
        <w:rPr>
          <w:lang w:eastAsia="en-NZ"/>
        </w:rPr>
        <w:t>ir</w:t>
      </w:r>
      <w:r w:rsidRPr="001D0C30">
        <w:rPr>
          <w:lang w:eastAsia="en-NZ"/>
        </w:rPr>
        <w:t xml:space="preserve"> unique identifier from providers</w:t>
      </w:r>
      <w:r w:rsidR="00776894">
        <w:rPr>
          <w:lang w:eastAsia="en-NZ"/>
        </w:rPr>
        <w:t>’</w:t>
      </w:r>
      <w:r w:rsidRPr="001D0C30">
        <w:rPr>
          <w:lang w:eastAsia="en-NZ"/>
        </w:rPr>
        <w:t xml:space="preserve"> payroll</w:t>
      </w:r>
      <w:r>
        <w:rPr>
          <w:lang w:eastAsia="en-NZ"/>
        </w:rPr>
        <w:t>s</w:t>
      </w:r>
      <w:r w:rsidRPr="001D0C30">
        <w:rPr>
          <w:lang w:eastAsia="en-NZ"/>
        </w:rPr>
        <w:t>), qualification</w:t>
      </w:r>
      <w:r>
        <w:rPr>
          <w:lang w:eastAsia="en-NZ"/>
        </w:rPr>
        <w:t>s</w:t>
      </w:r>
      <w:r w:rsidRPr="001D0C30">
        <w:rPr>
          <w:lang w:eastAsia="en-NZ"/>
        </w:rPr>
        <w:t xml:space="preserve"> and length of service. Advance interim payments to providers were made based on the estimated additional cost resulting from the settlement. </w:t>
      </w:r>
      <w:r>
        <w:rPr>
          <w:lang w:eastAsia="en-NZ"/>
        </w:rPr>
        <w:t>For the purposes of this report, d</w:t>
      </w:r>
      <w:r w:rsidRPr="001D0C30">
        <w:rPr>
          <w:lang w:eastAsia="en-NZ"/>
        </w:rPr>
        <w:t xml:space="preserve">etailed </w:t>
      </w:r>
      <w:r>
        <w:rPr>
          <w:lang w:eastAsia="en-NZ"/>
        </w:rPr>
        <w:t>data</w:t>
      </w:r>
      <w:r w:rsidRPr="001D0C30">
        <w:rPr>
          <w:lang w:eastAsia="en-NZ"/>
        </w:rPr>
        <w:t xml:space="preserve"> based on individual support workers</w:t>
      </w:r>
      <w:r w:rsidR="00776894">
        <w:rPr>
          <w:lang w:eastAsia="en-NZ"/>
        </w:rPr>
        <w:t>’</w:t>
      </w:r>
      <w:r w:rsidRPr="001D0C30">
        <w:rPr>
          <w:lang w:eastAsia="en-NZ"/>
        </w:rPr>
        <w:t xml:space="preserve"> actuals hours, qualification</w:t>
      </w:r>
      <w:r>
        <w:rPr>
          <w:lang w:eastAsia="en-NZ"/>
        </w:rPr>
        <w:t>s</w:t>
      </w:r>
      <w:r w:rsidRPr="001D0C30">
        <w:rPr>
          <w:lang w:eastAsia="en-NZ"/>
        </w:rPr>
        <w:t xml:space="preserve"> and length of service was undertaken for the periods</w:t>
      </w:r>
      <w:r>
        <w:rPr>
          <w:lang w:eastAsia="en-NZ"/>
        </w:rPr>
        <w:t>:</w:t>
      </w:r>
    </w:p>
    <w:p w14:paraId="45F5A153" w14:textId="77777777" w:rsidR="007F5F89" w:rsidRPr="001D0C30" w:rsidRDefault="007F5F89" w:rsidP="00D62D23">
      <w:pPr>
        <w:pStyle w:val="Bullet"/>
        <w:rPr>
          <w:lang w:eastAsia="en-NZ"/>
        </w:rPr>
      </w:pPr>
      <w:r w:rsidRPr="001D0C30">
        <w:rPr>
          <w:lang w:eastAsia="en-NZ"/>
        </w:rPr>
        <w:t>1 July 2017</w:t>
      </w:r>
      <w:r w:rsidRPr="006B5567">
        <w:rPr>
          <w:lang w:eastAsia="en-NZ"/>
        </w:rPr>
        <w:t>–</w:t>
      </w:r>
      <w:r w:rsidRPr="001D0C30">
        <w:rPr>
          <w:lang w:eastAsia="en-NZ"/>
        </w:rPr>
        <w:t>30 September 2017 (</w:t>
      </w:r>
      <w:r w:rsidR="00D62D23">
        <w:rPr>
          <w:lang w:eastAsia="en-NZ"/>
        </w:rPr>
        <w:t>Q</w:t>
      </w:r>
      <w:r>
        <w:rPr>
          <w:lang w:eastAsia="en-NZ"/>
        </w:rPr>
        <w:t xml:space="preserve">uarter </w:t>
      </w:r>
      <w:r w:rsidR="00D62D23">
        <w:rPr>
          <w:lang w:eastAsia="en-NZ"/>
        </w:rPr>
        <w:t>1</w:t>
      </w:r>
      <w:r>
        <w:rPr>
          <w:lang w:eastAsia="en-NZ"/>
        </w:rPr>
        <w:t xml:space="preserve"> data</w:t>
      </w:r>
      <w:r w:rsidRPr="001D0C30">
        <w:rPr>
          <w:lang w:eastAsia="en-NZ"/>
        </w:rPr>
        <w:t>)</w:t>
      </w:r>
    </w:p>
    <w:p w14:paraId="7B3AB9A7" w14:textId="77777777" w:rsidR="007F5F89" w:rsidRPr="001D0C30" w:rsidRDefault="007F5F89" w:rsidP="00D62D23">
      <w:pPr>
        <w:pStyle w:val="Bullet"/>
        <w:rPr>
          <w:lang w:eastAsia="en-NZ"/>
        </w:rPr>
      </w:pPr>
      <w:r w:rsidRPr="001D0C30">
        <w:rPr>
          <w:lang w:eastAsia="en-NZ"/>
        </w:rPr>
        <w:t>1 October 2017–31 March 2018 (</w:t>
      </w:r>
      <w:r w:rsidR="00D62D23">
        <w:rPr>
          <w:lang w:eastAsia="en-NZ"/>
        </w:rPr>
        <w:t>Q</w:t>
      </w:r>
      <w:r>
        <w:rPr>
          <w:lang w:eastAsia="en-NZ"/>
        </w:rPr>
        <w:t xml:space="preserve">uarters </w:t>
      </w:r>
      <w:r w:rsidR="00D62D23">
        <w:rPr>
          <w:lang w:eastAsia="en-NZ"/>
        </w:rPr>
        <w:t>2</w:t>
      </w:r>
      <w:r>
        <w:rPr>
          <w:lang w:eastAsia="en-NZ"/>
        </w:rPr>
        <w:t xml:space="preserve"> and </w:t>
      </w:r>
      <w:r w:rsidR="00D62D23">
        <w:rPr>
          <w:lang w:eastAsia="en-NZ"/>
        </w:rPr>
        <w:t>3</w:t>
      </w:r>
      <w:r>
        <w:rPr>
          <w:lang w:eastAsia="en-NZ"/>
        </w:rPr>
        <w:t xml:space="preserve"> data</w:t>
      </w:r>
      <w:r w:rsidRPr="001D0C30">
        <w:rPr>
          <w:lang w:eastAsia="en-NZ"/>
        </w:rPr>
        <w:t>)</w:t>
      </w:r>
    </w:p>
    <w:p w14:paraId="16F126F8" w14:textId="77777777" w:rsidR="007F5F89" w:rsidRPr="001D0C30" w:rsidRDefault="007F5F89" w:rsidP="00D62D23">
      <w:pPr>
        <w:pStyle w:val="Bullet"/>
        <w:rPr>
          <w:lang w:eastAsia="en-NZ"/>
        </w:rPr>
      </w:pPr>
      <w:r w:rsidRPr="001D0C30">
        <w:rPr>
          <w:lang w:eastAsia="en-NZ"/>
        </w:rPr>
        <w:t>1 July 2017–30 June 2018 (2017/18 full</w:t>
      </w:r>
      <w:r>
        <w:rPr>
          <w:lang w:eastAsia="en-NZ"/>
        </w:rPr>
        <w:t>-</w:t>
      </w:r>
      <w:r w:rsidRPr="001D0C30">
        <w:rPr>
          <w:lang w:eastAsia="en-NZ"/>
        </w:rPr>
        <w:t xml:space="preserve">year </w:t>
      </w:r>
      <w:r>
        <w:rPr>
          <w:lang w:eastAsia="en-NZ"/>
        </w:rPr>
        <w:t>data</w:t>
      </w:r>
      <w:r w:rsidRPr="001D0C30">
        <w:rPr>
          <w:lang w:eastAsia="en-NZ"/>
        </w:rPr>
        <w:t>)</w:t>
      </w:r>
      <w:r>
        <w:rPr>
          <w:lang w:eastAsia="en-NZ"/>
        </w:rPr>
        <w:t>.</w:t>
      </w:r>
    </w:p>
    <w:p w14:paraId="3C70AFC4" w14:textId="77777777" w:rsidR="007F5F89" w:rsidRPr="001D0C30" w:rsidRDefault="007F5F89" w:rsidP="00D62D23">
      <w:pPr>
        <w:rPr>
          <w:lang w:eastAsia="en-NZ"/>
        </w:rPr>
      </w:pPr>
    </w:p>
    <w:p w14:paraId="4A13CA78" w14:textId="77777777" w:rsidR="00776894" w:rsidRDefault="007F5F89" w:rsidP="00D62D23">
      <w:r w:rsidRPr="001D0C30">
        <w:t xml:space="preserve">It should be noted that the </w:t>
      </w:r>
      <w:r w:rsidR="00D62D23">
        <w:t>Q</w:t>
      </w:r>
      <w:r>
        <w:t xml:space="preserve">uarter </w:t>
      </w:r>
      <w:r w:rsidR="00D62D23">
        <w:t>1</w:t>
      </w:r>
      <w:r>
        <w:t xml:space="preserve"> </w:t>
      </w:r>
      <w:r w:rsidRPr="001D0C30">
        <w:t>data is likely to under</w:t>
      </w:r>
      <w:r>
        <w:t>-</w:t>
      </w:r>
      <w:r w:rsidRPr="001D0C30">
        <w:t xml:space="preserve">report </w:t>
      </w:r>
      <w:r>
        <w:t>people</w:t>
      </w:r>
      <w:r w:rsidR="00776894">
        <w:t>’</w:t>
      </w:r>
      <w:r>
        <w:t xml:space="preserve">s </w:t>
      </w:r>
      <w:r w:rsidRPr="001D0C30">
        <w:t>actual level of qualification attainment</w:t>
      </w:r>
      <w:r>
        <w:t>,</w:t>
      </w:r>
      <w:r w:rsidRPr="001D0C30">
        <w:t xml:space="preserve"> because it took up to 10 weeks for </w:t>
      </w:r>
      <w:proofErr w:type="spellStart"/>
      <w:r>
        <w:t>Careerforce</w:t>
      </w:r>
      <w:proofErr w:type="spellEnd"/>
      <w:r>
        <w:t xml:space="preserve"> to assess </w:t>
      </w:r>
      <w:r w:rsidRPr="001D0C30">
        <w:t>workers</w:t>
      </w:r>
      <w:r w:rsidR="00776894">
        <w:t>’</w:t>
      </w:r>
      <w:r w:rsidRPr="001D0C30">
        <w:t xml:space="preserve"> qualifications as equivalent</w:t>
      </w:r>
      <w:r>
        <w:t xml:space="preserve"> to a </w:t>
      </w:r>
      <w:r w:rsidRPr="006570B5">
        <w:t>N</w:t>
      </w:r>
      <w:r>
        <w:t xml:space="preserve">ew </w:t>
      </w:r>
      <w:r w:rsidRPr="006570B5">
        <w:t>Z</w:t>
      </w:r>
      <w:r>
        <w:t>ealand</w:t>
      </w:r>
      <w:r w:rsidRPr="006570B5">
        <w:t xml:space="preserve"> Certificate in Health and Wellbeing.</w:t>
      </w:r>
      <w:r w:rsidRPr="00D62D23">
        <w:rPr>
          <w:rStyle w:val="FootnoteReference"/>
        </w:rPr>
        <w:footnoteReference w:id="4"/>
      </w:r>
    </w:p>
    <w:p w14:paraId="744B3662" w14:textId="77777777" w:rsidR="007F5F89" w:rsidRPr="001D0C30" w:rsidRDefault="007F5F89" w:rsidP="00D62D23"/>
    <w:p w14:paraId="047230D0" w14:textId="77777777" w:rsidR="007F5F89" w:rsidRPr="001D0C30" w:rsidRDefault="007F5F89" w:rsidP="00D62D23">
      <w:r w:rsidRPr="001D0C30">
        <w:t xml:space="preserve">During </w:t>
      </w:r>
      <w:r>
        <w:t xml:space="preserve">the </w:t>
      </w:r>
      <w:r w:rsidRPr="001D0C30">
        <w:t>2017/18 full</w:t>
      </w:r>
      <w:r>
        <w:t>-</w:t>
      </w:r>
      <w:r w:rsidRPr="001D0C30">
        <w:t xml:space="preserve">year </w:t>
      </w:r>
      <w:r>
        <w:t>data</w:t>
      </w:r>
      <w:r w:rsidRPr="001D0C30">
        <w:t>, 397 providers submitted their workforce data. Not all employers working across sectors could identify what contract their employees were employed under</w:t>
      </w:r>
      <w:r>
        <w:t xml:space="preserve">, resulting in </w:t>
      </w:r>
      <w:r w:rsidRPr="001D0C30">
        <w:t>26</w:t>
      </w:r>
      <w:r>
        <w:t> percent</w:t>
      </w:r>
      <w:r w:rsidRPr="001D0C30">
        <w:t xml:space="preserve"> of </w:t>
      </w:r>
      <w:r>
        <w:t>support worker unique identifiers not being mapped to a service/sector</w:t>
      </w:r>
      <w:r w:rsidRPr="001D0C30">
        <w:t>.</w:t>
      </w:r>
    </w:p>
    <w:p w14:paraId="2BC73B8F" w14:textId="77777777" w:rsidR="007F5F89" w:rsidRPr="001D0C30" w:rsidRDefault="007F5F89" w:rsidP="00D62D23"/>
    <w:p w14:paraId="1544A5EF" w14:textId="77777777" w:rsidR="007F5F89" w:rsidRPr="001D0C30" w:rsidRDefault="007F5F89" w:rsidP="00D62D23">
      <w:pPr>
        <w:rPr>
          <w:color w:val="000000"/>
          <w:lang w:eastAsia="en-NZ"/>
        </w:rPr>
      </w:pPr>
      <w:r w:rsidRPr="001D0C30">
        <w:t>All providers receive pay equity funding through contract price adjustments</w:t>
      </w:r>
      <w:r>
        <w:t xml:space="preserve">, which </w:t>
      </w:r>
      <w:r w:rsidRPr="001D0C30">
        <w:t>account for the associated support worker wage increase and increased qualifications.</w:t>
      </w:r>
    </w:p>
    <w:p w14:paraId="059E7228" w14:textId="77777777" w:rsidR="007F5F89" w:rsidRPr="001D0C30" w:rsidRDefault="007F5F89" w:rsidP="00D62D23">
      <w:pPr>
        <w:rPr>
          <w:lang w:eastAsia="en-NZ"/>
        </w:rPr>
      </w:pPr>
    </w:p>
    <w:p w14:paraId="2A8E2214" w14:textId="77777777" w:rsidR="00776894" w:rsidRDefault="007F5F89" w:rsidP="00C65C32">
      <w:pPr>
        <w:rPr>
          <w:lang w:eastAsia="en-NZ"/>
        </w:rPr>
      </w:pPr>
      <w:r w:rsidRPr="001D0C30">
        <w:rPr>
          <w:lang w:eastAsia="en-NZ"/>
        </w:rPr>
        <w:t xml:space="preserve">The Ministry </w:t>
      </w:r>
      <w:r>
        <w:rPr>
          <w:lang w:eastAsia="en-NZ"/>
        </w:rPr>
        <w:t xml:space="preserve">of Health </w:t>
      </w:r>
      <w:r w:rsidRPr="001D0C30">
        <w:rPr>
          <w:lang w:eastAsia="en-NZ"/>
        </w:rPr>
        <w:t xml:space="preserve">is now collecting care and support worker data through an annual survey of providers. </w:t>
      </w:r>
      <w:r>
        <w:rPr>
          <w:lang w:eastAsia="en-NZ"/>
        </w:rPr>
        <w:t xml:space="preserve">For </w:t>
      </w:r>
      <w:r w:rsidRPr="001D0C30">
        <w:rPr>
          <w:lang w:eastAsia="en-NZ"/>
        </w:rPr>
        <w:t>the 2019 survey</w:t>
      </w:r>
      <w:r>
        <w:rPr>
          <w:lang w:eastAsia="en-NZ"/>
        </w:rPr>
        <w:t>,</w:t>
      </w:r>
      <w:r w:rsidRPr="001D0C30">
        <w:rPr>
          <w:lang w:eastAsia="en-NZ"/>
        </w:rPr>
        <w:t xml:space="preserve"> providers </w:t>
      </w:r>
      <w:r>
        <w:rPr>
          <w:lang w:eastAsia="en-NZ"/>
        </w:rPr>
        <w:t xml:space="preserve">chose </w:t>
      </w:r>
      <w:r w:rsidRPr="001D0C30">
        <w:rPr>
          <w:lang w:eastAsia="en-NZ"/>
        </w:rPr>
        <w:t>a fortnight period</w:t>
      </w:r>
      <w:r>
        <w:rPr>
          <w:lang w:eastAsia="en-NZ"/>
        </w:rPr>
        <w:t xml:space="preserve"> </w:t>
      </w:r>
      <w:r w:rsidRPr="001D0C30">
        <w:rPr>
          <w:lang w:eastAsia="en-NZ"/>
        </w:rPr>
        <w:t xml:space="preserve">that aligned with their payroll cycle that fell between 28 January 2019 and </w:t>
      </w:r>
      <w:proofErr w:type="gramStart"/>
      <w:r w:rsidRPr="001D0C30">
        <w:rPr>
          <w:lang w:eastAsia="en-NZ"/>
        </w:rPr>
        <w:t>24 February 2019</w:t>
      </w:r>
      <w:r>
        <w:rPr>
          <w:lang w:eastAsia="en-NZ"/>
        </w:rPr>
        <w:t>, and</w:t>
      </w:r>
      <w:proofErr w:type="gramEnd"/>
      <w:r>
        <w:rPr>
          <w:lang w:eastAsia="en-NZ"/>
        </w:rPr>
        <w:t xml:space="preserve"> submitted data on that period</w:t>
      </w:r>
      <w:r w:rsidRPr="001D0C30">
        <w:rPr>
          <w:lang w:eastAsia="en-NZ"/>
        </w:rPr>
        <w:t xml:space="preserve">. </w:t>
      </w:r>
      <w:r>
        <w:rPr>
          <w:lang w:eastAsia="en-NZ"/>
        </w:rPr>
        <w:t xml:space="preserve">Overall, 316 </w:t>
      </w:r>
      <w:r w:rsidRPr="001D0C30">
        <w:rPr>
          <w:lang w:eastAsia="en-NZ"/>
        </w:rPr>
        <w:t>providers submitted data</w:t>
      </w:r>
      <w:r>
        <w:rPr>
          <w:lang w:eastAsia="en-NZ"/>
        </w:rPr>
        <w:t>:</w:t>
      </w:r>
      <w:r w:rsidRPr="001D0C30">
        <w:rPr>
          <w:lang w:eastAsia="en-NZ"/>
        </w:rPr>
        <w:t xml:space="preserve"> </w:t>
      </w:r>
      <w:r>
        <w:rPr>
          <w:lang w:eastAsia="en-NZ"/>
        </w:rPr>
        <w:t>t</w:t>
      </w:r>
      <w:r w:rsidRPr="001D0C30">
        <w:rPr>
          <w:lang w:eastAsia="en-NZ"/>
        </w:rPr>
        <w:t>his represents an 80</w:t>
      </w:r>
      <w:r>
        <w:rPr>
          <w:lang w:eastAsia="en-NZ"/>
        </w:rPr>
        <w:t> percent</w:t>
      </w:r>
      <w:r w:rsidRPr="001D0C30">
        <w:rPr>
          <w:lang w:eastAsia="en-NZ"/>
        </w:rPr>
        <w:t xml:space="preserve"> response rate from providers that received funding in 2017/18. The 2019 survey include</w:t>
      </w:r>
      <w:r>
        <w:rPr>
          <w:lang w:eastAsia="en-NZ"/>
        </w:rPr>
        <w:t>d</w:t>
      </w:r>
      <w:r w:rsidRPr="001D0C30">
        <w:rPr>
          <w:lang w:eastAsia="en-NZ"/>
        </w:rPr>
        <w:t xml:space="preserve"> the</w:t>
      </w:r>
      <w:r>
        <w:rPr>
          <w:lang w:eastAsia="en-NZ"/>
        </w:rPr>
        <w:t xml:space="preserve"> </w:t>
      </w:r>
      <w:r w:rsidRPr="001D0C30">
        <w:rPr>
          <w:lang w:eastAsia="en-NZ"/>
        </w:rPr>
        <w:t xml:space="preserve">100 largest employers, based on 2017/18 data, and therefore </w:t>
      </w:r>
      <w:r>
        <w:rPr>
          <w:lang w:eastAsia="en-NZ"/>
        </w:rPr>
        <w:t xml:space="preserve">had </w:t>
      </w:r>
      <w:r w:rsidRPr="001D0C30">
        <w:rPr>
          <w:lang w:eastAsia="en-NZ"/>
        </w:rPr>
        <w:t>a higher response rate based on number of employees. The 81</w:t>
      </w:r>
      <w:r w:rsidR="00D62D23">
        <w:rPr>
          <w:lang w:eastAsia="en-NZ"/>
        </w:rPr>
        <w:t> </w:t>
      </w:r>
      <w:r w:rsidRPr="001D0C30">
        <w:rPr>
          <w:lang w:eastAsia="en-NZ"/>
        </w:rPr>
        <w:t>providers that did not respond to the 2019 survey are smaller providers that generally have less than 10 employees.</w:t>
      </w:r>
    </w:p>
    <w:p w14:paraId="29BE1FED" w14:textId="77777777" w:rsidR="007F5F89" w:rsidRPr="001D0C30" w:rsidRDefault="007F5F89" w:rsidP="00D62D23">
      <w:pPr>
        <w:rPr>
          <w:lang w:eastAsia="en-NZ"/>
        </w:rPr>
      </w:pPr>
    </w:p>
    <w:p w14:paraId="7DDB8596" w14:textId="468E840A" w:rsidR="007F5F89" w:rsidRPr="001D0C30" w:rsidRDefault="007F5F89" w:rsidP="00D62D23">
      <w:r w:rsidRPr="001D0C30">
        <w:lastRenderedPageBreak/>
        <w:t xml:space="preserve">The </w:t>
      </w:r>
      <w:r>
        <w:t xml:space="preserve">Ministry considers that the time period specified for </w:t>
      </w:r>
      <w:r w:rsidRPr="001D0C30">
        <w:t>the 2019 workforce survey represents an average worked period</w:t>
      </w:r>
      <w:r>
        <w:t>,</w:t>
      </w:r>
      <w:r w:rsidRPr="001D0C30">
        <w:t xml:space="preserve"> </w:t>
      </w:r>
      <w:r>
        <w:t xml:space="preserve">and accurately reflects </w:t>
      </w:r>
      <w:r w:rsidRPr="001D0C30">
        <w:t>the workforce</w:t>
      </w:r>
      <w:r>
        <w:t xml:space="preserve"> at that time</w:t>
      </w:r>
      <w:r w:rsidRPr="001D0C30">
        <w:t>. However, there are limitations</w:t>
      </w:r>
      <w:r>
        <w:t>.</w:t>
      </w:r>
      <w:r w:rsidRPr="001D0C30">
        <w:t xml:space="preserve"> </w:t>
      </w:r>
      <w:r>
        <w:t xml:space="preserve">The survey </w:t>
      </w:r>
      <w:r w:rsidRPr="001D0C30">
        <w:t>excludes workers who were</w:t>
      </w:r>
      <w:r>
        <w:t xml:space="preserve"> </w:t>
      </w:r>
      <w:r w:rsidRPr="001D0C30">
        <w:t>n</w:t>
      </w:r>
      <w:r>
        <w:t>o</w:t>
      </w:r>
      <w:r w:rsidRPr="001D0C30">
        <w:t xml:space="preserve">t working during the period </w:t>
      </w:r>
      <w:r>
        <w:t xml:space="preserve">(that is, </w:t>
      </w:r>
      <w:r w:rsidRPr="001D0C30">
        <w:t xml:space="preserve">workers </w:t>
      </w:r>
      <w:r>
        <w:t xml:space="preserve">who </w:t>
      </w:r>
      <w:r w:rsidRPr="001D0C30">
        <w:t>were si</w:t>
      </w:r>
      <w:r w:rsidRPr="001D0C30">
        <w:rPr>
          <w:lang w:eastAsia="en-NZ"/>
        </w:rPr>
        <w:t>c</w:t>
      </w:r>
      <w:r w:rsidRPr="001D0C30">
        <w:t>k or on annual leave</w:t>
      </w:r>
      <w:r>
        <w:t>)</w:t>
      </w:r>
      <w:r w:rsidRPr="001D0C30">
        <w:t xml:space="preserve">. The data is </w:t>
      </w:r>
      <w:r>
        <w:t xml:space="preserve">comparable to </w:t>
      </w:r>
      <w:r w:rsidRPr="001D0C30">
        <w:t>the 2017/18 full</w:t>
      </w:r>
      <w:r>
        <w:t>-</w:t>
      </w:r>
      <w:r w:rsidRPr="001D0C30">
        <w:t xml:space="preserve">year data of qualification growth, but </w:t>
      </w:r>
      <w:r>
        <w:t xml:space="preserve">it </w:t>
      </w:r>
      <w:r w:rsidRPr="001D0C30">
        <w:t>cannot be used to analyse the total numbers of workers across the periods</w:t>
      </w:r>
      <w:r>
        <w:t xml:space="preserve">; that total </w:t>
      </w:r>
      <w:r w:rsidRPr="001D0C30">
        <w:t>is calculated by counting the number of unique staff identifiers within a period. For example, the 2017/18 full</w:t>
      </w:r>
      <w:r>
        <w:t>-</w:t>
      </w:r>
      <w:r w:rsidRPr="001D0C30">
        <w:t>year data includes any support workers paid during the 2017/18 financial year</w:t>
      </w:r>
      <w:r>
        <w:t>,</w:t>
      </w:r>
      <w:r w:rsidRPr="001D0C30">
        <w:t xml:space="preserve"> regardless </w:t>
      </w:r>
      <w:r>
        <w:t>of how long the person worked during the year</w:t>
      </w:r>
      <w:r w:rsidRPr="001D0C30">
        <w:t xml:space="preserve">. There were 42,901 support workers employed during 2017/18, and 28,934 workers employed during the February 2019 </w:t>
      </w:r>
      <w:r>
        <w:t xml:space="preserve">survey period </w:t>
      </w:r>
      <w:r w:rsidRPr="001D0C30">
        <w:t>(</w:t>
      </w:r>
      <w:r>
        <w:t xml:space="preserve">see </w:t>
      </w:r>
      <w:r w:rsidRPr="001D0C30">
        <w:t xml:space="preserve">Appendix </w:t>
      </w:r>
      <w:r w:rsidR="006D35B2">
        <w:t>1</w:t>
      </w:r>
      <w:r w:rsidRPr="001D0C30">
        <w:t>).</w:t>
      </w:r>
    </w:p>
    <w:p w14:paraId="69A0B810" w14:textId="77777777" w:rsidR="007F5F89" w:rsidRPr="001D0C30" w:rsidRDefault="007F5F89" w:rsidP="00D62D23">
      <w:pPr>
        <w:rPr>
          <w:lang w:eastAsia="en-NZ"/>
        </w:rPr>
      </w:pPr>
    </w:p>
    <w:p w14:paraId="55C21F4B" w14:textId="77777777" w:rsidR="007F5F89" w:rsidRPr="001D0C30" w:rsidRDefault="007F5F89" w:rsidP="00D62D23">
      <w:pPr>
        <w:rPr>
          <w:lang w:eastAsia="en-NZ"/>
        </w:rPr>
      </w:pPr>
      <w:r w:rsidRPr="001D0C30">
        <w:rPr>
          <w:lang w:eastAsia="en-NZ"/>
        </w:rPr>
        <w:t>Another limitation of the data is the use of the unique employee identifier from providers</w:t>
      </w:r>
      <w:r w:rsidR="00776894">
        <w:rPr>
          <w:lang w:eastAsia="en-NZ"/>
        </w:rPr>
        <w:t>’</w:t>
      </w:r>
      <w:r w:rsidRPr="001D0C30">
        <w:rPr>
          <w:lang w:eastAsia="en-NZ"/>
        </w:rPr>
        <w:t xml:space="preserve"> payroll systems. </w:t>
      </w:r>
      <w:r>
        <w:rPr>
          <w:lang w:eastAsia="en-NZ"/>
        </w:rPr>
        <w:t xml:space="preserve">The Ministry understands </w:t>
      </w:r>
      <w:r w:rsidRPr="001D0C30">
        <w:rPr>
          <w:lang w:eastAsia="en-NZ"/>
        </w:rPr>
        <w:t xml:space="preserve">that a small number of workers have multiple employers. Typically, this happens in the </w:t>
      </w:r>
      <w:r>
        <w:rPr>
          <w:lang w:eastAsia="en-NZ"/>
        </w:rPr>
        <w:t xml:space="preserve">HCS </w:t>
      </w:r>
      <w:r w:rsidRPr="001D0C30">
        <w:rPr>
          <w:lang w:eastAsia="en-NZ"/>
        </w:rPr>
        <w:t>sector. This</w:t>
      </w:r>
      <w:r>
        <w:rPr>
          <w:lang w:eastAsia="en-NZ"/>
        </w:rPr>
        <w:t xml:space="preserve"> factor</w:t>
      </w:r>
      <w:r w:rsidRPr="001D0C30">
        <w:rPr>
          <w:lang w:eastAsia="en-NZ"/>
        </w:rPr>
        <w:t xml:space="preserve"> could </w:t>
      </w:r>
      <w:r>
        <w:rPr>
          <w:lang w:eastAsia="en-NZ"/>
        </w:rPr>
        <w:t xml:space="preserve">result in over-reporting of </w:t>
      </w:r>
      <w:r w:rsidRPr="001D0C30">
        <w:rPr>
          <w:lang w:eastAsia="en-NZ"/>
        </w:rPr>
        <w:t>the number of workers.</w:t>
      </w:r>
      <w:r>
        <w:rPr>
          <w:lang w:eastAsia="en-NZ"/>
        </w:rPr>
        <w:t xml:space="preserve"> </w:t>
      </w:r>
      <w:r w:rsidRPr="001D0C30">
        <w:rPr>
          <w:lang w:eastAsia="en-NZ"/>
        </w:rPr>
        <w:t xml:space="preserve">However, </w:t>
      </w:r>
      <w:r>
        <w:rPr>
          <w:lang w:eastAsia="en-NZ"/>
        </w:rPr>
        <w:t xml:space="preserve">it </w:t>
      </w:r>
      <w:r w:rsidRPr="001D0C30">
        <w:rPr>
          <w:lang w:eastAsia="en-NZ"/>
        </w:rPr>
        <w:t xml:space="preserve">is unlikely to be material. </w:t>
      </w:r>
      <w:r>
        <w:rPr>
          <w:lang w:eastAsia="en-NZ"/>
        </w:rPr>
        <w:t>Additionally, c</w:t>
      </w:r>
      <w:r w:rsidRPr="001D0C30">
        <w:rPr>
          <w:lang w:eastAsia="en-NZ"/>
        </w:rPr>
        <w:t>hanges in unique identifiers due to providers merging mean</w:t>
      </w:r>
      <w:r>
        <w:rPr>
          <w:lang w:eastAsia="en-NZ"/>
        </w:rPr>
        <w:t>t</w:t>
      </w:r>
      <w:r w:rsidRPr="001D0C30">
        <w:rPr>
          <w:lang w:eastAsia="en-NZ"/>
        </w:rPr>
        <w:t xml:space="preserve"> that a small number of workers could</w:t>
      </w:r>
      <w:r>
        <w:rPr>
          <w:lang w:eastAsia="en-NZ"/>
        </w:rPr>
        <w:t xml:space="preserve"> </w:t>
      </w:r>
      <w:r w:rsidRPr="001D0C30">
        <w:rPr>
          <w:lang w:eastAsia="en-NZ"/>
        </w:rPr>
        <w:t>n</w:t>
      </w:r>
      <w:r>
        <w:rPr>
          <w:lang w:eastAsia="en-NZ"/>
        </w:rPr>
        <w:t>o</w:t>
      </w:r>
      <w:r w:rsidRPr="001D0C30">
        <w:rPr>
          <w:lang w:eastAsia="en-NZ"/>
        </w:rPr>
        <w:t>t be matched between the different datasets.</w:t>
      </w:r>
    </w:p>
    <w:p w14:paraId="13376627" w14:textId="77777777" w:rsidR="007F5F89" w:rsidRPr="001D0C30" w:rsidRDefault="007F5F89" w:rsidP="00D62D23">
      <w:pPr>
        <w:rPr>
          <w:lang w:eastAsia="en-NZ"/>
        </w:rPr>
      </w:pPr>
    </w:p>
    <w:p w14:paraId="4F569AD8" w14:textId="77777777" w:rsidR="007F5F89" w:rsidRPr="001D0C30" w:rsidRDefault="007F5F89" w:rsidP="00D62D23">
      <w:pPr>
        <w:pStyle w:val="Heading2"/>
        <w:rPr>
          <w:lang w:eastAsia="en-NZ"/>
        </w:rPr>
      </w:pPr>
      <w:bookmarkStart w:id="8" w:name="_Toc27123872"/>
      <w:r>
        <w:rPr>
          <w:lang w:eastAsia="en-NZ"/>
        </w:rPr>
        <w:t>A</w:t>
      </w:r>
      <w:r w:rsidRPr="001D0C30">
        <w:rPr>
          <w:lang w:eastAsia="en-NZ"/>
        </w:rPr>
        <w:t xml:space="preserve">ged </w:t>
      </w:r>
      <w:r>
        <w:rPr>
          <w:lang w:eastAsia="en-NZ"/>
        </w:rPr>
        <w:t>r</w:t>
      </w:r>
      <w:r w:rsidRPr="001D0C30">
        <w:rPr>
          <w:lang w:eastAsia="en-NZ"/>
        </w:rPr>
        <w:t xml:space="preserve">esidential </w:t>
      </w:r>
      <w:r>
        <w:rPr>
          <w:lang w:eastAsia="en-NZ"/>
        </w:rPr>
        <w:t>c</w:t>
      </w:r>
      <w:r w:rsidRPr="001D0C30">
        <w:rPr>
          <w:lang w:eastAsia="en-NZ"/>
        </w:rPr>
        <w:t xml:space="preserve">are </w:t>
      </w:r>
      <w:r>
        <w:rPr>
          <w:lang w:eastAsia="en-NZ"/>
        </w:rPr>
        <w:t>sector</w:t>
      </w:r>
      <w:bookmarkEnd w:id="8"/>
    </w:p>
    <w:p w14:paraId="487F1E8B" w14:textId="77777777" w:rsidR="007F5F89" w:rsidRPr="001D0C30" w:rsidRDefault="007F5F89" w:rsidP="00D62D23">
      <w:pPr>
        <w:rPr>
          <w:lang w:eastAsia="en-NZ"/>
        </w:rPr>
      </w:pPr>
      <w:r w:rsidRPr="001D0C30">
        <w:rPr>
          <w:lang w:eastAsia="en-NZ"/>
        </w:rPr>
        <w:t xml:space="preserve">Data was not collected for </w:t>
      </w:r>
      <w:r>
        <w:rPr>
          <w:lang w:eastAsia="en-NZ"/>
        </w:rPr>
        <w:t>the aged residential care (</w:t>
      </w:r>
      <w:r w:rsidRPr="001D0C30">
        <w:rPr>
          <w:lang w:eastAsia="en-NZ"/>
        </w:rPr>
        <w:t>A</w:t>
      </w:r>
      <w:r>
        <w:rPr>
          <w:lang w:eastAsia="en-NZ"/>
        </w:rPr>
        <w:t xml:space="preserve">RC) sector </w:t>
      </w:r>
      <w:r w:rsidRPr="001D0C30">
        <w:rPr>
          <w:lang w:eastAsia="en-NZ"/>
        </w:rPr>
        <w:t>in 2017/18</w:t>
      </w:r>
      <w:r>
        <w:rPr>
          <w:lang w:eastAsia="en-NZ"/>
        </w:rPr>
        <w:t>,</w:t>
      </w:r>
      <w:r w:rsidRPr="001D0C30">
        <w:rPr>
          <w:lang w:eastAsia="en-NZ"/>
        </w:rPr>
        <w:t xml:space="preserve"> because </w:t>
      </w:r>
      <w:r>
        <w:rPr>
          <w:lang w:eastAsia="en-NZ"/>
        </w:rPr>
        <w:t xml:space="preserve">unlike the other sectors </w:t>
      </w:r>
      <w:r w:rsidRPr="001D0C30">
        <w:rPr>
          <w:lang w:eastAsia="en-NZ"/>
        </w:rPr>
        <w:t xml:space="preserve">funding for </w:t>
      </w:r>
      <w:r>
        <w:rPr>
          <w:lang w:eastAsia="en-NZ"/>
        </w:rPr>
        <w:t>p</w:t>
      </w:r>
      <w:r w:rsidRPr="001D0C30">
        <w:rPr>
          <w:lang w:eastAsia="en-NZ"/>
        </w:rPr>
        <w:t xml:space="preserve">ay </w:t>
      </w:r>
      <w:r>
        <w:rPr>
          <w:lang w:eastAsia="en-NZ"/>
        </w:rPr>
        <w:t>e</w:t>
      </w:r>
      <w:r w:rsidRPr="001D0C30">
        <w:rPr>
          <w:lang w:eastAsia="en-NZ"/>
        </w:rPr>
        <w:t xml:space="preserve">quity was negotiated into contract prices from 1 July 2017. This means that there is no reliable reference point to track qualification attainment for this sector. </w:t>
      </w:r>
      <w:r>
        <w:rPr>
          <w:lang w:eastAsia="en-NZ"/>
        </w:rPr>
        <w:t>We note that t</w:t>
      </w:r>
      <w:r w:rsidRPr="001D0C30">
        <w:rPr>
          <w:lang w:eastAsia="en-NZ"/>
        </w:rPr>
        <w:t xml:space="preserve">he New Zealand Aged </w:t>
      </w:r>
      <w:r>
        <w:rPr>
          <w:lang w:eastAsia="en-NZ"/>
        </w:rPr>
        <w:t>Care</w:t>
      </w:r>
      <w:r w:rsidRPr="001D0C30">
        <w:rPr>
          <w:lang w:eastAsia="en-NZ"/>
        </w:rPr>
        <w:t xml:space="preserve"> Association undertook a survey of some of its members in 2018</w:t>
      </w:r>
      <w:r>
        <w:rPr>
          <w:lang w:eastAsia="en-NZ"/>
        </w:rPr>
        <w:t xml:space="preserve">; however, this </w:t>
      </w:r>
      <w:r w:rsidRPr="001D0C30">
        <w:rPr>
          <w:lang w:eastAsia="en-NZ"/>
        </w:rPr>
        <w:t>data is not comparable.</w:t>
      </w:r>
    </w:p>
    <w:p w14:paraId="4FC39EAD" w14:textId="77777777" w:rsidR="007F5F89" w:rsidRPr="001D0C30" w:rsidRDefault="007F5F89" w:rsidP="00D62D23">
      <w:pPr>
        <w:rPr>
          <w:lang w:eastAsia="en-NZ"/>
        </w:rPr>
      </w:pPr>
    </w:p>
    <w:p w14:paraId="1EAB2712" w14:textId="77777777" w:rsidR="00776894" w:rsidRDefault="007F5F89" w:rsidP="00D62D23">
      <w:r>
        <w:rPr>
          <w:lang w:eastAsia="en-NZ"/>
        </w:rPr>
        <w:t>The Ministry collected d</w:t>
      </w:r>
      <w:r w:rsidRPr="001D0C30">
        <w:rPr>
          <w:lang w:eastAsia="en-NZ"/>
        </w:rPr>
        <w:t xml:space="preserve">ata </w:t>
      </w:r>
      <w:r>
        <w:rPr>
          <w:lang w:eastAsia="en-NZ"/>
        </w:rPr>
        <w:t xml:space="preserve">on the ARC sector </w:t>
      </w:r>
      <w:r w:rsidRPr="001D0C30">
        <w:rPr>
          <w:lang w:eastAsia="en-NZ"/>
        </w:rPr>
        <w:t xml:space="preserve">in </w:t>
      </w:r>
      <w:proofErr w:type="gramStart"/>
      <w:r w:rsidRPr="001D0C30">
        <w:rPr>
          <w:lang w:eastAsia="en-NZ"/>
        </w:rPr>
        <w:t>March 2019</w:t>
      </w:r>
      <w:r>
        <w:rPr>
          <w:lang w:eastAsia="en-NZ"/>
        </w:rPr>
        <w:t>,</w:t>
      </w:r>
      <w:r w:rsidRPr="001D0C30">
        <w:rPr>
          <w:lang w:eastAsia="en-NZ"/>
        </w:rPr>
        <w:t xml:space="preserve"> and</w:t>
      </w:r>
      <w:proofErr w:type="gramEnd"/>
      <w:r w:rsidRPr="001D0C30">
        <w:rPr>
          <w:lang w:eastAsia="en-NZ"/>
        </w:rPr>
        <w:t xml:space="preserve"> will collect </w:t>
      </w:r>
      <w:r>
        <w:rPr>
          <w:lang w:eastAsia="en-NZ"/>
        </w:rPr>
        <w:t xml:space="preserve">it </w:t>
      </w:r>
      <w:r w:rsidRPr="001D0C30">
        <w:rPr>
          <w:lang w:eastAsia="en-NZ"/>
        </w:rPr>
        <w:t xml:space="preserve">again until at least the completion of the settlement in 2021/22. Like </w:t>
      </w:r>
      <w:r>
        <w:rPr>
          <w:lang w:eastAsia="en-NZ"/>
        </w:rPr>
        <w:t xml:space="preserve">providers in </w:t>
      </w:r>
      <w:r w:rsidRPr="001D0C30">
        <w:rPr>
          <w:lang w:eastAsia="en-NZ"/>
        </w:rPr>
        <w:t xml:space="preserve">the </w:t>
      </w:r>
      <w:r>
        <w:rPr>
          <w:lang w:eastAsia="en-NZ"/>
        </w:rPr>
        <w:t>HCS</w:t>
      </w:r>
      <w:r w:rsidRPr="001D0C30">
        <w:rPr>
          <w:lang w:eastAsia="en-NZ"/>
        </w:rPr>
        <w:t xml:space="preserve">, </w:t>
      </w:r>
      <w:r>
        <w:rPr>
          <w:lang w:eastAsia="en-NZ"/>
        </w:rPr>
        <w:t>d</w:t>
      </w:r>
      <w:r w:rsidRPr="001D0C30">
        <w:rPr>
          <w:lang w:eastAsia="en-NZ"/>
        </w:rPr>
        <w:t xml:space="preserve">isability and </w:t>
      </w:r>
      <w:r>
        <w:rPr>
          <w:lang w:eastAsia="en-NZ"/>
        </w:rPr>
        <w:t xml:space="preserve">MH&amp;A </w:t>
      </w:r>
      <w:r w:rsidRPr="001D0C30">
        <w:rPr>
          <w:lang w:eastAsia="en-NZ"/>
        </w:rPr>
        <w:t xml:space="preserve">sectors, </w:t>
      </w:r>
      <w:r>
        <w:rPr>
          <w:lang w:eastAsia="en-NZ"/>
        </w:rPr>
        <w:t xml:space="preserve">for the purposes of the data collection ARC </w:t>
      </w:r>
      <w:r w:rsidRPr="001D0C30">
        <w:rPr>
          <w:lang w:eastAsia="en-NZ"/>
        </w:rPr>
        <w:t xml:space="preserve">providers </w:t>
      </w:r>
      <w:r w:rsidRPr="001D0C30">
        <w:t>select</w:t>
      </w:r>
      <w:r>
        <w:t>ed</w:t>
      </w:r>
      <w:r w:rsidRPr="001D0C30">
        <w:t xml:space="preserve"> a </w:t>
      </w:r>
      <w:r>
        <w:t>two-</w:t>
      </w:r>
      <w:r w:rsidRPr="001D0C30">
        <w:t xml:space="preserve">week period that fell between 25 February 2019 and 31 March 2019 that represented an average worked period. </w:t>
      </w:r>
      <w:r>
        <w:t xml:space="preserve">Of </w:t>
      </w:r>
      <w:r w:rsidRPr="001D0C30">
        <w:t>an expected 350 providers</w:t>
      </w:r>
      <w:r>
        <w:t>, 284</w:t>
      </w:r>
      <w:r w:rsidRPr="001D0C30">
        <w:t xml:space="preserve"> ARC providers submitted workforce data. All the largest ARC providers submitted data</w:t>
      </w:r>
      <w:r>
        <w:t>; thus,</w:t>
      </w:r>
      <w:r w:rsidRPr="001D0C30">
        <w:t xml:space="preserve"> the data represents a high coverage of support workers in the ARC sector.</w:t>
      </w:r>
    </w:p>
    <w:p w14:paraId="27069750" w14:textId="77777777" w:rsidR="007F5F89" w:rsidRDefault="007F5F89" w:rsidP="008E506D">
      <w:pPr>
        <w:rPr>
          <w:lang w:eastAsia="en-NZ"/>
        </w:rPr>
      </w:pPr>
    </w:p>
    <w:p w14:paraId="42E78D43" w14:textId="77777777" w:rsidR="007F5F89" w:rsidRPr="001D0C30" w:rsidRDefault="007F5F89" w:rsidP="008E506D">
      <w:pPr>
        <w:pStyle w:val="Heading1"/>
        <w:rPr>
          <w:lang w:eastAsia="en-NZ"/>
        </w:rPr>
      </w:pPr>
      <w:bookmarkStart w:id="9" w:name="_Toc27123873"/>
      <w:r w:rsidRPr="001D0C30">
        <w:rPr>
          <w:lang w:eastAsia="en-NZ"/>
        </w:rPr>
        <w:lastRenderedPageBreak/>
        <w:t>Analysis</w:t>
      </w:r>
      <w:bookmarkEnd w:id="9"/>
    </w:p>
    <w:p w14:paraId="48231BD4" w14:textId="77777777" w:rsidR="007F5F89" w:rsidRPr="001D0C30" w:rsidRDefault="007F5F89" w:rsidP="008E506D">
      <w:pPr>
        <w:rPr>
          <w:lang w:eastAsia="en-NZ"/>
        </w:rPr>
      </w:pPr>
      <w:r>
        <w:rPr>
          <w:lang w:eastAsia="en-NZ"/>
        </w:rPr>
        <w:t>A</w:t>
      </w:r>
      <w:r w:rsidRPr="001D0C30">
        <w:rPr>
          <w:lang w:eastAsia="en-NZ"/>
        </w:rPr>
        <w:t>nalysis of</w:t>
      </w:r>
      <w:r>
        <w:rPr>
          <w:lang w:eastAsia="en-NZ"/>
        </w:rPr>
        <w:t xml:space="preserve"> </w:t>
      </w:r>
      <w:r w:rsidRPr="001D0C30">
        <w:rPr>
          <w:lang w:eastAsia="en-NZ"/>
        </w:rPr>
        <w:t xml:space="preserve">workers by level of qualifications from the start of 2017/18 to February 2019 shows a significant increase in </w:t>
      </w:r>
      <w:r>
        <w:rPr>
          <w:lang w:eastAsia="en-NZ"/>
        </w:rPr>
        <w:t xml:space="preserve">the percentage of </w:t>
      </w:r>
      <w:r w:rsidRPr="001D0C30">
        <w:rPr>
          <w:lang w:eastAsia="en-NZ"/>
        </w:rPr>
        <w:t>workers with higher qualifications (</w:t>
      </w:r>
      <w:r>
        <w:rPr>
          <w:lang w:eastAsia="en-NZ"/>
        </w:rPr>
        <w:t xml:space="preserve">see </w:t>
      </w:r>
      <w:r w:rsidRPr="001D0C30">
        <w:rPr>
          <w:lang w:eastAsia="en-NZ"/>
        </w:rPr>
        <w:t xml:space="preserve">Appendix </w:t>
      </w:r>
      <w:r w:rsidR="008E506D">
        <w:rPr>
          <w:lang w:eastAsia="en-NZ"/>
        </w:rPr>
        <w:t>1</w:t>
      </w:r>
      <w:r w:rsidRPr="001D0C30">
        <w:rPr>
          <w:lang w:eastAsia="en-NZ"/>
        </w:rPr>
        <w:t>). From 1 July 2017 to February 2019</w:t>
      </w:r>
      <w:r>
        <w:rPr>
          <w:lang w:eastAsia="en-NZ"/>
        </w:rPr>
        <w:t>,</w:t>
      </w:r>
      <w:r w:rsidRPr="001D0C30">
        <w:rPr>
          <w:lang w:eastAsia="en-NZ"/>
        </w:rPr>
        <w:t xml:space="preserve"> there </w:t>
      </w:r>
      <w:r>
        <w:rPr>
          <w:lang w:eastAsia="en-NZ"/>
        </w:rPr>
        <w:t xml:space="preserve">was </w:t>
      </w:r>
      <w:r w:rsidRPr="001D0C30">
        <w:rPr>
          <w:lang w:eastAsia="en-NZ"/>
        </w:rPr>
        <w:t>an increase of workers with a Level 3 or Level 4 N</w:t>
      </w:r>
      <w:r>
        <w:rPr>
          <w:lang w:eastAsia="en-NZ"/>
        </w:rPr>
        <w:t xml:space="preserve">ew </w:t>
      </w:r>
      <w:r w:rsidRPr="001D0C30">
        <w:rPr>
          <w:lang w:eastAsia="en-NZ"/>
        </w:rPr>
        <w:t>Z</w:t>
      </w:r>
      <w:r>
        <w:rPr>
          <w:lang w:eastAsia="en-NZ"/>
        </w:rPr>
        <w:t>ealand</w:t>
      </w:r>
      <w:r w:rsidRPr="001D0C30">
        <w:rPr>
          <w:lang w:eastAsia="en-NZ"/>
        </w:rPr>
        <w:t xml:space="preserve"> Certificate in Health </w:t>
      </w:r>
      <w:r>
        <w:rPr>
          <w:lang w:eastAsia="en-NZ"/>
        </w:rPr>
        <w:t xml:space="preserve">and </w:t>
      </w:r>
      <w:r w:rsidRPr="001D0C30">
        <w:rPr>
          <w:lang w:eastAsia="en-NZ"/>
        </w:rPr>
        <w:t>Wellbeing (or a qualification assessed as equivalent)</w:t>
      </w:r>
      <w:r>
        <w:rPr>
          <w:lang w:eastAsia="en-NZ"/>
        </w:rPr>
        <w:t>, from 37 percent</w:t>
      </w:r>
      <w:r w:rsidRPr="001D0C30">
        <w:rPr>
          <w:lang w:eastAsia="en-NZ"/>
        </w:rPr>
        <w:t xml:space="preserve"> to 48</w:t>
      </w:r>
      <w:r>
        <w:rPr>
          <w:lang w:eastAsia="en-NZ"/>
        </w:rPr>
        <w:t> percent</w:t>
      </w:r>
      <w:r w:rsidRPr="001D0C30">
        <w:rPr>
          <w:lang w:eastAsia="en-NZ"/>
        </w:rPr>
        <w:t>.</w:t>
      </w:r>
      <w:r>
        <w:rPr>
          <w:lang w:eastAsia="en-NZ"/>
        </w:rPr>
        <w:t xml:space="preserve"> </w:t>
      </w:r>
      <w:r w:rsidRPr="001D0C30">
        <w:rPr>
          <w:lang w:eastAsia="en-NZ"/>
        </w:rPr>
        <w:t>Conversely, the percentage of unqualified workers (L</w:t>
      </w:r>
      <w:r>
        <w:rPr>
          <w:lang w:eastAsia="en-NZ"/>
        </w:rPr>
        <w:t>evel </w:t>
      </w:r>
      <w:r w:rsidRPr="001D0C30">
        <w:rPr>
          <w:lang w:eastAsia="en-NZ"/>
        </w:rPr>
        <w:t>0) reduced</w:t>
      </w:r>
      <w:r>
        <w:rPr>
          <w:lang w:eastAsia="en-NZ"/>
        </w:rPr>
        <w:t>,</w:t>
      </w:r>
      <w:r w:rsidRPr="001D0C30">
        <w:rPr>
          <w:lang w:eastAsia="en-NZ"/>
        </w:rPr>
        <w:t xml:space="preserve"> from 43</w:t>
      </w:r>
      <w:r>
        <w:rPr>
          <w:lang w:eastAsia="en-NZ"/>
        </w:rPr>
        <w:t xml:space="preserve"> percent </w:t>
      </w:r>
      <w:r w:rsidRPr="001D0C30">
        <w:rPr>
          <w:lang w:eastAsia="en-NZ"/>
        </w:rPr>
        <w:t>to 28</w:t>
      </w:r>
      <w:r>
        <w:rPr>
          <w:lang w:eastAsia="en-NZ"/>
        </w:rPr>
        <w:t> percent</w:t>
      </w:r>
      <w:r w:rsidRPr="001D0C30">
        <w:rPr>
          <w:lang w:eastAsia="en-NZ"/>
        </w:rPr>
        <w:t>.</w:t>
      </w:r>
    </w:p>
    <w:p w14:paraId="05EF81B7" w14:textId="77777777" w:rsidR="007F5F89" w:rsidRPr="001D0C30" w:rsidRDefault="007F5F89" w:rsidP="008E506D">
      <w:pPr>
        <w:rPr>
          <w:lang w:eastAsia="en-NZ"/>
        </w:rPr>
      </w:pPr>
    </w:p>
    <w:p w14:paraId="504FF9F5" w14:textId="77777777" w:rsidR="007F5F89" w:rsidRPr="001D0C30" w:rsidRDefault="007F5F89" w:rsidP="008E506D">
      <w:pPr>
        <w:rPr>
          <w:lang w:eastAsia="en-NZ"/>
        </w:rPr>
      </w:pPr>
      <w:r w:rsidRPr="001D0C30">
        <w:rPr>
          <w:lang w:eastAsia="en-NZ"/>
        </w:rPr>
        <w:t xml:space="preserve">Similarly, analysis of hours performed by level of qualification shows a significant increase in the percentage of hours </w:t>
      </w:r>
      <w:r>
        <w:rPr>
          <w:lang w:eastAsia="en-NZ"/>
        </w:rPr>
        <w:t xml:space="preserve">worked </w:t>
      </w:r>
      <w:r w:rsidRPr="001D0C30">
        <w:rPr>
          <w:lang w:eastAsia="en-NZ"/>
        </w:rPr>
        <w:t>by workers with higher levels of qualification</w:t>
      </w:r>
      <w:r>
        <w:rPr>
          <w:lang w:eastAsia="en-NZ"/>
        </w:rPr>
        <w:t xml:space="preserve"> </w:t>
      </w:r>
      <w:r w:rsidRPr="001D0C30">
        <w:rPr>
          <w:lang w:eastAsia="en-NZ"/>
        </w:rPr>
        <w:t>(</w:t>
      </w:r>
      <w:r>
        <w:rPr>
          <w:lang w:eastAsia="en-NZ"/>
        </w:rPr>
        <w:t xml:space="preserve">see </w:t>
      </w:r>
      <w:r w:rsidRPr="001D0C30">
        <w:rPr>
          <w:lang w:eastAsia="en-NZ"/>
        </w:rPr>
        <w:t xml:space="preserve">Appendix </w:t>
      </w:r>
      <w:r w:rsidR="008E506D">
        <w:rPr>
          <w:lang w:eastAsia="en-NZ"/>
        </w:rPr>
        <w:t>2</w:t>
      </w:r>
      <w:r w:rsidRPr="001D0C30">
        <w:rPr>
          <w:lang w:eastAsia="en-NZ"/>
        </w:rPr>
        <w:t>). From 1 July 2017 to February 2019</w:t>
      </w:r>
      <w:r>
        <w:rPr>
          <w:lang w:eastAsia="en-NZ"/>
        </w:rPr>
        <w:t>,</w:t>
      </w:r>
      <w:r w:rsidRPr="001D0C30">
        <w:rPr>
          <w:lang w:eastAsia="en-NZ"/>
        </w:rPr>
        <w:t xml:space="preserve"> there </w:t>
      </w:r>
      <w:r>
        <w:rPr>
          <w:lang w:eastAsia="en-NZ"/>
        </w:rPr>
        <w:t xml:space="preserve">was </w:t>
      </w:r>
      <w:r w:rsidRPr="001D0C30">
        <w:rPr>
          <w:lang w:eastAsia="en-NZ"/>
        </w:rPr>
        <w:t xml:space="preserve">an increase </w:t>
      </w:r>
      <w:r>
        <w:rPr>
          <w:lang w:eastAsia="en-NZ"/>
        </w:rPr>
        <w:t xml:space="preserve">in </w:t>
      </w:r>
      <w:r w:rsidRPr="001D0C30">
        <w:rPr>
          <w:lang w:eastAsia="en-NZ"/>
        </w:rPr>
        <w:t xml:space="preserve">hours </w:t>
      </w:r>
      <w:r>
        <w:rPr>
          <w:lang w:eastAsia="en-NZ"/>
        </w:rPr>
        <w:t xml:space="preserve">worked </w:t>
      </w:r>
      <w:r w:rsidRPr="001D0C30">
        <w:rPr>
          <w:lang w:eastAsia="en-NZ"/>
        </w:rPr>
        <w:t>by workers with a Level 3 or Level 4</w:t>
      </w:r>
      <w:r>
        <w:rPr>
          <w:lang w:eastAsia="en-NZ"/>
        </w:rPr>
        <w:t>, from 45 percent</w:t>
      </w:r>
      <w:r w:rsidRPr="001D0C30">
        <w:rPr>
          <w:lang w:eastAsia="en-NZ"/>
        </w:rPr>
        <w:t xml:space="preserve"> to 53</w:t>
      </w:r>
      <w:r>
        <w:rPr>
          <w:lang w:eastAsia="en-NZ"/>
        </w:rPr>
        <w:t> percent</w:t>
      </w:r>
      <w:r w:rsidRPr="001D0C30">
        <w:rPr>
          <w:lang w:eastAsia="en-NZ"/>
        </w:rPr>
        <w:t>. Conversely, the percentage of hours performed by unqualified workers reduced</w:t>
      </w:r>
      <w:r>
        <w:rPr>
          <w:lang w:eastAsia="en-NZ"/>
        </w:rPr>
        <w:t>,</w:t>
      </w:r>
      <w:r w:rsidRPr="001D0C30">
        <w:rPr>
          <w:lang w:eastAsia="en-NZ"/>
        </w:rPr>
        <w:t xml:space="preserve"> from 34</w:t>
      </w:r>
      <w:r>
        <w:rPr>
          <w:lang w:eastAsia="en-NZ"/>
        </w:rPr>
        <w:t> percent</w:t>
      </w:r>
      <w:r w:rsidRPr="001D0C30">
        <w:rPr>
          <w:lang w:eastAsia="en-NZ"/>
        </w:rPr>
        <w:t xml:space="preserve"> to 25</w:t>
      </w:r>
      <w:r>
        <w:rPr>
          <w:lang w:eastAsia="en-NZ"/>
        </w:rPr>
        <w:t> percent</w:t>
      </w:r>
      <w:r w:rsidRPr="001D0C30">
        <w:rPr>
          <w:lang w:eastAsia="en-NZ"/>
        </w:rPr>
        <w:t>.</w:t>
      </w:r>
    </w:p>
    <w:p w14:paraId="273519DA" w14:textId="77777777" w:rsidR="007F5F89" w:rsidRPr="001D0C30" w:rsidRDefault="007F5F89" w:rsidP="008E506D">
      <w:pPr>
        <w:rPr>
          <w:lang w:eastAsia="en-NZ"/>
        </w:rPr>
      </w:pPr>
    </w:p>
    <w:p w14:paraId="3B2D7E9C" w14:textId="77777777" w:rsidR="00776894" w:rsidRDefault="007F5F89" w:rsidP="008E506D">
      <w:pPr>
        <w:rPr>
          <w:lang w:eastAsia="en-NZ"/>
        </w:rPr>
      </w:pPr>
      <w:r w:rsidRPr="001D0C30">
        <w:rPr>
          <w:lang w:eastAsia="en-NZ"/>
        </w:rPr>
        <w:t>Though the data shows a steady overall increase in workers with qualifications</w:t>
      </w:r>
      <w:r>
        <w:rPr>
          <w:lang w:eastAsia="en-NZ"/>
        </w:rPr>
        <w:t xml:space="preserve">, </w:t>
      </w:r>
      <w:r w:rsidRPr="001D0C30">
        <w:rPr>
          <w:lang w:eastAsia="en-NZ"/>
        </w:rPr>
        <w:t xml:space="preserve">it should be noted that </w:t>
      </w:r>
      <w:r>
        <w:rPr>
          <w:lang w:eastAsia="en-NZ"/>
        </w:rPr>
        <w:t xml:space="preserve">the </w:t>
      </w:r>
      <w:r w:rsidRPr="001D0C30">
        <w:rPr>
          <w:lang w:eastAsia="en-NZ"/>
        </w:rPr>
        <w:t xml:space="preserve">number of workers </w:t>
      </w:r>
      <w:r>
        <w:rPr>
          <w:lang w:eastAsia="en-NZ"/>
        </w:rPr>
        <w:t xml:space="preserve">with </w:t>
      </w:r>
      <w:r w:rsidRPr="001D0C30">
        <w:rPr>
          <w:lang w:eastAsia="en-NZ"/>
        </w:rPr>
        <w:t xml:space="preserve">qualifications deemed equivalent </w:t>
      </w:r>
      <w:r>
        <w:rPr>
          <w:lang w:eastAsia="en-NZ"/>
        </w:rPr>
        <w:t>to the</w:t>
      </w:r>
      <w:r w:rsidRPr="001D0C30">
        <w:rPr>
          <w:lang w:eastAsia="en-NZ"/>
        </w:rPr>
        <w:t xml:space="preserve"> New Zealand Certificate in Health and Wellbeing </w:t>
      </w:r>
      <w:r>
        <w:rPr>
          <w:lang w:eastAsia="en-NZ"/>
        </w:rPr>
        <w:t>is unknown; that is, some of the increase in the number of qualified workers is due to the process of recognition of equivalent qualifications</w:t>
      </w:r>
      <w:r w:rsidRPr="001D0C30">
        <w:rPr>
          <w:lang w:eastAsia="en-NZ"/>
        </w:rPr>
        <w:t>.</w:t>
      </w:r>
    </w:p>
    <w:p w14:paraId="5B5F0C46" w14:textId="77777777" w:rsidR="007F5F89" w:rsidRPr="001D0C30" w:rsidRDefault="007F5F89" w:rsidP="008E506D">
      <w:pPr>
        <w:rPr>
          <w:lang w:eastAsia="en-NZ"/>
        </w:rPr>
      </w:pPr>
    </w:p>
    <w:p w14:paraId="6866BEF5" w14:textId="77777777" w:rsidR="007F5F89" w:rsidRPr="00B30B6C" w:rsidRDefault="007F5F89" w:rsidP="008E506D">
      <w:pPr>
        <w:pStyle w:val="Heading1"/>
        <w:rPr>
          <w:lang w:eastAsia="en-NZ"/>
        </w:rPr>
      </w:pPr>
      <w:bookmarkStart w:id="10" w:name="_Toc27123874"/>
      <w:r>
        <w:rPr>
          <w:lang w:eastAsia="en-NZ"/>
        </w:rPr>
        <w:lastRenderedPageBreak/>
        <w:t>Increase in q</w:t>
      </w:r>
      <w:r w:rsidRPr="00B30B6C">
        <w:rPr>
          <w:lang w:eastAsia="en-NZ"/>
        </w:rPr>
        <w:t xml:space="preserve">ualification </w:t>
      </w:r>
      <w:r>
        <w:rPr>
          <w:lang w:eastAsia="en-NZ"/>
        </w:rPr>
        <w:t xml:space="preserve">levels </w:t>
      </w:r>
      <w:r w:rsidRPr="00B30B6C">
        <w:rPr>
          <w:lang w:eastAsia="en-NZ"/>
        </w:rPr>
        <w:t xml:space="preserve">of </w:t>
      </w:r>
      <w:r>
        <w:rPr>
          <w:lang w:eastAsia="en-NZ"/>
        </w:rPr>
        <w:t>w</w:t>
      </w:r>
      <w:r w:rsidRPr="00B30B6C">
        <w:rPr>
          <w:lang w:eastAsia="en-NZ"/>
        </w:rPr>
        <w:t>orkers in 2017/18</w:t>
      </w:r>
      <w:bookmarkEnd w:id="10"/>
    </w:p>
    <w:p w14:paraId="48B89B90" w14:textId="77777777" w:rsidR="00776894" w:rsidRDefault="007F5F89" w:rsidP="008E506D">
      <w:pPr>
        <w:rPr>
          <w:lang w:eastAsia="en-NZ"/>
        </w:rPr>
      </w:pPr>
      <w:r w:rsidRPr="001D0C30">
        <w:rPr>
          <w:lang w:eastAsia="en-NZ"/>
        </w:rPr>
        <w:t>Employees in the February 2019 data were matched with data from the 2017/18 full</w:t>
      </w:r>
      <w:r>
        <w:rPr>
          <w:lang w:eastAsia="en-NZ"/>
        </w:rPr>
        <w:t>-</w:t>
      </w:r>
      <w:r w:rsidRPr="001D0C30">
        <w:rPr>
          <w:lang w:eastAsia="en-NZ"/>
        </w:rPr>
        <w:t xml:space="preserve">year </w:t>
      </w:r>
      <w:r>
        <w:rPr>
          <w:lang w:eastAsia="en-NZ"/>
        </w:rPr>
        <w:t>data,</w:t>
      </w:r>
      <w:r w:rsidRPr="001D0C30">
        <w:rPr>
          <w:lang w:eastAsia="en-NZ"/>
        </w:rPr>
        <w:t xml:space="preserve"> to </w:t>
      </w:r>
      <w:r>
        <w:rPr>
          <w:lang w:eastAsia="en-NZ"/>
        </w:rPr>
        <w:t xml:space="preserve">assess </w:t>
      </w:r>
      <w:r w:rsidRPr="001D0C30">
        <w:rPr>
          <w:lang w:eastAsia="en-NZ"/>
        </w:rPr>
        <w:t xml:space="preserve">whether workers progressed through the qualification levels. </w:t>
      </w:r>
      <w:r>
        <w:rPr>
          <w:lang w:eastAsia="en-NZ"/>
        </w:rPr>
        <w:t xml:space="preserve">This process matched 22,787 </w:t>
      </w:r>
      <w:r w:rsidRPr="001D0C30">
        <w:rPr>
          <w:lang w:eastAsia="en-NZ"/>
        </w:rPr>
        <w:t xml:space="preserve">employees </w:t>
      </w:r>
      <w:r>
        <w:rPr>
          <w:lang w:eastAsia="en-NZ"/>
        </w:rPr>
        <w:t>(</w:t>
      </w:r>
      <w:r w:rsidRPr="001D0C30">
        <w:rPr>
          <w:lang w:eastAsia="en-NZ"/>
        </w:rPr>
        <w:t>79</w:t>
      </w:r>
      <w:r>
        <w:rPr>
          <w:lang w:eastAsia="en-NZ"/>
        </w:rPr>
        <w:t xml:space="preserve"> percent </w:t>
      </w:r>
      <w:r w:rsidRPr="001D0C30">
        <w:rPr>
          <w:lang w:eastAsia="en-NZ"/>
        </w:rPr>
        <w:t>of eligible workers in the February 2019 data</w:t>
      </w:r>
      <w:r>
        <w:rPr>
          <w:lang w:eastAsia="en-NZ"/>
        </w:rPr>
        <w:t>)</w:t>
      </w:r>
      <w:r w:rsidRPr="001D0C30">
        <w:rPr>
          <w:lang w:eastAsia="en-NZ"/>
        </w:rPr>
        <w:t>.</w:t>
      </w:r>
    </w:p>
    <w:p w14:paraId="6D34C5FE" w14:textId="77777777" w:rsidR="007F5F89" w:rsidRPr="001D0C30" w:rsidRDefault="007F5F89" w:rsidP="008E506D">
      <w:pPr>
        <w:rPr>
          <w:lang w:eastAsia="en-NZ"/>
        </w:rPr>
      </w:pPr>
    </w:p>
    <w:p w14:paraId="1C9C8395" w14:textId="77777777" w:rsidR="00776894" w:rsidRDefault="007F5F89" w:rsidP="008E506D">
      <w:pPr>
        <w:rPr>
          <w:lang w:eastAsia="en-NZ"/>
        </w:rPr>
      </w:pPr>
      <w:r w:rsidRPr="001D0C30">
        <w:rPr>
          <w:lang w:eastAsia="en-NZ"/>
        </w:rPr>
        <w:t>As at February 2019</w:t>
      </w:r>
      <w:r>
        <w:rPr>
          <w:lang w:eastAsia="en-NZ"/>
        </w:rPr>
        <w:t>,</w:t>
      </w:r>
      <w:r w:rsidRPr="001D0C30">
        <w:rPr>
          <w:lang w:eastAsia="en-NZ"/>
        </w:rPr>
        <w:t xml:space="preserve"> there were 4</w:t>
      </w:r>
      <w:r>
        <w:rPr>
          <w:lang w:eastAsia="en-NZ"/>
        </w:rPr>
        <w:t>,</w:t>
      </w:r>
      <w:r w:rsidRPr="001D0C30">
        <w:rPr>
          <w:lang w:eastAsia="en-NZ"/>
        </w:rPr>
        <w:t>086 (14</w:t>
      </w:r>
      <w:r>
        <w:rPr>
          <w:lang w:eastAsia="en-NZ"/>
        </w:rPr>
        <w:t> percent</w:t>
      </w:r>
      <w:r w:rsidRPr="001D0C30">
        <w:rPr>
          <w:lang w:eastAsia="en-NZ"/>
        </w:rPr>
        <w:t>) new workers</w:t>
      </w:r>
      <w:r>
        <w:rPr>
          <w:lang w:eastAsia="en-NZ"/>
        </w:rPr>
        <w:t xml:space="preserve">; that is, workers who had started after </w:t>
      </w:r>
      <w:r w:rsidRPr="001D0C30">
        <w:rPr>
          <w:lang w:eastAsia="en-NZ"/>
        </w:rPr>
        <w:t>30 June 2018. This mostly explains why 21</w:t>
      </w:r>
      <w:r>
        <w:rPr>
          <w:lang w:eastAsia="en-NZ"/>
        </w:rPr>
        <w:t xml:space="preserve"> percent </w:t>
      </w:r>
      <w:r w:rsidRPr="001D0C30">
        <w:rPr>
          <w:lang w:eastAsia="en-NZ"/>
        </w:rPr>
        <w:t>of the data does</w:t>
      </w:r>
      <w:r>
        <w:rPr>
          <w:lang w:eastAsia="en-NZ"/>
        </w:rPr>
        <w:t xml:space="preserve"> </w:t>
      </w:r>
      <w:r w:rsidRPr="001D0C30">
        <w:rPr>
          <w:lang w:eastAsia="en-NZ"/>
        </w:rPr>
        <w:t>n</w:t>
      </w:r>
      <w:r>
        <w:rPr>
          <w:lang w:eastAsia="en-NZ"/>
        </w:rPr>
        <w:t>o</w:t>
      </w:r>
      <w:r w:rsidRPr="001D0C30">
        <w:rPr>
          <w:lang w:eastAsia="en-NZ"/>
        </w:rPr>
        <w:t xml:space="preserve">t match. </w:t>
      </w:r>
      <w:r>
        <w:rPr>
          <w:lang w:eastAsia="en-NZ"/>
        </w:rPr>
        <w:t>O</w:t>
      </w:r>
      <w:r w:rsidRPr="001D0C30">
        <w:rPr>
          <w:lang w:eastAsia="en-NZ"/>
        </w:rPr>
        <w:t>ther reason</w:t>
      </w:r>
      <w:r>
        <w:rPr>
          <w:lang w:eastAsia="en-NZ"/>
        </w:rPr>
        <w:t>s</w:t>
      </w:r>
      <w:r w:rsidRPr="001D0C30">
        <w:rPr>
          <w:lang w:eastAsia="en-NZ"/>
        </w:rPr>
        <w:t xml:space="preserve"> </w:t>
      </w:r>
      <w:r>
        <w:rPr>
          <w:lang w:eastAsia="en-NZ"/>
        </w:rPr>
        <w:t xml:space="preserve">are </w:t>
      </w:r>
      <w:r w:rsidRPr="001D0C30">
        <w:rPr>
          <w:lang w:eastAsia="en-NZ"/>
        </w:rPr>
        <w:t>providers merging and changing employee identifiers.</w:t>
      </w:r>
    </w:p>
    <w:p w14:paraId="3B70AA98" w14:textId="77777777" w:rsidR="007F5F89" w:rsidRPr="001D0C30" w:rsidRDefault="007F5F89" w:rsidP="008E506D">
      <w:pPr>
        <w:rPr>
          <w:lang w:eastAsia="en-NZ"/>
        </w:rPr>
      </w:pPr>
    </w:p>
    <w:p w14:paraId="6C4D5D49" w14:textId="77777777" w:rsidR="007F5F89" w:rsidRPr="001D0C30" w:rsidRDefault="007F5F89" w:rsidP="008E506D">
      <w:pPr>
        <w:rPr>
          <w:lang w:eastAsia="en-NZ"/>
        </w:rPr>
      </w:pPr>
      <w:r w:rsidRPr="001D0C30">
        <w:rPr>
          <w:lang w:eastAsia="en-NZ"/>
        </w:rPr>
        <w:t>The detailed data captured in 2017/18 allows us to analyse data by sector</w:t>
      </w:r>
      <w:r>
        <w:rPr>
          <w:lang w:eastAsia="en-NZ"/>
        </w:rPr>
        <w:t>,</w:t>
      </w:r>
      <w:r w:rsidRPr="001D0C30">
        <w:rPr>
          <w:lang w:eastAsia="en-NZ"/>
        </w:rPr>
        <w:t xml:space="preserve"> though it should be noted that </w:t>
      </w:r>
      <w:r>
        <w:rPr>
          <w:lang w:eastAsia="en-NZ"/>
        </w:rPr>
        <w:t xml:space="preserve">this applies to </w:t>
      </w:r>
      <w:r w:rsidRPr="001D0C30">
        <w:rPr>
          <w:lang w:eastAsia="en-NZ"/>
        </w:rPr>
        <w:t xml:space="preserve">only 16,785 support workers of the </w:t>
      </w:r>
      <w:r>
        <w:rPr>
          <w:lang w:eastAsia="en-NZ"/>
        </w:rPr>
        <w:t xml:space="preserve">total </w:t>
      </w:r>
      <w:r w:rsidRPr="001D0C30">
        <w:rPr>
          <w:lang w:eastAsia="en-NZ"/>
        </w:rPr>
        <w:t>22,787.</w:t>
      </w:r>
    </w:p>
    <w:p w14:paraId="6F00B214" w14:textId="77777777" w:rsidR="007F5F89" w:rsidRPr="001D0C30" w:rsidRDefault="007F5F89" w:rsidP="008E506D">
      <w:pPr>
        <w:rPr>
          <w:lang w:eastAsia="en-NZ"/>
        </w:rPr>
      </w:pPr>
    </w:p>
    <w:p w14:paraId="08BC8D26" w14:textId="77777777" w:rsidR="007F5F89" w:rsidRPr="001D0C30" w:rsidRDefault="007F5F89" w:rsidP="008E506D">
      <w:pPr>
        <w:pStyle w:val="Heading2"/>
        <w:rPr>
          <w:lang w:eastAsia="en-NZ"/>
        </w:rPr>
      </w:pPr>
      <w:bookmarkStart w:id="11" w:name="_Toc27123875"/>
      <w:r w:rsidRPr="001D0C30">
        <w:rPr>
          <w:lang w:eastAsia="en-NZ"/>
        </w:rPr>
        <w:t xml:space="preserve">Home and </w:t>
      </w:r>
      <w:r>
        <w:rPr>
          <w:lang w:eastAsia="en-NZ"/>
        </w:rPr>
        <w:t>c</w:t>
      </w:r>
      <w:r w:rsidRPr="001D0C30">
        <w:rPr>
          <w:lang w:eastAsia="en-NZ"/>
        </w:rPr>
        <w:t xml:space="preserve">ommunity </w:t>
      </w:r>
      <w:r>
        <w:rPr>
          <w:lang w:eastAsia="en-NZ"/>
        </w:rPr>
        <w:t>s</w:t>
      </w:r>
      <w:r w:rsidRPr="001D0C30">
        <w:rPr>
          <w:lang w:eastAsia="en-NZ"/>
        </w:rPr>
        <w:t xml:space="preserve">upport </w:t>
      </w:r>
      <w:r>
        <w:rPr>
          <w:lang w:eastAsia="en-NZ"/>
        </w:rPr>
        <w:t>sector</w:t>
      </w:r>
      <w:bookmarkEnd w:id="11"/>
    </w:p>
    <w:p w14:paraId="447FA33A" w14:textId="77777777" w:rsidR="00776894" w:rsidRDefault="007F5F89" w:rsidP="008E506D">
      <w:pPr>
        <w:rPr>
          <w:color w:val="333333"/>
          <w:lang w:eastAsia="en-NZ"/>
        </w:rPr>
      </w:pPr>
      <w:r w:rsidRPr="00316683">
        <w:rPr>
          <w:lang w:eastAsia="en-NZ"/>
        </w:rPr>
        <w:t>Overall, qualification attainment in the HCS sector significantly improved. From July 2017 to February 2019, the percentage of staff with Level 3 qualifications increased from 27</w:t>
      </w:r>
      <w:r>
        <w:rPr>
          <w:lang w:eastAsia="en-NZ"/>
        </w:rPr>
        <w:t> </w:t>
      </w:r>
      <w:r w:rsidRPr="00316683">
        <w:rPr>
          <w:lang w:eastAsia="en-NZ"/>
        </w:rPr>
        <w:t>percent to 33 percent, and the percentage with Level 4 qualifications increased from 8 percent to 13 percent. The percentage of staff in this sector with no qualifications dropped, from 35 percent to 17 percent (</w:t>
      </w:r>
      <w:r>
        <w:rPr>
          <w:lang w:eastAsia="en-NZ"/>
        </w:rPr>
        <w:t xml:space="preserve">see </w:t>
      </w:r>
      <w:r w:rsidRPr="001D0C30">
        <w:rPr>
          <w:color w:val="000000"/>
          <w:lang w:eastAsia="en-NZ"/>
        </w:rPr>
        <w:t>Appendix</w:t>
      </w:r>
      <w:r>
        <w:rPr>
          <w:color w:val="000000"/>
          <w:lang w:eastAsia="en-NZ"/>
        </w:rPr>
        <w:t> </w:t>
      </w:r>
      <w:r w:rsidR="008E506D">
        <w:rPr>
          <w:color w:val="000000"/>
          <w:lang w:eastAsia="en-NZ"/>
        </w:rPr>
        <w:t>3</w:t>
      </w:r>
      <w:r w:rsidRPr="001D0C30">
        <w:rPr>
          <w:color w:val="000000"/>
          <w:lang w:eastAsia="en-NZ"/>
        </w:rPr>
        <w:t>)</w:t>
      </w:r>
      <w:r w:rsidRPr="001D0C30">
        <w:rPr>
          <w:color w:val="333333"/>
          <w:lang w:eastAsia="en-NZ"/>
        </w:rPr>
        <w:t>.</w:t>
      </w:r>
    </w:p>
    <w:p w14:paraId="6FA5B94A" w14:textId="77777777" w:rsidR="007F5F89" w:rsidRDefault="007F5F89" w:rsidP="008E506D">
      <w:pPr>
        <w:rPr>
          <w:lang w:eastAsia="en-NZ"/>
        </w:rPr>
      </w:pPr>
    </w:p>
    <w:p w14:paraId="43C24830" w14:textId="77777777" w:rsidR="007F5F89" w:rsidRPr="001D0C30" w:rsidRDefault="007F5F89" w:rsidP="008E506D">
      <w:pPr>
        <w:pStyle w:val="Heading2"/>
        <w:rPr>
          <w:lang w:eastAsia="en-NZ"/>
        </w:rPr>
      </w:pPr>
      <w:bookmarkStart w:id="12" w:name="_Toc27123876"/>
      <w:r w:rsidRPr="001D0C30">
        <w:rPr>
          <w:lang w:eastAsia="en-NZ"/>
        </w:rPr>
        <w:t>Disability</w:t>
      </w:r>
      <w:r>
        <w:rPr>
          <w:lang w:eastAsia="en-NZ"/>
        </w:rPr>
        <w:t xml:space="preserve"> sector</w:t>
      </w:r>
      <w:bookmarkEnd w:id="12"/>
    </w:p>
    <w:p w14:paraId="0F584078" w14:textId="77777777" w:rsidR="00776894" w:rsidRDefault="007F5F89" w:rsidP="008E506D">
      <w:pPr>
        <w:rPr>
          <w:color w:val="333333"/>
          <w:lang w:eastAsia="en-NZ"/>
        </w:rPr>
      </w:pPr>
      <w:r w:rsidRPr="00316683">
        <w:rPr>
          <w:lang w:eastAsia="en-NZ"/>
        </w:rPr>
        <w:t xml:space="preserve">Levels of qualification also increased significantly in the disability sector. At the beginning of 2017/18, only 19 percent of these staff held Level 4 qualifications, and 25 percent held Level 3 qualifications. These figures had jumped to 27 percent and 26 percent respectively by February 2019. Conversely, the number of unqualified workers decreased, from 45 percent to 33 percent </w:t>
      </w:r>
      <w:r w:rsidRPr="001D0C30">
        <w:rPr>
          <w:color w:val="000000"/>
          <w:lang w:eastAsia="en-NZ"/>
        </w:rPr>
        <w:t>(</w:t>
      </w:r>
      <w:r>
        <w:rPr>
          <w:color w:val="000000"/>
          <w:lang w:eastAsia="en-NZ"/>
        </w:rPr>
        <w:t xml:space="preserve">see </w:t>
      </w:r>
      <w:r w:rsidRPr="001D0C30">
        <w:rPr>
          <w:color w:val="000000"/>
          <w:lang w:eastAsia="en-NZ"/>
        </w:rPr>
        <w:t xml:space="preserve">Appendix </w:t>
      </w:r>
      <w:r w:rsidR="008E506D">
        <w:rPr>
          <w:color w:val="000000"/>
          <w:lang w:eastAsia="en-NZ"/>
        </w:rPr>
        <w:t>4</w:t>
      </w:r>
      <w:r w:rsidRPr="001D0C30">
        <w:rPr>
          <w:color w:val="000000"/>
          <w:lang w:eastAsia="en-NZ"/>
        </w:rPr>
        <w:t>)</w:t>
      </w:r>
      <w:r w:rsidRPr="001D0C30">
        <w:rPr>
          <w:color w:val="333333"/>
          <w:lang w:eastAsia="en-NZ"/>
        </w:rPr>
        <w:t>.</w:t>
      </w:r>
    </w:p>
    <w:p w14:paraId="47ADE5B4" w14:textId="77777777" w:rsidR="007F5F89" w:rsidRPr="001D0C30" w:rsidRDefault="007F5F89" w:rsidP="008E506D">
      <w:pPr>
        <w:rPr>
          <w:lang w:eastAsia="en-NZ"/>
        </w:rPr>
      </w:pPr>
    </w:p>
    <w:p w14:paraId="75520760" w14:textId="77777777" w:rsidR="00776894" w:rsidRDefault="007F5F89" w:rsidP="008E506D">
      <w:pPr>
        <w:pStyle w:val="Heading2"/>
        <w:rPr>
          <w:lang w:eastAsia="en-NZ"/>
        </w:rPr>
      </w:pPr>
      <w:bookmarkStart w:id="13" w:name="_Toc27123877"/>
      <w:r w:rsidRPr="001D0C30">
        <w:rPr>
          <w:lang w:eastAsia="en-NZ"/>
        </w:rPr>
        <w:lastRenderedPageBreak/>
        <w:t xml:space="preserve">Mental </w:t>
      </w:r>
      <w:r>
        <w:rPr>
          <w:lang w:eastAsia="en-NZ"/>
        </w:rPr>
        <w:t>h</w:t>
      </w:r>
      <w:r w:rsidRPr="001D0C30">
        <w:rPr>
          <w:lang w:eastAsia="en-NZ"/>
        </w:rPr>
        <w:t xml:space="preserve">ealth </w:t>
      </w:r>
      <w:r>
        <w:rPr>
          <w:lang w:eastAsia="en-NZ"/>
        </w:rPr>
        <w:t>and a</w:t>
      </w:r>
      <w:r w:rsidRPr="001D0C30">
        <w:rPr>
          <w:lang w:eastAsia="en-NZ"/>
        </w:rPr>
        <w:t xml:space="preserve">ddiction </w:t>
      </w:r>
      <w:r>
        <w:rPr>
          <w:lang w:eastAsia="en-NZ"/>
        </w:rPr>
        <w:t>sector</w:t>
      </w:r>
      <w:bookmarkEnd w:id="13"/>
    </w:p>
    <w:p w14:paraId="66F1D7AC" w14:textId="77777777" w:rsidR="007F5F89" w:rsidRPr="001D0C30" w:rsidRDefault="007F5F89" w:rsidP="00095154">
      <w:pPr>
        <w:keepLines/>
      </w:pPr>
      <w:r w:rsidRPr="001D0C30">
        <w:t xml:space="preserve">The </w:t>
      </w:r>
      <w:r>
        <w:t>m</w:t>
      </w:r>
      <w:r w:rsidRPr="001D0C30">
        <w:t xml:space="preserve">ental </w:t>
      </w:r>
      <w:r>
        <w:t>h</w:t>
      </w:r>
      <w:r w:rsidRPr="001D0C30">
        <w:t xml:space="preserve">ealth </w:t>
      </w:r>
      <w:r>
        <w:t>S</w:t>
      </w:r>
      <w:r w:rsidRPr="001D0C30">
        <w:t xml:space="preserve">ettlement parties agreed </w:t>
      </w:r>
      <w:r>
        <w:t xml:space="preserve">for </w:t>
      </w:r>
      <w:r w:rsidRPr="001D0C30">
        <w:t>80</w:t>
      </w:r>
      <w:r>
        <w:t xml:space="preserve"> percent </w:t>
      </w:r>
      <w:r w:rsidRPr="001D0C30">
        <w:t xml:space="preserve">of care and support workers </w:t>
      </w:r>
      <w:r>
        <w:t>in this sector to have L</w:t>
      </w:r>
      <w:r w:rsidRPr="001D0C30">
        <w:t xml:space="preserve">evel 4 </w:t>
      </w:r>
      <w:r>
        <w:t xml:space="preserve">qualifications </w:t>
      </w:r>
      <w:r w:rsidRPr="001D0C30">
        <w:t xml:space="preserve">by 30 June 2020. This is reflected in the </w:t>
      </w:r>
      <w:r>
        <w:t xml:space="preserve">figures </w:t>
      </w:r>
      <w:r w:rsidRPr="001D0C30">
        <w:t xml:space="preserve">for </w:t>
      </w:r>
      <w:r w:rsidRPr="00316683">
        <w:t xml:space="preserve">this sector. At the beginning of 2017/18, almost 60 percent of MH&amp;A support workers held Level 4 qualifications; 32 percent had no qualifications. The February 2019 data shows that 66 percent of these workers have a Level 4 qualification </w:t>
      </w:r>
      <w:r w:rsidRPr="001D0C30">
        <w:t>(</w:t>
      </w:r>
      <w:r>
        <w:t xml:space="preserve">see </w:t>
      </w:r>
      <w:r w:rsidRPr="001D0C30">
        <w:t xml:space="preserve">Appendix </w:t>
      </w:r>
      <w:r w:rsidR="008E506D">
        <w:t>5</w:t>
      </w:r>
      <w:r w:rsidRPr="001D0C30">
        <w:t>).</w:t>
      </w:r>
    </w:p>
    <w:p w14:paraId="66EBCD9B" w14:textId="77777777" w:rsidR="007F5F89" w:rsidRPr="001D0C30" w:rsidRDefault="007F5F89" w:rsidP="008E506D">
      <w:pPr>
        <w:rPr>
          <w:lang w:eastAsia="en-NZ"/>
        </w:rPr>
      </w:pPr>
    </w:p>
    <w:p w14:paraId="7F3B9144" w14:textId="77777777" w:rsidR="007F5F89" w:rsidRPr="001D0C30" w:rsidRDefault="007F5F89" w:rsidP="008E506D">
      <w:pPr>
        <w:pStyle w:val="Heading2"/>
        <w:rPr>
          <w:lang w:eastAsia="en-NZ"/>
        </w:rPr>
      </w:pPr>
      <w:bookmarkStart w:id="14" w:name="_Toc27123878"/>
      <w:r w:rsidRPr="001D0C30">
        <w:rPr>
          <w:lang w:eastAsia="en-NZ"/>
        </w:rPr>
        <w:t xml:space="preserve">Aged </w:t>
      </w:r>
      <w:r>
        <w:rPr>
          <w:lang w:eastAsia="en-NZ"/>
        </w:rPr>
        <w:t>r</w:t>
      </w:r>
      <w:r w:rsidRPr="001D0C30">
        <w:rPr>
          <w:lang w:eastAsia="en-NZ"/>
        </w:rPr>
        <w:t xml:space="preserve">esidential </w:t>
      </w:r>
      <w:r>
        <w:rPr>
          <w:lang w:eastAsia="en-NZ"/>
        </w:rPr>
        <w:t>c</w:t>
      </w:r>
      <w:r w:rsidRPr="001D0C30">
        <w:rPr>
          <w:lang w:eastAsia="en-NZ"/>
        </w:rPr>
        <w:t>are</w:t>
      </w:r>
      <w:r>
        <w:rPr>
          <w:lang w:eastAsia="en-NZ"/>
        </w:rPr>
        <w:t xml:space="preserve"> sector</w:t>
      </w:r>
      <w:bookmarkEnd w:id="14"/>
    </w:p>
    <w:p w14:paraId="2B40D55D" w14:textId="77777777" w:rsidR="007F5F89" w:rsidRPr="001D0C30" w:rsidRDefault="007F5F89" w:rsidP="008E506D">
      <w:pPr>
        <w:rPr>
          <w:lang w:eastAsia="en-NZ"/>
        </w:rPr>
      </w:pPr>
      <w:r w:rsidRPr="001D0C30">
        <w:rPr>
          <w:lang w:eastAsia="en-NZ"/>
        </w:rPr>
        <w:t xml:space="preserve">As explained above, the first data collection </w:t>
      </w:r>
      <w:r>
        <w:rPr>
          <w:lang w:eastAsia="en-NZ"/>
        </w:rPr>
        <w:t xml:space="preserve">for this sector </w:t>
      </w:r>
      <w:r w:rsidRPr="001D0C30">
        <w:rPr>
          <w:lang w:eastAsia="en-NZ"/>
        </w:rPr>
        <w:t>took place</w:t>
      </w:r>
      <w:r>
        <w:rPr>
          <w:lang w:eastAsia="en-NZ"/>
        </w:rPr>
        <w:t xml:space="preserve"> in 2019</w:t>
      </w:r>
      <w:r w:rsidRPr="001D0C30">
        <w:rPr>
          <w:lang w:eastAsia="en-NZ"/>
        </w:rPr>
        <w:t>. Fifty</w:t>
      </w:r>
      <w:r>
        <w:rPr>
          <w:lang w:eastAsia="en-NZ"/>
        </w:rPr>
        <w:t>-</w:t>
      </w:r>
      <w:r w:rsidRPr="001D0C30">
        <w:rPr>
          <w:lang w:eastAsia="en-NZ"/>
        </w:rPr>
        <w:t>three percent of</w:t>
      </w:r>
      <w:r>
        <w:rPr>
          <w:lang w:eastAsia="en-NZ"/>
        </w:rPr>
        <w:t xml:space="preserve"> </w:t>
      </w:r>
      <w:r w:rsidRPr="001D0C30">
        <w:rPr>
          <w:lang w:eastAsia="en-NZ"/>
        </w:rPr>
        <w:t>workers have a Level 3 or Level 4 qualification</w:t>
      </w:r>
      <w:r>
        <w:rPr>
          <w:lang w:eastAsia="en-NZ"/>
        </w:rPr>
        <w:t>;</w:t>
      </w:r>
      <w:r w:rsidRPr="001D0C30">
        <w:rPr>
          <w:lang w:eastAsia="en-NZ"/>
        </w:rPr>
        <w:t xml:space="preserve"> 58</w:t>
      </w:r>
      <w:r>
        <w:rPr>
          <w:lang w:eastAsia="en-NZ"/>
        </w:rPr>
        <w:t xml:space="preserve"> percent </w:t>
      </w:r>
      <w:r w:rsidRPr="001D0C30">
        <w:rPr>
          <w:lang w:eastAsia="en-NZ"/>
        </w:rPr>
        <w:t xml:space="preserve">of hours worked are undertaken by workers with these levels of qualification. </w:t>
      </w:r>
      <w:r>
        <w:rPr>
          <w:lang w:eastAsia="en-NZ"/>
        </w:rPr>
        <w:t>As at February 2019, t</w:t>
      </w:r>
      <w:r w:rsidRPr="001D0C30">
        <w:rPr>
          <w:lang w:eastAsia="en-NZ"/>
        </w:rPr>
        <w:t xml:space="preserve">he </w:t>
      </w:r>
      <w:r>
        <w:rPr>
          <w:lang w:eastAsia="en-NZ"/>
        </w:rPr>
        <w:t xml:space="preserve">ARC </w:t>
      </w:r>
      <w:r w:rsidRPr="001D0C30">
        <w:rPr>
          <w:lang w:eastAsia="en-NZ"/>
        </w:rPr>
        <w:t>sector ha</w:t>
      </w:r>
      <w:r>
        <w:rPr>
          <w:lang w:eastAsia="en-NZ"/>
        </w:rPr>
        <w:t>d</w:t>
      </w:r>
      <w:r w:rsidRPr="001D0C30">
        <w:rPr>
          <w:lang w:eastAsia="en-NZ"/>
        </w:rPr>
        <w:t xml:space="preserve"> the highest percentage of unqualified workers (36</w:t>
      </w:r>
      <w:r>
        <w:rPr>
          <w:lang w:eastAsia="en-NZ"/>
        </w:rPr>
        <w:t> percent</w:t>
      </w:r>
      <w:r w:rsidRPr="001D0C30">
        <w:rPr>
          <w:lang w:eastAsia="en-NZ"/>
        </w:rPr>
        <w:t xml:space="preserve">) </w:t>
      </w:r>
      <w:r>
        <w:rPr>
          <w:lang w:eastAsia="en-NZ"/>
        </w:rPr>
        <w:t xml:space="preserve">by sector, </w:t>
      </w:r>
      <w:r w:rsidRPr="001D0C30">
        <w:rPr>
          <w:lang w:eastAsia="en-NZ"/>
        </w:rPr>
        <w:t xml:space="preserve">compared to </w:t>
      </w:r>
      <w:r>
        <w:rPr>
          <w:lang w:eastAsia="en-NZ"/>
        </w:rPr>
        <w:t>HCS</w:t>
      </w:r>
      <w:r w:rsidRPr="001D0C30">
        <w:rPr>
          <w:lang w:eastAsia="en-NZ"/>
        </w:rPr>
        <w:t xml:space="preserve"> (17</w:t>
      </w:r>
      <w:r>
        <w:rPr>
          <w:lang w:eastAsia="en-NZ"/>
        </w:rPr>
        <w:t> percent</w:t>
      </w:r>
      <w:r w:rsidRPr="001D0C30">
        <w:rPr>
          <w:lang w:eastAsia="en-NZ"/>
        </w:rPr>
        <w:t>), disability (33</w:t>
      </w:r>
      <w:r>
        <w:rPr>
          <w:lang w:eastAsia="en-NZ"/>
        </w:rPr>
        <w:t> percent</w:t>
      </w:r>
      <w:r w:rsidRPr="001D0C30">
        <w:rPr>
          <w:lang w:eastAsia="en-NZ"/>
        </w:rPr>
        <w:t xml:space="preserve">) and </w:t>
      </w:r>
      <w:r>
        <w:rPr>
          <w:lang w:eastAsia="en-NZ"/>
        </w:rPr>
        <w:t>MH&amp;A</w:t>
      </w:r>
      <w:r w:rsidRPr="001D0C30">
        <w:rPr>
          <w:lang w:eastAsia="en-NZ"/>
        </w:rPr>
        <w:t xml:space="preserve"> (25</w:t>
      </w:r>
      <w:r>
        <w:rPr>
          <w:lang w:eastAsia="en-NZ"/>
        </w:rPr>
        <w:t> percent</w:t>
      </w:r>
      <w:r w:rsidRPr="001D0C30">
        <w:rPr>
          <w:lang w:eastAsia="en-NZ"/>
        </w:rPr>
        <w:t>)</w:t>
      </w:r>
      <w:r>
        <w:rPr>
          <w:lang w:eastAsia="en-NZ"/>
        </w:rPr>
        <w:t xml:space="preserve"> (see Appendix </w:t>
      </w:r>
      <w:r w:rsidR="008E506D">
        <w:rPr>
          <w:lang w:eastAsia="en-NZ"/>
        </w:rPr>
        <w:t>6</w:t>
      </w:r>
      <w:r>
        <w:rPr>
          <w:lang w:eastAsia="en-NZ"/>
        </w:rPr>
        <w:t>)</w:t>
      </w:r>
      <w:r w:rsidRPr="001D0C30">
        <w:rPr>
          <w:lang w:eastAsia="en-NZ"/>
        </w:rPr>
        <w:t>.</w:t>
      </w:r>
    </w:p>
    <w:p w14:paraId="71462DC5" w14:textId="77777777" w:rsidR="007F5F89" w:rsidRPr="001D0C30" w:rsidRDefault="007F5F89" w:rsidP="008E506D">
      <w:pPr>
        <w:rPr>
          <w:lang w:eastAsia="en-NZ"/>
        </w:rPr>
      </w:pPr>
    </w:p>
    <w:p w14:paraId="2C56C85E" w14:textId="77777777" w:rsidR="007F5F89" w:rsidRPr="00B30B6C" w:rsidRDefault="007F5F89" w:rsidP="008E506D">
      <w:pPr>
        <w:pStyle w:val="Heading1"/>
        <w:ind w:right="-567"/>
        <w:rPr>
          <w:lang w:eastAsia="en-NZ"/>
        </w:rPr>
      </w:pPr>
      <w:bookmarkStart w:id="15" w:name="_Toc27123879"/>
      <w:r w:rsidRPr="00B30B6C">
        <w:rPr>
          <w:lang w:eastAsia="en-NZ"/>
        </w:rPr>
        <w:lastRenderedPageBreak/>
        <w:t xml:space="preserve">Qualification movement of unqualified workers: </w:t>
      </w:r>
      <w:r>
        <w:rPr>
          <w:lang w:eastAsia="en-NZ"/>
        </w:rPr>
        <w:t>home and community support</w:t>
      </w:r>
      <w:r w:rsidRPr="00B30B6C">
        <w:rPr>
          <w:lang w:eastAsia="en-NZ"/>
        </w:rPr>
        <w:t xml:space="preserve">, </w:t>
      </w:r>
      <w:r>
        <w:rPr>
          <w:lang w:eastAsia="en-NZ"/>
        </w:rPr>
        <w:t>disability and mental health and addiction sectors</w:t>
      </w:r>
      <w:bookmarkEnd w:id="15"/>
    </w:p>
    <w:p w14:paraId="185183E9" w14:textId="77777777" w:rsidR="007F5F89" w:rsidRDefault="007F5F89" w:rsidP="00C65C32">
      <w:r w:rsidRPr="00D0335D">
        <w:t xml:space="preserve">The Act requires employers to </w:t>
      </w:r>
      <w:r>
        <w:t xml:space="preserve">take reasonably practical steps to ensure that care and support workers </w:t>
      </w:r>
      <w:proofErr w:type="gramStart"/>
      <w:r>
        <w:t>are able to</w:t>
      </w:r>
      <w:proofErr w:type="gramEnd"/>
      <w:r>
        <w:t xml:space="preserve"> attain qualifications. The Act does not define the phrase </w:t>
      </w:r>
      <w:r w:rsidR="00776894">
        <w:t>‘</w:t>
      </w:r>
      <w:r>
        <w:t>take all reasonably practical steps</w:t>
      </w:r>
      <w:r w:rsidR="00776894">
        <w:t>’</w:t>
      </w:r>
      <w:r>
        <w:t>; however, the Government</w:t>
      </w:r>
      <w:r w:rsidRPr="00C65C32">
        <w:rPr>
          <w:rStyle w:val="FootnoteReference"/>
        </w:rPr>
        <w:footnoteReference w:id="5"/>
      </w:r>
      <w:r>
        <w:t xml:space="preserve"> has indicated that training or up-skilling could include on-the-job training, time off for training/examinations and contribution towards course costs.</w:t>
      </w:r>
    </w:p>
    <w:p w14:paraId="0A3E393F" w14:textId="77777777" w:rsidR="007F5F89" w:rsidRDefault="007F5F89" w:rsidP="00C65C32"/>
    <w:p w14:paraId="1026D0D3" w14:textId="77777777" w:rsidR="007F5F89" w:rsidRDefault="007F5F89" w:rsidP="00C65C32">
      <w:pPr>
        <w:rPr>
          <w:color w:val="333333"/>
          <w:lang w:eastAsia="en-NZ"/>
        </w:rPr>
      </w:pPr>
      <w:r w:rsidRPr="00A53136">
        <w:t xml:space="preserve">The Act specifies that </w:t>
      </w:r>
      <w:r>
        <w:t xml:space="preserve">workers must have the opportunity to attain </w:t>
      </w:r>
      <w:r w:rsidRPr="00B30B6C">
        <w:rPr>
          <w:lang w:eastAsia="en-NZ"/>
        </w:rPr>
        <w:t xml:space="preserve">a </w:t>
      </w:r>
      <w:r>
        <w:rPr>
          <w:lang w:eastAsia="en-NZ"/>
        </w:rPr>
        <w:t>L</w:t>
      </w:r>
      <w:r w:rsidRPr="00B30B6C">
        <w:rPr>
          <w:lang w:eastAsia="en-NZ"/>
        </w:rPr>
        <w:t xml:space="preserve">evel 2 qualification within the first 12 months of </w:t>
      </w:r>
      <w:r>
        <w:rPr>
          <w:lang w:eastAsia="en-NZ"/>
        </w:rPr>
        <w:t xml:space="preserve">their </w:t>
      </w:r>
      <w:r w:rsidRPr="00B30B6C">
        <w:rPr>
          <w:lang w:eastAsia="en-NZ"/>
        </w:rPr>
        <w:t>continuous employment with the</w:t>
      </w:r>
      <w:r>
        <w:rPr>
          <w:lang w:eastAsia="en-NZ"/>
        </w:rPr>
        <w:t>ir</w:t>
      </w:r>
      <w:r w:rsidRPr="00B30B6C">
        <w:rPr>
          <w:lang w:eastAsia="en-NZ"/>
        </w:rPr>
        <w:t xml:space="preserve"> employer</w:t>
      </w:r>
      <w:r>
        <w:rPr>
          <w:lang w:eastAsia="en-NZ"/>
        </w:rPr>
        <w:t>,</w:t>
      </w:r>
      <w:r w:rsidRPr="00B30B6C">
        <w:rPr>
          <w:lang w:eastAsia="en-NZ"/>
        </w:rPr>
        <w:t xml:space="preserve"> </w:t>
      </w:r>
      <w:r w:rsidRPr="00B27F41">
        <w:rPr>
          <w:lang w:eastAsia="en-NZ"/>
        </w:rPr>
        <w:t xml:space="preserve">a </w:t>
      </w:r>
      <w:r>
        <w:rPr>
          <w:lang w:eastAsia="en-NZ"/>
        </w:rPr>
        <w:t>L</w:t>
      </w:r>
      <w:r w:rsidRPr="00B27F41">
        <w:rPr>
          <w:lang w:eastAsia="en-NZ"/>
        </w:rPr>
        <w:t>evel 3 qualification within the first 36 months and</w:t>
      </w:r>
      <w:r>
        <w:rPr>
          <w:lang w:eastAsia="en-NZ"/>
        </w:rPr>
        <w:t xml:space="preserve"> </w:t>
      </w:r>
      <w:r w:rsidRPr="006444AB">
        <w:rPr>
          <w:lang w:eastAsia="en-NZ"/>
        </w:rPr>
        <w:t>a</w:t>
      </w:r>
      <w:r w:rsidRPr="00B27F41">
        <w:rPr>
          <w:lang w:eastAsia="en-NZ"/>
        </w:rPr>
        <w:t xml:space="preserve"> </w:t>
      </w:r>
      <w:r>
        <w:rPr>
          <w:lang w:eastAsia="en-NZ"/>
        </w:rPr>
        <w:t>L</w:t>
      </w:r>
      <w:r w:rsidRPr="00B27F41">
        <w:rPr>
          <w:lang w:eastAsia="en-NZ"/>
        </w:rPr>
        <w:t xml:space="preserve">evel 4 qualification within the first 72 </w:t>
      </w:r>
      <w:r w:rsidRPr="006444AB">
        <w:rPr>
          <w:lang w:eastAsia="en-NZ"/>
        </w:rPr>
        <w:t>months</w:t>
      </w:r>
      <w:r w:rsidRPr="00F33ED2">
        <w:rPr>
          <w:color w:val="333333"/>
          <w:lang w:eastAsia="en-NZ"/>
        </w:rPr>
        <w:t>.</w:t>
      </w:r>
    </w:p>
    <w:p w14:paraId="3C25E533" w14:textId="77777777" w:rsidR="00C65C32" w:rsidRDefault="00C65C32" w:rsidP="00C65C32">
      <w:pPr>
        <w:rPr>
          <w:lang w:eastAsia="en-NZ"/>
        </w:rPr>
      </w:pPr>
    </w:p>
    <w:p w14:paraId="14D6B85C" w14:textId="77777777" w:rsidR="007F5F89" w:rsidRPr="00316683" w:rsidRDefault="007F5F89" w:rsidP="00C65C32">
      <w:pPr>
        <w:rPr>
          <w:lang w:eastAsia="en-NZ"/>
        </w:rPr>
      </w:pPr>
      <w:r w:rsidRPr="00316683">
        <w:rPr>
          <w:lang w:eastAsia="en-NZ"/>
        </w:rPr>
        <w:t xml:space="preserve">The length of time a worker takes to complete these qualifications will depend on individual circumstances. It is generally accepted that it takes between 6 and 12 months to attain a Level 2 qualification, approximately 18 months for Level 3 and up to </w:t>
      </w:r>
      <w:r w:rsidR="00C65C32">
        <w:rPr>
          <w:lang w:eastAsia="en-NZ"/>
        </w:rPr>
        <w:t>two </w:t>
      </w:r>
      <w:r w:rsidRPr="00316683">
        <w:rPr>
          <w:lang w:eastAsia="en-NZ"/>
        </w:rPr>
        <w:t>years for Level 4.</w:t>
      </w:r>
    </w:p>
    <w:p w14:paraId="0C6B6B4E" w14:textId="77777777" w:rsidR="00C65C32" w:rsidRDefault="00C65C32" w:rsidP="00C65C32">
      <w:pPr>
        <w:rPr>
          <w:lang w:eastAsia="en-NZ"/>
        </w:rPr>
      </w:pPr>
    </w:p>
    <w:p w14:paraId="10004690" w14:textId="77777777" w:rsidR="007F5F89" w:rsidRPr="00D0335D" w:rsidRDefault="007F5F89" w:rsidP="00C65C32">
      <w:pPr>
        <w:rPr>
          <w:lang w:eastAsia="en-NZ"/>
        </w:rPr>
      </w:pPr>
      <w:r>
        <w:rPr>
          <w:lang w:eastAsia="en-NZ"/>
        </w:rPr>
        <w:t>We undertook a</w:t>
      </w:r>
      <w:r w:rsidRPr="00D0335D">
        <w:rPr>
          <w:lang w:eastAsia="en-NZ"/>
        </w:rPr>
        <w:t>nalysis</w:t>
      </w:r>
      <w:r w:rsidRPr="004740F6">
        <w:rPr>
          <w:lang w:eastAsia="en-NZ"/>
        </w:rPr>
        <w:t xml:space="preserve"> of </w:t>
      </w:r>
      <w:r w:rsidRPr="00D0335D">
        <w:rPr>
          <w:lang w:eastAsia="en-NZ"/>
        </w:rPr>
        <w:t xml:space="preserve">workers without qualifications prior to 1 January 2018 to see if these workers attained higher qualifications between then and February 2019. </w:t>
      </w:r>
      <w:r>
        <w:rPr>
          <w:lang w:eastAsia="en-NZ"/>
        </w:rPr>
        <w:t xml:space="preserve">This period is slightly longer than 12 months, so gives a good indication as to whether workers are attaining Level 2 qualifications within the legislated timeframe. We found that </w:t>
      </w:r>
      <w:r w:rsidRPr="00D0335D">
        <w:rPr>
          <w:lang w:eastAsia="en-NZ"/>
        </w:rPr>
        <w:t>4,347</w:t>
      </w:r>
      <w:r w:rsidRPr="00C65C32">
        <w:rPr>
          <w:rStyle w:val="FootnoteReference"/>
        </w:rPr>
        <w:footnoteReference w:id="6"/>
      </w:r>
      <w:r w:rsidRPr="00D0335D">
        <w:rPr>
          <w:lang w:eastAsia="en-NZ"/>
        </w:rPr>
        <w:t xml:space="preserve"> unqualified support workers were employed prior to 1 January 2018 and were still employed as unqualified support workers in February 2</w:t>
      </w:r>
      <w:r>
        <w:rPr>
          <w:lang w:eastAsia="en-NZ"/>
        </w:rPr>
        <w:t>0</w:t>
      </w:r>
      <w:r w:rsidRPr="00D0335D">
        <w:rPr>
          <w:lang w:eastAsia="en-NZ"/>
        </w:rPr>
        <w:t>19.</w:t>
      </w:r>
    </w:p>
    <w:p w14:paraId="759FB0C4" w14:textId="77777777" w:rsidR="007F5F89" w:rsidRPr="001D0C30" w:rsidRDefault="007F5F89" w:rsidP="00C65C32">
      <w:pPr>
        <w:rPr>
          <w:lang w:eastAsia="en-NZ"/>
        </w:rPr>
      </w:pPr>
    </w:p>
    <w:p w14:paraId="0A4D40B9" w14:textId="43430DBB" w:rsidR="007F5F89" w:rsidRPr="001D0C30" w:rsidRDefault="007F5F89" w:rsidP="00C65C32">
      <w:pPr>
        <w:rPr>
          <w:lang w:eastAsia="en-NZ"/>
        </w:rPr>
      </w:pPr>
      <w:r>
        <w:rPr>
          <w:lang w:eastAsia="en-NZ"/>
        </w:rPr>
        <w:t xml:space="preserve">Our </w:t>
      </w:r>
      <w:r w:rsidRPr="001D0C30">
        <w:rPr>
          <w:lang w:eastAsia="en-NZ"/>
        </w:rPr>
        <w:t xml:space="preserve">analysis </w:t>
      </w:r>
      <w:r>
        <w:rPr>
          <w:lang w:eastAsia="en-NZ"/>
        </w:rPr>
        <w:t xml:space="preserve">also </w:t>
      </w:r>
      <w:r w:rsidRPr="001D0C30">
        <w:rPr>
          <w:lang w:eastAsia="en-NZ"/>
        </w:rPr>
        <w:t>show</w:t>
      </w:r>
      <w:r>
        <w:rPr>
          <w:lang w:eastAsia="en-NZ"/>
        </w:rPr>
        <w:t>ed</w:t>
      </w:r>
      <w:r w:rsidRPr="001D0C30">
        <w:rPr>
          <w:lang w:eastAsia="en-NZ"/>
        </w:rPr>
        <w:t xml:space="preserve"> 2,322 support workers who </w:t>
      </w:r>
      <w:r>
        <w:rPr>
          <w:lang w:eastAsia="en-NZ"/>
        </w:rPr>
        <w:t xml:space="preserve">had </w:t>
      </w:r>
      <w:r w:rsidRPr="001D0C30">
        <w:rPr>
          <w:lang w:eastAsia="en-NZ"/>
        </w:rPr>
        <w:t>been employed for more than 12 months</w:t>
      </w:r>
      <w:r>
        <w:rPr>
          <w:lang w:eastAsia="en-NZ"/>
        </w:rPr>
        <w:t>,</w:t>
      </w:r>
      <w:r w:rsidRPr="001D0C30">
        <w:rPr>
          <w:lang w:eastAsia="en-NZ"/>
        </w:rPr>
        <w:t xml:space="preserve"> ha</w:t>
      </w:r>
      <w:r>
        <w:rPr>
          <w:lang w:eastAsia="en-NZ"/>
        </w:rPr>
        <w:t>d</w:t>
      </w:r>
      <w:r w:rsidRPr="001D0C30">
        <w:rPr>
          <w:lang w:eastAsia="en-NZ"/>
        </w:rPr>
        <w:t xml:space="preserve"> no qualifications </w:t>
      </w:r>
      <w:r>
        <w:rPr>
          <w:lang w:eastAsia="en-NZ"/>
        </w:rPr>
        <w:t xml:space="preserve">and were paid </w:t>
      </w:r>
      <w:r w:rsidRPr="001D0C30">
        <w:rPr>
          <w:lang w:eastAsia="en-NZ"/>
        </w:rPr>
        <w:t xml:space="preserve">based on their </w:t>
      </w:r>
      <w:r>
        <w:rPr>
          <w:lang w:eastAsia="en-NZ"/>
        </w:rPr>
        <w:t>l</w:t>
      </w:r>
      <w:r w:rsidRPr="001D0C30">
        <w:rPr>
          <w:lang w:eastAsia="en-NZ"/>
        </w:rPr>
        <w:t xml:space="preserve">ength </w:t>
      </w:r>
      <w:r>
        <w:rPr>
          <w:lang w:eastAsia="en-NZ"/>
        </w:rPr>
        <w:t>o</w:t>
      </w:r>
      <w:r w:rsidRPr="001D0C30">
        <w:rPr>
          <w:lang w:eastAsia="en-NZ"/>
        </w:rPr>
        <w:t xml:space="preserve">f </w:t>
      </w:r>
      <w:r>
        <w:rPr>
          <w:lang w:eastAsia="en-NZ"/>
        </w:rPr>
        <w:t>s</w:t>
      </w:r>
      <w:r w:rsidRPr="001D0C30">
        <w:rPr>
          <w:lang w:eastAsia="en-NZ"/>
        </w:rPr>
        <w:t xml:space="preserve">ervice. As </w:t>
      </w:r>
      <w:r w:rsidR="006D35B2">
        <w:rPr>
          <w:lang w:eastAsia="en-NZ"/>
        </w:rPr>
        <w:t>at</w:t>
      </w:r>
      <w:r w:rsidRPr="001D0C30">
        <w:rPr>
          <w:lang w:eastAsia="en-NZ"/>
        </w:rPr>
        <w:t xml:space="preserve"> February 2019</w:t>
      </w:r>
      <w:r>
        <w:rPr>
          <w:lang w:eastAsia="en-NZ"/>
        </w:rPr>
        <w:t>,</w:t>
      </w:r>
      <w:r w:rsidRPr="001D0C30">
        <w:rPr>
          <w:lang w:eastAsia="en-NZ"/>
        </w:rPr>
        <w:t xml:space="preserve"> 2,025 </w:t>
      </w:r>
      <w:r>
        <w:rPr>
          <w:lang w:eastAsia="en-NZ"/>
        </w:rPr>
        <w:t xml:space="preserve">unqualified </w:t>
      </w:r>
      <w:r w:rsidRPr="001D0C30">
        <w:rPr>
          <w:lang w:eastAsia="en-NZ"/>
        </w:rPr>
        <w:t xml:space="preserve">support </w:t>
      </w:r>
      <w:r>
        <w:rPr>
          <w:lang w:eastAsia="en-NZ"/>
        </w:rPr>
        <w:t>wo</w:t>
      </w:r>
      <w:r w:rsidRPr="001D0C30">
        <w:rPr>
          <w:lang w:eastAsia="en-NZ"/>
        </w:rPr>
        <w:t xml:space="preserve">rkers </w:t>
      </w:r>
      <w:r>
        <w:rPr>
          <w:lang w:eastAsia="en-NZ"/>
        </w:rPr>
        <w:t>h</w:t>
      </w:r>
      <w:r w:rsidRPr="001D0C30">
        <w:rPr>
          <w:lang w:eastAsia="en-NZ"/>
        </w:rPr>
        <w:t>a</w:t>
      </w:r>
      <w:r>
        <w:rPr>
          <w:lang w:eastAsia="en-NZ"/>
        </w:rPr>
        <w:t>d</w:t>
      </w:r>
      <w:r w:rsidRPr="001D0C30">
        <w:rPr>
          <w:lang w:eastAsia="en-NZ"/>
        </w:rPr>
        <w:t xml:space="preserve"> been employed for more than 12 months and </w:t>
      </w:r>
      <w:r>
        <w:rPr>
          <w:lang w:eastAsia="en-NZ"/>
        </w:rPr>
        <w:t xml:space="preserve">were not </w:t>
      </w:r>
      <w:r w:rsidRPr="001D0C30">
        <w:rPr>
          <w:lang w:eastAsia="en-NZ"/>
        </w:rPr>
        <w:t xml:space="preserve">paid based on </w:t>
      </w:r>
      <w:r>
        <w:rPr>
          <w:lang w:eastAsia="en-NZ"/>
        </w:rPr>
        <w:t>length of service</w:t>
      </w:r>
      <w:r w:rsidRPr="001D0C30">
        <w:rPr>
          <w:lang w:eastAsia="en-NZ"/>
        </w:rPr>
        <w:t>.</w:t>
      </w:r>
    </w:p>
    <w:p w14:paraId="50B8B3E0" w14:textId="77777777" w:rsidR="00776894" w:rsidRDefault="00776894" w:rsidP="00C65C32">
      <w:pPr>
        <w:rPr>
          <w:lang w:eastAsia="en-NZ"/>
        </w:rPr>
      </w:pPr>
    </w:p>
    <w:p w14:paraId="58D97AD4" w14:textId="77777777" w:rsidR="007F5F89" w:rsidRPr="00316683" w:rsidRDefault="007F5F89" w:rsidP="00C65C32">
      <w:pPr>
        <w:pStyle w:val="Table"/>
        <w:rPr>
          <w:bCs/>
          <w:lang w:eastAsia="en-NZ"/>
        </w:rPr>
      </w:pPr>
      <w:bookmarkStart w:id="16" w:name="_Toc27123906"/>
      <w:r w:rsidRPr="00316683">
        <w:rPr>
          <w:lang w:eastAsia="en-NZ"/>
        </w:rPr>
        <w:lastRenderedPageBreak/>
        <w:t>T</w:t>
      </w:r>
      <w:r w:rsidRPr="003D446B">
        <w:rPr>
          <w:lang w:eastAsia="en-NZ"/>
        </w:rPr>
        <w:t xml:space="preserve">able </w:t>
      </w:r>
      <w:r w:rsidRPr="00316683">
        <w:rPr>
          <w:lang w:eastAsia="en-NZ"/>
        </w:rPr>
        <w:t>1: N</w:t>
      </w:r>
      <w:r w:rsidRPr="003D446B">
        <w:rPr>
          <w:lang w:eastAsia="en-NZ"/>
        </w:rPr>
        <w:t>umber of workers</w:t>
      </w:r>
      <w:r w:rsidRPr="00316683">
        <w:rPr>
          <w:lang w:eastAsia="en-NZ"/>
        </w:rPr>
        <w:t>,</w:t>
      </w:r>
      <w:r w:rsidRPr="003D446B">
        <w:rPr>
          <w:lang w:eastAsia="en-NZ"/>
        </w:rPr>
        <w:t xml:space="preserve"> by sector (excluding </w:t>
      </w:r>
      <w:r w:rsidRPr="00C9002B">
        <w:rPr>
          <w:lang w:eastAsia="en-NZ"/>
        </w:rPr>
        <w:t>a</w:t>
      </w:r>
      <w:r w:rsidRPr="00AC7656">
        <w:rPr>
          <w:lang w:eastAsia="en-NZ"/>
        </w:rPr>
        <w:t xml:space="preserve">ged </w:t>
      </w:r>
      <w:r w:rsidRPr="00D921C4">
        <w:rPr>
          <w:lang w:eastAsia="en-NZ"/>
        </w:rPr>
        <w:t xml:space="preserve">residential </w:t>
      </w:r>
      <w:r w:rsidRPr="003D446B">
        <w:rPr>
          <w:lang w:eastAsia="en-NZ"/>
        </w:rPr>
        <w:t xml:space="preserve">care) </w:t>
      </w:r>
      <w:r w:rsidRPr="00316683">
        <w:rPr>
          <w:lang w:eastAsia="en-NZ"/>
        </w:rPr>
        <w:t xml:space="preserve">who </w:t>
      </w:r>
      <w:r>
        <w:rPr>
          <w:lang w:eastAsia="en-NZ"/>
        </w:rPr>
        <w:t xml:space="preserve">had no </w:t>
      </w:r>
      <w:r w:rsidRPr="003D446B">
        <w:rPr>
          <w:lang w:eastAsia="en-NZ"/>
        </w:rPr>
        <w:t>qualifications prior to 1 January 2018 and still no qualification</w:t>
      </w:r>
      <w:r>
        <w:rPr>
          <w:lang w:eastAsia="en-NZ"/>
        </w:rPr>
        <w:t>s</w:t>
      </w:r>
      <w:r w:rsidRPr="00316683">
        <w:rPr>
          <w:lang w:eastAsia="en-NZ"/>
        </w:rPr>
        <w:t xml:space="preserve"> as at February 2019</w:t>
      </w:r>
      <w:bookmarkEnd w:id="16"/>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370"/>
        <w:gridCol w:w="1142"/>
        <w:gridCol w:w="1142"/>
        <w:gridCol w:w="1142"/>
        <w:gridCol w:w="1142"/>
        <w:gridCol w:w="1142"/>
      </w:tblGrid>
      <w:tr w:rsidR="007F5F89" w:rsidRPr="00C65C32" w14:paraId="63DC835A" w14:textId="77777777" w:rsidTr="00C65C32">
        <w:trPr>
          <w:cantSplit/>
        </w:trPr>
        <w:tc>
          <w:tcPr>
            <w:tcW w:w="2370" w:type="dxa"/>
            <w:tcBorders>
              <w:top w:val="nil"/>
              <w:bottom w:val="nil"/>
            </w:tcBorders>
            <w:shd w:val="clear" w:color="auto" w:fill="D9D9D9" w:themeFill="background1" w:themeFillShade="D9"/>
            <w:vAlign w:val="center"/>
          </w:tcPr>
          <w:p w14:paraId="2A4A0AC8" w14:textId="77777777" w:rsidR="007F5F89" w:rsidRPr="00C65C32" w:rsidRDefault="007F5F89" w:rsidP="00C65C32">
            <w:pPr>
              <w:pStyle w:val="TableText"/>
              <w:rPr>
                <w:b/>
                <w:lang w:eastAsia="en-NZ"/>
              </w:rPr>
            </w:pPr>
          </w:p>
        </w:tc>
        <w:tc>
          <w:tcPr>
            <w:tcW w:w="1142" w:type="dxa"/>
            <w:tcBorders>
              <w:top w:val="nil"/>
              <w:bottom w:val="nil"/>
            </w:tcBorders>
            <w:shd w:val="clear" w:color="auto" w:fill="D9D9D9" w:themeFill="background1" w:themeFillShade="D9"/>
            <w:vAlign w:val="center"/>
          </w:tcPr>
          <w:p w14:paraId="758C667B" w14:textId="77777777" w:rsidR="007F5F89" w:rsidRPr="00C65C32" w:rsidRDefault="007F5F89" w:rsidP="00C65C32">
            <w:pPr>
              <w:pStyle w:val="TableText"/>
              <w:jc w:val="center"/>
              <w:rPr>
                <w:b/>
                <w:lang w:eastAsia="en-NZ"/>
              </w:rPr>
            </w:pPr>
            <w:r w:rsidRPr="00C65C32">
              <w:rPr>
                <w:b/>
                <w:lang w:eastAsia="en-NZ"/>
              </w:rPr>
              <w:t>HCS</w:t>
            </w:r>
          </w:p>
        </w:tc>
        <w:tc>
          <w:tcPr>
            <w:tcW w:w="1142" w:type="dxa"/>
            <w:tcBorders>
              <w:top w:val="nil"/>
              <w:bottom w:val="nil"/>
            </w:tcBorders>
            <w:shd w:val="clear" w:color="auto" w:fill="D9D9D9" w:themeFill="background1" w:themeFillShade="D9"/>
            <w:vAlign w:val="center"/>
          </w:tcPr>
          <w:p w14:paraId="264475FF" w14:textId="77777777" w:rsidR="007F5F89" w:rsidRPr="00C65C32" w:rsidRDefault="007F5F89" w:rsidP="00C65C32">
            <w:pPr>
              <w:pStyle w:val="TableText"/>
              <w:jc w:val="center"/>
              <w:rPr>
                <w:b/>
                <w:lang w:eastAsia="en-NZ"/>
              </w:rPr>
            </w:pPr>
            <w:r w:rsidRPr="00C65C32">
              <w:rPr>
                <w:b/>
                <w:lang w:eastAsia="en-NZ"/>
              </w:rPr>
              <w:t>Disability</w:t>
            </w:r>
          </w:p>
        </w:tc>
        <w:tc>
          <w:tcPr>
            <w:tcW w:w="1142" w:type="dxa"/>
            <w:tcBorders>
              <w:top w:val="nil"/>
              <w:bottom w:val="nil"/>
            </w:tcBorders>
            <w:shd w:val="clear" w:color="auto" w:fill="D9D9D9" w:themeFill="background1" w:themeFillShade="D9"/>
            <w:vAlign w:val="center"/>
          </w:tcPr>
          <w:p w14:paraId="2B6F6E1C" w14:textId="77777777" w:rsidR="007F5F89" w:rsidRPr="00C65C32" w:rsidRDefault="007F5F89" w:rsidP="00C65C32">
            <w:pPr>
              <w:pStyle w:val="TableText"/>
              <w:jc w:val="center"/>
              <w:rPr>
                <w:b/>
                <w:lang w:eastAsia="en-NZ"/>
              </w:rPr>
            </w:pPr>
            <w:r w:rsidRPr="00C65C32">
              <w:rPr>
                <w:b/>
                <w:lang w:eastAsia="en-NZ"/>
              </w:rPr>
              <w:t>MH&amp;A</w:t>
            </w:r>
          </w:p>
        </w:tc>
        <w:tc>
          <w:tcPr>
            <w:tcW w:w="1142" w:type="dxa"/>
            <w:tcBorders>
              <w:top w:val="nil"/>
              <w:bottom w:val="nil"/>
            </w:tcBorders>
            <w:shd w:val="clear" w:color="auto" w:fill="D9D9D9" w:themeFill="background1" w:themeFillShade="D9"/>
            <w:vAlign w:val="center"/>
          </w:tcPr>
          <w:p w14:paraId="6CE00408" w14:textId="77777777" w:rsidR="007F5F89" w:rsidRPr="00C65C32" w:rsidRDefault="007F5F89" w:rsidP="00C65C32">
            <w:pPr>
              <w:pStyle w:val="TableText"/>
              <w:jc w:val="center"/>
              <w:rPr>
                <w:b/>
                <w:lang w:eastAsia="en-NZ"/>
              </w:rPr>
            </w:pPr>
            <w:r w:rsidRPr="00C65C32">
              <w:rPr>
                <w:b/>
                <w:lang w:eastAsia="en-NZ"/>
              </w:rPr>
              <w:t>Unknown</w:t>
            </w:r>
            <w:r w:rsidRPr="00C65C32">
              <w:rPr>
                <w:rStyle w:val="FootnoteReference"/>
              </w:rPr>
              <w:footnoteReference w:id="7"/>
            </w:r>
          </w:p>
        </w:tc>
        <w:tc>
          <w:tcPr>
            <w:tcW w:w="1142" w:type="dxa"/>
            <w:tcBorders>
              <w:top w:val="nil"/>
              <w:bottom w:val="nil"/>
            </w:tcBorders>
            <w:shd w:val="clear" w:color="auto" w:fill="D9D9D9" w:themeFill="background1" w:themeFillShade="D9"/>
            <w:vAlign w:val="center"/>
          </w:tcPr>
          <w:p w14:paraId="69079B45" w14:textId="77777777" w:rsidR="007F5F89" w:rsidRPr="00C65C32" w:rsidRDefault="007F5F89" w:rsidP="00C65C32">
            <w:pPr>
              <w:pStyle w:val="TableText"/>
              <w:jc w:val="center"/>
              <w:rPr>
                <w:b/>
                <w:lang w:eastAsia="en-NZ"/>
              </w:rPr>
            </w:pPr>
            <w:r w:rsidRPr="00C65C32">
              <w:rPr>
                <w:b/>
                <w:lang w:eastAsia="en-NZ"/>
              </w:rPr>
              <w:t>Total</w:t>
            </w:r>
            <w:r w:rsidRPr="00C65C32">
              <w:rPr>
                <w:rStyle w:val="FootnoteReference"/>
              </w:rPr>
              <w:footnoteReference w:id="8"/>
            </w:r>
          </w:p>
        </w:tc>
      </w:tr>
      <w:tr w:rsidR="007F5F89" w:rsidRPr="001D0C30" w14:paraId="1D96BFCB" w14:textId="77777777" w:rsidTr="00C65C32">
        <w:trPr>
          <w:cantSplit/>
        </w:trPr>
        <w:tc>
          <w:tcPr>
            <w:tcW w:w="2370" w:type="dxa"/>
            <w:tcBorders>
              <w:top w:val="nil"/>
            </w:tcBorders>
          </w:tcPr>
          <w:p w14:paraId="1DA7F302" w14:textId="77777777" w:rsidR="007F5F89" w:rsidRPr="001D0C30" w:rsidRDefault="007F5F89" w:rsidP="00C65C32">
            <w:pPr>
              <w:pStyle w:val="TableText"/>
              <w:rPr>
                <w:lang w:eastAsia="en-NZ"/>
              </w:rPr>
            </w:pPr>
            <w:r>
              <w:rPr>
                <w:lang w:eastAsia="en-NZ"/>
              </w:rPr>
              <w:t>W</w:t>
            </w:r>
            <w:r w:rsidR="00C65C32">
              <w:rPr>
                <w:lang w:eastAsia="en-NZ"/>
              </w:rPr>
              <w:t>orkers</w:t>
            </w:r>
          </w:p>
        </w:tc>
        <w:tc>
          <w:tcPr>
            <w:tcW w:w="1142" w:type="dxa"/>
            <w:tcBorders>
              <w:top w:val="nil"/>
            </w:tcBorders>
          </w:tcPr>
          <w:p w14:paraId="4F224900" w14:textId="77777777" w:rsidR="007F5F89" w:rsidRPr="001D0C30" w:rsidRDefault="007F5F89" w:rsidP="00C65C32">
            <w:pPr>
              <w:pStyle w:val="TableText"/>
              <w:tabs>
                <w:tab w:val="decimal" w:pos="715"/>
              </w:tabs>
              <w:rPr>
                <w:lang w:eastAsia="en-NZ"/>
              </w:rPr>
            </w:pPr>
            <w:r w:rsidRPr="001D0C30">
              <w:rPr>
                <w:lang w:eastAsia="en-NZ"/>
              </w:rPr>
              <w:t>1</w:t>
            </w:r>
            <w:r>
              <w:rPr>
                <w:lang w:eastAsia="en-NZ"/>
              </w:rPr>
              <w:t>,</w:t>
            </w:r>
            <w:r w:rsidRPr="001D0C30">
              <w:rPr>
                <w:lang w:eastAsia="en-NZ"/>
              </w:rPr>
              <w:t>511</w:t>
            </w:r>
          </w:p>
        </w:tc>
        <w:tc>
          <w:tcPr>
            <w:tcW w:w="1142" w:type="dxa"/>
            <w:tcBorders>
              <w:top w:val="nil"/>
            </w:tcBorders>
          </w:tcPr>
          <w:p w14:paraId="71576475" w14:textId="77777777" w:rsidR="007F5F89" w:rsidRPr="001D0C30" w:rsidRDefault="007F5F89" w:rsidP="00C65C32">
            <w:pPr>
              <w:pStyle w:val="TableText"/>
              <w:tabs>
                <w:tab w:val="decimal" w:pos="715"/>
              </w:tabs>
              <w:rPr>
                <w:lang w:eastAsia="en-NZ"/>
              </w:rPr>
            </w:pPr>
            <w:r w:rsidRPr="001D0C30">
              <w:rPr>
                <w:lang w:eastAsia="en-NZ"/>
              </w:rPr>
              <w:t>1</w:t>
            </w:r>
            <w:r>
              <w:rPr>
                <w:lang w:eastAsia="en-NZ"/>
              </w:rPr>
              <w:t>,</w:t>
            </w:r>
            <w:r w:rsidRPr="001D0C30">
              <w:rPr>
                <w:lang w:eastAsia="en-NZ"/>
              </w:rPr>
              <w:t>003</w:t>
            </w:r>
          </w:p>
        </w:tc>
        <w:tc>
          <w:tcPr>
            <w:tcW w:w="1142" w:type="dxa"/>
            <w:tcBorders>
              <w:top w:val="nil"/>
            </w:tcBorders>
          </w:tcPr>
          <w:p w14:paraId="40B5C614" w14:textId="77777777" w:rsidR="007F5F89" w:rsidRPr="001D0C30" w:rsidRDefault="007F5F89" w:rsidP="00C65C32">
            <w:pPr>
              <w:pStyle w:val="TableText"/>
              <w:jc w:val="center"/>
              <w:rPr>
                <w:lang w:eastAsia="en-NZ"/>
              </w:rPr>
            </w:pPr>
            <w:r w:rsidRPr="001D0C30">
              <w:rPr>
                <w:lang w:eastAsia="en-NZ"/>
              </w:rPr>
              <w:t>521</w:t>
            </w:r>
          </w:p>
        </w:tc>
        <w:tc>
          <w:tcPr>
            <w:tcW w:w="1142" w:type="dxa"/>
            <w:tcBorders>
              <w:top w:val="nil"/>
            </w:tcBorders>
          </w:tcPr>
          <w:p w14:paraId="187CC48F" w14:textId="77777777" w:rsidR="007F5F89" w:rsidRPr="001D0C30" w:rsidRDefault="007F5F89" w:rsidP="00C65C32">
            <w:pPr>
              <w:pStyle w:val="TableText"/>
              <w:tabs>
                <w:tab w:val="decimal" w:pos="653"/>
              </w:tabs>
              <w:rPr>
                <w:lang w:eastAsia="en-NZ"/>
              </w:rPr>
            </w:pPr>
            <w:r w:rsidRPr="001D0C30">
              <w:rPr>
                <w:lang w:eastAsia="en-NZ"/>
              </w:rPr>
              <w:t>1</w:t>
            </w:r>
            <w:r>
              <w:rPr>
                <w:lang w:eastAsia="en-NZ"/>
              </w:rPr>
              <w:t>,</w:t>
            </w:r>
            <w:r w:rsidRPr="001D0C30">
              <w:rPr>
                <w:lang w:eastAsia="en-NZ"/>
              </w:rPr>
              <w:t>400</w:t>
            </w:r>
          </w:p>
        </w:tc>
        <w:tc>
          <w:tcPr>
            <w:tcW w:w="1142" w:type="dxa"/>
            <w:tcBorders>
              <w:top w:val="nil"/>
            </w:tcBorders>
          </w:tcPr>
          <w:p w14:paraId="058D6CE2" w14:textId="77777777" w:rsidR="007F5F89" w:rsidRPr="001D0C30" w:rsidRDefault="007F5F89" w:rsidP="00C65C32">
            <w:pPr>
              <w:pStyle w:val="TableText"/>
              <w:jc w:val="center"/>
              <w:rPr>
                <w:lang w:eastAsia="en-NZ"/>
              </w:rPr>
            </w:pPr>
            <w:r w:rsidRPr="001D0C30">
              <w:rPr>
                <w:lang w:eastAsia="en-NZ"/>
              </w:rPr>
              <w:t>4</w:t>
            </w:r>
            <w:r>
              <w:rPr>
                <w:lang w:eastAsia="en-NZ"/>
              </w:rPr>
              <w:t>,</w:t>
            </w:r>
            <w:r w:rsidRPr="001D0C30">
              <w:rPr>
                <w:lang w:eastAsia="en-NZ"/>
              </w:rPr>
              <w:t>347</w:t>
            </w:r>
          </w:p>
        </w:tc>
      </w:tr>
      <w:tr w:rsidR="007F5F89" w:rsidRPr="001D0C30" w14:paraId="5B7B6CB2" w14:textId="77777777" w:rsidTr="00C65C32">
        <w:trPr>
          <w:cantSplit/>
        </w:trPr>
        <w:tc>
          <w:tcPr>
            <w:tcW w:w="2370" w:type="dxa"/>
          </w:tcPr>
          <w:p w14:paraId="3B48903C" w14:textId="77777777" w:rsidR="007F5F89" w:rsidRPr="001D0C30" w:rsidRDefault="007F5F89" w:rsidP="00C65C32">
            <w:pPr>
              <w:pStyle w:val="TableText"/>
              <w:rPr>
                <w:lang w:eastAsia="en-NZ"/>
              </w:rPr>
            </w:pPr>
            <w:r>
              <w:rPr>
                <w:lang w:eastAsia="en-NZ"/>
              </w:rPr>
              <w:t>W</w:t>
            </w:r>
            <w:r w:rsidRPr="001D0C30">
              <w:rPr>
                <w:lang w:eastAsia="en-NZ"/>
              </w:rPr>
              <w:t xml:space="preserve">orkers </w:t>
            </w:r>
            <w:r>
              <w:rPr>
                <w:lang w:eastAsia="en-NZ"/>
              </w:rPr>
              <w:t>not paid based on</w:t>
            </w:r>
            <w:r w:rsidRPr="001D0C30">
              <w:rPr>
                <w:lang w:eastAsia="en-NZ"/>
              </w:rPr>
              <w:t xml:space="preserve"> </w:t>
            </w:r>
            <w:r>
              <w:rPr>
                <w:lang w:eastAsia="en-NZ"/>
              </w:rPr>
              <w:t>length of service</w:t>
            </w:r>
          </w:p>
        </w:tc>
        <w:tc>
          <w:tcPr>
            <w:tcW w:w="1142" w:type="dxa"/>
          </w:tcPr>
          <w:p w14:paraId="69D21E31" w14:textId="77777777" w:rsidR="007F5F89" w:rsidRPr="001D0C30" w:rsidRDefault="007F5F89" w:rsidP="00C65C32">
            <w:pPr>
              <w:pStyle w:val="TableText"/>
              <w:tabs>
                <w:tab w:val="decimal" w:pos="715"/>
              </w:tabs>
              <w:rPr>
                <w:lang w:eastAsia="en-NZ"/>
              </w:rPr>
            </w:pPr>
            <w:r w:rsidRPr="001D0C30">
              <w:t>797</w:t>
            </w:r>
          </w:p>
        </w:tc>
        <w:tc>
          <w:tcPr>
            <w:tcW w:w="1142" w:type="dxa"/>
          </w:tcPr>
          <w:p w14:paraId="3CDD3A2F" w14:textId="77777777" w:rsidR="007F5F89" w:rsidRPr="001D0C30" w:rsidRDefault="007F5F89" w:rsidP="00C65C32">
            <w:pPr>
              <w:pStyle w:val="TableText"/>
              <w:tabs>
                <w:tab w:val="decimal" w:pos="715"/>
              </w:tabs>
              <w:rPr>
                <w:lang w:eastAsia="en-NZ"/>
              </w:rPr>
            </w:pPr>
            <w:r w:rsidRPr="001D0C30">
              <w:t>516</w:t>
            </w:r>
          </w:p>
        </w:tc>
        <w:tc>
          <w:tcPr>
            <w:tcW w:w="1142" w:type="dxa"/>
          </w:tcPr>
          <w:p w14:paraId="0E0DE4A2" w14:textId="77777777" w:rsidR="007F5F89" w:rsidRPr="001D0C30" w:rsidRDefault="007F5F89" w:rsidP="00C65C32">
            <w:pPr>
              <w:pStyle w:val="TableText"/>
              <w:jc w:val="center"/>
              <w:rPr>
                <w:highlight w:val="yellow"/>
                <w:lang w:eastAsia="en-NZ"/>
              </w:rPr>
            </w:pPr>
            <w:r w:rsidRPr="001D0C30">
              <w:t>344</w:t>
            </w:r>
          </w:p>
        </w:tc>
        <w:tc>
          <w:tcPr>
            <w:tcW w:w="1142" w:type="dxa"/>
          </w:tcPr>
          <w:p w14:paraId="4608E03C" w14:textId="77777777" w:rsidR="007F5F89" w:rsidRPr="001D0C30" w:rsidRDefault="007F5F89" w:rsidP="00C65C32">
            <w:pPr>
              <w:pStyle w:val="TableText"/>
              <w:tabs>
                <w:tab w:val="decimal" w:pos="653"/>
              </w:tabs>
              <w:rPr>
                <w:lang w:eastAsia="en-NZ"/>
              </w:rPr>
            </w:pPr>
            <w:r w:rsidRPr="001D0C30">
              <w:t>417</w:t>
            </w:r>
          </w:p>
        </w:tc>
        <w:tc>
          <w:tcPr>
            <w:tcW w:w="1142" w:type="dxa"/>
          </w:tcPr>
          <w:p w14:paraId="5D8F3F47" w14:textId="77777777" w:rsidR="007F5F89" w:rsidRPr="001D0C30" w:rsidRDefault="007F5F89" w:rsidP="00C65C32">
            <w:pPr>
              <w:pStyle w:val="TableText"/>
              <w:jc w:val="center"/>
              <w:rPr>
                <w:lang w:eastAsia="en-NZ"/>
              </w:rPr>
            </w:pPr>
            <w:r w:rsidRPr="001D0C30">
              <w:t>2,025</w:t>
            </w:r>
          </w:p>
        </w:tc>
      </w:tr>
    </w:tbl>
    <w:p w14:paraId="2905C3B4" w14:textId="77777777" w:rsidR="007F5F89" w:rsidRPr="001D0C30" w:rsidRDefault="007F5F89" w:rsidP="00C65C32">
      <w:pPr>
        <w:rPr>
          <w:lang w:eastAsia="en-NZ"/>
        </w:rPr>
      </w:pPr>
    </w:p>
    <w:p w14:paraId="5D319E77" w14:textId="77777777" w:rsidR="007F5F89" w:rsidRPr="001D0C30" w:rsidRDefault="007F5F89" w:rsidP="00C65C32">
      <w:pPr>
        <w:rPr>
          <w:lang w:eastAsia="en-NZ"/>
        </w:rPr>
      </w:pPr>
      <w:r>
        <w:rPr>
          <w:lang w:eastAsia="en-NZ"/>
        </w:rPr>
        <w:t xml:space="preserve">Because </w:t>
      </w:r>
      <w:r w:rsidRPr="001D0C30">
        <w:rPr>
          <w:lang w:eastAsia="en-NZ"/>
        </w:rPr>
        <w:t xml:space="preserve">we </w:t>
      </w:r>
      <w:r>
        <w:rPr>
          <w:lang w:eastAsia="en-NZ"/>
        </w:rPr>
        <w:t>did</w:t>
      </w:r>
      <w:r w:rsidRPr="001D0C30">
        <w:rPr>
          <w:lang w:eastAsia="en-NZ"/>
        </w:rPr>
        <w:t xml:space="preserve"> not have data from 2017/18 for the </w:t>
      </w:r>
      <w:r>
        <w:rPr>
          <w:lang w:eastAsia="en-NZ"/>
        </w:rPr>
        <w:t xml:space="preserve">ARC </w:t>
      </w:r>
      <w:r w:rsidRPr="001D0C30">
        <w:rPr>
          <w:lang w:eastAsia="en-NZ"/>
        </w:rPr>
        <w:t>sector</w:t>
      </w:r>
      <w:r>
        <w:rPr>
          <w:lang w:eastAsia="en-NZ"/>
        </w:rPr>
        <w:t xml:space="preserve">, we could not undertake </w:t>
      </w:r>
      <w:r w:rsidRPr="001D0C30">
        <w:rPr>
          <w:lang w:eastAsia="en-NZ"/>
        </w:rPr>
        <w:t xml:space="preserve">comparative analysis. However, we note that there were 5,960 support workers employed in this sector who </w:t>
      </w:r>
      <w:r>
        <w:rPr>
          <w:lang w:eastAsia="en-NZ"/>
        </w:rPr>
        <w:t xml:space="preserve">did </w:t>
      </w:r>
      <w:r w:rsidRPr="001D0C30">
        <w:rPr>
          <w:lang w:eastAsia="en-NZ"/>
        </w:rPr>
        <w:t>not have a qualification and were employed prior to 1 January 2018.</w:t>
      </w:r>
      <w:r>
        <w:rPr>
          <w:lang w:eastAsia="en-NZ"/>
        </w:rPr>
        <w:t xml:space="preserve"> </w:t>
      </w:r>
      <w:r w:rsidRPr="001D0C30">
        <w:rPr>
          <w:lang w:eastAsia="en-NZ"/>
        </w:rPr>
        <w:t>Of these, 1</w:t>
      </w:r>
      <w:r>
        <w:rPr>
          <w:lang w:eastAsia="en-NZ"/>
        </w:rPr>
        <w:t>,</w:t>
      </w:r>
      <w:r w:rsidRPr="001D0C30">
        <w:rPr>
          <w:lang w:eastAsia="en-NZ"/>
        </w:rPr>
        <w:t xml:space="preserve">811 </w:t>
      </w:r>
      <w:r>
        <w:rPr>
          <w:lang w:eastAsia="en-NZ"/>
        </w:rPr>
        <w:t xml:space="preserve">received </w:t>
      </w:r>
      <w:r w:rsidRPr="001D0C30">
        <w:rPr>
          <w:lang w:eastAsia="en-NZ"/>
        </w:rPr>
        <w:t>wages based on length of service.</w:t>
      </w:r>
    </w:p>
    <w:p w14:paraId="53991F69" w14:textId="77777777" w:rsidR="007F5F89" w:rsidRPr="001D0C30" w:rsidRDefault="007F5F89" w:rsidP="00C65C32">
      <w:pPr>
        <w:rPr>
          <w:lang w:eastAsia="en-NZ"/>
        </w:rPr>
      </w:pPr>
    </w:p>
    <w:p w14:paraId="3456D35D" w14:textId="77777777" w:rsidR="007F5F89" w:rsidRPr="00B30B6C" w:rsidRDefault="007F5F89" w:rsidP="00C65C32">
      <w:pPr>
        <w:pStyle w:val="Heading1"/>
        <w:rPr>
          <w:lang w:eastAsia="en-NZ"/>
        </w:rPr>
      </w:pPr>
      <w:bookmarkStart w:id="17" w:name="_Toc27123880"/>
      <w:r w:rsidRPr="00B30B6C">
        <w:rPr>
          <w:lang w:eastAsia="en-NZ"/>
        </w:rPr>
        <w:lastRenderedPageBreak/>
        <w:t>Conclusion</w:t>
      </w:r>
      <w:bookmarkEnd w:id="17"/>
    </w:p>
    <w:p w14:paraId="01F776EC" w14:textId="77777777" w:rsidR="00776894" w:rsidRDefault="007F5F89" w:rsidP="00C65C32">
      <w:pPr>
        <w:rPr>
          <w:lang w:eastAsia="en-NZ"/>
        </w:rPr>
      </w:pPr>
      <w:r w:rsidRPr="001D0C30">
        <w:rPr>
          <w:lang w:eastAsia="en-NZ"/>
        </w:rPr>
        <w:t xml:space="preserve">Across the </w:t>
      </w:r>
      <w:r>
        <w:rPr>
          <w:lang w:eastAsia="en-NZ"/>
        </w:rPr>
        <w:t>d</w:t>
      </w:r>
      <w:r w:rsidRPr="001D0C30">
        <w:rPr>
          <w:lang w:eastAsia="en-NZ"/>
        </w:rPr>
        <w:t xml:space="preserve">isability, </w:t>
      </w:r>
      <w:r>
        <w:rPr>
          <w:lang w:eastAsia="en-NZ"/>
        </w:rPr>
        <w:t xml:space="preserve">HCS </w:t>
      </w:r>
      <w:r w:rsidRPr="001D0C30">
        <w:rPr>
          <w:lang w:eastAsia="en-NZ"/>
        </w:rPr>
        <w:t xml:space="preserve">and </w:t>
      </w:r>
      <w:r>
        <w:rPr>
          <w:lang w:eastAsia="en-NZ"/>
        </w:rPr>
        <w:t>MH&amp;A</w:t>
      </w:r>
      <w:r w:rsidRPr="001D0C30">
        <w:rPr>
          <w:lang w:eastAsia="en-NZ"/>
        </w:rPr>
        <w:t xml:space="preserve"> sectors</w:t>
      </w:r>
      <w:r>
        <w:rPr>
          <w:lang w:eastAsia="en-NZ"/>
        </w:rPr>
        <w:t>,</w:t>
      </w:r>
      <w:r w:rsidRPr="001D0C30">
        <w:rPr>
          <w:lang w:eastAsia="en-NZ"/>
        </w:rPr>
        <w:t xml:space="preserve"> the care and support workforce is becoming more qualified</w:t>
      </w:r>
      <w:r>
        <w:rPr>
          <w:lang w:eastAsia="en-NZ"/>
        </w:rPr>
        <w:t>,</w:t>
      </w:r>
      <w:r w:rsidRPr="001D0C30">
        <w:rPr>
          <w:lang w:eastAsia="en-NZ"/>
        </w:rPr>
        <w:t xml:space="preserve"> and workers with higher qualifications are delivering more hours of support.</w:t>
      </w:r>
    </w:p>
    <w:p w14:paraId="0D99F0F0" w14:textId="77777777" w:rsidR="007F5F89" w:rsidRPr="001D0C30" w:rsidRDefault="007F5F89" w:rsidP="00C65C32">
      <w:pPr>
        <w:rPr>
          <w:lang w:eastAsia="en-NZ"/>
        </w:rPr>
      </w:pPr>
    </w:p>
    <w:p w14:paraId="65BCD951" w14:textId="77777777" w:rsidR="007F5F89" w:rsidRPr="001D0C30" w:rsidRDefault="007F5F89" w:rsidP="00C65C32">
      <w:pPr>
        <w:rPr>
          <w:lang w:eastAsia="en-NZ"/>
        </w:rPr>
      </w:pPr>
      <w:r w:rsidRPr="001D0C30">
        <w:rPr>
          <w:lang w:eastAsia="en-NZ"/>
        </w:rPr>
        <w:t xml:space="preserve">Unfortunately, </w:t>
      </w:r>
      <w:r>
        <w:rPr>
          <w:lang w:eastAsia="en-NZ"/>
        </w:rPr>
        <w:t xml:space="preserve">we cannot currently draw </w:t>
      </w:r>
      <w:r w:rsidRPr="001D0C30">
        <w:rPr>
          <w:lang w:eastAsia="en-NZ"/>
        </w:rPr>
        <w:t xml:space="preserve">conclusions regarding the </w:t>
      </w:r>
      <w:r>
        <w:rPr>
          <w:lang w:eastAsia="en-NZ"/>
        </w:rPr>
        <w:t>ARC</w:t>
      </w:r>
      <w:r w:rsidRPr="001D0C30">
        <w:rPr>
          <w:lang w:eastAsia="en-NZ"/>
        </w:rPr>
        <w:t xml:space="preserve"> sector in terms of qualification growth. However, </w:t>
      </w:r>
      <w:r>
        <w:rPr>
          <w:lang w:eastAsia="en-NZ"/>
        </w:rPr>
        <w:t xml:space="preserve">we </w:t>
      </w:r>
      <w:r w:rsidRPr="001D0C30">
        <w:rPr>
          <w:lang w:eastAsia="en-NZ"/>
        </w:rPr>
        <w:t>note that this sector has a relatively high percentage of unqualified workers.</w:t>
      </w:r>
    </w:p>
    <w:p w14:paraId="18E9D6C3" w14:textId="77777777" w:rsidR="007F5F89" w:rsidRPr="001D0C30" w:rsidRDefault="007F5F89" w:rsidP="00C65C32">
      <w:pPr>
        <w:rPr>
          <w:lang w:eastAsia="en-NZ"/>
        </w:rPr>
      </w:pPr>
    </w:p>
    <w:p w14:paraId="5DE0C49D" w14:textId="77777777" w:rsidR="00C65C32" w:rsidRDefault="00C65C32" w:rsidP="00C65C32">
      <w:pPr>
        <w:pStyle w:val="Heading1"/>
        <w:numPr>
          <w:ilvl w:val="0"/>
          <w:numId w:val="0"/>
        </w:numPr>
      </w:pPr>
      <w:bookmarkStart w:id="18" w:name="_Toc27123881"/>
      <w:r>
        <w:lastRenderedPageBreak/>
        <w:t>Appendices</w:t>
      </w:r>
      <w:bookmarkEnd w:id="18"/>
    </w:p>
    <w:p w14:paraId="12E3A9B5" w14:textId="77777777" w:rsidR="00776894" w:rsidRDefault="007F5F89" w:rsidP="00C65C32">
      <w:pPr>
        <w:pStyle w:val="Heading2"/>
        <w:numPr>
          <w:ilvl w:val="0"/>
          <w:numId w:val="0"/>
        </w:numPr>
      </w:pPr>
      <w:bookmarkStart w:id="19" w:name="_Toc27123882"/>
      <w:r w:rsidRPr="001D0C30">
        <w:t xml:space="preserve">Appendix </w:t>
      </w:r>
      <w:r w:rsidR="00C65C32">
        <w:t>1</w:t>
      </w:r>
      <w:r w:rsidRPr="001D0C30">
        <w:t xml:space="preserve">: </w:t>
      </w:r>
      <w:r>
        <w:t>Home and community support</w:t>
      </w:r>
      <w:r w:rsidRPr="001D0C30">
        <w:t xml:space="preserve">, </w:t>
      </w:r>
      <w:r>
        <w:t>mental health and addiction</w:t>
      </w:r>
      <w:r w:rsidRPr="001D0C30">
        <w:t xml:space="preserve">, </w:t>
      </w:r>
      <w:r>
        <w:t>and d</w:t>
      </w:r>
      <w:r w:rsidRPr="001D0C30">
        <w:t>isability</w:t>
      </w:r>
      <w:r>
        <w:t xml:space="preserve"> sectors:</w:t>
      </w:r>
      <w:r w:rsidRPr="001D0C30">
        <w:t xml:space="preserve"> </w:t>
      </w:r>
      <w:r>
        <w:t>c</w:t>
      </w:r>
      <w:r w:rsidRPr="001D0C30">
        <w:t xml:space="preserve">omparison of </w:t>
      </w:r>
      <w:r>
        <w:t>q</w:t>
      </w:r>
      <w:r w:rsidRPr="001D0C30">
        <w:t>ualification</w:t>
      </w:r>
      <w:r>
        <w:t xml:space="preserve"> level</w:t>
      </w:r>
      <w:r w:rsidRPr="001D0C30">
        <w:t xml:space="preserve">s by </w:t>
      </w:r>
      <w:r>
        <w:t>n</w:t>
      </w:r>
      <w:r w:rsidRPr="001D0C30">
        <w:t>umber</w:t>
      </w:r>
      <w:r>
        <w:t>s</w:t>
      </w:r>
      <w:r w:rsidRPr="001D0C30">
        <w:t xml:space="preserve"> of </w:t>
      </w:r>
      <w:r>
        <w:t>w</w:t>
      </w:r>
      <w:r w:rsidRPr="001D0C30">
        <w:t>orkers</w:t>
      </w:r>
      <w:bookmarkEnd w:id="19"/>
    </w:p>
    <w:p w14:paraId="42F24318" w14:textId="77777777" w:rsidR="007F5F89" w:rsidRDefault="007F5F89" w:rsidP="00C65C32">
      <w:pPr>
        <w:pStyle w:val="Figure"/>
      </w:pPr>
      <w:bookmarkStart w:id="20" w:name="_Toc27123888"/>
      <w:r w:rsidRPr="00106CE9">
        <w:t>Figure 1: Percentage of workers in home and community support, mental health and addiction and disability sectors, by qualification level, 2017/18</w:t>
      </w:r>
      <w:bookmarkEnd w:id="20"/>
    </w:p>
    <w:p w14:paraId="6304CE5A" w14:textId="77777777" w:rsidR="000C46B5" w:rsidRPr="000C46B5" w:rsidRDefault="000C46B5" w:rsidP="000C46B5">
      <w:r w:rsidRPr="000C46B5">
        <w:rPr>
          <w:noProof/>
          <w:lang w:eastAsia="en-NZ"/>
        </w:rPr>
        <w:drawing>
          <wp:inline distT="0" distB="0" distL="0" distR="0" wp14:anchorId="501C0C65" wp14:editId="5F146E1C">
            <wp:extent cx="5130165" cy="3347762"/>
            <wp:effectExtent l="0" t="0" r="0" b="5080"/>
            <wp:docPr id="10" name="Picture 10" descr="This pie chart shows that in 2017/18, 43% of all home and community support, mental health and addiction and disability sectors workers had no qualification, 20% had a level 2 qualification, 20% had a level 3 qualification and 17% had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130165" cy="3347762"/>
                    </a:xfrm>
                    <a:prstGeom prst="rect">
                      <a:avLst/>
                    </a:prstGeom>
                  </pic:spPr>
                </pic:pic>
              </a:graphicData>
            </a:graphic>
          </wp:inline>
        </w:drawing>
      </w:r>
    </w:p>
    <w:p w14:paraId="4A6D3C58" w14:textId="77777777" w:rsidR="00C65C32" w:rsidRPr="001D0C30" w:rsidRDefault="00C65C32" w:rsidP="00C65C32"/>
    <w:p w14:paraId="5BB0DA27" w14:textId="77777777" w:rsidR="007F5F89" w:rsidRDefault="007F5F89" w:rsidP="00C65C32">
      <w:pPr>
        <w:pStyle w:val="Figure"/>
      </w:pPr>
      <w:bookmarkStart w:id="21" w:name="_Toc27123889"/>
      <w:r w:rsidRPr="00106CE9">
        <w:lastRenderedPageBreak/>
        <w:t>Figure 2: Percentage of workers in home and community support, mental health and addiction and disability sectors, by qualification level, February 2019</w:t>
      </w:r>
      <w:bookmarkEnd w:id="21"/>
    </w:p>
    <w:p w14:paraId="2AADF05F" w14:textId="77777777" w:rsidR="00D76BB5" w:rsidRPr="00D76BB5" w:rsidRDefault="00D76BB5" w:rsidP="00D76BB5">
      <w:r w:rsidRPr="00D76BB5">
        <w:rPr>
          <w:noProof/>
          <w:lang w:eastAsia="en-NZ"/>
        </w:rPr>
        <w:drawing>
          <wp:inline distT="0" distB="0" distL="0" distR="0" wp14:anchorId="2DD105D5" wp14:editId="46D9982A">
            <wp:extent cx="5130165" cy="3347762"/>
            <wp:effectExtent l="0" t="0" r="0" b="5080"/>
            <wp:docPr id="1" name="Picture 1" descr="This pie chart shows that in February 2019, 28% of home and community support, mental health and addiction and disability sectors workers had no qualification, 24% had a level 2 qualification, 24% had a level 3 qualification, and 24% had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130165" cy="3347762"/>
                    </a:xfrm>
                    <a:prstGeom prst="rect">
                      <a:avLst/>
                    </a:prstGeom>
                  </pic:spPr>
                </pic:pic>
              </a:graphicData>
            </a:graphic>
          </wp:inline>
        </w:drawing>
      </w:r>
    </w:p>
    <w:p w14:paraId="6DEB3D0F" w14:textId="77777777" w:rsidR="007F5F89" w:rsidRDefault="007F5F89" w:rsidP="00C65C32"/>
    <w:p w14:paraId="74924C67" w14:textId="77777777" w:rsidR="007F5F89" w:rsidRPr="00106CE9" w:rsidRDefault="007F5F89" w:rsidP="00C65C32">
      <w:pPr>
        <w:pStyle w:val="Table"/>
      </w:pPr>
      <w:bookmarkStart w:id="22" w:name="_Toc27123907"/>
      <w:bookmarkStart w:id="23" w:name="_Hlk25235327"/>
      <w:r w:rsidRPr="00106CE9">
        <w:t>Table 2:</w:t>
      </w:r>
      <w:r w:rsidR="00D76BB5">
        <w:t xml:space="preserve"> </w:t>
      </w:r>
      <w:r w:rsidRPr="00106CE9">
        <w:t>Number of workers in home and community support, mental health and addiction and disability sectors, by qualification level, 2017/18 and February 2019</w:t>
      </w:r>
      <w:bookmarkEnd w:id="22"/>
    </w:p>
    <w:bookmarkEnd w:id="23"/>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127"/>
        <w:gridCol w:w="1190"/>
        <w:gridCol w:w="1191"/>
        <w:gridCol w:w="1190"/>
        <w:gridCol w:w="1191"/>
        <w:gridCol w:w="1191"/>
      </w:tblGrid>
      <w:tr w:rsidR="007F5F89" w:rsidRPr="00C65C32" w14:paraId="5F38674F" w14:textId="77777777" w:rsidTr="00C65C32">
        <w:trPr>
          <w:cantSplit/>
        </w:trPr>
        <w:tc>
          <w:tcPr>
            <w:tcW w:w="2127" w:type="dxa"/>
            <w:tcBorders>
              <w:top w:val="nil"/>
              <w:bottom w:val="nil"/>
            </w:tcBorders>
            <w:shd w:val="clear" w:color="auto" w:fill="D9D9D9" w:themeFill="background1" w:themeFillShade="D9"/>
          </w:tcPr>
          <w:p w14:paraId="2B89F13F" w14:textId="77777777" w:rsidR="007F5F89" w:rsidRPr="00C65C32" w:rsidRDefault="007F5F89" w:rsidP="00C65C32">
            <w:pPr>
              <w:pStyle w:val="TableText"/>
              <w:rPr>
                <w:b/>
              </w:rPr>
            </w:pPr>
          </w:p>
        </w:tc>
        <w:tc>
          <w:tcPr>
            <w:tcW w:w="1190" w:type="dxa"/>
            <w:tcBorders>
              <w:top w:val="nil"/>
              <w:bottom w:val="nil"/>
            </w:tcBorders>
            <w:shd w:val="clear" w:color="auto" w:fill="D9D9D9" w:themeFill="background1" w:themeFillShade="D9"/>
          </w:tcPr>
          <w:p w14:paraId="65F8D207" w14:textId="77777777" w:rsidR="007F5F89" w:rsidRPr="00C65C32" w:rsidRDefault="007F5F89" w:rsidP="00C65C32">
            <w:pPr>
              <w:pStyle w:val="TableText"/>
              <w:jc w:val="center"/>
              <w:rPr>
                <w:b/>
              </w:rPr>
            </w:pPr>
            <w:r w:rsidRPr="00C65C32">
              <w:rPr>
                <w:b/>
              </w:rPr>
              <w:t>Level 0</w:t>
            </w:r>
          </w:p>
        </w:tc>
        <w:tc>
          <w:tcPr>
            <w:tcW w:w="1191" w:type="dxa"/>
            <w:tcBorders>
              <w:top w:val="nil"/>
              <w:bottom w:val="nil"/>
            </w:tcBorders>
            <w:shd w:val="clear" w:color="auto" w:fill="D9D9D9" w:themeFill="background1" w:themeFillShade="D9"/>
          </w:tcPr>
          <w:p w14:paraId="159E5613" w14:textId="77777777" w:rsidR="007F5F89" w:rsidRPr="00C65C32" w:rsidRDefault="007F5F89" w:rsidP="00C65C32">
            <w:pPr>
              <w:pStyle w:val="TableText"/>
              <w:jc w:val="center"/>
              <w:rPr>
                <w:b/>
              </w:rPr>
            </w:pPr>
            <w:r w:rsidRPr="00C65C32">
              <w:rPr>
                <w:b/>
              </w:rPr>
              <w:t>Level 2</w:t>
            </w:r>
          </w:p>
        </w:tc>
        <w:tc>
          <w:tcPr>
            <w:tcW w:w="1190" w:type="dxa"/>
            <w:tcBorders>
              <w:top w:val="nil"/>
              <w:bottom w:val="nil"/>
            </w:tcBorders>
            <w:shd w:val="clear" w:color="auto" w:fill="D9D9D9" w:themeFill="background1" w:themeFillShade="D9"/>
          </w:tcPr>
          <w:p w14:paraId="7658D038" w14:textId="77777777" w:rsidR="007F5F89" w:rsidRPr="00C65C32" w:rsidRDefault="007F5F89" w:rsidP="00C65C32">
            <w:pPr>
              <w:pStyle w:val="TableText"/>
              <w:jc w:val="center"/>
              <w:rPr>
                <w:b/>
              </w:rPr>
            </w:pPr>
            <w:r w:rsidRPr="00C65C32">
              <w:rPr>
                <w:b/>
              </w:rPr>
              <w:t>Level 3</w:t>
            </w:r>
          </w:p>
        </w:tc>
        <w:tc>
          <w:tcPr>
            <w:tcW w:w="1191" w:type="dxa"/>
            <w:tcBorders>
              <w:top w:val="nil"/>
              <w:bottom w:val="nil"/>
            </w:tcBorders>
            <w:shd w:val="clear" w:color="auto" w:fill="D9D9D9" w:themeFill="background1" w:themeFillShade="D9"/>
          </w:tcPr>
          <w:p w14:paraId="4838F2D3" w14:textId="77777777" w:rsidR="007F5F89" w:rsidRPr="00C65C32" w:rsidRDefault="007F5F89" w:rsidP="00C65C32">
            <w:pPr>
              <w:pStyle w:val="TableText"/>
              <w:jc w:val="center"/>
              <w:rPr>
                <w:b/>
              </w:rPr>
            </w:pPr>
            <w:r w:rsidRPr="00C65C32">
              <w:rPr>
                <w:b/>
              </w:rPr>
              <w:t>Level 4</w:t>
            </w:r>
          </w:p>
        </w:tc>
        <w:tc>
          <w:tcPr>
            <w:tcW w:w="1191" w:type="dxa"/>
            <w:tcBorders>
              <w:top w:val="nil"/>
              <w:bottom w:val="nil"/>
            </w:tcBorders>
            <w:shd w:val="clear" w:color="auto" w:fill="D9D9D9" w:themeFill="background1" w:themeFillShade="D9"/>
          </w:tcPr>
          <w:p w14:paraId="4BC85381" w14:textId="77777777" w:rsidR="007F5F89" w:rsidRPr="00C65C32" w:rsidRDefault="007F5F89" w:rsidP="00C65C32">
            <w:pPr>
              <w:pStyle w:val="TableText"/>
              <w:jc w:val="center"/>
              <w:rPr>
                <w:b/>
                <w:bCs/>
              </w:rPr>
            </w:pPr>
            <w:r w:rsidRPr="00C65C32">
              <w:rPr>
                <w:b/>
                <w:bCs/>
              </w:rPr>
              <w:t>Total</w:t>
            </w:r>
          </w:p>
        </w:tc>
      </w:tr>
      <w:tr w:rsidR="007F5F89" w:rsidRPr="001D0C30" w14:paraId="21657E1A" w14:textId="77777777" w:rsidTr="00C65C32">
        <w:trPr>
          <w:cantSplit/>
        </w:trPr>
        <w:tc>
          <w:tcPr>
            <w:tcW w:w="2127" w:type="dxa"/>
            <w:tcBorders>
              <w:top w:val="nil"/>
            </w:tcBorders>
          </w:tcPr>
          <w:p w14:paraId="11E02DAD" w14:textId="77777777" w:rsidR="007F5F89" w:rsidRPr="001D0C30" w:rsidRDefault="007F5F89" w:rsidP="00C65C32">
            <w:pPr>
              <w:pStyle w:val="TableText"/>
            </w:pPr>
            <w:r w:rsidRPr="001D0C30">
              <w:t>2017/18 full</w:t>
            </w:r>
            <w:r>
              <w:t>-</w:t>
            </w:r>
            <w:r w:rsidRPr="001D0C30">
              <w:t xml:space="preserve">year </w:t>
            </w:r>
            <w:r>
              <w:t>data</w:t>
            </w:r>
          </w:p>
        </w:tc>
        <w:tc>
          <w:tcPr>
            <w:tcW w:w="1190" w:type="dxa"/>
            <w:tcBorders>
              <w:top w:val="nil"/>
            </w:tcBorders>
          </w:tcPr>
          <w:p w14:paraId="6044EF82" w14:textId="77777777" w:rsidR="007F5F89" w:rsidRPr="001D0C30" w:rsidRDefault="007F5F89" w:rsidP="00C65C32">
            <w:pPr>
              <w:pStyle w:val="TableText"/>
              <w:tabs>
                <w:tab w:val="decimal" w:pos="787"/>
              </w:tabs>
            </w:pPr>
            <w:r w:rsidRPr="001D0C30">
              <w:t>18</w:t>
            </w:r>
            <w:r>
              <w:t>,</w:t>
            </w:r>
            <w:r w:rsidRPr="001D0C30">
              <w:t>400</w:t>
            </w:r>
          </w:p>
        </w:tc>
        <w:tc>
          <w:tcPr>
            <w:tcW w:w="1191" w:type="dxa"/>
            <w:tcBorders>
              <w:top w:val="nil"/>
            </w:tcBorders>
          </w:tcPr>
          <w:p w14:paraId="4FA527C4" w14:textId="77777777" w:rsidR="007F5F89" w:rsidRPr="001D0C30" w:rsidRDefault="007F5F89" w:rsidP="00C65C32">
            <w:pPr>
              <w:pStyle w:val="TableText"/>
              <w:jc w:val="center"/>
            </w:pPr>
            <w:r w:rsidRPr="001D0C30">
              <w:t>8</w:t>
            </w:r>
            <w:r>
              <w:t>,</w:t>
            </w:r>
            <w:r w:rsidRPr="001D0C30">
              <w:t>552</w:t>
            </w:r>
          </w:p>
        </w:tc>
        <w:tc>
          <w:tcPr>
            <w:tcW w:w="1190" w:type="dxa"/>
            <w:tcBorders>
              <w:top w:val="nil"/>
            </w:tcBorders>
          </w:tcPr>
          <w:p w14:paraId="0DF3665E" w14:textId="77777777" w:rsidR="007F5F89" w:rsidRPr="001D0C30" w:rsidRDefault="007F5F89" w:rsidP="00C65C32">
            <w:pPr>
              <w:pStyle w:val="TableText"/>
              <w:jc w:val="center"/>
            </w:pPr>
            <w:r w:rsidRPr="001D0C30">
              <w:t>8</w:t>
            </w:r>
            <w:r>
              <w:t>,</w:t>
            </w:r>
            <w:r w:rsidRPr="001D0C30">
              <w:t>663</w:t>
            </w:r>
          </w:p>
        </w:tc>
        <w:tc>
          <w:tcPr>
            <w:tcW w:w="1191" w:type="dxa"/>
            <w:tcBorders>
              <w:top w:val="nil"/>
            </w:tcBorders>
          </w:tcPr>
          <w:p w14:paraId="4DAAE7A9" w14:textId="77777777" w:rsidR="007F5F89" w:rsidRPr="001D0C30" w:rsidRDefault="007F5F89" w:rsidP="00C65C32">
            <w:pPr>
              <w:pStyle w:val="TableText"/>
              <w:jc w:val="center"/>
            </w:pPr>
            <w:r w:rsidRPr="001D0C30">
              <w:t>7</w:t>
            </w:r>
            <w:r>
              <w:t>,</w:t>
            </w:r>
            <w:r w:rsidRPr="001D0C30">
              <w:t>286</w:t>
            </w:r>
          </w:p>
        </w:tc>
        <w:tc>
          <w:tcPr>
            <w:tcW w:w="1191" w:type="dxa"/>
            <w:tcBorders>
              <w:top w:val="nil"/>
            </w:tcBorders>
          </w:tcPr>
          <w:p w14:paraId="30860B1F" w14:textId="77777777" w:rsidR="007F5F89" w:rsidRPr="00316683" w:rsidRDefault="007F5F89" w:rsidP="00C65C32">
            <w:pPr>
              <w:pStyle w:val="TableText"/>
              <w:jc w:val="center"/>
            </w:pPr>
            <w:r w:rsidRPr="00316683">
              <w:t>42,901</w:t>
            </w:r>
          </w:p>
        </w:tc>
      </w:tr>
      <w:tr w:rsidR="007F5F89" w:rsidRPr="001D0C30" w14:paraId="0E76D54E" w14:textId="77777777" w:rsidTr="00C65C32">
        <w:trPr>
          <w:cantSplit/>
        </w:trPr>
        <w:tc>
          <w:tcPr>
            <w:tcW w:w="2127" w:type="dxa"/>
          </w:tcPr>
          <w:p w14:paraId="4DA37D1E" w14:textId="77777777" w:rsidR="007F5F89" w:rsidRPr="001D0C30" w:rsidRDefault="007F5F89" w:rsidP="00C65C32">
            <w:pPr>
              <w:pStyle w:val="TableText"/>
            </w:pPr>
            <w:r w:rsidRPr="001D0C30">
              <w:t>February 2019</w:t>
            </w:r>
          </w:p>
        </w:tc>
        <w:tc>
          <w:tcPr>
            <w:tcW w:w="1190" w:type="dxa"/>
          </w:tcPr>
          <w:p w14:paraId="1403C14A" w14:textId="77777777" w:rsidR="007F5F89" w:rsidRPr="001D0C30" w:rsidRDefault="007F5F89" w:rsidP="00C65C32">
            <w:pPr>
              <w:pStyle w:val="TableText"/>
              <w:tabs>
                <w:tab w:val="decimal" w:pos="787"/>
              </w:tabs>
            </w:pPr>
            <w:r w:rsidRPr="001D0C30">
              <w:t>8</w:t>
            </w:r>
            <w:r>
              <w:t>,</w:t>
            </w:r>
            <w:r w:rsidRPr="001D0C30">
              <w:t>071</w:t>
            </w:r>
          </w:p>
        </w:tc>
        <w:tc>
          <w:tcPr>
            <w:tcW w:w="1191" w:type="dxa"/>
          </w:tcPr>
          <w:p w14:paraId="6F1B021B" w14:textId="77777777" w:rsidR="007F5F89" w:rsidRPr="001D0C30" w:rsidRDefault="007F5F89" w:rsidP="00C65C32">
            <w:pPr>
              <w:pStyle w:val="TableText"/>
              <w:jc w:val="center"/>
            </w:pPr>
            <w:r w:rsidRPr="001D0C30">
              <w:t>6</w:t>
            </w:r>
            <w:r>
              <w:t>,</w:t>
            </w:r>
            <w:r w:rsidRPr="001D0C30">
              <w:t>944</w:t>
            </w:r>
          </w:p>
        </w:tc>
        <w:tc>
          <w:tcPr>
            <w:tcW w:w="1190" w:type="dxa"/>
          </w:tcPr>
          <w:p w14:paraId="7A2CB7EC" w14:textId="77777777" w:rsidR="007F5F89" w:rsidRPr="001D0C30" w:rsidRDefault="007F5F89" w:rsidP="00C65C32">
            <w:pPr>
              <w:pStyle w:val="TableText"/>
              <w:jc w:val="center"/>
            </w:pPr>
            <w:r w:rsidRPr="001D0C30">
              <w:t>6</w:t>
            </w:r>
            <w:r>
              <w:t>,</w:t>
            </w:r>
            <w:r w:rsidRPr="001D0C30">
              <w:t>966</w:t>
            </w:r>
          </w:p>
        </w:tc>
        <w:tc>
          <w:tcPr>
            <w:tcW w:w="1191" w:type="dxa"/>
          </w:tcPr>
          <w:p w14:paraId="2098CB27" w14:textId="77777777" w:rsidR="007F5F89" w:rsidRPr="001D0C30" w:rsidRDefault="007F5F89" w:rsidP="00C65C32">
            <w:pPr>
              <w:pStyle w:val="TableText"/>
              <w:jc w:val="center"/>
            </w:pPr>
            <w:r w:rsidRPr="001D0C30">
              <w:t>6</w:t>
            </w:r>
            <w:r>
              <w:t>,</w:t>
            </w:r>
            <w:r w:rsidRPr="001D0C30">
              <w:t>953</w:t>
            </w:r>
          </w:p>
        </w:tc>
        <w:tc>
          <w:tcPr>
            <w:tcW w:w="1191" w:type="dxa"/>
          </w:tcPr>
          <w:p w14:paraId="20B658BC" w14:textId="77777777" w:rsidR="007F5F89" w:rsidRPr="00316683" w:rsidRDefault="007F5F89" w:rsidP="00C65C32">
            <w:pPr>
              <w:pStyle w:val="TableText"/>
              <w:jc w:val="center"/>
            </w:pPr>
            <w:r w:rsidRPr="00316683">
              <w:t>28,934</w:t>
            </w:r>
          </w:p>
        </w:tc>
      </w:tr>
    </w:tbl>
    <w:p w14:paraId="7FE1BCDE" w14:textId="77777777" w:rsidR="007F5F89" w:rsidRPr="001D0C30" w:rsidRDefault="007F5F89" w:rsidP="00C65C32"/>
    <w:p w14:paraId="12177EF2" w14:textId="77777777" w:rsidR="00776894" w:rsidRDefault="007F5F89" w:rsidP="00C65C32">
      <w:pPr>
        <w:pStyle w:val="Heading2"/>
        <w:keepNext w:val="0"/>
        <w:pageBreakBefore/>
        <w:numPr>
          <w:ilvl w:val="0"/>
          <w:numId w:val="0"/>
        </w:numPr>
        <w:spacing w:before="0"/>
      </w:pPr>
      <w:bookmarkStart w:id="24" w:name="_Toc27123883"/>
      <w:r w:rsidRPr="001D0C30">
        <w:lastRenderedPageBreak/>
        <w:t xml:space="preserve">Appendix </w:t>
      </w:r>
      <w:r w:rsidR="00C65C32">
        <w:t>2</w:t>
      </w:r>
      <w:r w:rsidRPr="001D0C30">
        <w:t xml:space="preserve">: </w:t>
      </w:r>
      <w:r>
        <w:t>Home and community support</w:t>
      </w:r>
      <w:r w:rsidRPr="001D0C30">
        <w:t xml:space="preserve">, </w:t>
      </w:r>
      <w:r>
        <w:t>mental health and addiction</w:t>
      </w:r>
      <w:r w:rsidRPr="001D0C30">
        <w:t xml:space="preserve">, </w:t>
      </w:r>
      <w:r>
        <w:t>and d</w:t>
      </w:r>
      <w:r w:rsidRPr="001D0C30">
        <w:t xml:space="preserve">isability </w:t>
      </w:r>
      <w:r>
        <w:t>sectors: c</w:t>
      </w:r>
      <w:r w:rsidRPr="001D0C30">
        <w:t xml:space="preserve">omparison of </w:t>
      </w:r>
      <w:r>
        <w:t>q</w:t>
      </w:r>
      <w:r w:rsidRPr="001D0C30">
        <w:t>ualification</w:t>
      </w:r>
      <w:r>
        <w:t xml:space="preserve"> level</w:t>
      </w:r>
      <w:r w:rsidRPr="001D0C30">
        <w:t xml:space="preserve">s by </w:t>
      </w:r>
      <w:r>
        <w:t>worked h</w:t>
      </w:r>
      <w:r w:rsidRPr="001D0C30">
        <w:t>ours</w:t>
      </w:r>
      <w:bookmarkEnd w:id="24"/>
    </w:p>
    <w:p w14:paraId="2A6DCBC7" w14:textId="77777777" w:rsidR="007F5F89" w:rsidRDefault="007F5F89" w:rsidP="00C65C32">
      <w:pPr>
        <w:pStyle w:val="Figure"/>
      </w:pPr>
      <w:bookmarkStart w:id="25" w:name="_Toc27123890"/>
      <w:r w:rsidRPr="00106CE9">
        <w:t>Figure 3: Percentage of worked hours in home and community support, mental health and addiction and disability sectors, by qualification level, 2017/18</w:t>
      </w:r>
      <w:bookmarkEnd w:id="25"/>
    </w:p>
    <w:p w14:paraId="512F5E2B" w14:textId="77777777" w:rsidR="00D76BB5" w:rsidRPr="00D76BB5" w:rsidRDefault="00D76BB5" w:rsidP="00D76BB5">
      <w:r w:rsidRPr="00D76BB5">
        <w:rPr>
          <w:noProof/>
          <w:lang w:eastAsia="en-NZ"/>
        </w:rPr>
        <w:drawing>
          <wp:inline distT="0" distB="0" distL="0" distR="0" wp14:anchorId="24AF70A8" wp14:editId="798197FF">
            <wp:extent cx="5130165" cy="3347762"/>
            <wp:effectExtent l="0" t="0" r="0" b="5080"/>
            <wp:docPr id="11" name="Picture 11" descr="This pie chart shows that in 2017/18, 34% of home and community support, mental health and addiction and disability sectors hours were worked by someone with no qualification, 21% were worked by someone with a level 2 qualification, 25% were worked by someone with a level 3 qualification, and 20% were worked by someone with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30165" cy="3347762"/>
                    </a:xfrm>
                    <a:prstGeom prst="rect">
                      <a:avLst/>
                    </a:prstGeom>
                  </pic:spPr>
                </pic:pic>
              </a:graphicData>
            </a:graphic>
          </wp:inline>
        </w:drawing>
      </w:r>
    </w:p>
    <w:p w14:paraId="213C7F66" w14:textId="77777777" w:rsidR="00C65C32" w:rsidRPr="00C65C32" w:rsidRDefault="00C65C32" w:rsidP="00C65C32"/>
    <w:p w14:paraId="28F0357C" w14:textId="77777777" w:rsidR="007F5F89" w:rsidRDefault="007F5F89" w:rsidP="00C65C32">
      <w:pPr>
        <w:pStyle w:val="Figure"/>
      </w:pPr>
      <w:bookmarkStart w:id="26" w:name="_Toc27123891"/>
      <w:r w:rsidRPr="00106CE9">
        <w:lastRenderedPageBreak/>
        <w:t>Figure 4: Percentage of worked hours in home and community support, mental health and addiction and disability sectors, by qualification level, February 2019</w:t>
      </w:r>
      <w:bookmarkEnd w:id="26"/>
    </w:p>
    <w:p w14:paraId="2240B030" w14:textId="77777777" w:rsidR="00D76BB5" w:rsidRPr="00D76BB5" w:rsidRDefault="00D76BB5" w:rsidP="00D76BB5">
      <w:r w:rsidRPr="00D76BB5">
        <w:rPr>
          <w:noProof/>
          <w:lang w:eastAsia="en-NZ"/>
        </w:rPr>
        <w:drawing>
          <wp:inline distT="0" distB="0" distL="0" distR="0" wp14:anchorId="7BB10FF6" wp14:editId="52BE5A29">
            <wp:extent cx="5130165" cy="3347762"/>
            <wp:effectExtent l="0" t="0" r="0" b="5080"/>
            <wp:docPr id="12" name="Picture 12" descr="This pie chart shows that in February 2019, 25% of home and community support, mental health and addiction and disability sectors hours were worked by someone with no qualification, 22% were worked by someone with a level 2 qualification, 26% were worked by someone with a level 3 qualification, and 27% were worked by someone with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130165" cy="3347762"/>
                    </a:xfrm>
                    <a:prstGeom prst="rect">
                      <a:avLst/>
                    </a:prstGeom>
                  </pic:spPr>
                </pic:pic>
              </a:graphicData>
            </a:graphic>
          </wp:inline>
        </w:drawing>
      </w:r>
    </w:p>
    <w:p w14:paraId="26B3E89F" w14:textId="77777777" w:rsidR="007F5F89" w:rsidRPr="001D0C30" w:rsidRDefault="007F5F89" w:rsidP="00C65C32"/>
    <w:p w14:paraId="5EEFE4AA" w14:textId="77777777" w:rsidR="007F5F89" w:rsidRPr="0093539D" w:rsidRDefault="007F5F89" w:rsidP="00C65C32">
      <w:pPr>
        <w:pStyle w:val="Table"/>
      </w:pPr>
      <w:bookmarkStart w:id="27" w:name="_Toc27123908"/>
      <w:bookmarkStart w:id="28" w:name="_Hlk25235280"/>
      <w:r w:rsidRPr="00106CE9">
        <w:t>Table 3: Number of worked hours in</w:t>
      </w:r>
      <w:r w:rsidR="00C436BE">
        <w:t xml:space="preserve"> </w:t>
      </w:r>
      <w:r>
        <w:t>h</w:t>
      </w:r>
      <w:r w:rsidRPr="00113C20">
        <w:t>ome and community support</w:t>
      </w:r>
      <w:r>
        <w:t xml:space="preserve">, </w:t>
      </w:r>
      <w:r w:rsidRPr="00113C20">
        <w:t>mental health and addiction and disability sectors</w:t>
      </w:r>
      <w:r>
        <w:t>,</w:t>
      </w:r>
      <w:r w:rsidRPr="00113C20">
        <w:t xml:space="preserve"> by qualification</w:t>
      </w:r>
      <w:r>
        <w:t xml:space="preserve"> level, 2017/18 and February 2019</w:t>
      </w:r>
      <w:bookmarkEnd w:id="27"/>
    </w:p>
    <w:bookmarkEnd w:id="28"/>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127"/>
        <w:gridCol w:w="1190"/>
        <w:gridCol w:w="1191"/>
        <w:gridCol w:w="1190"/>
        <w:gridCol w:w="1191"/>
        <w:gridCol w:w="1191"/>
      </w:tblGrid>
      <w:tr w:rsidR="007F5F89" w:rsidRPr="00C65C32" w14:paraId="6A2BD0D2" w14:textId="77777777" w:rsidTr="009F4DCF">
        <w:trPr>
          <w:cantSplit/>
        </w:trPr>
        <w:tc>
          <w:tcPr>
            <w:tcW w:w="2127" w:type="dxa"/>
            <w:tcBorders>
              <w:top w:val="nil"/>
              <w:bottom w:val="nil"/>
            </w:tcBorders>
            <w:shd w:val="clear" w:color="auto" w:fill="D9D9D9" w:themeFill="background1" w:themeFillShade="D9"/>
          </w:tcPr>
          <w:p w14:paraId="342443D9" w14:textId="77777777" w:rsidR="007F5F89" w:rsidRPr="00C65C32" w:rsidRDefault="007F5F89" w:rsidP="00C65C32">
            <w:pPr>
              <w:pStyle w:val="TableText"/>
              <w:rPr>
                <w:b/>
              </w:rPr>
            </w:pPr>
          </w:p>
        </w:tc>
        <w:tc>
          <w:tcPr>
            <w:tcW w:w="1190" w:type="dxa"/>
            <w:tcBorders>
              <w:top w:val="nil"/>
              <w:bottom w:val="nil"/>
            </w:tcBorders>
            <w:shd w:val="clear" w:color="auto" w:fill="D9D9D9" w:themeFill="background1" w:themeFillShade="D9"/>
          </w:tcPr>
          <w:p w14:paraId="6E4B997F" w14:textId="77777777" w:rsidR="007F5F89" w:rsidRPr="00C65C32" w:rsidRDefault="007F5F89" w:rsidP="009F4DCF">
            <w:pPr>
              <w:pStyle w:val="TableText"/>
              <w:jc w:val="center"/>
              <w:rPr>
                <w:b/>
              </w:rPr>
            </w:pPr>
            <w:r w:rsidRPr="00C65C32">
              <w:rPr>
                <w:b/>
              </w:rPr>
              <w:t>Level 0</w:t>
            </w:r>
          </w:p>
        </w:tc>
        <w:tc>
          <w:tcPr>
            <w:tcW w:w="1191" w:type="dxa"/>
            <w:tcBorders>
              <w:top w:val="nil"/>
              <w:bottom w:val="nil"/>
            </w:tcBorders>
            <w:shd w:val="clear" w:color="auto" w:fill="D9D9D9" w:themeFill="background1" w:themeFillShade="D9"/>
          </w:tcPr>
          <w:p w14:paraId="654C89C8" w14:textId="77777777" w:rsidR="007F5F89" w:rsidRPr="00C65C32" w:rsidRDefault="007F5F89" w:rsidP="009F4DCF">
            <w:pPr>
              <w:pStyle w:val="TableText"/>
              <w:jc w:val="center"/>
              <w:rPr>
                <w:b/>
              </w:rPr>
            </w:pPr>
            <w:r w:rsidRPr="00C65C32">
              <w:rPr>
                <w:b/>
              </w:rPr>
              <w:t>Level 2</w:t>
            </w:r>
          </w:p>
        </w:tc>
        <w:tc>
          <w:tcPr>
            <w:tcW w:w="1190" w:type="dxa"/>
            <w:tcBorders>
              <w:top w:val="nil"/>
              <w:bottom w:val="nil"/>
            </w:tcBorders>
            <w:shd w:val="clear" w:color="auto" w:fill="D9D9D9" w:themeFill="background1" w:themeFillShade="D9"/>
          </w:tcPr>
          <w:p w14:paraId="444EA62E" w14:textId="77777777" w:rsidR="007F5F89" w:rsidRPr="00C65C32" w:rsidRDefault="007F5F89" w:rsidP="009F4DCF">
            <w:pPr>
              <w:pStyle w:val="TableText"/>
              <w:jc w:val="center"/>
              <w:rPr>
                <w:b/>
              </w:rPr>
            </w:pPr>
            <w:r w:rsidRPr="00C65C32">
              <w:rPr>
                <w:b/>
              </w:rPr>
              <w:t>Level 3</w:t>
            </w:r>
          </w:p>
        </w:tc>
        <w:tc>
          <w:tcPr>
            <w:tcW w:w="1191" w:type="dxa"/>
            <w:tcBorders>
              <w:top w:val="nil"/>
              <w:bottom w:val="nil"/>
            </w:tcBorders>
            <w:shd w:val="clear" w:color="auto" w:fill="D9D9D9" w:themeFill="background1" w:themeFillShade="D9"/>
          </w:tcPr>
          <w:p w14:paraId="184A1B77" w14:textId="77777777" w:rsidR="007F5F89" w:rsidRPr="00C65C32" w:rsidRDefault="007F5F89" w:rsidP="009F4DCF">
            <w:pPr>
              <w:pStyle w:val="TableText"/>
              <w:jc w:val="center"/>
              <w:rPr>
                <w:b/>
              </w:rPr>
            </w:pPr>
            <w:r w:rsidRPr="00C65C32">
              <w:rPr>
                <w:b/>
              </w:rPr>
              <w:t>Level 4</w:t>
            </w:r>
          </w:p>
        </w:tc>
        <w:tc>
          <w:tcPr>
            <w:tcW w:w="1191" w:type="dxa"/>
            <w:tcBorders>
              <w:top w:val="nil"/>
              <w:bottom w:val="nil"/>
            </w:tcBorders>
            <w:shd w:val="clear" w:color="auto" w:fill="D9D9D9" w:themeFill="background1" w:themeFillShade="D9"/>
          </w:tcPr>
          <w:p w14:paraId="6E0C5528" w14:textId="77777777" w:rsidR="007F5F89" w:rsidRPr="00C65C32" w:rsidRDefault="007F5F89" w:rsidP="009F4DCF">
            <w:pPr>
              <w:pStyle w:val="TableText"/>
              <w:jc w:val="center"/>
              <w:rPr>
                <w:b/>
              </w:rPr>
            </w:pPr>
            <w:r w:rsidRPr="00C65C32">
              <w:rPr>
                <w:b/>
              </w:rPr>
              <w:t>Total</w:t>
            </w:r>
          </w:p>
        </w:tc>
      </w:tr>
      <w:tr w:rsidR="007F5F89" w:rsidRPr="001D0C30" w14:paraId="3DB17055" w14:textId="77777777" w:rsidTr="009F4DCF">
        <w:trPr>
          <w:cantSplit/>
        </w:trPr>
        <w:tc>
          <w:tcPr>
            <w:tcW w:w="2127" w:type="dxa"/>
            <w:tcBorders>
              <w:top w:val="nil"/>
            </w:tcBorders>
          </w:tcPr>
          <w:p w14:paraId="2DF6FAB5" w14:textId="77777777" w:rsidR="007F5F89" w:rsidRPr="001D0C30" w:rsidRDefault="007F5F89" w:rsidP="00C65C32">
            <w:pPr>
              <w:pStyle w:val="TableText"/>
            </w:pPr>
            <w:r w:rsidRPr="001D0C30">
              <w:t>2017/18 full</w:t>
            </w:r>
            <w:r>
              <w:t>-</w:t>
            </w:r>
            <w:r w:rsidRPr="001D0C30">
              <w:t xml:space="preserve">year </w:t>
            </w:r>
            <w:r>
              <w:t>data</w:t>
            </w:r>
            <w:r w:rsidRPr="001D0C30">
              <w:t>*</w:t>
            </w:r>
          </w:p>
        </w:tc>
        <w:tc>
          <w:tcPr>
            <w:tcW w:w="1190" w:type="dxa"/>
            <w:tcBorders>
              <w:top w:val="nil"/>
            </w:tcBorders>
          </w:tcPr>
          <w:p w14:paraId="76FCB33D" w14:textId="77777777" w:rsidR="007F5F89" w:rsidRPr="001D0C30" w:rsidRDefault="007F5F89" w:rsidP="009F4DCF">
            <w:pPr>
              <w:pStyle w:val="TableText"/>
              <w:tabs>
                <w:tab w:val="decimal" w:pos="935"/>
              </w:tabs>
            </w:pPr>
            <w:r w:rsidRPr="001D0C30">
              <w:t>3,235,635</w:t>
            </w:r>
          </w:p>
        </w:tc>
        <w:tc>
          <w:tcPr>
            <w:tcW w:w="1191" w:type="dxa"/>
            <w:tcBorders>
              <w:top w:val="nil"/>
            </w:tcBorders>
          </w:tcPr>
          <w:p w14:paraId="577521EC" w14:textId="77777777" w:rsidR="007F5F89" w:rsidRPr="001D0C30" w:rsidRDefault="007F5F89" w:rsidP="009F4DCF">
            <w:pPr>
              <w:pStyle w:val="TableText"/>
              <w:tabs>
                <w:tab w:val="decimal" w:pos="935"/>
              </w:tabs>
            </w:pPr>
            <w:r w:rsidRPr="001D0C30">
              <w:t>7,935,932</w:t>
            </w:r>
          </w:p>
        </w:tc>
        <w:tc>
          <w:tcPr>
            <w:tcW w:w="1190" w:type="dxa"/>
            <w:tcBorders>
              <w:top w:val="nil"/>
            </w:tcBorders>
          </w:tcPr>
          <w:p w14:paraId="43A330D4" w14:textId="77777777" w:rsidR="007F5F89" w:rsidRPr="001D0C30" w:rsidRDefault="007F5F89" w:rsidP="009F4DCF">
            <w:pPr>
              <w:pStyle w:val="TableText"/>
              <w:tabs>
                <w:tab w:val="decimal" w:pos="935"/>
              </w:tabs>
            </w:pPr>
            <w:r w:rsidRPr="001D0C30">
              <w:t>9,611,771</w:t>
            </w:r>
          </w:p>
        </w:tc>
        <w:tc>
          <w:tcPr>
            <w:tcW w:w="1191" w:type="dxa"/>
            <w:tcBorders>
              <w:top w:val="nil"/>
            </w:tcBorders>
          </w:tcPr>
          <w:p w14:paraId="6695038A" w14:textId="77777777" w:rsidR="007F5F89" w:rsidRPr="001D0C30" w:rsidRDefault="007F5F89" w:rsidP="009F4DCF">
            <w:pPr>
              <w:pStyle w:val="TableText"/>
              <w:tabs>
                <w:tab w:val="decimal" w:pos="935"/>
              </w:tabs>
            </w:pPr>
            <w:r w:rsidRPr="001D0C30">
              <w:t>7,852,833</w:t>
            </w:r>
          </w:p>
        </w:tc>
        <w:tc>
          <w:tcPr>
            <w:tcW w:w="1191" w:type="dxa"/>
            <w:tcBorders>
              <w:top w:val="nil"/>
            </w:tcBorders>
          </w:tcPr>
          <w:p w14:paraId="7DB5ACC1" w14:textId="77777777" w:rsidR="007F5F89" w:rsidRPr="00316683" w:rsidRDefault="007F5F89" w:rsidP="009F4DCF">
            <w:pPr>
              <w:pStyle w:val="TableText"/>
              <w:tabs>
                <w:tab w:val="decimal" w:pos="935"/>
              </w:tabs>
            </w:pPr>
            <w:r w:rsidRPr="00316683">
              <w:t>38,636,171</w:t>
            </w:r>
          </w:p>
        </w:tc>
      </w:tr>
      <w:tr w:rsidR="007F5F89" w:rsidRPr="001D0C30" w14:paraId="1FE86201" w14:textId="77777777" w:rsidTr="009F4DCF">
        <w:trPr>
          <w:cantSplit/>
        </w:trPr>
        <w:tc>
          <w:tcPr>
            <w:tcW w:w="2127" w:type="dxa"/>
          </w:tcPr>
          <w:p w14:paraId="5B2F4F69" w14:textId="77777777" w:rsidR="007F5F89" w:rsidRPr="001D0C30" w:rsidRDefault="007F5F89" w:rsidP="00C65C32">
            <w:pPr>
              <w:pStyle w:val="TableText"/>
            </w:pPr>
            <w:r w:rsidRPr="001D0C30">
              <w:t>February 2019**</w:t>
            </w:r>
          </w:p>
        </w:tc>
        <w:tc>
          <w:tcPr>
            <w:tcW w:w="1190" w:type="dxa"/>
          </w:tcPr>
          <w:p w14:paraId="41064384" w14:textId="77777777" w:rsidR="007F5F89" w:rsidRPr="001D0C30" w:rsidRDefault="007F5F89" w:rsidP="009F4DCF">
            <w:pPr>
              <w:pStyle w:val="TableText"/>
              <w:tabs>
                <w:tab w:val="decimal" w:pos="935"/>
              </w:tabs>
            </w:pPr>
            <w:r w:rsidRPr="001D0C30">
              <w:t>359,625</w:t>
            </w:r>
          </w:p>
        </w:tc>
        <w:tc>
          <w:tcPr>
            <w:tcW w:w="1191" w:type="dxa"/>
          </w:tcPr>
          <w:p w14:paraId="2858E6A9" w14:textId="77777777" w:rsidR="007F5F89" w:rsidRPr="001D0C30" w:rsidRDefault="007F5F89" w:rsidP="009F4DCF">
            <w:pPr>
              <w:pStyle w:val="TableText"/>
              <w:tabs>
                <w:tab w:val="decimal" w:pos="935"/>
              </w:tabs>
            </w:pPr>
            <w:r w:rsidRPr="001D0C30">
              <w:t>319,207</w:t>
            </w:r>
          </w:p>
        </w:tc>
        <w:tc>
          <w:tcPr>
            <w:tcW w:w="1190" w:type="dxa"/>
          </w:tcPr>
          <w:p w14:paraId="7595B4B6" w14:textId="77777777" w:rsidR="007F5F89" w:rsidRPr="001D0C30" w:rsidRDefault="007F5F89" w:rsidP="009F4DCF">
            <w:pPr>
              <w:pStyle w:val="TableText"/>
              <w:tabs>
                <w:tab w:val="decimal" w:pos="935"/>
              </w:tabs>
            </w:pPr>
            <w:r w:rsidRPr="001D0C30">
              <w:t>364,402</w:t>
            </w:r>
          </w:p>
        </w:tc>
        <w:tc>
          <w:tcPr>
            <w:tcW w:w="1191" w:type="dxa"/>
          </w:tcPr>
          <w:p w14:paraId="0B42A9B9" w14:textId="77777777" w:rsidR="007F5F89" w:rsidRPr="001D0C30" w:rsidRDefault="007F5F89" w:rsidP="009F4DCF">
            <w:pPr>
              <w:pStyle w:val="TableText"/>
              <w:tabs>
                <w:tab w:val="decimal" w:pos="935"/>
              </w:tabs>
            </w:pPr>
            <w:r w:rsidRPr="001D0C30">
              <w:t>392,646</w:t>
            </w:r>
          </w:p>
        </w:tc>
        <w:tc>
          <w:tcPr>
            <w:tcW w:w="1191" w:type="dxa"/>
          </w:tcPr>
          <w:p w14:paraId="1775DE93" w14:textId="77777777" w:rsidR="007F5F89" w:rsidRPr="00316683" w:rsidRDefault="007F5F89" w:rsidP="009F4DCF">
            <w:pPr>
              <w:pStyle w:val="TableText"/>
              <w:tabs>
                <w:tab w:val="decimal" w:pos="935"/>
              </w:tabs>
            </w:pPr>
            <w:r w:rsidRPr="00316683">
              <w:t>1,435,880</w:t>
            </w:r>
          </w:p>
        </w:tc>
      </w:tr>
    </w:tbl>
    <w:p w14:paraId="31048779" w14:textId="77777777" w:rsidR="007F5F89" w:rsidRPr="001D0C30" w:rsidRDefault="007F5F89" w:rsidP="009F4DCF">
      <w:pPr>
        <w:pStyle w:val="Note"/>
      </w:pPr>
      <w:r w:rsidRPr="001D0C30">
        <w:t>*</w:t>
      </w:r>
      <w:r w:rsidR="009F4DCF">
        <w:tab/>
      </w:r>
      <w:r w:rsidRPr="001D0C30">
        <w:t xml:space="preserve">The </w:t>
      </w:r>
      <w:r>
        <w:t>worked</w:t>
      </w:r>
      <w:r w:rsidRPr="001D0C30">
        <w:t xml:space="preserve"> hours collected in the 2017/18 full</w:t>
      </w:r>
      <w:r>
        <w:t>-</w:t>
      </w:r>
      <w:r w:rsidRPr="001D0C30">
        <w:t xml:space="preserve">year data </w:t>
      </w:r>
      <w:r>
        <w:t xml:space="preserve">pertain to </w:t>
      </w:r>
      <w:r w:rsidRPr="001D0C30">
        <w:t>a full</w:t>
      </w:r>
      <w:r>
        <w:t>-</w:t>
      </w:r>
      <w:r w:rsidRPr="001D0C30">
        <w:t>year period</w:t>
      </w:r>
      <w:r>
        <w:t>:</w:t>
      </w:r>
      <w:r w:rsidRPr="001D0C30">
        <w:t xml:space="preserve"> 1 July 2017</w:t>
      </w:r>
      <w:r w:rsidRPr="004C7FFE">
        <w:t>–</w:t>
      </w:r>
      <w:r w:rsidRPr="001D0C30">
        <w:t>30</w:t>
      </w:r>
      <w:r w:rsidR="009F4DCF">
        <w:t> </w:t>
      </w:r>
      <w:r w:rsidRPr="001D0C30">
        <w:t>June 2018.</w:t>
      </w:r>
    </w:p>
    <w:p w14:paraId="15CDEEE6" w14:textId="77777777" w:rsidR="009F4DCF" w:rsidRDefault="007F5F89" w:rsidP="009F4DCF">
      <w:pPr>
        <w:pStyle w:val="Note"/>
      </w:pPr>
      <w:r w:rsidRPr="001D0C30">
        <w:t>**</w:t>
      </w:r>
      <w:r w:rsidR="009F4DCF">
        <w:tab/>
      </w:r>
      <w:r w:rsidRPr="001D0C30">
        <w:t xml:space="preserve">The </w:t>
      </w:r>
      <w:r>
        <w:t xml:space="preserve">worked </w:t>
      </w:r>
      <w:r w:rsidRPr="001D0C30">
        <w:t xml:space="preserve">hours collected in the February 2019 data </w:t>
      </w:r>
      <w:r>
        <w:t xml:space="preserve">pertain to </w:t>
      </w:r>
      <w:r w:rsidRPr="001D0C30">
        <w:t>a fortnight period</w:t>
      </w:r>
      <w:r>
        <w:t>:</w:t>
      </w:r>
      <w:r w:rsidRPr="001D0C30">
        <w:t xml:space="preserve"> 28 January 2019</w:t>
      </w:r>
      <w:r w:rsidRPr="004C7FFE">
        <w:t>–</w:t>
      </w:r>
      <w:r w:rsidRPr="001D0C30">
        <w:t>24</w:t>
      </w:r>
      <w:r w:rsidR="009F4DCF">
        <w:t> </w:t>
      </w:r>
      <w:r w:rsidRPr="001D0C30">
        <w:t>February 2019.</w:t>
      </w:r>
    </w:p>
    <w:p w14:paraId="18529B0A" w14:textId="77777777" w:rsidR="007F5F89" w:rsidRPr="001D0C30" w:rsidRDefault="007F5F89" w:rsidP="009F4DCF"/>
    <w:p w14:paraId="34128BED" w14:textId="77777777" w:rsidR="007F5F89" w:rsidRPr="001D0C30" w:rsidRDefault="007F5F89" w:rsidP="009F4DCF">
      <w:pPr>
        <w:pStyle w:val="Heading2"/>
        <w:keepNext w:val="0"/>
        <w:pageBreakBefore/>
        <w:numPr>
          <w:ilvl w:val="0"/>
          <w:numId w:val="0"/>
        </w:numPr>
        <w:spacing w:before="0"/>
      </w:pPr>
      <w:bookmarkStart w:id="29" w:name="_Toc27123884"/>
      <w:r w:rsidRPr="001D0C30">
        <w:lastRenderedPageBreak/>
        <w:t xml:space="preserve">Appendix </w:t>
      </w:r>
      <w:r w:rsidR="009F4DCF">
        <w:t>3</w:t>
      </w:r>
      <w:r w:rsidRPr="001D0C30">
        <w:t xml:space="preserve">: </w:t>
      </w:r>
      <w:r>
        <w:t>Home and community support sector: c</w:t>
      </w:r>
      <w:r w:rsidRPr="001D0C30">
        <w:t xml:space="preserve">omparison of </w:t>
      </w:r>
      <w:r>
        <w:t>q</w:t>
      </w:r>
      <w:r w:rsidRPr="001D0C30">
        <w:t>ualification</w:t>
      </w:r>
      <w:r>
        <w:t xml:space="preserve"> level</w:t>
      </w:r>
      <w:r w:rsidRPr="001D0C30">
        <w:t xml:space="preserve">s by </w:t>
      </w:r>
      <w:r>
        <w:t>n</w:t>
      </w:r>
      <w:r w:rsidRPr="001D0C30">
        <w:t xml:space="preserve">umber of </w:t>
      </w:r>
      <w:r>
        <w:t>w</w:t>
      </w:r>
      <w:r w:rsidRPr="001D0C30">
        <w:t xml:space="preserve">orkers </w:t>
      </w:r>
      <w:r>
        <w:t>and worked h</w:t>
      </w:r>
      <w:r w:rsidRPr="001D0C30">
        <w:t>ours</w:t>
      </w:r>
      <w:r w:rsidRPr="009F4DCF">
        <w:rPr>
          <w:rStyle w:val="FootnoteReference"/>
        </w:rPr>
        <w:footnoteReference w:id="9"/>
      </w:r>
      <w:bookmarkEnd w:id="29"/>
    </w:p>
    <w:p w14:paraId="468ECCE7" w14:textId="77777777" w:rsidR="007F5F89" w:rsidRDefault="007F5F89" w:rsidP="009F4DCF">
      <w:pPr>
        <w:pStyle w:val="Figure"/>
      </w:pPr>
      <w:bookmarkStart w:id="30" w:name="_Toc27123892"/>
      <w:r w:rsidRPr="00106CE9">
        <w:t>Figure 5: Percentage of home and community support sector workers, by qualification level, 2017/18</w:t>
      </w:r>
      <w:bookmarkEnd w:id="30"/>
    </w:p>
    <w:p w14:paraId="6F579088" w14:textId="77777777" w:rsidR="00D76BB5" w:rsidRPr="00D76BB5" w:rsidRDefault="00D76BB5" w:rsidP="00D76BB5">
      <w:r w:rsidRPr="00D76BB5">
        <w:rPr>
          <w:noProof/>
          <w:lang w:eastAsia="en-NZ"/>
        </w:rPr>
        <w:drawing>
          <wp:inline distT="0" distB="0" distL="0" distR="0" wp14:anchorId="6B95B23B" wp14:editId="68E36B61">
            <wp:extent cx="5130165" cy="3347762"/>
            <wp:effectExtent l="0" t="0" r="0" b="5080"/>
            <wp:docPr id="13" name="Picture 13" descr="This pie chart shows that in 2017/18, 35% of home and community support sector workers had no qualification, 30% had a level 2 qualification, 27% had a level 3 qualification and 8% had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130165" cy="3347762"/>
                    </a:xfrm>
                    <a:prstGeom prst="rect">
                      <a:avLst/>
                    </a:prstGeom>
                  </pic:spPr>
                </pic:pic>
              </a:graphicData>
            </a:graphic>
          </wp:inline>
        </w:drawing>
      </w:r>
    </w:p>
    <w:p w14:paraId="0D50B0B6" w14:textId="77777777" w:rsidR="009F4DCF" w:rsidRPr="009F4DCF" w:rsidRDefault="009F4DCF" w:rsidP="009F4DCF"/>
    <w:p w14:paraId="6B9800F8" w14:textId="77777777" w:rsidR="007F5F89" w:rsidRDefault="007F5F89" w:rsidP="009F4DCF">
      <w:pPr>
        <w:pStyle w:val="Figure"/>
      </w:pPr>
      <w:bookmarkStart w:id="31" w:name="_Toc27123893"/>
      <w:bookmarkStart w:id="32" w:name="_Hlk25234892"/>
      <w:r w:rsidRPr="00106CE9">
        <w:lastRenderedPageBreak/>
        <w:t>Figure 6: Percentage of home and community support sector workers, by qualification level, February 2019</w:t>
      </w:r>
      <w:bookmarkEnd w:id="31"/>
    </w:p>
    <w:p w14:paraId="416A158B" w14:textId="77777777" w:rsidR="00D76BB5" w:rsidRPr="00D76BB5" w:rsidRDefault="00D76BB5" w:rsidP="00D76BB5">
      <w:r w:rsidRPr="00D76BB5">
        <w:rPr>
          <w:noProof/>
          <w:lang w:eastAsia="en-NZ"/>
        </w:rPr>
        <w:drawing>
          <wp:inline distT="0" distB="0" distL="0" distR="0" wp14:anchorId="779B6271" wp14:editId="1F1C9312">
            <wp:extent cx="5130165" cy="3347762"/>
            <wp:effectExtent l="0" t="0" r="0" b="5080"/>
            <wp:docPr id="14" name="Picture 14" descr="This pie chart shows that in February 2019, 17% of home and community support workers had no qualification, 37% had a level 2 qualification, 33% had a level 3 qualification, and 13% had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130165" cy="3347762"/>
                    </a:xfrm>
                    <a:prstGeom prst="rect">
                      <a:avLst/>
                    </a:prstGeom>
                  </pic:spPr>
                </pic:pic>
              </a:graphicData>
            </a:graphic>
          </wp:inline>
        </w:drawing>
      </w:r>
    </w:p>
    <w:bookmarkEnd w:id="32"/>
    <w:p w14:paraId="1DC93B42" w14:textId="77777777" w:rsidR="007F5F89" w:rsidRPr="001D0C30" w:rsidRDefault="007F5F89" w:rsidP="009F4DCF"/>
    <w:p w14:paraId="4BF30A93" w14:textId="77777777" w:rsidR="007F5F89" w:rsidRPr="0093539D" w:rsidRDefault="007F5F89" w:rsidP="009F4DCF">
      <w:pPr>
        <w:pStyle w:val="Table"/>
      </w:pPr>
      <w:bookmarkStart w:id="33" w:name="_Toc27123909"/>
      <w:r w:rsidRPr="00106CE9">
        <w:t>Table 4: Number of</w:t>
      </w:r>
      <w:r w:rsidR="00A962A8">
        <w:t xml:space="preserve"> </w:t>
      </w:r>
      <w:r>
        <w:t>h</w:t>
      </w:r>
      <w:r w:rsidRPr="00113C20">
        <w:t>ome and community support</w:t>
      </w:r>
      <w:r>
        <w:t xml:space="preserve"> sector workers,</w:t>
      </w:r>
      <w:r w:rsidRPr="00113C20">
        <w:t xml:space="preserve"> by qualification</w:t>
      </w:r>
      <w:r>
        <w:t xml:space="preserve"> level, 2017/18 and February 2019</w:t>
      </w:r>
      <w:bookmarkEnd w:id="33"/>
    </w:p>
    <w:tbl>
      <w:tblPr>
        <w:tblW w:w="8080" w:type="dxa"/>
        <w:tblInd w:w="57" w:type="dxa"/>
        <w:tblLayout w:type="fixed"/>
        <w:tblCellMar>
          <w:left w:w="57" w:type="dxa"/>
          <w:right w:w="57" w:type="dxa"/>
        </w:tblCellMar>
        <w:tblLook w:val="04A0" w:firstRow="1" w:lastRow="0" w:firstColumn="1" w:lastColumn="0" w:noHBand="0" w:noVBand="1"/>
      </w:tblPr>
      <w:tblGrid>
        <w:gridCol w:w="2127"/>
        <w:gridCol w:w="1190"/>
        <w:gridCol w:w="1191"/>
        <w:gridCol w:w="1190"/>
        <w:gridCol w:w="1191"/>
        <w:gridCol w:w="1191"/>
      </w:tblGrid>
      <w:tr w:rsidR="007F5F89" w:rsidRPr="009F4DCF" w14:paraId="023BA7B2" w14:textId="77777777" w:rsidTr="009F4DCF">
        <w:trPr>
          <w:cantSplit/>
        </w:trPr>
        <w:tc>
          <w:tcPr>
            <w:tcW w:w="2127" w:type="dxa"/>
            <w:shd w:val="clear" w:color="auto" w:fill="D9D9D9" w:themeFill="background1" w:themeFillShade="D9"/>
          </w:tcPr>
          <w:p w14:paraId="45E97AB3" w14:textId="77777777" w:rsidR="007F5F89" w:rsidRPr="009F4DCF" w:rsidRDefault="007F5F89" w:rsidP="009F4DCF">
            <w:pPr>
              <w:pStyle w:val="TableText"/>
              <w:rPr>
                <w:b/>
              </w:rPr>
            </w:pPr>
          </w:p>
        </w:tc>
        <w:tc>
          <w:tcPr>
            <w:tcW w:w="1190" w:type="dxa"/>
            <w:shd w:val="clear" w:color="auto" w:fill="D9D9D9" w:themeFill="background1" w:themeFillShade="D9"/>
          </w:tcPr>
          <w:p w14:paraId="291501F1" w14:textId="77777777" w:rsidR="007F5F89" w:rsidRPr="009F4DCF" w:rsidRDefault="007F5F89" w:rsidP="009F4DCF">
            <w:pPr>
              <w:pStyle w:val="TableText"/>
              <w:jc w:val="center"/>
              <w:rPr>
                <w:b/>
              </w:rPr>
            </w:pPr>
            <w:r w:rsidRPr="009F4DCF">
              <w:rPr>
                <w:b/>
              </w:rPr>
              <w:t>Level 0</w:t>
            </w:r>
          </w:p>
        </w:tc>
        <w:tc>
          <w:tcPr>
            <w:tcW w:w="1191" w:type="dxa"/>
            <w:shd w:val="clear" w:color="auto" w:fill="D9D9D9" w:themeFill="background1" w:themeFillShade="D9"/>
          </w:tcPr>
          <w:p w14:paraId="25F83705" w14:textId="77777777" w:rsidR="007F5F89" w:rsidRPr="009F4DCF" w:rsidRDefault="007F5F89" w:rsidP="009F4DCF">
            <w:pPr>
              <w:pStyle w:val="TableText"/>
              <w:jc w:val="center"/>
              <w:rPr>
                <w:b/>
              </w:rPr>
            </w:pPr>
            <w:r w:rsidRPr="009F4DCF">
              <w:rPr>
                <w:b/>
              </w:rPr>
              <w:t>Level 2</w:t>
            </w:r>
          </w:p>
        </w:tc>
        <w:tc>
          <w:tcPr>
            <w:tcW w:w="1190" w:type="dxa"/>
            <w:shd w:val="clear" w:color="auto" w:fill="D9D9D9" w:themeFill="background1" w:themeFillShade="D9"/>
          </w:tcPr>
          <w:p w14:paraId="3E6384B2" w14:textId="77777777" w:rsidR="007F5F89" w:rsidRPr="009F4DCF" w:rsidRDefault="007F5F89" w:rsidP="009F4DCF">
            <w:pPr>
              <w:pStyle w:val="TableText"/>
              <w:jc w:val="center"/>
              <w:rPr>
                <w:b/>
              </w:rPr>
            </w:pPr>
            <w:r w:rsidRPr="009F4DCF">
              <w:rPr>
                <w:b/>
              </w:rPr>
              <w:t>Level 3</w:t>
            </w:r>
          </w:p>
        </w:tc>
        <w:tc>
          <w:tcPr>
            <w:tcW w:w="1191" w:type="dxa"/>
            <w:shd w:val="clear" w:color="auto" w:fill="D9D9D9" w:themeFill="background1" w:themeFillShade="D9"/>
          </w:tcPr>
          <w:p w14:paraId="0AE67E41" w14:textId="77777777" w:rsidR="007F5F89" w:rsidRPr="009F4DCF" w:rsidRDefault="007F5F89" w:rsidP="009F4DCF">
            <w:pPr>
              <w:pStyle w:val="TableText"/>
              <w:jc w:val="center"/>
              <w:rPr>
                <w:b/>
              </w:rPr>
            </w:pPr>
            <w:r w:rsidRPr="009F4DCF">
              <w:rPr>
                <w:b/>
              </w:rPr>
              <w:t>Level 4</w:t>
            </w:r>
          </w:p>
        </w:tc>
        <w:tc>
          <w:tcPr>
            <w:tcW w:w="1191" w:type="dxa"/>
            <w:shd w:val="clear" w:color="auto" w:fill="D9D9D9" w:themeFill="background1" w:themeFillShade="D9"/>
          </w:tcPr>
          <w:p w14:paraId="47863212" w14:textId="77777777" w:rsidR="007F5F89" w:rsidRPr="009F4DCF" w:rsidRDefault="007F5F89" w:rsidP="009F4DCF">
            <w:pPr>
              <w:pStyle w:val="TableText"/>
              <w:jc w:val="center"/>
              <w:rPr>
                <w:b/>
              </w:rPr>
            </w:pPr>
            <w:r w:rsidRPr="009F4DCF">
              <w:rPr>
                <w:b/>
              </w:rPr>
              <w:t>Total</w:t>
            </w:r>
          </w:p>
        </w:tc>
      </w:tr>
      <w:tr w:rsidR="007F5F89" w:rsidRPr="001D0C30" w14:paraId="2A82D397" w14:textId="77777777" w:rsidTr="009F4DCF">
        <w:trPr>
          <w:cantSplit/>
        </w:trPr>
        <w:tc>
          <w:tcPr>
            <w:tcW w:w="2127" w:type="dxa"/>
            <w:tcBorders>
              <w:bottom w:val="single" w:sz="4" w:space="0" w:color="A6A6A6" w:themeColor="background1" w:themeShade="A6"/>
            </w:tcBorders>
          </w:tcPr>
          <w:p w14:paraId="459D1242" w14:textId="77777777" w:rsidR="007F5F89" w:rsidRPr="001D0C30" w:rsidRDefault="007F5F89" w:rsidP="009F4DCF">
            <w:pPr>
              <w:pStyle w:val="TableText"/>
            </w:pPr>
            <w:r w:rsidRPr="001D0C30">
              <w:t>2017/18 full</w:t>
            </w:r>
            <w:r>
              <w:t>-</w:t>
            </w:r>
            <w:r w:rsidRPr="001D0C30">
              <w:t xml:space="preserve">year </w:t>
            </w:r>
            <w:r>
              <w:t>data</w:t>
            </w:r>
          </w:p>
        </w:tc>
        <w:tc>
          <w:tcPr>
            <w:tcW w:w="1190" w:type="dxa"/>
            <w:tcBorders>
              <w:bottom w:val="single" w:sz="4" w:space="0" w:color="A6A6A6" w:themeColor="background1" w:themeShade="A6"/>
            </w:tcBorders>
          </w:tcPr>
          <w:p w14:paraId="35D24978" w14:textId="77777777" w:rsidR="007F5F89" w:rsidRPr="001D0C30" w:rsidRDefault="007F5F89" w:rsidP="009F4DCF">
            <w:pPr>
              <w:pStyle w:val="TableText"/>
              <w:jc w:val="center"/>
            </w:pPr>
            <w:r w:rsidRPr="001D0C30">
              <w:t>3</w:t>
            </w:r>
            <w:r>
              <w:t>,</w:t>
            </w:r>
            <w:r w:rsidRPr="001D0C30">
              <w:t>620</w:t>
            </w:r>
          </w:p>
        </w:tc>
        <w:tc>
          <w:tcPr>
            <w:tcW w:w="1191" w:type="dxa"/>
            <w:tcBorders>
              <w:bottom w:val="single" w:sz="4" w:space="0" w:color="A6A6A6" w:themeColor="background1" w:themeShade="A6"/>
            </w:tcBorders>
          </w:tcPr>
          <w:p w14:paraId="5F5942C1" w14:textId="77777777" w:rsidR="007F5F89" w:rsidRPr="001D0C30" w:rsidRDefault="007F5F89" w:rsidP="009F4DCF">
            <w:pPr>
              <w:pStyle w:val="TableText"/>
              <w:jc w:val="center"/>
            </w:pPr>
            <w:r w:rsidRPr="001D0C30">
              <w:t>3</w:t>
            </w:r>
            <w:r>
              <w:t>,</w:t>
            </w:r>
            <w:r w:rsidRPr="001D0C30">
              <w:t>126</w:t>
            </w:r>
          </w:p>
        </w:tc>
        <w:tc>
          <w:tcPr>
            <w:tcW w:w="1190" w:type="dxa"/>
            <w:tcBorders>
              <w:bottom w:val="single" w:sz="4" w:space="0" w:color="A6A6A6" w:themeColor="background1" w:themeShade="A6"/>
            </w:tcBorders>
          </w:tcPr>
          <w:p w14:paraId="7E62CEDC" w14:textId="77777777" w:rsidR="007F5F89" w:rsidRPr="001D0C30" w:rsidRDefault="007F5F89" w:rsidP="009F4DCF">
            <w:pPr>
              <w:pStyle w:val="TableText"/>
              <w:jc w:val="center"/>
            </w:pPr>
            <w:r w:rsidRPr="001D0C30">
              <w:t>2</w:t>
            </w:r>
            <w:r>
              <w:t>,</w:t>
            </w:r>
            <w:r w:rsidRPr="001D0C30">
              <w:t>812</w:t>
            </w:r>
          </w:p>
        </w:tc>
        <w:tc>
          <w:tcPr>
            <w:tcW w:w="1191" w:type="dxa"/>
            <w:tcBorders>
              <w:bottom w:val="single" w:sz="4" w:space="0" w:color="A6A6A6" w:themeColor="background1" w:themeShade="A6"/>
            </w:tcBorders>
          </w:tcPr>
          <w:p w14:paraId="2FA6CB94" w14:textId="77777777" w:rsidR="007F5F89" w:rsidRPr="001D0C30" w:rsidRDefault="007F5F89" w:rsidP="009F4DCF">
            <w:pPr>
              <w:pStyle w:val="TableText"/>
              <w:tabs>
                <w:tab w:val="decimal" w:pos="764"/>
              </w:tabs>
            </w:pPr>
            <w:r w:rsidRPr="001D0C30">
              <w:t>848</w:t>
            </w:r>
          </w:p>
        </w:tc>
        <w:tc>
          <w:tcPr>
            <w:tcW w:w="1191" w:type="dxa"/>
            <w:tcBorders>
              <w:bottom w:val="single" w:sz="4" w:space="0" w:color="A6A6A6" w:themeColor="background1" w:themeShade="A6"/>
            </w:tcBorders>
          </w:tcPr>
          <w:p w14:paraId="2CDCB7C5" w14:textId="77777777" w:rsidR="007F5F89" w:rsidRPr="00316683" w:rsidRDefault="007F5F89" w:rsidP="009F4DCF">
            <w:pPr>
              <w:pStyle w:val="TableText"/>
              <w:jc w:val="center"/>
            </w:pPr>
            <w:r w:rsidRPr="00316683">
              <w:t>10,406</w:t>
            </w:r>
          </w:p>
        </w:tc>
      </w:tr>
      <w:tr w:rsidR="007F5F89" w:rsidRPr="001D0C30" w14:paraId="72C166AB" w14:textId="77777777" w:rsidTr="009F4DCF">
        <w:trPr>
          <w:cantSplit/>
        </w:trPr>
        <w:tc>
          <w:tcPr>
            <w:tcW w:w="2127" w:type="dxa"/>
            <w:tcBorders>
              <w:top w:val="single" w:sz="4" w:space="0" w:color="A6A6A6" w:themeColor="background1" w:themeShade="A6"/>
              <w:bottom w:val="single" w:sz="4" w:space="0" w:color="A6A6A6" w:themeColor="background1" w:themeShade="A6"/>
            </w:tcBorders>
          </w:tcPr>
          <w:p w14:paraId="77FC0538" w14:textId="77777777" w:rsidR="007F5F89" w:rsidRPr="001D0C30" w:rsidRDefault="007F5F89" w:rsidP="009F4DCF">
            <w:pPr>
              <w:pStyle w:val="TableText"/>
            </w:pPr>
            <w:r w:rsidRPr="001D0C30">
              <w:t>February 2019</w:t>
            </w:r>
          </w:p>
        </w:tc>
        <w:tc>
          <w:tcPr>
            <w:tcW w:w="1190" w:type="dxa"/>
            <w:tcBorders>
              <w:top w:val="single" w:sz="4" w:space="0" w:color="A6A6A6" w:themeColor="background1" w:themeShade="A6"/>
              <w:bottom w:val="single" w:sz="4" w:space="0" w:color="A6A6A6" w:themeColor="background1" w:themeShade="A6"/>
            </w:tcBorders>
          </w:tcPr>
          <w:p w14:paraId="1A612C7B" w14:textId="77777777" w:rsidR="007F5F89" w:rsidRPr="001D0C30" w:rsidRDefault="007F5F89" w:rsidP="009F4DCF">
            <w:pPr>
              <w:pStyle w:val="TableText"/>
              <w:jc w:val="center"/>
            </w:pPr>
            <w:r w:rsidRPr="001D0C30">
              <w:t>1</w:t>
            </w:r>
            <w:r>
              <w:t>,</w:t>
            </w:r>
            <w:r w:rsidRPr="001D0C30">
              <w:t>781</w:t>
            </w:r>
          </w:p>
        </w:tc>
        <w:tc>
          <w:tcPr>
            <w:tcW w:w="1191" w:type="dxa"/>
            <w:tcBorders>
              <w:top w:val="single" w:sz="4" w:space="0" w:color="A6A6A6" w:themeColor="background1" w:themeShade="A6"/>
              <w:bottom w:val="single" w:sz="4" w:space="0" w:color="A6A6A6" w:themeColor="background1" w:themeShade="A6"/>
            </w:tcBorders>
          </w:tcPr>
          <w:p w14:paraId="1CF43D55" w14:textId="77777777" w:rsidR="007F5F89" w:rsidRPr="001D0C30" w:rsidRDefault="007F5F89" w:rsidP="009F4DCF">
            <w:pPr>
              <w:pStyle w:val="TableText"/>
              <w:jc w:val="center"/>
            </w:pPr>
            <w:r w:rsidRPr="001D0C30">
              <w:t>3</w:t>
            </w:r>
            <w:r>
              <w:t>,</w:t>
            </w:r>
            <w:r w:rsidRPr="001D0C30">
              <w:t>846</w:t>
            </w:r>
          </w:p>
        </w:tc>
        <w:tc>
          <w:tcPr>
            <w:tcW w:w="1190" w:type="dxa"/>
            <w:tcBorders>
              <w:top w:val="single" w:sz="4" w:space="0" w:color="A6A6A6" w:themeColor="background1" w:themeShade="A6"/>
              <w:bottom w:val="single" w:sz="4" w:space="0" w:color="A6A6A6" w:themeColor="background1" w:themeShade="A6"/>
            </w:tcBorders>
          </w:tcPr>
          <w:p w14:paraId="60E1A6C4" w14:textId="77777777" w:rsidR="007F5F89" w:rsidRPr="001D0C30" w:rsidRDefault="007F5F89" w:rsidP="009F4DCF">
            <w:pPr>
              <w:pStyle w:val="TableText"/>
              <w:jc w:val="center"/>
            </w:pPr>
            <w:r w:rsidRPr="001D0C30">
              <w:t>3</w:t>
            </w:r>
            <w:r>
              <w:t>,</w:t>
            </w:r>
            <w:r w:rsidRPr="001D0C30">
              <w:t>409</w:t>
            </w:r>
          </w:p>
        </w:tc>
        <w:tc>
          <w:tcPr>
            <w:tcW w:w="1191" w:type="dxa"/>
            <w:tcBorders>
              <w:top w:val="single" w:sz="4" w:space="0" w:color="A6A6A6" w:themeColor="background1" w:themeShade="A6"/>
              <w:bottom w:val="single" w:sz="4" w:space="0" w:color="A6A6A6" w:themeColor="background1" w:themeShade="A6"/>
            </w:tcBorders>
          </w:tcPr>
          <w:p w14:paraId="4BC79295" w14:textId="77777777" w:rsidR="007F5F89" w:rsidRPr="001D0C30" w:rsidRDefault="007F5F89" w:rsidP="009F4DCF">
            <w:pPr>
              <w:pStyle w:val="TableText"/>
              <w:tabs>
                <w:tab w:val="decimal" w:pos="764"/>
              </w:tabs>
            </w:pPr>
            <w:r w:rsidRPr="001D0C30">
              <w:t>1</w:t>
            </w:r>
            <w:r>
              <w:t>,</w:t>
            </w:r>
            <w:r w:rsidRPr="001D0C30">
              <w:t>370</w:t>
            </w:r>
          </w:p>
        </w:tc>
        <w:tc>
          <w:tcPr>
            <w:tcW w:w="1191" w:type="dxa"/>
            <w:tcBorders>
              <w:top w:val="single" w:sz="4" w:space="0" w:color="A6A6A6" w:themeColor="background1" w:themeShade="A6"/>
              <w:bottom w:val="single" w:sz="4" w:space="0" w:color="A6A6A6" w:themeColor="background1" w:themeShade="A6"/>
            </w:tcBorders>
          </w:tcPr>
          <w:p w14:paraId="424F2EC0" w14:textId="77777777" w:rsidR="007F5F89" w:rsidRPr="00316683" w:rsidRDefault="007F5F89" w:rsidP="009F4DCF">
            <w:pPr>
              <w:pStyle w:val="TableText"/>
              <w:jc w:val="center"/>
            </w:pPr>
            <w:r w:rsidRPr="00316683">
              <w:t>10,406</w:t>
            </w:r>
          </w:p>
        </w:tc>
      </w:tr>
    </w:tbl>
    <w:p w14:paraId="008CB60C" w14:textId="77777777" w:rsidR="007F5F89" w:rsidRDefault="007F5F89" w:rsidP="009F4DCF"/>
    <w:p w14:paraId="31308AA8" w14:textId="77777777" w:rsidR="007F5F89" w:rsidRDefault="007F5F89" w:rsidP="009F4DCF">
      <w:pPr>
        <w:pStyle w:val="Figure"/>
      </w:pPr>
      <w:bookmarkStart w:id="34" w:name="_Toc27123894"/>
      <w:r w:rsidRPr="00106CE9">
        <w:lastRenderedPageBreak/>
        <w:t>Figure 7: Percentage of home and community support sector worked hours, by qualification level, 2017/18</w:t>
      </w:r>
      <w:bookmarkEnd w:id="34"/>
    </w:p>
    <w:p w14:paraId="2E440D86" w14:textId="77777777" w:rsidR="00805E61" w:rsidRPr="00805E61" w:rsidRDefault="00805E61" w:rsidP="00805E61">
      <w:r w:rsidRPr="00805E61">
        <w:rPr>
          <w:noProof/>
          <w:lang w:eastAsia="en-NZ"/>
        </w:rPr>
        <w:drawing>
          <wp:inline distT="0" distB="0" distL="0" distR="0" wp14:anchorId="2642E37F" wp14:editId="6F1E3D53">
            <wp:extent cx="5130165" cy="3347762"/>
            <wp:effectExtent l="0" t="0" r="0" b="5080"/>
            <wp:docPr id="15" name="Picture 15" descr="This pie chart shows that in 2017/18, 27% of home and community support hours were worked by someone with no qualification, 30% were worked by someone with a level 2 qualification, 34% were worked by someone with a level 3 qualification, and 9% were worked by someone with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130165" cy="3347762"/>
                    </a:xfrm>
                    <a:prstGeom prst="rect">
                      <a:avLst/>
                    </a:prstGeom>
                  </pic:spPr>
                </pic:pic>
              </a:graphicData>
            </a:graphic>
          </wp:inline>
        </w:drawing>
      </w:r>
    </w:p>
    <w:p w14:paraId="03C79F65" w14:textId="77777777" w:rsidR="007F5F89" w:rsidRDefault="007F5F89" w:rsidP="009F4DCF"/>
    <w:p w14:paraId="1C3A8906" w14:textId="77777777" w:rsidR="007F5F89" w:rsidRDefault="007F5F89" w:rsidP="009F4DCF">
      <w:pPr>
        <w:pStyle w:val="Figure"/>
      </w:pPr>
      <w:bookmarkStart w:id="35" w:name="_Toc27123895"/>
      <w:r w:rsidRPr="00106CE9">
        <w:t>Figure 8: Percentage of home and community support sector worked hours, by qualification level, February 2019</w:t>
      </w:r>
      <w:bookmarkEnd w:id="35"/>
    </w:p>
    <w:p w14:paraId="0CA7642B" w14:textId="77777777" w:rsidR="00866FD6" w:rsidRPr="00866FD6" w:rsidRDefault="00866FD6" w:rsidP="00866FD6">
      <w:r w:rsidRPr="00866FD6">
        <w:rPr>
          <w:noProof/>
          <w:lang w:eastAsia="en-NZ"/>
        </w:rPr>
        <w:drawing>
          <wp:inline distT="0" distB="0" distL="0" distR="0" wp14:anchorId="76239036" wp14:editId="4D605995">
            <wp:extent cx="5130165" cy="3347762"/>
            <wp:effectExtent l="0" t="0" r="0" b="5080"/>
            <wp:docPr id="16" name="Picture 16" descr="This pie chart shows that in February 2019, 13% of home and community support hours were worked by someone with no qualification, 35% were worked by someone with a level 2 qualification, 37% were worked by someone with a level 3 qualification, and 15% were worked by someone with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130165" cy="3347762"/>
                    </a:xfrm>
                    <a:prstGeom prst="rect">
                      <a:avLst/>
                    </a:prstGeom>
                  </pic:spPr>
                </pic:pic>
              </a:graphicData>
            </a:graphic>
          </wp:inline>
        </w:drawing>
      </w:r>
    </w:p>
    <w:p w14:paraId="0CBA6B33" w14:textId="77777777" w:rsidR="007F5F89" w:rsidRDefault="007F5F89" w:rsidP="009F4DCF"/>
    <w:p w14:paraId="66AF4DBE" w14:textId="77777777" w:rsidR="007F5F89" w:rsidRPr="0093539D" w:rsidRDefault="007F5F89" w:rsidP="009F4DCF">
      <w:pPr>
        <w:pStyle w:val="Table"/>
      </w:pPr>
      <w:bookmarkStart w:id="36" w:name="_Toc27123910"/>
      <w:r w:rsidRPr="00106CE9">
        <w:lastRenderedPageBreak/>
        <w:t>Table 5: Number of</w:t>
      </w:r>
      <w:r w:rsidR="00A962A8">
        <w:t xml:space="preserve"> </w:t>
      </w:r>
      <w:r>
        <w:t>h</w:t>
      </w:r>
      <w:r w:rsidRPr="00113C20">
        <w:t>ome and community support</w:t>
      </w:r>
      <w:r>
        <w:t xml:space="preserve"> sector worked hours,</w:t>
      </w:r>
      <w:r w:rsidRPr="00113C20">
        <w:t xml:space="preserve"> by qualification</w:t>
      </w:r>
      <w:r>
        <w:t xml:space="preserve"> level, 2017/18 and February 2019</w:t>
      </w:r>
      <w:bookmarkEnd w:id="36"/>
    </w:p>
    <w:tbl>
      <w:tblPr>
        <w:tblW w:w="0" w:type="auto"/>
        <w:tblInd w:w="57" w:type="dxa"/>
        <w:tblLayout w:type="fixed"/>
        <w:tblCellMar>
          <w:left w:w="57" w:type="dxa"/>
          <w:right w:w="57" w:type="dxa"/>
        </w:tblCellMar>
        <w:tblLook w:val="04A0" w:firstRow="1" w:lastRow="0" w:firstColumn="1" w:lastColumn="0" w:noHBand="0" w:noVBand="1"/>
      </w:tblPr>
      <w:tblGrid>
        <w:gridCol w:w="2268"/>
        <w:gridCol w:w="1162"/>
        <w:gridCol w:w="1162"/>
        <w:gridCol w:w="1163"/>
        <w:gridCol w:w="1162"/>
        <w:gridCol w:w="1163"/>
      </w:tblGrid>
      <w:tr w:rsidR="007F5F89" w:rsidRPr="009F4DCF" w14:paraId="1AAB6033" w14:textId="77777777" w:rsidTr="009F4DCF">
        <w:trPr>
          <w:cantSplit/>
        </w:trPr>
        <w:tc>
          <w:tcPr>
            <w:tcW w:w="2268" w:type="dxa"/>
            <w:shd w:val="clear" w:color="auto" w:fill="D9D9D9" w:themeFill="background1" w:themeFillShade="D9"/>
          </w:tcPr>
          <w:p w14:paraId="6E465BC8" w14:textId="77777777" w:rsidR="007F5F89" w:rsidRPr="009F4DCF" w:rsidRDefault="007F5F89" w:rsidP="00866FD6">
            <w:pPr>
              <w:pStyle w:val="TableText"/>
              <w:keepNext/>
              <w:rPr>
                <w:b/>
              </w:rPr>
            </w:pPr>
          </w:p>
        </w:tc>
        <w:tc>
          <w:tcPr>
            <w:tcW w:w="1162" w:type="dxa"/>
            <w:shd w:val="clear" w:color="auto" w:fill="D9D9D9" w:themeFill="background1" w:themeFillShade="D9"/>
          </w:tcPr>
          <w:p w14:paraId="1C3C0371" w14:textId="77777777" w:rsidR="007F5F89" w:rsidRPr="009F4DCF" w:rsidRDefault="007F5F89" w:rsidP="00866FD6">
            <w:pPr>
              <w:pStyle w:val="TableText"/>
              <w:keepNext/>
              <w:jc w:val="center"/>
              <w:rPr>
                <w:b/>
              </w:rPr>
            </w:pPr>
            <w:r w:rsidRPr="009F4DCF">
              <w:rPr>
                <w:b/>
              </w:rPr>
              <w:t>Level 0</w:t>
            </w:r>
          </w:p>
        </w:tc>
        <w:tc>
          <w:tcPr>
            <w:tcW w:w="1162" w:type="dxa"/>
            <w:shd w:val="clear" w:color="auto" w:fill="D9D9D9" w:themeFill="background1" w:themeFillShade="D9"/>
          </w:tcPr>
          <w:p w14:paraId="455CBC39" w14:textId="77777777" w:rsidR="007F5F89" w:rsidRPr="009F4DCF" w:rsidRDefault="007F5F89" w:rsidP="00866FD6">
            <w:pPr>
              <w:pStyle w:val="TableText"/>
              <w:keepNext/>
              <w:jc w:val="center"/>
              <w:rPr>
                <w:b/>
              </w:rPr>
            </w:pPr>
            <w:r w:rsidRPr="009F4DCF">
              <w:rPr>
                <w:b/>
              </w:rPr>
              <w:t>Level 2</w:t>
            </w:r>
          </w:p>
        </w:tc>
        <w:tc>
          <w:tcPr>
            <w:tcW w:w="1163" w:type="dxa"/>
            <w:shd w:val="clear" w:color="auto" w:fill="D9D9D9" w:themeFill="background1" w:themeFillShade="D9"/>
          </w:tcPr>
          <w:p w14:paraId="11ADBD10" w14:textId="77777777" w:rsidR="007F5F89" w:rsidRPr="009F4DCF" w:rsidRDefault="007F5F89" w:rsidP="00866FD6">
            <w:pPr>
              <w:pStyle w:val="TableText"/>
              <w:keepNext/>
              <w:jc w:val="center"/>
              <w:rPr>
                <w:b/>
              </w:rPr>
            </w:pPr>
            <w:r w:rsidRPr="009F4DCF">
              <w:rPr>
                <w:b/>
              </w:rPr>
              <w:t>Level 3</w:t>
            </w:r>
          </w:p>
        </w:tc>
        <w:tc>
          <w:tcPr>
            <w:tcW w:w="1162" w:type="dxa"/>
            <w:shd w:val="clear" w:color="auto" w:fill="D9D9D9" w:themeFill="background1" w:themeFillShade="D9"/>
          </w:tcPr>
          <w:p w14:paraId="513AC6EF" w14:textId="77777777" w:rsidR="007F5F89" w:rsidRPr="009F4DCF" w:rsidRDefault="007F5F89" w:rsidP="00866FD6">
            <w:pPr>
              <w:pStyle w:val="TableText"/>
              <w:keepNext/>
              <w:jc w:val="center"/>
              <w:rPr>
                <w:b/>
              </w:rPr>
            </w:pPr>
            <w:r w:rsidRPr="009F4DCF">
              <w:rPr>
                <w:b/>
              </w:rPr>
              <w:t>Level 4</w:t>
            </w:r>
          </w:p>
        </w:tc>
        <w:tc>
          <w:tcPr>
            <w:tcW w:w="1163" w:type="dxa"/>
            <w:shd w:val="clear" w:color="auto" w:fill="D9D9D9" w:themeFill="background1" w:themeFillShade="D9"/>
          </w:tcPr>
          <w:p w14:paraId="56EE9A89" w14:textId="77777777" w:rsidR="007F5F89" w:rsidRPr="009F4DCF" w:rsidRDefault="007F5F89" w:rsidP="00866FD6">
            <w:pPr>
              <w:pStyle w:val="TableText"/>
              <w:keepNext/>
              <w:jc w:val="center"/>
              <w:rPr>
                <w:b/>
              </w:rPr>
            </w:pPr>
            <w:r w:rsidRPr="009F4DCF">
              <w:rPr>
                <w:b/>
              </w:rPr>
              <w:t>Total</w:t>
            </w:r>
          </w:p>
        </w:tc>
      </w:tr>
      <w:tr w:rsidR="007F5F89" w:rsidRPr="001D0C30" w14:paraId="7514A848" w14:textId="77777777" w:rsidTr="009F4DCF">
        <w:trPr>
          <w:cantSplit/>
        </w:trPr>
        <w:tc>
          <w:tcPr>
            <w:tcW w:w="2268" w:type="dxa"/>
            <w:tcBorders>
              <w:bottom w:val="single" w:sz="4" w:space="0" w:color="A6A6A6" w:themeColor="background1" w:themeShade="A6"/>
            </w:tcBorders>
          </w:tcPr>
          <w:p w14:paraId="3B96439E" w14:textId="77777777" w:rsidR="007F5F89" w:rsidRPr="001D0C30" w:rsidRDefault="007F5F89" w:rsidP="00866FD6">
            <w:pPr>
              <w:pStyle w:val="TableText"/>
              <w:keepNext/>
            </w:pPr>
            <w:r w:rsidRPr="001D0C30">
              <w:t>2017/18 full</w:t>
            </w:r>
            <w:r>
              <w:t>-</w:t>
            </w:r>
            <w:r w:rsidRPr="001D0C30">
              <w:t xml:space="preserve">year </w:t>
            </w:r>
            <w:r>
              <w:t>data</w:t>
            </w:r>
            <w:r w:rsidRPr="001D0C30">
              <w:t>*</w:t>
            </w:r>
          </w:p>
        </w:tc>
        <w:tc>
          <w:tcPr>
            <w:tcW w:w="1162" w:type="dxa"/>
            <w:tcBorders>
              <w:bottom w:val="single" w:sz="4" w:space="0" w:color="A6A6A6" w:themeColor="background1" w:themeShade="A6"/>
            </w:tcBorders>
          </w:tcPr>
          <w:p w14:paraId="0EACDBFE" w14:textId="77777777" w:rsidR="007F5F89" w:rsidRPr="001D0C30" w:rsidRDefault="007F5F89" w:rsidP="00866FD6">
            <w:pPr>
              <w:pStyle w:val="TableText"/>
              <w:keepNext/>
              <w:tabs>
                <w:tab w:val="decimal" w:pos="936"/>
              </w:tabs>
            </w:pPr>
            <w:r w:rsidRPr="001D0C30">
              <w:t>2,578,856</w:t>
            </w:r>
          </w:p>
        </w:tc>
        <w:tc>
          <w:tcPr>
            <w:tcW w:w="1162" w:type="dxa"/>
            <w:tcBorders>
              <w:bottom w:val="single" w:sz="4" w:space="0" w:color="A6A6A6" w:themeColor="background1" w:themeShade="A6"/>
            </w:tcBorders>
          </w:tcPr>
          <w:p w14:paraId="18805FB7" w14:textId="77777777" w:rsidR="007F5F89" w:rsidRPr="001D0C30" w:rsidRDefault="007F5F89" w:rsidP="00866FD6">
            <w:pPr>
              <w:pStyle w:val="TableText"/>
              <w:keepNext/>
              <w:tabs>
                <w:tab w:val="decimal" w:pos="936"/>
              </w:tabs>
            </w:pPr>
            <w:r w:rsidRPr="001D0C30">
              <w:t>2,924,104</w:t>
            </w:r>
          </w:p>
        </w:tc>
        <w:tc>
          <w:tcPr>
            <w:tcW w:w="1163" w:type="dxa"/>
            <w:tcBorders>
              <w:bottom w:val="single" w:sz="4" w:space="0" w:color="A6A6A6" w:themeColor="background1" w:themeShade="A6"/>
            </w:tcBorders>
          </w:tcPr>
          <w:p w14:paraId="0FE4AB0D" w14:textId="77777777" w:rsidR="007F5F89" w:rsidRPr="001D0C30" w:rsidRDefault="007F5F89" w:rsidP="00866FD6">
            <w:pPr>
              <w:pStyle w:val="TableText"/>
              <w:keepNext/>
              <w:tabs>
                <w:tab w:val="decimal" w:pos="936"/>
              </w:tabs>
            </w:pPr>
            <w:r w:rsidRPr="001D0C30">
              <w:t>3,212,640</w:t>
            </w:r>
          </w:p>
        </w:tc>
        <w:tc>
          <w:tcPr>
            <w:tcW w:w="1162" w:type="dxa"/>
            <w:tcBorders>
              <w:bottom w:val="single" w:sz="4" w:space="0" w:color="A6A6A6" w:themeColor="background1" w:themeShade="A6"/>
            </w:tcBorders>
          </w:tcPr>
          <w:p w14:paraId="5282D4B5" w14:textId="77777777" w:rsidR="007F5F89" w:rsidRPr="001D0C30" w:rsidRDefault="007F5F89" w:rsidP="00866FD6">
            <w:pPr>
              <w:pStyle w:val="TableText"/>
              <w:keepNext/>
              <w:tabs>
                <w:tab w:val="decimal" w:pos="936"/>
              </w:tabs>
            </w:pPr>
            <w:r w:rsidRPr="001D0C30">
              <w:t>898,820</w:t>
            </w:r>
          </w:p>
        </w:tc>
        <w:tc>
          <w:tcPr>
            <w:tcW w:w="1163" w:type="dxa"/>
            <w:tcBorders>
              <w:bottom w:val="single" w:sz="4" w:space="0" w:color="A6A6A6" w:themeColor="background1" w:themeShade="A6"/>
            </w:tcBorders>
          </w:tcPr>
          <w:p w14:paraId="00270C6F" w14:textId="77777777" w:rsidR="007F5F89" w:rsidRPr="00316683" w:rsidRDefault="007F5F89" w:rsidP="00866FD6">
            <w:pPr>
              <w:pStyle w:val="TableText"/>
              <w:keepNext/>
              <w:tabs>
                <w:tab w:val="decimal" w:pos="936"/>
              </w:tabs>
            </w:pPr>
            <w:r w:rsidRPr="00316683">
              <w:t>9,614,419</w:t>
            </w:r>
          </w:p>
        </w:tc>
      </w:tr>
      <w:tr w:rsidR="007F5F89" w:rsidRPr="001D0C30" w14:paraId="71EB4E69" w14:textId="77777777" w:rsidTr="009F4DCF">
        <w:trPr>
          <w:cantSplit/>
        </w:trPr>
        <w:tc>
          <w:tcPr>
            <w:tcW w:w="2268" w:type="dxa"/>
            <w:tcBorders>
              <w:top w:val="single" w:sz="4" w:space="0" w:color="A6A6A6" w:themeColor="background1" w:themeShade="A6"/>
              <w:bottom w:val="single" w:sz="4" w:space="0" w:color="A6A6A6" w:themeColor="background1" w:themeShade="A6"/>
            </w:tcBorders>
          </w:tcPr>
          <w:p w14:paraId="3488C792" w14:textId="77777777" w:rsidR="007F5F89" w:rsidRPr="001D0C30" w:rsidRDefault="007F5F89" w:rsidP="009F4DCF">
            <w:pPr>
              <w:pStyle w:val="TableText"/>
            </w:pPr>
            <w:r w:rsidRPr="001D0C30">
              <w:t>February 2019**</w:t>
            </w:r>
          </w:p>
        </w:tc>
        <w:tc>
          <w:tcPr>
            <w:tcW w:w="1162" w:type="dxa"/>
            <w:tcBorders>
              <w:top w:val="single" w:sz="4" w:space="0" w:color="A6A6A6" w:themeColor="background1" w:themeShade="A6"/>
              <w:bottom w:val="single" w:sz="4" w:space="0" w:color="A6A6A6" w:themeColor="background1" w:themeShade="A6"/>
            </w:tcBorders>
          </w:tcPr>
          <w:p w14:paraId="7E5D062D" w14:textId="77777777" w:rsidR="007F5F89" w:rsidRPr="001D0C30" w:rsidRDefault="007F5F89" w:rsidP="009F4DCF">
            <w:pPr>
              <w:pStyle w:val="TableText"/>
              <w:tabs>
                <w:tab w:val="decimal" w:pos="936"/>
              </w:tabs>
            </w:pPr>
            <w:r w:rsidRPr="001D0C30">
              <w:t>58,651</w:t>
            </w:r>
          </w:p>
        </w:tc>
        <w:tc>
          <w:tcPr>
            <w:tcW w:w="1162" w:type="dxa"/>
            <w:tcBorders>
              <w:top w:val="single" w:sz="4" w:space="0" w:color="A6A6A6" w:themeColor="background1" w:themeShade="A6"/>
              <w:bottom w:val="single" w:sz="4" w:space="0" w:color="A6A6A6" w:themeColor="background1" w:themeShade="A6"/>
            </w:tcBorders>
          </w:tcPr>
          <w:p w14:paraId="51C2D9E4" w14:textId="77777777" w:rsidR="007F5F89" w:rsidRPr="001D0C30" w:rsidRDefault="007F5F89" w:rsidP="009F4DCF">
            <w:pPr>
              <w:pStyle w:val="TableText"/>
              <w:tabs>
                <w:tab w:val="decimal" w:pos="936"/>
              </w:tabs>
            </w:pPr>
            <w:r w:rsidRPr="001D0C30">
              <w:t>152,734</w:t>
            </w:r>
          </w:p>
        </w:tc>
        <w:tc>
          <w:tcPr>
            <w:tcW w:w="1163" w:type="dxa"/>
            <w:tcBorders>
              <w:top w:val="single" w:sz="4" w:space="0" w:color="A6A6A6" w:themeColor="background1" w:themeShade="A6"/>
              <w:bottom w:val="single" w:sz="4" w:space="0" w:color="A6A6A6" w:themeColor="background1" w:themeShade="A6"/>
            </w:tcBorders>
          </w:tcPr>
          <w:p w14:paraId="3B2DEF3F" w14:textId="77777777" w:rsidR="007F5F89" w:rsidRPr="001D0C30" w:rsidRDefault="007F5F89" w:rsidP="009F4DCF">
            <w:pPr>
              <w:pStyle w:val="TableText"/>
              <w:tabs>
                <w:tab w:val="decimal" w:pos="936"/>
              </w:tabs>
            </w:pPr>
            <w:r w:rsidRPr="001D0C30">
              <w:t>159,129</w:t>
            </w:r>
          </w:p>
        </w:tc>
        <w:tc>
          <w:tcPr>
            <w:tcW w:w="1162" w:type="dxa"/>
            <w:tcBorders>
              <w:top w:val="single" w:sz="4" w:space="0" w:color="A6A6A6" w:themeColor="background1" w:themeShade="A6"/>
              <w:bottom w:val="single" w:sz="4" w:space="0" w:color="A6A6A6" w:themeColor="background1" w:themeShade="A6"/>
            </w:tcBorders>
          </w:tcPr>
          <w:p w14:paraId="6C40218B" w14:textId="77777777" w:rsidR="007F5F89" w:rsidRPr="001D0C30" w:rsidRDefault="007F5F89" w:rsidP="009F4DCF">
            <w:pPr>
              <w:pStyle w:val="TableText"/>
              <w:tabs>
                <w:tab w:val="decimal" w:pos="936"/>
              </w:tabs>
            </w:pPr>
            <w:r w:rsidRPr="001D0C30">
              <w:t>64,053</w:t>
            </w:r>
          </w:p>
        </w:tc>
        <w:tc>
          <w:tcPr>
            <w:tcW w:w="1163" w:type="dxa"/>
            <w:tcBorders>
              <w:top w:val="single" w:sz="4" w:space="0" w:color="A6A6A6" w:themeColor="background1" w:themeShade="A6"/>
              <w:bottom w:val="single" w:sz="4" w:space="0" w:color="A6A6A6" w:themeColor="background1" w:themeShade="A6"/>
            </w:tcBorders>
          </w:tcPr>
          <w:p w14:paraId="7353D3A5" w14:textId="77777777" w:rsidR="007F5F89" w:rsidRPr="00316683" w:rsidRDefault="007F5F89" w:rsidP="009F4DCF">
            <w:pPr>
              <w:pStyle w:val="TableText"/>
              <w:tabs>
                <w:tab w:val="decimal" w:pos="936"/>
              </w:tabs>
            </w:pPr>
            <w:r w:rsidRPr="00316683">
              <w:t>434,567</w:t>
            </w:r>
          </w:p>
        </w:tc>
      </w:tr>
    </w:tbl>
    <w:p w14:paraId="6B2BFA84" w14:textId="77777777" w:rsidR="007F5F89" w:rsidRPr="001D0C30" w:rsidRDefault="007F5F89" w:rsidP="009F4DCF">
      <w:pPr>
        <w:pStyle w:val="Note"/>
      </w:pPr>
      <w:r w:rsidRPr="001D0C30">
        <w:t>*</w:t>
      </w:r>
      <w:r w:rsidR="009F4DCF">
        <w:tab/>
      </w:r>
      <w:r w:rsidRPr="001D0C30">
        <w:t xml:space="preserve">The </w:t>
      </w:r>
      <w:r>
        <w:t>worked</w:t>
      </w:r>
      <w:r w:rsidRPr="001D0C30">
        <w:t xml:space="preserve"> hours collected in the 2017/18 full</w:t>
      </w:r>
      <w:r>
        <w:t>-</w:t>
      </w:r>
      <w:r w:rsidRPr="001D0C30">
        <w:t xml:space="preserve">year data </w:t>
      </w:r>
      <w:r>
        <w:t xml:space="preserve">pertain to </w:t>
      </w:r>
      <w:r w:rsidRPr="001D0C30">
        <w:t>a full</w:t>
      </w:r>
      <w:r>
        <w:t>-</w:t>
      </w:r>
      <w:r w:rsidRPr="001D0C30">
        <w:t>year period</w:t>
      </w:r>
      <w:r>
        <w:t>:</w:t>
      </w:r>
      <w:r w:rsidRPr="001D0C30">
        <w:t xml:space="preserve"> 1 July 2017</w:t>
      </w:r>
      <w:r w:rsidRPr="004C7FFE">
        <w:t>–</w:t>
      </w:r>
      <w:r w:rsidRPr="001D0C30">
        <w:t>30</w:t>
      </w:r>
      <w:r w:rsidR="009F4DCF">
        <w:t> </w:t>
      </w:r>
      <w:r w:rsidRPr="001D0C30">
        <w:t>June 2018.</w:t>
      </w:r>
    </w:p>
    <w:p w14:paraId="11369B35" w14:textId="77777777" w:rsidR="00776894" w:rsidRDefault="007F5F89" w:rsidP="009F4DCF">
      <w:pPr>
        <w:pStyle w:val="Note"/>
      </w:pPr>
      <w:r w:rsidRPr="001D0C30">
        <w:t>**</w:t>
      </w:r>
      <w:r w:rsidR="009F4DCF">
        <w:tab/>
      </w:r>
      <w:r w:rsidRPr="001D0C30">
        <w:t xml:space="preserve">The </w:t>
      </w:r>
      <w:r>
        <w:t xml:space="preserve">worked </w:t>
      </w:r>
      <w:r w:rsidRPr="001D0C30">
        <w:t xml:space="preserve">hours collected in the February 2019 data </w:t>
      </w:r>
      <w:r>
        <w:t xml:space="preserve">pertain to </w:t>
      </w:r>
      <w:r w:rsidRPr="001D0C30">
        <w:t>a fortnight period</w:t>
      </w:r>
      <w:r>
        <w:t>:</w:t>
      </w:r>
      <w:r w:rsidRPr="001D0C30">
        <w:t xml:space="preserve"> 28 January 2019</w:t>
      </w:r>
      <w:r w:rsidRPr="004C7FFE">
        <w:t>–</w:t>
      </w:r>
      <w:r w:rsidRPr="001D0C30">
        <w:t>24</w:t>
      </w:r>
      <w:r w:rsidR="009F4DCF">
        <w:t> </w:t>
      </w:r>
      <w:r w:rsidRPr="001D0C30">
        <w:t>February 2019.</w:t>
      </w:r>
    </w:p>
    <w:p w14:paraId="76ED0077" w14:textId="77777777" w:rsidR="009F4DCF" w:rsidRPr="009F4DCF" w:rsidRDefault="009F4DCF" w:rsidP="009F4DCF"/>
    <w:p w14:paraId="7D37C89E" w14:textId="77777777" w:rsidR="00776894" w:rsidRDefault="007F5F89" w:rsidP="00DB70E6">
      <w:pPr>
        <w:pStyle w:val="Heading2"/>
        <w:keepNext w:val="0"/>
        <w:pageBreakBefore/>
        <w:numPr>
          <w:ilvl w:val="0"/>
          <w:numId w:val="0"/>
        </w:numPr>
        <w:spacing w:before="0"/>
      </w:pPr>
      <w:bookmarkStart w:id="37" w:name="_Toc27123885"/>
      <w:r w:rsidRPr="001D0C30">
        <w:lastRenderedPageBreak/>
        <w:t xml:space="preserve">Appendix </w:t>
      </w:r>
      <w:r w:rsidR="00DB70E6">
        <w:t>4</w:t>
      </w:r>
      <w:r w:rsidRPr="001D0C30">
        <w:t>: Disability</w:t>
      </w:r>
      <w:r>
        <w:t xml:space="preserve"> sector:</w:t>
      </w:r>
      <w:r w:rsidRPr="001D0C30">
        <w:t xml:space="preserve"> </w:t>
      </w:r>
      <w:r>
        <w:t>c</w:t>
      </w:r>
      <w:r w:rsidRPr="001D0C30">
        <w:t xml:space="preserve">omparison of </w:t>
      </w:r>
      <w:r>
        <w:t>q</w:t>
      </w:r>
      <w:r w:rsidRPr="001D0C30">
        <w:t>ualification</w:t>
      </w:r>
      <w:r>
        <w:t xml:space="preserve"> level</w:t>
      </w:r>
      <w:r w:rsidRPr="001D0C30">
        <w:t xml:space="preserve">s by </w:t>
      </w:r>
      <w:r>
        <w:t>n</w:t>
      </w:r>
      <w:r w:rsidRPr="001D0C30">
        <w:t xml:space="preserve">umber of </w:t>
      </w:r>
      <w:r>
        <w:t>w</w:t>
      </w:r>
      <w:r w:rsidRPr="001D0C30">
        <w:t xml:space="preserve">orkers </w:t>
      </w:r>
      <w:r>
        <w:t>and worked h</w:t>
      </w:r>
      <w:r w:rsidRPr="001D0C30">
        <w:t>ours</w:t>
      </w:r>
      <w:r w:rsidRPr="00DB70E6">
        <w:rPr>
          <w:rStyle w:val="FootnoteReference"/>
        </w:rPr>
        <w:footnoteReference w:id="10"/>
      </w:r>
      <w:bookmarkEnd w:id="37"/>
    </w:p>
    <w:p w14:paraId="60184B1C" w14:textId="77777777" w:rsidR="007F5F89" w:rsidRDefault="007F5F89" w:rsidP="00DB70E6">
      <w:pPr>
        <w:pStyle w:val="Figure"/>
      </w:pPr>
      <w:bookmarkStart w:id="38" w:name="_Toc27123896"/>
      <w:r w:rsidRPr="00106CE9">
        <w:t>Figure 9: Percentage of disability sector workers, by qualification level, 2017/18</w:t>
      </w:r>
      <w:bookmarkEnd w:id="38"/>
    </w:p>
    <w:p w14:paraId="1F0658CD" w14:textId="77777777" w:rsidR="00866FD6" w:rsidRPr="00866FD6" w:rsidRDefault="00866FD6" w:rsidP="00866FD6">
      <w:r w:rsidRPr="00866FD6">
        <w:rPr>
          <w:noProof/>
          <w:lang w:eastAsia="en-NZ"/>
        </w:rPr>
        <w:drawing>
          <wp:inline distT="0" distB="0" distL="0" distR="0" wp14:anchorId="04598D9D" wp14:editId="7A9A6366">
            <wp:extent cx="5130165" cy="3347762"/>
            <wp:effectExtent l="0" t="0" r="0" b="5080"/>
            <wp:docPr id="18" name="Picture 18" descr="This pie chart shows that in 2017/18, 45% of disability workers had no qualification, 11% had a level 2 qualification, 25% had a level 3 qualification and 19% had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130165" cy="3347762"/>
                    </a:xfrm>
                    <a:prstGeom prst="rect">
                      <a:avLst/>
                    </a:prstGeom>
                  </pic:spPr>
                </pic:pic>
              </a:graphicData>
            </a:graphic>
          </wp:inline>
        </w:drawing>
      </w:r>
    </w:p>
    <w:p w14:paraId="51896BF7" w14:textId="77777777" w:rsidR="007F5F89" w:rsidRDefault="007F5F89" w:rsidP="00DB70E6"/>
    <w:p w14:paraId="1FFFC51D" w14:textId="77777777" w:rsidR="007F5F89" w:rsidRDefault="007F5F89" w:rsidP="00DB70E6">
      <w:pPr>
        <w:pStyle w:val="Figure"/>
      </w:pPr>
      <w:bookmarkStart w:id="39" w:name="_Toc27123897"/>
      <w:r w:rsidRPr="00106CE9">
        <w:lastRenderedPageBreak/>
        <w:t>Figure 10: Percentage of disability sector workers, by qualification level, February 2019</w:t>
      </w:r>
      <w:bookmarkEnd w:id="39"/>
    </w:p>
    <w:p w14:paraId="3239AFF8" w14:textId="77777777" w:rsidR="00866FD6" w:rsidRPr="00866FD6" w:rsidRDefault="00866FD6" w:rsidP="00866FD6">
      <w:r w:rsidRPr="00866FD6">
        <w:rPr>
          <w:noProof/>
          <w:lang w:eastAsia="en-NZ"/>
        </w:rPr>
        <w:drawing>
          <wp:inline distT="0" distB="0" distL="0" distR="0" wp14:anchorId="0FE43612" wp14:editId="40FB0750">
            <wp:extent cx="5130165" cy="3347762"/>
            <wp:effectExtent l="0" t="0" r="0" b="5080"/>
            <wp:docPr id="19" name="Picture 19" descr="This pie chart shows that in February 2019, 33% of disability workers had no qualification, 14% had a level 2 qualification, 26% had a level 3 qualification, and 27% had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130165" cy="3347762"/>
                    </a:xfrm>
                    <a:prstGeom prst="rect">
                      <a:avLst/>
                    </a:prstGeom>
                  </pic:spPr>
                </pic:pic>
              </a:graphicData>
            </a:graphic>
          </wp:inline>
        </w:drawing>
      </w:r>
    </w:p>
    <w:p w14:paraId="6A208D0A" w14:textId="77777777" w:rsidR="007F5F89" w:rsidRDefault="007F5F89" w:rsidP="00DB70E6"/>
    <w:p w14:paraId="7DCFB190" w14:textId="77777777" w:rsidR="007F5F89" w:rsidRPr="0093539D" w:rsidRDefault="007F5F89" w:rsidP="00DB70E6">
      <w:pPr>
        <w:pStyle w:val="Table"/>
      </w:pPr>
      <w:bookmarkStart w:id="40" w:name="_Toc27123911"/>
      <w:r w:rsidRPr="00106CE9">
        <w:t xml:space="preserve">Table 6: Number of </w:t>
      </w:r>
      <w:r>
        <w:t>disability sector workers,</w:t>
      </w:r>
      <w:r w:rsidRPr="00113C20">
        <w:t xml:space="preserve"> by qualification</w:t>
      </w:r>
      <w:r>
        <w:t xml:space="preserve"> level, 2017/18 and February 2019</w:t>
      </w:r>
      <w:bookmarkEnd w:id="40"/>
    </w:p>
    <w:tbl>
      <w:tblPr>
        <w:tblW w:w="8080" w:type="dxa"/>
        <w:tblInd w:w="57" w:type="dxa"/>
        <w:tblLayout w:type="fixed"/>
        <w:tblCellMar>
          <w:left w:w="57" w:type="dxa"/>
          <w:right w:w="57" w:type="dxa"/>
        </w:tblCellMar>
        <w:tblLook w:val="04A0" w:firstRow="1" w:lastRow="0" w:firstColumn="1" w:lastColumn="0" w:noHBand="0" w:noVBand="1"/>
      </w:tblPr>
      <w:tblGrid>
        <w:gridCol w:w="1991"/>
        <w:gridCol w:w="1217"/>
        <w:gridCol w:w="1218"/>
        <w:gridCol w:w="1218"/>
        <w:gridCol w:w="1218"/>
        <w:gridCol w:w="1218"/>
      </w:tblGrid>
      <w:tr w:rsidR="007F5F89" w:rsidRPr="005C2AB4" w14:paraId="4E7FDE24" w14:textId="77777777" w:rsidTr="005C2AB4">
        <w:trPr>
          <w:cantSplit/>
        </w:trPr>
        <w:tc>
          <w:tcPr>
            <w:tcW w:w="1991" w:type="dxa"/>
            <w:shd w:val="clear" w:color="auto" w:fill="D9D9D9" w:themeFill="background1" w:themeFillShade="D9"/>
          </w:tcPr>
          <w:p w14:paraId="23DBE7F6" w14:textId="77777777" w:rsidR="007F5F89" w:rsidRPr="005C2AB4" w:rsidRDefault="007F5F89" w:rsidP="005C2AB4">
            <w:pPr>
              <w:pStyle w:val="TableText"/>
              <w:rPr>
                <w:b/>
              </w:rPr>
            </w:pPr>
          </w:p>
        </w:tc>
        <w:tc>
          <w:tcPr>
            <w:tcW w:w="1217" w:type="dxa"/>
            <w:shd w:val="clear" w:color="auto" w:fill="D9D9D9" w:themeFill="background1" w:themeFillShade="D9"/>
          </w:tcPr>
          <w:p w14:paraId="465E8B94" w14:textId="77777777" w:rsidR="007F5F89" w:rsidRPr="005C2AB4" w:rsidRDefault="007F5F89" w:rsidP="005C2AB4">
            <w:pPr>
              <w:pStyle w:val="TableText"/>
              <w:jc w:val="center"/>
              <w:rPr>
                <w:b/>
              </w:rPr>
            </w:pPr>
            <w:r w:rsidRPr="005C2AB4">
              <w:rPr>
                <w:b/>
              </w:rPr>
              <w:t>Level 0</w:t>
            </w:r>
          </w:p>
        </w:tc>
        <w:tc>
          <w:tcPr>
            <w:tcW w:w="1218" w:type="dxa"/>
            <w:shd w:val="clear" w:color="auto" w:fill="D9D9D9" w:themeFill="background1" w:themeFillShade="D9"/>
          </w:tcPr>
          <w:p w14:paraId="341D83FC" w14:textId="77777777" w:rsidR="007F5F89" w:rsidRPr="005C2AB4" w:rsidRDefault="007F5F89" w:rsidP="005C2AB4">
            <w:pPr>
              <w:pStyle w:val="TableText"/>
              <w:jc w:val="center"/>
              <w:rPr>
                <w:b/>
              </w:rPr>
            </w:pPr>
            <w:r w:rsidRPr="005C2AB4">
              <w:rPr>
                <w:b/>
              </w:rPr>
              <w:t>Level 2</w:t>
            </w:r>
          </w:p>
        </w:tc>
        <w:tc>
          <w:tcPr>
            <w:tcW w:w="1218" w:type="dxa"/>
            <w:shd w:val="clear" w:color="auto" w:fill="D9D9D9" w:themeFill="background1" w:themeFillShade="D9"/>
          </w:tcPr>
          <w:p w14:paraId="6B5D1E81" w14:textId="77777777" w:rsidR="007F5F89" w:rsidRPr="005C2AB4" w:rsidRDefault="007F5F89" w:rsidP="005C2AB4">
            <w:pPr>
              <w:pStyle w:val="TableText"/>
              <w:jc w:val="center"/>
              <w:rPr>
                <w:b/>
              </w:rPr>
            </w:pPr>
            <w:r w:rsidRPr="005C2AB4">
              <w:rPr>
                <w:b/>
              </w:rPr>
              <w:t>Level 3</w:t>
            </w:r>
          </w:p>
        </w:tc>
        <w:tc>
          <w:tcPr>
            <w:tcW w:w="1218" w:type="dxa"/>
            <w:shd w:val="clear" w:color="auto" w:fill="D9D9D9" w:themeFill="background1" w:themeFillShade="D9"/>
          </w:tcPr>
          <w:p w14:paraId="6E683166" w14:textId="77777777" w:rsidR="007F5F89" w:rsidRPr="005C2AB4" w:rsidRDefault="007F5F89" w:rsidP="005C2AB4">
            <w:pPr>
              <w:pStyle w:val="TableText"/>
              <w:jc w:val="center"/>
              <w:rPr>
                <w:b/>
              </w:rPr>
            </w:pPr>
            <w:r w:rsidRPr="005C2AB4">
              <w:rPr>
                <w:b/>
              </w:rPr>
              <w:t>Level 4</w:t>
            </w:r>
          </w:p>
        </w:tc>
        <w:tc>
          <w:tcPr>
            <w:tcW w:w="1218" w:type="dxa"/>
            <w:shd w:val="clear" w:color="auto" w:fill="D9D9D9" w:themeFill="background1" w:themeFillShade="D9"/>
          </w:tcPr>
          <w:p w14:paraId="2E3BFDAF" w14:textId="77777777" w:rsidR="007F5F89" w:rsidRPr="005C2AB4" w:rsidRDefault="007F5F89" w:rsidP="005C2AB4">
            <w:pPr>
              <w:pStyle w:val="TableText"/>
              <w:jc w:val="center"/>
              <w:rPr>
                <w:b/>
              </w:rPr>
            </w:pPr>
            <w:r w:rsidRPr="005C2AB4">
              <w:rPr>
                <w:b/>
              </w:rPr>
              <w:t>Total</w:t>
            </w:r>
          </w:p>
        </w:tc>
      </w:tr>
      <w:tr w:rsidR="007F5F89" w:rsidRPr="001D0C30" w14:paraId="039D72EA" w14:textId="77777777" w:rsidTr="005C2AB4">
        <w:trPr>
          <w:cantSplit/>
        </w:trPr>
        <w:tc>
          <w:tcPr>
            <w:tcW w:w="1991" w:type="dxa"/>
            <w:tcBorders>
              <w:bottom w:val="single" w:sz="4" w:space="0" w:color="A6A6A6" w:themeColor="background1" w:themeShade="A6"/>
            </w:tcBorders>
          </w:tcPr>
          <w:p w14:paraId="1A79F46E" w14:textId="77777777" w:rsidR="007F5F89" w:rsidRPr="001D0C30" w:rsidRDefault="007F5F89" w:rsidP="005C2AB4">
            <w:pPr>
              <w:pStyle w:val="TableText"/>
            </w:pPr>
            <w:r w:rsidRPr="001D0C30">
              <w:t>2017/18 full</w:t>
            </w:r>
            <w:r>
              <w:t>-</w:t>
            </w:r>
            <w:r w:rsidRPr="001D0C30">
              <w:t xml:space="preserve">year </w:t>
            </w:r>
            <w:r>
              <w:t>data</w:t>
            </w:r>
          </w:p>
        </w:tc>
        <w:tc>
          <w:tcPr>
            <w:tcW w:w="1217" w:type="dxa"/>
            <w:tcBorders>
              <w:bottom w:val="single" w:sz="4" w:space="0" w:color="A6A6A6" w:themeColor="background1" w:themeShade="A6"/>
            </w:tcBorders>
          </w:tcPr>
          <w:p w14:paraId="53A2E246" w14:textId="77777777" w:rsidR="007F5F89" w:rsidRPr="001D0C30" w:rsidRDefault="007F5F89" w:rsidP="005C2AB4">
            <w:pPr>
              <w:pStyle w:val="TableText"/>
              <w:jc w:val="center"/>
            </w:pPr>
            <w:r w:rsidRPr="001D0C30">
              <w:t>1</w:t>
            </w:r>
            <w:r>
              <w:t>,</w:t>
            </w:r>
            <w:r w:rsidRPr="001D0C30">
              <w:t>628</w:t>
            </w:r>
          </w:p>
        </w:tc>
        <w:tc>
          <w:tcPr>
            <w:tcW w:w="1218" w:type="dxa"/>
            <w:tcBorders>
              <w:bottom w:val="single" w:sz="4" w:space="0" w:color="A6A6A6" w:themeColor="background1" w:themeShade="A6"/>
            </w:tcBorders>
          </w:tcPr>
          <w:p w14:paraId="2ACF67C1" w14:textId="77777777" w:rsidR="007F5F89" w:rsidRPr="001D0C30" w:rsidRDefault="007F5F89" w:rsidP="005C2AB4">
            <w:pPr>
              <w:pStyle w:val="TableText"/>
              <w:jc w:val="center"/>
            </w:pPr>
            <w:r w:rsidRPr="001D0C30">
              <w:t>406</w:t>
            </w:r>
          </w:p>
        </w:tc>
        <w:tc>
          <w:tcPr>
            <w:tcW w:w="1218" w:type="dxa"/>
            <w:tcBorders>
              <w:bottom w:val="single" w:sz="4" w:space="0" w:color="A6A6A6" w:themeColor="background1" w:themeShade="A6"/>
            </w:tcBorders>
          </w:tcPr>
          <w:p w14:paraId="71CC2629" w14:textId="77777777" w:rsidR="007F5F89" w:rsidRPr="001D0C30" w:rsidRDefault="007F5F89" w:rsidP="005C2AB4">
            <w:pPr>
              <w:pStyle w:val="TableText"/>
              <w:jc w:val="center"/>
            </w:pPr>
            <w:r w:rsidRPr="001D0C30">
              <w:t>899</w:t>
            </w:r>
          </w:p>
        </w:tc>
        <w:tc>
          <w:tcPr>
            <w:tcW w:w="1218" w:type="dxa"/>
            <w:tcBorders>
              <w:bottom w:val="single" w:sz="4" w:space="0" w:color="A6A6A6" w:themeColor="background1" w:themeShade="A6"/>
            </w:tcBorders>
          </w:tcPr>
          <w:p w14:paraId="3FE0E4F0" w14:textId="77777777" w:rsidR="007F5F89" w:rsidRPr="001D0C30" w:rsidRDefault="007F5F89" w:rsidP="005C2AB4">
            <w:pPr>
              <w:pStyle w:val="TableText"/>
              <w:jc w:val="center"/>
            </w:pPr>
            <w:r w:rsidRPr="001D0C30">
              <w:t>674</w:t>
            </w:r>
          </w:p>
        </w:tc>
        <w:tc>
          <w:tcPr>
            <w:tcW w:w="1218" w:type="dxa"/>
            <w:tcBorders>
              <w:bottom w:val="single" w:sz="4" w:space="0" w:color="A6A6A6" w:themeColor="background1" w:themeShade="A6"/>
            </w:tcBorders>
          </w:tcPr>
          <w:p w14:paraId="31BB9059" w14:textId="77777777" w:rsidR="007F5F89" w:rsidRPr="00316683" w:rsidRDefault="007F5F89" w:rsidP="005C2AB4">
            <w:pPr>
              <w:pStyle w:val="TableText"/>
              <w:jc w:val="center"/>
            </w:pPr>
            <w:r w:rsidRPr="00316683">
              <w:t>3,607</w:t>
            </w:r>
          </w:p>
        </w:tc>
      </w:tr>
      <w:tr w:rsidR="007F5F89" w:rsidRPr="001D0C30" w14:paraId="7C92B59F" w14:textId="77777777" w:rsidTr="005C2AB4">
        <w:trPr>
          <w:cantSplit/>
        </w:trPr>
        <w:tc>
          <w:tcPr>
            <w:tcW w:w="1991" w:type="dxa"/>
            <w:tcBorders>
              <w:top w:val="single" w:sz="4" w:space="0" w:color="A6A6A6" w:themeColor="background1" w:themeShade="A6"/>
              <w:bottom w:val="single" w:sz="4" w:space="0" w:color="A6A6A6" w:themeColor="background1" w:themeShade="A6"/>
            </w:tcBorders>
          </w:tcPr>
          <w:p w14:paraId="4A4E208C" w14:textId="77777777" w:rsidR="007F5F89" w:rsidRPr="001D0C30" w:rsidRDefault="007F5F89" w:rsidP="005C2AB4">
            <w:pPr>
              <w:pStyle w:val="TableText"/>
            </w:pPr>
            <w:r w:rsidRPr="001D0C30">
              <w:t>February 2019</w:t>
            </w:r>
          </w:p>
        </w:tc>
        <w:tc>
          <w:tcPr>
            <w:tcW w:w="1217" w:type="dxa"/>
            <w:tcBorders>
              <w:top w:val="single" w:sz="4" w:space="0" w:color="A6A6A6" w:themeColor="background1" w:themeShade="A6"/>
              <w:bottom w:val="single" w:sz="4" w:space="0" w:color="A6A6A6" w:themeColor="background1" w:themeShade="A6"/>
            </w:tcBorders>
          </w:tcPr>
          <w:p w14:paraId="324374C6" w14:textId="77777777" w:rsidR="007F5F89" w:rsidRPr="001D0C30" w:rsidRDefault="007F5F89" w:rsidP="005C2AB4">
            <w:pPr>
              <w:pStyle w:val="TableText"/>
              <w:jc w:val="center"/>
            </w:pPr>
            <w:r w:rsidRPr="001D0C30">
              <w:t>1</w:t>
            </w:r>
            <w:r>
              <w:t>,</w:t>
            </w:r>
            <w:r w:rsidRPr="001D0C30">
              <w:t>182</w:t>
            </w:r>
          </w:p>
        </w:tc>
        <w:tc>
          <w:tcPr>
            <w:tcW w:w="1218" w:type="dxa"/>
            <w:tcBorders>
              <w:top w:val="single" w:sz="4" w:space="0" w:color="A6A6A6" w:themeColor="background1" w:themeShade="A6"/>
              <w:bottom w:val="single" w:sz="4" w:space="0" w:color="A6A6A6" w:themeColor="background1" w:themeShade="A6"/>
            </w:tcBorders>
          </w:tcPr>
          <w:p w14:paraId="60E3A891" w14:textId="77777777" w:rsidR="007F5F89" w:rsidRPr="001D0C30" w:rsidRDefault="007F5F89" w:rsidP="005C2AB4">
            <w:pPr>
              <w:pStyle w:val="TableText"/>
              <w:jc w:val="center"/>
            </w:pPr>
            <w:r w:rsidRPr="001D0C30">
              <w:t>504</w:t>
            </w:r>
          </w:p>
        </w:tc>
        <w:tc>
          <w:tcPr>
            <w:tcW w:w="1218" w:type="dxa"/>
            <w:tcBorders>
              <w:top w:val="single" w:sz="4" w:space="0" w:color="A6A6A6" w:themeColor="background1" w:themeShade="A6"/>
              <w:bottom w:val="single" w:sz="4" w:space="0" w:color="A6A6A6" w:themeColor="background1" w:themeShade="A6"/>
            </w:tcBorders>
          </w:tcPr>
          <w:p w14:paraId="18C6BE4F" w14:textId="77777777" w:rsidR="007F5F89" w:rsidRPr="001D0C30" w:rsidRDefault="007F5F89" w:rsidP="005C2AB4">
            <w:pPr>
              <w:pStyle w:val="TableText"/>
              <w:jc w:val="center"/>
            </w:pPr>
            <w:r w:rsidRPr="001D0C30">
              <w:t>936</w:t>
            </w:r>
          </w:p>
        </w:tc>
        <w:tc>
          <w:tcPr>
            <w:tcW w:w="1218" w:type="dxa"/>
            <w:tcBorders>
              <w:top w:val="single" w:sz="4" w:space="0" w:color="A6A6A6" w:themeColor="background1" w:themeShade="A6"/>
              <w:bottom w:val="single" w:sz="4" w:space="0" w:color="A6A6A6" w:themeColor="background1" w:themeShade="A6"/>
            </w:tcBorders>
          </w:tcPr>
          <w:p w14:paraId="1B7FAB4D" w14:textId="77777777" w:rsidR="007F5F89" w:rsidRPr="001D0C30" w:rsidRDefault="007F5F89" w:rsidP="005C2AB4">
            <w:pPr>
              <w:pStyle w:val="TableText"/>
              <w:jc w:val="center"/>
            </w:pPr>
            <w:r w:rsidRPr="001D0C30">
              <w:t>985</w:t>
            </w:r>
          </w:p>
        </w:tc>
        <w:tc>
          <w:tcPr>
            <w:tcW w:w="1218" w:type="dxa"/>
            <w:tcBorders>
              <w:top w:val="single" w:sz="4" w:space="0" w:color="A6A6A6" w:themeColor="background1" w:themeShade="A6"/>
              <w:bottom w:val="single" w:sz="4" w:space="0" w:color="A6A6A6" w:themeColor="background1" w:themeShade="A6"/>
            </w:tcBorders>
          </w:tcPr>
          <w:p w14:paraId="0BDB7135" w14:textId="77777777" w:rsidR="007F5F89" w:rsidRPr="00316683" w:rsidRDefault="007F5F89" w:rsidP="005C2AB4">
            <w:pPr>
              <w:pStyle w:val="TableText"/>
              <w:jc w:val="center"/>
            </w:pPr>
            <w:r w:rsidRPr="00316683">
              <w:t>3,607</w:t>
            </w:r>
          </w:p>
        </w:tc>
      </w:tr>
    </w:tbl>
    <w:p w14:paraId="234E9DE2" w14:textId="77777777" w:rsidR="007F5F89" w:rsidRDefault="007F5F89" w:rsidP="005C2AB4"/>
    <w:p w14:paraId="1A0BAA2A" w14:textId="77777777" w:rsidR="007F5F89" w:rsidRDefault="007F5F89" w:rsidP="00DB70E6">
      <w:pPr>
        <w:pStyle w:val="Figure"/>
      </w:pPr>
      <w:bookmarkStart w:id="41" w:name="_Toc27123898"/>
      <w:r w:rsidRPr="00106CE9">
        <w:lastRenderedPageBreak/>
        <w:t>Figure 11: Percentage of disability sector worked hours, by qualification level, 2017/18</w:t>
      </w:r>
      <w:bookmarkEnd w:id="41"/>
    </w:p>
    <w:p w14:paraId="4C8BD68A" w14:textId="77777777" w:rsidR="00866FD6" w:rsidRPr="00866FD6" w:rsidRDefault="00866FD6" w:rsidP="00866FD6">
      <w:r w:rsidRPr="00866FD6">
        <w:rPr>
          <w:noProof/>
          <w:lang w:eastAsia="en-NZ"/>
        </w:rPr>
        <w:drawing>
          <wp:inline distT="0" distB="0" distL="0" distR="0" wp14:anchorId="7954596E" wp14:editId="33F7DB34">
            <wp:extent cx="5130165" cy="3347762"/>
            <wp:effectExtent l="0" t="0" r="0" b="5080"/>
            <wp:docPr id="20" name="Picture 20" descr="This pie chart shows that in 2017/18, 42% of disability hours were worked by someone with no qualification, 12% by someone with a level 2 qualification, 28% by someone with a level 3 qualification, and 18% by someone with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130165" cy="3347762"/>
                    </a:xfrm>
                    <a:prstGeom prst="rect">
                      <a:avLst/>
                    </a:prstGeom>
                  </pic:spPr>
                </pic:pic>
              </a:graphicData>
            </a:graphic>
          </wp:inline>
        </w:drawing>
      </w:r>
    </w:p>
    <w:p w14:paraId="2BB23856" w14:textId="77777777" w:rsidR="007F5F89" w:rsidRDefault="007F5F89" w:rsidP="00DB70E6"/>
    <w:p w14:paraId="6F280AAA" w14:textId="77777777" w:rsidR="007F5F89" w:rsidRDefault="007F5F89" w:rsidP="00DB70E6">
      <w:pPr>
        <w:pStyle w:val="Figure"/>
      </w:pPr>
      <w:bookmarkStart w:id="42" w:name="_Toc27123899"/>
      <w:r w:rsidRPr="00106CE9">
        <w:t>Figure 12: Percentage of disability sector worked hours, by qualification level, February 2019</w:t>
      </w:r>
      <w:bookmarkEnd w:id="42"/>
    </w:p>
    <w:p w14:paraId="6E2E0A46" w14:textId="77777777" w:rsidR="00866FD6" w:rsidRPr="00866FD6" w:rsidRDefault="00866FD6" w:rsidP="00866FD6">
      <w:r w:rsidRPr="00866FD6">
        <w:rPr>
          <w:noProof/>
          <w:lang w:eastAsia="en-NZ"/>
        </w:rPr>
        <w:drawing>
          <wp:inline distT="0" distB="0" distL="0" distR="0" wp14:anchorId="46A138AD" wp14:editId="32081612">
            <wp:extent cx="5130165" cy="3347762"/>
            <wp:effectExtent l="0" t="0" r="0" b="5080"/>
            <wp:docPr id="21" name="Picture 21" descr="This pie chart shows that in February 2019, 31% of hours were worked by someone with no qualification, 14% by someone with a level 2 qualification, 27% by someone with a level 3 qualification, and 28% by someone with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130165" cy="3347762"/>
                    </a:xfrm>
                    <a:prstGeom prst="rect">
                      <a:avLst/>
                    </a:prstGeom>
                  </pic:spPr>
                </pic:pic>
              </a:graphicData>
            </a:graphic>
          </wp:inline>
        </w:drawing>
      </w:r>
    </w:p>
    <w:p w14:paraId="774D1CA2" w14:textId="77777777" w:rsidR="007F5F89" w:rsidRDefault="007F5F89" w:rsidP="00DB70E6"/>
    <w:p w14:paraId="645060C5" w14:textId="77777777" w:rsidR="007F5F89" w:rsidRPr="0093539D" w:rsidRDefault="007F5F89" w:rsidP="00DB70E6">
      <w:pPr>
        <w:pStyle w:val="Table"/>
      </w:pPr>
      <w:bookmarkStart w:id="43" w:name="_Toc27123912"/>
      <w:r w:rsidRPr="00106CE9">
        <w:lastRenderedPageBreak/>
        <w:t xml:space="preserve">Table 7: Number of </w:t>
      </w:r>
      <w:r>
        <w:t>disability sector worked hours,</w:t>
      </w:r>
      <w:r w:rsidRPr="00113C20">
        <w:t xml:space="preserve"> by qualification</w:t>
      </w:r>
      <w:r>
        <w:t xml:space="preserve"> level, 2017/18 and February 2019</w:t>
      </w:r>
      <w:bookmarkEnd w:id="43"/>
    </w:p>
    <w:tbl>
      <w:tblPr>
        <w:tblW w:w="8295" w:type="dxa"/>
        <w:tblInd w:w="57" w:type="dxa"/>
        <w:tblLayout w:type="fixed"/>
        <w:tblCellMar>
          <w:left w:w="57" w:type="dxa"/>
          <w:right w:w="57" w:type="dxa"/>
        </w:tblCellMar>
        <w:tblLook w:val="04A0" w:firstRow="1" w:lastRow="0" w:firstColumn="1" w:lastColumn="0" w:noHBand="0" w:noVBand="1"/>
      </w:tblPr>
      <w:tblGrid>
        <w:gridCol w:w="2127"/>
        <w:gridCol w:w="1233"/>
        <w:gridCol w:w="1234"/>
        <w:gridCol w:w="1233"/>
        <w:gridCol w:w="1234"/>
        <w:gridCol w:w="1234"/>
      </w:tblGrid>
      <w:tr w:rsidR="007F5F89" w:rsidRPr="00955838" w14:paraId="5F3FF837" w14:textId="77777777" w:rsidTr="00955838">
        <w:trPr>
          <w:cantSplit/>
        </w:trPr>
        <w:tc>
          <w:tcPr>
            <w:tcW w:w="2127" w:type="dxa"/>
            <w:shd w:val="clear" w:color="auto" w:fill="D9D9D9" w:themeFill="background1" w:themeFillShade="D9"/>
          </w:tcPr>
          <w:p w14:paraId="7A9D5163" w14:textId="77777777" w:rsidR="007F5F89" w:rsidRPr="00955838" w:rsidRDefault="007F5F89" w:rsidP="00866FD6">
            <w:pPr>
              <w:pStyle w:val="TableText"/>
              <w:keepNext/>
              <w:rPr>
                <w:b/>
              </w:rPr>
            </w:pPr>
          </w:p>
        </w:tc>
        <w:tc>
          <w:tcPr>
            <w:tcW w:w="1233" w:type="dxa"/>
            <w:shd w:val="clear" w:color="auto" w:fill="D9D9D9" w:themeFill="background1" w:themeFillShade="D9"/>
          </w:tcPr>
          <w:p w14:paraId="00482B6B" w14:textId="77777777" w:rsidR="007F5F89" w:rsidRPr="00955838" w:rsidRDefault="007F5F89" w:rsidP="00866FD6">
            <w:pPr>
              <w:pStyle w:val="TableText"/>
              <w:keepNext/>
              <w:jc w:val="center"/>
              <w:rPr>
                <w:b/>
              </w:rPr>
            </w:pPr>
            <w:r w:rsidRPr="00955838">
              <w:rPr>
                <w:b/>
              </w:rPr>
              <w:t>Level 0</w:t>
            </w:r>
          </w:p>
        </w:tc>
        <w:tc>
          <w:tcPr>
            <w:tcW w:w="1234" w:type="dxa"/>
            <w:shd w:val="clear" w:color="auto" w:fill="D9D9D9" w:themeFill="background1" w:themeFillShade="D9"/>
          </w:tcPr>
          <w:p w14:paraId="6BB66370" w14:textId="77777777" w:rsidR="007F5F89" w:rsidRPr="00955838" w:rsidRDefault="007F5F89" w:rsidP="00866FD6">
            <w:pPr>
              <w:pStyle w:val="TableText"/>
              <w:keepNext/>
              <w:jc w:val="center"/>
              <w:rPr>
                <w:b/>
              </w:rPr>
            </w:pPr>
            <w:r w:rsidRPr="00955838">
              <w:rPr>
                <w:b/>
              </w:rPr>
              <w:t>Level 2</w:t>
            </w:r>
          </w:p>
        </w:tc>
        <w:tc>
          <w:tcPr>
            <w:tcW w:w="1233" w:type="dxa"/>
            <w:shd w:val="clear" w:color="auto" w:fill="D9D9D9" w:themeFill="background1" w:themeFillShade="D9"/>
          </w:tcPr>
          <w:p w14:paraId="4F11A90A" w14:textId="77777777" w:rsidR="007F5F89" w:rsidRPr="00955838" w:rsidRDefault="007F5F89" w:rsidP="00866FD6">
            <w:pPr>
              <w:pStyle w:val="TableText"/>
              <w:keepNext/>
              <w:jc w:val="center"/>
              <w:rPr>
                <w:b/>
              </w:rPr>
            </w:pPr>
            <w:r w:rsidRPr="00955838">
              <w:rPr>
                <w:b/>
              </w:rPr>
              <w:t>Level 3</w:t>
            </w:r>
          </w:p>
        </w:tc>
        <w:tc>
          <w:tcPr>
            <w:tcW w:w="1234" w:type="dxa"/>
            <w:shd w:val="clear" w:color="auto" w:fill="D9D9D9" w:themeFill="background1" w:themeFillShade="D9"/>
          </w:tcPr>
          <w:p w14:paraId="738EB554" w14:textId="77777777" w:rsidR="007F5F89" w:rsidRPr="00955838" w:rsidRDefault="007F5F89" w:rsidP="00866FD6">
            <w:pPr>
              <w:pStyle w:val="TableText"/>
              <w:keepNext/>
              <w:jc w:val="center"/>
              <w:rPr>
                <w:b/>
              </w:rPr>
            </w:pPr>
            <w:r w:rsidRPr="00955838">
              <w:rPr>
                <w:b/>
              </w:rPr>
              <w:t>Level 4</w:t>
            </w:r>
          </w:p>
        </w:tc>
        <w:tc>
          <w:tcPr>
            <w:tcW w:w="1234" w:type="dxa"/>
            <w:shd w:val="clear" w:color="auto" w:fill="D9D9D9" w:themeFill="background1" w:themeFillShade="D9"/>
          </w:tcPr>
          <w:p w14:paraId="44CF4968" w14:textId="77777777" w:rsidR="007F5F89" w:rsidRPr="00955838" w:rsidRDefault="007F5F89" w:rsidP="00866FD6">
            <w:pPr>
              <w:pStyle w:val="TableText"/>
              <w:keepNext/>
              <w:jc w:val="center"/>
              <w:rPr>
                <w:b/>
              </w:rPr>
            </w:pPr>
            <w:r w:rsidRPr="00955838">
              <w:rPr>
                <w:b/>
              </w:rPr>
              <w:t>Total</w:t>
            </w:r>
          </w:p>
        </w:tc>
      </w:tr>
      <w:tr w:rsidR="007F5F89" w:rsidRPr="001D0C30" w14:paraId="401CBBC2" w14:textId="77777777" w:rsidTr="00955838">
        <w:trPr>
          <w:cantSplit/>
        </w:trPr>
        <w:tc>
          <w:tcPr>
            <w:tcW w:w="2127" w:type="dxa"/>
            <w:tcBorders>
              <w:bottom w:val="single" w:sz="4" w:space="0" w:color="A6A6A6" w:themeColor="background1" w:themeShade="A6"/>
            </w:tcBorders>
          </w:tcPr>
          <w:p w14:paraId="3422433A" w14:textId="77777777" w:rsidR="007F5F89" w:rsidRPr="001D0C30" w:rsidRDefault="007F5F89" w:rsidP="00866FD6">
            <w:pPr>
              <w:pStyle w:val="TableText"/>
              <w:keepNext/>
            </w:pPr>
            <w:r w:rsidRPr="001D0C30">
              <w:t>2017/18 full</w:t>
            </w:r>
            <w:r>
              <w:t>-</w:t>
            </w:r>
            <w:r w:rsidRPr="001D0C30">
              <w:t xml:space="preserve">year </w:t>
            </w:r>
            <w:r>
              <w:t>data</w:t>
            </w:r>
            <w:r w:rsidRPr="001D0C30">
              <w:t>*</w:t>
            </w:r>
          </w:p>
        </w:tc>
        <w:tc>
          <w:tcPr>
            <w:tcW w:w="1233" w:type="dxa"/>
            <w:tcBorders>
              <w:bottom w:val="single" w:sz="4" w:space="0" w:color="A6A6A6" w:themeColor="background1" w:themeShade="A6"/>
            </w:tcBorders>
          </w:tcPr>
          <w:p w14:paraId="2179DB78" w14:textId="77777777" w:rsidR="007F5F89" w:rsidRPr="001D0C30" w:rsidRDefault="007F5F89" w:rsidP="00866FD6">
            <w:pPr>
              <w:pStyle w:val="TableText"/>
              <w:keepNext/>
              <w:tabs>
                <w:tab w:val="decimal" w:pos="935"/>
              </w:tabs>
            </w:pPr>
            <w:r w:rsidRPr="001D0C30">
              <w:t>1,876,159</w:t>
            </w:r>
          </w:p>
        </w:tc>
        <w:tc>
          <w:tcPr>
            <w:tcW w:w="1234" w:type="dxa"/>
            <w:tcBorders>
              <w:bottom w:val="single" w:sz="4" w:space="0" w:color="A6A6A6" w:themeColor="background1" w:themeShade="A6"/>
            </w:tcBorders>
          </w:tcPr>
          <w:p w14:paraId="5AE54470" w14:textId="77777777" w:rsidR="007F5F89" w:rsidRPr="001D0C30" w:rsidRDefault="007F5F89" w:rsidP="00866FD6">
            <w:pPr>
              <w:pStyle w:val="TableText"/>
              <w:keepNext/>
              <w:tabs>
                <w:tab w:val="decimal" w:pos="935"/>
              </w:tabs>
            </w:pPr>
            <w:r w:rsidRPr="001D0C30">
              <w:t>542,108</w:t>
            </w:r>
          </w:p>
        </w:tc>
        <w:tc>
          <w:tcPr>
            <w:tcW w:w="1233" w:type="dxa"/>
            <w:tcBorders>
              <w:bottom w:val="single" w:sz="4" w:space="0" w:color="A6A6A6" w:themeColor="background1" w:themeShade="A6"/>
            </w:tcBorders>
          </w:tcPr>
          <w:p w14:paraId="287F5F38" w14:textId="77777777" w:rsidR="007F5F89" w:rsidRPr="001D0C30" w:rsidRDefault="007F5F89" w:rsidP="00866FD6">
            <w:pPr>
              <w:pStyle w:val="TableText"/>
              <w:keepNext/>
              <w:tabs>
                <w:tab w:val="decimal" w:pos="935"/>
              </w:tabs>
            </w:pPr>
            <w:r w:rsidRPr="001D0C30">
              <w:t>1,240,612</w:t>
            </w:r>
          </w:p>
        </w:tc>
        <w:tc>
          <w:tcPr>
            <w:tcW w:w="1234" w:type="dxa"/>
            <w:tcBorders>
              <w:bottom w:val="single" w:sz="4" w:space="0" w:color="A6A6A6" w:themeColor="background1" w:themeShade="A6"/>
            </w:tcBorders>
          </w:tcPr>
          <w:p w14:paraId="3974BBB7" w14:textId="77777777" w:rsidR="007F5F89" w:rsidRPr="001D0C30" w:rsidRDefault="007F5F89" w:rsidP="00866FD6">
            <w:pPr>
              <w:pStyle w:val="TableText"/>
              <w:keepNext/>
              <w:tabs>
                <w:tab w:val="decimal" w:pos="935"/>
              </w:tabs>
            </w:pPr>
            <w:r w:rsidRPr="001D0C30">
              <w:t>820,610</w:t>
            </w:r>
          </w:p>
        </w:tc>
        <w:tc>
          <w:tcPr>
            <w:tcW w:w="1234" w:type="dxa"/>
            <w:tcBorders>
              <w:bottom w:val="single" w:sz="4" w:space="0" w:color="A6A6A6" w:themeColor="background1" w:themeShade="A6"/>
            </w:tcBorders>
          </w:tcPr>
          <w:p w14:paraId="4E522330" w14:textId="77777777" w:rsidR="007F5F89" w:rsidRPr="00316683" w:rsidRDefault="007F5F89" w:rsidP="00866FD6">
            <w:pPr>
              <w:pStyle w:val="TableText"/>
              <w:keepNext/>
              <w:tabs>
                <w:tab w:val="decimal" w:pos="935"/>
              </w:tabs>
            </w:pPr>
            <w:r w:rsidRPr="00316683">
              <w:t>4,479,490</w:t>
            </w:r>
          </w:p>
        </w:tc>
      </w:tr>
      <w:tr w:rsidR="007F5F89" w:rsidRPr="001D0C30" w14:paraId="7C6C41EB" w14:textId="77777777" w:rsidTr="00955838">
        <w:trPr>
          <w:cantSplit/>
        </w:trPr>
        <w:tc>
          <w:tcPr>
            <w:tcW w:w="2127" w:type="dxa"/>
            <w:tcBorders>
              <w:top w:val="single" w:sz="4" w:space="0" w:color="A6A6A6" w:themeColor="background1" w:themeShade="A6"/>
              <w:bottom w:val="single" w:sz="4" w:space="0" w:color="A6A6A6" w:themeColor="background1" w:themeShade="A6"/>
            </w:tcBorders>
          </w:tcPr>
          <w:p w14:paraId="295BDAB8" w14:textId="77777777" w:rsidR="007F5F89" w:rsidRPr="001D0C30" w:rsidRDefault="007F5F89" w:rsidP="00955838">
            <w:pPr>
              <w:pStyle w:val="TableText"/>
            </w:pPr>
            <w:r w:rsidRPr="001D0C30">
              <w:t>February 2019**</w:t>
            </w:r>
          </w:p>
        </w:tc>
        <w:tc>
          <w:tcPr>
            <w:tcW w:w="1233" w:type="dxa"/>
            <w:tcBorders>
              <w:top w:val="single" w:sz="4" w:space="0" w:color="A6A6A6" w:themeColor="background1" w:themeShade="A6"/>
              <w:bottom w:val="single" w:sz="4" w:space="0" w:color="A6A6A6" w:themeColor="background1" w:themeShade="A6"/>
            </w:tcBorders>
          </w:tcPr>
          <w:p w14:paraId="43E28522" w14:textId="77777777" w:rsidR="007F5F89" w:rsidRPr="001D0C30" w:rsidRDefault="007F5F89" w:rsidP="00955838">
            <w:pPr>
              <w:pStyle w:val="TableText"/>
              <w:tabs>
                <w:tab w:val="decimal" w:pos="935"/>
              </w:tabs>
            </w:pPr>
            <w:r w:rsidRPr="001D0C30">
              <w:t>64,820</w:t>
            </w:r>
          </w:p>
        </w:tc>
        <w:tc>
          <w:tcPr>
            <w:tcW w:w="1234" w:type="dxa"/>
            <w:tcBorders>
              <w:top w:val="single" w:sz="4" w:space="0" w:color="A6A6A6" w:themeColor="background1" w:themeShade="A6"/>
              <w:bottom w:val="single" w:sz="4" w:space="0" w:color="A6A6A6" w:themeColor="background1" w:themeShade="A6"/>
            </w:tcBorders>
          </w:tcPr>
          <w:p w14:paraId="641A3D58" w14:textId="77777777" w:rsidR="007F5F89" w:rsidRPr="001D0C30" w:rsidRDefault="007F5F89" w:rsidP="00955838">
            <w:pPr>
              <w:pStyle w:val="TableText"/>
              <w:tabs>
                <w:tab w:val="decimal" w:pos="935"/>
              </w:tabs>
            </w:pPr>
            <w:r w:rsidRPr="001D0C30">
              <w:t>30,039</w:t>
            </w:r>
          </w:p>
        </w:tc>
        <w:tc>
          <w:tcPr>
            <w:tcW w:w="1233" w:type="dxa"/>
            <w:tcBorders>
              <w:top w:val="single" w:sz="4" w:space="0" w:color="A6A6A6" w:themeColor="background1" w:themeShade="A6"/>
              <w:bottom w:val="single" w:sz="4" w:space="0" w:color="A6A6A6" w:themeColor="background1" w:themeShade="A6"/>
            </w:tcBorders>
          </w:tcPr>
          <w:p w14:paraId="5DB04A8F" w14:textId="77777777" w:rsidR="007F5F89" w:rsidRPr="001D0C30" w:rsidRDefault="007F5F89" w:rsidP="00955838">
            <w:pPr>
              <w:pStyle w:val="TableText"/>
              <w:tabs>
                <w:tab w:val="decimal" w:pos="935"/>
              </w:tabs>
            </w:pPr>
            <w:r w:rsidRPr="001D0C30">
              <w:t>56,423</w:t>
            </w:r>
          </w:p>
        </w:tc>
        <w:tc>
          <w:tcPr>
            <w:tcW w:w="1234" w:type="dxa"/>
            <w:tcBorders>
              <w:top w:val="single" w:sz="4" w:space="0" w:color="A6A6A6" w:themeColor="background1" w:themeShade="A6"/>
              <w:bottom w:val="single" w:sz="4" w:space="0" w:color="A6A6A6" w:themeColor="background1" w:themeShade="A6"/>
            </w:tcBorders>
          </w:tcPr>
          <w:p w14:paraId="4F2937E0" w14:textId="77777777" w:rsidR="007F5F89" w:rsidRPr="001D0C30" w:rsidRDefault="007F5F89" w:rsidP="00955838">
            <w:pPr>
              <w:pStyle w:val="TableText"/>
              <w:tabs>
                <w:tab w:val="decimal" w:pos="935"/>
              </w:tabs>
            </w:pPr>
            <w:r w:rsidRPr="001D0C30">
              <w:t>60,541</w:t>
            </w:r>
          </w:p>
        </w:tc>
        <w:tc>
          <w:tcPr>
            <w:tcW w:w="1234" w:type="dxa"/>
            <w:tcBorders>
              <w:top w:val="single" w:sz="4" w:space="0" w:color="A6A6A6" w:themeColor="background1" w:themeShade="A6"/>
              <w:bottom w:val="single" w:sz="4" w:space="0" w:color="A6A6A6" w:themeColor="background1" w:themeShade="A6"/>
            </w:tcBorders>
          </w:tcPr>
          <w:p w14:paraId="7B5163BD" w14:textId="77777777" w:rsidR="007F5F89" w:rsidRPr="00316683" w:rsidRDefault="007F5F89" w:rsidP="00955838">
            <w:pPr>
              <w:pStyle w:val="TableText"/>
              <w:tabs>
                <w:tab w:val="decimal" w:pos="935"/>
              </w:tabs>
            </w:pPr>
            <w:r w:rsidRPr="00316683">
              <w:t>211,823</w:t>
            </w:r>
          </w:p>
        </w:tc>
      </w:tr>
    </w:tbl>
    <w:p w14:paraId="6029C2BD" w14:textId="77777777" w:rsidR="00DB70E6" w:rsidRDefault="007F5F89" w:rsidP="00DB70E6">
      <w:pPr>
        <w:pStyle w:val="Note"/>
      </w:pPr>
      <w:r w:rsidRPr="001D0C30">
        <w:t>*</w:t>
      </w:r>
      <w:r w:rsidR="00DB70E6">
        <w:tab/>
      </w:r>
      <w:r w:rsidRPr="001D0C30">
        <w:t xml:space="preserve">The </w:t>
      </w:r>
      <w:r>
        <w:t>worked</w:t>
      </w:r>
      <w:r w:rsidRPr="001D0C30">
        <w:t xml:space="preserve"> hours collected in the 2017/18 full</w:t>
      </w:r>
      <w:r>
        <w:t>-</w:t>
      </w:r>
      <w:r w:rsidRPr="001D0C30">
        <w:t xml:space="preserve">year data </w:t>
      </w:r>
      <w:r>
        <w:t xml:space="preserve">pertain to </w:t>
      </w:r>
      <w:r w:rsidRPr="001D0C30">
        <w:t>a full</w:t>
      </w:r>
      <w:r>
        <w:t>-</w:t>
      </w:r>
      <w:r w:rsidRPr="001D0C30">
        <w:t>year period</w:t>
      </w:r>
      <w:r>
        <w:t>:</w:t>
      </w:r>
      <w:r w:rsidRPr="001D0C30">
        <w:t xml:space="preserve"> 1 July 2017</w:t>
      </w:r>
      <w:r w:rsidRPr="004C7FFE">
        <w:t>–</w:t>
      </w:r>
      <w:r w:rsidRPr="001D0C30">
        <w:t>30</w:t>
      </w:r>
      <w:r w:rsidR="00DB70E6">
        <w:t> </w:t>
      </w:r>
      <w:r w:rsidRPr="001D0C30">
        <w:t>June 2018.</w:t>
      </w:r>
    </w:p>
    <w:p w14:paraId="3D20BBEE" w14:textId="77777777" w:rsidR="00776894" w:rsidRDefault="007F5F89" w:rsidP="00DB70E6">
      <w:pPr>
        <w:pStyle w:val="Note"/>
      </w:pPr>
      <w:r w:rsidRPr="001D0C30">
        <w:t>**</w:t>
      </w:r>
      <w:r w:rsidR="00DB70E6">
        <w:tab/>
      </w:r>
      <w:r w:rsidRPr="001D0C30">
        <w:t xml:space="preserve">The </w:t>
      </w:r>
      <w:r>
        <w:t xml:space="preserve">worked </w:t>
      </w:r>
      <w:r w:rsidRPr="001D0C30">
        <w:t xml:space="preserve">hours collected in the February 2019 data </w:t>
      </w:r>
      <w:r>
        <w:t xml:space="preserve">pertain to </w:t>
      </w:r>
      <w:r w:rsidRPr="001D0C30">
        <w:t>a fortnight period</w:t>
      </w:r>
      <w:r>
        <w:t>:</w:t>
      </w:r>
      <w:r w:rsidRPr="001D0C30">
        <w:t xml:space="preserve"> 28 January 2019</w:t>
      </w:r>
      <w:r w:rsidRPr="004C7FFE">
        <w:t>–</w:t>
      </w:r>
      <w:r w:rsidRPr="001D0C30">
        <w:t>24</w:t>
      </w:r>
      <w:r w:rsidR="00DB70E6">
        <w:t> </w:t>
      </w:r>
      <w:r w:rsidRPr="001D0C30">
        <w:t>February 2019.</w:t>
      </w:r>
    </w:p>
    <w:p w14:paraId="2BD66930" w14:textId="77777777" w:rsidR="00DB70E6" w:rsidRPr="00DB70E6" w:rsidRDefault="00DB70E6" w:rsidP="00DB70E6"/>
    <w:p w14:paraId="5B8E141A" w14:textId="77777777" w:rsidR="007F5F89" w:rsidRPr="001D0C30" w:rsidRDefault="007F5F89" w:rsidP="00DB70E6">
      <w:pPr>
        <w:pStyle w:val="Heading2"/>
        <w:keepNext w:val="0"/>
        <w:pageBreakBefore/>
        <w:numPr>
          <w:ilvl w:val="0"/>
          <w:numId w:val="0"/>
        </w:numPr>
        <w:spacing w:before="0"/>
      </w:pPr>
      <w:bookmarkStart w:id="44" w:name="_Toc27123886"/>
      <w:r w:rsidRPr="001D0C30">
        <w:lastRenderedPageBreak/>
        <w:t xml:space="preserve">Appendix </w:t>
      </w:r>
      <w:r w:rsidR="00DB70E6">
        <w:t>5</w:t>
      </w:r>
      <w:r w:rsidRPr="001D0C30">
        <w:t xml:space="preserve">: </w:t>
      </w:r>
      <w:r>
        <w:t>Mental health and addiction sector:</w:t>
      </w:r>
      <w:r w:rsidRPr="001D0C30">
        <w:t xml:space="preserve"> </w:t>
      </w:r>
      <w:r>
        <w:t>c</w:t>
      </w:r>
      <w:r w:rsidRPr="001D0C30">
        <w:t xml:space="preserve">omparison of </w:t>
      </w:r>
      <w:r>
        <w:t>q</w:t>
      </w:r>
      <w:r w:rsidRPr="001D0C30">
        <w:t>ualification</w:t>
      </w:r>
      <w:r>
        <w:t xml:space="preserve"> level</w:t>
      </w:r>
      <w:r w:rsidRPr="001D0C30">
        <w:t xml:space="preserve">s by </w:t>
      </w:r>
      <w:r>
        <w:t>n</w:t>
      </w:r>
      <w:r w:rsidRPr="001D0C30">
        <w:t xml:space="preserve">umber of </w:t>
      </w:r>
      <w:r>
        <w:t>w</w:t>
      </w:r>
      <w:r w:rsidRPr="001D0C30">
        <w:t xml:space="preserve">orkers </w:t>
      </w:r>
      <w:r>
        <w:t>and worked h</w:t>
      </w:r>
      <w:r w:rsidRPr="001D0C30">
        <w:t>ours</w:t>
      </w:r>
      <w:r w:rsidRPr="00DB70E6">
        <w:rPr>
          <w:rStyle w:val="FootnoteReference"/>
        </w:rPr>
        <w:footnoteReference w:id="11"/>
      </w:r>
      <w:bookmarkEnd w:id="44"/>
    </w:p>
    <w:p w14:paraId="74A61617" w14:textId="77777777" w:rsidR="007F5F89" w:rsidRDefault="007F5F89" w:rsidP="00DB70E6">
      <w:pPr>
        <w:pStyle w:val="Figure"/>
      </w:pPr>
      <w:bookmarkStart w:id="45" w:name="_Toc27123900"/>
      <w:r w:rsidRPr="00106CE9">
        <w:t>Figure 13: Percentage of mental health and addiction sector workers, by qualification level, 2017/18</w:t>
      </w:r>
      <w:bookmarkEnd w:id="45"/>
    </w:p>
    <w:p w14:paraId="22AA58BC" w14:textId="77777777" w:rsidR="00437C39" w:rsidRPr="00437C39" w:rsidRDefault="00437C39" w:rsidP="00437C39">
      <w:r w:rsidRPr="00437C39">
        <w:rPr>
          <w:noProof/>
          <w:lang w:eastAsia="en-NZ"/>
        </w:rPr>
        <w:drawing>
          <wp:inline distT="0" distB="0" distL="0" distR="0" wp14:anchorId="7B43867B" wp14:editId="688B03A2">
            <wp:extent cx="5130165" cy="3347762"/>
            <wp:effectExtent l="0" t="0" r="0" b="5080"/>
            <wp:docPr id="28" name="Picture 28" descr="This pie chart shows that in 2017/18, 32% of mental health and addiction workers had no qualification, 3% had a level 2 qualification, 5% had a level 3 qualification, and 60% had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130165" cy="3347762"/>
                    </a:xfrm>
                    <a:prstGeom prst="rect">
                      <a:avLst/>
                    </a:prstGeom>
                  </pic:spPr>
                </pic:pic>
              </a:graphicData>
            </a:graphic>
          </wp:inline>
        </w:drawing>
      </w:r>
    </w:p>
    <w:p w14:paraId="7C1AD8D1" w14:textId="77777777" w:rsidR="007F5F89" w:rsidRDefault="007F5F89" w:rsidP="00DB70E6"/>
    <w:p w14:paraId="2CFCD6CB" w14:textId="77777777" w:rsidR="007F5F89" w:rsidRDefault="007F5F89" w:rsidP="00DB70E6">
      <w:pPr>
        <w:pStyle w:val="Figure"/>
      </w:pPr>
      <w:bookmarkStart w:id="46" w:name="_Toc27123901"/>
      <w:r w:rsidRPr="00106CE9">
        <w:lastRenderedPageBreak/>
        <w:t>Figure 14: Percentage of mental health and addiction sector workers, by qualification level, February 2019</w:t>
      </w:r>
      <w:bookmarkEnd w:id="46"/>
    </w:p>
    <w:p w14:paraId="7AC8EFCD" w14:textId="77777777" w:rsidR="00437C39" w:rsidRPr="00437C39" w:rsidRDefault="00437C39" w:rsidP="00437C39">
      <w:r w:rsidRPr="00437C39">
        <w:rPr>
          <w:noProof/>
          <w:lang w:eastAsia="en-NZ"/>
        </w:rPr>
        <w:drawing>
          <wp:inline distT="0" distB="0" distL="0" distR="0" wp14:anchorId="38174DDF" wp14:editId="71132CB1">
            <wp:extent cx="5130165" cy="3347762"/>
            <wp:effectExtent l="0" t="0" r="0" b="5080"/>
            <wp:docPr id="38" name="Picture 38" descr="This pie chart shows that in February 2019, 25% of mental health and addiction workers had no qualification, 4% had a level 2 qualification, 5% had a level 3 qualification, and 66% had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130165" cy="3347762"/>
                    </a:xfrm>
                    <a:prstGeom prst="rect">
                      <a:avLst/>
                    </a:prstGeom>
                  </pic:spPr>
                </pic:pic>
              </a:graphicData>
            </a:graphic>
          </wp:inline>
        </w:drawing>
      </w:r>
    </w:p>
    <w:p w14:paraId="09A4854F" w14:textId="77777777" w:rsidR="007F5F89" w:rsidRDefault="007F5F89" w:rsidP="00DB70E6"/>
    <w:p w14:paraId="079AE8AA" w14:textId="77777777" w:rsidR="007F5F89" w:rsidRPr="0093539D" w:rsidRDefault="007F5F89" w:rsidP="00DB70E6">
      <w:pPr>
        <w:pStyle w:val="Table"/>
      </w:pPr>
      <w:bookmarkStart w:id="47" w:name="_Toc27123913"/>
      <w:r w:rsidRPr="00106CE9">
        <w:t>Table 8: Mental health and addiction</w:t>
      </w:r>
      <w:r w:rsidR="0087743C">
        <w:t xml:space="preserve"> </w:t>
      </w:r>
      <w:r>
        <w:t>sector workers,</w:t>
      </w:r>
      <w:r w:rsidRPr="00113C20">
        <w:t xml:space="preserve"> by qualification</w:t>
      </w:r>
      <w:r>
        <w:t xml:space="preserve"> level, 2017/18 and February 2019</w:t>
      </w:r>
      <w:bookmarkEnd w:id="47"/>
    </w:p>
    <w:tbl>
      <w:tblPr>
        <w:tblW w:w="0" w:type="auto"/>
        <w:tblInd w:w="57" w:type="dxa"/>
        <w:tblLayout w:type="fixed"/>
        <w:tblCellMar>
          <w:left w:w="57" w:type="dxa"/>
          <w:right w:w="57" w:type="dxa"/>
        </w:tblCellMar>
        <w:tblLook w:val="04A0" w:firstRow="1" w:lastRow="0" w:firstColumn="1" w:lastColumn="0" w:noHBand="0" w:noVBand="1"/>
      </w:tblPr>
      <w:tblGrid>
        <w:gridCol w:w="2078"/>
        <w:gridCol w:w="1200"/>
        <w:gridCol w:w="1200"/>
        <w:gridCol w:w="1201"/>
        <w:gridCol w:w="1200"/>
        <w:gridCol w:w="1201"/>
      </w:tblGrid>
      <w:tr w:rsidR="007F5F89" w:rsidRPr="00E007A4" w14:paraId="55CCACDE" w14:textId="77777777" w:rsidTr="00E007A4">
        <w:trPr>
          <w:cantSplit/>
        </w:trPr>
        <w:tc>
          <w:tcPr>
            <w:tcW w:w="2078" w:type="dxa"/>
            <w:shd w:val="clear" w:color="auto" w:fill="D9D9D9" w:themeFill="background1" w:themeFillShade="D9"/>
          </w:tcPr>
          <w:p w14:paraId="5CDC87BD" w14:textId="77777777" w:rsidR="007F5F89" w:rsidRPr="00E007A4" w:rsidRDefault="007F5F89" w:rsidP="00E007A4">
            <w:pPr>
              <w:pStyle w:val="TableText"/>
              <w:rPr>
                <w:b/>
              </w:rPr>
            </w:pPr>
          </w:p>
        </w:tc>
        <w:tc>
          <w:tcPr>
            <w:tcW w:w="1200" w:type="dxa"/>
            <w:shd w:val="clear" w:color="auto" w:fill="D9D9D9" w:themeFill="background1" w:themeFillShade="D9"/>
          </w:tcPr>
          <w:p w14:paraId="13505087" w14:textId="77777777" w:rsidR="007F5F89" w:rsidRPr="00E007A4" w:rsidRDefault="007F5F89" w:rsidP="00E007A4">
            <w:pPr>
              <w:pStyle w:val="TableText"/>
              <w:jc w:val="center"/>
              <w:rPr>
                <w:b/>
              </w:rPr>
            </w:pPr>
            <w:r w:rsidRPr="00E007A4">
              <w:rPr>
                <w:b/>
              </w:rPr>
              <w:t>Level 0</w:t>
            </w:r>
          </w:p>
        </w:tc>
        <w:tc>
          <w:tcPr>
            <w:tcW w:w="1200" w:type="dxa"/>
            <w:shd w:val="clear" w:color="auto" w:fill="D9D9D9" w:themeFill="background1" w:themeFillShade="D9"/>
          </w:tcPr>
          <w:p w14:paraId="0B2E0FFB" w14:textId="77777777" w:rsidR="007F5F89" w:rsidRPr="00E007A4" w:rsidRDefault="007F5F89" w:rsidP="00E007A4">
            <w:pPr>
              <w:pStyle w:val="TableText"/>
              <w:jc w:val="center"/>
              <w:rPr>
                <w:b/>
              </w:rPr>
            </w:pPr>
            <w:r w:rsidRPr="00E007A4">
              <w:rPr>
                <w:b/>
              </w:rPr>
              <w:t>Level 2</w:t>
            </w:r>
          </w:p>
        </w:tc>
        <w:tc>
          <w:tcPr>
            <w:tcW w:w="1201" w:type="dxa"/>
            <w:shd w:val="clear" w:color="auto" w:fill="D9D9D9" w:themeFill="background1" w:themeFillShade="D9"/>
          </w:tcPr>
          <w:p w14:paraId="0127C7DC" w14:textId="77777777" w:rsidR="007F5F89" w:rsidRPr="00E007A4" w:rsidRDefault="007F5F89" w:rsidP="00E007A4">
            <w:pPr>
              <w:pStyle w:val="TableText"/>
              <w:jc w:val="center"/>
              <w:rPr>
                <w:b/>
              </w:rPr>
            </w:pPr>
            <w:r w:rsidRPr="00E007A4">
              <w:rPr>
                <w:b/>
              </w:rPr>
              <w:t>Level 3</w:t>
            </w:r>
          </w:p>
        </w:tc>
        <w:tc>
          <w:tcPr>
            <w:tcW w:w="1200" w:type="dxa"/>
            <w:shd w:val="clear" w:color="auto" w:fill="D9D9D9" w:themeFill="background1" w:themeFillShade="D9"/>
          </w:tcPr>
          <w:p w14:paraId="6E2AF4D2" w14:textId="77777777" w:rsidR="007F5F89" w:rsidRPr="00E007A4" w:rsidRDefault="007F5F89" w:rsidP="00E007A4">
            <w:pPr>
              <w:pStyle w:val="TableText"/>
              <w:jc w:val="center"/>
              <w:rPr>
                <w:b/>
              </w:rPr>
            </w:pPr>
            <w:r w:rsidRPr="00E007A4">
              <w:rPr>
                <w:b/>
              </w:rPr>
              <w:t>Level 4</w:t>
            </w:r>
          </w:p>
        </w:tc>
        <w:tc>
          <w:tcPr>
            <w:tcW w:w="1201" w:type="dxa"/>
            <w:shd w:val="clear" w:color="auto" w:fill="D9D9D9" w:themeFill="background1" w:themeFillShade="D9"/>
          </w:tcPr>
          <w:p w14:paraId="00FF1B73" w14:textId="77777777" w:rsidR="007F5F89" w:rsidRPr="00E007A4" w:rsidRDefault="007F5F89" w:rsidP="00E007A4">
            <w:pPr>
              <w:pStyle w:val="TableText"/>
              <w:jc w:val="center"/>
              <w:rPr>
                <w:b/>
              </w:rPr>
            </w:pPr>
            <w:r w:rsidRPr="00E007A4">
              <w:rPr>
                <w:b/>
              </w:rPr>
              <w:t>Total</w:t>
            </w:r>
          </w:p>
        </w:tc>
      </w:tr>
      <w:tr w:rsidR="007F5F89" w:rsidRPr="001D0C30" w14:paraId="5ADDFE22" w14:textId="77777777" w:rsidTr="00E007A4">
        <w:trPr>
          <w:cantSplit/>
        </w:trPr>
        <w:tc>
          <w:tcPr>
            <w:tcW w:w="2078" w:type="dxa"/>
            <w:tcBorders>
              <w:bottom w:val="single" w:sz="4" w:space="0" w:color="A6A6A6" w:themeColor="background1" w:themeShade="A6"/>
            </w:tcBorders>
          </w:tcPr>
          <w:p w14:paraId="2810B34B" w14:textId="77777777" w:rsidR="007F5F89" w:rsidRPr="001D0C30" w:rsidRDefault="007F5F89" w:rsidP="00E007A4">
            <w:pPr>
              <w:pStyle w:val="TableText"/>
            </w:pPr>
            <w:r w:rsidRPr="001D0C30">
              <w:t>2017/18 full</w:t>
            </w:r>
            <w:r>
              <w:t>-</w:t>
            </w:r>
            <w:r w:rsidRPr="001D0C30">
              <w:t xml:space="preserve">year </w:t>
            </w:r>
            <w:r>
              <w:t>data</w:t>
            </w:r>
          </w:p>
        </w:tc>
        <w:tc>
          <w:tcPr>
            <w:tcW w:w="1200" w:type="dxa"/>
            <w:tcBorders>
              <w:bottom w:val="single" w:sz="4" w:space="0" w:color="A6A6A6" w:themeColor="background1" w:themeShade="A6"/>
            </w:tcBorders>
          </w:tcPr>
          <w:p w14:paraId="23BAFFBE" w14:textId="77777777" w:rsidR="007F5F89" w:rsidRPr="001D0C30" w:rsidRDefault="007F5F89" w:rsidP="00E007A4">
            <w:pPr>
              <w:pStyle w:val="TableText"/>
              <w:jc w:val="center"/>
            </w:pPr>
            <w:r w:rsidRPr="001D0C30">
              <w:t>897</w:t>
            </w:r>
          </w:p>
        </w:tc>
        <w:tc>
          <w:tcPr>
            <w:tcW w:w="1200" w:type="dxa"/>
            <w:tcBorders>
              <w:bottom w:val="single" w:sz="4" w:space="0" w:color="A6A6A6" w:themeColor="background1" w:themeShade="A6"/>
            </w:tcBorders>
          </w:tcPr>
          <w:p w14:paraId="57F1D80A" w14:textId="77777777" w:rsidR="007F5F89" w:rsidRPr="001D0C30" w:rsidRDefault="007F5F89" w:rsidP="00E007A4">
            <w:pPr>
              <w:pStyle w:val="TableText"/>
              <w:tabs>
                <w:tab w:val="decimal" w:pos="709"/>
              </w:tabs>
            </w:pPr>
            <w:r w:rsidRPr="001D0C30">
              <w:t>79</w:t>
            </w:r>
          </w:p>
        </w:tc>
        <w:tc>
          <w:tcPr>
            <w:tcW w:w="1201" w:type="dxa"/>
            <w:tcBorders>
              <w:bottom w:val="single" w:sz="4" w:space="0" w:color="A6A6A6" w:themeColor="background1" w:themeShade="A6"/>
            </w:tcBorders>
          </w:tcPr>
          <w:p w14:paraId="73F9E46D" w14:textId="77777777" w:rsidR="007F5F89" w:rsidRPr="001D0C30" w:rsidRDefault="007F5F89" w:rsidP="00E007A4">
            <w:pPr>
              <w:pStyle w:val="TableText"/>
              <w:jc w:val="center"/>
            </w:pPr>
            <w:r w:rsidRPr="001D0C30">
              <w:t>145</w:t>
            </w:r>
          </w:p>
        </w:tc>
        <w:tc>
          <w:tcPr>
            <w:tcW w:w="1200" w:type="dxa"/>
            <w:tcBorders>
              <w:bottom w:val="single" w:sz="4" w:space="0" w:color="A6A6A6" w:themeColor="background1" w:themeShade="A6"/>
            </w:tcBorders>
          </w:tcPr>
          <w:p w14:paraId="54BD1FE9" w14:textId="77777777" w:rsidR="007F5F89" w:rsidRPr="001D0C30" w:rsidRDefault="007F5F89" w:rsidP="00E007A4">
            <w:pPr>
              <w:pStyle w:val="TableText"/>
              <w:jc w:val="center"/>
            </w:pPr>
            <w:r w:rsidRPr="001D0C30">
              <w:t>1</w:t>
            </w:r>
            <w:r>
              <w:t>,</w:t>
            </w:r>
            <w:r w:rsidRPr="001D0C30">
              <w:t>651</w:t>
            </w:r>
          </w:p>
        </w:tc>
        <w:tc>
          <w:tcPr>
            <w:tcW w:w="1201" w:type="dxa"/>
            <w:tcBorders>
              <w:bottom w:val="single" w:sz="4" w:space="0" w:color="A6A6A6" w:themeColor="background1" w:themeShade="A6"/>
            </w:tcBorders>
          </w:tcPr>
          <w:p w14:paraId="767E004A" w14:textId="77777777" w:rsidR="007F5F89" w:rsidRPr="00316683" w:rsidRDefault="007F5F89" w:rsidP="00E007A4">
            <w:pPr>
              <w:pStyle w:val="TableText"/>
              <w:jc w:val="center"/>
            </w:pPr>
            <w:r w:rsidRPr="00316683">
              <w:t>2,772</w:t>
            </w:r>
          </w:p>
        </w:tc>
      </w:tr>
      <w:tr w:rsidR="007F5F89" w:rsidRPr="001D0C30" w14:paraId="3B0D6D20" w14:textId="77777777" w:rsidTr="00E007A4">
        <w:trPr>
          <w:cantSplit/>
        </w:trPr>
        <w:tc>
          <w:tcPr>
            <w:tcW w:w="2078" w:type="dxa"/>
            <w:tcBorders>
              <w:top w:val="single" w:sz="4" w:space="0" w:color="A6A6A6" w:themeColor="background1" w:themeShade="A6"/>
              <w:bottom w:val="single" w:sz="4" w:space="0" w:color="A6A6A6" w:themeColor="background1" w:themeShade="A6"/>
            </w:tcBorders>
          </w:tcPr>
          <w:p w14:paraId="116B43E2" w14:textId="77777777" w:rsidR="007F5F89" w:rsidRPr="001D0C30" w:rsidRDefault="007F5F89" w:rsidP="00E007A4">
            <w:pPr>
              <w:pStyle w:val="TableText"/>
            </w:pPr>
            <w:r w:rsidRPr="001D0C30">
              <w:t>February 2019</w:t>
            </w:r>
          </w:p>
        </w:tc>
        <w:tc>
          <w:tcPr>
            <w:tcW w:w="1200" w:type="dxa"/>
            <w:tcBorders>
              <w:top w:val="single" w:sz="4" w:space="0" w:color="A6A6A6" w:themeColor="background1" w:themeShade="A6"/>
              <w:bottom w:val="single" w:sz="4" w:space="0" w:color="A6A6A6" w:themeColor="background1" w:themeShade="A6"/>
            </w:tcBorders>
          </w:tcPr>
          <w:p w14:paraId="5B17ED4C" w14:textId="77777777" w:rsidR="007F5F89" w:rsidRPr="001D0C30" w:rsidRDefault="007F5F89" w:rsidP="00E007A4">
            <w:pPr>
              <w:pStyle w:val="TableText"/>
              <w:jc w:val="center"/>
            </w:pPr>
            <w:r w:rsidRPr="001D0C30">
              <w:t>700</w:t>
            </w:r>
          </w:p>
        </w:tc>
        <w:tc>
          <w:tcPr>
            <w:tcW w:w="1200" w:type="dxa"/>
            <w:tcBorders>
              <w:top w:val="single" w:sz="4" w:space="0" w:color="A6A6A6" w:themeColor="background1" w:themeShade="A6"/>
              <w:bottom w:val="single" w:sz="4" w:space="0" w:color="A6A6A6" w:themeColor="background1" w:themeShade="A6"/>
            </w:tcBorders>
          </w:tcPr>
          <w:p w14:paraId="3FF75F4A" w14:textId="77777777" w:rsidR="007F5F89" w:rsidRPr="001D0C30" w:rsidRDefault="007F5F89" w:rsidP="00E007A4">
            <w:pPr>
              <w:pStyle w:val="TableText"/>
              <w:tabs>
                <w:tab w:val="decimal" w:pos="709"/>
              </w:tabs>
            </w:pPr>
            <w:r w:rsidRPr="001D0C30">
              <w:t>117</w:t>
            </w:r>
          </w:p>
        </w:tc>
        <w:tc>
          <w:tcPr>
            <w:tcW w:w="1201" w:type="dxa"/>
            <w:tcBorders>
              <w:top w:val="single" w:sz="4" w:space="0" w:color="A6A6A6" w:themeColor="background1" w:themeShade="A6"/>
              <w:bottom w:val="single" w:sz="4" w:space="0" w:color="A6A6A6" w:themeColor="background1" w:themeShade="A6"/>
            </w:tcBorders>
          </w:tcPr>
          <w:p w14:paraId="100F7C31" w14:textId="77777777" w:rsidR="007F5F89" w:rsidRPr="001D0C30" w:rsidRDefault="007F5F89" w:rsidP="00E007A4">
            <w:pPr>
              <w:pStyle w:val="TableText"/>
              <w:jc w:val="center"/>
            </w:pPr>
            <w:r w:rsidRPr="001D0C30">
              <w:t>133</w:t>
            </w:r>
          </w:p>
        </w:tc>
        <w:tc>
          <w:tcPr>
            <w:tcW w:w="1200" w:type="dxa"/>
            <w:tcBorders>
              <w:top w:val="single" w:sz="4" w:space="0" w:color="A6A6A6" w:themeColor="background1" w:themeShade="A6"/>
              <w:bottom w:val="single" w:sz="4" w:space="0" w:color="A6A6A6" w:themeColor="background1" w:themeShade="A6"/>
            </w:tcBorders>
          </w:tcPr>
          <w:p w14:paraId="3D1C2344" w14:textId="77777777" w:rsidR="007F5F89" w:rsidRPr="001D0C30" w:rsidRDefault="007F5F89" w:rsidP="00E007A4">
            <w:pPr>
              <w:pStyle w:val="TableText"/>
              <w:jc w:val="center"/>
            </w:pPr>
            <w:r w:rsidRPr="001D0C30">
              <w:t>1</w:t>
            </w:r>
            <w:r>
              <w:t>,</w:t>
            </w:r>
            <w:r w:rsidRPr="001D0C30">
              <w:t>822</w:t>
            </w:r>
          </w:p>
        </w:tc>
        <w:tc>
          <w:tcPr>
            <w:tcW w:w="1201" w:type="dxa"/>
            <w:tcBorders>
              <w:top w:val="single" w:sz="4" w:space="0" w:color="A6A6A6" w:themeColor="background1" w:themeShade="A6"/>
              <w:bottom w:val="single" w:sz="4" w:space="0" w:color="A6A6A6" w:themeColor="background1" w:themeShade="A6"/>
            </w:tcBorders>
          </w:tcPr>
          <w:p w14:paraId="7B81BBC5" w14:textId="77777777" w:rsidR="007F5F89" w:rsidRPr="00316683" w:rsidRDefault="007F5F89" w:rsidP="00E007A4">
            <w:pPr>
              <w:pStyle w:val="TableText"/>
              <w:jc w:val="center"/>
            </w:pPr>
            <w:r w:rsidRPr="00316683">
              <w:t>2,772</w:t>
            </w:r>
          </w:p>
        </w:tc>
      </w:tr>
    </w:tbl>
    <w:p w14:paraId="0D204882" w14:textId="77777777" w:rsidR="007F5F89" w:rsidRDefault="007F5F89" w:rsidP="00E007A4"/>
    <w:p w14:paraId="2A8A5B93" w14:textId="77777777" w:rsidR="007F5F89" w:rsidRDefault="007F5F89" w:rsidP="00DB70E6">
      <w:pPr>
        <w:pStyle w:val="Figure"/>
      </w:pPr>
      <w:bookmarkStart w:id="48" w:name="_Toc27123902"/>
      <w:r w:rsidRPr="00106CE9">
        <w:lastRenderedPageBreak/>
        <w:t>Figure 15: Percentage of mental health and addiction sector worked hours, by qualification level, 2017/18</w:t>
      </w:r>
      <w:bookmarkEnd w:id="48"/>
    </w:p>
    <w:p w14:paraId="18E7E0A9" w14:textId="77777777" w:rsidR="00437C39" w:rsidRPr="00437C39" w:rsidRDefault="00437C39" w:rsidP="00437C39">
      <w:r w:rsidRPr="00437C39">
        <w:rPr>
          <w:noProof/>
          <w:lang w:eastAsia="en-NZ"/>
        </w:rPr>
        <w:drawing>
          <wp:inline distT="0" distB="0" distL="0" distR="0" wp14:anchorId="07A6637D" wp14:editId="15435627">
            <wp:extent cx="5130165" cy="3347762"/>
            <wp:effectExtent l="0" t="0" r="0" b="5080"/>
            <wp:docPr id="39" name="Picture 39" descr="This pie chart shows that in 2017/18, 26% of mental health and addiction hours were worked by someone with no qualification, 2% by someone with a level 2 qualification, 4% by someone with a level 3 qualification and 68% by someone with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130165" cy="3347762"/>
                    </a:xfrm>
                    <a:prstGeom prst="rect">
                      <a:avLst/>
                    </a:prstGeom>
                  </pic:spPr>
                </pic:pic>
              </a:graphicData>
            </a:graphic>
          </wp:inline>
        </w:drawing>
      </w:r>
    </w:p>
    <w:p w14:paraId="12A26719" w14:textId="77777777" w:rsidR="007F5F89" w:rsidRDefault="007F5F89" w:rsidP="00DB70E6"/>
    <w:p w14:paraId="7B59EA4B" w14:textId="77777777" w:rsidR="007F5F89" w:rsidRDefault="007F5F89" w:rsidP="00DB70E6">
      <w:pPr>
        <w:pStyle w:val="Figure"/>
      </w:pPr>
      <w:bookmarkStart w:id="49" w:name="_Toc27123903"/>
      <w:r w:rsidRPr="00106CE9">
        <w:t>Figure 16: Percentage of mental health and addiction sector worked hours, by qualification level, February 2019</w:t>
      </w:r>
      <w:bookmarkEnd w:id="49"/>
    </w:p>
    <w:p w14:paraId="437E32A3" w14:textId="77777777" w:rsidR="00437C39" w:rsidRPr="00437C39" w:rsidRDefault="00437C39" w:rsidP="00437C39">
      <w:r w:rsidRPr="00437C39">
        <w:rPr>
          <w:noProof/>
          <w:lang w:eastAsia="en-NZ"/>
        </w:rPr>
        <w:drawing>
          <wp:inline distT="0" distB="0" distL="0" distR="0" wp14:anchorId="534CE24B" wp14:editId="47924611">
            <wp:extent cx="5130165" cy="3347762"/>
            <wp:effectExtent l="0" t="0" r="0" b="5080"/>
            <wp:docPr id="40" name="Picture 40" descr="This pie chart shows that in February 2019, 23% of mental health and addiction hours were worked by someone with no qualification, 4% by someone with a level 2 qualification, 5% by someone with a level 3 qualification and 68% by someone with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130165" cy="3347762"/>
                    </a:xfrm>
                    <a:prstGeom prst="rect">
                      <a:avLst/>
                    </a:prstGeom>
                  </pic:spPr>
                </pic:pic>
              </a:graphicData>
            </a:graphic>
          </wp:inline>
        </w:drawing>
      </w:r>
    </w:p>
    <w:p w14:paraId="5B696690" w14:textId="77777777" w:rsidR="007F5F89" w:rsidRDefault="007F5F89" w:rsidP="00DB70E6"/>
    <w:p w14:paraId="759089DC" w14:textId="77777777" w:rsidR="007F5F89" w:rsidRPr="0093539D" w:rsidRDefault="007F5F89" w:rsidP="00EF70EA">
      <w:pPr>
        <w:pStyle w:val="Table"/>
      </w:pPr>
      <w:bookmarkStart w:id="50" w:name="_Toc27123914"/>
      <w:r w:rsidRPr="00106CE9">
        <w:lastRenderedPageBreak/>
        <w:t xml:space="preserve">Table 9: Mental health and addiction </w:t>
      </w:r>
      <w:r>
        <w:t>sector worked hours,</w:t>
      </w:r>
      <w:r w:rsidRPr="00113C20">
        <w:t xml:space="preserve"> by qualification</w:t>
      </w:r>
      <w:r>
        <w:t xml:space="preserve"> level, 2017/18 and February 2019</w:t>
      </w:r>
      <w:bookmarkEnd w:id="50"/>
    </w:p>
    <w:tbl>
      <w:tblPr>
        <w:tblW w:w="8080" w:type="dxa"/>
        <w:tblInd w:w="57" w:type="dxa"/>
        <w:tblLayout w:type="fixed"/>
        <w:tblCellMar>
          <w:left w:w="57" w:type="dxa"/>
          <w:right w:w="57" w:type="dxa"/>
        </w:tblCellMar>
        <w:tblLook w:val="04A0" w:firstRow="1" w:lastRow="0" w:firstColumn="1" w:lastColumn="0" w:noHBand="0" w:noVBand="1"/>
      </w:tblPr>
      <w:tblGrid>
        <w:gridCol w:w="2127"/>
        <w:gridCol w:w="1190"/>
        <w:gridCol w:w="1191"/>
        <w:gridCol w:w="1190"/>
        <w:gridCol w:w="1191"/>
        <w:gridCol w:w="1191"/>
      </w:tblGrid>
      <w:tr w:rsidR="007F5F89" w:rsidRPr="00D34E0D" w14:paraId="58354570" w14:textId="77777777" w:rsidTr="00EF70EA">
        <w:trPr>
          <w:cantSplit/>
        </w:trPr>
        <w:tc>
          <w:tcPr>
            <w:tcW w:w="2127" w:type="dxa"/>
            <w:shd w:val="clear" w:color="auto" w:fill="D9D9D9" w:themeFill="background1" w:themeFillShade="D9"/>
          </w:tcPr>
          <w:p w14:paraId="4505BE2C" w14:textId="77777777" w:rsidR="007F5F89" w:rsidRPr="00D34E0D" w:rsidRDefault="007F5F89" w:rsidP="00437C39">
            <w:pPr>
              <w:pStyle w:val="TableText"/>
              <w:keepNext/>
              <w:rPr>
                <w:b/>
              </w:rPr>
            </w:pPr>
          </w:p>
        </w:tc>
        <w:tc>
          <w:tcPr>
            <w:tcW w:w="1190" w:type="dxa"/>
            <w:shd w:val="clear" w:color="auto" w:fill="D9D9D9" w:themeFill="background1" w:themeFillShade="D9"/>
          </w:tcPr>
          <w:p w14:paraId="085D8491" w14:textId="77777777" w:rsidR="007F5F89" w:rsidRPr="00D34E0D" w:rsidRDefault="007F5F89" w:rsidP="00437C39">
            <w:pPr>
              <w:pStyle w:val="TableText"/>
              <w:keepNext/>
              <w:jc w:val="center"/>
              <w:rPr>
                <w:b/>
              </w:rPr>
            </w:pPr>
            <w:r w:rsidRPr="00D34E0D">
              <w:rPr>
                <w:b/>
              </w:rPr>
              <w:t>Level 0</w:t>
            </w:r>
          </w:p>
        </w:tc>
        <w:tc>
          <w:tcPr>
            <w:tcW w:w="1191" w:type="dxa"/>
            <w:shd w:val="clear" w:color="auto" w:fill="D9D9D9" w:themeFill="background1" w:themeFillShade="D9"/>
          </w:tcPr>
          <w:p w14:paraId="06B35558" w14:textId="77777777" w:rsidR="007F5F89" w:rsidRPr="00D34E0D" w:rsidRDefault="007F5F89" w:rsidP="00437C39">
            <w:pPr>
              <w:pStyle w:val="TableText"/>
              <w:keepNext/>
              <w:jc w:val="center"/>
              <w:rPr>
                <w:b/>
              </w:rPr>
            </w:pPr>
            <w:r w:rsidRPr="00D34E0D">
              <w:rPr>
                <w:b/>
              </w:rPr>
              <w:t>Level 2</w:t>
            </w:r>
          </w:p>
        </w:tc>
        <w:tc>
          <w:tcPr>
            <w:tcW w:w="1190" w:type="dxa"/>
            <w:shd w:val="clear" w:color="auto" w:fill="D9D9D9" w:themeFill="background1" w:themeFillShade="D9"/>
          </w:tcPr>
          <w:p w14:paraId="28DDB9F5" w14:textId="77777777" w:rsidR="007F5F89" w:rsidRPr="00D34E0D" w:rsidRDefault="007F5F89" w:rsidP="00437C39">
            <w:pPr>
              <w:pStyle w:val="TableText"/>
              <w:keepNext/>
              <w:jc w:val="center"/>
              <w:rPr>
                <w:b/>
              </w:rPr>
            </w:pPr>
            <w:r w:rsidRPr="00D34E0D">
              <w:rPr>
                <w:b/>
              </w:rPr>
              <w:t>Level 3</w:t>
            </w:r>
          </w:p>
        </w:tc>
        <w:tc>
          <w:tcPr>
            <w:tcW w:w="1191" w:type="dxa"/>
            <w:shd w:val="clear" w:color="auto" w:fill="D9D9D9" w:themeFill="background1" w:themeFillShade="D9"/>
          </w:tcPr>
          <w:p w14:paraId="5D33AD31" w14:textId="77777777" w:rsidR="007F5F89" w:rsidRPr="00D34E0D" w:rsidRDefault="007F5F89" w:rsidP="00437C39">
            <w:pPr>
              <w:pStyle w:val="TableText"/>
              <w:keepNext/>
              <w:jc w:val="center"/>
              <w:rPr>
                <w:b/>
              </w:rPr>
            </w:pPr>
            <w:r w:rsidRPr="00D34E0D">
              <w:rPr>
                <w:b/>
              </w:rPr>
              <w:t>Level 4</w:t>
            </w:r>
          </w:p>
        </w:tc>
        <w:tc>
          <w:tcPr>
            <w:tcW w:w="1191" w:type="dxa"/>
            <w:shd w:val="clear" w:color="auto" w:fill="D9D9D9" w:themeFill="background1" w:themeFillShade="D9"/>
          </w:tcPr>
          <w:p w14:paraId="22880BB1" w14:textId="77777777" w:rsidR="007F5F89" w:rsidRPr="00D34E0D" w:rsidRDefault="007F5F89" w:rsidP="00437C39">
            <w:pPr>
              <w:pStyle w:val="TableText"/>
              <w:keepNext/>
              <w:jc w:val="center"/>
              <w:rPr>
                <w:b/>
              </w:rPr>
            </w:pPr>
            <w:r w:rsidRPr="00D34E0D">
              <w:rPr>
                <w:b/>
              </w:rPr>
              <w:t>Total</w:t>
            </w:r>
          </w:p>
        </w:tc>
      </w:tr>
      <w:tr w:rsidR="007F5F89" w:rsidRPr="001D0C30" w14:paraId="443F20D4" w14:textId="77777777" w:rsidTr="00EF70EA">
        <w:trPr>
          <w:cantSplit/>
        </w:trPr>
        <w:tc>
          <w:tcPr>
            <w:tcW w:w="2127" w:type="dxa"/>
            <w:tcBorders>
              <w:bottom w:val="single" w:sz="4" w:space="0" w:color="A6A6A6" w:themeColor="background1" w:themeShade="A6"/>
            </w:tcBorders>
          </w:tcPr>
          <w:p w14:paraId="0EB5C61D" w14:textId="77777777" w:rsidR="007F5F89" w:rsidRPr="001D0C30" w:rsidRDefault="007F5F89" w:rsidP="00437C39">
            <w:pPr>
              <w:pStyle w:val="TableText"/>
              <w:keepNext/>
            </w:pPr>
            <w:r w:rsidRPr="001D0C30">
              <w:t>2017/18 full</w:t>
            </w:r>
            <w:r>
              <w:t>-</w:t>
            </w:r>
            <w:r w:rsidRPr="001D0C30">
              <w:t xml:space="preserve">year </w:t>
            </w:r>
            <w:r>
              <w:t>data</w:t>
            </w:r>
            <w:r w:rsidRPr="001D0C30">
              <w:t>*</w:t>
            </w:r>
          </w:p>
        </w:tc>
        <w:tc>
          <w:tcPr>
            <w:tcW w:w="1190" w:type="dxa"/>
            <w:tcBorders>
              <w:bottom w:val="single" w:sz="4" w:space="0" w:color="A6A6A6" w:themeColor="background1" w:themeShade="A6"/>
            </w:tcBorders>
          </w:tcPr>
          <w:p w14:paraId="6E7DF3A4" w14:textId="77777777" w:rsidR="007F5F89" w:rsidRPr="001D0C30" w:rsidRDefault="007F5F89" w:rsidP="00437C39">
            <w:pPr>
              <w:pStyle w:val="TableText"/>
              <w:keepNext/>
              <w:tabs>
                <w:tab w:val="decimal" w:pos="851"/>
              </w:tabs>
            </w:pPr>
            <w:r w:rsidRPr="001D0C30">
              <w:t>885,432</w:t>
            </w:r>
          </w:p>
        </w:tc>
        <w:tc>
          <w:tcPr>
            <w:tcW w:w="1191" w:type="dxa"/>
            <w:tcBorders>
              <w:bottom w:val="single" w:sz="4" w:space="0" w:color="A6A6A6" w:themeColor="background1" w:themeShade="A6"/>
            </w:tcBorders>
          </w:tcPr>
          <w:p w14:paraId="70F8C1C0" w14:textId="77777777" w:rsidR="007F5F89" w:rsidRPr="001D0C30" w:rsidRDefault="007F5F89" w:rsidP="00437C39">
            <w:pPr>
              <w:pStyle w:val="TableText"/>
              <w:keepNext/>
              <w:tabs>
                <w:tab w:val="decimal" w:pos="851"/>
              </w:tabs>
            </w:pPr>
            <w:r w:rsidRPr="001D0C30">
              <w:t>69,075</w:t>
            </w:r>
          </w:p>
        </w:tc>
        <w:tc>
          <w:tcPr>
            <w:tcW w:w="1190" w:type="dxa"/>
            <w:tcBorders>
              <w:bottom w:val="single" w:sz="4" w:space="0" w:color="A6A6A6" w:themeColor="background1" w:themeShade="A6"/>
            </w:tcBorders>
          </w:tcPr>
          <w:p w14:paraId="122DE79A" w14:textId="77777777" w:rsidR="007F5F89" w:rsidRPr="001D0C30" w:rsidRDefault="007F5F89" w:rsidP="00437C39">
            <w:pPr>
              <w:pStyle w:val="TableText"/>
              <w:keepNext/>
              <w:tabs>
                <w:tab w:val="decimal" w:pos="851"/>
              </w:tabs>
            </w:pPr>
            <w:r w:rsidRPr="001D0C30">
              <w:t>137,288</w:t>
            </w:r>
          </w:p>
        </w:tc>
        <w:tc>
          <w:tcPr>
            <w:tcW w:w="1191" w:type="dxa"/>
            <w:tcBorders>
              <w:bottom w:val="single" w:sz="4" w:space="0" w:color="A6A6A6" w:themeColor="background1" w:themeShade="A6"/>
            </w:tcBorders>
          </w:tcPr>
          <w:p w14:paraId="061AB460" w14:textId="77777777" w:rsidR="007F5F89" w:rsidRPr="001D0C30" w:rsidRDefault="007F5F89" w:rsidP="00437C39">
            <w:pPr>
              <w:pStyle w:val="TableText"/>
              <w:keepNext/>
              <w:tabs>
                <w:tab w:val="decimal" w:pos="908"/>
              </w:tabs>
            </w:pPr>
            <w:r w:rsidRPr="001D0C30">
              <w:t>2,271,751</w:t>
            </w:r>
          </w:p>
        </w:tc>
        <w:tc>
          <w:tcPr>
            <w:tcW w:w="1191" w:type="dxa"/>
            <w:tcBorders>
              <w:bottom w:val="single" w:sz="4" w:space="0" w:color="A6A6A6" w:themeColor="background1" w:themeShade="A6"/>
            </w:tcBorders>
          </w:tcPr>
          <w:p w14:paraId="4986678B" w14:textId="77777777" w:rsidR="007F5F89" w:rsidRPr="00316683" w:rsidRDefault="007F5F89" w:rsidP="00437C39">
            <w:pPr>
              <w:pStyle w:val="TableText"/>
              <w:keepNext/>
              <w:tabs>
                <w:tab w:val="decimal" w:pos="908"/>
              </w:tabs>
            </w:pPr>
            <w:r w:rsidRPr="00316683">
              <w:t>3,363,546</w:t>
            </w:r>
          </w:p>
        </w:tc>
      </w:tr>
      <w:tr w:rsidR="007F5F89" w:rsidRPr="001D0C30" w14:paraId="2F0E57C6" w14:textId="77777777" w:rsidTr="00EF70EA">
        <w:trPr>
          <w:cantSplit/>
        </w:trPr>
        <w:tc>
          <w:tcPr>
            <w:tcW w:w="2127" w:type="dxa"/>
            <w:tcBorders>
              <w:top w:val="single" w:sz="4" w:space="0" w:color="A6A6A6" w:themeColor="background1" w:themeShade="A6"/>
              <w:bottom w:val="single" w:sz="4" w:space="0" w:color="A6A6A6" w:themeColor="background1" w:themeShade="A6"/>
            </w:tcBorders>
          </w:tcPr>
          <w:p w14:paraId="44DB3CFB" w14:textId="77777777" w:rsidR="007F5F89" w:rsidRPr="001D0C30" w:rsidRDefault="007F5F89" w:rsidP="00D34E0D">
            <w:pPr>
              <w:pStyle w:val="TableText"/>
            </w:pPr>
            <w:r w:rsidRPr="001D0C30">
              <w:t>February 2019**</w:t>
            </w:r>
          </w:p>
        </w:tc>
        <w:tc>
          <w:tcPr>
            <w:tcW w:w="1190" w:type="dxa"/>
            <w:tcBorders>
              <w:top w:val="single" w:sz="4" w:space="0" w:color="A6A6A6" w:themeColor="background1" w:themeShade="A6"/>
              <w:bottom w:val="single" w:sz="4" w:space="0" w:color="A6A6A6" w:themeColor="background1" w:themeShade="A6"/>
            </w:tcBorders>
          </w:tcPr>
          <w:p w14:paraId="29BF4C77" w14:textId="77777777" w:rsidR="007F5F89" w:rsidRPr="001D0C30" w:rsidRDefault="007F5F89" w:rsidP="00EF70EA">
            <w:pPr>
              <w:pStyle w:val="TableText"/>
              <w:tabs>
                <w:tab w:val="decimal" w:pos="851"/>
              </w:tabs>
            </w:pPr>
            <w:r w:rsidRPr="001D0C30">
              <w:t>35,782</w:t>
            </w:r>
          </w:p>
        </w:tc>
        <w:tc>
          <w:tcPr>
            <w:tcW w:w="1191" w:type="dxa"/>
            <w:tcBorders>
              <w:top w:val="single" w:sz="4" w:space="0" w:color="A6A6A6" w:themeColor="background1" w:themeShade="A6"/>
              <w:bottom w:val="single" w:sz="4" w:space="0" w:color="A6A6A6" w:themeColor="background1" w:themeShade="A6"/>
            </w:tcBorders>
          </w:tcPr>
          <w:p w14:paraId="2AE53E8F" w14:textId="77777777" w:rsidR="007F5F89" w:rsidRPr="001D0C30" w:rsidRDefault="007F5F89" w:rsidP="00EF70EA">
            <w:pPr>
              <w:pStyle w:val="TableText"/>
              <w:tabs>
                <w:tab w:val="decimal" w:pos="851"/>
              </w:tabs>
            </w:pPr>
            <w:r w:rsidRPr="001D0C30">
              <w:t>6,740</w:t>
            </w:r>
          </w:p>
        </w:tc>
        <w:tc>
          <w:tcPr>
            <w:tcW w:w="1190" w:type="dxa"/>
            <w:tcBorders>
              <w:top w:val="single" w:sz="4" w:space="0" w:color="A6A6A6" w:themeColor="background1" w:themeShade="A6"/>
              <w:bottom w:val="single" w:sz="4" w:space="0" w:color="A6A6A6" w:themeColor="background1" w:themeShade="A6"/>
            </w:tcBorders>
          </w:tcPr>
          <w:p w14:paraId="379DB8CF" w14:textId="77777777" w:rsidR="007F5F89" w:rsidRPr="001D0C30" w:rsidRDefault="007F5F89" w:rsidP="00EF70EA">
            <w:pPr>
              <w:pStyle w:val="TableText"/>
              <w:tabs>
                <w:tab w:val="decimal" w:pos="851"/>
              </w:tabs>
            </w:pPr>
            <w:r w:rsidRPr="001D0C30">
              <w:t>7,408</w:t>
            </w:r>
          </w:p>
        </w:tc>
        <w:tc>
          <w:tcPr>
            <w:tcW w:w="1191" w:type="dxa"/>
            <w:tcBorders>
              <w:top w:val="single" w:sz="4" w:space="0" w:color="A6A6A6" w:themeColor="background1" w:themeShade="A6"/>
              <w:bottom w:val="single" w:sz="4" w:space="0" w:color="A6A6A6" w:themeColor="background1" w:themeShade="A6"/>
            </w:tcBorders>
          </w:tcPr>
          <w:p w14:paraId="38C7B444" w14:textId="77777777" w:rsidR="007F5F89" w:rsidRPr="001D0C30" w:rsidRDefault="007F5F89" w:rsidP="00EF70EA">
            <w:pPr>
              <w:pStyle w:val="TableText"/>
              <w:tabs>
                <w:tab w:val="decimal" w:pos="908"/>
              </w:tabs>
            </w:pPr>
            <w:r w:rsidRPr="001D0C30">
              <w:t>107,460</w:t>
            </w:r>
          </w:p>
        </w:tc>
        <w:tc>
          <w:tcPr>
            <w:tcW w:w="1191" w:type="dxa"/>
            <w:tcBorders>
              <w:top w:val="single" w:sz="4" w:space="0" w:color="A6A6A6" w:themeColor="background1" w:themeShade="A6"/>
              <w:bottom w:val="single" w:sz="4" w:space="0" w:color="A6A6A6" w:themeColor="background1" w:themeShade="A6"/>
            </w:tcBorders>
          </w:tcPr>
          <w:p w14:paraId="605B7117" w14:textId="77777777" w:rsidR="007F5F89" w:rsidRPr="00316683" w:rsidRDefault="007F5F89" w:rsidP="00EF70EA">
            <w:pPr>
              <w:pStyle w:val="TableText"/>
              <w:tabs>
                <w:tab w:val="decimal" w:pos="908"/>
              </w:tabs>
            </w:pPr>
            <w:r w:rsidRPr="00316683">
              <w:t>157,389</w:t>
            </w:r>
          </w:p>
        </w:tc>
      </w:tr>
    </w:tbl>
    <w:p w14:paraId="544A074B" w14:textId="77777777" w:rsidR="007F5F89" w:rsidRPr="001D0C30" w:rsidRDefault="007F5F89" w:rsidP="00DB70E6">
      <w:pPr>
        <w:pStyle w:val="Note"/>
      </w:pPr>
      <w:r w:rsidRPr="001D0C30">
        <w:t>*</w:t>
      </w:r>
      <w:r w:rsidR="00DB70E6">
        <w:tab/>
      </w:r>
      <w:r w:rsidRPr="001D0C30">
        <w:t xml:space="preserve">The </w:t>
      </w:r>
      <w:r>
        <w:t>worked</w:t>
      </w:r>
      <w:r w:rsidRPr="001D0C30">
        <w:t xml:space="preserve"> hours collected in the 2017/18 full</w:t>
      </w:r>
      <w:r>
        <w:t>-</w:t>
      </w:r>
      <w:r w:rsidRPr="001D0C30">
        <w:t xml:space="preserve">year data </w:t>
      </w:r>
      <w:r>
        <w:t xml:space="preserve">pertain to </w:t>
      </w:r>
      <w:r w:rsidRPr="001D0C30">
        <w:t>a full</w:t>
      </w:r>
      <w:r>
        <w:t>-</w:t>
      </w:r>
      <w:r w:rsidRPr="001D0C30">
        <w:t>year period</w:t>
      </w:r>
      <w:r>
        <w:t>:</w:t>
      </w:r>
      <w:r w:rsidRPr="001D0C30">
        <w:t xml:space="preserve"> 1 July 2017</w:t>
      </w:r>
      <w:r w:rsidRPr="00ED6DA2">
        <w:t>–</w:t>
      </w:r>
      <w:r w:rsidRPr="001D0C30">
        <w:t>30</w:t>
      </w:r>
      <w:r w:rsidR="00DB70E6">
        <w:t> </w:t>
      </w:r>
      <w:r w:rsidRPr="001D0C30">
        <w:t>June 2018.</w:t>
      </w:r>
    </w:p>
    <w:p w14:paraId="3706A336" w14:textId="77777777" w:rsidR="007F5F89" w:rsidRDefault="007F5F89" w:rsidP="00DB70E6">
      <w:pPr>
        <w:pStyle w:val="Note"/>
      </w:pPr>
      <w:r w:rsidRPr="001D0C30">
        <w:t>**</w:t>
      </w:r>
      <w:r w:rsidR="00DB70E6">
        <w:tab/>
      </w:r>
      <w:r w:rsidRPr="001D0C30">
        <w:t xml:space="preserve">The </w:t>
      </w:r>
      <w:r>
        <w:t xml:space="preserve">worked </w:t>
      </w:r>
      <w:r w:rsidRPr="001D0C30">
        <w:t xml:space="preserve">hours collected in the February 2019 data </w:t>
      </w:r>
      <w:r>
        <w:t xml:space="preserve">pertain to </w:t>
      </w:r>
      <w:r w:rsidRPr="001D0C30">
        <w:t>a fortnight period</w:t>
      </w:r>
      <w:r>
        <w:t>:</w:t>
      </w:r>
      <w:r w:rsidRPr="001D0C30">
        <w:t xml:space="preserve"> 28 January 2019</w:t>
      </w:r>
      <w:r w:rsidRPr="00ED6DA2">
        <w:t>–</w:t>
      </w:r>
      <w:r w:rsidRPr="001D0C30">
        <w:t>24</w:t>
      </w:r>
      <w:r w:rsidR="00DB70E6">
        <w:t> </w:t>
      </w:r>
      <w:r w:rsidRPr="001D0C30">
        <w:t>February 2019.</w:t>
      </w:r>
    </w:p>
    <w:p w14:paraId="14B015BA" w14:textId="77777777" w:rsidR="00DB70E6" w:rsidRPr="00DB70E6" w:rsidRDefault="00DB70E6" w:rsidP="00DB70E6"/>
    <w:p w14:paraId="423E4282" w14:textId="77777777" w:rsidR="00776894" w:rsidRDefault="007F5F89" w:rsidP="00DB70E6">
      <w:pPr>
        <w:pStyle w:val="Heading2"/>
        <w:keepNext w:val="0"/>
        <w:pageBreakBefore/>
        <w:numPr>
          <w:ilvl w:val="0"/>
          <w:numId w:val="0"/>
        </w:numPr>
        <w:spacing w:before="0"/>
      </w:pPr>
      <w:bookmarkStart w:id="51" w:name="_Toc27123887"/>
      <w:r w:rsidRPr="001D0C30">
        <w:lastRenderedPageBreak/>
        <w:t xml:space="preserve">Appendix </w:t>
      </w:r>
      <w:r w:rsidR="00DB70E6">
        <w:t>6</w:t>
      </w:r>
      <w:r w:rsidRPr="001D0C30">
        <w:t xml:space="preserve">: </w:t>
      </w:r>
      <w:r>
        <w:t>Aged residential care d</w:t>
      </w:r>
      <w:r w:rsidRPr="001D0C30">
        <w:t>ata</w:t>
      </w:r>
      <w:bookmarkEnd w:id="51"/>
    </w:p>
    <w:p w14:paraId="698A4912" w14:textId="77777777" w:rsidR="007F5F89" w:rsidRDefault="007F5F89" w:rsidP="00DB70E6">
      <w:pPr>
        <w:pStyle w:val="Figure"/>
      </w:pPr>
      <w:bookmarkStart w:id="52" w:name="_Toc27123904"/>
      <w:r w:rsidRPr="00106CE9">
        <w:t>Figure 17: Percentage of aged residential care sector workers, by qualification level, March 2019</w:t>
      </w:r>
      <w:bookmarkEnd w:id="52"/>
    </w:p>
    <w:p w14:paraId="79221B31" w14:textId="77777777" w:rsidR="00B56A05" w:rsidRPr="00B56A05" w:rsidRDefault="00B56A05" w:rsidP="00B56A05">
      <w:r w:rsidRPr="00B56A05">
        <w:rPr>
          <w:noProof/>
          <w:lang w:eastAsia="en-NZ"/>
        </w:rPr>
        <w:drawing>
          <wp:inline distT="0" distB="0" distL="0" distR="0" wp14:anchorId="5196C674" wp14:editId="20482689">
            <wp:extent cx="5130165" cy="3347762"/>
            <wp:effectExtent l="0" t="0" r="0" b="5080"/>
            <wp:docPr id="41" name="Picture 41" descr="This pie chart shows that in March 2019, 36% of aged residential care workers had no qualification, 11% had a level 2 qualification, 29% had a level 3 qualification and 24% had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130165" cy="3347762"/>
                    </a:xfrm>
                    <a:prstGeom prst="rect">
                      <a:avLst/>
                    </a:prstGeom>
                  </pic:spPr>
                </pic:pic>
              </a:graphicData>
            </a:graphic>
          </wp:inline>
        </w:drawing>
      </w:r>
    </w:p>
    <w:p w14:paraId="2C7A16F8" w14:textId="77777777" w:rsidR="007F5F89" w:rsidRDefault="007F5F89" w:rsidP="00DB70E6"/>
    <w:p w14:paraId="62CFFEC9" w14:textId="77777777" w:rsidR="007F5F89" w:rsidRDefault="007F5F89" w:rsidP="00DB70E6">
      <w:pPr>
        <w:pStyle w:val="Figure"/>
      </w:pPr>
      <w:bookmarkStart w:id="53" w:name="_Toc27123905"/>
      <w:r w:rsidRPr="00106CE9">
        <w:t>Figure 18: Percentage of aged residential care sector worked hours, by qualification level, March 2019</w:t>
      </w:r>
      <w:bookmarkEnd w:id="53"/>
    </w:p>
    <w:p w14:paraId="606E44ED" w14:textId="77777777" w:rsidR="00B80989" w:rsidRPr="00B80989" w:rsidRDefault="00B80989" w:rsidP="00B80989">
      <w:r w:rsidRPr="00B80989">
        <w:rPr>
          <w:noProof/>
          <w:lang w:eastAsia="en-NZ"/>
        </w:rPr>
        <w:drawing>
          <wp:inline distT="0" distB="0" distL="0" distR="0" wp14:anchorId="0AFB19CF" wp14:editId="5E19CAFA">
            <wp:extent cx="5130165" cy="3347762"/>
            <wp:effectExtent l="0" t="0" r="0" b="5080"/>
            <wp:docPr id="42" name="Picture 42" descr="This pie chart shows that in March 2019, 31% of aged residential care hours were worked by someone with no qualification, 11% by someone with a level 2 qualification, 30% by someone with a level 3 qualification, and 28% by someone with a level 4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130165" cy="3347762"/>
                    </a:xfrm>
                    <a:prstGeom prst="rect">
                      <a:avLst/>
                    </a:prstGeom>
                  </pic:spPr>
                </pic:pic>
              </a:graphicData>
            </a:graphic>
          </wp:inline>
        </w:drawing>
      </w:r>
    </w:p>
    <w:p w14:paraId="0157251F" w14:textId="77777777" w:rsidR="007F5F89" w:rsidRDefault="007F5F89" w:rsidP="00DB70E6"/>
    <w:p w14:paraId="0737D4C1" w14:textId="77777777" w:rsidR="007F5F89" w:rsidRPr="00106CE9" w:rsidRDefault="007F5F89" w:rsidP="00DB70E6">
      <w:pPr>
        <w:pStyle w:val="Table"/>
      </w:pPr>
      <w:bookmarkStart w:id="54" w:name="_Toc27123915"/>
      <w:r w:rsidRPr="00106CE9">
        <w:lastRenderedPageBreak/>
        <w:t>Table 10: Aged residential care staff numbers and worked hours, by qualification level, March 2019</w:t>
      </w:r>
      <w:bookmarkEnd w:id="54"/>
    </w:p>
    <w:tbl>
      <w:tblPr>
        <w:tblW w:w="8080" w:type="dxa"/>
        <w:tblInd w:w="57" w:type="dxa"/>
        <w:tblLayout w:type="fixed"/>
        <w:tblCellMar>
          <w:left w:w="57" w:type="dxa"/>
          <w:right w:w="57" w:type="dxa"/>
        </w:tblCellMar>
        <w:tblLook w:val="04A0" w:firstRow="1" w:lastRow="0" w:firstColumn="1" w:lastColumn="0" w:noHBand="0" w:noVBand="1"/>
      </w:tblPr>
      <w:tblGrid>
        <w:gridCol w:w="1556"/>
        <w:gridCol w:w="1304"/>
        <w:gridCol w:w="1305"/>
        <w:gridCol w:w="1305"/>
        <w:gridCol w:w="1305"/>
        <w:gridCol w:w="1305"/>
      </w:tblGrid>
      <w:tr w:rsidR="007F5F89" w:rsidRPr="00D34E0D" w14:paraId="113C9F00" w14:textId="77777777" w:rsidTr="00D34E0D">
        <w:trPr>
          <w:cantSplit/>
        </w:trPr>
        <w:tc>
          <w:tcPr>
            <w:tcW w:w="1556" w:type="dxa"/>
            <w:shd w:val="clear" w:color="auto" w:fill="D9D9D9" w:themeFill="background1" w:themeFillShade="D9"/>
            <w:vAlign w:val="center"/>
          </w:tcPr>
          <w:p w14:paraId="03E9B654" w14:textId="77777777" w:rsidR="007F5F89" w:rsidRPr="00D34E0D" w:rsidRDefault="007F5F89" w:rsidP="00D34E0D">
            <w:pPr>
              <w:pStyle w:val="TableText"/>
              <w:rPr>
                <w:b/>
              </w:rPr>
            </w:pPr>
          </w:p>
        </w:tc>
        <w:tc>
          <w:tcPr>
            <w:tcW w:w="1304" w:type="dxa"/>
            <w:shd w:val="clear" w:color="auto" w:fill="D9D9D9" w:themeFill="background1" w:themeFillShade="D9"/>
            <w:vAlign w:val="center"/>
          </w:tcPr>
          <w:p w14:paraId="380454B3" w14:textId="77777777" w:rsidR="007F5F89" w:rsidRPr="00D34E0D" w:rsidRDefault="007F5F89" w:rsidP="00D34E0D">
            <w:pPr>
              <w:pStyle w:val="TableText"/>
              <w:jc w:val="center"/>
              <w:rPr>
                <w:b/>
              </w:rPr>
            </w:pPr>
            <w:r w:rsidRPr="00D34E0D">
              <w:rPr>
                <w:b/>
              </w:rPr>
              <w:t>Level 0</w:t>
            </w:r>
          </w:p>
        </w:tc>
        <w:tc>
          <w:tcPr>
            <w:tcW w:w="1305" w:type="dxa"/>
            <w:shd w:val="clear" w:color="auto" w:fill="D9D9D9" w:themeFill="background1" w:themeFillShade="D9"/>
            <w:vAlign w:val="center"/>
          </w:tcPr>
          <w:p w14:paraId="19321E40" w14:textId="77777777" w:rsidR="007F5F89" w:rsidRPr="00D34E0D" w:rsidRDefault="007F5F89" w:rsidP="00D34E0D">
            <w:pPr>
              <w:pStyle w:val="TableText"/>
              <w:jc w:val="center"/>
              <w:rPr>
                <w:b/>
              </w:rPr>
            </w:pPr>
            <w:r w:rsidRPr="00D34E0D">
              <w:rPr>
                <w:b/>
              </w:rPr>
              <w:t>Level 2</w:t>
            </w:r>
          </w:p>
        </w:tc>
        <w:tc>
          <w:tcPr>
            <w:tcW w:w="1305" w:type="dxa"/>
            <w:shd w:val="clear" w:color="auto" w:fill="D9D9D9" w:themeFill="background1" w:themeFillShade="D9"/>
            <w:vAlign w:val="center"/>
          </w:tcPr>
          <w:p w14:paraId="32BF367F" w14:textId="77777777" w:rsidR="007F5F89" w:rsidRPr="00D34E0D" w:rsidRDefault="007F5F89" w:rsidP="00D34E0D">
            <w:pPr>
              <w:pStyle w:val="TableText"/>
              <w:jc w:val="center"/>
              <w:rPr>
                <w:b/>
              </w:rPr>
            </w:pPr>
            <w:r w:rsidRPr="00D34E0D">
              <w:rPr>
                <w:b/>
              </w:rPr>
              <w:t>Level 3</w:t>
            </w:r>
          </w:p>
        </w:tc>
        <w:tc>
          <w:tcPr>
            <w:tcW w:w="1305" w:type="dxa"/>
            <w:shd w:val="clear" w:color="auto" w:fill="D9D9D9" w:themeFill="background1" w:themeFillShade="D9"/>
            <w:vAlign w:val="center"/>
          </w:tcPr>
          <w:p w14:paraId="6C9A7748" w14:textId="77777777" w:rsidR="007F5F89" w:rsidRPr="00D34E0D" w:rsidRDefault="007F5F89" w:rsidP="00D34E0D">
            <w:pPr>
              <w:pStyle w:val="TableText"/>
              <w:jc w:val="center"/>
              <w:rPr>
                <w:b/>
              </w:rPr>
            </w:pPr>
            <w:r w:rsidRPr="00D34E0D">
              <w:rPr>
                <w:b/>
              </w:rPr>
              <w:t>Level 4</w:t>
            </w:r>
          </w:p>
        </w:tc>
        <w:tc>
          <w:tcPr>
            <w:tcW w:w="1305" w:type="dxa"/>
            <w:shd w:val="clear" w:color="auto" w:fill="D9D9D9" w:themeFill="background1" w:themeFillShade="D9"/>
            <w:vAlign w:val="center"/>
          </w:tcPr>
          <w:p w14:paraId="7CDEFA7E" w14:textId="77777777" w:rsidR="007F5F89" w:rsidRPr="00D34E0D" w:rsidRDefault="007F5F89" w:rsidP="00D34E0D">
            <w:pPr>
              <w:pStyle w:val="TableText"/>
              <w:jc w:val="center"/>
              <w:rPr>
                <w:b/>
              </w:rPr>
            </w:pPr>
            <w:r w:rsidRPr="00D34E0D">
              <w:rPr>
                <w:b/>
              </w:rPr>
              <w:t>Total</w:t>
            </w:r>
          </w:p>
        </w:tc>
      </w:tr>
      <w:tr w:rsidR="007F5F89" w:rsidRPr="001D0C30" w14:paraId="6864B499" w14:textId="77777777" w:rsidTr="00D34E0D">
        <w:trPr>
          <w:cantSplit/>
        </w:trPr>
        <w:tc>
          <w:tcPr>
            <w:tcW w:w="1556" w:type="dxa"/>
            <w:tcBorders>
              <w:bottom w:val="single" w:sz="4" w:space="0" w:color="A6A6A6" w:themeColor="background1" w:themeShade="A6"/>
            </w:tcBorders>
            <w:vAlign w:val="center"/>
          </w:tcPr>
          <w:p w14:paraId="5DAC73C7" w14:textId="77777777" w:rsidR="007F5F89" w:rsidRPr="001D0C30" w:rsidRDefault="007F5F89" w:rsidP="00D34E0D">
            <w:pPr>
              <w:pStyle w:val="TableText"/>
              <w:rPr>
                <w:color w:val="000000" w:themeColor="text1"/>
              </w:rPr>
            </w:pPr>
            <w:r w:rsidRPr="001D0C30">
              <w:rPr>
                <w:bCs/>
                <w:color w:val="000000" w:themeColor="text1"/>
                <w:kern w:val="24"/>
                <w:szCs w:val="28"/>
              </w:rPr>
              <w:t>Number</w:t>
            </w:r>
          </w:p>
        </w:tc>
        <w:tc>
          <w:tcPr>
            <w:tcW w:w="1304" w:type="dxa"/>
            <w:tcBorders>
              <w:bottom w:val="single" w:sz="4" w:space="0" w:color="A6A6A6" w:themeColor="background1" w:themeShade="A6"/>
            </w:tcBorders>
            <w:vAlign w:val="center"/>
          </w:tcPr>
          <w:p w14:paraId="3BE27CA6" w14:textId="77777777" w:rsidR="007F5F89" w:rsidRPr="001D0C30" w:rsidRDefault="007F5F89" w:rsidP="00D34E0D">
            <w:pPr>
              <w:pStyle w:val="TableText"/>
              <w:tabs>
                <w:tab w:val="decimal" w:pos="797"/>
              </w:tabs>
              <w:rPr>
                <w:color w:val="000000" w:themeColor="text1"/>
              </w:rPr>
            </w:pPr>
            <w:r w:rsidRPr="001D0C30">
              <w:rPr>
                <w:bCs/>
                <w:color w:val="000000" w:themeColor="text1"/>
                <w:kern w:val="24"/>
                <w:szCs w:val="28"/>
              </w:rPr>
              <w:t>6</w:t>
            </w:r>
            <w:r>
              <w:rPr>
                <w:bCs/>
                <w:color w:val="000000" w:themeColor="text1"/>
                <w:kern w:val="24"/>
                <w:szCs w:val="28"/>
              </w:rPr>
              <w:t>,</w:t>
            </w:r>
            <w:r w:rsidRPr="001D0C30">
              <w:rPr>
                <w:bCs/>
                <w:color w:val="000000" w:themeColor="text1"/>
                <w:kern w:val="24"/>
                <w:szCs w:val="28"/>
              </w:rPr>
              <w:t>763</w:t>
            </w:r>
          </w:p>
        </w:tc>
        <w:tc>
          <w:tcPr>
            <w:tcW w:w="1305" w:type="dxa"/>
            <w:tcBorders>
              <w:bottom w:val="single" w:sz="4" w:space="0" w:color="A6A6A6" w:themeColor="background1" w:themeShade="A6"/>
            </w:tcBorders>
            <w:vAlign w:val="center"/>
          </w:tcPr>
          <w:p w14:paraId="7AD4C099" w14:textId="77777777" w:rsidR="007F5F89" w:rsidRPr="001D0C30" w:rsidRDefault="007F5F89" w:rsidP="00D34E0D">
            <w:pPr>
              <w:pStyle w:val="TableText"/>
              <w:tabs>
                <w:tab w:val="decimal" w:pos="797"/>
              </w:tabs>
              <w:rPr>
                <w:color w:val="000000" w:themeColor="text1"/>
              </w:rPr>
            </w:pPr>
            <w:r w:rsidRPr="001D0C30">
              <w:rPr>
                <w:bCs/>
                <w:color w:val="000000" w:themeColor="text1"/>
                <w:kern w:val="24"/>
                <w:szCs w:val="28"/>
              </w:rPr>
              <w:t>2</w:t>
            </w:r>
            <w:r>
              <w:rPr>
                <w:bCs/>
                <w:color w:val="000000" w:themeColor="text1"/>
                <w:kern w:val="24"/>
                <w:szCs w:val="28"/>
              </w:rPr>
              <w:t>,</w:t>
            </w:r>
            <w:r w:rsidRPr="001D0C30">
              <w:rPr>
                <w:bCs/>
                <w:color w:val="000000" w:themeColor="text1"/>
                <w:kern w:val="24"/>
                <w:szCs w:val="28"/>
              </w:rPr>
              <w:t>021</w:t>
            </w:r>
          </w:p>
        </w:tc>
        <w:tc>
          <w:tcPr>
            <w:tcW w:w="1305" w:type="dxa"/>
            <w:tcBorders>
              <w:bottom w:val="single" w:sz="4" w:space="0" w:color="A6A6A6" w:themeColor="background1" w:themeShade="A6"/>
            </w:tcBorders>
            <w:vAlign w:val="center"/>
          </w:tcPr>
          <w:p w14:paraId="4EED94AF" w14:textId="77777777" w:rsidR="007F5F89" w:rsidRPr="001D0C30" w:rsidRDefault="007F5F89" w:rsidP="00D34E0D">
            <w:pPr>
              <w:pStyle w:val="TableText"/>
              <w:tabs>
                <w:tab w:val="decimal" w:pos="797"/>
              </w:tabs>
              <w:rPr>
                <w:color w:val="000000" w:themeColor="text1"/>
              </w:rPr>
            </w:pPr>
            <w:r w:rsidRPr="001D0C30">
              <w:rPr>
                <w:bCs/>
                <w:color w:val="000000" w:themeColor="text1"/>
                <w:kern w:val="24"/>
                <w:szCs w:val="28"/>
              </w:rPr>
              <w:t>5</w:t>
            </w:r>
            <w:r>
              <w:rPr>
                <w:bCs/>
                <w:color w:val="000000" w:themeColor="text1"/>
                <w:kern w:val="24"/>
                <w:szCs w:val="28"/>
              </w:rPr>
              <w:t>,</w:t>
            </w:r>
            <w:r w:rsidRPr="001D0C30">
              <w:rPr>
                <w:bCs/>
                <w:color w:val="000000" w:themeColor="text1"/>
                <w:kern w:val="24"/>
                <w:szCs w:val="28"/>
              </w:rPr>
              <w:t>443</w:t>
            </w:r>
          </w:p>
        </w:tc>
        <w:tc>
          <w:tcPr>
            <w:tcW w:w="1305" w:type="dxa"/>
            <w:tcBorders>
              <w:bottom w:val="single" w:sz="4" w:space="0" w:color="A6A6A6" w:themeColor="background1" w:themeShade="A6"/>
            </w:tcBorders>
            <w:vAlign w:val="center"/>
          </w:tcPr>
          <w:p w14:paraId="0B6DD505" w14:textId="77777777" w:rsidR="007F5F89" w:rsidRPr="001D0C30" w:rsidRDefault="007F5F89" w:rsidP="00D34E0D">
            <w:pPr>
              <w:pStyle w:val="TableText"/>
              <w:tabs>
                <w:tab w:val="decimal" w:pos="797"/>
              </w:tabs>
              <w:rPr>
                <w:color w:val="000000" w:themeColor="text1"/>
              </w:rPr>
            </w:pPr>
            <w:r w:rsidRPr="001D0C30">
              <w:rPr>
                <w:bCs/>
                <w:color w:val="000000" w:themeColor="text1"/>
                <w:kern w:val="24"/>
                <w:szCs w:val="28"/>
              </w:rPr>
              <w:t>4</w:t>
            </w:r>
            <w:r>
              <w:rPr>
                <w:bCs/>
                <w:color w:val="000000" w:themeColor="text1"/>
                <w:kern w:val="24"/>
                <w:szCs w:val="28"/>
              </w:rPr>
              <w:t>,</w:t>
            </w:r>
            <w:r w:rsidRPr="001D0C30">
              <w:rPr>
                <w:bCs/>
                <w:color w:val="000000" w:themeColor="text1"/>
                <w:kern w:val="24"/>
                <w:szCs w:val="28"/>
              </w:rPr>
              <w:t>567</w:t>
            </w:r>
          </w:p>
        </w:tc>
        <w:tc>
          <w:tcPr>
            <w:tcW w:w="1305" w:type="dxa"/>
            <w:tcBorders>
              <w:bottom w:val="single" w:sz="4" w:space="0" w:color="A6A6A6" w:themeColor="background1" w:themeShade="A6"/>
            </w:tcBorders>
            <w:vAlign w:val="center"/>
          </w:tcPr>
          <w:p w14:paraId="0F91D352" w14:textId="77777777" w:rsidR="007F5F89" w:rsidRPr="00316683" w:rsidRDefault="007F5F89" w:rsidP="00D34E0D">
            <w:pPr>
              <w:pStyle w:val="TableText"/>
              <w:tabs>
                <w:tab w:val="decimal" w:pos="797"/>
              </w:tabs>
            </w:pPr>
            <w:r w:rsidRPr="00316683">
              <w:t>18,794</w:t>
            </w:r>
          </w:p>
        </w:tc>
      </w:tr>
      <w:tr w:rsidR="007F5F89" w:rsidRPr="001D0C30" w14:paraId="70DCBB96" w14:textId="77777777" w:rsidTr="00D34E0D">
        <w:trPr>
          <w:cantSplit/>
        </w:trPr>
        <w:tc>
          <w:tcPr>
            <w:tcW w:w="1556" w:type="dxa"/>
            <w:tcBorders>
              <w:top w:val="single" w:sz="4" w:space="0" w:color="A6A6A6" w:themeColor="background1" w:themeShade="A6"/>
              <w:bottom w:val="single" w:sz="4" w:space="0" w:color="A6A6A6" w:themeColor="background1" w:themeShade="A6"/>
            </w:tcBorders>
            <w:vAlign w:val="center"/>
          </w:tcPr>
          <w:p w14:paraId="7A713A2E" w14:textId="77777777" w:rsidR="007F5F89" w:rsidRPr="001D0C30" w:rsidRDefault="007F5F89" w:rsidP="00D34E0D">
            <w:pPr>
              <w:pStyle w:val="TableText"/>
              <w:rPr>
                <w:color w:val="000000" w:themeColor="text1"/>
              </w:rPr>
            </w:pPr>
            <w:r>
              <w:rPr>
                <w:bCs/>
                <w:color w:val="000000" w:themeColor="text1"/>
                <w:kern w:val="24"/>
                <w:szCs w:val="28"/>
              </w:rPr>
              <w:t>Worked h</w:t>
            </w:r>
            <w:r w:rsidR="00D34E0D">
              <w:rPr>
                <w:bCs/>
                <w:color w:val="000000" w:themeColor="text1"/>
                <w:kern w:val="24"/>
                <w:szCs w:val="28"/>
              </w:rPr>
              <w:t>ours</w:t>
            </w:r>
          </w:p>
        </w:tc>
        <w:tc>
          <w:tcPr>
            <w:tcW w:w="1304" w:type="dxa"/>
            <w:tcBorders>
              <w:top w:val="single" w:sz="4" w:space="0" w:color="A6A6A6" w:themeColor="background1" w:themeShade="A6"/>
              <w:bottom w:val="single" w:sz="4" w:space="0" w:color="A6A6A6" w:themeColor="background1" w:themeShade="A6"/>
            </w:tcBorders>
            <w:vAlign w:val="center"/>
          </w:tcPr>
          <w:p w14:paraId="64D1E66D" w14:textId="77777777" w:rsidR="007F5F89" w:rsidRPr="001D0C30" w:rsidRDefault="007F5F89" w:rsidP="00D34E0D">
            <w:pPr>
              <w:pStyle w:val="TableText"/>
              <w:tabs>
                <w:tab w:val="decimal" w:pos="797"/>
              </w:tabs>
              <w:rPr>
                <w:color w:val="000000" w:themeColor="text1"/>
              </w:rPr>
            </w:pPr>
            <w:r w:rsidRPr="001D0C30">
              <w:rPr>
                <w:bCs/>
                <w:color w:val="000000" w:themeColor="text1"/>
                <w:kern w:val="24"/>
                <w:szCs w:val="28"/>
              </w:rPr>
              <w:t>333,273</w:t>
            </w:r>
          </w:p>
        </w:tc>
        <w:tc>
          <w:tcPr>
            <w:tcW w:w="1305" w:type="dxa"/>
            <w:tcBorders>
              <w:top w:val="single" w:sz="4" w:space="0" w:color="A6A6A6" w:themeColor="background1" w:themeShade="A6"/>
              <w:bottom w:val="single" w:sz="4" w:space="0" w:color="A6A6A6" w:themeColor="background1" w:themeShade="A6"/>
            </w:tcBorders>
            <w:vAlign w:val="center"/>
          </w:tcPr>
          <w:p w14:paraId="6381DD34" w14:textId="77777777" w:rsidR="007F5F89" w:rsidRPr="001D0C30" w:rsidRDefault="007F5F89" w:rsidP="00D34E0D">
            <w:pPr>
              <w:pStyle w:val="TableText"/>
              <w:tabs>
                <w:tab w:val="decimal" w:pos="797"/>
              </w:tabs>
              <w:rPr>
                <w:color w:val="000000" w:themeColor="text1"/>
              </w:rPr>
            </w:pPr>
            <w:r w:rsidRPr="001D0C30">
              <w:rPr>
                <w:bCs/>
                <w:color w:val="000000" w:themeColor="text1"/>
                <w:kern w:val="24"/>
                <w:szCs w:val="28"/>
              </w:rPr>
              <w:t>112,738</w:t>
            </w:r>
          </w:p>
        </w:tc>
        <w:tc>
          <w:tcPr>
            <w:tcW w:w="1305" w:type="dxa"/>
            <w:tcBorders>
              <w:top w:val="single" w:sz="4" w:space="0" w:color="A6A6A6" w:themeColor="background1" w:themeShade="A6"/>
              <w:bottom w:val="single" w:sz="4" w:space="0" w:color="A6A6A6" w:themeColor="background1" w:themeShade="A6"/>
            </w:tcBorders>
            <w:vAlign w:val="center"/>
          </w:tcPr>
          <w:p w14:paraId="08100C87" w14:textId="77777777" w:rsidR="007F5F89" w:rsidRPr="001D0C30" w:rsidRDefault="007F5F89" w:rsidP="00D34E0D">
            <w:pPr>
              <w:pStyle w:val="TableText"/>
              <w:tabs>
                <w:tab w:val="decimal" w:pos="797"/>
              </w:tabs>
              <w:rPr>
                <w:color w:val="000000" w:themeColor="text1"/>
              </w:rPr>
            </w:pPr>
            <w:r w:rsidRPr="001D0C30">
              <w:rPr>
                <w:bCs/>
                <w:color w:val="000000" w:themeColor="text1"/>
                <w:kern w:val="24"/>
                <w:szCs w:val="28"/>
              </w:rPr>
              <w:t>323,350</w:t>
            </w:r>
          </w:p>
        </w:tc>
        <w:tc>
          <w:tcPr>
            <w:tcW w:w="1305" w:type="dxa"/>
            <w:tcBorders>
              <w:top w:val="single" w:sz="4" w:space="0" w:color="A6A6A6" w:themeColor="background1" w:themeShade="A6"/>
              <w:bottom w:val="single" w:sz="4" w:space="0" w:color="A6A6A6" w:themeColor="background1" w:themeShade="A6"/>
            </w:tcBorders>
            <w:vAlign w:val="center"/>
          </w:tcPr>
          <w:p w14:paraId="6ABD5B73" w14:textId="77777777" w:rsidR="007F5F89" w:rsidRPr="001D0C30" w:rsidRDefault="007F5F89" w:rsidP="00D34E0D">
            <w:pPr>
              <w:pStyle w:val="TableText"/>
              <w:tabs>
                <w:tab w:val="decimal" w:pos="797"/>
              </w:tabs>
              <w:rPr>
                <w:color w:val="000000" w:themeColor="text1"/>
              </w:rPr>
            </w:pPr>
            <w:r w:rsidRPr="001D0C30">
              <w:rPr>
                <w:bCs/>
                <w:color w:val="000000" w:themeColor="text1"/>
                <w:kern w:val="24"/>
                <w:szCs w:val="28"/>
              </w:rPr>
              <w:t>300,535</w:t>
            </w:r>
          </w:p>
        </w:tc>
        <w:tc>
          <w:tcPr>
            <w:tcW w:w="1305" w:type="dxa"/>
            <w:tcBorders>
              <w:top w:val="single" w:sz="4" w:space="0" w:color="A6A6A6" w:themeColor="background1" w:themeShade="A6"/>
              <w:bottom w:val="single" w:sz="4" w:space="0" w:color="A6A6A6" w:themeColor="background1" w:themeShade="A6"/>
            </w:tcBorders>
            <w:vAlign w:val="center"/>
          </w:tcPr>
          <w:p w14:paraId="7D6A44C2" w14:textId="77777777" w:rsidR="007F5F89" w:rsidRPr="00316683" w:rsidRDefault="007F5F89" w:rsidP="00D34E0D">
            <w:pPr>
              <w:pStyle w:val="TableText"/>
              <w:tabs>
                <w:tab w:val="decimal" w:pos="797"/>
              </w:tabs>
            </w:pPr>
            <w:r w:rsidRPr="00316683">
              <w:t>1,069,897</w:t>
            </w:r>
          </w:p>
        </w:tc>
      </w:tr>
    </w:tbl>
    <w:p w14:paraId="5F156619" w14:textId="77777777" w:rsidR="008A6446" w:rsidRPr="0082081A" w:rsidRDefault="008A6446" w:rsidP="00D34E0D"/>
    <w:sectPr w:rsidR="008A6446" w:rsidRPr="0082081A" w:rsidSect="002B7BEC">
      <w:footerReference w:type="even" r:id="rId36"/>
      <w:footerReference w:type="default" r:id="rId37"/>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AB6F7" w14:textId="77777777" w:rsidR="006D35B2" w:rsidRDefault="006D35B2">
      <w:r>
        <w:separator/>
      </w:r>
    </w:p>
    <w:p w14:paraId="07FA059D" w14:textId="77777777" w:rsidR="006D35B2" w:rsidRDefault="006D35B2"/>
  </w:endnote>
  <w:endnote w:type="continuationSeparator" w:id="0">
    <w:p w14:paraId="6C9F49DA" w14:textId="77777777" w:rsidR="006D35B2" w:rsidRDefault="006D35B2">
      <w:r>
        <w:continuationSeparator/>
      </w:r>
    </w:p>
    <w:p w14:paraId="35E130A0" w14:textId="77777777" w:rsidR="006D35B2" w:rsidRDefault="006D3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126DA" w14:textId="77777777" w:rsidR="006D35B2" w:rsidRPr="00581136" w:rsidRDefault="006D35B2"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14:paraId="5E2C4FD0" w14:textId="77777777" w:rsidR="006D35B2" w:rsidRPr="005A79E5" w:rsidRDefault="006D35B2">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9AA5" w14:textId="77777777" w:rsidR="006D35B2" w:rsidRDefault="006D35B2"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88B2D" w14:textId="77777777" w:rsidR="006D35B2" w:rsidRDefault="006D35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6D35B2" w14:paraId="76C49F95" w14:textId="77777777" w:rsidTr="00D662F8">
      <w:trPr>
        <w:cantSplit/>
      </w:trPr>
      <w:tc>
        <w:tcPr>
          <w:tcW w:w="709" w:type="dxa"/>
          <w:vAlign w:val="center"/>
        </w:tcPr>
        <w:p w14:paraId="3CFBC8A2" w14:textId="77777777" w:rsidR="006D35B2" w:rsidRPr="00931466" w:rsidRDefault="006D35B2"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224CC8EB" w14:textId="77777777" w:rsidR="006D35B2" w:rsidRDefault="006D35B2" w:rsidP="00B12CF3">
          <w:pPr>
            <w:pStyle w:val="RectoFooter"/>
            <w:jc w:val="left"/>
          </w:pPr>
          <w:r>
            <w:t>care and support workforce qualification attainment</w:t>
          </w:r>
        </w:p>
      </w:tc>
    </w:tr>
  </w:tbl>
  <w:p w14:paraId="702B0A84" w14:textId="77777777" w:rsidR="006D35B2" w:rsidRPr="00571223" w:rsidRDefault="006D35B2"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6D35B2" w14:paraId="17DC1BE3" w14:textId="77777777" w:rsidTr="006E2886">
      <w:trPr>
        <w:cantSplit/>
      </w:trPr>
      <w:tc>
        <w:tcPr>
          <w:tcW w:w="8080" w:type="dxa"/>
          <w:vAlign w:val="center"/>
        </w:tcPr>
        <w:p w14:paraId="2045E463" w14:textId="77777777" w:rsidR="006D35B2" w:rsidRDefault="006D35B2" w:rsidP="007F5F89">
          <w:pPr>
            <w:pStyle w:val="RectoFooter"/>
          </w:pPr>
          <w:r>
            <w:t>care and support workforce qualification attainment</w:t>
          </w:r>
        </w:p>
      </w:tc>
      <w:tc>
        <w:tcPr>
          <w:tcW w:w="709" w:type="dxa"/>
          <w:vAlign w:val="center"/>
        </w:tcPr>
        <w:p w14:paraId="34576575" w14:textId="77777777" w:rsidR="006D35B2" w:rsidRPr="00931466" w:rsidRDefault="006D35B2"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722699E5" w14:textId="77777777" w:rsidR="006D35B2" w:rsidRPr="00581EB8" w:rsidRDefault="006D35B2"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6D35B2" w14:paraId="3BEEB2B3" w14:textId="77777777" w:rsidTr="006E2886">
      <w:trPr>
        <w:cantSplit/>
      </w:trPr>
      <w:tc>
        <w:tcPr>
          <w:tcW w:w="675" w:type="dxa"/>
          <w:vAlign w:val="center"/>
        </w:tcPr>
        <w:p w14:paraId="461A1382" w14:textId="77777777" w:rsidR="006D35B2" w:rsidRPr="00931466" w:rsidRDefault="006D35B2"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28</w:t>
          </w:r>
          <w:r w:rsidRPr="00931466">
            <w:rPr>
              <w:rStyle w:val="PageNumber"/>
            </w:rPr>
            <w:fldChar w:fldCharType="end"/>
          </w:r>
        </w:p>
      </w:tc>
      <w:tc>
        <w:tcPr>
          <w:tcW w:w="9072" w:type="dxa"/>
          <w:vAlign w:val="center"/>
        </w:tcPr>
        <w:p w14:paraId="716B497A" w14:textId="77777777" w:rsidR="006D35B2" w:rsidRDefault="006D35B2" w:rsidP="007F5F89">
          <w:pPr>
            <w:pStyle w:val="RectoFooter"/>
            <w:jc w:val="left"/>
          </w:pPr>
          <w:r>
            <w:t>care and support workforce qualification attainment</w:t>
          </w:r>
        </w:p>
      </w:tc>
    </w:tr>
  </w:tbl>
  <w:p w14:paraId="4F4A4DB9" w14:textId="77777777" w:rsidR="006D35B2" w:rsidRPr="00571223" w:rsidRDefault="006D35B2"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6D35B2" w14:paraId="3714C8CB" w14:textId="77777777" w:rsidTr="006E2886">
      <w:trPr>
        <w:cantSplit/>
      </w:trPr>
      <w:tc>
        <w:tcPr>
          <w:tcW w:w="8080" w:type="dxa"/>
          <w:vAlign w:val="center"/>
        </w:tcPr>
        <w:p w14:paraId="11683085" w14:textId="77777777" w:rsidR="006D35B2" w:rsidRDefault="006D35B2" w:rsidP="007F5F89">
          <w:pPr>
            <w:pStyle w:val="RectoFooter"/>
          </w:pPr>
          <w:r>
            <w:t>care and support workforce qualification attainment</w:t>
          </w:r>
        </w:p>
      </w:tc>
      <w:tc>
        <w:tcPr>
          <w:tcW w:w="709" w:type="dxa"/>
          <w:vAlign w:val="center"/>
        </w:tcPr>
        <w:p w14:paraId="651A2546" w14:textId="77777777" w:rsidR="006D35B2" w:rsidRPr="00931466" w:rsidRDefault="006D35B2"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29</w:t>
          </w:r>
          <w:r w:rsidRPr="00931466">
            <w:rPr>
              <w:rStyle w:val="PageNumber"/>
            </w:rPr>
            <w:fldChar w:fldCharType="end"/>
          </w:r>
        </w:p>
      </w:tc>
    </w:tr>
  </w:tbl>
  <w:p w14:paraId="3367EFD6" w14:textId="77777777" w:rsidR="006D35B2" w:rsidRPr="00581EB8" w:rsidRDefault="006D35B2"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CBC2D" w14:textId="77777777" w:rsidR="006D35B2" w:rsidRPr="00A26E6B" w:rsidRDefault="006D35B2" w:rsidP="00A26E6B"/>
  </w:footnote>
  <w:footnote w:type="continuationSeparator" w:id="0">
    <w:p w14:paraId="003920AF" w14:textId="77777777" w:rsidR="006D35B2" w:rsidRDefault="006D35B2">
      <w:r>
        <w:continuationSeparator/>
      </w:r>
    </w:p>
    <w:p w14:paraId="2AA78AA7" w14:textId="77777777" w:rsidR="006D35B2" w:rsidRDefault="006D35B2"/>
  </w:footnote>
  <w:footnote w:id="1">
    <w:p w14:paraId="409E3867" w14:textId="77777777" w:rsidR="006D35B2" w:rsidRDefault="006D35B2" w:rsidP="00D62D23">
      <w:pPr>
        <w:pStyle w:val="FootnoteText"/>
      </w:pPr>
      <w:r w:rsidRPr="00D62D23">
        <w:rPr>
          <w:rStyle w:val="FootnoteReference"/>
        </w:rPr>
        <w:footnoteRef/>
      </w:r>
      <w:r>
        <w:tab/>
        <w:t>Data on support worker qualifications was not previously collected. 2017/18 data is by default the baseline data.</w:t>
      </w:r>
    </w:p>
  </w:footnote>
  <w:footnote w:id="2">
    <w:p w14:paraId="10E6ADB3" w14:textId="77777777" w:rsidR="006D35B2" w:rsidRPr="001D0C30" w:rsidRDefault="006D35B2" w:rsidP="00D62D23">
      <w:pPr>
        <w:pStyle w:val="FootnoteText"/>
      </w:pPr>
      <w:r w:rsidRPr="00D62D23">
        <w:rPr>
          <w:rStyle w:val="FootnoteReference"/>
        </w:rPr>
        <w:footnoteRef/>
      </w:r>
      <w:r>
        <w:tab/>
      </w:r>
      <w:r w:rsidRPr="001D0C30">
        <w:t xml:space="preserve">All new eligible </w:t>
      </w:r>
      <w:r>
        <w:t>c</w:t>
      </w:r>
      <w:r w:rsidRPr="001D0C30">
        <w:t xml:space="preserve">are and </w:t>
      </w:r>
      <w:r>
        <w:t>s</w:t>
      </w:r>
      <w:r w:rsidRPr="001D0C30">
        <w:t xml:space="preserve">upport </w:t>
      </w:r>
      <w:r>
        <w:t>w</w:t>
      </w:r>
      <w:r w:rsidRPr="001D0C30">
        <w:t xml:space="preserve">orkers from 1 July 2017 progress through the pay bands </w:t>
      </w:r>
      <w:r w:rsidRPr="001D0C30">
        <w:rPr>
          <w:b/>
          <w:bCs/>
        </w:rPr>
        <w:t xml:space="preserve">only </w:t>
      </w:r>
      <w:r w:rsidRPr="001D0C30">
        <w:t>on the basis of obtaining</w:t>
      </w:r>
      <w:r>
        <w:t xml:space="preserve"> </w:t>
      </w:r>
      <w:r w:rsidRPr="001D0C30">
        <w:t>qualifications.</w:t>
      </w:r>
    </w:p>
  </w:footnote>
  <w:footnote w:id="3">
    <w:p w14:paraId="7CA25D2D" w14:textId="77777777" w:rsidR="006D35B2" w:rsidRDefault="006D35B2" w:rsidP="00D62D23">
      <w:pPr>
        <w:pStyle w:val="FootnoteText"/>
      </w:pPr>
      <w:r w:rsidRPr="00D62D23">
        <w:rPr>
          <w:rStyle w:val="FootnoteReference"/>
        </w:rPr>
        <w:footnoteRef/>
      </w:r>
      <w:r>
        <w:tab/>
        <w:t xml:space="preserve">The </w:t>
      </w:r>
      <w:r>
        <w:rPr>
          <w:lang w:val="en"/>
        </w:rPr>
        <w:t>Support Workers (Pay Equity) Settlements Amendment Bill is currently being considered by Parliament. The Bill seeks to do this by clarifying that mental health and addiction support workers are included.</w:t>
      </w:r>
    </w:p>
  </w:footnote>
  <w:footnote w:id="4">
    <w:p w14:paraId="7BDD8D8A" w14:textId="77777777" w:rsidR="006D35B2" w:rsidRDefault="006D35B2" w:rsidP="007F5F89">
      <w:pPr>
        <w:pStyle w:val="FootnoteText"/>
      </w:pPr>
      <w:r w:rsidRPr="00D62D23">
        <w:rPr>
          <w:rStyle w:val="FootnoteReference"/>
        </w:rPr>
        <w:footnoteRef/>
      </w:r>
      <w:r>
        <w:rPr>
          <w:lang w:eastAsia="en-NZ"/>
        </w:rPr>
        <w:tab/>
      </w:r>
      <w:r w:rsidRPr="001D0C30">
        <w:rPr>
          <w:lang w:eastAsia="en-NZ"/>
        </w:rPr>
        <w:t xml:space="preserve">The </w:t>
      </w:r>
      <w:r>
        <w:rPr>
          <w:lang w:eastAsia="en-NZ"/>
        </w:rPr>
        <w:t>S</w:t>
      </w:r>
      <w:r w:rsidRPr="001D0C30">
        <w:rPr>
          <w:lang w:eastAsia="en-NZ"/>
        </w:rPr>
        <w:t>ettlement allows for prior learning to be recognised if an employee</w:t>
      </w:r>
      <w:r>
        <w:rPr>
          <w:lang w:eastAsia="en-NZ"/>
        </w:rPr>
        <w:t>’</w:t>
      </w:r>
      <w:r w:rsidRPr="001D0C30">
        <w:rPr>
          <w:lang w:eastAsia="en-NZ"/>
        </w:rPr>
        <w:t xml:space="preserve">s qualification is assessed as equivalent </w:t>
      </w:r>
      <w:r>
        <w:rPr>
          <w:lang w:eastAsia="en-NZ"/>
        </w:rPr>
        <w:t xml:space="preserve">to </w:t>
      </w:r>
      <w:r w:rsidRPr="001D0C30">
        <w:rPr>
          <w:lang w:eastAsia="en-NZ"/>
        </w:rPr>
        <w:t>a N</w:t>
      </w:r>
      <w:r>
        <w:rPr>
          <w:lang w:eastAsia="en-NZ"/>
        </w:rPr>
        <w:t xml:space="preserve">ew </w:t>
      </w:r>
      <w:r w:rsidRPr="001D0C30">
        <w:rPr>
          <w:lang w:eastAsia="en-NZ"/>
        </w:rPr>
        <w:t>Z</w:t>
      </w:r>
      <w:r>
        <w:rPr>
          <w:lang w:eastAsia="en-NZ"/>
        </w:rPr>
        <w:t>ealand</w:t>
      </w:r>
      <w:r w:rsidRPr="001D0C30">
        <w:rPr>
          <w:lang w:eastAsia="en-NZ"/>
        </w:rPr>
        <w:t xml:space="preserve"> Certificate in Health and Wellbeing by the relevant </w:t>
      </w:r>
      <w:r>
        <w:rPr>
          <w:lang w:eastAsia="en-NZ"/>
        </w:rPr>
        <w:t>i</w:t>
      </w:r>
      <w:r w:rsidRPr="001D0C30">
        <w:rPr>
          <w:lang w:eastAsia="en-NZ"/>
        </w:rPr>
        <w:t xml:space="preserve">ndustry </w:t>
      </w:r>
      <w:r>
        <w:rPr>
          <w:lang w:eastAsia="en-NZ"/>
        </w:rPr>
        <w:t>t</w:t>
      </w:r>
      <w:r w:rsidRPr="001D0C30">
        <w:rPr>
          <w:lang w:eastAsia="en-NZ"/>
        </w:rPr>
        <w:t xml:space="preserve">raining </w:t>
      </w:r>
      <w:r>
        <w:rPr>
          <w:lang w:eastAsia="en-NZ"/>
        </w:rPr>
        <w:t>o</w:t>
      </w:r>
      <w:r w:rsidRPr="001D0C30">
        <w:rPr>
          <w:lang w:eastAsia="en-NZ"/>
        </w:rPr>
        <w:t xml:space="preserve">rganisation (ITO). </w:t>
      </w:r>
      <w:r w:rsidRPr="001D0C30">
        <w:rPr>
          <w:lang w:eastAsia="en-NZ"/>
        </w:rPr>
        <w:t>Careerforce is the relevant ITO for the care and support workforce.</w:t>
      </w:r>
    </w:p>
  </w:footnote>
  <w:footnote w:id="5">
    <w:p w14:paraId="7D8BF39F" w14:textId="77777777" w:rsidR="006D35B2" w:rsidRDefault="006D35B2" w:rsidP="00C65C32">
      <w:pPr>
        <w:pStyle w:val="FootnoteText"/>
      </w:pPr>
      <w:r w:rsidRPr="00C65C32">
        <w:rPr>
          <w:rStyle w:val="FootnoteReference"/>
        </w:rPr>
        <w:footnoteRef/>
      </w:r>
      <w:r>
        <w:tab/>
      </w:r>
      <w:r w:rsidRPr="00AB4BF5">
        <w:t>https://www.health.govt.nz/new-zealand-health-system/pay-equity-settlements/care-and-support-workers-pay-equity-settlement/pay-equity-settlement-implementation-information-providers</w:t>
      </w:r>
    </w:p>
  </w:footnote>
  <w:footnote w:id="6">
    <w:p w14:paraId="7D0E0AC7" w14:textId="77777777" w:rsidR="006D35B2" w:rsidRDefault="006D35B2" w:rsidP="00C65C32">
      <w:pPr>
        <w:pStyle w:val="FootnoteText"/>
      </w:pPr>
      <w:r w:rsidRPr="00C65C32">
        <w:rPr>
          <w:rStyle w:val="FootnoteReference"/>
        </w:rPr>
        <w:footnoteRef/>
      </w:r>
      <w:r>
        <w:rPr>
          <w:lang w:eastAsia="en-NZ"/>
        </w:rPr>
        <w:tab/>
        <w:t>We found 802 unqualified workers whose start date was later than 1 January 2018 and who were still employed as unqualified support workers in February 2019 (that is, whose length of service was less than 12 months).</w:t>
      </w:r>
    </w:p>
  </w:footnote>
  <w:footnote w:id="7">
    <w:p w14:paraId="1EC0636A" w14:textId="77777777" w:rsidR="006D35B2" w:rsidRDefault="006D35B2" w:rsidP="00C65C32">
      <w:pPr>
        <w:pStyle w:val="FootnoteText"/>
      </w:pPr>
      <w:r w:rsidRPr="00C65C32">
        <w:rPr>
          <w:rStyle w:val="FootnoteReference"/>
        </w:rPr>
        <w:footnoteRef/>
      </w:r>
      <w:r>
        <w:tab/>
        <w:t xml:space="preserve">Some employers operate multiple </w:t>
      </w:r>
      <w:r>
        <w:t xml:space="preserve">services, and </w:t>
      </w:r>
      <w:r w:rsidRPr="00887126">
        <w:t xml:space="preserve">could not identify </w:t>
      </w:r>
      <w:r>
        <w:t xml:space="preserve">which </w:t>
      </w:r>
      <w:r w:rsidRPr="00887126">
        <w:t xml:space="preserve">contract </w:t>
      </w:r>
      <w:r>
        <w:t xml:space="preserve">a specific </w:t>
      </w:r>
      <w:r w:rsidRPr="00887126">
        <w:t xml:space="preserve">employee </w:t>
      </w:r>
      <w:r>
        <w:t xml:space="preserve">was </w:t>
      </w:r>
      <w:r w:rsidRPr="00887126">
        <w:t>employed under</w:t>
      </w:r>
      <w:r>
        <w:t>; this generally explains the ‘unknown’ column.</w:t>
      </w:r>
    </w:p>
  </w:footnote>
  <w:footnote w:id="8">
    <w:p w14:paraId="55B29B5E" w14:textId="77777777" w:rsidR="006D35B2" w:rsidRDefault="006D35B2" w:rsidP="00C65C32">
      <w:pPr>
        <w:pStyle w:val="FootnoteText"/>
      </w:pPr>
      <w:r w:rsidRPr="00C65C32">
        <w:rPr>
          <w:rStyle w:val="FootnoteReference"/>
        </w:rPr>
        <w:footnoteRef/>
      </w:r>
      <w:r>
        <w:tab/>
        <w:t>The total figure is not equal to the sum of the sector figures, because some employees work in multiple sectors.</w:t>
      </w:r>
    </w:p>
  </w:footnote>
  <w:footnote w:id="9">
    <w:p w14:paraId="3FFF5863" w14:textId="77777777" w:rsidR="006D35B2" w:rsidRDefault="006D35B2" w:rsidP="009F4DCF">
      <w:pPr>
        <w:pStyle w:val="FootnoteText"/>
      </w:pPr>
      <w:r w:rsidRPr="009F4DCF">
        <w:rPr>
          <w:rStyle w:val="FootnoteReference"/>
        </w:rPr>
        <w:footnoteRef/>
      </w:r>
      <w:r>
        <w:tab/>
        <w:t>Employees employed in HCS sector in 2017/18 financial year and still employed in February 2019 are used as analysis sample.</w:t>
      </w:r>
    </w:p>
  </w:footnote>
  <w:footnote w:id="10">
    <w:p w14:paraId="41EEB5BE" w14:textId="77777777" w:rsidR="006D35B2" w:rsidRDefault="006D35B2" w:rsidP="00DB70E6">
      <w:pPr>
        <w:pStyle w:val="FootnoteText"/>
      </w:pPr>
      <w:r w:rsidRPr="00DB70E6">
        <w:rPr>
          <w:rStyle w:val="FootnoteReference"/>
        </w:rPr>
        <w:footnoteRef/>
      </w:r>
      <w:r>
        <w:tab/>
        <w:t>Employees employed in the disability sector in the 2017/18 financial year and still employed in February 2019 were used as an analysis sample.</w:t>
      </w:r>
    </w:p>
  </w:footnote>
  <w:footnote w:id="11">
    <w:p w14:paraId="7DBF0373" w14:textId="77777777" w:rsidR="006D35B2" w:rsidRDefault="006D35B2" w:rsidP="00DB70E6">
      <w:pPr>
        <w:pStyle w:val="FootnoteText"/>
      </w:pPr>
      <w:r w:rsidRPr="00DB70E6">
        <w:rPr>
          <w:rStyle w:val="FootnoteReference"/>
        </w:rPr>
        <w:footnoteRef/>
      </w:r>
      <w:r>
        <w:tab/>
        <w:t>Employees employed in the mental health and addiction sector in the 2017/18 financial year and still employed in February 2019 were used as an analysis sample.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6D35B2" w14:paraId="21E1027C" w14:textId="77777777" w:rsidTr="005A79E5">
      <w:trPr>
        <w:cantSplit/>
      </w:trPr>
      <w:tc>
        <w:tcPr>
          <w:tcW w:w="5210" w:type="dxa"/>
        </w:tcPr>
        <w:p w14:paraId="4951D85F" w14:textId="77777777" w:rsidR="006D35B2" w:rsidRDefault="006D35B2" w:rsidP="008814E8">
          <w:pPr>
            <w:pStyle w:val="Header"/>
          </w:pPr>
          <w:r>
            <w:rPr>
              <w:noProof/>
              <w:lang w:eastAsia="en-NZ"/>
            </w:rPr>
            <w:drawing>
              <wp:inline distT="0" distB="0" distL="0" distR="0" wp14:anchorId="4665759D" wp14:editId="3D5DDD3B">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63E6A1FB" w14:textId="77777777" w:rsidR="006D35B2" w:rsidRDefault="006D35B2" w:rsidP="008814E8">
          <w:pPr>
            <w:pStyle w:val="Header"/>
            <w:jc w:val="right"/>
          </w:pPr>
          <w:r>
            <w:rPr>
              <w:noProof/>
              <w:lang w:eastAsia="en-NZ"/>
            </w:rPr>
            <w:drawing>
              <wp:inline distT="0" distB="0" distL="0" distR="0" wp14:anchorId="54FCE810" wp14:editId="055FA088">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502922E4" w14:textId="77777777" w:rsidR="006D35B2" w:rsidRDefault="006D3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F2D90" w14:textId="77777777" w:rsidR="006D35B2" w:rsidRDefault="006D35B2"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765AB" w14:textId="77777777" w:rsidR="006D35B2" w:rsidRDefault="006D35B2"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7C7"/>
    <w:multiLevelType w:val="multilevel"/>
    <w:tmpl w:val="5FDC171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3A2C08"/>
    <w:multiLevelType w:val="multilevel"/>
    <w:tmpl w:val="02DAC456"/>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decimal"/>
      <w:pStyle w:val="Number"/>
      <w:lvlText w:val="%3."/>
      <w:lvlJc w:val="left"/>
      <w:pPr>
        <w:ind w:left="567" w:hanging="567"/>
      </w:pPr>
      <w:rPr>
        <w:rFonts w:hint="default"/>
      </w:rPr>
    </w:lvl>
    <w:lvl w:ilvl="3">
      <w:start w:val="1"/>
      <w:numFmt w:val="lowerLetter"/>
      <w:pStyle w:val="Letter"/>
      <w:lvlText w:val="%4."/>
      <w:lvlJc w:val="left"/>
      <w:pPr>
        <w:tabs>
          <w:tab w:val="num" w:pos="1134"/>
        </w:tabs>
        <w:ind w:left="1134"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2"/>
  </w:num>
  <w:num w:numId="3">
    <w:abstractNumId w:val="3"/>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36027"/>
    <w:rsid w:val="00045613"/>
    <w:rsid w:val="00047899"/>
    <w:rsid w:val="00053921"/>
    <w:rsid w:val="00054B44"/>
    <w:rsid w:val="0006006B"/>
    <w:rsid w:val="0006228D"/>
    <w:rsid w:val="00072BD6"/>
    <w:rsid w:val="00075B78"/>
    <w:rsid w:val="000763E9"/>
    <w:rsid w:val="00082CD6"/>
    <w:rsid w:val="0008437D"/>
    <w:rsid w:val="00085AFE"/>
    <w:rsid w:val="00094800"/>
    <w:rsid w:val="00095154"/>
    <w:rsid w:val="000A0158"/>
    <w:rsid w:val="000A373D"/>
    <w:rsid w:val="000A41ED"/>
    <w:rsid w:val="000B0730"/>
    <w:rsid w:val="000C46B5"/>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0B3F"/>
    <w:rsid w:val="00197427"/>
    <w:rsid w:val="001A21B4"/>
    <w:rsid w:val="001A5CF5"/>
    <w:rsid w:val="001B39D2"/>
    <w:rsid w:val="001B4BF8"/>
    <w:rsid w:val="001B59B9"/>
    <w:rsid w:val="001B7B14"/>
    <w:rsid w:val="001C4326"/>
    <w:rsid w:val="001C665E"/>
    <w:rsid w:val="001D3541"/>
    <w:rsid w:val="001D3E4E"/>
    <w:rsid w:val="001D44D9"/>
    <w:rsid w:val="001E254A"/>
    <w:rsid w:val="001E7386"/>
    <w:rsid w:val="001F3AD2"/>
    <w:rsid w:val="001F45A7"/>
    <w:rsid w:val="001F5E27"/>
    <w:rsid w:val="0020027C"/>
    <w:rsid w:val="00201A01"/>
    <w:rsid w:val="0020754B"/>
    <w:rsid w:val="002104D3"/>
    <w:rsid w:val="00213A33"/>
    <w:rsid w:val="00214963"/>
    <w:rsid w:val="0021763B"/>
    <w:rsid w:val="00245748"/>
    <w:rsid w:val="00246DB1"/>
    <w:rsid w:val="002476B5"/>
    <w:rsid w:val="002520CC"/>
    <w:rsid w:val="00253ECF"/>
    <w:rsid w:val="00254044"/>
    <w:rsid w:val="002546A1"/>
    <w:rsid w:val="002575E8"/>
    <w:rsid w:val="00257EF1"/>
    <w:rsid w:val="002628F4"/>
    <w:rsid w:val="00275D08"/>
    <w:rsid w:val="002839AF"/>
    <w:rsid w:val="002858E3"/>
    <w:rsid w:val="0029190A"/>
    <w:rsid w:val="00292C5A"/>
    <w:rsid w:val="00295241"/>
    <w:rsid w:val="002A4DFC"/>
    <w:rsid w:val="002B047D"/>
    <w:rsid w:val="002B732B"/>
    <w:rsid w:val="002B76A7"/>
    <w:rsid w:val="002B77F3"/>
    <w:rsid w:val="002B7BEC"/>
    <w:rsid w:val="002C2219"/>
    <w:rsid w:val="002C2552"/>
    <w:rsid w:val="002C380A"/>
    <w:rsid w:val="002D0DF2"/>
    <w:rsid w:val="002D23BD"/>
    <w:rsid w:val="002E0B47"/>
    <w:rsid w:val="002F3A0D"/>
    <w:rsid w:val="002F4685"/>
    <w:rsid w:val="002F7213"/>
    <w:rsid w:val="0030382F"/>
    <w:rsid w:val="0030408D"/>
    <w:rsid w:val="003060E4"/>
    <w:rsid w:val="003160E7"/>
    <w:rsid w:val="0031739E"/>
    <w:rsid w:val="00317DA3"/>
    <w:rsid w:val="00321381"/>
    <w:rsid w:val="003235C6"/>
    <w:rsid w:val="00325DCC"/>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5E38"/>
    <w:rsid w:val="003A26A5"/>
    <w:rsid w:val="003A3761"/>
    <w:rsid w:val="003A512D"/>
    <w:rsid w:val="003A5FEA"/>
    <w:rsid w:val="003A710B"/>
    <w:rsid w:val="003B1D10"/>
    <w:rsid w:val="003C310C"/>
    <w:rsid w:val="003C76D4"/>
    <w:rsid w:val="003D137D"/>
    <w:rsid w:val="003D270C"/>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37C39"/>
    <w:rsid w:val="00440BE0"/>
    <w:rsid w:val="00442A06"/>
    <w:rsid w:val="00442C1C"/>
    <w:rsid w:val="0044584B"/>
    <w:rsid w:val="00447CB7"/>
    <w:rsid w:val="00455CC9"/>
    <w:rsid w:val="00460826"/>
    <w:rsid w:val="00460B1E"/>
    <w:rsid w:val="00460EA7"/>
    <w:rsid w:val="0046195B"/>
    <w:rsid w:val="0046362D"/>
    <w:rsid w:val="0046596D"/>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5019AE"/>
    <w:rsid w:val="00503749"/>
    <w:rsid w:val="00503D59"/>
    <w:rsid w:val="00504CF4"/>
    <w:rsid w:val="0050635B"/>
    <w:rsid w:val="005075B3"/>
    <w:rsid w:val="005145AD"/>
    <w:rsid w:val="005151C2"/>
    <w:rsid w:val="005275E8"/>
    <w:rsid w:val="005309FE"/>
    <w:rsid w:val="0053199F"/>
    <w:rsid w:val="00531E12"/>
    <w:rsid w:val="00533B90"/>
    <w:rsid w:val="005410F8"/>
    <w:rsid w:val="005448EC"/>
    <w:rsid w:val="00545963"/>
    <w:rsid w:val="00546FC6"/>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C2AB4"/>
    <w:rsid w:val="005D034C"/>
    <w:rsid w:val="005E226E"/>
    <w:rsid w:val="005E2636"/>
    <w:rsid w:val="005F6A9D"/>
    <w:rsid w:val="005F6E5B"/>
    <w:rsid w:val="006015D7"/>
    <w:rsid w:val="00601B21"/>
    <w:rsid w:val="006041F0"/>
    <w:rsid w:val="00605C6D"/>
    <w:rsid w:val="006120CA"/>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35B2"/>
    <w:rsid w:val="006D63E5"/>
    <w:rsid w:val="006E1753"/>
    <w:rsid w:val="006E2886"/>
    <w:rsid w:val="006E3911"/>
    <w:rsid w:val="006E69F4"/>
    <w:rsid w:val="006F1B67"/>
    <w:rsid w:val="006F4D9C"/>
    <w:rsid w:val="0070091D"/>
    <w:rsid w:val="00702854"/>
    <w:rsid w:val="0071741C"/>
    <w:rsid w:val="007248D4"/>
    <w:rsid w:val="00742B90"/>
    <w:rsid w:val="0074434D"/>
    <w:rsid w:val="00752E53"/>
    <w:rsid w:val="007570C4"/>
    <w:rsid w:val="007605B8"/>
    <w:rsid w:val="00771B1E"/>
    <w:rsid w:val="00773C95"/>
    <w:rsid w:val="00776894"/>
    <w:rsid w:val="0078171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3E62"/>
    <w:rsid w:val="007E74F1"/>
    <w:rsid w:val="007F0F0C"/>
    <w:rsid w:val="007F1288"/>
    <w:rsid w:val="007F3416"/>
    <w:rsid w:val="007F3E11"/>
    <w:rsid w:val="007F5F89"/>
    <w:rsid w:val="00800A8A"/>
    <w:rsid w:val="00800C75"/>
    <w:rsid w:val="0080155C"/>
    <w:rsid w:val="008052E1"/>
    <w:rsid w:val="00805E61"/>
    <w:rsid w:val="00811EEB"/>
    <w:rsid w:val="0082081A"/>
    <w:rsid w:val="00822C8A"/>
    <w:rsid w:val="00822F2C"/>
    <w:rsid w:val="00823DEE"/>
    <w:rsid w:val="008305E8"/>
    <w:rsid w:val="00836165"/>
    <w:rsid w:val="008365B2"/>
    <w:rsid w:val="0084640C"/>
    <w:rsid w:val="00856088"/>
    <w:rsid w:val="0085609C"/>
    <w:rsid w:val="00860826"/>
    <w:rsid w:val="00860E21"/>
    <w:rsid w:val="00861379"/>
    <w:rsid w:val="00863117"/>
    <w:rsid w:val="0086388B"/>
    <w:rsid w:val="008642E5"/>
    <w:rsid w:val="00864488"/>
    <w:rsid w:val="00866FD6"/>
    <w:rsid w:val="00870A36"/>
    <w:rsid w:val="00872D93"/>
    <w:rsid w:val="0087743C"/>
    <w:rsid w:val="00880470"/>
    <w:rsid w:val="00880D94"/>
    <w:rsid w:val="008814E8"/>
    <w:rsid w:val="00886F64"/>
    <w:rsid w:val="008924DE"/>
    <w:rsid w:val="008A3755"/>
    <w:rsid w:val="008A6446"/>
    <w:rsid w:val="008B19DC"/>
    <w:rsid w:val="008B264F"/>
    <w:rsid w:val="008B6F83"/>
    <w:rsid w:val="008B7FD8"/>
    <w:rsid w:val="008C2973"/>
    <w:rsid w:val="008C6324"/>
    <w:rsid w:val="008C64C4"/>
    <w:rsid w:val="008D2CDD"/>
    <w:rsid w:val="008D74D5"/>
    <w:rsid w:val="008D7C9F"/>
    <w:rsid w:val="008E04BA"/>
    <w:rsid w:val="008E0ED1"/>
    <w:rsid w:val="008E3A07"/>
    <w:rsid w:val="008E506D"/>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55838"/>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E6CC7"/>
    <w:rsid w:val="009F4372"/>
    <w:rsid w:val="009F460A"/>
    <w:rsid w:val="009F4DCF"/>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62A8"/>
    <w:rsid w:val="00A97A3A"/>
    <w:rsid w:val="00AA240C"/>
    <w:rsid w:val="00AB0332"/>
    <w:rsid w:val="00AC101C"/>
    <w:rsid w:val="00AD4CF1"/>
    <w:rsid w:val="00AD5988"/>
    <w:rsid w:val="00AD6293"/>
    <w:rsid w:val="00AE1643"/>
    <w:rsid w:val="00AE16AF"/>
    <w:rsid w:val="00AF0842"/>
    <w:rsid w:val="00AF264E"/>
    <w:rsid w:val="00AF372E"/>
    <w:rsid w:val="00AF7800"/>
    <w:rsid w:val="00B00CF5"/>
    <w:rsid w:val="00B01122"/>
    <w:rsid w:val="00B072E0"/>
    <w:rsid w:val="00B1007E"/>
    <w:rsid w:val="00B12CF3"/>
    <w:rsid w:val="00B13D41"/>
    <w:rsid w:val="00B253F6"/>
    <w:rsid w:val="00B26675"/>
    <w:rsid w:val="00B305DB"/>
    <w:rsid w:val="00B332F8"/>
    <w:rsid w:val="00B3492B"/>
    <w:rsid w:val="00B4646F"/>
    <w:rsid w:val="00B55C7D"/>
    <w:rsid w:val="00B56A05"/>
    <w:rsid w:val="00B63038"/>
    <w:rsid w:val="00B64BD8"/>
    <w:rsid w:val="00B701D1"/>
    <w:rsid w:val="00B73AF2"/>
    <w:rsid w:val="00B73D79"/>
    <w:rsid w:val="00B7551A"/>
    <w:rsid w:val="00B75F7C"/>
    <w:rsid w:val="00B773F1"/>
    <w:rsid w:val="00B80989"/>
    <w:rsid w:val="00B86AB1"/>
    <w:rsid w:val="00B87726"/>
    <w:rsid w:val="00B91B22"/>
    <w:rsid w:val="00BA7EBA"/>
    <w:rsid w:val="00BB2A06"/>
    <w:rsid w:val="00BB2CBB"/>
    <w:rsid w:val="00BB4198"/>
    <w:rsid w:val="00BC03EE"/>
    <w:rsid w:val="00BC59F1"/>
    <w:rsid w:val="00BD488E"/>
    <w:rsid w:val="00BF3DE1"/>
    <w:rsid w:val="00BF4843"/>
    <w:rsid w:val="00BF5205"/>
    <w:rsid w:val="00C05132"/>
    <w:rsid w:val="00C12508"/>
    <w:rsid w:val="00C23728"/>
    <w:rsid w:val="00C3026C"/>
    <w:rsid w:val="00C313A9"/>
    <w:rsid w:val="00C347C8"/>
    <w:rsid w:val="00C358E4"/>
    <w:rsid w:val="00C418EE"/>
    <w:rsid w:val="00C436BE"/>
    <w:rsid w:val="00C441CF"/>
    <w:rsid w:val="00C45AA2"/>
    <w:rsid w:val="00C4792C"/>
    <w:rsid w:val="00C55BEF"/>
    <w:rsid w:val="00C57C00"/>
    <w:rsid w:val="00C601AF"/>
    <w:rsid w:val="00C61A63"/>
    <w:rsid w:val="00C65C32"/>
    <w:rsid w:val="00C66296"/>
    <w:rsid w:val="00C7394D"/>
    <w:rsid w:val="00C756B7"/>
    <w:rsid w:val="00C77282"/>
    <w:rsid w:val="00C84DE5"/>
    <w:rsid w:val="00C86248"/>
    <w:rsid w:val="00C90B31"/>
    <w:rsid w:val="00C95E0B"/>
    <w:rsid w:val="00CA0D6F"/>
    <w:rsid w:val="00CA4C33"/>
    <w:rsid w:val="00CA6F4A"/>
    <w:rsid w:val="00CB3483"/>
    <w:rsid w:val="00CB6427"/>
    <w:rsid w:val="00CC0FBE"/>
    <w:rsid w:val="00CC71F5"/>
    <w:rsid w:val="00CD077C"/>
    <w:rsid w:val="00CD2119"/>
    <w:rsid w:val="00CD237A"/>
    <w:rsid w:val="00CD36AC"/>
    <w:rsid w:val="00CE13A3"/>
    <w:rsid w:val="00CE36BC"/>
    <w:rsid w:val="00CF1747"/>
    <w:rsid w:val="00CF60ED"/>
    <w:rsid w:val="00D05D74"/>
    <w:rsid w:val="00D20C59"/>
    <w:rsid w:val="00D23323"/>
    <w:rsid w:val="00D2392A"/>
    <w:rsid w:val="00D25FFE"/>
    <w:rsid w:val="00D27922"/>
    <w:rsid w:val="00D27A64"/>
    <w:rsid w:val="00D34E0D"/>
    <w:rsid w:val="00D37D80"/>
    <w:rsid w:val="00D442F3"/>
    <w:rsid w:val="00D44483"/>
    <w:rsid w:val="00D4476F"/>
    <w:rsid w:val="00D50573"/>
    <w:rsid w:val="00D54D50"/>
    <w:rsid w:val="00D560B4"/>
    <w:rsid w:val="00D62D23"/>
    <w:rsid w:val="00D6571C"/>
    <w:rsid w:val="00D662F8"/>
    <w:rsid w:val="00D66797"/>
    <w:rsid w:val="00D7087C"/>
    <w:rsid w:val="00D70C3C"/>
    <w:rsid w:val="00D71DF7"/>
    <w:rsid w:val="00D72BE5"/>
    <w:rsid w:val="00D76BB5"/>
    <w:rsid w:val="00D81462"/>
    <w:rsid w:val="00D82431"/>
    <w:rsid w:val="00D82F26"/>
    <w:rsid w:val="00D863D0"/>
    <w:rsid w:val="00D86B00"/>
    <w:rsid w:val="00D86FB9"/>
    <w:rsid w:val="00D87C87"/>
    <w:rsid w:val="00D90BB4"/>
    <w:rsid w:val="00D90E07"/>
    <w:rsid w:val="00D932C2"/>
    <w:rsid w:val="00DA0232"/>
    <w:rsid w:val="00DA7F9E"/>
    <w:rsid w:val="00DB39CF"/>
    <w:rsid w:val="00DB70E6"/>
    <w:rsid w:val="00DB7256"/>
    <w:rsid w:val="00DC0401"/>
    <w:rsid w:val="00DC20BD"/>
    <w:rsid w:val="00DD0BCD"/>
    <w:rsid w:val="00DD447A"/>
    <w:rsid w:val="00DE3B20"/>
    <w:rsid w:val="00DE6C94"/>
    <w:rsid w:val="00DE6FD7"/>
    <w:rsid w:val="00DF0C7C"/>
    <w:rsid w:val="00E007A4"/>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A4164"/>
    <w:rsid w:val="00EA796A"/>
    <w:rsid w:val="00EB1856"/>
    <w:rsid w:val="00EC50CE"/>
    <w:rsid w:val="00EC5B34"/>
    <w:rsid w:val="00ED021E"/>
    <w:rsid w:val="00ED323C"/>
    <w:rsid w:val="00EE2D5C"/>
    <w:rsid w:val="00EE4ADE"/>
    <w:rsid w:val="00EE4DE8"/>
    <w:rsid w:val="00EE5CB7"/>
    <w:rsid w:val="00EF70EA"/>
    <w:rsid w:val="00F000BF"/>
    <w:rsid w:val="00F024FE"/>
    <w:rsid w:val="00F05AD4"/>
    <w:rsid w:val="00F103BE"/>
    <w:rsid w:val="00F10EB6"/>
    <w:rsid w:val="00F13F07"/>
    <w:rsid w:val="00F140B2"/>
    <w:rsid w:val="00F16595"/>
    <w:rsid w:val="00F25970"/>
    <w:rsid w:val="00F311A9"/>
    <w:rsid w:val="00F31343"/>
    <w:rsid w:val="00F37381"/>
    <w:rsid w:val="00F5180D"/>
    <w:rsid w:val="00F54E74"/>
    <w:rsid w:val="00F63781"/>
    <w:rsid w:val="00F67496"/>
    <w:rsid w:val="00F721F4"/>
    <w:rsid w:val="00F7421E"/>
    <w:rsid w:val="00F801BA"/>
    <w:rsid w:val="00F807AD"/>
    <w:rsid w:val="00F9366A"/>
    <w:rsid w:val="00F946C9"/>
    <w:rsid w:val="00FA0EA5"/>
    <w:rsid w:val="00FA68C7"/>
    <w:rsid w:val="00FA74EE"/>
    <w:rsid w:val="00FC3711"/>
    <w:rsid w:val="00FC46E7"/>
    <w:rsid w:val="00FC5D25"/>
    <w:rsid w:val="00FD0D7E"/>
    <w:rsid w:val="00FD16C4"/>
    <w:rsid w:val="00FD362F"/>
    <w:rsid w:val="00FD47FE"/>
    <w:rsid w:val="00FD4FFB"/>
    <w:rsid w:val="00FE022F"/>
    <w:rsid w:val="00FE6E13"/>
    <w:rsid w:val="00FE7D38"/>
    <w:rsid w:val="00FF02C6"/>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80F560"/>
  <w15:docId w15:val="{7BC1E5A9-0C88-4916-A258-2011E002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qFormat/>
    <w:rsid w:val="008E506D"/>
    <w:pPr>
      <w:pageBreakBefore/>
      <w:numPr>
        <w:numId w:val="6"/>
      </w:numPr>
      <w:spacing w:after="360"/>
      <w:outlineLvl w:val="0"/>
    </w:pPr>
    <w:rPr>
      <w:b/>
      <w:color w:val="23305D"/>
      <w:spacing w:val="-10"/>
      <w:sz w:val="56"/>
    </w:rPr>
  </w:style>
  <w:style w:type="paragraph" w:styleId="Heading2">
    <w:name w:val="heading 2"/>
    <w:basedOn w:val="Normal"/>
    <w:next w:val="Normal"/>
    <w:link w:val="Heading2Char"/>
    <w:qFormat/>
    <w:rsid w:val="008E506D"/>
    <w:pPr>
      <w:keepNext/>
      <w:numPr>
        <w:ilvl w:val="1"/>
        <w:numId w:val="6"/>
      </w:numPr>
      <w:spacing w:before="480" w:after="180"/>
      <w:outlineLvl w:val="1"/>
    </w:pPr>
    <w:rPr>
      <w:b/>
      <w:color w:val="0A6AB4"/>
      <w:spacing w:val="-5"/>
      <w:sz w:val="44"/>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506D"/>
    <w:rPr>
      <w:rFonts w:ascii="Segoe UI" w:hAnsi="Segoe UI"/>
      <w:b/>
      <w:color w:val="23305D"/>
      <w:spacing w:val="-10"/>
      <w:sz w:val="56"/>
      <w:lang w:eastAsia="en-GB"/>
    </w:rPr>
  </w:style>
  <w:style w:type="character" w:customStyle="1" w:styleId="Heading2Char">
    <w:name w:val="Heading 2 Char"/>
    <w:link w:val="Heading2"/>
    <w:rsid w:val="008E506D"/>
    <w:rPr>
      <w:rFonts w:ascii="Segoe UI" w:hAnsi="Segoe UI"/>
      <w:b/>
      <w:color w:val="0A6AB4"/>
      <w:spacing w:val="-5"/>
      <w:sz w:val="44"/>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B12CF3"/>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B12CF3"/>
    <w:pPr>
      <w:tabs>
        <w:tab w:val="right" w:pos="8080"/>
      </w:tabs>
      <w:spacing w:before="60"/>
      <w:ind w:left="567" w:right="567" w:hanging="567"/>
    </w:pPr>
  </w:style>
  <w:style w:type="paragraph" w:styleId="TOC3">
    <w:name w:val="toc 3"/>
    <w:basedOn w:val="Normal"/>
    <w:next w:val="Normal"/>
    <w:uiPriority w:val="39"/>
    <w:rsid w:val="00B12CF3"/>
    <w:pPr>
      <w:tabs>
        <w:tab w:val="right" w:pos="8080"/>
      </w:tabs>
      <w:spacing w:before="120"/>
      <w:ind w:left="1134" w:right="567" w:hanging="1134"/>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7F5F89"/>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9F4DCF"/>
    <w:pPr>
      <w:spacing w:before="80"/>
      <w:ind w:left="284" w:hanging="284"/>
    </w:pPr>
    <w:rPr>
      <w:sz w:val="17"/>
    </w:rPr>
  </w:style>
  <w:style w:type="character" w:customStyle="1" w:styleId="NoteChar">
    <w:name w:val="Note Char"/>
    <w:link w:val="Note"/>
    <w:rsid w:val="009F4DCF"/>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D62D23"/>
    <w:pPr>
      <w:numPr>
        <w:ilvl w:val="2"/>
        <w:numId w:val="6"/>
      </w:numPr>
      <w:spacing w:before="120"/>
    </w:pPr>
    <w:rPr>
      <w:szCs w:val="24"/>
    </w:rPr>
  </w:style>
  <w:style w:type="paragraph" w:customStyle="1" w:styleId="Letter">
    <w:name w:val="Letter"/>
    <w:basedOn w:val="Normal"/>
    <w:qFormat/>
    <w:rsid w:val="00F140B2"/>
    <w:pPr>
      <w:numPr>
        <w:ilvl w:val="3"/>
        <w:numId w:val="6"/>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styleId="BalloonText">
    <w:name w:val="Balloon Text"/>
    <w:basedOn w:val="Normal"/>
    <w:link w:val="BalloonTextChar"/>
    <w:semiHidden/>
    <w:unhideWhenUsed/>
    <w:rsid w:val="00325DCC"/>
    <w:rPr>
      <w:rFonts w:ascii="Tahoma" w:hAnsi="Tahoma" w:cs="Tahoma"/>
      <w:sz w:val="16"/>
      <w:szCs w:val="16"/>
    </w:rPr>
  </w:style>
  <w:style w:type="character" w:customStyle="1" w:styleId="BalloonTextChar">
    <w:name w:val="Balloon Text Char"/>
    <w:basedOn w:val="DefaultParagraphFont"/>
    <w:link w:val="BalloonText"/>
    <w:semiHidden/>
    <w:rsid w:val="00325DCC"/>
    <w:rPr>
      <w:rFonts w:ascii="Tahoma" w:hAnsi="Tahoma" w:cs="Tahoma"/>
      <w:sz w:val="16"/>
      <w:szCs w:val="16"/>
      <w:lang w:eastAsia="en-GB"/>
    </w:rPr>
  </w:style>
  <w:style w:type="table" w:styleId="TableGrid">
    <w:name w:val="Table Grid"/>
    <w:basedOn w:val="TableNormal"/>
    <w:uiPriority w:val="59"/>
    <w:rsid w:val="007F5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Segoe UI" w:hAnsi="Segoe UI"/>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5575F-C4E0-4833-8774-4CF69107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35</Pages>
  <Words>3882</Words>
  <Characters>24136</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Care and Support Workforce Qualification Attainment</vt:lpstr>
    </vt:vector>
  </TitlesOfParts>
  <Company>Microsoft</Company>
  <LinksUpToDate>false</LinksUpToDate>
  <CharactersWithSpaces>27963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and Support Workforce Qualification Attainment</dc:title>
  <dc:creator>Ministry of Health</dc:creator>
  <cp:lastModifiedBy>Geneva Ruppert-Wise</cp:lastModifiedBy>
  <cp:revision>3</cp:revision>
  <cp:lastPrinted>2019-12-17T03:24:00Z</cp:lastPrinted>
  <dcterms:created xsi:type="dcterms:W3CDTF">2019-12-17T03:24:00Z</dcterms:created>
  <dcterms:modified xsi:type="dcterms:W3CDTF">2019-12-17T03:25:00Z</dcterms:modified>
</cp:coreProperties>
</file>