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AC0E" w14:textId="77777777" w:rsidR="00C86248" w:rsidRPr="00926083" w:rsidRDefault="002B7BEC" w:rsidP="00926083">
      <w:pPr>
        <w:pStyle w:val="Title"/>
      </w:pPr>
      <w:r>
        <w:t>Sexual Orientation</w:t>
      </w:r>
    </w:p>
    <w:p w14:paraId="4D894ACF" w14:textId="77777777" w:rsidR="00C05132" w:rsidRDefault="002B7BEC" w:rsidP="00926083">
      <w:pPr>
        <w:pStyle w:val="Subhead"/>
      </w:pPr>
      <w:r>
        <w:t>Findings from the</w:t>
      </w:r>
      <w:r>
        <w:br/>
        <w:t>2014/15 New Zealand Health Survey</w:t>
      </w:r>
    </w:p>
    <w:p w14:paraId="2707CA1B" w14:textId="77777777" w:rsidR="00531E12" w:rsidRPr="00531E12" w:rsidRDefault="003235C6" w:rsidP="00531E12">
      <w:pPr>
        <w:pStyle w:val="Year"/>
      </w:pPr>
      <w:r>
        <w:t>2019</w:t>
      </w:r>
    </w:p>
    <w:p w14:paraId="70E13EA7" w14:textId="77777777" w:rsidR="00C05132" w:rsidRDefault="00C05132" w:rsidP="00A06BE4"/>
    <w:p w14:paraId="0C2D8C80"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4A73B97B" w14:textId="77777777" w:rsidR="002B7BEC" w:rsidRPr="00A63DFF" w:rsidRDefault="002B7BEC" w:rsidP="002B7BEC">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549F7940" w14:textId="77777777" w:rsidR="002B7BEC" w:rsidRPr="002B7BEC" w:rsidRDefault="002B7BEC" w:rsidP="002F1630">
      <w:pPr>
        <w:spacing w:before="240"/>
        <w:rPr>
          <w:rFonts w:cs="Segoe UI"/>
          <w:sz w:val="20"/>
        </w:rPr>
      </w:pPr>
      <w:r w:rsidRPr="002B7BEC">
        <w:rPr>
          <w:rFonts w:cs="Segoe UI"/>
          <w:sz w:val="20"/>
        </w:rPr>
        <w:t>The New Zealand Health Survey would not have been possible without the support and enthusiasm of many individuals, including the many thousands of New</w:t>
      </w:r>
      <w:r>
        <w:rPr>
          <w:rFonts w:cs="Segoe UI"/>
          <w:sz w:val="20"/>
        </w:rPr>
        <w:t> </w:t>
      </w:r>
      <w:r w:rsidRPr="002B7BEC">
        <w:rPr>
          <w:rFonts w:cs="Segoe UI"/>
          <w:sz w:val="20"/>
        </w:rPr>
        <w:t>Zealanders who gave their time to participate in it and the interviewers who worked so diligently to collect the data. Thank you for your generosity.</w:t>
      </w:r>
    </w:p>
    <w:p w14:paraId="5B68D085" w14:textId="77777777" w:rsidR="002F1630" w:rsidRDefault="002F1630" w:rsidP="002F1630">
      <w:pPr>
        <w:pStyle w:val="Imprint"/>
        <w:spacing w:before="240" w:after="0"/>
        <w:rPr>
          <w:rFonts w:cs="Segoe UI"/>
          <w:color w:val="000000"/>
          <w:lang w:eastAsia="en-NZ"/>
        </w:rPr>
      </w:pPr>
      <w:r>
        <w:rPr>
          <w:rFonts w:cs="Segoe UI"/>
          <w:color w:val="000000"/>
          <w:lang w:eastAsia="en-NZ"/>
        </w:rPr>
        <w:t xml:space="preserve">This data brief was written by Nigel Dickson (University of Otago), Bridget Murphy (Ministry of Health), Peter Saxton (University of Auckland), Jennie Connor (University of Otago), Antoinette </w:t>
      </w:r>
      <w:proofErr w:type="spellStart"/>
      <w:r>
        <w:rPr>
          <w:rFonts w:cs="Segoe UI"/>
          <w:color w:val="000000"/>
          <w:lang w:eastAsia="en-NZ"/>
        </w:rPr>
        <w:t>Righarts</w:t>
      </w:r>
      <w:proofErr w:type="spellEnd"/>
      <w:r>
        <w:rPr>
          <w:rFonts w:cs="Segoe UI"/>
          <w:color w:val="000000"/>
          <w:lang w:eastAsia="en-NZ"/>
        </w:rPr>
        <w:t xml:space="preserve"> (University of Otago) and Melanie Duncan (Ministry of Health). The data analysis was undertaken by Barry Gribben (CBG Health Research), Thomas Zhang (CBG Health Research) and James Stanley (University of Otago).</w:t>
      </w:r>
    </w:p>
    <w:p w14:paraId="3E067551" w14:textId="2558D179"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3235C6">
        <w:rPr>
          <w:rFonts w:cs="Segoe UI"/>
        </w:rPr>
        <w:t>2019</w:t>
      </w:r>
      <w:r w:rsidR="00442C1C" w:rsidRPr="00C05132">
        <w:rPr>
          <w:rFonts w:cs="Segoe UI"/>
        </w:rPr>
        <w:t xml:space="preserve">. </w:t>
      </w:r>
      <w:r w:rsidR="002B7BEC">
        <w:rPr>
          <w:rFonts w:cs="Segoe UI"/>
          <w:i/>
        </w:rPr>
        <w:t>Sexual Orientation: Findings from the 2014/15 New Zealand Health Survey</w:t>
      </w:r>
      <w:r w:rsidR="00442C1C" w:rsidRPr="00C05132">
        <w:rPr>
          <w:rFonts w:cs="Segoe UI"/>
        </w:rPr>
        <w:t>. Wellington: Ministry of Health.</w:t>
      </w:r>
    </w:p>
    <w:p w14:paraId="18CF83AA" w14:textId="79C2F110" w:rsidR="00C86248" w:rsidRDefault="00C86248">
      <w:pPr>
        <w:pStyle w:val="Imprint"/>
      </w:pPr>
      <w:r>
        <w:t xml:space="preserve">Published in </w:t>
      </w:r>
      <w:r w:rsidR="007C795A">
        <w:t>November</w:t>
      </w:r>
      <w:r w:rsidR="003235C6">
        <w:t xml:space="preserve">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BFABF10" w14:textId="024F48D0" w:rsidR="00082CD6" w:rsidRPr="009C0F2D" w:rsidRDefault="00D863D0" w:rsidP="00082CD6">
      <w:pPr>
        <w:pStyle w:val="Imprint"/>
      </w:pPr>
      <w:r>
        <w:t>ISBN</w:t>
      </w:r>
      <w:r w:rsidR="00442C1C">
        <w:t xml:space="preserve"> </w:t>
      </w:r>
      <w:r w:rsidR="007C795A" w:rsidRPr="007C795A">
        <w:t>978-1-98-859750-8</w:t>
      </w:r>
      <w:r w:rsidR="007C795A">
        <w:t xml:space="preserve"> </w:t>
      </w:r>
      <w:r>
        <w:t>(</w:t>
      </w:r>
      <w:r w:rsidR="00442C1C">
        <w:t>online</w:t>
      </w:r>
      <w:r>
        <w:t>)</w:t>
      </w:r>
      <w:r w:rsidR="00082CD6">
        <w:br/>
      </w:r>
      <w:r w:rsidR="00082CD6" w:rsidRPr="009C0F2D">
        <w:t xml:space="preserve">HP </w:t>
      </w:r>
      <w:r w:rsidR="007C795A">
        <w:t>7285</w:t>
      </w:r>
    </w:p>
    <w:p w14:paraId="0D80AC65" w14:textId="77777777" w:rsidR="00C86248" w:rsidRDefault="008C64C4" w:rsidP="00A63DFF">
      <w:r>
        <w:rPr>
          <w:noProof/>
          <w:lang w:eastAsia="en-NZ"/>
        </w:rPr>
        <w:drawing>
          <wp:inline distT="0" distB="0" distL="0" distR="0" wp14:anchorId="0E48EC04" wp14:editId="00369C68">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C62619B"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1923F836" w14:textId="77777777" w:rsidTr="00A63DFF">
        <w:trPr>
          <w:cantSplit/>
        </w:trPr>
        <w:tc>
          <w:tcPr>
            <w:tcW w:w="1526" w:type="dxa"/>
          </w:tcPr>
          <w:p w14:paraId="054732A8"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C76855B" wp14:editId="39E6B7B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76F051D"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13F5FED2" w14:textId="77777777" w:rsidR="007E74F1" w:rsidRPr="001F45A7" w:rsidRDefault="007E74F1" w:rsidP="00A63DFF"/>
    <w:p w14:paraId="5F3D718A" w14:textId="77777777"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14:paraId="53399E43" w14:textId="77777777" w:rsidR="00C86248" w:rsidRDefault="00C86248" w:rsidP="00025A6F">
      <w:pPr>
        <w:pStyle w:val="IntroHead"/>
      </w:pPr>
      <w:bookmarkStart w:id="0" w:name="_Toc405792991"/>
      <w:bookmarkStart w:id="1" w:name="_Toc405793224"/>
      <w:r>
        <w:lastRenderedPageBreak/>
        <w:t>Contents</w:t>
      </w:r>
      <w:bookmarkEnd w:id="0"/>
      <w:bookmarkEnd w:id="1"/>
    </w:p>
    <w:p w14:paraId="2A80FE27" w14:textId="3E1D234D" w:rsidR="00570988" w:rsidRDefault="00570988">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3507651" w:history="1">
        <w:r w:rsidRPr="005E04EB">
          <w:rPr>
            <w:rStyle w:val="Hyperlink"/>
            <w:noProof/>
          </w:rPr>
          <w:t>Summary</w:t>
        </w:r>
        <w:r>
          <w:rPr>
            <w:noProof/>
            <w:webHidden/>
          </w:rPr>
          <w:tab/>
        </w:r>
        <w:r>
          <w:rPr>
            <w:noProof/>
            <w:webHidden/>
          </w:rPr>
          <w:fldChar w:fldCharType="begin"/>
        </w:r>
        <w:r>
          <w:rPr>
            <w:noProof/>
            <w:webHidden/>
          </w:rPr>
          <w:instrText xml:space="preserve"> PAGEREF _Toc23507651 \h </w:instrText>
        </w:r>
        <w:r>
          <w:rPr>
            <w:noProof/>
            <w:webHidden/>
          </w:rPr>
        </w:r>
        <w:r>
          <w:rPr>
            <w:noProof/>
            <w:webHidden/>
          </w:rPr>
          <w:fldChar w:fldCharType="separate"/>
        </w:r>
        <w:r w:rsidR="00FA7ED4">
          <w:rPr>
            <w:noProof/>
            <w:webHidden/>
          </w:rPr>
          <w:t>v</w:t>
        </w:r>
        <w:r>
          <w:rPr>
            <w:noProof/>
            <w:webHidden/>
          </w:rPr>
          <w:fldChar w:fldCharType="end"/>
        </w:r>
      </w:hyperlink>
    </w:p>
    <w:p w14:paraId="31A2F5D6" w14:textId="7C3BDE63" w:rsidR="00570988" w:rsidRDefault="00FA7ED4">
      <w:pPr>
        <w:pStyle w:val="TOC1"/>
        <w:rPr>
          <w:rFonts w:asciiTheme="minorHAnsi" w:eastAsiaTheme="minorEastAsia" w:hAnsiTheme="minorHAnsi" w:cstheme="minorBidi"/>
          <w:noProof/>
          <w:sz w:val="22"/>
          <w:szCs w:val="22"/>
          <w:lang w:eastAsia="en-NZ"/>
        </w:rPr>
      </w:pPr>
      <w:hyperlink w:anchor="_Toc23507652" w:history="1">
        <w:r w:rsidR="00570988" w:rsidRPr="005E04EB">
          <w:rPr>
            <w:rStyle w:val="Hyperlink"/>
            <w:noProof/>
          </w:rPr>
          <w:t>Introduction</w:t>
        </w:r>
        <w:r w:rsidR="00570988">
          <w:rPr>
            <w:noProof/>
            <w:webHidden/>
          </w:rPr>
          <w:tab/>
        </w:r>
        <w:r w:rsidR="00570988">
          <w:rPr>
            <w:noProof/>
            <w:webHidden/>
          </w:rPr>
          <w:fldChar w:fldCharType="begin"/>
        </w:r>
        <w:r w:rsidR="00570988">
          <w:rPr>
            <w:noProof/>
            <w:webHidden/>
          </w:rPr>
          <w:instrText xml:space="preserve"> PAGEREF _Toc23507652 \h </w:instrText>
        </w:r>
        <w:r w:rsidR="00570988">
          <w:rPr>
            <w:noProof/>
            <w:webHidden/>
          </w:rPr>
        </w:r>
        <w:r w:rsidR="00570988">
          <w:rPr>
            <w:noProof/>
            <w:webHidden/>
          </w:rPr>
          <w:fldChar w:fldCharType="separate"/>
        </w:r>
        <w:r>
          <w:rPr>
            <w:noProof/>
            <w:webHidden/>
          </w:rPr>
          <w:t>1</w:t>
        </w:r>
        <w:r w:rsidR="00570988">
          <w:rPr>
            <w:noProof/>
            <w:webHidden/>
          </w:rPr>
          <w:fldChar w:fldCharType="end"/>
        </w:r>
      </w:hyperlink>
    </w:p>
    <w:p w14:paraId="53BDDA26" w14:textId="773FBF54" w:rsidR="00570988" w:rsidRDefault="00FA7ED4">
      <w:pPr>
        <w:pStyle w:val="TOC1"/>
        <w:rPr>
          <w:rFonts w:asciiTheme="minorHAnsi" w:eastAsiaTheme="minorEastAsia" w:hAnsiTheme="minorHAnsi" w:cstheme="minorBidi"/>
          <w:noProof/>
          <w:sz w:val="22"/>
          <w:szCs w:val="22"/>
          <w:lang w:eastAsia="en-NZ"/>
        </w:rPr>
      </w:pPr>
      <w:hyperlink w:anchor="_Toc23507653" w:history="1">
        <w:r w:rsidR="00570988" w:rsidRPr="005E04EB">
          <w:rPr>
            <w:rStyle w:val="Hyperlink"/>
            <w:noProof/>
          </w:rPr>
          <w:t>Sexual identity</w:t>
        </w:r>
        <w:r w:rsidR="00570988">
          <w:rPr>
            <w:noProof/>
            <w:webHidden/>
          </w:rPr>
          <w:tab/>
        </w:r>
        <w:r w:rsidR="00570988">
          <w:rPr>
            <w:noProof/>
            <w:webHidden/>
          </w:rPr>
          <w:fldChar w:fldCharType="begin"/>
        </w:r>
        <w:r w:rsidR="00570988">
          <w:rPr>
            <w:noProof/>
            <w:webHidden/>
          </w:rPr>
          <w:instrText xml:space="preserve"> PAGEREF _Toc23507653 \h </w:instrText>
        </w:r>
        <w:r w:rsidR="00570988">
          <w:rPr>
            <w:noProof/>
            <w:webHidden/>
          </w:rPr>
        </w:r>
        <w:r w:rsidR="00570988">
          <w:rPr>
            <w:noProof/>
            <w:webHidden/>
          </w:rPr>
          <w:fldChar w:fldCharType="separate"/>
        </w:r>
        <w:r>
          <w:rPr>
            <w:noProof/>
            <w:webHidden/>
          </w:rPr>
          <w:t>2</w:t>
        </w:r>
        <w:r w:rsidR="00570988">
          <w:rPr>
            <w:noProof/>
            <w:webHidden/>
          </w:rPr>
          <w:fldChar w:fldCharType="end"/>
        </w:r>
      </w:hyperlink>
    </w:p>
    <w:p w14:paraId="3566C19E" w14:textId="70EA839F" w:rsidR="00570988" w:rsidRDefault="00FA7ED4">
      <w:pPr>
        <w:pStyle w:val="TOC1"/>
        <w:rPr>
          <w:rFonts w:asciiTheme="minorHAnsi" w:eastAsiaTheme="minorEastAsia" w:hAnsiTheme="minorHAnsi" w:cstheme="minorBidi"/>
          <w:noProof/>
          <w:sz w:val="22"/>
          <w:szCs w:val="22"/>
          <w:lang w:eastAsia="en-NZ"/>
        </w:rPr>
      </w:pPr>
      <w:hyperlink w:anchor="_Toc23507654" w:history="1">
        <w:r w:rsidR="00570988" w:rsidRPr="005E04EB">
          <w:rPr>
            <w:rStyle w:val="Hyperlink"/>
            <w:noProof/>
          </w:rPr>
          <w:t>Same-gender sex</w:t>
        </w:r>
        <w:r w:rsidR="00570988">
          <w:rPr>
            <w:noProof/>
            <w:webHidden/>
          </w:rPr>
          <w:tab/>
        </w:r>
        <w:r w:rsidR="00570988">
          <w:rPr>
            <w:noProof/>
            <w:webHidden/>
          </w:rPr>
          <w:fldChar w:fldCharType="begin"/>
        </w:r>
        <w:r w:rsidR="00570988">
          <w:rPr>
            <w:noProof/>
            <w:webHidden/>
          </w:rPr>
          <w:instrText xml:space="preserve"> PAGEREF _Toc23507654 \h </w:instrText>
        </w:r>
        <w:r w:rsidR="00570988">
          <w:rPr>
            <w:noProof/>
            <w:webHidden/>
          </w:rPr>
        </w:r>
        <w:r w:rsidR="00570988">
          <w:rPr>
            <w:noProof/>
            <w:webHidden/>
          </w:rPr>
          <w:fldChar w:fldCharType="separate"/>
        </w:r>
        <w:r>
          <w:rPr>
            <w:noProof/>
            <w:webHidden/>
          </w:rPr>
          <w:t>5</w:t>
        </w:r>
        <w:r w:rsidR="00570988">
          <w:rPr>
            <w:noProof/>
            <w:webHidden/>
          </w:rPr>
          <w:fldChar w:fldCharType="end"/>
        </w:r>
      </w:hyperlink>
    </w:p>
    <w:p w14:paraId="421E8DC2" w14:textId="74919082" w:rsidR="00570988" w:rsidRDefault="00FA7ED4">
      <w:pPr>
        <w:pStyle w:val="TOC2"/>
        <w:rPr>
          <w:rFonts w:asciiTheme="minorHAnsi" w:eastAsiaTheme="minorEastAsia" w:hAnsiTheme="minorHAnsi" w:cstheme="minorBidi"/>
          <w:noProof/>
          <w:szCs w:val="22"/>
          <w:lang w:eastAsia="en-NZ"/>
        </w:rPr>
      </w:pPr>
      <w:hyperlink w:anchor="_Toc23507655" w:history="1">
        <w:r w:rsidR="00570988" w:rsidRPr="005E04EB">
          <w:rPr>
            <w:rStyle w:val="Hyperlink"/>
            <w:noProof/>
          </w:rPr>
          <w:t>Same-gender sex in lifetime</w:t>
        </w:r>
        <w:r w:rsidR="00570988">
          <w:rPr>
            <w:noProof/>
            <w:webHidden/>
          </w:rPr>
          <w:tab/>
        </w:r>
        <w:r w:rsidR="00570988">
          <w:rPr>
            <w:noProof/>
            <w:webHidden/>
          </w:rPr>
          <w:fldChar w:fldCharType="begin"/>
        </w:r>
        <w:r w:rsidR="00570988">
          <w:rPr>
            <w:noProof/>
            <w:webHidden/>
          </w:rPr>
          <w:instrText xml:space="preserve"> PAGEREF _Toc23507655 \h </w:instrText>
        </w:r>
        <w:r w:rsidR="00570988">
          <w:rPr>
            <w:noProof/>
            <w:webHidden/>
          </w:rPr>
        </w:r>
        <w:r w:rsidR="00570988">
          <w:rPr>
            <w:noProof/>
            <w:webHidden/>
          </w:rPr>
          <w:fldChar w:fldCharType="separate"/>
        </w:r>
        <w:r>
          <w:rPr>
            <w:noProof/>
            <w:webHidden/>
          </w:rPr>
          <w:t>5</w:t>
        </w:r>
        <w:r w:rsidR="00570988">
          <w:rPr>
            <w:noProof/>
            <w:webHidden/>
          </w:rPr>
          <w:fldChar w:fldCharType="end"/>
        </w:r>
      </w:hyperlink>
    </w:p>
    <w:p w14:paraId="293130A2" w14:textId="36448705" w:rsidR="00570988" w:rsidRDefault="00FA7ED4">
      <w:pPr>
        <w:pStyle w:val="TOC2"/>
        <w:rPr>
          <w:rFonts w:asciiTheme="minorHAnsi" w:eastAsiaTheme="minorEastAsia" w:hAnsiTheme="minorHAnsi" w:cstheme="minorBidi"/>
          <w:noProof/>
          <w:szCs w:val="22"/>
          <w:lang w:eastAsia="en-NZ"/>
        </w:rPr>
      </w:pPr>
      <w:hyperlink w:anchor="_Toc23507656" w:history="1">
        <w:r w:rsidR="00570988" w:rsidRPr="005E04EB">
          <w:rPr>
            <w:rStyle w:val="Hyperlink"/>
            <w:noProof/>
          </w:rPr>
          <w:t>Had sexual partner of the same gender in the five years preceding the survey</w:t>
        </w:r>
        <w:r w:rsidR="00570988">
          <w:rPr>
            <w:noProof/>
            <w:webHidden/>
          </w:rPr>
          <w:tab/>
        </w:r>
        <w:r w:rsidR="00570988">
          <w:rPr>
            <w:noProof/>
            <w:webHidden/>
          </w:rPr>
          <w:fldChar w:fldCharType="begin"/>
        </w:r>
        <w:r w:rsidR="00570988">
          <w:rPr>
            <w:noProof/>
            <w:webHidden/>
          </w:rPr>
          <w:instrText xml:space="preserve"> PAGEREF _Toc23507656 \h </w:instrText>
        </w:r>
        <w:r w:rsidR="00570988">
          <w:rPr>
            <w:noProof/>
            <w:webHidden/>
          </w:rPr>
        </w:r>
        <w:r w:rsidR="00570988">
          <w:rPr>
            <w:noProof/>
            <w:webHidden/>
          </w:rPr>
          <w:fldChar w:fldCharType="separate"/>
        </w:r>
        <w:r>
          <w:rPr>
            <w:noProof/>
            <w:webHidden/>
          </w:rPr>
          <w:t>8</w:t>
        </w:r>
        <w:r w:rsidR="00570988">
          <w:rPr>
            <w:noProof/>
            <w:webHidden/>
          </w:rPr>
          <w:fldChar w:fldCharType="end"/>
        </w:r>
      </w:hyperlink>
    </w:p>
    <w:p w14:paraId="5F237291" w14:textId="5D12578F" w:rsidR="00570988" w:rsidRDefault="00FA7ED4">
      <w:pPr>
        <w:pStyle w:val="TOC1"/>
        <w:rPr>
          <w:rFonts w:asciiTheme="minorHAnsi" w:eastAsiaTheme="minorEastAsia" w:hAnsiTheme="minorHAnsi" w:cstheme="minorBidi"/>
          <w:noProof/>
          <w:sz w:val="22"/>
          <w:szCs w:val="22"/>
          <w:lang w:eastAsia="en-NZ"/>
        </w:rPr>
      </w:pPr>
      <w:hyperlink w:anchor="_Toc23507657" w:history="1">
        <w:r w:rsidR="00570988" w:rsidRPr="005E04EB">
          <w:rPr>
            <w:rStyle w:val="Hyperlink"/>
            <w:noProof/>
          </w:rPr>
          <w:t>Sexual attraction</w:t>
        </w:r>
        <w:r w:rsidR="00570988">
          <w:rPr>
            <w:noProof/>
            <w:webHidden/>
          </w:rPr>
          <w:tab/>
        </w:r>
        <w:r w:rsidR="00570988">
          <w:rPr>
            <w:noProof/>
            <w:webHidden/>
          </w:rPr>
          <w:fldChar w:fldCharType="begin"/>
        </w:r>
        <w:r w:rsidR="00570988">
          <w:rPr>
            <w:noProof/>
            <w:webHidden/>
          </w:rPr>
          <w:instrText xml:space="preserve"> PAGEREF _Toc23507657 \h </w:instrText>
        </w:r>
        <w:r w:rsidR="00570988">
          <w:rPr>
            <w:noProof/>
            <w:webHidden/>
          </w:rPr>
        </w:r>
        <w:r w:rsidR="00570988">
          <w:rPr>
            <w:noProof/>
            <w:webHidden/>
          </w:rPr>
          <w:fldChar w:fldCharType="separate"/>
        </w:r>
        <w:r>
          <w:rPr>
            <w:noProof/>
            <w:webHidden/>
          </w:rPr>
          <w:t>9</w:t>
        </w:r>
        <w:r w:rsidR="00570988">
          <w:rPr>
            <w:noProof/>
            <w:webHidden/>
          </w:rPr>
          <w:fldChar w:fldCharType="end"/>
        </w:r>
      </w:hyperlink>
    </w:p>
    <w:p w14:paraId="6DEF1BF6" w14:textId="174548F7" w:rsidR="00570988" w:rsidRDefault="00FA7ED4">
      <w:pPr>
        <w:pStyle w:val="TOC2"/>
        <w:rPr>
          <w:rFonts w:asciiTheme="minorHAnsi" w:eastAsiaTheme="minorEastAsia" w:hAnsiTheme="minorHAnsi" w:cstheme="minorBidi"/>
          <w:noProof/>
          <w:szCs w:val="22"/>
          <w:lang w:eastAsia="en-NZ"/>
        </w:rPr>
      </w:pPr>
      <w:hyperlink w:anchor="_Toc23507658" w:history="1">
        <w:r w:rsidR="00570988" w:rsidRPr="005E04EB">
          <w:rPr>
            <w:rStyle w:val="Hyperlink"/>
            <w:noProof/>
          </w:rPr>
          <w:t>Sexual attraction in lifetime</w:t>
        </w:r>
        <w:r w:rsidR="00570988">
          <w:rPr>
            <w:noProof/>
            <w:webHidden/>
          </w:rPr>
          <w:tab/>
        </w:r>
        <w:r w:rsidR="00570988">
          <w:rPr>
            <w:noProof/>
            <w:webHidden/>
          </w:rPr>
          <w:fldChar w:fldCharType="begin"/>
        </w:r>
        <w:r w:rsidR="00570988">
          <w:rPr>
            <w:noProof/>
            <w:webHidden/>
          </w:rPr>
          <w:instrText xml:space="preserve"> PAGEREF _Toc23507658 \h </w:instrText>
        </w:r>
        <w:r w:rsidR="00570988">
          <w:rPr>
            <w:noProof/>
            <w:webHidden/>
          </w:rPr>
        </w:r>
        <w:r w:rsidR="00570988">
          <w:rPr>
            <w:noProof/>
            <w:webHidden/>
          </w:rPr>
          <w:fldChar w:fldCharType="separate"/>
        </w:r>
        <w:r>
          <w:rPr>
            <w:noProof/>
            <w:webHidden/>
          </w:rPr>
          <w:t>9</w:t>
        </w:r>
        <w:r w:rsidR="00570988">
          <w:rPr>
            <w:noProof/>
            <w:webHidden/>
          </w:rPr>
          <w:fldChar w:fldCharType="end"/>
        </w:r>
      </w:hyperlink>
    </w:p>
    <w:p w14:paraId="09108CCE" w14:textId="04CF9868" w:rsidR="00570988" w:rsidRDefault="00FA7ED4">
      <w:pPr>
        <w:pStyle w:val="TOC2"/>
        <w:rPr>
          <w:rFonts w:asciiTheme="minorHAnsi" w:eastAsiaTheme="minorEastAsia" w:hAnsiTheme="minorHAnsi" w:cstheme="minorBidi"/>
          <w:noProof/>
          <w:szCs w:val="22"/>
          <w:lang w:eastAsia="en-NZ"/>
        </w:rPr>
      </w:pPr>
      <w:hyperlink w:anchor="_Toc23507659" w:history="1">
        <w:r w:rsidR="00570988" w:rsidRPr="005E04EB">
          <w:rPr>
            <w:rStyle w:val="Hyperlink"/>
            <w:noProof/>
          </w:rPr>
          <w:t>Sexual attraction in the 12 months preceding the survey</w:t>
        </w:r>
        <w:r w:rsidR="00570988">
          <w:rPr>
            <w:noProof/>
            <w:webHidden/>
          </w:rPr>
          <w:tab/>
        </w:r>
        <w:r w:rsidR="00570988">
          <w:rPr>
            <w:noProof/>
            <w:webHidden/>
          </w:rPr>
          <w:fldChar w:fldCharType="begin"/>
        </w:r>
        <w:r w:rsidR="00570988">
          <w:rPr>
            <w:noProof/>
            <w:webHidden/>
          </w:rPr>
          <w:instrText xml:space="preserve"> PAGEREF _Toc23507659 \h </w:instrText>
        </w:r>
        <w:r w:rsidR="00570988">
          <w:rPr>
            <w:noProof/>
            <w:webHidden/>
          </w:rPr>
        </w:r>
        <w:r w:rsidR="00570988">
          <w:rPr>
            <w:noProof/>
            <w:webHidden/>
          </w:rPr>
          <w:fldChar w:fldCharType="separate"/>
        </w:r>
        <w:r>
          <w:rPr>
            <w:noProof/>
            <w:webHidden/>
          </w:rPr>
          <w:t>12</w:t>
        </w:r>
        <w:r w:rsidR="00570988">
          <w:rPr>
            <w:noProof/>
            <w:webHidden/>
          </w:rPr>
          <w:fldChar w:fldCharType="end"/>
        </w:r>
      </w:hyperlink>
    </w:p>
    <w:p w14:paraId="5AF6659E" w14:textId="1A6C4703" w:rsidR="00570988" w:rsidRDefault="00FA7ED4">
      <w:pPr>
        <w:pStyle w:val="TOC1"/>
        <w:rPr>
          <w:rFonts w:asciiTheme="minorHAnsi" w:eastAsiaTheme="minorEastAsia" w:hAnsiTheme="minorHAnsi" w:cstheme="minorBidi"/>
          <w:noProof/>
          <w:sz w:val="22"/>
          <w:szCs w:val="22"/>
          <w:lang w:eastAsia="en-NZ"/>
        </w:rPr>
      </w:pPr>
      <w:hyperlink w:anchor="_Toc23507660" w:history="1">
        <w:r w:rsidR="00570988" w:rsidRPr="005E04EB">
          <w:rPr>
            <w:rStyle w:val="Hyperlink"/>
            <w:noProof/>
          </w:rPr>
          <w:t>Interpretation notes</w:t>
        </w:r>
        <w:r w:rsidR="00570988">
          <w:rPr>
            <w:noProof/>
            <w:webHidden/>
          </w:rPr>
          <w:tab/>
        </w:r>
        <w:r w:rsidR="00570988">
          <w:rPr>
            <w:noProof/>
            <w:webHidden/>
          </w:rPr>
          <w:fldChar w:fldCharType="begin"/>
        </w:r>
        <w:r w:rsidR="00570988">
          <w:rPr>
            <w:noProof/>
            <w:webHidden/>
          </w:rPr>
          <w:instrText xml:space="preserve"> PAGEREF _Toc23507660 \h </w:instrText>
        </w:r>
        <w:r w:rsidR="00570988">
          <w:rPr>
            <w:noProof/>
            <w:webHidden/>
          </w:rPr>
        </w:r>
        <w:r w:rsidR="00570988">
          <w:rPr>
            <w:noProof/>
            <w:webHidden/>
          </w:rPr>
          <w:fldChar w:fldCharType="separate"/>
        </w:r>
        <w:r>
          <w:rPr>
            <w:noProof/>
            <w:webHidden/>
          </w:rPr>
          <w:t>13</w:t>
        </w:r>
        <w:r w:rsidR="00570988">
          <w:rPr>
            <w:noProof/>
            <w:webHidden/>
          </w:rPr>
          <w:fldChar w:fldCharType="end"/>
        </w:r>
      </w:hyperlink>
    </w:p>
    <w:p w14:paraId="39A553BD" w14:textId="0CD38424" w:rsidR="00570988" w:rsidRDefault="00FA7ED4">
      <w:pPr>
        <w:pStyle w:val="TOC1"/>
        <w:rPr>
          <w:rFonts w:asciiTheme="minorHAnsi" w:eastAsiaTheme="minorEastAsia" w:hAnsiTheme="minorHAnsi" w:cstheme="minorBidi"/>
          <w:noProof/>
          <w:sz w:val="22"/>
          <w:szCs w:val="22"/>
          <w:lang w:eastAsia="en-NZ"/>
        </w:rPr>
      </w:pPr>
      <w:hyperlink w:anchor="_Toc23507661" w:history="1">
        <w:r w:rsidR="00570988" w:rsidRPr="005E04EB">
          <w:rPr>
            <w:rStyle w:val="Hyperlink"/>
            <w:noProof/>
          </w:rPr>
          <w:t>Overview of survey methodology</w:t>
        </w:r>
        <w:r w:rsidR="00570988">
          <w:rPr>
            <w:noProof/>
            <w:webHidden/>
          </w:rPr>
          <w:tab/>
        </w:r>
        <w:r w:rsidR="00570988">
          <w:rPr>
            <w:noProof/>
            <w:webHidden/>
          </w:rPr>
          <w:fldChar w:fldCharType="begin"/>
        </w:r>
        <w:r w:rsidR="00570988">
          <w:rPr>
            <w:noProof/>
            <w:webHidden/>
          </w:rPr>
          <w:instrText xml:space="preserve"> PAGEREF _Toc23507661 \h </w:instrText>
        </w:r>
        <w:r w:rsidR="00570988">
          <w:rPr>
            <w:noProof/>
            <w:webHidden/>
          </w:rPr>
        </w:r>
        <w:r w:rsidR="00570988">
          <w:rPr>
            <w:noProof/>
            <w:webHidden/>
          </w:rPr>
          <w:fldChar w:fldCharType="separate"/>
        </w:r>
        <w:r>
          <w:rPr>
            <w:noProof/>
            <w:webHidden/>
          </w:rPr>
          <w:t>15</w:t>
        </w:r>
        <w:r w:rsidR="00570988">
          <w:rPr>
            <w:noProof/>
            <w:webHidden/>
          </w:rPr>
          <w:fldChar w:fldCharType="end"/>
        </w:r>
      </w:hyperlink>
    </w:p>
    <w:p w14:paraId="168A3E5F" w14:textId="58ED9CAF" w:rsidR="00570988" w:rsidRDefault="00FA7ED4">
      <w:pPr>
        <w:pStyle w:val="TOC1"/>
        <w:rPr>
          <w:rFonts w:asciiTheme="minorHAnsi" w:eastAsiaTheme="minorEastAsia" w:hAnsiTheme="minorHAnsi" w:cstheme="minorBidi"/>
          <w:noProof/>
          <w:sz w:val="22"/>
          <w:szCs w:val="22"/>
          <w:lang w:eastAsia="en-NZ"/>
        </w:rPr>
      </w:pPr>
      <w:hyperlink w:anchor="_Toc23507662" w:history="1">
        <w:r w:rsidR="00570988" w:rsidRPr="005E04EB">
          <w:rPr>
            <w:rStyle w:val="Hyperlink"/>
            <w:noProof/>
          </w:rPr>
          <w:t>References</w:t>
        </w:r>
        <w:r w:rsidR="00570988">
          <w:rPr>
            <w:noProof/>
            <w:webHidden/>
          </w:rPr>
          <w:tab/>
        </w:r>
        <w:r w:rsidR="00570988">
          <w:rPr>
            <w:noProof/>
            <w:webHidden/>
          </w:rPr>
          <w:fldChar w:fldCharType="begin"/>
        </w:r>
        <w:r w:rsidR="00570988">
          <w:rPr>
            <w:noProof/>
            <w:webHidden/>
          </w:rPr>
          <w:instrText xml:space="preserve"> PAGEREF _Toc23507662 \h </w:instrText>
        </w:r>
        <w:r w:rsidR="00570988">
          <w:rPr>
            <w:noProof/>
            <w:webHidden/>
          </w:rPr>
        </w:r>
        <w:r w:rsidR="00570988">
          <w:rPr>
            <w:noProof/>
            <w:webHidden/>
          </w:rPr>
          <w:fldChar w:fldCharType="separate"/>
        </w:r>
        <w:r>
          <w:rPr>
            <w:noProof/>
            <w:webHidden/>
          </w:rPr>
          <w:t>17</w:t>
        </w:r>
        <w:r w:rsidR="00570988">
          <w:rPr>
            <w:noProof/>
            <w:webHidden/>
          </w:rPr>
          <w:fldChar w:fldCharType="end"/>
        </w:r>
      </w:hyperlink>
    </w:p>
    <w:p w14:paraId="5133917B" w14:textId="3E7054E6" w:rsidR="00C86248" w:rsidRDefault="00570988">
      <w:r>
        <w:rPr>
          <w:rFonts w:ascii="Segoe UI Semibold" w:hAnsi="Segoe UI Semibold"/>
          <w:b/>
          <w:sz w:val="24"/>
        </w:rPr>
        <w:fldChar w:fldCharType="end"/>
      </w:r>
    </w:p>
    <w:p w14:paraId="4260F081" w14:textId="77777777" w:rsidR="000A0158" w:rsidRDefault="000A0158" w:rsidP="002B76A7">
      <w:pPr>
        <w:pStyle w:val="TOC1"/>
        <w:keepNext/>
      </w:pPr>
      <w:r>
        <w:t>List of Figures</w:t>
      </w:r>
    </w:p>
    <w:p w14:paraId="4C88E1D5" w14:textId="3D4EDF57" w:rsidR="00570988" w:rsidRDefault="00570988">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23507663" w:history="1">
        <w:r w:rsidRPr="00596A59">
          <w:rPr>
            <w:rStyle w:val="Hyperlink"/>
            <w:noProof/>
          </w:rPr>
          <w:t>Figure 1: Sexual identity by age group and gender</w:t>
        </w:r>
        <w:r>
          <w:rPr>
            <w:noProof/>
            <w:webHidden/>
          </w:rPr>
          <w:tab/>
        </w:r>
        <w:r>
          <w:rPr>
            <w:noProof/>
            <w:webHidden/>
          </w:rPr>
          <w:fldChar w:fldCharType="begin"/>
        </w:r>
        <w:r>
          <w:rPr>
            <w:noProof/>
            <w:webHidden/>
          </w:rPr>
          <w:instrText xml:space="preserve"> PAGEREF _Toc23507663 \h </w:instrText>
        </w:r>
        <w:r>
          <w:rPr>
            <w:noProof/>
            <w:webHidden/>
          </w:rPr>
        </w:r>
        <w:r>
          <w:rPr>
            <w:noProof/>
            <w:webHidden/>
          </w:rPr>
          <w:fldChar w:fldCharType="separate"/>
        </w:r>
        <w:r w:rsidR="00FA7ED4">
          <w:rPr>
            <w:noProof/>
            <w:webHidden/>
          </w:rPr>
          <w:t>2</w:t>
        </w:r>
        <w:r>
          <w:rPr>
            <w:noProof/>
            <w:webHidden/>
          </w:rPr>
          <w:fldChar w:fldCharType="end"/>
        </w:r>
      </w:hyperlink>
    </w:p>
    <w:p w14:paraId="3A4C7AA7" w14:textId="06635C25" w:rsidR="00570988" w:rsidRDefault="00FA7ED4">
      <w:pPr>
        <w:pStyle w:val="TOC3"/>
        <w:rPr>
          <w:rFonts w:asciiTheme="minorHAnsi" w:eastAsiaTheme="minorEastAsia" w:hAnsiTheme="minorHAnsi" w:cstheme="minorBidi"/>
          <w:noProof/>
          <w:sz w:val="22"/>
          <w:szCs w:val="22"/>
          <w:lang w:eastAsia="en-NZ"/>
        </w:rPr>
      </w:pPr>
      <w:hyperlink w:anchor="_Toc23507664" w:history="1">
        <w:r w:rsidR="00570988" w:rsidRPr="00596A59">
          <w:rPr>
            <w:rStyle w:val="Hyperlink"/>
            <w:noProof/>
          </w:rPr>
          <w:t>Figure 2: Sexual identity, by ethnic group and gender</w:t>
        </w:r>
        <w:r w:rsidR="00570988">
          <w:rPr>
            <w:noProof/>
            <w:webHidden/>
          </w:rPr>
          <w:tab/>
        </w:r>
        <w:r w:rsidR="00570988">
          <w:rPr>
            <w:noProof/>
            <w:webHidden/>
          </w:rPr>
          <w:fldChar w:fldCharType="begin"/>
        </w:r>
        <w:r w:rsidR="00570988">
          <w:rPr>
            <w:noProof/>
            <w:webHidden/>
          </w:rPr>
          <w:instrText xml:space="preserve"> PAGEREF _Toc23507664 \h </w:instrText>
        </w:r>
        <w:r w:rsidR="00570988">
          <w:rPr>
            <w:noProof/>
            <w:webHidden/>
          </w:rPr>
        </w:r>
        <w:r w:rsidR="00570988">
          <w:rPr>
            <w:noProof/>
            <w:webHidden/>
          </w:rPr>
          <w:fldChar w:fldCharType="separate"/>
        </w:r>
        <w:r>
          <w:rPr>
            <w:noProof/>
            <w:webHidden/>
          </w:rPr>
          <w:t>3</w:t>
        </w:r>
        <w:r w:rsidR="00570988">
          <w:rPr>
            <w:noProof/>
            <w:webHidden/>
          </w:rPr>
          <w:fldChar w:fldCharType="end"/>
        </w:r>
      </w:hyperlink>
    </w:p>
    <w:p w14:paraId="230A1D14" w14:textId="2B6C2E98" w:rsidR="00570988" w:rsidRDefault="00FA7ED4">
      <w:pPr>
        <w:pStyle w:val="TOC3"/>
        <w:rPr>
          <w:rFonts w:asciiTheme="minorHAnsi" w:eastAsiaTheme="minorEastAsia" w:hAnsiTheme="minorHAnsi" w:cstheme="minorBidi"/>
          <w:noProof/>
          <w:sz w:val="22"/>
          <w:szCs w:val="22"/>
          <w:lang w:eastAsia="en-NZ"/>
        </w:rPr>
      </w:pPr>
      <w:hyperlink w:anchor="_Toc23507665" w:history="1">
        <w:r w:rsidR="00570988" w:rsidRPr="00596A59">
          <w:rPr>
            <w:rStyle w:val="Hyperlink"/>
            <w:noProof/>
          </w:rPr>
          <w:t>Figure 3: Same-gender sex in lifetime, by age group and gender</w:t>
        </w:r>
        <w:r w:rsidR="00570988">
          <w:rPr>
            <w:noProof/>
            <w:webHidden/>
          </w:rPr>
          <w:tab/>
        </w:r>
        <w:r w:rsidR="00570988">
          <w:rPr>
            <w:noProof/>
            <w:webHidden/>
          </w:rPr>
          <w:fldChar w:fldCharType="begin"/>
        </w:r>
        <w:r w:rsidR="00570988">
          <w:rPr>
            <w:noProof/>
            <w:webHidden/>
          </w:rPr>
          <w:instrText xml:space="preserve"> PAGEREF _Toc23507665 \h </w:instrText>
        </w:r>
        <w:r w:rsidR="00570988">
          <w:rPr>
            <w:noProof/>
            <w:webHidden/>
          </w:rPr>
        </w:r>
        <w:r w:rsidR="00570988">
          <w:rPr>
            <w:noProof/>
            <w:webHidden/>
          </w:rPr>
          <w:fldChar w:fldCharType="separate"/>
        </w:r>
        <w:r>
          <w:rPr>
            <w:noProof/>
            <w:webHidden/>
          </w:rPr>
          <w:t>6</w:t>
        </w:r>
        <w:r w:rsidR="00570988">
          <w:rPr>
            <w:noProof/>
            <w:webHidden/>
          </w:rPr>
          <w:fldChar w:fldCharType="end"/>
        </w:r>
      </w:hyperlink>
    </w:p>
    <w:p w14:paraId="560A5BE2" w14:textId="051816CD" w:rsidR="00570988" w:rsidRDefault="00FA7ED4">
      <w:pPr>
        <w:pStyle w:val="TOC3"/>
        <w:rPr>
          <w:rFonts w:asciiTheme="minorHAnsi" w:eastAsiaTheme="minorEastAsia" w:hAnsiTheme="minorHAnsi" w:cstheme="minorBidi"/>
          <w:noProof/>
          <w:sz w:val="22"/>
          <w:szCs w:val="22"/>
          <w:lang w:eastAsia="en-NZ"/>
        </w:rPr>
      </w:pPr>
      <w:hyperlink w:anchor="_Toc23507666" w:history="1">
        <w:r w:rsidR="00570988" w:rsidRPr="00596A59">
          <w:rPr>
            <w:rStyle w:val="Hyperlink"/>
            <w:noProof/>
          </w:rPr>
          <w:t>Figure 4: Same-gender sex in lifetime, by ethnic group and gender</w:t>
        </w:r>
        <w:r w:rsidR="00570988">
          <w:rPr>
            <w:noProof/>
            <w:webHidden/>
          </w:rPr>
          <w:tab/>
        </w:r>
        <w:r w:rsidR="00570988">
          <w:rPr>
            <w:noProof/>
            <w:webHidden/>
          </w:rPr>
          <w:fldChar w:fldCharType="begin"/>
        </w:r>
        <w:r w:rsidR="00570988">
          <w:rPr>
            <w:noProof/>
            <w:webHidden/>
          </w:rPr>
          <w:instrText xml:space="preserve"> PAGEREF _Toc23507666 \h </w:instrText>
        </w:r>
        <w:r w:rsidR="00570988">
          <w:rPr>
            <w:noProof/>
            <w:webHidden/>
          </w:rPr>
        </w:r>
        <w:r w:rsidR="00570988">
          <w:rPr>
            <w:noProof/>
            <w:webHidden/>
          </w:rPr>
          <w:fldChar w:fldCharType="separate"/>
        </w:r>
        <w:r>
          <w:rPr>
            <w:noProof/>
            <w:webHidden/>
          </w:rPr>
          <w:t>7</w:t>
        </w:r>
        <w:r w:rsidR="00570988">
          <w:rPr>
            <w:noProof/>
            <w:webHidden/>
          </w:rPr>
          <w:fldChar w:fldCharType="end"/>
        </w:r>
      </w:hyperlink>
    </w:p>
    <w:p w14:paraId="6673E236" w14:textId="208443FC" w:rsidR="00570988" w:rsidRDefault="00FA7ED4">
      <w:pPr>
        <w:pStyle w:val="TOC3"/>
        <w:rPr>
          <w:rFonts w:asciiTheme="minorHAnsi" w:eastAsiaTheme="minorEastAsia" w:hAnsiTheme="minorHAnsi" w:cstheme="minorBidi"/>
          <w:noProof/>
          <w:sz w:val="22"/>
          <w:szCs w:val="22"/>
          <w:lang w:eastAsia="en-NZ"/>
        </w:rPr>
      </w:pPr>
      <w:hyperlink w:anchor="_Toc23507667" w:history="1">
        <w:r w:rsidR="00570988" w:rsidRPr="00596A59">
          <w:rPr>
            <w:rStyle w:val="Hyperlink"/>
            <w:noProof/>
          </w:rPr>
          <w:t>Figure 5: Had a sexual partner of the same gender in the five years preceding the survey, by age group and gender</w:t>
        </w:r>
        <w:r w:rsidR="00570988">
          <w:rPr>
            <w:noProof/>
            <w:webHidden/>
          </w:rPr>
          <w:tab/>
        </w:r>
        <w:r w:rsidR="00570988">
          <w:rPr>
            <w:noProof/>
            <w:webHidden/>
          </w:rPr>
          <w:fldChar w:fldCharType="begin"/>
        </w:r>
        <w:r w:rsidR="00570988">
          <w:rPr>
            <w:noProof/>
            <w:webHidden/>
          </w:rPr>
          <w:instrText xml:space="preserve"> PAGEREF _Toc23507667 \h </w:instrText>
        </w:r>
        <w:r w:rsidR="00570988">
          <w:rPr>
            <w:noProof/>
            <w:webHidden/>
          </w:rPr>
        </w:r>
        <w:r w:rsidR="00570988">
          <w:rPr>
            <w:noProof/>
            <w:webHidden/>
          </w:rPr>
          <w:fldChar w:fldCharType="separate"/>
        </w:r>
        <w:r>
          <w:rPr>
            <w:noProof/>
            <w:webHidden/>
          </w:rPr>
          <w:t>8</w:t>
        </w:r>
        <w:r w:rsidR="00570988">
          <w:rPr>
            <w:noProof/>
            <w:webHidden/>
          </w:rPr>
          <w:fldChar w:fldCharType="end"/>
        </w:r>
      </w:hyperlink>
    </w:p>
    <w:p w14:paraId="06BA2E27" w14:textId="23EF52C5" w:rsidR="00570988" w:rsidRDefault="00FA7ED4">
      <w:pPr>
        <w:pStyle w:val="TOC3"/>
        <w:rPr>
          <w:rFonts w:asciiTheme="minorHAnsi" w:eastAsiaTheme="minorEastAsia" w:hAnsiTheme="minorHAnsi" w:cstheme="minorBidi"/>
          <w:noProof/>
          <w:sz w:val="22"/>
          <w:szCs w:val="22"/>
          <w:lang w:eastAsia="en-NZ"/>
        </w:rPr>
      </w:pPr>
      <w:hyperlink w:anchor="_Toc23507668" w:history="1">
        <w:r w:rsidR="00570988" w:rsidRPr="00596A59">
          <w:rPr>
            <w:rStyle w:val="Hyperlink"/>
            <w:noProof/>
          </w:rPr>
          <w:t>Figure 6: Sexual attraction in lifetime, by age group and gender</w:t>
        </w:r>
        <w:r w:rsidR="00570988">
          <w:rPr>
            <w:noProof/>
            <w:webHidden/>
          </w:rPr>
          <w:tab/>
        </w:r>
        <w:r w:rsidR="00570988">
          <w:rPr>
            <w:noProof/>
            <w:webHidden/>
          </w:rPr>
          <w:fldChar w:fldCharType="begin"/>
        </w:r>
        <w:r w:rsidR="00570988">
          <w:rPr>
            <w:noProof/>
            <w:webHidden/>
          </w:rPr>
          <w:instrText xml:space="preserve"> PAGEREF _Toc23507668 \h </w:instrText>
        </w:r>
        <w:r w:rsidR="00570988">
          <w:rPr>
            <w:noProof/>
            <w:webHidden/>
          </w:rPr>
        </w:r>
        <w:r w:rsidR="00570988">
          <w:rPr>
            <w:noProof/>
            <w:webHidden/>
          </w:rPr>
          <w:fldChar w:fldCharType="separate"/>
        </w:r>
        <w:r>
          <w:rPr>
            <w:noProof/>
            <w:webHidden/>
          </w:rPr>
          <w:t>10</w:t>
        </w:r>
        <w:r w:rsidR="00570988">
          <w:rPr>
            <w:noProof/>
            <w:webHidden/>
          </w:rPr>
          <w:fldChar w:fldCharType="end"/>
        </w:r>
      </w:hyperlink>
    </w:p>
    <w:p w14:paraId="2F893D4D" w14:textId="52B40A03" w:rsidR="00570988" w:rsidRDefault="00FA7ED4">
      <w:pPr>
        <w:pStyle w:val="TOC3"/>
        <w:rPr>
          <w:rFonts w:asciiTheme="minorHAnsi" w:eastAsiaTheme="minorEastAsia" w:hAnsiTheme="minorHAnsi" w:cstheme="minorBidi"/>
          <w:noProof/>
          <w:sz w:val="22"/>
          <w:szCs w:val="22"/>
          <w:lang w:eastAsia="en-NZ"/>
        </w:rPr>
      </w:pPr>
      <w:hyperlink w:anchor="_Toc23507669" w:history="1">
        <w:r w:rsidR="00570988" w:rsidRPr="00596A59">
          <w:rPr>
            <w:rStyle w:val="Hyperlink"/>
            <w:noProof/>
          </w:rPr>
          <w:t>Figure 7: Sexual attraction in lifetime, by ethnic group and gender</w:t>
        </w:r>
        <w:r w:rsidR="00570988">
          <w:rPr>
            <w:noProof/>
            <w:webHidden/>
          </w:rPr>
          <w:tab/>
        </w:r>
        <w:r w:rsidR="00570988">
          <w:rPr>
            <w:noProof/>
            <w:webHidden/>
          </w:rPr>
          <w:fldChar w:fldCharType="begin"/>
        </w:r>
        <w:r w:rsidR="00570988">
          <w:rPr>
            <w:noProof/>
            <w:webHidden/>
          </w:rPr>
          <w:instrText xml:space="preserve"> PAGEREF _Toc23507669 \h </w:instrText>
        </w:r>
        <w:r w:rsidR="00570988">
          <w:rPr>
            <w:noProof/>
            <w:webHidden/>
          </w:rPr>
        </w:r>
        <w:r w:rsidR="00570988">
          <w:rPr>
            <w:noProof/>
            <w:webHidden/>
          </w:rPr>
          <w:fldChar w:fldCharType="separate"/>
        </w:r>
        <w:r>
          <w:rPr>
            <w:noProof/>
            <w:webHidden/>
          </w:rPr>
          <w:t>11</w:t>
        </w:r>
        <w:r w:rsidR="00570988">
          <w:rPr>
            <w:noProof/>
            <w:webHidden/>
          </w:rPr>
          <w:fldChar w:fldCharType="end"/>
        </w:r>
      </w:hyperlink>
    </w:p>
    <w:p w14:paraId="3F01701D" w14:textId="39BD2A1E" w:rsidR="00570988" w:rsidRDefault="00FA7ED4">
      <w:pPr>
        <w:pStyle w:val="TOC3"/>
        <w:rPr>
          <w:rFonts w:asciiTheme="minorHAnsi" w:eastAsiaTheme="minorEastAsia" w:hAnsiTheme="minorHAnsi" w:cstheme="minorBidi"/>
          <w:noProof/>
          <w:sz w:val="22"/>
          <w:szCs w:val="22"/>
          <w:lang w:eastAsia="en-NZ"/>
        </w:rPr>
      </w:pPr>
      <w:hyperlink w:anchor="_Toc23507670" w:history="1">
        <w:r w:rsidR="00570988" w:rsidRPr="00596A59">
          <w:rPr>
            <w:rStyle w:val="Hyperlink"/>
            <w:noProof/>
            <w:spacing w:val="-2"/>
          </w:rPr>
          <w:t>Figure 8: Sexual attraction in 12 months preceding the survey, by age group and gender</w:t>
        </w:r>
        <w:r w:rsidR="00570988">
          <w:rPr>
            <w:noProof/>
            <w:webHidden/>
          </w:rPr>
          <w:tab/>
        </w:r>
        <w:r w:rsidR="00570988">
          <w:rPr>
            <w:noProof/>
            <w:webHidden/>
          </w:rPr>
          <w:fldChar w:fldCharType="begin"/>
        </w:r>
        <w:r w:rsidR="00570988">
          <w:rPr>
            <w:noProof/>
            <w:webHidden/>
          </w:rPr>
          <w:instrText xml:space="preserve"> PAGEREF _Toc23507670 \h </w:instrText>
        </w:r>
        <w:r w:rsidR="00570988">
          <w:rPr>
            <w:noProof/>
            <w:webHidden/>
          </w:rPr>
        </w:r>
        <w:r w:rsidR="00570988">
          <w:rPr>
            <w:noProof/>
            <w:webHidden/>
          </w:rPr>
          <w:fldChar w:fldCharType="separate"/>
        </w:r>
        <w:r>
          <w:rPr>
            <w:noProof/>
            <w:webHidden/>
          </w:rPr>
          <w:t>12</w:t>
        </w:r>
        <w:r w:rsidR="00570988">
          <w:rPr>
            <w:noProof/>
            <w:webHidden/>
          </w:rPr>
          <w:fldChar w:fldCharType="end"/>
        </w:r>
      </w:hyperlink>
    </w:p>
    <w:p w14:paraId="04A8CFED" w14:textId="4E70510C" w:rsidR="000A0158" w:rsidRPr="000A0158" w:rsidRDefault="00570988" w:rsidP="000A0158">
      <w:r>
        <w:fldChar w:fldCharType="end"/>
      </w:r>
    </w:p>
    <w:p w14:paraId="5B3D5FA2" w14:textId="77777777" w:rsidR="002B76A7" w:rsidRDefault="002B76A7" w:rsidP="002B76A7">
      <w:pPr>
        <w:pStyle w:val="TOC1"/>
        <w:keepNext/>
      </w:pPr>
      <w:r>
        <w:t>List of Tables</w:t>
      </w:r>
    </w:p>
    <w:p w14:paraId="01AFEEE7" w14:textId="533142D2" w:rsidR="00570988" w:rsidRDefault="00570988">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23507674" w:history="1">
        <w:r w:rsidRPr="005446B8">
          <w:rPr>
            <w:rStyle w:val="Hyperlink"/>
            <w:noProof/>
          </w:rPr>
          <w:t>Table 1: Participation in the Sexual and Reproductive Health module of the New Zealand Health Survey, by ethnicity</w:t>
        </w:r>
        <w:r>
          <w:rPr>
            <w:noProof/>
            <w:webHidden/>
          </w:rPr>
          <w:tab/>
        </w:r>
        <w:r>
          <w:rPr>
            <w:noProof/>
            <w:webHidden/>
          </w:rPr>
          <w:fldChar w:fldCharType="begin"/>
        </w:r>
        <w:r>
          <w:rPr>
            <w:noProof/>
            <w:webHidden/>
          </w:rPr>
          <w:instrText xml:space="preserve"> PAGEREF _Toc23507674 \h </w:instrText>
        </w:r>
        <w:r>
          <w:rPr>
            <w:noProof/>
            <w:webHidden/>
          </w:rPr>
        </w:r>
        <w:r>
          <w:rPr>
            <w:noProof/>
            <w:webHidden/>
          </w:rPr>
          <w:fldChar w:fldCharType="separate"/>
        </w:r>
        <w:r w:rsidR="00FA7ED4">
          <w:rPr>
            <w:noProof/>
            <w:webHidden/>
          </w:rPr>
          <w:t>16</w:t>
        </w:r>
        <w:r>
          <w:rPr>
            <w:noProof/>
            <w:webHidden/>
          </w:rPr>
          <w:fldChar w:fldCharType="end"/>
        </w:r>
      </w:hyperlink>
    </w:p>
    <w:p w14:paraId="4F405D41" w14:textId="43AF5AF4" w:rsidR="002B76A7" w:rsidRDefault="00570988" w:rsidP="003A5FEA">
      <w:r>
        <w:rPr>
          <w:sz w:val="20"/>
        </w:rPr>
        <w:fldChar w:fldCharType="end"/>
      </w:r>
    </w:p>
    <w:p w14:paraId="73466ADD" w14:textId="77777777"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6F7EA1D5" w14:textId="77777777" w:rsidR="00A073CF" w:rsidRDefault="00A073CF" w:rsidP="00A073CF"/>
    <w:p w14:paraId="68136AD4" w14:textId="77777777" w:rsidR="00A073CF" w:rsidRPr="00A073CF" w:rsidRDefault="00A073CF" w:rsidP="00A073CF">
      <w:pPr>
        <w:sectPr w:rsidR="00A073CF" w:rsidRPr="00A073CF" w:rsidSect="00925892">
          <w:footerReference w:type="even" r:id="rId18"/>
          <w:pgSz w:w="11907" w:h="16840" w:code="9"/>
          <w:pgMar w:top="1418" w:right="1701" w:bottom="1134" w:left="1843" w:header="284" w:footer="425" w:gutter="284"/>
          <w:pgNumType w:fmt="lowerRoman"/>
          <w:cols w:space="720"/>
        </w:sectPr>
      </w:pPr>
    </w:p>
    <w:p w14:paraId="4BF629FF" w14:textId="77777777" w:rsidR="001D3E4E" w:rsidRDefault="002B7BEC" w:rsidP="002575E8">
      <w:pPr>
        <w:pStyle w:val="Heading1"/>
      </w:pPr>
      <w:bookmarkStart w:id="2" w:name="_Toc23507651"/>
      <w:r>
        <w:lastRenderedPageBreak/>
        <w:t>S</w:t>
      </w:r>
      <w:r w:rsidR="003235C6">
        <w:t>ummary</w:t>
      </w:r>
      <w:bookmarkEnd w:id="2"/>
    </w:p>
    <w:p w14:paraId="3DB5F374" w14:textId="77777777" w:rsidR="002B7BEC" w:rsidRDefault="002B7BEC" w:rsidP="002B7BEC">
      <w:r>
        <w:t xml:space="preserve">This report describes sexual diversity in New Zealand </w:t>
      </w:r>
      <w:proofErr w:type="gramStart"/>
      <w:r>
        <w:t>with regard to</w:t>
      </w:r>
      <w:proofErr w:type="gramEnd"/>
      <w:r>
        <w:t xml:space="preserve"> gender, age, ethnicity and neighbourhood deprivation patterns.</w:t>
      </w:r>
    </w:p>
    <w:p w14:paraId="08497E7D" w14:textId="77777777" w:rsidR="002B7BEC" w:rsidRDefault="002B7BEC" w:rsidP="002B7BEC"/>
    <w:p w14:paraId="0686309E" w14:textId="77777777" w:rsidR="002B7BEC" w:rsidRDefault="002B7BEC" w:rsidP="002B7BEC">
      <w:r>
        <w:t>As part of the Ministry of Health</w:t>
      </w:r>
      <w:r w:rsidR="003E74E2">
        <w:t>’</w:t>
      </w:r>
      <w:r>
        <w:t>s commitment to achieving equity in health outcomes for all New Zealanders, it is important for us to understand the inequity that exists. Internationally and in New Zealand, there are clear inequities in the health of rainbow communities,</w:t>
      </w:r>
      <w:r w:rsidRPr="002B7BEC">
        <w:rPr>
          <w:rStyle w:val="FootnoteReference"/>
          <w:rFonts w:eastAsia="MS Gothic"/>
        </w:rPr>
        <w:footnoteReference w:id="1"/>
      </w:r>
      <w:r>
        <w:t xml:space="preserve"> including gay, lesbian and bisexual people.</w:t>
      </w:r>
    </w:p>
    <w:p w14:paraId="6503E182" w14:textId="77777777" w:rsidR="002B7BEC" w:rsidRDefault="002B7BEC" w:rsidP="002B7BEC"/>
    <w:p w14:paraId="60EF1656" w14:textId="77777777" w:rsidR="002B7BEC" w:rsidRDefault="002B7BEC" w:rsidP="002B7BEC">
      <w:r>
        <w:t>These inequities, and particularly those related to mental health, are considered to be a consequence of the stressors that Rainbow New Zealanders experience, including discrimination from families/whānau, health services and people in society in general.</w:t>
      </w:r>
    </w:p>
    <w:p w14:paraId="4F38C07A" w14:textId="77777777" w:rsidR="002B7BEC" w:rsidRDefault="002B7BEC" w:rsidP="002B7BEC"/>
    <w:p w14:paraId="4F3CDCFD" w14:textId="77777777" w:rsidR="002B7BEC" w:rsidRDefault="002B7BEC" w:rsidP="002B7BEC">
      <w:r>
        <w:t>Key findings include:</w:t>
      </w:r>
    </w:p>
    <w:p w14:paraId="6CF6B97D" w14:textId="77777777" w:rsidR="002B7BEC" w:rsidRDefault="002B7BEC" w:rsidP="002B7BEC">
      <w:pPr>
        <w:pStyle w:val="Bullet"/>
      </w:pPr>
      <w:r>
        <w:t>97% of men and 95% of women identified themselves as heterosexual or straight</w:t>
      </w:r>
    </w:p>
    <w:p w14:paraId="5036D99C" w14:textId="77777777" w:rsidR="002B7BEC" w:rsidRDefault="002B7BEC" w:rsidP="002B7BEC">
      <w:pPr>
        <w:pStyle w:val="Bullet"/>
      </w:pPr>
      <w:r>
        <w:t>2.3% of men and 3.7% women identified themselves as lesbian, gay or bisexual</w:t>
      </w:r>
    </w:p>
    <w:p w14:paraId="63471069" w14:textId="77777777" w:rsidR="002B7BEC" w:rsidRDefault="002B7BEC" w:rsidP="002B7BEC">
      <w:pPr>
        <w:pStyle w:val="Bullet"/>
      </w:pPr>
      <w:r>
        <w:t>men were less likely to identify as bisexual than women (1.0% and 2.6% respectively)</w:t>
      </w:r>
    </w:p>
    <w:p w14:paraId="384D64B6" w14:textId="77777777" w:rsidR="002B7BEC" w:rsidRDefault="002B7BEC" w:rsidP="002B7BEC">
      <w:pPr>
        <w:pStyle w:val="Bullet"/>
      </w:pPr>
      <w:r>
        <w:t>men were less likely to have ever had sex with another man than women with another woman (4.2% and 6.5% respectively)</w:t>
      </w:r>
    </w:p>
    <w:p w14:paraId="0C1D686C" w14:textId="77777777" w:rsidR="002B7BEC" w:rsidRDefault="002B7BEC" w:rsidP="002B7BEC">
      <w:pPr>
        <w:pStyle w:val="Bullet"/>
      </w:pPr>
      <w:r>
        <w:t>men were less likely to have ever been sexually attracted to both men and women than women to both men and women (4.6% and 16% respectively)</w:t>
      </w:r>
    </w:p>
    <w:p w14:paraId="5F3BA397" w14:textId="3121D583" w:rsidR="002B7BEC" w:rsidRDefault="002B7BEC" w:rsidP="002B7BEC">
      <w:pPr>
        <w:pStyle w:val="Bullet"/>
      </w:pPr>
      <w:r>
        <w:t>women</w:t>
      </w:r>
      <w:r w:rsidR="003E74E2">
        <w:t>’</w:t>
      </w:r>
      <w:r>
        <w:t>s sexual orientation varied b</w:t>
      </w:r>
      <w:r w:rsidR="006D3047">
        <w:t>y</w:t>
      </w:r>
      <w:r>
        <w:t xml:space="preserve"> age, whereas men</w:t>
      </w:r>
      <w:r w:rsidR="003E74E2">
        <w:t>’</w:t>
      </w:r>
      <w:r>
        <w:t>s did not</w:t>
      </w:r>
    </w:p>
    <w:p w14:paraId="0DFFC614" w14:textId="77777777" w:rsidR="003235C6" w:rsidRDefault="002B7BEC" w:rsidP="002B7BEC">
      <w:pPr>
        <w:pStyle w:val="Bullet"/>
      </w:pPr>
      <w:r>
        <w:t>younger women were more likely to identify as bisexual, have had same-gender sexual partners and have been sexually attracted to both men and women than older women.</w:t>
      </w:r>
    </w:p>
    <w:p w14:paraId="285EA829" w14:textId="77777777" w:rsidR="003235C6" w:rsidRDefault="003235C6" w:rsidP="002B7BEC"/>
    <w:p w14:paraId="5265FDE4" w14:textId="77777777" w:rsidR="002B7BEC" w:rsidRDefault="002B7BEC" w:rsidP="002B7BEC"/>
    <w:p w14:paraId="2DC9FB3B" w14:textId="77777777" w:rsidR="001D3E4E" w:rsidRDefault="001D3E4E" w:rsidP="003A5FEA">
      <w:pPr>
        <w:sectPr w:rsidR="001D3E4E" w:rsidSect="00925892">
          <w:pgSz w:w="11907" w:h="16840" w:code="9"/>
          <w:pgMar w:top="1418" w:right="1701" w:bottom="1134" w:left="1843" w:header="284" w:footer="425" w:gutter="284"/>
          <w:pgNumType w:fmt="lowerRoman"/>
          <w:cols w:space="720"/>
        </w:sectPr>
      </w:pPr>
    </w:p>
    <w:p w14:paraId="38B7D363" w14:textId="77777777" w:rsidR="008C2973" w:rsidRDefault="002B7BEC" w:rsidP="002575E8">
      <w:pPr>
        <w:pStyle w:val="Heading1"/>
      </w:pPr>
      <w:bookmarkStart w:id="3" w:name="_Toc23507652"/>
      <w:r>
        <w:lastRenderedPageBreak/>
        <w:t>Introduction</w:t>
      </w:r>
      <w:bookmarkEnd w:id="3"/>
    </w:p>
    <w:p w14:paraId="7F354558" w14:textId="77777777" w:rsidR="003E74E2" w:rsidRDefault="002B7BEC" w:rsidP="002575E8">
      <w:r w:rsidRPr="007E6122">
        <w:t xml:space="preserve">Sexual orientation </w:t>
      </w:r>
      <w:r>
        <w:t xml:space="preserve">has three primary dimensions: how adults </w:t>
      </w:r>
      <w:r w:rsidRPr="007E6122">
        <w:t>identi</w:t>
      </w:r>
      <w:r>
        <w:t>f</w:t>
      </w:r>
      <w:r w:rsidRPr="007E6122">
        <w:t>y</w:t>
      </w:r>
      <w:r>
        <w:t xml:space="preserve"> their sexuality</w:t>
      </w:r>
      <w:r w:rsidRPr="007E6122">
        <w:t xml:space="preserve">, </w:t>
      </w:r>
      <w:r>
        <w:t xml:space="preserve">who they have sexual contact with and who they are </w:t>
      </w:r>
      <w:r w:rsidRPr="007E6122">
        <w:t>attract</w:t>
      </w:r>
      <w:r>
        <w:t>ed to (</w:t>
      </w:r>
      <w:proofErr w:type="spellStart"/>
      <w:r>
        <w:t>Laumann</w:t>
      </w:r>
      <w:proofErr w:type="spellEnd"/>
      <w:r>
        <w:t xml:space="preserve"> et al </w:t>
      </w:r>
      <w:r w:rsidRPr="00466460">
        <w:t xml:space="preserve">1994). Individuals may be attracted to and have experiences with one or </w:t>
      </w:r>
      <w:r>
        <w:t xml:space="preserve">more genders </w:t>
      </w:r>
      <w:r w:rsidRPr="00466460">
        <w:t xml:space="preserve">on a continuum, and </w:t>
      </w:r>
      <w:r>
        <w:t xml:space="preserve">may </w:t>
      </w:r>
      <w:r w:rsidRPr="00466460">
        <w:t xml:space="preserve">have </w:t>
      </w:r>
      <w:r>
        <w:t>experienced same-gender</w:t>
      </w:r>
      <w:r w:rsidRPr="00466460">
        <w:t xml:space="preserve"> attraction and/or contact but identify as heterosexual.</w:t>
      </w:r>
    </w:p>
    <w:p w14:paraId="39B22CA4" w14:textId="77777777" w:rsidR="002575E8" w:rsidRDefault="002575E8" w:rsidP="002575E8"/>
    <w:p w14:paraId="03676A2C" w14:textId="77777777" w:rsidR="003E74E2" w:rsidRDefault="002B7BEC" w:rsidP="002575E8">
      <w:r w:rsidRPr="00466460">
        <w:t>Internationally and in New Zealand, there are clear inequ</w:t>
      </w:r>
      <w:r>
        <w:t>itie</w:t>
      </w:r>
      <w:r w:rsidRPr="00466460">
        <w:t xml:space="preserve">s in the health of </w:t>
      </w:r>
      <w:r>
        <w:t>sexual minority</w:t>
      </w:r>
      <w:r w:rsidRPr="00466460">
        <w:t xml:space="preserve"> </w:t>
      </w:r>
      <w:r>
        <w:t>groups</w:t>
      </w:r>
      <w:r w:rsidRPr="00466460">
        <w:t xml:space="preserve"> (</w:t>
      </w:r>
      <w:proofErr w:type="spellStart"/>
      <w:r w:rsidRPr="00466460">
        <w:t>Skegg</w:t>
      </w:r>
      <w:proofErr w:type="spellEnd"/>
      <w:r w:rsidRPr="00466460">
        <w:t xml:space="preserve"> et al 2003</w:t>
      </w:r>
      <w:r>
        <w:t>;</w:t>
      </w:r>
      <w:r w:rsidRPr="00466460">
        <w:t xml:space="preserve"> Fergusson et al 2005</w:t>
      </w:r>
      <w:r>
        <w:t>;</w:t>
      </w:r>
      <w:r w:rsidRPr="00466460">
        <w:t xml:space="preserve"> </w:t>
      </w:r>
      <w:proofErr w:type="spellStart"/>
      <w:r w:rsidRPr="00466460">
        <w:t>Psutka</w:t>
      </w:r>
      <w:proofErr w:type="spellEnd"/>
      <w:r w:rsidRPr="00466460">
        <w:t xml:space="preserve"> et al 2013</w:t>
      </w:r>
      <w:r>
        <w:t>;</w:t>
      </w:r>
      <w:r w:rsidRPr="00466460">
        <w:t xml:space="preserve"> Dickson et</w:t>
      </w:r>
      <w:r w:rsidR="002575E8">
        <w:t> </w:t>
      </w:r>
      <w:r w:rsidRPr="00466460">
        <w:t>al 2015</w:t>
      </w:r>
      <w:r>
        <w:t>;</w:t>
      </w:r>
      <w:r w:rsidRPr="00466460">
        <w:t xml:space="preserve"> Gonzales et al 2016). These inequ</w:t>
      </w:r>
      <w:r>
        <w:t>i</w:t>
      </w:r>
      <w:r w:rsidRPr="00466460">
        <w:t xml:space="preserve">ties, and particularly those related to mental health, are </w:t>
      </w:r>
      <w:r w:rsidRPr="00466460">
        <w:rPr>
          <w:lang w:eastAsia="en-US"/>
        </w:rPr>
        <w:t xml:space="preserve">considered to be a consequence of the stressors that sexual minority </w:t>
      </w:r>
      <w:r>
        <w:rPr>
          <w:lang w:eastAsia="en-US"/>
        </w:rPr>
        <w:t>adults</w:t>
      </w:r>
      <w:r w:rsidRPr="00466460">
        <w:rPr>
          <w:lang w:eastAsia="en-US"/>
        </w:rPr>
        <w:t xml:space="preserve"> experience due to </w:t>
      </w:r>
      <w:r w:rsidRPr="003E74E2">
        <w:t>discrimination from families/whānau, health services and people in society in general. As part of the Ministry of Health</w:t>
      </w:r>
      <w:r w:rsidR="003E74E2" w:rsidRPr="003E74E2">
        <w:t>’</w:t>
      </w:r>
      <w:r w:rsidRPr="003E74E2">
        <w:t>s commitment to achieving equity in health outcomes for all New Zealanders, it is important for us to understand disadvantaged populations (Ministry of Health 2018).</w:t>
      </w:r>
    </w:p>
    <w:p w14:paraId="3160BE40" w14:textId="77777777" w:rsidR="002575E8" w:rsidRPr="003E74E2" w:rsidRDefault="002575E8" w:rsidP="002575E8"/>
    <w:p w14:paraId="676F73CA" w14:textId="77777777" w:rsidR="003E74E2" w:rsidRDefault="002B7BEC" w:rsidP="002575E8">
      <w:r w:rsidRPr="00027443">
        <w:t xml:space="preserve">While </w:t>
      </w:r>
      <w:r>
        <w:t xml:space="preserve">certain </w:t>
      </w:r>
      <w:r w:rsidRPr="00027443">
        <w:t xml:space="preserve">dimensions of sexual orientation have been examined in the national Youth2000 health surveys, the Dunedin Multidisciplinary Health and Development Study and </w:t>
      </w:r>
      <w:r>
        <w:t xml:space="preserve">the </w:t>
      </w:r>
      <w:r w:rsidRPr="00027443">
        <w:t>Christchurch Health and Development Study cohort studies, there have been no comprehensive national surveys of sexual orientation across a wide age range (Fergusson et al 200</w:t>
      </w:r>
      <w:r>
        <w:t xml:space="preserve">5; </w:t>
      </w:r>
      <w:r w:rsidRPr="00027443">
        <w:t>Lucassen et al 2014</w:t>
      </w:r>
      <w:r>
        <w:t>;</w:t>
      </w:r>
      <w:r w:rsidRPr="00027443">
        <w:t xml:space="preserve"> Dickson et al 2016).</w:t>
      </w:r>
    </w:p>
    <w:p w14:paraId="39BA04B8" w14:textId="77777777" w:rsidR="002B7BEC" w:rsidRPr="00027443" w:rsidRDefault="002B7BEC" w:rsidP="002575E8"/>
    <w:p w14:paraId="3053D5BF" w14:textId="77777777" w:rsidR="003E74E2" w:rsidRDefault="002B7BEC" w:rsidP="002575E8">
      <w:pPr>
        <w:rPr>
          <w:rFonts w:cstheme="minorHAnsi"/>
        </w:rPr>
      </w:pPr>
      <w:r w:rsidRPr="004B1541">
        <w:rPr>
          <w:rFonts w:cstheme="minorHAnsi"/>
        </w:rPr>
        <w:t>To fill this gap</w:t>
      </w:r>
      <w:r w:rsidRPr="00AE3208">
        <w:rPr>
          <w:rFonts w:cstheme="minorHAnsi"/>
        </w:rPr>
        <w:t>, t</w:t>
      </w:r>
      <w:r w:rsidRPr="008344EB">
        <w:rPr>
          <w:rFonts w:eastAsiaTheme="majorEastAsia"/>
        </w:rPr>
        <w:t xml:space="preserve">he Ministry of Health included questions on all three </w:t>
      </w:r>
      <w:r>
        <w:rPr>
          <w:rFonts w:eastAsiaTheme="majorEastAsia"/>
        </w:rPr>
        <w:t>dimensions</w:t>
      </w:r>
      <w:r w:rsidRPr="008344EB">
        <w:rPr>
          <w:rFonts w:eastAsiaTheme="majorEastAsia"/>
        </w:rPr>
        <w:t xml:space="preserve"> of sexual orientation in the Sexual and Reproductive Health module of </w:t>
      </w:r>
      <w:r>
        <w:rPr>
          <w:rFonts w:eastAsiaTheme="majorEastAsia"/>
        </w:rPr>
        <w:t>the</w:t>
      </w:r>
      <w:r w:rsidRPr="008344EB">
        <w:rPr>
          <w:rFonts w:eastAsiaTheme="majorEastAsia"/>
        </w:rPr>
        <w:t xml:space="preserve"> </w:t>
      </w:r>
      <w:r>
        <w:rPr>
          <w:rFonts w:eastAsiaTheme="majorEastAsia"/>
        </w:rPr>
        <w:t>2014/15 New Zealand Health Survey (the survey)</w:t>
      </w:r>
      <w:r w:rsidRPr="008344EB">
        <w:rPr>
          <w:rFonts w:eastAsiaTheme="majorEastAsia"/>
          <w:bCs/>
        </w:rPr>
        <w:t>.</w:t>
      </w:r>
      <w:r w:rsidRPr="008344EB">
        <w:rPr>
          <w:rFonts w:eastAsiaTheme="majorEastAsia"/>
        </w:rPr>
        <w:t xml:space="preserve"> </w:t>
      </w:r>
      <w:r w:rsidRPr="002D1D6F">
        <w:rPr>
          <w:rFonts w:eastAsiaTheme="majorEastAsia"/>
        </w:rPr>
        <w:t xml:space="preserve">This report presents key findings about </w:t>
      </w:r>
      <w:r>
        <w:rPr>
          <w:rFonts w:cstheme="minorHAnsi"/>
        </w:rPr>
        <w:t>sexual orientation</w:t>
      </w:r>
      <w:r w:rsidRPr="000F468F">
        <w:rPr>
          <w:rFonts w:cstheme="minorHAnsi"/>
        </w:rPr>
        <w:t xml:space="preserve"> by gender, </w:t>
      </w:r>
      <w:r>
        <w:rPr>
          <w:rFonts w:cstheme="minorHAnsi"/>
        </w:rPr>
        <w:t xml:space="preserve">age group, </w:t>
      </w:r>
      <w:r w:rsidRPr="000F468F">
        <w:rPr>
          <w:rFonts w:cstheme="minorHAnsi"/>
        </w:rPr>
        <w:t>ethnicity and neighbourhood deprivation at the time of the survey interview.</w:t>
      </w:r>
    </w:p>
    <w:p w14:paraId="1B3BBE21" w14:textId="77777777" w:rsidR="002575E8" w:rsidRDefault="002575E8" w:rsidP="002575E8">
      <w:pPr>
        <w:rPr>
          <w:rFonts w:cstheme="minorHAnsi"/>
          <w:color w:val="000000"/>
          <w:lang w:eastAsia="en-US"/>
        </w:rPr>
      </w:pPr>
    </w:p>
    <w:p w14:paraId="5DF9C53D" w14:textId="509652E5" w:rsidR="002B7BEC" w:rsidRPr="003E74E2" w:rsidRDefault="002B7BEC" w:rsidP="002575E8">
      <w:pPr>
        <w:rPr>
          <w:rFonts w:eastAsiaTheme="minorHAnsi"/>
        </w:rPr>
      </w:pPr>
      <w:r w:rsidRPr="003E74E2">
        <w:rPr>
          <w:rFonts w:eastAsiaTheme="minorHAnsi"/>
        </w:rPr>
        <w:t xml:space="preserve">You can find more information and results from the survey, including statistics on heterosexual orientation and data tables in the data explorer, online at </w:t>
      </w:r>
      <w:r w:rsidR="00570988">
        <w:rPr>
          <w:rFonts w:ascii="Arial Mäori" w:hAnsi="Arial Mäori" w:cs="Arial Mäori"/>
          <w:color w:val="000000"/>
          <w:sz w:val="20"/>
          <w:lang w:eastAsia="en-NZ"/>
        </w:rPr>
        <w:t xml:space="preserve"> </w:t>
      </w:r>
      <w:hyperlink r:id="rId19" w:history="1">
        <w:r w:rsidR="00570988" w:rsidRPr="00570988">
          <w:rPr>
            <w:rStyle w:val="Hyperlink"/>
            <w:rFonts w:eastAsiaTheme="minorHAnsi"/>
          </w:rPr>
          <w:t>https://www.health.govt.nz/publication/sexual-and-reproductive-health-2014-15-new-zealand-health-survey</w:t>
        </w:r>
      </w:hyperlink>
      <w:r w:rsidR="00570988" w:rsidRPr="00570988">
        <w:rPr>
          <w:rStyle w:val="Hyperlink"/>
          <w:rFonts w:eastAsiaTheme="minorHAnsi"/>
        </w:rPr>
        <w:t xml:space="preserve"> </w:t>
      </w:r>
    </w:p>
    <w:p w14:paraId="5210996A" w14:textId="77777777" w:rsidR="002B7BEC" w:rsidRPr="003E74E2" w:rsidRDefault="002B7BEC" w:rsidP="00B87726"/>
    <w:p w14:paraId="61DA52B2" w14:textId="77777777" w:rsidR="002B7BEC" w:rsidRPr="00074969" w:rsidRDefault="002B7BEC" w:rsidP="002575E8">
      <w:pPr>
        <w:pStyle w:val="Heading1"/>
      </w:pPr>
      <w:bookmarkStart w:id="4" w:name="_Toc1549821"/>
      <w:bookmarkStart w:id="5" w:name="_Toc4161998"/>
      <w:bookmarkStart w:id="6" w:name="_Toc23507653"/>
      <w:r w:rsidRPr="00074969">
        <w:lastRenderedPageBreak/>
        <w:t>Sexual identity</w:t>
      </w:r>
      <w:bookmarkEnd w:id="4"/>
      <w:bookmarkEnd w:id="5"/>
      <w:bookmarkEnd w:id="6"/>
    </w:p>
    <w:p w14:paraId="0FA352AE" w14:textId="77777777" w:rsidR="002B7BEC" w:rsidRDefault="002B7BEC" w:rsidP="002575E8">
      <w:r w:rsidRPr="00074969">
        <w:t>Th</w:t>
      </w:r>
      <w:r>
        <w:t xml:space="preserve">is section sets out responses to the survey question </w:t>
      </w:r>
      <w:r w:rsidR="003E74E2">
        <w:t>‘</w:t>
      </w:r>
      <w:r w:rsidRPr="00074969">
        <w:t>Which of the following options best describes how you think of yourself?</w:t>
      </w:r>
      <w:r>
        <w:t xml:space="preserve"> </w:t>
      </w:r>
      <w:r w:rsidRPr="00074969">
        <w:t>Heterosexual or straight</w:t>
      </w:r>
      <w:r>
        <w:t>, Gay or lesbian, Bisexual, O</w:t>
      </w:r>
      <w:r w:rsidRPr="00074969">
        <w:t>ther</w:t>
      </w:r>
      <w:r>
        <w:t>?</w:t>
      </w:r>
      <w:r w:rsidR="003E74E2">
        <w:t>’</w:t>
      </w:r>
      <w:r w:rsidR="00B87726">
        <w:t>.</w:t>
      </w:r>
    </w:p>
    <w:p w14:paraId="07A792CA" w14:textId="77777777" w:rsidR="002B7BEC" w:rsidRPr="00074969" w:rsidRDefault="002B7BEC" w:rsidP="002575E8"/>
    <w:p w14:paraId="42B6FDFD" w14:textId="77777777" w:rsidR="003E74E2" w:rsidRDefault="002B7BEC" w:rsidP="00634003">
      <w:pPr>
        <w:pStyle w:val="Heading4"/>
      </w:pPr>
      <w:r>
        <w:t>Three percent of adults</w:t>
      </w:r>
      <w:r w:rsidRPr="005754A0">
        <w:t xml:space="preserve"> identified </w:t>
      </w:r>
      <w:r>
        <w:t>as lesbian, gay or bisexual</w:t>
      </w:r>
    </w:p>
    <w:p w14:paraId="013AAC01" w14:textId="77777777" w:rsidR="003E74E2" w:rsidRDefault="002B7BEC" w:rsidP="002575E8">
      <w:pPr>
        <w:pStyle w:val="Bullet"/>
      </w:pPr>
      <w:r w:rsidRPr="00BF0E70">
        <w:t>2.3%</w:t>
      </w:r>
      <w:r>
        <w:t xml:space="preserve"> of men and 3.7%</w:t>
      </w:r>
      <w:r w:rsidRPr="00BF0E70">
        <w:t xml:space="preserve"> women identified </w:t>
      </w:r>
      <w:r>
        <w:t xml:space="preserve">themselves </w:t>
      </w:r>
      <w:r w:rsidRPr="00BF0E70">
        <w:t>as lesbian, gay or bisexual</w:t>
      </w:r>
      <w:r>
        <w:t>.</w:t>
      </w:r>
    </w:p>
    <w:p w14:paraId="42E554B7" w14:textId="65561EC9" w:rsidR="003E74E2" w:rsidRDefault="002B7BEC" w:rsidP="002575E8">
      <w:pPr>
        <w:pStyle w:val="Bullet"/>
      </w:pPr>
      <w:r w:rsidRPr="009C0EAE">
        <w:t xml:space="preserve">The percentage of men who identified as gay (1.3%) was similar to the percentage of women who identified as </w:t>
      </w:r>
      <w:r w:rsidR="00ED3840">
        <w:t xml:space="preserve">gay or </w:t>
      </w:r>
      <w:r w:rsidRPr="009C0EAE">
        <w:t>lesbian (1.1%)</w:t>
      </w:r>
      <w:r>
        <w:t>.</w:t>
      </w:r>
    </w:p>
    <w:p w14:paraId="72EFCCB7" w14:textId="77777777" w:rsidR="002B7BEC" w:rsidRPr="003E74E2" w:rsidRDefault="002B7BEC" w:rsidP="002575E8"/>
    <w:p w14:paraId="748D84C9" w14:textId="77777777" w:rsidR="003E74E2" w:rsidRDefault="002B7BEC" w:rsidP="00634003">
      <w:pPr>
        <w:pStyle w:val="Heading4"/>
      </w:pPr>
      <w:r w:rsidRPr="00761070">
        <w:t>Younger women were more likely to identify as bisexual</w:t>
      </w:r>
      <w:r>
        <w:t xml:space="preserve"> than older women</w:t>
      </w:r>
    </w:p>
    <w:p w14:paraId="742BFA0B" w14:textId="77777777" w:rsidR="003E74E2" w:rsidRDefault="002B7BEC" w:rsidP="002575E8">
      <w:r w:rsidRPr="00875D63">
        <w:t>The percentage of women identifying</w:t>
      </w:r>
      <w:r>
        <w:t xml:space="preserve"> as bisexual decreased as age increased, ranging from 5.0% of 16–24-year-olds to 0% of 65–7</w:t>
      </w:r>
      <w:r w:rsidRPr="00661E15">
        <w:t>4</w:t>
      </w:r>
      <w:r>
        <w:t>-</w:t>
      </w:r>
      <w:r w:rsidRPr="00661E15">
        <w:t>year</w:t>
      </w:r>
      <w:r>
        <w:t>-old</w:t>
      </w:r>
      <w:r w:rsidRPr="00661E15">
        <w:t>s</w:t>
      </w:r>
      <w:r w:rsidRPr="00894CC0">
        <w:t xml:space="preserve">. </w:t>
      </w:r>
      <w:r w:rsidRPr="00B14876">
        <w:t>The percentage of women identifying as gay or lesbian did not differ by age</w:t>
      </w:r>
      <w:r w:rsidRPr="00894CC0">
        <w:t xml:space="preserve">. Among men, there was no clear pattern in sexual identity </w:t>
      </w:r>
      <w:r>
        <w:t xml:space="preserve">corresponding to </w:t>
      </w:r>
      <w:r w:rsidRPr="00894CC0">
        <w:t>age (Figure 1).</w:t>
      </w:r>
    </w:p>
    <w:p w14:paraId="56246EE8" w14:textId="77777777" w:rsidR="002B7BEC" w:rsidRDefault="002B7BEC" w:rsidP="002575E8">
      <w:bookmarkStart w:id="7" w:name="_Toc534900984"/>
    </w:p>
    <w:p w14:paraId="4EBF9E4F" w14:textId="2DC3E1C9" w:rsidR="002B7BEC" w:rsidRPr="00976C2F" w:rsidRDefault="002B7BEC" w:rsidP="002575E8">
      <w:pPr>
        <w:pStyle w:val="Figure"/>
      </w:pPr>
      <w:bookmarkStart w:id="8" w:name="_Toc4160155"/>
      <w:bookmarkStart w:id="9" w:name="_Toc23507663"/>
      <w:r>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1</w:t>
      </w:r>
      <w:r w:rsidR="00337A0C">
        <w:rPr>
          <w:noProof/>
        </w:rPr>
        <w:fldChar w:fldCharType="end"/>
      </w:r>
      <w:r>
        <w:t>:</w:t>
      </w:r>
      <w:r w:rsidRPr="00CE070A">
        <w:t xml:space="preserve"> </w:t>
      </w:r>
      <w:r>
        <w:t>Sexual identity</w:t>
      </w:r>
      <w:r w:rsidRPr="00976C2F">
        <w:t xml:space="preserve"> by age group</w:t>
      </w:r>
      <w:bookmarkEnd w:id="7"/>
      <w:r>
        <w:t xml:space="preserve"> and gender</w:t>
      </w:r>
      <w:bookmarkEnd w:id="8"/>
      <w:bookmarkEnd w:id="9"/>
    </w:p>
    <w:p w14:paraId="28292959" w14:textId="77777777" w:rsidR="002B7BEC" w:rsidRPr="003E74E2" w:rsidRDefault="0018376C" w:rsidP="00C347C8">
      <w:r w:rsidRPr="0018376C">
        <w:rPr>
          <w:noProof/>
          <w:lang w:eastAsia="en-NZ"/>
        </w:rPr>
        <w:drawing>
          <wp:inline distT="0" distB="0" distL="0" distR="0" wp14:anchorId="6322E881" wp14:editId="796AA581">
            <wp:extent cx="5130165" cy="3347762"/>
            <wp:effectExtent l="0" t="0" r="0" b="5080"/>
            <wp:docPr id="42" name="Picture 42" descr="A bar graph showing the percentage of men and women who identify as gay/lesbian, bisexual, or other. About 5% of women 16-24, about 4% of women aged 25-34, and about 3% of women aged 35-44 identified as bisexual. About 2.5% of women aged 16-24 identified as other. The rates for all other age groups and identities was less than 2%, with no clear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0165" cy="3347762"/>
                    </a:xfrm>
                    <a:prstGeom prst="rect">
                      <a:avLst/>
                    </a:prstGeom>
                  </pic:spPr>
                </pic:pic>
              </a:graphicData>
            </a:graphic>
          </wp:inline>
        </w:drawing>
      </w:r>
    </w:p>
    <w:p w14:paraId="4E23FD58" w14:textId="0CA23DA4" w:rsidR="002B7BEC" w:rsidRPr="002724D6" w:rsidRDefault="002B7BEC" w:rsidP="002B7BEC">
      <w:pPr>
        <w:pStyle w:val="Note"/>
      </w:pPr>
      <w:r>
        <w:t>Note:</w:t>
      </w:r>
      <w:r w:rsidR="003E74E2">
        <w:t xml:space="preserve"> </w:t>
      </w:r>
      <w:r>
        <w:t>Excluding heterosexual/</w:t>
      </w:r>
      <w:r w:rsidRPr="002724D6">
        <w:t>straight</w:t>
      </w:r>
      <w:r>
        <w:t xml:space="preserve"> adults</w:t>
      </w:r>
      <w:r w:rsidR="00ED3840">
        <w:t>, so that the smaller values can be seen on the vertical scale</w:t>
      </w:r>
      <w:r w:rsidRPr="002724D6">
        <w:t>.</w:t>
      </w:r>
    </w:p>
    <w:p w14:paraId="55BAF3C8" w14:textId="77777777" w:rsidR="002B7BEC" w:rsidRDefault="002B7BEC" w:rsidP="00C347C8"/>
    <w:p w14:paraId="00271F32" w14:textId="77777777" w:rsidR="002B7BEC" w:rsidRDefault="002B7BEC" w:rsidP="00634003">
      <w:pPr>
        <w:pStyle w:val="Heading4"/>
      </w:pPr>
      <w:r>
        <w:lastRenderedPageBreak/>
        <w:t xml:space="preserve">Māori men more likely to identify as </w:t>
      </w:r>
      <w:r w:rsidR="003E74E2">
        <w:t>‘</w:t>
      </w:r>
      <w:r>
        <w:t>other</w:t>
      </w:r>
      <w:r w:rsidR="003E74E2">
        <w:t>‘</w:t>
      </w:r>
      <w:r w:rsidR="00634003">
        <w:rPr>
          <w:rStyle w:val="FootnoteReference"/>
        </w:rPr>
        <w:footnoteReference w:id="2"/>
      </w:r>
      <w:r>
        <w:t xml:space="preserve"> sexual identity than non-Māori men</w:t>
      </w:r>
    </w:p>
    <w:p w14:paraId="77E464FA" w14:textId="77777777" w:rsidR="003E74E2" w:rsidRDefault="002B7BEC" w:rsidP="002575E8">
      <w:pPr>
        <w:pStyle w:val="Bullet"/>
      </w:pPr>
      <w:r w:rsidRPr="00E130CB">
        <w:t xml:space="preserve">The percentage of men </w:t>
      </w:r>
      <w:r>
        <w:t xml:space="preserve">who identified as </w:t>
      </w:r>
      <w:r w:rsidR="003E74E2">
        <w:t>‘</w:t>
      </w:r>
      <w:r>
        <w:t>other</w:t>
      </w:r>
      <w:r w:rsidR="003E74E2">
        <w:t>’</w:t>
      </w:r>
      <w:r w:rsidRPr="00E130CB">
        <w:t xml:space="preserve"> varied by ethnic group</w:t>
      </w:r>
      <w:r>
        <w:t>: 1.9% of Māori, 1.4% of Asian, 0.5% of European/Other and 0.4% of Pacific (Figure 2).</w:t>
      </w:r>
    </w:p>
    <w:p w14:paraId="1002C449" w14:textId="77777777" w:rsidR="003E74E2" w:rsidRDefault="002B7BEC" w:rsidP="002575E8">
      <w:pPr>
        <w:pStyle w:val="Bullet"/>
      </w:pPr>
      <w:r w:rsidRPr="00894CC0">
        <w:t>After adjust</w:t>
      </w:r>
      <w:r>
        <w:t xml:space="preserve">ing </w:t>
      </w:r>
      <w:r w:rsidRPr="00894CC0">
        <w:t xml:space="preserve">for age, Māori men were </w:t>
      </w:r>
      <w:r w:rsidRPr="00D57A12">
        <w:t xml:space="preserve">3.3 times as likely to identify as </w:t>
      </w:r>
      <w:r w:rsidR="003E74E2">
        <w:t>‘</w:t>
      </w:r>
      <w:r w:rsidRPr="00D57A12">
        <w:t>other</w:t>
      </w:r>
      <w:r w:rsidR="003E74E2">
        <w:t>’</w:t>
      </w:r>
      <w:r w:rsidRPr="00D57A12">
        <w:t xml:space="preserve"> sexual </w:t>
      </w:r>
      <w:r>
        <w:t>i</w:t>
      </w:r>
      <w:r w:rsidRPr="00894CC0">
        <w:t xml:space="preserve">dentity </w:t>
      </w:r>
      <w:r>
        <w:t>than</w:t>
      </w:r>
      <w:r w:rsidRPr="00894CC0">
        <w:t xml:space="preserve"> non-Māori</w:t>
      </w:r>
      <w:r>
        <w:t xml:space="preserve"> men, and Asian men were 2.2 times as likely to do so as non-Asian men.</w:t>
      </w:r>
    </w:p>
    <w:p w14:paraId="5530D0F3" w14:textId="77777777" w:rsidR="003E74E2" w:rsidRDefault="002B7BEC" w:rsidP="002575E8">
      <w:pPr>
        <w:pStyle w:val="Bullet"/>
      </w:pPr>
      <w:r w:rsidRPr="00894CC0">
        <w:t>The percentage of women who identified as heterosexual</w:t>
      </w:r>
      <w:r>
        <w:t xml:space="preserve"> or straight</w:t>
      </w:r>
      <w:r w:rsidRPr="00894CC0">
        <w:t xml:space="preserve"> varied by ethnic group</w:t>
      </w:r>
      <w:r>
        <w:t>.</w:t>
      </w:r>
      <w:r w:rsidRPr="00894CC0">
        <w:t xml:space="preserve"> </w:t>
      </w:r>
      <w:r>
        <w:t>It</w:t>
      </w:r>
      <w:r w:rsidRPr="00894CC0">
        <w:t xml:space="preserve"> was highest in Asian women</w:t>
      </w:r>
      <w:r>
        <w:t xml:space="preserve"> (</w:t>
      </w:r>
      <w:r w:rsidRPr="00894CC0">
        <w:t>97%</w:t>
      </w:r>
      <w:r>
        <w:t>)</w:t>
      </w:r>
      <w:r w:rsidRPr="00894CC0">
        <w:t xml:space="preserve"> and lowest in Māori women</w:t>
      </w:r>
      <w:r>
        <w:t xml:space="preserve"> (</w:t>
      </w:r>
      <w:r w:rsidRPr="00894CC0">
        <w:t>92%</w:t>
      </w:r>
      <w:r>
        <w:t>)</w:t>
      </w:r>
      <w:r w:rsidRPr="00894CC0">
        <w:t>.</w:t>
      </w:r>
    </w:p>
    <w:p w14:paraId="4CCCEF77" w14:textId="77777777" w:rsidR="002B7BEC" w:rsidRPr="003E74E2" w:rsidRDefault="002B7BEC" w:rsidP="002575E8"/>
    <w:p w14:paraId="6D0B855D" w14:textId="466BC141" w:rsidR="002B7BEC" w:rsidRPr="004A4156" w:rsidRDefault="002B7BEC" w:rsidP="00634003">
      <w:pPr>
        <w:pStyle w:val="Figure"/>
      </w:pPr>
      <w:bookmarkStart w:id="10" w:name="_Toc534900985"/>
      <w:bookmarkStart w:id="11" w:name="_Toc4160156"/>
      <w:bookmarkStart w:id="12" w:name="_Toc23507664"/>
      <w:r w:rsidRPr="004A4156">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2</w:t>
      </w:r>
      <w:r w:rsidR="00337A0C">
        <w:rPr>
          <w:noProof/>
        </w:rPr>
        <w:fldChar w:fldCharType="end"/>
      </w:r>
      <w:r>
        <w:t>: Sexual identity,</w:t>
      </w:r>
      <w:r w:rsidRPr="00976C2F">
        <w:t xml:space="preserve"> by </w:t>
      </w:r>
      <w:bookmarkEnd w:id="10"/>
      <w:r>
        <w:t>ethnic group and gender</w:t>
      </w:r>
      <w:bookmarkEnd w:id="11"/>
      <w:bookmarkEnd w:id="12"/>
    </w:p>
    <w:p w14:paraId="6E083885" w14:textId="77777777" w:rsidR="002B7BEC" w:rsidRPr="003E74E2" w:rsidRDefault="0006006B" w:rsidP="00C347C8">
      <w:r w:rsidRPr="0006006B">
        <w:rPr>
          <w:noProof/>
          <w:lang w:eastAsia="en-NZ"/>
        </w:rPr>
        <w:drawing>
          <wp:inline distT="0" distB="0" distL="0" distR="0" wp14:anchorId="74E03512" wp14:editId="4C339E7B">
            <wp:extent cx="5130165" cy="3347762"/>
            <wp:effectExtent l="0" t="0" r="0" b="5080"/>
            <wp:docPr id="43" name="Picture 43" descr="Bar graph showing the percentage of men and women from different ethnic groups who identified as gay/lesbian, bisexual, or other. Close to 5% of Māori women, about 3% of European/other women and about 2% of Pacific women identified as bisexual. About 2% of Pacific and Asian women identified as other. Māori and European/other women were most likely to identify as lesbian, but at less than 2%. Men from all ethnic groups identified with each sexual identity at less than 2%. Māori and Asian men were most likely to identify as other, while Pacific men were most likely to identify as bisexual, and European/other men were most likely to identify as 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30165" cy="3347762"/>
                    </a:xfrm>
                    <a:prstGeom prst="rect">
                      <a:avLst/>
                    </a:prstGeom>
                  </pic:spPr>
                </pic:pic>
              </a:graphicData>
            </a:graphic>
          </wp:inline>
        </w:drawing>
      </w:r>
    </w:p>
    <w:p w14:paraId="4C6D2A58" w14:textId="6CC82335" w:rsidR="002B7BEC" w:rsidRDefault="002B7BEC" w:rsidP="00634003">
      <w:pPr>
        <w:pStyle w:val="Note"/>
      </w:pPr>
      <w:r>
        <w:t>Note:</w:t>
      </w:r>
      <w:r w:rsidR="003E74E2">
        <w:t xml:space="preserve"> </w:t>
      </w:r>
      <w:r>
        <w:t>Excluding heterosexual/</w:t>
      </w:r>
      <w:r w:rsidRPr="002724D6">
        <w:t>straight</w:t>
      </w:r>
      <w:r>
        <w:t xml:space="preserve"> adults</w:t>
      </w:r>
      <w:r w:rsidR="00ED3840">
        <w:t>, so that the smaller values can be seen on the vertical scale</w:t>
      </w:r>
      <w:r w:rsidRPr="002724D6">
        <w:t>.</w:t>
      </w:r>
    </w:p>
    <w:p w14:paraId="12FE5EB1" w14:textId="77777777" w:rsidR="002B7BEC" w:rsidRPr="002724D6" w:rsidRDefault="002B7BEC" w:rsidP="00634003">
      <w:pPr>
        <w:pStyle w:val="Note"/>
      </w:pPr>
      <w:r w:rsidRPr="00FE7911">
        <w:t>Adults who reported more than one ethnic group are counted once in each group reported. This means that the total number of responses for all ethnic groups can be greater than the total number of adults who stated their ethnicities.</w:t>
      </w:r>
    </w:p>
    <w:p w14:paraId="43837548" w14:textId="77777777" w:rsidR="002B7BEC" w:rsidRDefault="002B7BEC" w:rsidP="00634003"/>
    <w:p w14:paraId="253721DA" w14:textId="77777777" w:rsidR="002B7BEC" w:rsidRPr="00634003" w:rsidRDefault="002B7BEC" w:rsidP="00634003">
      <w:pPr>
        <w:pStyle w:val="Heading4"/>
      </w:pPr>
      <w:r w:rsidRPr="00634003">
        <w:lastRenderedPageBreak/>
        <w:t>Men living in the most deprived neighbourhoods were more likely to identify as bisexual than men in the least deprived neighbourhoods</w:t>
      </w:r>
    </w:p>
    <w:p w14:paraId="4F1A61BD" w14:textId="77777777" w:rsidR="003E74E2" w:rsidRDefault="002B7BEC" w:rsidP="00C347C8">
      <w:pPr>
        <w:pStyle w:val="Bullet"/>
        <w:keepNext/>
      </w:pPr>
      <w:r>
        <w:t>A higher percentage of men living in the most deprived neighbourhoods identified as bisexual (1.5%) than men living in the least deprived neighbourhoods (0.4%).</w:t>
      </w:r>
    </w:p>
    <w:p w14:paraId="42247CAE" w14:textId="77777777" w:rsidR="003E74E2" w:rsidRDefault="002B7BEC" w:rsidP="00634003">
      <w:pPr>
        <w:pStyle w:val="Bullet"/>
      </w:pPr>
      <w:r w:rsidRPr="00894CC0">
        <w:t>After adjust</w:t>
      </w:r>
      <w:r>
        <w:t xml:space="preserve">ing </w:t>
      </w:r>
      <w:r w:rsidRPr="00894CC0">
        <w:t xml:space="preserve">for age and ethnicity, men living in the most deprived neighbourhoods were </w:t>
      </w:r>
      <w:r>
        <w:t>4.2 times as</w:t>
      </w:r>
      <w:r w:rsidRPr="00894CC0">
        <w:t xml:space="preserve"> likely </w:t>
      </w:r>
      <w:r>
        <w:t>as</w:t>
      </w:r>
      <w:r w:rsidRPr="00894CC0">
        <w:t xml:space="preserve"> those living in the least deprived neighbourhoods to identify as bisexual.</w:t>
      </w:r>
    </w:p>
    <w:p w14:paraId="0CD00411" w14:textId="77777777" w:rsidR="003E74E2" w:rsidRDefault="002B7BEC" w:rsidP="00634003">
      <w:pPr>
        <w:pStyle w:val="Bullet"/>
      </w:pPr>
      <w:r w:rsidRPr="00894CC0">
        <w:t xml:space="preserve">Men living in the </w:t>
      </w:r>
      <w:r>
        <w:t>most</w:t>
      </w:r>
      <w:r w:rsidRPr="00894CC0">
        <w:t xml:space="preserve"> deprived neighbourhoods were </w:t>
      </w:r>
      <w:r>
        <w:t>less</w:t>
      </w:r>
      <w:r w:rsidRPr="00894CC0">
        <w:t xml:space="preserve"> likely to identify as heterosexual (9</w:t>
      </w:r>
      <w:r>
        <w:t>6</w:t>
      </w:r>
      <w:r w:rsidRPr="00894CC0">
        <w:t xml:space="preserve">%) than men in the </w:t>
      </w:r>
      <w:r>
        <w:t>least</w:t>
      </w:r>
      <w:r w:rsidRPr="00894CC0">
        <w:t xml:space="preserve"> deprived neighbourhoods (9</w:t>
      </w:r>
      <w:r>
        <w:t>9</w:t>
      </w:r>
      <w:r w:rsidRPr="00894CC0">
        <w:t>%).</w:t>
      </w:r>
    </w:p>
    <w:p w14:paraId="2338C663" w14:textId="77777777" w:rsidR="003E74E2" w:rsidRDefault="002B7BEC" w:rsidP="00634003">
      <w:pPr>
        <w:pStyle w:val="Bullet"/>
      </w:pPr>
      <w:r w:rsidRPr="00894CC0">
        <w:t>After adjust</w:t>
      </w:r>
      <w:r>
        <w:t xml:space="preserve">ing </w:t>
      </w:r>
      <w:r w:rsidRPr="00894CC0">
        <w:t xml:space="preserve">for age and ethnicity, men living in the most deprived neighbourhoods were </w:t>
      </w:r>
      <w:r>
        <w:t>0.95 times as</w:t>
      </w:r>
      <w:r w:rsidRPr="00894CC0">
        <w:t xml:space="preserve"> likely </w:t>
      </w:r>
      <w:r>
        <w:t>as</w:t>
      </w:r>
      <w:r w:rsidRPr="00894CC0">
        <w:t xml:space="preserve"> those living in the least deprived neighbourhoods to identify </w:t>
      </w:r>
      <w:r>
        <w:t>as heterosexual</w:t>
      </w:r>
      <w:r w:rsidRPr="00894CC0">
        <w:t>.</w:t>
      </w:r>
    </w:p>
    <w:p w14:paraId="541F7F02" w14:textId="77777777" w:rsidR="002B7BEC" w:rsidRPr="003E74E2" w:rsidRDefault="002B7BEC" w:rsidP="00634003"/>
    <w:p w14:paraId="57584EA9" w14:textId="77777777" w:rsidR="002B7BEC" w:rsidRPr="0015687C" w:rsidRDefault="002B7BEC" w:rsidP="00634003">
      <w:pPr>
        <w:pStyle w:val="Heading1"/>
      </w:pPr>
      <w:bookmarkStart w:id="13" w:name="_Toc1549822"/>
      <w:bookmarkStart w:id="14" w:name="_Toc4161999"/>
      <w:bookmarkStart w:id="15" w:name="_Toc23507654"/>
      <w:r>
        <w:lastRenderedPageBreak/>
        <w:t>Same-gender</w:t>
      </w:r>
      <w:r w:rsidRPr="0015687C">
        <w:t xml:space="preserve"> </w:t>
      </w:r>
      <w:bookmarkEnd w:id="13"/>
      <w:r>
        <w:t>sex</w:t>
      </w:r>
      <w:bookmarkEnd w:id="14"/>
      <w:bookmarkEnd w:id="15"/>
    </w:p>
    <w:p w14:paraId="71CE888D" w14:textId="77777777" w:rsidR="003E74E2" w:rsidRDefault="002B7BEC" w:rsidP="00634003">
      <w:pPr>
        <w:pStyle w:val="Heading2"/>
      </w:pPr>
      <w:bookmarkStart w:id="16" w:name="_Toc4162000"/>
      <w:bookmarkStart w:id="17" w:name="_Toc23507655"/>
      <w:r w:rsidRPr="007E6500">
        <w:t>Same-gender sex in lifetime</w:t>
      </w:r>
      <w:bookmarkEnd w:id="16"/>
      <w:bookmarkEnd w:id="17"/>
    </w:p>
    <w:p w14:paraId="1B597D4A" w14:textId="77777777" w:rsidR="003E74E2" w:rsidRDefault="002B7BEC" w:rsidP="00634003">
      <w:r>
        <w:t>The</w:t>
      </w:r>
      <w:r w:rsidRPr="00ED36E2">
        <w:t xml:space="preserve"> </w:t>
      </w:r>
      <w:r>
        <w:t>survey</w:t>
      </w:r>
      <w:r w:rsidRPr="00ED36E2">
        <w:t xml:space="preserve"> </w:t>
      </w:r>
      <w:r>
        <w:t>asked men and women slightly different questions about their sexual experiences:</w:t>
      </w:r>
    </w:p>
    <w:p w14:paraId="5328414B" w14:textId="77777777" w:rsidR="003E74E2" w:rsidRDefault="002B7BEC" w:rsidP="00634003">
      <w:pPr>
        <w:pStyle w:val="Bullet"/>
      </w:pPr>
      <w:r w:rsidRPr="00C0671F">
        <w:t xml:space="preserve">Men were asked: </w:t>
      </w:r>
      <w:r w:rsidR="003E74E2">
        <w:t>‘</w:t>
      </w:r>
      <w:r w:rsidRPr="00C0671F">
        <w:t>Have you ever had sex with a male? That is</w:t>
      </w:r>
      <w:r>
        <w:t>,</w:t>
      </w:r>
      <w:r w:rsidRPr="00C0671F">
        <w:t xml:space="preserve"> oral or anal sex or any other genital contact intended to achieve orgasm?</w:t>
      </w:r>
      <w:r w:rsidR="003E74E2">
        <w:t>’</w:t>
      </w:r>
    </w:p>
    <w:p w14:paraId="4A5DCA0A" w14:textId="77777777" w:rsidR="002B7BEC" w:rsidRPr="009A3D08" w:rsidRDefault="002B7BEC" w:rsidP="00634003">
      <w:pPr>
        <w:pStyle w:val="Bullet"/>
      </w:pPr>
      <w:r w:rsidRPr="00CD3954">
        <w:t xml:space="preserve">Women were asked: </w:t>
      </w:r>
      <w:r w:rsidR="003E74E2">
        <w:t>‘</w:t>
      </w:r>
      <w:r w:rsidRPr="00CD3954">
        <w:t>Have you ever had sex with a female? That is</w:t>
      </w:r>
      <w:r>
        <w:t>,</w:t>
      </w:r>
      <w:r w:rsidRPr="00CD3954">
        <w:t xml:space="preserve"> oral sex or any other genital contact intended to achieve orgasm?</w:t>
      </w:r>
      <w:r w:rsidR="003E74E2">
        <w:t>’</w:t>
      </w:r>
    </w:p>
    <w:p w14:paraId="0B1CBBC6" w14:textId="77777777" w:rsidR="00634003" w:rsidRDefault="00634003" w:rsidP="00634003"/>
    <w:p w14:paraId="685C621C" w14:textId="77777777" w:rsidR="003E74E2" w:rsidRDefault="002B7BEC" w:rsidP="00634003">
      <w:r>
        <w:t>In both cases, the question specified that it was asking r</w:t>
      </w:r>
      <w:r w:rsidRPr="005603C7">
        <w:t xml:space="preserve">espondents about </w:t>
      </w:r>
      <w:r>
        <w:t xml:space="preserve">the </w:t>
      </w:r>
      <w:r w:rsidRPr="005603C7">
        <w:t xml:space="preserve">sex </w:t>
      </w:r>
      <w:r>
        <w:t xml:space="preserve">they had had </w:t>
      </w:r>
      <w:r w:rsidRPr="005603C7">
        <w:t>since turning 13 years old</w:t>
      </w:r>
      <w:r>
        <w:t>,</w:t>
      </w:r>
      <w:r w:rsidRPr="005603C7">
        <w:t xml:space="preserve"> to </w:t>
      </w:r>
      <w:r w:rsidRPr="00A54D48">
        <w:t xml:space="preserve">avoid </w:t>
      </w:r>
      <w:r>
        <w:t xml:space="preserve">causing </w:t>
      </w:r>
      <w:r w:rsidRPr="00A54D48">
        <w:t xml:space="preserve">distress from </w:t>
      </w:r>
      <w:r>
        <w:t xml:space="preserve">what respondents may have considered a </w:t>
      </w:r>
      <w:r w:rsidRPr="00A54D48">
        <w:t xml:space="preserve">probing </w:t>
      </w:r>
      <w:r>
        <w:t>question about child sexual abuse</w:t>
      </w:r>
      <w:r w:rsidRPr="005603C7">
        <w:t>.</w:t>
      </w:r>
      <w:r>
        <w:t xml:space="preserve"> Respondents may have interpreted the terms </w:t>
      </w:r>
      <w:r w:rsidR="003E74E2">
        <w:t>‘</w:t>
      </w:r>
      <w:r>
        <w:t>male</w:t>
      </w:r>
      <w:r w:rsidR="003E74E2">
        <w:t>’</w:t>
      </w:r>
      <w:r>
        <w:t xml:space="preserve"> and </w:t>
      </w:r>
      <w:r w:rsidR="003E74E2">
        <w:t>‘</w:t>
      </w:r>
      <w:r>
        <w:t>female</w:t>
      </w:r>
      <w:r w:rsidR="003E74E2">
        <w:t>’</w:t>
      </w:r>
      <w:r>
        <w:t xml:space="preserve"> as either sex or gender.</w:t>
      </w:r>
      <w:r w:rsidRPr="00634003">
        <w:rPr>
          <w:rStyle w:val="FootnoteReference"/>
          <w:rFonts w:eastAsia="MS Gothic"/>
        </w:rPr>
        <w:footnoteReference w:id="3"/>
      </w:r>
    </w:p>
    <w:p w14:paraId="3B2CBB71" w14:textId="77777777" w:rsidR="00634003" w:rsidRDefault="00634003" w:rsidP="00634003"/>
    <w:p w14:paraId="3E1FADC6" w14:textId="77777777" w:rsidR="003E74E2" w:rsidRDefault="002B7BEC" w:rsidP="00634003">
      <w:pPr>
        <w:pStyle w:val="Heading4"/>
      </w:pPr>
      <w:r>
        <w:t>Women were more likely to have had sex with other women, than men with other men</w:t>
      </w:r>
    </w:p>
    <w:p w14:paraId="605A68F5" w14:textId="77777777" w:rsidR="003E74E2" w:rsidRDefault="002B7BEC" w:rsidP="00634003">
      <w:r>
        <w:t>Having</w:t>
      </w:r>
      <w:r w:rsidRPr="0007074D">
        <w:t xml:space="preserve"> ever had </w:t>
      </w:r>
      <w:r>
        <w:t>sex with a</w:t>
      </w:r>
      <w:r w:rsidRPr="0007074D">
        <w:t xml:space="preserve"> </w:t>
      </w:r>
      <w:r>
        <w:t>same-gender partner</w:t>
      </w:r>
      <w:r w:rsidRPr="0007074D">
        <w:t xml:space="preserve"> was more common among women (6.5%) than men (4.2%) (Figure 3).</w:t>
      </w:r>
    </w:p>
    <w:p w14:paraId="07796BA7" w14:textId="77777777" w:rsidR="002B7BEC" w:rsidRPr="0007074D" w:rsidRDefault="002B7BEC" w:rsidP="00634003"/>
    <w:p w14:paraId="5823A7AE" w14:textId="77777777" w:rsidR="002B7BEC" w:rsidRDefault="002B7BEC" w:rsidP="00634003">
      <w:pPr>
        <w:pStyle w:val="Heading4"/>
      </w:pPr>
      <w:r>
        <w:t>Younger women were more likely than older women to have ever had sex with another woman</w:t>
      </w:r>
    </w:p>
    <w:p w14:paraId="6AE49906" w14:textId="77777777" w:rsidR="003E74E2" w:rsidRDefault="002B7BEC" w:rsidP="00634003">
      <w:r w:rsidRPr="0007074D">
        <w:t xml:space="preserve">For women, having ever had </w:t>
      </w:r>
      <w:r>
        <w:t>sex with a woman</w:t>
      </w:r>
      <w:r w:rsidRPr="0007074D">
        <w:t xml:space="preserve"> was most common in those under 45</w:t>
      </w:r>
      <w:r w:rsidR="00634003">
        <w:t> </w:t>
      </w:r>
      <w:r w:rsidRPr="0007074D">
        <w:t>years</w:t>
      </w:r>
      <w:r>
        <w:t>,</w:t>
      </w:r>
      <w:r w:rsidRPr="0007074D">
        <w:t xml:space="preserve"> after which age it </w:t>
      </w:r>
      <w:r>
        <w:t xml:space="preserve">became </w:t>
      </w:r>
      <w:r w:rsidRPr="0007074D">
        <w:t>progressively and markedly less common (Figure</w:t>
      </w:r>
      <w:r w:rsidR="00634003">
        <w:t> </w:t>
      </w:r>
      <w:r w:rsidRPr="0007074D">
        <w:t>3</w:t>
      </w:r>
      <w:r>
        <w:t>).</w:t>
      </w:r>
    </w:p>
    <w:p w14:paraId="5ECF5AB6" w14:textId="77777777" w:rsidR="00634003" w:rsidRDefault="00634003" w:rsidP="00634003"/>
    <w:p w14:paraId="53D7E8BC" w14:textId="77777777" w:rsidR="002B7BEC" w:rsidRPr="0007074D" w:rsidRDefault="002B7BEC" w:rsidP="00634003">
      <w:r w:rsidRPr="00CE4880">
        <w:t>For men, there was no clear pattern in ever having had sex with a man by age.</w:t>
      </w:r>
    </w:p>
    <w:p w14:paraId="1D084E5D" w14:textId="77777777" w:rsidR="002B7BEC" w:rsidRPr="003E74E2" w:rsidRDefault="002B7BEC" w:rsidP="00634003"/>
    <w:p w14:paraId="62B305FF" w14:textId="4BA00D3B" w:rsidR="002B7BEC" w:rsidRDefault="002B7BEC" w:rsidP="00634003">
      <w:pPr>
        <w:pStyle w:val="Figure"/>
      </w:pPr>
      <w:bookmarkStart w:id="18" w:name="_Toc534900986"/>
      <w:bookmarkStart w:id="19" w:name="_Toc4160157"/>
      <w:bookmarkStart w:id="20" w:name="_Toc23507665"/>
      <w:r>
        <w:lastRenderedPageBreak/>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3</w:t>
      </w:r>
      <w:r w:rsidR="00337A0C">
        <w:rPr>
          <w:noProof/>
        </w:rPr>
        <w:fldChar w:fldCharType="end"/>
      </w:r>
      <w:r>
        <w:t xml:space="preserve">: </w:t>
      </w:r>
      <w:r w:rsidRPr="00A861CE">
        <w:t>Same-</w:t>
      </w:r>
      <w:r>
        <w:t>gender</w:t>
      </w:r>
      <w:r w:rsidRPr="00A861CE">
        <w:t xml:space="preserve"> sex in lifetime</w:t>
      </w:r>
      <w:r w:rsidRPr="00976C2F">
        <w:t>, by age group</w:t>
      </w:r>
      <w:bookmarkEnd w:id="18"/>
      <w:r>
        <w:t xml:space="preserve"> and gender</w:t>
      </w:r>
      <w:bookmarkEnd w:id="19"/>
      <w:bookmarkEnd w:id="20"/>
    </w:p>
    <w:p w14:paraId="08F9FB08" w14:textId="77777777" w:rsidR="002B7BEC" w:rsidRDefault="00F37381" w:rsidP="00F37381">
      <w:r w:rsidRPr="00F37381">
        <w:rPr>
          <w:noProof/>
          <w:lang w:eastAsia="en-NZ"/>
        </w:rPr>
        <w:drawing>
          <wp:inline distT="0" distB="0" distL="0" distR="0" wp14:anchorId="19541EB5" wp14:editId="13E7AB85">
            <wp:extent cx="5130165" cy="3347762"/>
            <wp:effectExtent l="0" t="0" r="0" b="5080"/>
            <wp:docPr id="30" name="Picture 30" descr="Women were more likely to have had same-gender sex for age groups between 16 and 44, peaking at about 10% for 25-34 year olds. Men and women age 45-54 had a similar rate of same-gender sex, at about 5%. But men were more likely to have had same-gender sex in the 55-64 and 65-74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30165" cy="3347762"/>
                    </a:xfrm>
                    <a:prstGeom prst="rect">
                      <a:avLst/>
                    </a:prstGeom>
                  </pic:spPr>
                </pic:pic>
              </a:graphicData>
            </a:graphic>
          </wp:inline>
        </w:drawing>
      </w:r>
    </w:p>
    <w:p w14:paraId="79200AE4" w14:textId="77777777" w:rsidR="00634003" w:rsidRDefault="00634003" w:rsidP="00F37381"/>
    <w:p w14:paraId="5D4EB461" w14:textId="77777777" w:rsidR="002B7BEC" w:rsidRPr="00E83FB7" w:rsidRDefault="002B7BEC" w:rsidP="00F807AD">
      <w:pPr>
        <w:pStyle w:val="Heading4"/>
      </w:pPr>
      <w:r>
        <w:t>Māori and European/Other women were most likely to have ever</w:t>
      </w:r>
      <w:r w:rsidRPr="00E83FB7">
        <w:t xml:space="preserve"> </w:t>
      </w:r>
      <w:r>
        <w:t>had sex with another woman</w:t>
      </w:r>
    </w:p>
    <w:p w14:paraId="2F6AC847" w14:textId="77777777" w:rsidR="003E74E2" w:rsidRDefault="002B7BEC" w:rsidP="00F807AD">
      <w:r w:rsidRPr="00E130CB">
        <w:t xml:space="preserve">The percentage of </w:t>
      </w:r>
      <w:r>
        <w:t>wo</w:t>
      </w:r>
      <w:r w:rsidRPr="00E130CB">
        <w:t xml:space="preserve">men </w:t>
      </w:r>
      <w:r>
        <w:t xml:space="preserve">who </w:t>
      </w:r>
      <w:r w:rsidRPr="00E130CB">
        <w:t xml:space="preserve">had had sex with </w:t>
      </w:r>
      <w:r>
        <w:t>another woman</w:t>
      </w:r>
      <w:r w:rsidRPr="00E130CB">
        <w:t xml:space="preserve"> varied by ethnic group:</w:t>
      </w:r>
    </w:p>
    <w:p w14:paraId="2E9219DF" w14:textId="77777777" w:rsidR="002B7BEC" w:rsidRDefault="002B7BEC" w:rsidP="00F807AD">
      <w:pPr>
        <w:pStyle w:val="Bullet"/>
      </w:pPr>
      <w:r>
        <w:t xml:space="preserve">10.1% of </w:t>
      </w:r>
      <w:r w:rsidRPr="00E130CB">
        <w:t>Māori</w:t>
      </w:r>
    </w:p>
    <w:p w14:paraId="35F73DD4" w14:textId="77777777" w:rsidR="002B7BEC" w:rsidRDefault="002B7BEC" w:rsidP="00F807AD">
      <w:pPr>
        <w:pStyle w:val="Bullet"/>
      </w:pPr>
      <w:r>
        <w:t>7.4% of European/Other</w:t>
      </w:r>
    </w:p>
    <w:p w14:paraId="690BC23C" w14:textId="77777777" w:rsidR="003E74E2" w:rsidRDefault="002B7BEC" w:rsidP="00F807AD">
      <w:pPr>
        <w:pStyle w:val="Bullet"/>
      </w:pPr>
      <w:r>
        <w:t>2.7% of Pacific</w:t>
      </w:r>
    </w:p>
    <w:p w14:paraId="032757EF" w14:textId="77777777" w:rsidR="003E74E2" w:rsidRDefault="002B7BEC" w:rsidP="00F807AD">
      <w:pPr>
        <w:pStyle w:val="Bullet"/>
      </w:pPr>
      <w:r>
        <w:t xml:space="preserve">1.8% of </w:t>
      </w:r>
      <w:r w:rsidRPr="00E130CB">
        <w:t xml:space="preserve">Asian </w:t>
      </w:r>
      <w:r>
        <w:t>women</w:t>
      </w:r>
      <w:r w:rsidRPr="0007074D">
        <w:t>.</w:t>
      </w:r>
    </w:p>
    <w:p w14:paraId="17652107" w14:textId="77777777" w:rsidR="00F807AD" w:rsidRDefault="00F807AD" w:rsidP="00F807AD"/>
    <w:p w14:paraId="1DB0BBAD" w14:textId="77777777" w:rsidR="003E74E2" w:rsidRDefault="002B7BEC" w:rsidP="00F807AD">
      <w:r w:rsidRPr="00E130CB">
        <w:t>The perce</w:t>
      </w:r>
      <w:r w:rsidRPr="00A54D48">
        <w:t>ntage</w:t>
      </w:r>
      <w:r w:rsidRPr="00E130CB">
        <w:t xml:space="preserve"> of men who had had sex with </w:t>
      </w:r>
      <w:r>
        <w:t>another man</w:t>
      </w:r>
      <w:r w:rsidRPr="00E130CB">
        <w:t xml:space="preserve"> </w:t>
      </w:r>
      <w:r>
        <w:t xml:space="preserve">also </w:t>
      </w:r>
      <w:r w:rsidRPr="00E130CB">
        <w:t>varied by ethnic group:</w:t>
      </w:r>
    </w:p>
    <w:p w14:paraId="201C93D2" w14:textId="77777777" w:rsidR="002B7BEC" w:rsidRDefault="002B7BEC" w:rsidP="00F807AD">
      <w:pPr>
        <w:pStyle w:val="Bullet"/>
      </w:pPr>
      <w:r>
        <w:t>4.9% of European/Other</w:t>
      </w:r>
    </w:p>
    <w:p w14:paraId="035FAD12" w14:textId="77777777" w:rsidR="002B7BEC" w:rsidRDefault="002B7BEC" w:rsidP="00F807AD">
      <w:pPr>
        <w:pStyle w:val="Bullet"/>
      </w:pPr>
      <w:r>
        <w:t xml:space="preserve">4.3% of </w:t>
      </w:r>
      <w:r w:rsidRPr="00E130CB">
        <w:t>Māori</w:t>
      </w:r>
    </w:p>
    <w:p w14:paraId="087F2D7C" w14:textId="77777777" w:rsidR="003E74E2" w:rsidRDefault="002B7BEC" w:rsidP="00F807AD">
      <w:pPr>
        <w:pStyle w:val="Bullet"/>
      </w:pPr>
      <w:r>
        <w:t xml:space="preserve">2.4% of </w:t>
      </w:r>
      <w:r w:rsidRPr="00E130CB">
        <w:t>Pacific</w:t>
      </w:r>
    </w:p>
    <w:p w14:paraId="1200AC64" w14:textId="77777777" w:rsidR="003E74E2" w:rsidRDefault="002B7BEC" w:rsidP="00F807AD">
      <w:pPr>
        <w:pStyle w:val="Bullet"/>
      </w:pPr>
      <w:r>
        <w:t>1.8% of Asian men.</w:t>
      </w:r>
    </w:p>
    <w:p w14:paraId="3EE2309A" w14:textId="77777777" w:rsidR="002B7BEC" w:rsidRDefault="002B7BEC" w:rsidP="00F807AD">
      <w:bookmarkStart w:id="21" w:name="_Toc534900987"/>
      <w:bookmarkStart w:id="22" w:name="_Toc4160158"/>
    </w:p>
    <w:p w14:paraId="066F473C" w14:textId="7FDC31A8" w:rsidR="002B7BEC" w:rsidRDefault="002B7BEC" w:rsidP="00F807AD">
      <w:pPr>
        <w:pStyle w:val="Figure"/>
      </w:pPr>
      <w:bookmarkStart w:id="23" w:name="_Toc23507666"/>
      <w:r>
        <w:lastRenderedPageBreak/>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4</w:t>
      </w:r>
      <w:r w:rsidR="00337A0C">
        <w:rPr>
          <w:noProof/>
        </w:rPr>
        <w:fldChar w:fldCharType="end"/>
      </w:r>
      <w:r>
        <w:t xml:space="preserve">: </w:t>
      </w:r>
      <w:bookmarkEnd w:id="21"/>
      <w:r w:rsidRPr="00A861CE">
        <w:t>Same-</w:t>
      </w:r>
      <w:r>
        <w:t>gender</w:t>
      </w:r>
      <w:r w:rsidRPr="00A861CE">
        <w:t xml:space="preserve"> sex in lifetime</w:t>
      </w:r>
      <w:r w:rsidRPr="00976C2F">
        <w:t xml:space="preserve">, by </w:t>
      </w:r>
      <w:r>
        <w:t>ethnic</w:t>
      </w:r>
      <w:r w:rsidRPr="00976C2F">
        <w:t xml:space="preserve"> group</w:t>
      </w:r>
      <w:r>
        <w:t xml:space="preserve"> and gender</w:t>
      </w:r>
      <w:bookmarkEnd w:id="22"/>
      <w:bookmarkEnd w:id="23"/>
    </w:p>
    <w:p w14:paraId="760C809E" w14:textId="77777777" w:rsidR="003E74E2" w:rsidRDefault="0017070E" w:rsidP="00F37381">
      <w:r w:rsidRPr="0017070E">
        <w:rPr>
          <w:noProof/>
          <w:lang w:eastAsia="en-NZ"/>
        </w:rPr>
        <w:drawing>
          <wp:inline distT="0" distB="0" distL="0" distR="0" wp14:anchorId="408F83ED" wp14:editId="6BE3094C">
            <wp:extent cx="5130165" cy="3347762"/>
            <wp:effectExtent l="0" t="0" r="0" b="5080"/>
            <wp:docPr id="32" name="Picture 32" descr="Māori women were most likely to have had same-gender sex, at about 10%, followed by European/other women at about 7%. About 5% of European/other men and about 4% of Māori men had had same-gender sex. About 2.5% of Pacific men and women and 2% of Asian men and women had had same-gender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30165" cy="3347762"/>
                    </a:xfrm>
                    <a:prstGeom prst="rect">
                      <a:avLst/>
                    </a:prstGeom>
                  </pic:spPr>
                </pic:pic>
              </a:graphicData>
            </a:graphic>
          </wp:inline>
        </w:drawing>
      </w:r>
    </w:p>
    <w:p w14:paraId="58AF1399" w14:textId="77777777" w:rsidR="002B7BEC" w:rsidRDefault="002B7BEC" w:rsidP="00F807AD">
      <w:pPr>
        <w:pStyle w:val="Note"/>
      </w:pPr>
      <w:r>
        <w:t>Note: Adults</w:t>
      </w:r>
      <w:r w:rsidRPr="00A62B40">
        <w:t xml:space="preserve"> who reported more than one ethnic group are counted once in each group reported. This means that the total number of responses for all ethnic groups can be greater than the total number of </w:t>
      </w:r>
      <w:r>
        <w:t>adults</w:t>
      </w:r>
      <w:r w:rsidRPr="00A62B40">
        <w:t xml:space="preserve"> who stated their ethnicities</w:t>
      </w:r>
      <w:r>
        <w:t>.</w:t>
      </w:r>
    </w:p>
    <w:p w14:paraId="4F8FCB7E" w14:textId="77777777" w:rsidR="002B7BEC" w:rsidRDefault="002B7BEC" w:rsidP="00F807AD"/>
    <w:p w14:paraId="5A7E84BA" w14:textId="77777777" w:rsidR="002B7BEC" w:rsidRPr="00F807AD" w:rsidRDefault="002B7BEC" w:rsidP="00F807AD">
      <w:pPr>
        <w:pStyle w:val="Heading4"/>
      </w:pPr>
      <w:r>
        <w:t>Women living in the most deprived neighbourhoods were more likely to have ever had sex with another woman</w:t>
      </w:r>
    </w:p>
    <w:p w14:paraId="42B6B940" w14:textId="77777777" w:rsidR="002B7BEC" w:rsidRDefault="002B7BEC" w:rsidP="00F807AD">
      <w:r>
        <w:t>The percentage of women who ha</w:t>
      </w:r>
      <w:r w:rsidRPr="0007074D">
        <w:t>v</w:t>
      </w:r>
      <w:r>
        <w:t>e ever</w:t>
      </w:r>
      <w:r w:rsidRPr="0007074D">
        <w:t xml:space="preserve"> had sex with another women </w:t>
      </w:r>
      <w:r>
        <w:t xml:space="preserve">was </w:t>
      </w:r>
      <w:r w:rsidRPr="0007074D">
        <w:t>higher in the most deprived neighbourhoods (7.6%) than in the least</w:t>
      </w:r>
      <w:r>
        <w:t xml:space="preserve"> deprived</w:t>
      </w:r>
      <w:r w:rsidRPr="0007074D">
        <w:t xml:space="preserve"> neighbourhoods (4.5%). After adjust</w:t>
      </w:r>
      <w:r>
        <w:t>ing</w:t>
      </w:r>
      <w:r w:rsidRPr="0007074D">
        <w:t xml:space="preserve"> for age and ethnicity, women living in the most deprived neighbourhoods were 2.4 times as likely as those in the least </w:t>
      </w:r>
      <w:r>
        <w:t xml:space="preserve">deprived neighbourhoods </w:t>
      </w:r>
      <w:r w:rsidRPr="0007074D">
        <w:t xml:space="preserve">to have ever had </w:t>
      </w:r>
      <w:r>
        <w:t>sex with a woman.</w:t>
      </w:r>
    </w:p>
    <w:p w14:paraId="76ED9261" w14:textId="77777777" w:rsidR="00F807AD" w:rsidRDefault="00F807AD" w:rsidP="00F807AD"/>
    <w:p w14:paraId="1315940B" w14:textId="77777777" w:rsidR="003E74E2" w:rsidRDefault="002B7BEC" w:rsidP="00F807AD">
      <w:r>
        <w:t>Among men, t</w:t>
      </w:r>
      <w:r w:rsidRPr="0007074D">
        <w:t xml:space="preserve">here was no clear pattern </w:t>
      </w:r>
      <w:r>
        <w:t>in having ever had sex with another man</w:t>
      </w:r>
      <w:r w:rsidRPr="0007074D">
        <w:t xml:space="preserve"> by level of neighbourhood deprivation.</w:t>
      </w:r>
    </w:p>
    <w:p w14:paraId="3DDD26C3" w14:textId="77777777" w:rsidR="00F807AD" w:rsidRDefault="00F807AD" w:rsidP="00F807AD"/>
    <w:p w14:paraId="6824EC97" w14:textId="77777777" w:rsidR="003E74E2" w:rsidRDefault="002B7BEC" w:rsidP="00F807AD">
      <w:pPr>
        <w:pStyle w:val="Heading2"/>
      </w:pPr>
      <w:bookmarkStart w:id="24" w:name="_Toc4162001"/>
      <w:bookmarkStart w:id="25" w:name="_Toc23507656"/>
      <w:r w:rsidRPr="004B6DAF">
        <w:lastRenderedPageBreak/>
        <w:t>Had sexual partner of the same gender in the five years preceding the survey</w:t>
      </w:r>
      <w:bookmarkEnd w:id="24"/>
      <w:bookmarkEnd w:id="25"/>
    </w:p>
    <w:p w14:paraId="6B955051" w14:textId="77777777" w:rsidR="003E74E2" w:rsidRDefault="002B7BEC" w:rsidP="008D7C9F">
      <w:pPr>
        <w:keepLines/>
      </w:pPr>
      <w:r>
        <w:t xml:space="preserve">The survey </w:t>
      </w:r>
      <w:r w:rsidRPr="00ED36E2">
        <w:t xml:space="preserve">asked </w:t>
      </w:r>
      <w:r>
        <w:t>men</w:t>
      </w:r>
      <w:r w:rsidRPr="00ED36E2">
        <w:t xml:space="preserve"> about </w:t>
      </w:r>
      <w:r>
        <w:t>how many males they had had sex with</w:t>
      </w:r>
      <w:r w:rsidRPr="00ED36E2">
        <w:t xml:space="preserve"> </w:t>
      </w:r>
      <w:r>
        <w:t xml:space="preserve">in the five years preceding the survey, and women the equivalent question. These questions were used to derive the </w:t>
      </w:r>
      <w:r w:rsidR="003E74E2">
        <w:t>‘</w:t>
      </w:r>
      <w:r w:rsidRPr="006A13B1">
        <w:t>Had a sexual partner of the same gender in the five years preceding the survey</w:t>
      </w:r>
      <w:r w:rsidR="003E74E2">
        <w:t>’</w:t>
      </w:r>
      <w:r>
        <w:t xml:space="preserve"> indicator. Respondents may have interpreted the terms </w:t>
      </w:r>
      <w:r w:rsidR="003E74E2">
        <w:t>‘</w:t>
      </w:r>
      <w:r>
        <w:t>male</w:t>
      </w:r>
      <w:r w:rsidR="003E74E2">
        <w:t>’</w:t>
      </w:r>
      <w:r>
        <w:t xml:space="preserve"> and </w:t>
      </w:r>
      <w:r w:rsidR="003E74E2">
        <w:t>‘</w:t>
      </w:r>
      <w:r>
        <w:t>female</w:t>
      </w:r>
      <w:r w:rsidR="003E74E2">
        <w:t>’</w:t>
      </w:r>
      <w:r>
        <w:t xml:space="preserve"> as either sex or gender.</w:t>
      </w:r>
      <w:r w:rsidRPr="00F807AD">
        <w:rPr>
          <w:rStyle w:val="FootnoteReference"/>
          <w:rFonts w:eastAsia="MS Gothic"/>
        </w:rPr>
        <w:footnoteReference w:id="4"/>
      </w:r>
    </w:p>
    <w:p w14:paraId="5A37301B" w14:textId="77777777" w:rsidR="002B7BEC" w:rsidRDefault="002B7BEC" w:rsidP="00F807AD"/>
    <w:p w14:paraId="123D5F3E" w14:textId="77777777" w:rsidR="003E74E2" w:rsidRDefault="002B7BEC" w:rsidP="00F807AD">
      <w:pPr>
        <w:pStyle w:val="Heading4"/>
      </w:pPr>
      <w:r>
        <w:t>Around one in 35</w:t>
      </w:r>
      <w:r w:rsidRPr="008907D2">
        <w:t xml:space="preserve"> adults had </w:t>
      </w:r>
      <w:r>
        <w:t>a same-gender</w:t>
      </w:r>
      <w:r w:rsidRPr="008907D2">
        <w:t xml:space="preserve"> sexual partner </w:t>
      </w:r>
      <w:r>
        <w:t>in the last five years</w:t>
      </w:r>
    </w:p>
    <w:p w14:paraId="577B826C" w14:textId="77777777" w:rsidR="003E74E2" w:rsidRDefault="002B7BEC" w:rsidP="00F807AD">
      <w:r>
        <w:t>H</w:t>
      </w:r>
      <w:r w:rsidRPr="0007074D">
        <w:t xml:space="preserve">aving had a </w:t>
      </w:r>
      <w:r>
        <w:t>same-gender</w:t>
      </w:r>
      <w:r w:rsidRPr="0007074D">
        <w:t xml:space="preserve"> sexual partner </w:t>
      </w:r>
      <w:r>
        <w:t xml:space="preserve">in the last five years </w:t>
      </w:r>
      <w:r w:rsidRPr="0007074D">
        <w:t>was experienced by a similar percentage of men (2.6%) and women (3.2%) aged 16</w:t>
      </w:r>
      <w:r>
        <w:t>–</w:t>
      </w:r>
      <w:r w:rsidRPr="0007074D">
        <w:t>74 years.</w:t>
      </w:r>
    </w:p>
    <w:p w14:paraId="38474C37" w14:textId="77777777" w:rsidR="00F807AD" w:rsidRDefault="00F807AD" w:rsidP="00F807AD"/>
    <w:p w14:paraId="2243B1CC" w14:textId="77777777" w:rsidR="003E74E2" w:rsidRDefault="002B7BEC" w:rsidP="00F807AD">
      <w:r>
        <w:t xml:space="preserve">For women, having had </w:t>
      </w:r>
      <w:r w:rsidRPr="0007074D">
        <w:t xml:space="preserve">a </w:t>
      </w:r>
      <w:r>
        <w:t>same-gender</w:t>
      </w:r>
      <w:r w:rsidRPr="0007074D">
        <w:t xml:space="preserve"> sexual partner </w:t>
      </w:r>
      <w:r>
        <w:t xml:space="preserve">in the last five years </w:t>
      </w:r>
      <w:r w:rsidRPr="0007074D">
        <w:t xml:space="preserve">was most common in </w:t>
      </w:r>
      <w:r>
        <w:t xml:space="preserve">those aged </w:t>
      </w:r>
      <w:r w:rsidRPr="0007074D">
        <w:t>under 35</w:t>
      </w:r>
      <w:r>
        <w:t>,</w:t>
      </w:r>
      <w:r w:rsidRPr="0007074D">
        <w:t xml:space="preserve"> but</w:t>
      </w:r>
      <w:r w:rsidRPr="0007074D" w:rsidDel="00855703">
        <w:t xml:space="preserve"> </w:t>
      </w:r>
      <w:r>
        <w:t xml:space="preserve">there was no </w:t>
      </w:r>
      <w:r w:rsidRPr="0007074D">
        <w:t>clear pattern by age for men.</w:t>
      </w:r>
    </w:p>
    <w:p w14:paraId="1A08B475" w14:textId="77777777" w:rsidR="002B7BEC" w:rsidRPr="003E74E2" w:rsidRDefault="002B7BEC" w:rsidP="00F807AD"/>
    <w:p w14:paraId="5AFF9BB5" w14:textId="344C7DDE" w:rsidR="002B7BEC" w:rsidRPr="007E4293" w:rsidRDefault="002B7BEC" w:rsidP="00494C8E">
      <w:pPr>
        <w:pStyle w:val="Figure"/>
        <w:spacing w:before="60" w:after="60"/>
      </w:pPr>
      <w:bookmarkStart w:id="26" w:name="_Toc534900988"/>
      <w:bookmarkStart w:id="27" w:name="_Toc536016875"/>
      <w:bookmarkStart w:id="28" w:name="_Toc4160159"/>
      <w:bookmarkStart w:id="29" w:name="_Toc23507667"/>
      <w:r>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5</w:t>
      </w:r>
      <w:r w:rsidR="00337A0C">
        <w:rPr>
          <w:noProof/>
        </w:rPr>
        <w:fldChar w:fldCharType="end"/>
      </w:r>
      <w:r>
        <w:t>:</w:t>
      </w:r>
      <w:bookmarkEnd w:id="26"/>
      <w:bookmarkEnd w:id="27"/>
      <w:r w:rsidRPr="004B6DAF">
        <w:t xml:space="preserve"> Had a sexual partner of the same </w:t>
      </w:r>
      <w:r>
        <w:t>gender</w:t>
      </w:r>
      <w:r w:rsidRPr="004B6DAF">
        <w:t xml:space="preserve"> in the </w:t>
      </w:r>
      <w:r>
        <w:t>five</w:t>
      </w:r>
      <w:r w:rsidRPr="004B6DAF">
        <w:t xml:space="preserve"> years preceding the survey</w:t>
      </w:r>
      <w:r>
        <w:t>, by age group and gender</w:t>
      </w:r>
      <w:bookmarkEnd w:id="28"/>
      <w:bookmarkEnd w:id="29"/>
    </w:p>
    <w:p w14:paraId="1B05593B" w14:textId="77777777" w:rsidR="002B7BEC" w:rsidRPr="00F807AD" w:rsidRDefault="00494C8E" w:rsidP="00494C8E">
      <w:r w:rsidRPr="00494C8E">
        <w:rPr>
          <w:noProof/>
          <w:lang w:eastAsia="en-NZ"/>
        </w:rPr>
        <w:drawing>
          <wp:inline distT="0" distB="0" distL="0" distR="0" wp14:anchorId="09EFD8A2" wp14:editId="5B6058B8">
            <wp:extent cx="5130165" cy="3347762"/>
            <wp:effectExtent l="0" t="0" r="0" b="5080"/>
            <wp:docPr id="33" name="Picture 33" descr="Women under the age of 34 were most likely to have had a same gender partner, at over 5%. Men between 45 and 64 were the next most likely, between 3 and 4%. The rate for all other age groups was less th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30165" cy="3347762"/>
                    </a:xfrm>
                    <a:prstGeom prst="rect">
                      <a:avLst/>
                    </a:prstGeom>
                  </pic:spPr>
                </pic:pic>
              </a:graphicData>
            </a:graphic>
          </wp:inline>
        </w:drawing>
      </w:r>
    </w:p>
    <w:p w14:paraId="373CE42E" w14:textId="77777777" w:rsidR="002B7BEC" w:rsidRDefault="002B7BEC" w:rsidP="00F807AD">
      <w:pPr>
        <w:rPr>
          <w:rFonts w:eastAsiaTheme="minorHAnsi"/>
        </w:rPr>
      </w:pPr>
    </w:p>
    <w:p w14:paraId="360A97F2" w14:textId="59C31EA2" w:rsidR="00494C8E" w:rsidRPr="003E74E2" w:rsidRDefault="002B7BEC" w:rsidP="00494C8E">
      <w:pPr>
        <w:rPr>
          <w:rFonts w:eastAsiaTheme="minorHAnsi"/>
        </w:rPr>
      </w:pPr>
      <w:r w:rsidRPr="003E74E2">
        <w:rPr>
          <w:rFonts w:eastAsiaTheme="minorHAnsi"/>
        </w:rPr>
        <w:t>You can find more results about same-gender sexual partners in the five years preceding the survey online at</w:t>
      </w:r>
      <w:r w:rsidR="00C22E0A">
        <w:rPr>
          <w:rFonts w:eastAsiaTheme="minorHAnsi"/>
        </w:rPr>
        <w:t xml:space="preserve"> </w:t>
      </w:r>
      <w:r w:rsidR="00C22E0A" w:rsidRPr="00C22E0A">
        <w:rPr>
          <w:rStyle w:val="Hyperlink"/>
          <w:rFonts w:asciiTheme="minorHAnsi" w:eastAsiaTheme="minorHAnsi" w:hAnsiTheme="minorHAnsi" w:cstheme="minorHAnsi"/>
          <w:sz w:val="24"/>
          <w:szCs w:val="24"/>
        </w:rPr>
        <w:t>https://www.health.govt.nz/publication/sexual-and-reproductive-health-2014-15-new-zealand-health-survey</w:t>
      </w:r>
      <w:r w:rsidRPr="003E74E2">
        <w:rPr>
          <w:rFonts w:eastAsiaTheme="minorHAnsi"/>
        </w:rPr>
        <w:t xml:space="preserve"> </w:t>
      </w:r>
    </w:p>
    <w:p w14:paraId="4F73F395" w14:textId="77777777" w:rsidR="002B7BEC" w:rsidRPr="009F7537" w:rsidRDefault="002B7BEC" w:rsidP="00F807AD">
      <w:pPr>
        <w:pStyle w:val="Heading1"/>
      </w:pPr>
      <w:bookmarkStart w:id="30" w:name="_Toc1549823"/>
      <w:bookmarkStart w:id="31" w:name="_Toc4162002"/>
      <w:bookmarkStart w:id="32" w:name="_Toc23507657"/>
      <w:r w:rsidRPr="009F7537">
        <w:lastRenderedPageBreak/>
        <w:t>Sexual attraction</w:t>
      </w:r>
      <w:bookmarkEnd w:id="30"/>
      <w:bookmarkEnd w:id="31"/>
      <w:bookmarkEnd w:id="32"/>
    </w:p>
    <w:p w14:paraId="2E547EB6" w14:textId="77777777" w:rsidR="002B7BEC" w:rsidRPr="003F4550" w:rsidRDefault="002B7BEC" w:rsidP="00F807AD">
      <w:r w:rsidRPr="00074969">
        <w:t>The survey asked</w:t>
      </w:r>
      <w:r>
        <w:t xml:space="preserve"> men, </w:t>
      </w:r>
      <w:r w:rsidR="003E74E2">
        <w:t>‘</w:t>
      </w:r>
      <w:r w:rsidRPr="003F4550">
        <w:t>What best describes who you have ever felt sexually attracted to?</w:t>
      </w:r>
      <w:r>
        <w:t xml:space="preserve"> </w:t>
      </w:r>
      <w:r w:rsidRPr="003F4550">
        <w:t>I have felt sexually attracted:</w:t>
      </w:r>
    </w:p>
    <w:p w14:paraId="7A8DCEF3" w14:textId="77777777" w:rsidR="002B7BEC" w:rsidRPr="003F4550" w:rsidRDefault="002B7BEC" w:rsidP="00F807AD">
      <w:pPr>
        <w:spacing w:before="60"/>
        <w:ind w:left="567" w:hanging="567"/>
      </w:pPr>
      <w:r w:rsidRPr="003F4550">
        <w:t>1.</w:t>
      </w:r>
      <w:r w:rsidR="00F807AD">
        <w:tab/>
      </w:r>
      <w:r w:rsidRPr="003F4550">
        <w:t>Only to females, never to males</w:t>
      </w:r>
      <w:r>
        <w:t>.</w:t>
      </w:r>
    </w:p>
    <w:p w14:paraId="2D494161" w14:textId="77777777" w:rsidR="002B7BEC" w:rsidRPr="003F4550" w:rsidRDefault="002B7BEC" w:rsidP="00F807AD">
      <w:pPr>
        <w:spacing w:before="60"/>
        <w:ind w:left="567" w:hanging="567"/>
      </w:pPr>
      <w:r w:rsidRPr="003F4550">
        <w:t>2.</w:t>
      </w:r>
      <w:r w:rsidR="00F807AD">
        <w:tab/>
      </w:r>
      <w:r w:rsidRPr="003F4550">
        <w:t>More often to females and at least once to a male</w:t>
      </w:r>
      <w:r>
        <w:t>.</w:t>
      </w:r>
    </w:p>
    <w:p w14:paraId="6E5DFEE0" w14:textId="77777777" w:rsidR="003E74E2" w:rsidRDefault="002B7BEC" w:rsidP="00F807AD">
      <w:pPr>
        <w:spacing w:before="60"/>
        <w:ind w:left="567" w:hanging="567"/>
      </w:pPr>
      <w:r w:rsidRPr="003F4550">
        <w:t>3.</w:t>
      </w:r>
      <w:r w:rsidR="00F807AD">
        <w:tab/>
      </w:r>
      <w:r w:rsidRPr="003F4550">
        <w:t>About equally often to females and males</w:t>
      </w:r>
      <w:r>
        <w:t>.</w:t>
      </w:r>
    </w:p>
    <w:p w14:paraId="2707D302" w14:textId="77777777" w:rsidR="002B7BEC" w:rsidRPr="003F4550" w:rsidRDefault="002B7BEC" w:rsidP="00F807AD">
      <w:pPr>
        <w:spacing w:before="60"/>
        <w:ind w:left="567" w:hanging="567"/>
      </w:pPr>
      <w:r w:rsidRPr="003F4550">
        <w:t>4.</w:t>
      </w:r>
      <w:r w:rsidR="00F807AD">
        <w:tab/>
      </w:r>
      <w:r w:rsidRPr="003F4550">
        <w:t>More often to males and at least once to a female</w:t>
      </w:r>
      <w:r>
        <w:t>.</w:t>
      </w:r>
    </w:p>
    <w:p w14:paraId="7236C279" w14:textId="77777777" w:rsidR="002B7BEC" w:rsidRPr="003F4550" w:rsidRDefault="002B7BEC" w:rsidP="00F807AD">
      <w:pPr>
        <w:spacing w:before="60"/>
        <w:ind w:left="567" w:hanging="567"/>
      </w:pPr>
      <w:r w:rsidRPr="003F4550">
        <w:t>5.</w:t>
      </w:r>
      <w:r w:rsidR="00F807AD">
        <w:tab/>
      </w:r>
      <w:r w:rsidRPr="003F4550">
        <w:t>Only to males, never to females</w:t>
      </w:r>
      <w:r>
        <w:t>.</w:t>
      </w:r>
    </w:p>
    <w:p w14:paraId="39CF987D" w14:textId="77777777" w:rsidR="002B7BEC" w:rsidRDefault="002B7BEC" w:rsidP="00F807AD">
      <w:pPr>
        <w:spacing w:before="60"/>
        <w:ind w:left="567" w:hanging="567"/>
      </w:pPr>
      <w:r w:rsidRPr="003F4550">
        <w:t>6.</w:t>
      </w:r>
      <w:r w:rsidR="00F807AD">
        <w:tab/>
      </w:r>
      <w:r w:rsidRPr="003F4550">
        <w:t>I have never felt sexually attracted to anyone at all</w:t>
      </w:r>
      <w:r>
        <w:t>.</w:t>
      </w:r>
      <w:r w:rsidR="003E74E2">
        <w:t>’</w:t>
      </w:r>
    </w:p>
    <w:p w14:paraId="6C19C90D" w14:textId="77777777" w:rsidR="002B7BEC" w:rsidRDefault="002B7BEC" w:rsidP="00F807AD"/>
    <w:p w14:paraId="3442E92A" w14:textId="77777777" w:rsidR="002B7BEC" w:rsidRDefault="002B7BEC" w:rsidP="00F807AD">
      <w:r w:rsidRPr="00FA0887">
        <w:t xml:space="preserve">The response options </w:t>
      </w:r>
      <w:r w:rsidR="003E74E2">
        <w:t>‘</w:t>
      </w:r>
      <w:r w:rsidRPr="00FA0887">
        <w:t>More often to females and at least once to a male</w:t>
      </w:r>
      <w:r w:rsidR="003E74E2">
        <w:t>’</w:t>
      </w:r>
      <w:r w:rsidRPr="00FA0887">
        <w:t xml:space="preserve">, </w:t>
      </w:r>
      <w:r w:rsidR="003E74E2">
        <w:t>‘</w:t>
      </w:r>
      <w:r w:rsidRPr="00FA0887">
        <w:t xml:space="preserve">About equally often to females and </w:t>
      </w:r>
      <w:r>
        <w:t>males</w:t>
      </w:r>
      <w:r w:rsidR="003E74E2">
        <w:t>’</w:t>
      </w:r>
      <w:r>
        <w:t xml:space="preserve">, and </w:t>
      </w:r>
      <w:r w:rsidR="003E74E2">
        <w:t>‘</w:t>
      </w:r>
      <w:r>
        <w:t>More often to males</w:t>
      </w:r>
      <w:r w:rsidRPr="00FA0887">
        <w:t xml:space="preserve"> and at least once to a female</w:t>
      </w:r>
      <w:r w:rsidR="003E74E2">
        <w:t>’</w:t>
      </w:r>
      <w:r w:rsidRPr="00FA0887">
        <w:t xml:space="preserve"> </w:t>
      </w:r>
      <w:r>
        <w:t>were</w:t>
      </w:r>
      <w:r w:rsidRPr="00FA0887">
        <w:t xml:space="preserve"> combined into one group </w:t>
      </w:r>
      <w:r>
        <w:t>(</w:t>
      </w:r>
      <w:proofErr w:type="spellStart"/>
      <w:r>
        <w:t>ie</w:t>
      </w:r>
      <w:proofErr w:type="spellEnd"/>
      <w:r>
        <w:t xml:space="preserve">, men </w:t>
      </w:r>
      <w:r w:rsidRPr="00FA0887">
        <w:t xml:space="preserve">who </w:t>
      </w:r>
      <w:r>
        <w:t xml:space="preserve">reported that they </w:t>
      </w:r>
      <w:r w:rsidRPr="00FA0887">
        <w:t>were attracted to both males and females</w:t>
      </w:r>
      <w:r>
        <w:t>)</w:t>
      </w:r>
      <w:r w:rsidRPr="00FA0887">
        <w:t>.</w:t>
      </w:r>
    </w:p>
    <w:p w14:paraId="05F7CA67" w14:textId="77777777" w:rsidR="002B7BEC" w:rsidRDefault="002B7BEC" w:rsidP="000A0158"/>
    <w:p w14:paraId="0E1C723D" w14:textId="77777777" w:rsidR="003E74E2" w:rsidRDefault="002B7BEC" w:rsidP="000A0158">
      <w:r>
        <w:t>The survey asked women the equivalent questions, and categories were similarly combined.</w:t>
      </w:r>
    </w:p>
    <w:p w14:paraId="74575710" w14:textId="77777777" w:rsidR="000A0158" w:rsidRDefault="000A0158" w:rsidP="000A0158"/>
    <w:p w14:paraId="55B3F6E6" w14:textId="77777777" w:rsidR="003E74E2" w:rsidRDefault="002B7BEC" w:rsidP="000A0158">
      <w:r w:rsidRPr="00E039AD">
        <w:t xml:space="preserve">Respondents may have interpreted </w:t>
      </w:r>
      <w:r w:rsidR="003E74E2">
        <w:t>‘</w:t>
      </w:r>
      <w:r w:rsidRPr="00E039AD">
        <w:t>male</w:t>
      </w:r>
      <w:r w:rsidR="003E74E2">
        <w:t>’</w:t>
      </w:r>
      <w:r w:rsidRPr="00E039AD">
        <w:t xml:space="preserve"> and </w:t>
      </w:r>
      <w:r w:rsidR="003E74E2">
        <w:t>‘</w:t>
      </w:r>
      <w:r w:rsidRPr="00E039AD">
        <w:t>female</w:t>
      </w:r>
      <w:r w:rsidR="003E74E2">
        <w:t>’</w:t>
      </w:r>
      <w:r w:rsidRPr="00E039AD">
        <w:t xml:space="preserve"> as </w:t>
      </w:r>
      <w:r>
        <w:t>sex or gender.</w:t>
      </w:r>
      <w:r w:rsidRPr="000A0158">
        <w:rPr>
          <w:rStyle w:val="FootnoteReference"/>
          <w:rFonts w:eastAsia="MS Gothic"/>
        </w:rPr>
        <w:footnoteReference w:id="5"/>
      </w:r>
    </w:p>
    <w:p w14:paraId="7413B995" w14:textId="77777777" w:rsidR="000A0158" w:rsidRDefault="000A0158" w:rsidP="000A0158"/>
    <w:p w14:paraId="33C375C7" w14:textId="77777777" w:rsidR="002B7BEC" w:rsidRPr="00A11103" w:rsidRDefault="002B7BEC" w:rsidP="000A0158">
      <w:pPr>
        <w:pStyle w:val="Heading2"/>
      </w:pPr>
      <w:bookmarkStart w:id="33" w:name="_Toc4162003"/>
      <w:bookmarkStart w:id="34" w:name="_Toc23507658"/>
      <w:r w:rsidRPr="00A11103">
        <w:t>Sexual attraction in lifetime</w:t>
      </w:r>
      <w:bookmarkEnd w:id="33"/>
      <w:bookmarkEnd w:id="34"/>
    </w:p>
    <w:p w14:paraId="6C8A1574" w14:textId="77777777" w:rsidR="002B7BEC" w:rsidRPr="00105CD5" w:rsidRDefault="002B7BEC" w:rsidP="000A0158">
      <w:pPr>
        <w:pStyle w:val="Heading4"/>
      </w:pPr>
      <w:r>
        <w:t xml:space="preserve">Less than 2% of adults have only ever been </w:t>
      </w:r>
      <w:r w:rsidRPr="00105CD5">
        <w:t xml:space="preserve">attracted to </w:t>
      </w:r>
      <w:r>
        <w:t>adults</w:t>
      </w:r>
      <w:r w:rsidRPr="00105CD5">
        <w:t xml:space="preserve"> of the </w:t>
      </w:r>
      <w:r>
        <w:t>same gender</w:t>
      </w:r>
    </w:p>
    <w:p w14:paraId="0865EBE5" w14:textId="77777777" w:rsidR="003E74E2" w:rsidRDefault="002B7BEC" w:rsidP="000A0158">
      <w:pPr>
        <w:pStyle w:val="Bullet"/>
      </w:pPr>
      <w:r w:rsidRPr="009A3D08">
        <w:t xml:space="preserve">1.6% </w:t>
      </w:r>
      <w:r>
        <w:t xml:space="preserve">of women </w:t>
      </w:r>
      <w:r w:rsidRPr="009A3D08">
        <w:t xml:space="preserve">and 0.8% of men </w:t>
      </w:r>
      <w:r>
        <w:t xml:space="preserve">have </w:t>
      </w:r>
      <w:r w:rsidRPr="009A3D08">
        <w:t xml:space="preserve">only </w:t>
      </w:r>
      <w:r>
        <w:t xml:space="preserve">been attracted </w:t>
      </w:r>
      <w:r w:rsidRPr="009A3D08">
        <w:t>to same-gender adults (Figure</w:t>
      </w:r>
      <w:r w:rsidR="000A0158">
        <w:t> </w:t>
      </w:r>
      <w:r w:rsidRPr="009A3D08">
        <w:t>6).</w:t>
      </w:r>
    </w:p>
    <w:p w14:paraId="49176145" w14:textId="77777777" w:rsidR="002B7BEC" w:rsidRPr="0077164E" w:rsidRDefault="002B7BEC" w:rsidP="000A0158">
      <w:pPr>
        <w:pStyle w:val="Bullet"/>
      </w:pPr>
      <w:r w:rsidRPr="009A3D08">
        <w:t xml:space="preserve">4.6% </w:t>
      </w:r>
      <w:r>
        <w:t xml:space="preserve">of men </w:t>
      </w:r>
      <w:r w:rsidRPr="009A3D08">
        <w:t xml:space="preserve">and 16% of women </w:t>
      </w:r>
      <w:r w:rsidRPr="00081FF5">
        <w:t>have experienced attraction to both men and women</w:t>
      </w:r>
      <w:r w:rsidR="000A0158">
        <w:t>.</w:t>
      </w:r>
    </w:p>
    <w:p w14:paraId="20FB6CEF" w14:textId="77777777" w:rsidR="003E74E2" w:rsidRDefault="002B7BEC" w:rsidP="000A0158">
      <w:pPr>
        <w:pStyle w:val="Bullet"/>
      </w:pPr>
      <w:r w:rsidRPr="009A3D08">
        <w:t>93% of men have only ever been attracted to women, and 82% of women have only ever been attracted to m</w:t>
      </w:r>
      <w:r w:rsidRPr="00D74768">
        <w:t>en</w:t>
      </w:r>
      <w:r w:rsidR="000A0158">
        <w:t>.</w:t>
      </w:r>
    </w:p>
    <w:p w14:paraId="688ED0A2" w14:textId="77777777" w:rsidR="002B7BEC" w:rsidRPr="0014442F" w:rsidRDefault="002B7BEC" w:rsidP="000A0158">
      <w:pPr>
        <w:pStyle w:val="Bullet"/>
      </w:pPr>
      <w:r w:rsidRPr="009A3D08">
        <w:t xml:space="preserve">Some adults (0.5% of men and 1.8% of women) have never </w:t>
      </w:r>
      <w:r>
        <w:t>felt</w:t>
      </w:r>
      <w:r w:rsidRPr="009A3D08">
        <w:t xml:space="preserve"> sexually attracted to </w:t>
      </w:r>
      <w:r>
        <w:t>anyone</w:t>
      </w:r>
      <w:r w:rsidRPr="009A3D08">
        <w:t>. Among women, those aged 16–24 years (</w:t>
      </w:r>
      <w:r w:rsidRPr="00081FF5">
        <w:t xml:space="preserve">4.1%) were more likely </w:t>
      </w:r>
      <w:r w:rsidRPr="0077164E">
        <w:t xml:space="preserve">to report this </w:t>
      </w:r>
      <w:r w:rsidRPr="0014442F">
        <w:t>than older women (less than 1.5%).</w:t>
      </w:r>
    </w:p>
    <w:p w14:paraId="49E6BF74" w14:textId="77777777" w:rsidR="002B7BEC" w:rsidRDefault="002B7BEC" w:rsidP="000A0158"/>
    <w:p w14:paraId="344B8E7F" w14:textId="77777777" w:rsidR="002B7BEC" w:rsidRDefault="002B7BEC" w:rsidP="000A0158">
      <w:pPr>
        <w:pStyle w:val="Heading4"/>
      </w:pPr>
      <w:r>
        <w:lastRenderedPageBreak/>
        <w:t>Younger women more likely than older women to have ever been attracted to both men and women</w:t>
      </w:r>
    </w:p>
    <w:p w14:paraId="51A6714E" w14:textId="77777777" w:rsidR="002B7BEC" w:rsidRDefault="002B7BEC" w:rsidP="000A0158">
      <w:r>
        <w:t>F</w:t>
      </w:r>
      <w:r w:rsidRPr="0007074D">
        <w:t xml:space="preserve">or women, lifetime attraction to both </w:t>
      </w:r>
      <w:r>
        <w:t>men and women</w:t>
      </w:r>
      <w:r w:rsidRPr="0007074D">
        <w:t xml:space="preserve"> </w:t>
      </w:r>
      <w:r>
        <w:t xml:space="preserve">was most frequent </w:t>
      </w:r>
      <w:r w:rsidRPr="0007074D">
        <w:t>in those aged 25</w:t>
      </w:r>
      <w:r>
        <w:t>–</w:t>
      </w:r>
      <w:r w:rsidRPr="0007074D">
        <w:t>44 years</w:t>
      </w:r>
      <w:r>
        <w:t xml:space="preserve"> </w:t>
      </w:r>
      <w:r w:rsidRPr="0007074D">
        <w:t>(23%).</w:t>
      </w:r>
      <w:r>
        <w:t xml:space="preserve"> Less than 10% of women aged 55 years and over had ever been attracted to both men and women.</w:t>
      </w:r>
    </w:p>
    <w:p w14:paraId="7955AF00" w14:textId="77777777" w:rsidR="000A0158" w:rsidRDefault="000A0158" w:rsidP="000A0158"/>
    <w:p w14:paraId="672781E4" w14:textId="77777777" w:rsidR="002B7BEC" w:rsidRPr="0007074D" w:rsidRDefault="002B7BEC" w:rsidP="000A0158">
      <w:r>
        <w:t>For men, lifetime sexual attraction was similar across age groups</w:t>
      </w:r>
      <w:r w:rsidRPr="0007074D">
        <w:t xml:space="preserve"> (Figure </w:t>
      </w:r>
      <w:r>
        <w:t>6</w:t>
      </w:r>
      <w:r w:rsidRPr="0007074D">
        <w:t>).</w:t>
      </w:r>
    </w:p>
    <w:p w14:paraId="71AF016F" w14:textId="77777777" w:rsidR="002B7BEC" w:rsidRPr="003E74E2" w:rsidRDefault="002B7BEC" w:rsidP="000A0158"/>
    <w:p w14:paraId="61D6F7F5" w14:textId="4FBD5E8E" w:rsidR="002B7BEC" w:rsidRPr="00976C2F" w:rsidRDefault="002B7BEC" w:rsidP="000A0158">
      <w:pPr>
        <w:pStyle w:val="Figure"/>
      </w:pPr>
      <w:bookmarkStart w:id="35" w:name="_Toc534900989"/>
      <w:bookmarkStart w:id="36" w:name="_Toc4160160"/>
      <w:bookmarkStart w:id="37" w:name="_Toc23507668"/>
      <w:r>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6</w:t>
      </w:r>
      <w:r w:rsidR="00337A0C">
        <w:rPr>
          <w:noProof/>
        </w:rPr>
        <w:fldChar w:fldCharType="end"/>
      </w:r>
      <w:r>
        <w:t xml:space="preserve">: </w:t>
      </w:r>
      <w:r w:rsidRPr="009D0EB0">
        <w:t>Sexual attraction in lifetim</w:t>
      </w:r>
      <w:r>
        <w:t>e</w:t>
      </w:r>
      <w:r w:rsidRPr="00976C2F">
        <w:t>, by age group</w:t>
      </w:r>
      <w:bookmarkEnd w:id="35"/>
      <w:r>
        <w:t xml:space="preserve"> and gender</w:t>
      </w:r>
      <w:bookmarkEnd w:id="36"/>
      <w:bookmarkEnd w:id="37"/>
    </w:p>
    <w:p w14:paraId="0EF35CEE" w14:textId="77777777" w:rsidR="002B7BEC" w:rsidRPr="003E74E2" w:rsidRDefault="002839AF" w:rsidP="00494C8E">
      <w:r w:rsidRPr="002839AF">
        <w:rPr>
          <w:noProof/>
          <w:lang w:eastAsia="en-NZ"/>
        </w:rPr>
        <w:drawing>
          <wp:inline distT="0" distB="0" distL="0" distR="0" wp14:anchorId="7B1101D5" wp14:editId="36275D2D">
            <wp:extent cx="5130165" cy="3347762"/>
            <wp:effectExtent l="0" t="0" r="0" b="5080"/>
            <wp:docPr id="39" name="Picture 39" descr="Women were far more likely to report sexual attraction to both genders. Women 25-44 reported at almost 25%, women 16-24 at almost 20%, and women 45-54 at about 13%, and women 55-64 at about 7%. Women 16-24 reported the highest rate of no sexual attraction, at about 4%. No gender or age group reported being attracted to the same gender only at more than about 2%. Across age groups, about 5% of men reported sexual attraction to both genders, with a low among 55-64 year olds (about 3%), and a high among 64-74 year olds (abou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30165" cy="3347762"/>
                    </a:xfrm>
                    <a:prstGeom prst="rect">
                      <a:avLst/>
                    </a:prstGeom>
                  </pic:spPr>
                </pic:pic>
              </a:graphicData>
            </a:graphic>
          </wp:inline>
        </w:drawing>
      </w:r>
    </w:p>
    <w:p w14:paraId="2940D1A8" w14:textId="54FBA1B6" w:rsidR="002B7BEC" w:rsidRDefault="002B7BEC" w:rsidP="000A0158">
      <w:pPr>
        <w:pStyle w:val="Note"/>
      </w:pPr>
      <w:r>
        <w:t>Note:</w:t>
      </w:r>
      <w:r w:rsidR="003E74E2">
        <w:t xml:space="preserve"> </w:t>
      </w:r>
      <w:r>
        <w:t xml:space="preserve">Excluding </w:t>
      </w:r>
      <w:r w:rsidR="003E74E2">
        <w:t>‘</w:t>
      </w:r>
      <w:r>
        <w:t>women only</w:t>
      </w:r>
      <w:r w:rsidR="003E74E2">
        <w:t>’</w:t>
      </w:r>
      <w:r>
        <w:t xml:space="preserve"> for men and the equivalent for women</w:t>
      </w:r>
      <w:r w:rsidR="00ED3840">
        <w:t>, so that the smaller values can be seen on the vertical scale</w:t>
      </w:r>
      <w:r w:rsidRPr="002724D6">
        <w:t>.</w:t>
      </w:r>
    </w:p>
    <w:p w14:paraId="36B7E08A" w14:textId="77777777" w:rsidR="002B7BEC" w:rsidRDefault="002B7BEC" w:rsidP="000A0158"/>
    <w:p w14:paraId="472DE50D" w14:textId="77777777" w:rsidR="002B7BEC" w:rsidRPr="003E74E2" w:rsidRDefault="002B7BEC" w:rsidP="000A0158">
      <w:pPr>
        <w:pStyle w:val="Heading4"/>
        <w:rPr>
          <w:rFonts w:cstheme="minorHAnsi"/>
          <w:i/>
        </w:rPr>
      </w:pPr>
      <w:r w:rsidRPr="00405E05">
        <w:t xml:space="preserve">Pacific and Asian women </w:t>
      </w:r>
      <w:r>
        <w:t xml:space="preserve">were </w:t>
      </w:r>
      <w:r w:rsidRPr="00405E05">
        <w:t xml:space="preserve">less likely to have been sexually attracted to both </w:t>
      </w:r>
      <w:r>
        <w:t xml:space="preserve">women and men </w:t>
      </w:r>
      <w:r w:rsidRPr="00405E05">
        <w:t xml:space="preserve">than non-Pacific and </w:t>
      </w:r>
      <w:r>
        <w:t>n</w:t>
      </w:r>
      <w:r w:rsidRPr="00405E05">
        <w:t>on</w:t>
      </w:r>
      <w:r w:rsidR="000A0158">
        <w:noBreakHyphen/>
      </w:r>
      <w:r w:rsidRPr="00405E05">
        <w:t>Asian women</w:t>
      </w:r>
    </w:p>
    <w:p w14:paraId="46B8F22C" w14:textId="77777777" w:rsidR="003E74E2" w:rsidRDefault="002B7BEC" w:rsidP="000A0158">
      <w:r>
        <w:t>Among</w:t>
      </w:r>
      <w:r w:rsidRPr="0007074D">
        <w:t xml:space="preserve"> women, </w:t>
      </w:r>
      <w:r>
        <w:t xml:space="preserve">the percentage who have experienced </w:t>
      </w:r>
      <w:r w:rsidRPr="0007074D">
        <w:t xml:space="preserve">attraction to both </w:t>
      </w:r>
      <w:r>
        <w:t>women and men</w:t>
      </w:r>
      <w:r w:rsidRPr="0007074D">
        <w:t xml:space="preserve"> varied by ethnicity:</w:t>
      </w:r>
    </w:p>
    <w:p w14:paraId="402F62A4" w14:textId="77777777" w:rsidR="003E74E2" w:rsidRDefault="002B7BEC" w:rsidP="000A0158">
      <w:pPr>
        <w:pStyle w:val="Bullet"/>
      </w:pPr>
      <w:r w:rsidRPr="0007074D">
        <w:t>20% of Māori</w:t>
      </w:r>
      <w:r>
        <w:t xml:space="preserve"> women</w:t>
      </w:r>
    </w:p>
    <w:p w14:paraId="74E8138D" w14:textId="77777777" w:rsidR="003E74E2" w:rsidRDefault="002B7BEC" w:rsidP="000A0158">
      <w:pPr>
        <w:pStyle w:val="Bullet"/>
      </w:pPr>
      <w:r w:rsidRPr="0007074D">
        <w:t xml:space="preserve">18% of </w:t>
      </w:r>
      <w:r>
        <w:t>European/Other women</w:t>
      </w:r>
    </w:p>
    <w:p w14:paraId="06431099" w14:textId="77777777" w:rsidR="003E74E2" w:rsidRDefault="002B7BEC" w:rsidP="000A0158">
      <w:pPr>
        <w:pStyle w:val="Bullet"/>
      </w:pPr>
      <w:r w:rsidRPr="0007074D">
        <w:t>7.6% of Pacific</w:t>
      </w:r>
      <w:r>
        <w:t xml:space="preserve"> women</w:t>
      </w:r>
    </w:p>
    <w:p w14:paraId="55E0612C" w14:textId="77777777" w:rsidR="003E74E2" w:rsidRDefault="002B7BEC" w:rsidP="000A0158">
      <w:pPr>
        <w:pStyle w:val="Bullet"/>
      </w:pPr>
      <w:r w:rsidRPr="0007074D">
        <w:t>5.6% of Asian</w:t>
      </w:r>
      <w:r>
        <w:t xml:space="preserve"> women</w:t>
      </w:r>
      <w:r w:rsidRPr="0007074D">
        <w:t>.</w:t>
      </w:r>
    </w:p>
    <w:p w14:paraId="1BFCB98A" w14:textId="77777777" w:rsidR="000A0158" w:rsidRDefault="000A0158" w:rsidP="000A0158"/>
    <w:p w14:paraId="4966B3D5" w14:textId="77777777" w:rsidR="003E74E2" w:rsidRDefault="002B7BEC" w:rsidP="000A0158">
      <w:r w:rsidRPr="0007074D">
        <w:t xml:space="preserve">After </w:t>
      </w:r>
      <w:r>
        <w:t>adjusting</w:t>
      </w:r>
      <w:r w:rsidRPr="0007074D">
        <w:t xml:space="preserve"> for age, Pacific women were 0.4 times as likely to ever </w:t>
      </w:r>
      <w:r>
        <w:t xml:space="preserve">have </w:t>
      </w:r>
      <w:r w:rsidRPr="0007074D">
        <w:t>experienc</w:t>
      </w:r>
      <w:r>
        <w:t>ed</w:t>
      </w:r>
      <w:r w:rsidRPr="0007074D">
        <w:t xml:space="preserve"> sexual attraction to both </w:t>
      </w:r>
      <w:r>
        <w:t>women and men</w:t>
      </w:r>
      <w:r w:rsidRPr="0007074D">
        <w:t xml:space="preserve"> as non-Pacific women, and Asian women </w:t>
      </w:r>
      <w:r>
        <w:t>0.25</w:t>
      </w:r>
      <w:r w:rsidR="000A0158">
        <w:t> </w:t>
      </w:r>
      <w:r>
        <w:t>times</w:t>
      </w:r>
      <w:r w:rsidRPr="0007074D">
        <w:t xml:space="preserve"> as likely as non-Asian women.</w:t>
      </w:r>
    </w:p>
    <w:p w14:paraId="040DBDE9" w14:textId="77777777" w:rsidR="002B7BEC" w:rsidRDefault="002B7BEC" w:rsidP="000A0158"/>
    <w:p w14:paraId="1E3B4AB8" w14:textId="72F7FF97" w:rsidR="002B7BEC" w:rsidRPr="0007074D" w:rsidRDefault="002B7BEC" w:rsidP="000A0158">
      <w:pPr>
        <w:pStyle w:val="Figure"/>
      </w:pPr>
      <w:bookmarkStart w:id="38" w:name="_Toc534900990"/>
      <w:bookmarkStart w:id="39" w:name="_Toc4160161"/>
      <w:bookmarkStart w:id="40" w:name="_Toc23507669"/>
      <w:r>
        <w:lastRenderedPageBreak/>
        <w:t xml:space="preserve">Figure </w:t>
      </w:r>
      <w:r w:rsidR="00337A0C">
        <w:rPr>
          <w:noProof/>
        </w:rPr>
        <w:fldChar w:fldCharType="begin"/>
      </w:r>
      <w:r w:rsidR="00337A0C">
        <w:rPr>
          <w:noProof/>
        </w:rPr>
        <w:instrText xml:space="preserve"> SEQ Figure \* ARABIC </w:instrText>
      </w:r>
      <w:r w:rsidR="00337A0C">
        <w:rPr>
          <w:noProof/>
        </w:rPr>
        <w:fldChar w:fldCharType="separate"/>
      </w:r>
      <w:r w:rsidR="00FA7ED4">
        <w:rPr>
          <w:noProof/>
        </w:rPr>
        <w:t>7</w:t>
      </w:r>
      <w:r w:rsidR="00337A0C">
        <w:rPr>
          <w:noProof/>
        </w:rPr>
        <w:fldChar w:fldCharType="end"/>
      </w:r>
      <w:r>
        <w:t xml:space="preserve">: </w:t>
      </w:r>
      <w:r w:rsidRPr="004F655A">
        <w:t>Sexual attraction in lifetime</w:t>
      </w:r>
      <w:r w:rsidRPr="0007074D">
        <w:t xml:space="preserve">, by </w:t>
      </w:r>
      <w:bookmarkEnd w:id="38"/>
      <w:r>
        <w:t>ethnic group and gender</w:t>
      </w:r>
      <w:bookmarkEnd w:id="39"/>
      <w:bookmarkEnd w:id="40"/>
    </w:p>
    <w:p w14:paraId="63AE3BB9" w14:textId="77777777" w:rsidR="002B7BEC" w:rsidRPr="003E74E2" w:rsidRDefault="002839AF" w:rsidP="00494C8E">
      <w:r w:rsidRPr="002839AF">
        <w:rPr>
          <w:noProof/>
          <w:lang w:eastAsia="en-NZ"/>
        </w:rPr>
        <w:drawing>
          <wp:inline distT="0" distB="0" distL="0" distR="0" wp14:anchorId="12592EB6" wp14:editId="1B0C248F">
            <wp:extent cx="5130165" cy="3347762"/>
            <wp:effectExtent l="0" t="0" r="0" b="5080"/>
            <wp:docPr id="1" name="Picture 1" descr="Māori and European/other women were most likely to report being attracted to both men and women, between 15 and 20%. About 7% of Pacific women reported being attracted to both genders and having no sexual attraction. Asian women reported all attractions at equal to or less than 5%, but reported the highest rate of same sex attraction of any female ethnic group, about 2%. Men of every ethnic group were most likely to report being attracted to both genders, with Māori and European/other men most likely at about 5% and Asian and Pacific men at about 3%. The rate for all other attractions was abou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30165" cy="3347762"/>
                    </a:xfrm>
                    <a:prstGeom prst="rect">
                      <a:avLst/>
                    </a:prstGeom>
                  </pic:spPr>
                </pic:pic>
              </a:graphicData>
            </a:graphic>
          </wp:inline>
        </w:drawing>
      </w:r>
    </w:p>
    <w:p w14:paraId="2E3621F8" w14:textId="5477ADE4" w:rsidR="002B7BEC" w:rsidRDefault="002B7BEC" w:rsidP="000A0158">
      <w:pPr>
        <w:pStyle w:val="Note"/>
      </w:pPr>
      <w:bookmarkStart w:id="41" w:name="_Hlk172624"/>
      <w:r>
        <w:t xml:space="preserve">Note: Excluding </w:t>
      </w:r>
      <w:r w:rsidR="003E74E2">
        <w:t>‘</w:t>
      </w:r>
      <w:r>
        <w:t>women only</w:t>
      </w:r>
      <w:r w:rsidR="003E74E2">
        <w:t>’</w:t>
      </w:r>
      <w:r>
        <w:t xml:space="preserve"> for men and the equivalent for women</w:t>
      </w:r>
      <w:r w:rsidR="00ED3840">
        <w:t>, so that the smaller values can be seen on the vertical scale</w:t>
      </w:r>
      <w:r w:rsidRPr="002724D6">
        <w:t>.</w:t>
      </w:r>
    </w:p>
    <w:p w14:paraId="6DC1E0F0" w14:textId="77777777" w:rsidR="002B7BEC" w:rsidRDefault="002B7BEC" w:rsidP="000A0158">
      <w:pPr>
        <w:pStyle w:val="Note"/>
      </w:pPr>
      <w:r>
        <w:t>Adults</w:t>
      </w:r>
      <w:r w:rsidRPr="00EC644C">
        <w:t xml:space="preserve"> who reported more than one ethnic group are counted once in each group reporte</w:t>
      </w:r>
      <w:r>
        <w:t>d.</w:t>
      </w:r>
      <w:r w:rsidRPr="00A50C51">
        <w:t xml:space="preserve"> </w:t>
      </w:r>
      <w:r w:rsidRPr="00A62B40">
        <w:t xml:space="preserve">This means that the total number of responses for all ethnic groups can be greater than the total number of </w:t>
      </w:r>
      <w:r>
        <w:t>adults</w:t>
      </w:r>
      <w:r w:rsidRPr="00A62B40">
        <w:t xml:space="preserve"> who stated their ethnicities</w:t>
      </w:r>
      <w:r w:rsidR="000A0158">
        <w:t>.</w:t>
      </w:r>
    </w:p>
    <w:bookmarkEnd w:id="41"/>
    <w:p w14:paraId="41DF39B8" w14:textId="77777777" w:rsidR="002B7BEC" w:rsidRPr="003E74E2" w:rsidRDefault="002B7BEC" w:rsidP="000A0158"/>
    <w:p w14:paraId="2BB61C4A" w14:textId="77777777" w:rsidR="002B7BEC" w:rsidRDefault="002B7BEC" w:rsidP="000A0158">
      <w:pPr>
        <w:pStyle w:val="Heading4"/>
      </w:pPr>
      <w:r>
        <w:t xml:space="preserve">Men living in the most deprived neighbourhoods were more likely to report </w:t>
      </w:r>
      <w:r w:rsidRPr="001C59E2">
        <w:t>attraction</w:t>
      </w:r>
      <w:r>
        <w:t xml:space="preserve"> to both men and women</w:t>
      </w:r>
    </w:p>
    <w:p w14:paraId="04681190" w14:textId="77777777" w:rsidR="003E74E2" w:rsidRDefault="002B7BEC" w:rsidP="000A0158">
      <w:r>
        <w:t xml:space="preserve">Among </w:t>
      </w:r>
      <w:r w:rsidRPr="0007074D">
        <w:t>men living in the most deprived neighbourhoods</w:t>
      </w:r>
      <w:r>
        <w:t xml:space="preserve"> </w:t>
      </w:r>
      <w:r w:rsidRPr="0007074D">
        <w:t xml:space="preserve">4.9% </w:t>
      </w:r>
      <w:r>
        <w:t>have been attracted</w:t>
      </w:r>
      <w:r w:rsidRPr="0007074D">
        <w:t xml:space="preserve"> to both </w:t>
      </w:r>
      <w:r>
        <w:t>males and females</w:t>
      </w:r>
      <w:r w:rsidRPr="0007074D">
        <w:t>, compared with 3.4% in the least deprived neighbourhood</w:t>
      </w:r>
      <w:r>
        <w:t>s</w:t>
      </w:r>
      <w:r w:rsidRPr="0007074D">
        <w:t>.</w:t>
      </w:r>
    </w:p>
    <w:p w14:paraId="27766A26" w14:textId="77777777" w:rsidR="000A0158" w:rsidRDefault="000A0158" w:rsidP="000A0158"/>
    <w:p w14:paraId="04D30D6C" w14:textId="77777777" w:rsidR="003E74E2" w:rsidRDefault="002B7BEC" w:rsidP="000A0158">
      <w:r w:rsidRPr="0007074D">
        <w:t xml:space="preserve">After </w:t>
      </w:r>
      <w:r>
        <w:t>adjusting</w:t>
      </w:r>
      <w:r w:rsidRPr="0007074D">
        <w:t xml:space="preserve"> for age and ethnicity, men living in the most deprived neighbourhoods were almost twice as likely to have ever been attracted to both </w:t>
      </w:r>
      <w:r>
        <w:t>men and women</w:t>
      </w:r>
      <w:r w:rsidRPr="0007074D">
        <w:t xml:space="preserve"> as those living in the least deprived areas.</w:t>
      </w:r>
    </w:p>
    <w:p w14:paraId="2FB6A501" w14:textId="77777777" w:rsidR="000A0158" w:rsidRDefault="000A0158" w:rsidP="000A0158"/>
    <w:p w14:paraId="0CE4D6C2" w14:textId="77777777" w:rsidR="002B7BEC" w:rsidRDefault="002B7BEC" w:rsidP="000A0158">
      <w:r w:rsidRPr="00261EE7">
        <w:t>Among women, there was no pattern in attraction for both men and women by neighbourhood deprivation.</w:t>
      </w:r>
    </w:p>
    <w:p w14:paraId="420F7737" w14:textId="77777777" w:rsidR="002B7BEC" w:rsidRPr="003E74E2" w:rsidRDefault="002B7BEC" w:rsidP="000A0158"/>
    <w:p w14:paraId="665D4F4C" w14:textId="77777777" w:rsidR="002B7BEC" w:rsidRPr="00027443" w:rsidRDefault="002B7BEC" w:rsidP="000A0158">
      <w:pPr>
        <w:pStyle w:val="Heading2"/>
      </w:pPr>
      <w:bookmarkStart w:id="42" w:name="_Toc4162004"/>
      <w:bookmarkStart w:id="43" w:name="_Toc23507659"/>
      <w:r>
        <w:lastRenderedPageBreak/>
        <w:t>Sexual a</w:t>
      </w:r>
      <w:r w:rsidRPr="00027443">
        <w:t xml:space="preserve">ttraction in the </w:t>
      </w:r>
      <w:r>
        <w:t>1</w:t>
      </w:r>
      <w:r w:rsidRPr="00027443">
        <w:t>2 months</w:t>
      </w:r>
      <w:r>
        <w:t xml:space="preserve"> </w:t>
      </w:r>
      <w:r w:rsidRPr="00261EE7">
        <w:t>preceding the survey</w:t>
      </w:r>
      <w:bookmarkEnd w:id="42"/>
      <w:bookmarkEnd w:id="43"/>
    </w:p>
    <w:p w14:paraId="24B7FA0B" w14:textId="77777777" w:rsidR="003E74E2" w:rsidRDefault="002B7BEC" w:rsidP="00494C8E">
      <w:pPr>
        <w:keepNext/>
      </w:pPr>
      <w:r>
        <w:t>In addition to the cumulative lifetime sexual attraction statistics, a more current picture of sexual attraction patterns in the last 12 months is presented below.</w:t>
      </w:r>
    </w:p>
    <w:p w14:paraId="41002CE5" w14:textId="77777777" w:rsidR="000A0158" w:rsidRDefault="000A0158" w:rsidP="00494C8E">
      <w:pPr>
        <w:keepNext/>
      </w:pPr>
    </w:p>
    <w:p w14:paraId="3EC7302C" w14:textId="77777777" w:rsidR="002B7BEC" w:rsidRPr="003D3E5C" w:rsidRDefault="002B7BEC" w:rsidP="003D3E5C">
      <w:pPr>
        <w:keepNext/>
        <w:ind w:right="-142"/>
        <w:rPr>
          <w:spacing w:val="-4"/>
        </w:rPr>
      </w:pPr>
      <w:r w:rsidRPr="003D3E5C">
        <w:rPr>
          <w:spacing w:val="-4"/>
        </w:rPr>
        <w:t>2.4% of men and 7.4% of women had experienced attraction to both men and women. 1.9% of men and 1.2% of women were only attracted to the same gender in the last 12</w:t>
      </w:r>
      <w:r w:rsidR="000A0158" w:rsidRPr="003D3E5C">
        <w:rPr>
          <w:spacing w:val="-4"/>
        </w:rPr>
        <w:t> </w:t>
      </w:r>
      <w:r w:rsidRPr="003D3E5C">
        <w:rPr>
          <w:spacing w:val="-4"/>
        </w:rPr>
        <w:t>months.</w:t>
      </w:r>
    </w:p>
    <w:p w14:paraId="7A8FDFCC" w14:textId="77777777" w:rsidR="000A0158" w:rsidRPr="00701BE0" w:rsidRDefault="000A0158" w:rsidP="000A0158"/>
    <w:p w14:paraId="7C8990D0" w14:textId="77777777" w:rsidR="002B7BEC" w:rsidRDefault="002B7BEC" w:rsidP="000A0158">
      <w:r>
        <w:t>M</w:t>
      </w:r>
      <w:r w:rsidRPr="00701BE0">
        <w:t>en were more likely</w:t>
      </w:r>
      <w:r>
        <w:t xml:space="preserve"> (95%)</w:t>
      </w:r>
      <w:r w:rsidRPr="00701BE0">
        <w:t xml:space="preserve"> to have been exclusively heterosexually </w:t>
      </w:r>
      <w:r>
        <w:t>attracted than women (84%) in the last 12 months.</w:t>
      </w:r>
    </w:p>
    <w:p w14:paraId="44857792" w14:textId="77777777" w:rsidR="000A0158" w:rsidRDefault="000A0158" w:rsidP="000A0158"/>
    <w:p w14:paraId="3ADA23C2" w14:textId="314A6171" w:rsidR="002B7BEC" w:rsidRPr="0007074D" w:rsidRDefault="002B7BEC" w:rsidP="000A0158">
      <w:r>
        <w:t>No sexual</w:t>
      </w:r>
      <w:r w:rsidRPr="0007074D">
        <w:t xml:space="preserve"> attraction in the last </w:t>
      </w:r>
      <w:r>
        <w:t>12 months</w:t>
      </w:r>
      <w:r w:rsidRPr="0007074D">
        <w:t xml:space="preserve"> was more common among women </w:t>
      </w:r>
      <w:r>
        <w:t xml:space="preserve">(7.5%) </w:t>
      </w:r>
      <w:r w:rsidRPr="0007074D">
        <w:t>than men</w:t>
      </w:r>
      <w:r>
        <w:t xml:space="preserve"> (1.2%)</w:t>
      </w:r>
      <w:r w:rsidRPr="0007074D">
        <w:t>.</w:t>
      </w:r>
    </w:p>
    <w:p w14:paraId="5D9AA4F6" w14:textId="77777777" w:rsidR="002B7BEC" w:rsidRPr="006728DA" w:rsidRDefault="002B7BEC" w:rsidP="000A0158">
      <w:pPr>
        <w:pStyle w:val="Heading4"/>
      </w:pPr>
      <w:r>
        <w:t>W</w:t>
      </w:r>
      <w:r w:rsidRPr="006728DA">
        <w:t xml:space="preserve">omen </w:t>
      </w:r>
      <w:r w:rsidRPr="001F7DF2">
        <w:t>aged 16–24 years were</w:t>
      </w:r>
      <w:r>
        <w:t xml:space="preserve"> more likely have been </w:t>
      </w:r>
      <w:r w:rsidRPr="006728DA">
        <w:t>attract</w:t>
      </w:r>
      <w:r>
        <w:t>ed</w:t>
      </w:r>
      <w:r w:rsidRPr="006728DA">
        <w:t xml:space="preserve"> </w:t>
      </w:r>
      <w:r>
        <w:t xml:space="preserve">to both men and women </w:t>
      </w:r>
      <w:r w:rsidRPr="006728DA">
        <w:t xml:space="preserve">in the last year </w:t>
      </w:r>
      <w:r>
        <w:t>than older women</w:t>
      </w:r>
    </w:p>
    <w:p w14:paraId="10B76941" w14:textId="77777777" w:rsidR="003E74E2" w:rsidRDefault="002B7BEC" w:rsidP="000A0158">
      <w:r>
        <w:t>A</w:t>
      </w:r>
      <w:r w:rsidRPr="0007074D">
        <w:t xml:space="preserve">ttraction </w:t>
      </w:r>
      <w:r>
        <w:t xml:space="preserve">to both men and women </w:t>
      </w:r>
      <w:r w:rsidRPr="0007074D">
        <w:t xml:space="preserve">in the last year was most common among </w:t>
      </w:r>
      <w:r>
        <w:t xml:space="preserve">women </w:t>
      </w:r>
      <w:r w:rsidRPr="0007074D">
        <w:t>aged 16</w:t>
      </w:r>
      <w:r>
        <w:t>–</w:t>
      </w:r>
      <w:r w:rsidRPr="0007074D">
        <w:t xml:space="preserve">24 years </w:t>
      </w:r>
      <w:r>
        <w:t xml:space="preserve">(13.5%), </w:t>
      </w:r>
      <w:r w:rsidRPr="0007074D">
        <w:t>and decline</w:t>
      </w:r>
      <w:r>
        <w:t>d</w:t>
      </w:r>
      <w:r w:rsidRPr="0007074D">
        <w:t xml:space="preserve"> with increasing age</w:t>
      </w:r>
      <w:r>
        <w:t>. T</w:t>
      </w:r>
      <w:r w:rsidRPr="0007074D">
        <w:t>here was no clear pattern in</w:t>
      </w:r>
      <w:r>
        <w:t xml:space="preserve"> same-gender</w:t>
      </w:r>
      <w:r w:rsidRPr="0007074D">
        <w:t xml:space="preserve"> sexual attraction in the last </w:t>
      </w:r>
      <w:r>
        <w:t>12 months</w:t>
      </w:r>
      <w:r w:rsidRPr="0007074D">
        <w:t xml:space="preserve"> by age</w:t>
      </w:r>
      <w:r>
        <w:t xml:space="preserve"> for men </w:t>
      </w:r>
      <w:r w:rsidRPr="0007074D">
        <w:t xml:space="preserve">(Figure </w:t>
      </w:r>
      <w:r>
        <w:t>8</w:t>
      </w:r>
      <w:r w:rsidRPr="0007074D">
        <w:t>).</w:t>
      </w:r>
    </w:p>
    <w:p w14:paraId="674DAE10" w14:textId="77777777" w:rsidR="002B7BEC" w:rsidRPr="003E74E2" w:rsidRDefault="002B7BEC" w:rsidP="000A0158"/>
    <w:p w14:paraId="2A1B98A5" w14:textId="092FB98E" w:rsidR="002B7BEC" w:rsidRPr="003D3E5C" w:rsidRDefault="002B7BEC" w:rsidP="003D3E5C">
      <w:pPr>
        <w:pStyle w:val="Figure"/>
        <w:ind w:right="-142"/>
        <w:rPr>
          <w:spacing w:val="-2"/>
        </w:rPr>
      </w:pPr>
      <w:bookmarkStart w:id="44" w:name="_Toc534900991"/>
      <w:bookmarkStart w:id="45" w:name="_Toc4160162"/>
      <w:bookmarkStart w:id="46" w:name="_Toc23507670"/>
      <w:r w:rsidRPr="003D3E5C">
        <w:rPr>
          <w:spacing w:val="-2"/>
        </w:rPr>
        <w:t xml:space="preserve">Figure </w:t>
      </w:r>
      <w:r w:rsidRPr="003D3E5C">
        <w:rPr>
          <w:spacing w:val="-2"/>
        </w:rPr>
        <w:fldChar w:fldCharType="begin"/>
      </w:r>
      <w:r w:rsidRPr="003D3E5C">
        <w:rPr>
          <w:spacing w:val="-2"/>
        </w:rPr>
        <w:instrText xml:space="preserve"> SEQ Figure \* ARABIC </w:instrText>
      </w:r>
      <w:r w:rsidRPr="003D3E5C">
        <w:rPr>
          <w:spacing w:val="-2"/>
        </w:rPr>
        <w:fldChar w:fldCharType="separate"/>
      </w:r>
      <w:r w:rsidR="00FA7ED4">
        <w:rPr>
          <w:noProof/>
          <w:spacing w:val="-2"/>
        </w:rPr>
        <w:t>8</w:t>
      </w:r>
      <w:r w:rsidRPr="003D3E5C">
        <w:rPr>
          <w:spacing w:val="-2"/>
        </w:rPr>
        <w:fldChar w:fldCharType="end"/>
      </w:r>
      <w:r w:rsidRPr="003D3E5C">
        <w:rPr>
          <w:spacing w:val="-2"/>
        </w:rPr>
        <w:t>: Sexual attraction in 12 months preceding the survey, by age group</w:t>
      </w:r>
      <w:bookmarkEnd w:id="44"/>
      <w:r w:rsidRPr="003D3E5C">
        <w:rPr>
          <w:spacing w:val="-2"/>
        </w:rPr>
        <w:t xml:space="preserve"> and gender</w:t>
      </w:r>
      <w:bookmarkEnd w:id="45"/>
      <w:bookmarkEnd w:id="46"/>
    </w:p>
    <w:p w14:paraId="7FBBBCF1" w14:textId="77777777" w:rsidR="002B7BEC" w:rsidRPr="000A0158" w:rsidRDefault="002839AF" w:rsidP="00460B1E">
      <w:r w:rsidRPr="002839AF">
        <w:rPr>
          <w:noProof/>
          <w:lang w:eastAsia="en-NZ"/>
        </w:rPr>
        <w:drawing>
          <wp:inline distT="0" distB="0" distL="0" distR="0" wp14:anchorId="771BDD17" wp14:editId="4E7382A4">
            <wp:extent cx="5130165" cy="3347762"/>
            <wp:effectExtent l="0" t="0" r="0" b="5080"/>
            <wp:docPr id="40" name="Picture 40" descr="Bar graph shows that between 10 and 15% of women 16-44 reported sexual attraction to both men and women in the preceding year, while about 12% of women 55-64 and nearly 25% of women 65-74 reported no sexual attraction in the prior year. The rates for age groups and attractions was less than 5% with no clear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30165" cy="3347762"/>
                    </a:xfrm>
                    <a:prstGeom prst="rect">
                      <a:avLst/>
                    </a:prstGeom>
                  </pic:spPr>
                </pic:pic>
              </a:graphicData>
            </a:graphic>
          </wp:inline>
        </w:drawing>
      </w:r>
    </w:p>
    <w:p w14:paraId="604C62EF" w14:textId="0E56D774" w:rsidR="002B7BEC" w:rsidRDefault="002B7BEC" w:rsidP="000A0158">
      <w:pPr>
        <w:pStyle w:val="Note"/>
      </w:pPr>
      <w:r>
        <w:t xml:space="preserve">Note: Excluding </w:t>
      </w:r>
      <w:r w:rsidR="003E74E2">
        <w:t>‘</w:t>
      </w:r>
      <w:r>
        <w:t>women only</w:t>
      </w:r>
      <w:r w:rsidR="003E74E2">
        <w:t>’</w:t>
      </w:r>
      <w:r>
        <w:t xml:space="preserve"> for men and the equivalent for women</w:t>
      </w:r>
      <w:r w:rsidR="00ED3840">
        <w:t>, so that the smaller values can be seen on the vertical scale</w:t>
      </w:r>
      <w:r w:rsidRPr="002724D6">
        <w:t>.</w:t>
      </w:r>
    </w:p>
    <w:p w14:paraId="6D7C4E8D" w14:textId="77777777" w:rsidR="000A0158" w:rsidRDefault="000A0158" w:rsidP="000A0158">
      <w:pPr>
        <w:rPr>
          <w:rFonts w:eastAsiaTheme="minorHAnsi"/>
        </w:rPr>
      </w:pPr>
    </w:p>
    <w:p w14:paraId="743C9211" w14:textId="1577D59B" w:rsidR="00634003" w:rsidRPr="006B0A88" w:rsidRDefault="002B7BEC" w:rsidP="006B0A88">
      <w:pPr>
        <w:rPr>
          <w:rFonts w:eastAsiaTheme="minorHAnsi"/>
        </w:rPr>
      </w:pPr>
      <w:r w:rsidRPr="003E74E2">
        <w:rPr>
          <w:rFonts w:eastAsiaTheme="minorHAnsi"/>
        </w:rPr>
        <w:t>You can find more results about same-gender sexual attraction in the 12 months preceding the survey online at</w:t>
      </w:r>
      <w:r w:rsidR="007145B2">
        <w:rPr>
          <w:rFonts w:eastAsiaTheme="minorHAnsi"/>
        </w:rPr>
        <w:t xml:space="preserve"> </w:t>
      </w:r>
      <w:r w:rsidR="007145B2" w:rsidRPr="007145B2">
        <w:rPr>
          <w:rStyle w:val="Hyperlink"/>
          <w:rFonts w:asciiTheme="minorHAnsi" w:eastAsiaTheme="minorHAnsi" w:hAnsiTheme="minorHAnsi" w:cstheme="minorHAnsi"/>
          <w:sz w:val="24"/>
          <w:szCs w:val="24"/>
        </w:rPr>
        <w:t>https://www.health.govt.nz/publication/sexual-and-reproductive-health-2014-15-new-zealand-health-survey</w:t>
      </w:r>
      <w:r w:rsidRPr="003E74E2">
        <w:rPr>
          <w:rFonts w:eastAsiaTheme="minorHAnsi"/>
        </w:rPr>
        <w:t xml:space="preserve"> </w:t>
      </w:r>
    </w:p>
    <w:p w14:paraId="52BC7D6D" w14:textId="77777777" w:rsidR="002B7BEC" w:rsidRPr="00F111CA" w:rsidRDefault="002B7BEC" w:rsidP="000A0158">
      <w:pPr>
        <w:pStyle w:val="Heading1"/>
      </w:pPr>
      <w:bookmarkStart w:id="47" w:name="_Toc1549824"/>
      <w:bookmarkStart w:id="48" w:name="_Toc4162005"/>
      <w:bookmarkStart w:id="49" w:name="_Toc23507660"/>
      <w:bookmarkStart w:id="50" w:name="_Toc525908130"/>
      <w:bookmarkStart w:id="51" w:name="_Toc1549826"/>
      <w:r w:rsidRPr="00F111CA">
        <w:lastRenderedPageBreak/>
        <w:t>Interpretation notes</w:t>
      </w:r>
      <w:bookmarkEnd w:id="47"/>
      <w:bookmarkEnd w:id="48"/>
      <w:bookmarkEnd w:id="49"/>
    </w:p>
    <w:p w14:paraId="2424A421" w14:textId="77777777" w:rsidR="002B7BEC" w:rsidRPr="00A838B1" w:rsidRDefault="002B7BEC" w:rsidP="000A0158">
      <w:r w:rsidRPr="00A838B1">
        <w:t xml:space="preserve">This section provides some key points for interpreting </w:t>
      </w:r>
      <w:r>
        <w:t xml:space="preserve">the </w:t>
      </w:r>
      <w:r w:rsidRPr="00A838B1">
        <w:t xml:space="preserve">survey results presented in this report. For more details about the survey methodology, see the </w:t>
      </w:r>
      <w:r w:rsidRPr="00A838B1">
        <w:rPr>
          <w:i/>
        </w:rPr>
        <w:t xml:space="preserve">Methodology Report 2014/15: New Zealand Health Survey </w:t>
      </w:r>
      <w:r w:rsidRPr="00A838B1">
        <w:t>(Ministry of Health 2015</w:t>
      </w:r>
      <w:r>
        <w:t>b</w:t>
      </w:r>
      <w:r w:rsidRPr="00A838B1">
        <w:t>) and</w:t>
      </w:r>
      <w:r w:rsidRPr="00A838B1">
        <w:rPr>
          <w:i/>
        </w:rPr>
        <w:t xml:space="preserve"> </w:t>
      </w:r>
      <w:r>
        <w:rPr>
          <w:i/>
        </w:rPr>
        <w:t xml:space="preserve">Sexual and Reproductive Health </w:t>
      </w:r>
      <w:r w:rsidRPr="00A838B1">
        <w:rPr>
          <w:i/>
        </w:rPr>
        <w:t>Indicator Interpretation</w:t>
      </w:r>
      <w:r w:rsidRPr="00A838B1">
        <w:t xml:space="preserve"> </w:t>
      </w:r>
      <w:r w:rsidRPr="00A838B1">
        <w:rPr>
          <w:i/>
        </w:rPr>
        <w:t xml:space="preserve">Guide 2014/15: New Zealand Health Survey </w:t>
      </w:r>
      <w:r w:rsidRPr="00A838B1">
        <w:t>(Ministry of Health 201</w:t>
      </w:r>
      <w:r>
        <w:t>9</w:t>
      </w:r>
      <w:r w:rsidRPr="00A838B1">
        <w:t>).</w:t>
      </w:r>
    </w:p>
    <w:p w14:paraId="2CB93E30" w14:textId="77777777" w:rsidR="002B7BEC" w:rsidRPr="00A838B1" w:rsidRDefault="002B7BEC" w:rsidP="000A0158"/>
    <w:p w14:paraId="599373C1" w14:textId="77777777" w:rsidR="002B7BEC" w:rsidRPr="00A838B1" w:rsidRDefault="002B7BEC" w:rsidP="000A0158">
      <w:pPr>
        <w:pStyle w:val="Heading3"/>
      </w:pPr>
      <w:r w:rsidRPr="00A838B1">
        <w:t>Statistical significance</w:t>
      </w:r>
    </w:p>
    <w:p w14:paraId="08CC956C" w14:textId="77777777" w:rsidR="002B7BEC" w:rsidRPr="00A838B1" w:rsidRDefault="002B7BEC" w:rsidP="000A0158">
      <w:r w:rsidRPr="00A838B1">
        <w:t xml:space="preserve">Unless otherwise specified, the results discussed in this report only refer to differences that </w:t>
      </w:r>
      <w:r>
        <w:t>are</w:t>
      </w:r>
      <w:r w:rsidRPr="00A838B1">
        <w:t xml:space="preserve"> statistically significant at the 5</w:t>
      </w:r>
      <w:r>
        <w:t> percent</w:t>
      </w:r>
      <w:r w:rsidRPr="00A838B1">
        <w:t xml:space="preserve"> level (</w:t>
      </w:r>
      <w:proofErr w:type="spellStart"/>
      <w:r>
        <w:t>ie</w:t>
      </w:r>
      <w:proofErr w:type="spellEnd"/>
      <w:r>
        <w:t xml:space="preserve">, those with a </w:t>
      </w:r>
      <w:r w:rsidRPr="00A838B1">
        <w:t xml:space="preserve">p-value </w:t>
      </w:r>
      <w:r>
        <w:t xml:space="preserve">of </w:t>
      </w:r>
      <w:r w:rsidRPr="00A838B1">
        <w:t xml:space="preserve">less than 0.05). </w:t>
      </w:r>
      <w:r w:rsidR="003E74E2">
        <w:t>‘</w:t>
      </w:r>
      <w:r>
        <w:t>S</w:t>
      </w:r>
      <w:r w:rsidRPr="00A838B1">
        <w:t>tatistically significant</w:t>
      </w:r>
      <w:r w:rsidR="003E74E2">
        <w:t>’</w:t>
      </w:r>
      <w:r w:rsidRPr="00A838B1">
        <w:t xml:space="preserve"> means that the difference between the sample groups is likely to reflect real differences in the population groups</w:t>
      </w:r>
      <w:r>
        <w:t>,</w:t>
      </w:r>
      <w:r w:rsidRPr="00A838B1">
        <w:t xml:space="preserve"> rather than being caused by chance. A statistically significant difference does not necessarily mean the difference between the population groups is </w:t>
      </w:r>
      <w:r>
        <w:t>meaningful</w:t>
      </w:r>
      <w:r w:rsidRPr="00A838B1">
        <w:t>.</w:t>
      </w:r>
    </w:p>
    <w:p w14:paraId="2B8D0FB3" w14:textId="77777777" w:rsidR="002B7BEC" w:rsidRPr="00A838B1" w:rsidRDefault="002B7BEC" w:rsidP="000A0158"/>
    <w:p w14:paraId="5DA01A18" w14:textId="77777777" w:rsidR="002B7BEC" w:rsidRPr="00A838B1" w:rsidRDefault="002B7BEC" w:rsidP="000A0158">
      <w:pPr>
        <w:pStyle w:val="Heading3"/>
      </w:pPr>
      <w:r w:rsidRPr="00A838B1">
        <w:t>Confidence intervals</w:t>
      </w:r>
    </w:p>
    <w:p w14:paraId="6EE7F9B8" w14:textId="77777777" w:rsidR="008A17DD" w:rsidRDefault="008A17DD" w:rsidP="008A17DD">
      <w:r>
        <w:t>We use 95% confidence intervals to show the statistical precision of the estimates. Wider confidence intervals indicate less precise estimates than narrow intervals, caused by higher variation with a sample and/or smaller numbers in a sample. Confidence intervals generally agree with statistical significance. When confidence intervals for two estimates don't overlap, there is a statistically significant difference between the estimates. However, the opposite may not always be true.</w:t>
      </w:r>
    </w:p>
    <w:p w14:paraId="01889E9A" w14:textId="77777777" w:rsidR="000A0158" w:rsidRDefault="000A0158" w:rsidP="000A0158">
      <w:bookmarkStart w:id="52" w:name="_GoBack"/>
      <w:bookmarkEnd w:id="52"/>
    </w:p>
    <w:p w14:paraId="71392B52" w14:textId="77777777" w:rsidR="002B7BEC" w:rsidRPr="00A838B1" w:rsidRDefault="002B7BEC" w:rsidP="000A0158">
      <w:pPr>
        <w:pStyle w:val="Heading3"/>
      </w:pPr>
      <w:r w:rsidRPr="00A838B1">
        <w:t>Comparing population subgroups</w:t>
      </w:r>
    </w:p>
    <w:p w14:paraId="393FDD87" w14:textId="77777777" w:rsidR="003E74E2" w:rsidRDefault="002B7BEC" w:rsidP="000A0158">
      <w:r w:rsidRPr="00A838B1">
        <w:t xml:space="preserve">This report uses adjusted ratios to test if the prevalence of indicators </w:t>
      </w:r>
      <w:r>
        <w:t>is</w:t>
      </w:r>
      <w:r w:rsidRPr="00A838B1">
        <w:t xml:space="preserve"> statistically significantly different between groups. </w:t>
      </w:r>
      <w:r>
        <w:t>We have adjusted t</w:t>
      </w:r>
      <w:r w:rsidRPr="00A838B1">
        <w:t>hese ratios for demographic factors that may be influencing the comparison, such as age, gender and ethnicity. The adjusted ratio indicates whether the results are less or more likely in the group of interest than the comparison group</w:t>
      </w:r>
      <w:r>
        <w:t>. A ratio</w:t>
      </w:r>
      <w:r w:rsidRPr="00A838B1">
        <w:t xml:space="preserve"> </w:t>
      </w:r>
      <w:r>
        <w:t xml:space="preserve">of </w:t>
      </w:r>
      <w:r w:rsidRPr="00A838B1">
        <w:t xml:space="preserve">less than 1 </w:t>
      </w:r>
      <w:r>
        <w:t xml:space="preserve">indicates that the result </w:t>
      </w:r>
      <w:r w:rsidRPr="00A838B1">
        <w:t>is less likely</w:t>
      </w:r>
      <w:r>
        <w:t xml:space="preserve"> and a ratio </w:t>
      </w:r>
      <w:r w:rsidRPr="00A838B1">
        <w:t xml:space="preserve">greater than 1 </w:t>
      </w:r>
      <w:r>
        <w:t xml:space="preserve">indicates that it </w:t>
      </w:r>
      <w:r w:rsidRPr="00A838B1">
        <w:t>is more likely.</w:t>
      </w:r>
    </w:p>
    <w:p w14:paraId="62226945" w14:textId="77777777" w:rsidR="000A0158" w:rsidRDefault="000A0158" w:rsidP="000A0158">
      <w:pPr>
        <w:rPr>
          <w:rFonts w:cs="Georgia"/>
        </w:rPr>
      </w:pPr>
    </w:p>
    <w:p w14:paraId="5D2D651D" w14:textId="77777777" w:rsidR="003E74E2" w:rsidRDefault="002B7BEC" w:rsidP="000A0158">
      <w:pPr>
        <w:rPr>
          <w:rFonts w:cs="Georgia"/>
        </w:rPr>
      </w:pPr>
      <w:r w:rsidRPr="00A838B1">
        <w:rPr>
          <w:rFonts w:cs="Georgia"/>
        </w:rPr>
        <w:t>The survey use</w:t>
      </w:r>
      <w:r>
        <w:rPr>
          <w:rFonts w:cs="Georgia"/>
        </w:rPr>
        <w:t>s</w:t>
      </w:r>
      <w:r w:rsidRPr="00A838B1">
        <w:rPr>
          <w:rFonts w:cs="Georgia"/>
        </w:rPr>
        <w:t xml:space="preserve"> the New Zealand Index of Deprivation 2013 (NZDep2013) to measure neighbourhood deprivation. </w:t>
      </w:r>
      <w:r>
        <w:rPr>
          <w:rFonts w:cs="Georgia"/>
        </w:rPr>
        <w:t xml:space="preserve">The survey </w:t>
      </w:r>
      <w:r w:rsidRPr="00A838B1">
        <w:t>group</w:t>
      </w:r>
      <w:r>
        <w:t>s</w:t>
      </w:r>
      <w:r w:rsidRPr="00A838B1">
        <w:t xml:space="preserve"> neighbourhoods into five quintiles (</w:t>
      </w:r>
      <w:r>
        <w:t xml:space="preserve">the label </w:t>
      </w:r>
      <w:r w:rsidR="003E74E2">
        <w:t>‘</w:t>
      </w:r>
      <w:r>
        <w:t>quintile </w:t>
      </w:r>
      <w:r w:rsidRPr="00A838B1">
        <w:t>1</w:t>
      </w:r>
      <w:r w:rsidR="003E74E2">
        <w:t>’</w:t>
      </w:r>
      <w:r>
        <w:t xml:space="preserve"> applies to neighbourhoods with the </w:t>
      </w:r>
      <w:r w:rsidRPr="00A838B1">
        <w:t>low</w:t>
      </w:r>
      <w:r>
        <w:t>est</w:t>
      </w:r>
      <w:r w:rsidRPr="00A838B1">
        <w:t xml:space="preserve"> </w:t>
      </w:r>
      <w:r>
        <w:t xml:space="preserve">levels of </w:t>
      </w:r>
      <w:r w:rsidRPr="00A838B1">
        <w:t>deprivation</w:t>
      </w:r>
      <w:r>
        <w:t>,</w:t>
      </w:r>
      <w:r w:rsidRPr="00A838B1">
        <w:t xml:space="preserve"> </w:t>
      </w:r>
      <w:r>
        <w:t xml:space="preserve">and </w:t>
      </w:r>
      <w:r w:rsidR="003E74E2">
        <w:t>‘</w:t>
      </w:r>
      <w:r>
        <w:t>quintile </w:t>
      </w:r>
      <w:r w:rsidRPr="00A838B1">
        <w:t>5</w:t>
      </w:r>
      <w:r w:rsidR="003E74E2">
        <w:t>’</w:t>
      </w:r>
      <w:r>
        <w:t xml:space="preserve"> to those with the </w:t>
      </w:r>
      <w:r w:rsidRPr="00A838B1">
        <w:t>high</w:t>
      </w:r>
      <w:r>
        <w:t>est</w:t>
      </w:r>
      <w:r w:rsidRPr="00A838B1">
        <w:t>). Indicators are reported for each quintile.</w:t>
      </w:r>
      <w:r w:rsidRPr="00A838B1" w:rsidDel="005D7206">
        <w:rPr>
          <w:rFonts w:cs="Georgia"/>
        </w:rPr>
        <w:t xml:space="preserve"> </w:t>
      </w:r>
      <w:r w:rsidRPr="00A838B1">
        <w:rPr>
          <w:rFonts w:cs="Georgia"/>
        </w:rPr>
        <w:t xml:space="preserve">The adjusted ratios for deprivation compare the highest and lowest deprivation areas, after adjusting for age, ethnic group, gender and the pattern </w:t>
      </w:r>
      <w:r>
        <w:rPr>
          <w:rFonts w:cs="Georgia"/>
        </w:rPr>
        <w:t>across</w:t>
      </w:r>
      <w:r w:rsidRPr="00A838B1">
        <w:rPr>
          <w:rFonts w:cs="Georgia"/>
        </w:rPr>
        <w:t xml:space="preserve"> all five quintiles.</w:t>
      </w:r>
    </w:p>
    <w:p w14:paraId="318CFCB3" w14:textId="77777777" w:rsidR="002B7BEC" w:rsidRDefault="002B7BEC" w:rsidP="000A0158"/>
    <w:p w14:paraId="08C73FD7" w14:textId="77777777" w:rsidR="002B7BEC" w:rsidRPr="00A838B1" w:rsidRDefault="002B7BEC" w:rsidP="000A0158">
      <w:pPr>
        <w:pStyle w:val="Heading3"/>
      </w:pPr>
      <w:r w:rsidRPr="00A838B1">
        <w:lastRenderedPageBreak/>
        <w:t>Gender</w:t>
      </w:r>
    </w:p>
    <w:p w14:paraId="5EE8C24B" w14:textId="77777777" w:rsidR="003E74E2" w:rsidRDefault="002B7BEC" w:rsidP="000A0158">
      <w:pPr>
        <w:rPr>
          <w:rFonts w:cs="Calibri (Body)"/>
        </w:rPr>
      </w:pPr>
      <w:r w:rsidRPr="00EA2953">
        <w:t>Gender is self-defined by respondents in the survey</w:t>
      </w:r>
      <w:r>
        <w:t>. F</w:t>
      </w:r>
      <w:r w:rsidRPr="00EA2953">
        <w:t xml:space="preserve">or some people </w:t>
      </w:r>
      <w:r>
        <w:t>their gender</w:t>
      </w:r>
      <w:r w:rsidRPr="00EA2953">
        <w:t xml:space="preserve"> is not the same as their biological sex at birth. </w:t>
      </w:r>
      <w:r w:rsidRPr="00A838B1">
        <w:t>Respondents were asked if they were male or female, and while what these options meant was open to the respondent</w:t>
      </w:r>
      <w:r w:rsidR="003E74E2">
        <w:t>’</w:t>
      </w:r>
      <w:r w:rsidRPr="00A838B1">
        <w:t>s interpretation, gender</w:t>
      </w:r>
      <w:r>
        <w:t>-</w:t>
      </w:r>
      <w:r w:rsidRPr="00A838B1">
        <w:t>diverse options</w:t>
      </w:r>
      <w:r>
        <w:t xml:space="preserve"> (</w:t>
      </w:r>
      <w:proofErr w:type="spellStart"/>
      <w:r>
        <w:t>eg</w:t>
      </w:r>
      <w:proofErr w:type="spellEnd"/>
      <w:r>
        <w:t xml:space="preserve">, </w:t>
      </w:r>
      <w:r w:rsidR="003E74E2">
        <w:t>‘</w:t>
      </w:r>
      <w:r>
        <w:t>gender non-conforming</w:t>
      </w:r>
      <w:r w:rsidR="003E74E2">
        <w:t>’</w:t>
      </w:r>
      <w:r>
        <w:t xml:space="preserve"> or </w:t>
      </w:r>
      <w:r w:rsidR="003E74E2">
        <w:t>‘</w:t>
      </w:r>
      <w:r>
        <w:t>other</w:t>
      </w:r>
      <w:r w:rsidR="003E74E2">
        <w:t>’</w:t>
      </w:r>
      <w:r>
        <w:t>)</w:t>
      </w:r>
      <w:r w:rsidRPr="00A838B1">
        <w:t xml:space="preserve"> were not available</w:t>
      </w:r>
      <w:r w:rsidRPr="003E74E2">
        <w:t>.</w:t>
      </w:r>
      <w:r w:rsidRPr="003E74E2">
        <w:rPr>
          <w:rFonts w:cs="Tahoma"/>
        </w:rPr>
        <w:t xml:space="preserve"> </w:t>
      </w:r>
      <w:r w:rsidRPr="003E74E2">
        <w:t xml:space="preserve">The Ministry of Health acknowledges the need to improve data collection in this </w:t>
      </w:r>
      <w:proofErr w:type="gramStart"/>
      <w:r w:rsidRPr="003E74E2">
        <w:t>area, and</w:t>
      </w:r>
      <w:proofErr w:type="gramEnd"/>
      <w:r w:rsidRPr="003E74E2">
        <w:t xml:space="preserve"> is considering implementing the statistical standard for gender identity in future surveys (</w:t>
      </w:r>
      <w:r w:rsidRPr="00A838B1">
        <w:rPr>
          <w:rFonts w:cs="Calibri (Body)"/>
        </w:rPr>
        <w:t>Stat</w:t>
      </w:r>
      <w:r>
        <w:rPr>
          <w:rFonts w:cs="Calibri (Body)"/>
        </w:rPr>
        <w:t>istic</w:t>
      </w:r>
      <w:r w:rsidRPr="00A838B1">
        <w:rPr>
          <w:rFonts w:cs="Calibri (Body)"/>
        </w:rPr>
        <w:t>s N</w:t>
      </w:r>
      <w:r>
        <w:rPr>
          <w:rFonts w:cs="Calibri (Body)"/>
        </w:rPr>
        <w:t xml:space="preserve">ew </w:t>
      </w:r>
      <w:r w:rsidRPr="00A838B1">
        <w:rPr>
          <w:rFonts w:cs="Calibri (Body)"/>
        </w:rPr>
        <w:t>Z</w:t>
      </w:r>
      <w:r>
        <w:rPr>
          <w:rFonts w:cs="Calibri (Body)"/>
        </w:rPr>
        <w:t>ealand</w:t>
      </w:r>
      <w:r w:rsidRPr="00A838B1">
        <w:rPr>
          <w:rFonts w:cs="Calibri (Body)"/>
        </w:rPr>
        <w:t xml:space="preserve"> 2015).</w:t>
      </w:r>
    </w:p>
    <w:p w14:paraId="22729103" w14:textId="77777777" w:rsidR="000A0158" w:rsidRDefault="000A0158" w:rsidP="000A0158">
      <w:pPr>
        <w:rPr>
          <w:rFonts w:cs="Calibri (Body)"/>
        </w:rPr>
      </w:pPr>
    </w:p>
    <w:p w14:paraId="2031EACC" w14:textId="77777777" w:rsidR="002B7BEC" w:rsidRPr="00A838B1" w:rsidRDefault="002B7BEC" w:rsidP="000A0158">
      <w:pPr>
        <w:pStyle w:val="Heading3"/>
      </w:pPr>
      <w:r w:rsidRPr="00A838B1">
        <w:t>Non-</w:t>
      </w:r>
      <w:r>
        <w:t>s</w:t>
      </w:r>
      <w:r w:rsidRPr="00A838B1">
        <w:t>ampling error</w:t>
      </w:r>
    </w:p>
    <w:p w14:paraId="36094B42" w14:textId="77777777" w:rsidR="003E74E2" w:rsidRDefault="002B7BEC" w:rsidP="000A0158">
      <w:r w:rsidRPr="00A838B1">
        <w:t xml:space="preserve">The survey results may underestimate or overestimate some indicators because the </w:t>
      </w:r>
      <w:r>
        <w:t xml:space="preserve">data is </w:t>
      </w:r>
      <w:r w:rsidRPr="00A838B1">
        <w:t>self-reported. The accuracy of a person</w:t>
      </w:r>
      <w:r w:rsidR="003E74E2">
        <w:t>’</w:t>
      </w:r>
      <w:r w:rsidRPr="00A838B1">
        <w:t xml:space="preserve">s memory may vary depending on many factors, including </w:t>
      </w:r>
      <w:r>
        <w:t xml:space="preserve">social norms, </w:t>
      </w:r>
      <w:r w:rsidRPr="00A838B1">
        <w:t>the importance</w:t>
      </w:r>
      <w:r>
        <w:t xml:space="preserve"> of the event being recalled</w:t>
      </w:r>
      <w:r w:rsidRPr="00A838B1">
        <w:t>, the individual</w:t>
      </w:r>
      <w:r w:rsidR="003E74E2">
        <w:t>’</w:t>
      </w:r>
      <w:r w:rsidRPr="00A838B1">
        <w:t xml:space="preserve">s age at the time and the </w:t>
      </w:r>
      <w:proofErr w:type="gramStart"/>
      <w:r w:rsidRPr="00A838B1">
        <w:t>period of time</w:t>
      </w:r>
      <w:proofErr w:type="gramEnd"/>
      <w:r w:rsidRPr="00A838B1">
        <w:t xml:space="preserve"> that has passed since the event occurred.</w:t>
      </w:r>
    </w:p>
    <w:p w14:paraId="1D98F0D4" w14:textId="77777777" w:rsidR="000A0158" w:rsidRDefault="000A0158" w:rsidP="000A0158"/>
    <w:p w14:paraId="0F5BC44B" w14:textId="77777777" w:rsidR="002B7BEC" w:rsidRPr="00A853FC" w:rsidRDefault="002B7BEC" w:rsidP="000A0158">
      <w:pPr>
        <w:pStyle w:val="Heading1"/>
      </w:pPr>
      <w:bookmarkStart w:id="53" w:name="_Toc536016920"/>
      <w:bookmarkStart w:id="54" w:name="_Toc1549825"/>
      <w:bookmarkStart w:id="55" w:name="_Toc4162006"/>
      <w:bookmarkStart w:id="56" w:name="_Toc23507661"/>
      <w:r w:rsidRPr="00F111CA">
        <w:lastRenderedPageBreak/>
        <w:t>Overview</w:t>
      </w:r>
      <w:r w:rsidRPr="00A853FC">
        <w:t xml:space="preserve"> </w:t>
      </w:r>
      <w:r w:rsidRPr="00F111CA">
        <w:t xml:space="preserve">of survey </w:t>
      </w:r>
      <w:bookmarkEnd w:id="53"/>
      <w:r w:rsidRPr="00F111CA">
        <w:t>methodology</w:t>
      </w:r>
      <w:bookmarkEnd w:id="54"/>
      <w:bookmarkEnd w:id="55"/>
      <w:bookmarkEnd w:id="56"/>
    </w:p>
    <w:p w14:paraId="4E862B77" w14:textId="77777777" w:rsidR="000A0158" w:rsidRDefault="002B7BEC" w:rsidP="000A0158">
      <w:r w:rsidRPr="00EA3E17">
        <w:t xml:space="preserve">This section gives a brief overview of the </w:t>
      </w:r>
      <w:r w:rsidR="00BB21A4">
        <w:t>survey methodology</w:t>
      </w:r>
      <w:r w:rsidRPr="00EA3E17">
        <w:t xml:space="preserve"> for the New Zealand Health Survey. </w:t>
      </w:r>
    </w:p>
    <w:p w14:paraId="0C3E533E" w14:textId="77777777" w:rsidR="003E74E2" w:rsidRDefault="002B7BEC" w:rsidP="000A0158">
      <w:pPr>
        <w:pStyle w:val="Heading3"/>
      </w:pPr>
      <w:r w:rsidRPr="00237BE4">
        <w:t>How were people selected for the survey?</w:t>
      </w:r>
    </w:p>
    <w:p w14:paraId="4E0C3149" w14:textId="77777777" w:rsidR="00BB21A4" w:rsidRDefault="002B7BEC" w:rsidP="00BB21A4">
      <w:r w:rsidRPr="006655B9">
        <w:t>The 2014/15 results refer to the sample selected for the period July 2014</w:t>
      </w:r>
      <w:r>
        <w:t>–</w:t>
      </w:r>
      <w:r w:rsidRPr="006655B9">
        <w:t>June 2015.</w:t>
      </w:r>
      <w:r w:rsidR="000A0158">
        <w:t xml:space="preserve"> </w:t>
      </w:r>
      <w:r w:rsidRPr="00EA3E17">
        <w:t>The</w:t>
      </w:r>
      <w:r>
        <w:t xml:space="preserve"> survey</w:t>
      </w:r>
      <w:r w:rsidRPr="00EA3E17">
        <w:t xml:space="preserve"> has a multi-stage sampling design that involves randomly selecting a sample of small geographic areas, households within the selected areas and individuals within the selected households. One adult aged 15 years or older and one child aged 14 years or younger (if </w:t>
      </w:r>
      <w:r>
        <w:t xml:space="preserve">there were </w:t>
      </w:r>
      <w:r w:rsidRPr="00EA3E17">
        <w:t xml:space="preserve">any) were chosen at random from each selected household. Adults aged 16–74 years who had completed the 2014/15 </w:t>
      </w:r>
      <w:r>
        <w:t>survey</w:t>
      </w:r>
      <w:r w:rsidRPr="00EA3E17">
        <w:t xml:space="preserve"> were invited to participate in the Sexual and Reproductive Health module.</w:t>
      </w:r>
      <w:r w:rsidR="00BB21A4">
        <w:t xml:space="preserve"> </w:t>
      </w:r>
      <w:r w:rsidR="00BB21A4" w:rsidRPr="00EA3E17">
        <w:t xml:space="preserve">Further details are available in </w:t>
      </w:r>
      <w:r w:rsidR="00BB21A4">
        <w:rPr>
          <w:i/>
        </w:rPr>
        <w:t xml:space="preserve">The New Zealand Health Survey: </w:t>
      </w:r>
      <w:r w:rsidR="00BB21A4" w:rsidRPr="002216B7">
        <w:rPr>
          <w:i/>
        </w:rPr>
        <w:t xml:space="preserve">Sample </w:t>
      </w:r>
      <w:r w:rsidR="00BB21A4">
        <w:rPr>
          <w:i/>
        </w:rPr>
        <w:t>d</w:t>
      </w:r>
      <w:r w:rsidR="00BB21A4" w:rsidRPr="002216B7">
        <w:rPr>
          <w:i/>
        </w:rPr>
        <w:t xml:space="preserve">esign, </w:t>
      </w:r>
      <w:r w:rsidR="00BB21A4">
        <w:rPr>
          <w:i/>
        </w:rPr>
        <w:t>y</w:t>
      </w:r>
      <w:r w:rsidR="00BB21A4" w:rsidRPr="002216B7">
        <w:rPr>
          <w:i/>
        </w:rPr>
        <w:t>ears 1</w:t>
      </w:r>
      <w:r w:rsidR="00BB21A4">
        <w:rPr>
          <w:i/>
        </w:rPr>
        <w:t>–</w:t>
      </w:r>
      <w:r w:rsidR="00BB21A4" w:rsidRPr="002216B7">
        <w:rPr>
          <w:i/>
        </w:rPr>
        <w:t>3 (2011</w:t>
      </w:r>
      <w:r w:rsidR="00BB21A4">
        <w:rPr>
          <w:i/>
        </w:rPr>
        <w:t>–</w:t>
      </w:r>
      <w:r w:rsidR="00BB21A4" w:rsidRPr="002216B7">
        <w:rPr>
          <w:i/>
        </w:rPr>
        <w:t>2013)</w:t>
      </w:r>
      <w:r w:rsidR="00BB21A4">
        <w:t xml:space="preserve"> (Ministry of Health 2011</w:t>
      </w:r>
      <w:r w:rsidR="00BB21A4" w:rsidRPr="00EA3E17">
        <w:t>).</w:t>
      </w:r>
    </w:p>
    <w:p w14:paraId="44CBAD76" w14:textId="77777777" w:rsidR="003E74E2" w:rsidRDefault="003E74E2" w:rsidP="000A0158"/>
    <w:p w14:paraId="54CA6FF1" w14:textId="77777777" w:rsidR="000A0158" w:rsidRDefault="000A0158" w:rsidP="000A0158"/>
    <w:p w14:paraId="753555DA" w14:textId="77777777" w:rsidR="003E74E2" w:rsidRDefault="002B7BEC" w:rsidP="000A0158">
      <w:pPr>
        <w:pStyle w:val="Heading3"/>
      </w:pPr>
      <w:r w:rsidRPr="00EA3E17">
        <w:t xml:space="preserve">How </w:t>
      </w:r>
      <w:r>
        <w:t>was</w:t>
      </w:r>
      <w:r w:rsidRPr="00EA3E17">
        <w:t xml:space="preserve"> data collected?</w:t>
      </w:r>
    </w:p>
    <w:p w14:paraId="1A2B7C37" w14:textId="77777777" w:rsidR="002B7BEC" w:rsidRPr="00EA3E17" w:rsidRDefault="002B7BEC" w:rsidP="000A0158">
      <w:r w:rsidRPr="00EA3E17">
        <w:t>Professional surveyors from CBG Health Research Ltd collected data in respondents</w:t>
      </w:r>
      <w:r w:rsidR="003E74E2">
        <w:t>’</w:t>
      </w:r>
      <w:r w:rsidRPr="00EA3E17">
        <w:t xml:space="preserve"> homes. </w:t>
      </w:r>
      <w:r w:rsidRPr="00EA3E17">
        <w:rPr>
          <w:rFonts w:cs="Segoe UI"/>
        </w:rPr>
        <w:t xml:space="preserve">For the core part of the survey, data was collected through a face-to-face interview. </w:t>
      </w:r>
      <w:r w:rsidRPr="00EA3E17">
        <w:t xml:space="preserve">However, participants completed the Sexual and Reproductive Health module by themselves, directly entering responses into a program run on a tablet computer. Surveyors provided minimal </w:t>
      </w:r>
      <w:proofErr w:type="gramStart"/>
      <w:r w:rsidRPr="00EA3E17">
        <w:t>assistance, and</w:t>
      </w:r>
      <w:proofErr w:type="gramEnd"/>
      <w:r w:rsidRPr="00EA3E17">
        <w:t xml:space="preserve"> reiterated that they would not be able to see the answers. Respondents could answer </w:t>
      </w:r>
      <w:r w:rsidR="003E74E2">
        <w:t>‘</w:t>
      </w:r>
      <w:r w:rsidRPr="00EA3E17">
        <w:t>Don</w:t>
      </w:r>
      <w:r w:rsidR="003E74E2">
        <w:t>’</w:t>
      </w:r>
      <w:r w:rsidRPr="00EA3E17">
        <w:t>t know</w:t>
      </w:r>
      <w:r w:rsidR="003E74E2">
        <w:t>’</w:t>
      </w:r>
      <w:r w:rsidRPr="00EA3E17">
        <w:t xml:space="preserve"> or </w:t>
      </w:r>
      <w:r w:rsidR="003E74E2">
        <w:t>‘</w:t>
      </w:r>
      <w:r>
        <w:t>Choose not</w:t>
      </w:r>
      <w:r w:rsidRPr="00EA3E17">
        <w:t xml:space="preserve"> to answer</w:t>
      </w:r>
      <w:r w:rsidR="003E74E2">
        <w:t>’</w:t>
      </w:r>
      <w:r w:rsidRPr="00EA3E17">
        <w:t xml:space="preserve"> to any question. </w:t>
      </w:r>
      <w:r>
        <w:t>I</w:t>
      </w:r>
      <w:r w:rsidRPr="00EA3E17">
        <w:t xml:space="preserve">f they chose either of those options for the question about having ever had sex with someone of a different sex, then they </w:t>
      </w:r>
      <w:r>
        <w:t xml:space="preserve">were not </w:t>
      </w:r>
      <w:r w:rsidRPr="00EA3E17">
        <w:t>asked to complete the rest of the survey module.</w:t>
      </w:r>
    </w:p>
    <w:p w14:paraId="114912BD" w14:textId="77777777" w:rsidR="002B7BEC" w:rsidRPr="00EA3E17" w:rsidRDefault="002B7BEC" w:rsidP="000A0158"/>
    <w:p w14:paraId="3B609E73" w14:textId="77777777" w:rsidR="003E74E2" w:rsidRDefault="002B7BEC" w:rsidP="000A0158">
      <w:pPr>
        <w:pStyle w:val="Heading3"/>
      </w:pPr>
      <w:r w:rsidRPr="00EA3E17">
        <w:t>How many people took part?</w:t>
      </w:r>
    </w:p>
    <w:p w14:paraId="04AB67B0" w14:textId="77777777" w:rsidR="002B7BEC" w:rsidRPr="00EA3E17" w:rsidRDefault="002B7BEC" w:rsidP="000A0158">
      <w:r w:rsidRPr="00EA3E17">
        <w:t>11,993 adults aged 16</w:t>
      </w:r>
      <w:r>
        <w:t>–</w:t>
      </w:r>
      <w:r w:rsidRPr="00EA3E17">
        <w:t xml:space="preserve">74 years completed the core 2014/15 </w:t>
      </w:r>
      <w:r>
        <w:t>survey</w:t>
      </w:r>
      <w:r w:rsidRPr="00EA3E17">
        <w:t xml:space="preserve"> and were eligible for the Sexual and Reproductive Health module. This report is based on the responses from 10,198 adults (or 87% of eligible respondents). </w:t>
      </w:r>
      <w:r w:rsidRPr="00EA3E17">
        <w:rPr>
          <w:bCs/>
        </w:rPr>
        <w:t>Some eligible respondents were not included in the final data</w:t>
      </w:r>
      <w:r>
        <w:rPr>
          <w:bCs/>
        </w:rPr>
        <w:t xml:space="preserve"> </w:t>
      </w:r>
      <w:r w:rsidRPr="00EA3E17">
        <w:rPr>
          <w:bCs/>
        </w:rPr>
        <w:t>set for the following reasons</w:t>
      </w:r>
      <w:r>
        <w:rPr>
          <w:bCs/>
        </w:rPr>
        <w:t>.</w:t>
      </w:r>
    </w:p>
    <w:p w14:paraId="3EB59079" w14:textId="77777777" w:rsidR="002B7BEC" w:rsidRPr="00EA3E17" w:rsidRDefault="002B7BEC" w:rsidP="000A0158">
      <w:pPr>
        <w:pStyle w:val="Bullet"/>
      </w:pPr>
      <w:r w:rsidRPr="00EA3E17">
        <w:t>668 respondents (5.6% of those who were eligible)</w:t>
      </w:r>
      <w:r>
        <w:t xml:space="preserve"> </w:t>
      </w:r>
      <w:r w:rsidRPr="00EA3E17">
        <w:t>did not start the module, either because they refused or because of English language and/or cognitive difficulties</w:t>
      </w:r>
      <w:r>
        <w:t>.</w:t>
      </w:r>
    </w:p>
    <w:p w14:paraId="56743B03" w14:textId="77777777" w:rsidR="002B7BEC" w:rsidRPr="00EA3E17" w:rsidRDefault="002B7BEC" w:rsidP="000A0158">
      <w:pPr>
        <w:pStyle w:val="Bullet"/>
      </w:pPr>
      <w:r w:rsidRPr="00EA3E17">
        <w:t>991 respondents (6.5% of eligible respondents) started the module but stopped before the end of the module</w:t>
      </w:r>
      <w:r>
        <w:t>.</w:t>
      </w:r>
    </w:p>
    <w:p w14:paraId="4408BFC0" w14:textId="77777777" w:rsidR="002B7BEC" w:rsidRPr="00EA3E17" w:rsidRDefault="002B7BEC" w:rsidP="000A0158">
      <w:pPr>
        <w:pStyle w:val="Bullet"/>
      </w:pPr>
      <w:r w:rsidRPr="00EA3E17">
        <w:lastRenderedPageBreak/>
        <w:t xml:space="preserve">123 respondents (1.2% of eligible respondents) completed the module but their records were discarded because at least half of their responses were </w:t>
      </w:r>
      <w:r w:rsidR="003E74E2">
        <w:t>‘</w:t>
      </w:r>
      <w:r>
        <w:t>D</w:t>
      </w:r>
      <w:r w:rsidRPr="00EA3E17">
        <w:t>on</w:t>
      </w:r>
      <w:r w:rsidR="003E74E2">
        <w:t>’</w:t>
      </w:r>
      <w:r w:rsidRPr="00EA3E17">
        <w:t>t know</w:t>
      </w:r>
      <w:r w:rsidR="003E74E2">
        <w:t>’</w:t>
      </w:r>
      <w:r w:rsidRPr="004142E5">
        <w:t xml:space="preserve"> </w:t>
      </w:r>
      <w:r w:rsidRPr="00EA3E17">
        <w:t xml:space="preserve">or </w:t>
      </w:r>
      <w:r w:rsidR="003E74E2">
        <w:t>‘</w:t>
      </w:r>
      <w:r>
        <w:t>C</w:t>
      </w:r>
      <w:r w:rsidRPr="00EA3E17">
        <w:t>hoose not to answer</w:t>
      </w:r>
      <w:r w:rsidR="003E74E2">
        <w:t>’</w:t>
      </w:r>
      <w:r w:rsidRPr="00EA3E17">
        <w:t>.</w:t>
      </w:r>
    </w:p>
    <w:p w14:paraId="1EB1048A" w14:textId="77777777" w:rsidR="000A0158" w:rsidRDefault="000A0158" w:rsidP="000A0158"/>
    <w:p w14:paraId="0807E92B" w14:textId="77777777" w:rsidR="002B7BEC" w:rsidRDefault="002B7BEC" w:rsidP="000A0158">
      <w:r w:rsidRPr="00EA3E17">
        <w:t>Of the people who completed the Sexu</w:t>
      </w:r>
      <w:r>
        <w:t>al and R</w:t>
      </w:r>
      <w:r w:rsidRPr="00EA3E17">
        <w:t xml:space="preserve">eproductive </w:t>
      </w:r>
      <w:r>
        <w:t>H</w:t>
      </w:r>
      <w:r w:rsidRPr="00EA3E17">
        <w:t>ealth module, 4</w:t>
      </w:r>
      <w:r>
        <w:t>,</w:t>
      </w:r>
      <w:r w:rsidRPr="00EA3E17">
        <w:t>358 gave their gender as male and 5</w:t>
      </w:r>
      <w:r>
        <w:t>,</w:t>
      </w:r>
      <w:r w:rsidRPr="00EA3E17">
        <w:t>840 as female. The table below summarises the 10,198</w:t>
      </w:r>
      <w:r w:rsidR="000A0158">
        <w:t> </w:t>
      </w:r>
      <w:r w:rsidRPr="00EA3E17">
        <w:t>survey respondents by ethnic group.</w:t>
      </w:r>
    </w:p>
    <w:p w14:paraId="3288D197" w14:textId="77777777" w:rsidR="000A0158" w:rsidRPr="00EA3E17" w:rsidRDefault="000A0158" w:rsidP="000A0158"/>
    <w:p w14:paraId="45DD65D2" w14:textId="77777777" w:rsidR="002B7BEC" w:rsidRPr="00F111CA" w:rsidRDefault="002B7BEC" w:rsidP="000A0158">
      <w:pPr>
        <w:pStyle w:val="Table"/>
      </w:pPr>
      <w:bookmarkStart w:id="57" w:name="_Toc525908143"/>
      <w:bookmarkStart w:id="58" w:name="_Toc23507674"/>
      <w:r w:rsidRPr="00F111CA">
        <w:t>Table 1: Participation in the Sexual and Reproductive Health module of the New</w:t>
      </w:r>
      <w:r w:rsidR="000A0158">
        <w:t> </w:t>
      </w:r>
      <w:r w:rsidRPr="00F111CA">
        <w:t>Zealand Health Survey, by ethnicity</w:t>
      </w:r>
      <w:bookmarkEnd w:id="57"/>
      <w:bookmarkEnd w:id="58"/>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1276"/>
      </w:tblGrid>
      <w:tr w:rsidR="002B7BEC" w:rsidRPr="000A0158" w14:paraId="29C57D02" w14:textId="77777777" w:rsidTr="000A0158">
        <w:trPr>
          <w:cantSplit/>
        </w:trPr>
        <w:tc>
          <w:tcPr>
            <w:tcW w:w="3119" w:type="dxa"/>
            <w:tcBorders>
              <w:top w:val="nil"/>
              <w:bottom w:val="nil"/>
            </w:tcBorders>
            <w:shd w:val="clear" w:color="auto" w:fill="D9D9D9" w:themeFill="background1" w:themeFillShade="D9"/>
          </w:tcPr>
          <w:p w14:paraId="59980C91" w14:textId="77777777" w:rsidR="002B7BEC" w:rsidRPr="000A0158" w:rsidRDefault="002B7BEC" w:rsidP="006B0A88">
            <w:pPr>
              <w:pStyle w:val="TableText"/>
              <w:spacing w:line="240" w:lineRule="auto"/>
              <w:rPr>
                <w:b/>
              </w:rPr>
            </w:pPr>
            <w:r w:rsidRPr="000A0158">
              <w:rPr>
                <w:b/>
              </w:rPr>
              <w:t>Ethnic group</w:t>
            </w:r>
          </w:p>
        </w:tc>
        <w:tc>
          <w:tcPr>
            <w:tcW w:w="1276" w:type="dxa"/>
            <w:tcBorders>
              <w:top w:val="nil"/>
              <w:bottom w:val="nil"/>
            </w:tcBorders>
            <w:shd w:val="clear" w:color="auto" w:fill="D9D9D9" w:themeFill="background1" w:themeFillShade="D9"/>
          </w:tcPr>
          <w:p w14:paraId="39270A5E" w14:textId="77777777" w:rsidR="002B7BEC" w:rsidRPr="000A0158" w:rsidRDefault="002B7BEC" w:rsidP="006B0A88">
            <w:pPr>
              <w:pStyle w:val="TableText"/>
              <w:spacing w:line="240" w:lineRule="auto"/>
              <w:jc w:val="center"/>
              <w:rPr>
                <w:b/>
              </w:rPr>
            </w:pPr>
            <w:r w:rsidRPr="000A0158">
              <w:rPr>
                <w:b/>
              </w:rPr>
              <w:t>Number</w:t>
            </w:r>
          </w:p>
        </w:tc>
      </w:tr>
      <w:tr w:rsidR="002B7BEC" w:rsidRPr="00EA3E17" w14:paraId="152604C5" w14:textId="77777777" w:rsidTr="000A0158">
        <w:trPr>
          <w:cantSplit/>
        </w:trPr>
        <w:tc>
          <w:tcPr>
            <w:tcW w:w="3119" w:type="dxa"/>
            <w:tcBorders>
              <w:top w:val="nil"/>
            </w:tcBorders>
            <w:shd w:val="clear" w:color="auto" w:fill="auto"/>
            <w:vAlign w:val="center"/>
          </w:tcPr>
          <w:p w14:paraId="18598CCC" w14:textId="77777777" w:rsidR="002B7BEC" w:rsidRPr="00EA3E17" w:rsidRDefault="002B7BEC" w:rsidP="006B0A88">
            <w:pPr>
              <w:pStyle w:val="TableText"/>
              <w:spacing w:line="240" w:lineRule="auto"/>
            </w:pPr>
            <w:r w:rsidRPr="00EA3E17">
              <w:t>Māori</w:t>
            </w:r>
          </w:p>
        </w:tc>
        <w:tc>
          <w:tcPr>
            <w:tcW w:w="1276" w:type="dxa"/>
            <w:tcBorders>
              <w:top w:val="nil"/>
            </w:tcBorders>
            <w:shd w:val="clear" w:color="auto" w:fill="auto"/>
            <w:vAlign w:val="center"/>
          </w:tcPr>
          <w:p w14:paraId="3E7B2422" w14:textId="77777777" w:rsidR="002B7BEC" w:rsidRPr="00EA3E17" w:rsidRDefault="002B7BEC" w:rsidP="006B0A88">
            <w:pPr>
              <w:pStyle w:val="TableText"/>
              <w:tabs>
                <w:tab w:val="decimal" w:pos="793"/>
              </w:tabs>
              <w:spacing w:line="240" w:lineRule="auto"/>
            </w:pPr>
            <w:r w:rsidRPr="00EA3E17">
              <w:t>2,460</w:t>
            </w:r>
          </w:p>
        </w:tc>
      </w:tr>
      <w:tr w:rsidR="002B7BEC" w:rsidRPr="00EA3E17" w14:paraId="1C7AAEDB" w14:textId="77777777" w:rsidTr="000A0158">
        <w:trPr>
          <w:cantSplit/>
        </w:trPr>
        <w:tc>
          <w:tcPr>
            <w:tcW w:w="3119" w:type="dxa"/>
            <w:shd w:val="clear" w:color="auto" w:fill="auto"/>
            <w:vAlign w:val="center"/>
          </w:tcPr>
          <w:p w14:paraId="6E91B9ED" w14:textId="77777777" w:rsidR="002B7BEC" w:rsidRPr="00EA3E17" w:rsidRDefault="002B7BEC" w:rsidP="006B0A88">
            <w:pPr>
              <w:pStyle w:val="TableText"/>
              <w:spacing w:line="240" w:lineRule="auto"/>
            </w:pPr>
            <w:r w:rsidRPr="00EA3E17">
              <w:t>Pacific</w:t>
            </w:r>
          </w:p>
        </w:tc>
        <w:tc>
          <w:tcPr>
            <w:tcW w:w="1276" w:type="dxa"/>
            <w:shd w:val="clear" w:color="auto" w:fill="auto"/>
            <w:vAlign w:val="center"/>
          </w:tcPr>
          <w:p w14:paraId="6796BA6C" w14:textId="77777777" w:rsidR="002B7BEC" w:rsidRPr="00EA3E17" w:rsidRDefault="002B7BEC" w:rsidP="006B0A88">
            <w:pPr>
              <w:pStyle w:val="TableText"/>
              <w:tabs>
                <w:tab w:val="decimal" w:pos="793"/>
              </w:tabs>
              <w:spacing w:line="240" w:lineRule="auto"/>
            </w:pPr>
            <w:r w:rsidRPr="00EA3E17">
              <w:t>619</w:t>
            </w:r>
          </w:p>
        </w:tc>
      </w:tr>
      <w:tr w:rsidR="002B7BEC" w:rsidRPr="00EA3E17" w14:paraId="4914D080" w14:textId="77777777" w:rsidTr="000A0158">
        <w:trPr>
          <w:cantSplit/>
        </w:trPr>
        <w:tc>
          <w:tcPr>
            <w:tcW w:w="3119" w:type="dxa"/>
            <w:shd w:val="clear" w:color="auto" w:fill="auto"/>
            <w:vAlign w:val="center"/>
          </w:tcPr>
          <w:p w14:paraId="2992D76F" w14:textId="77777777" w:rsidR="002B7BEC" w:rsidRPr="00EA3E17" w:rsidRDefault="002B7BEC" w:rsidP="006B0A88">
            <w:pPr>
              <w:pStyle w:val="TableText"/>
              <w:spacing w:line="240" w:lineRule="auto"/>
            </w:pPr>
            <w:r w:rsidRPr="00EA3E17">
              <w:t>Asian</w:t>
            </w:r>
          </w:p>
        </w:tc>
        <w:tc>
          <w:tcPr>
            <w:tcW w:w="1276" w:type="dxa"/>
            <w:shd w:val="clear" w:color="auto" w:fill="auto"/>
            <w:vAlign w:val="center"/>
          </w:tcPr>
          <w:p w14:paraId="015F88EE" w14:textId="77777777" w:rsidR="002B7BEC" w:rsidRPr="00EA3E17" w:rsidRDefault="002B7BEC" w:rsidP="006B0A88">
            <w:pPr>
              <w:pStyle w:val="TableText"/>
              <w:tabs>
                <w:tab w:val="decimal" w:pos="793"/>
              </w:tabs>
              <w:spacing w:line="240" w:lineRule="auto"/>
            </w:pPr>
            <w:r w:rsidRPr="00EA3E17">
              <w:t>814</w:t>
            </w:r>
          </w:p>
        </w:tc>
      </w:tr>
      <w:tr w:rsidR="002B7BEC" w:rsidRPr="00EA3E17" w14:paraId="35C89217" w14:textId="77777777" w:rsidTr="000A0158">
        <w:trPr>
          <w:cantSplit/>
        </w:trPr>
        <w:tc>
          <w:tcPr>
            <w:tcW w:w="3119" w:type="dxa"/>
            <w:shd w:val="clear" w:color="auto" w:fill="auto"/>
            <w:vAlign w:val="center"/>
          </w:tcPr>
          <w:p w14:paraId="3E8FA7A0" w14:textId="77777777" w:rsidR="002B7BEC" w:rsidRPr="00EA3E17" w:rsidRDefault="002B7BEC" w:rsidP="006B0A88">
            <w:pPr>
              <w:pStyle w:val="TableText"/>
              <w:spacing w:line="240" w:lineRule="auto"/>
            </w:pPr>
            <w:r w:rsidRPr="00EA3E17">
              <w:t>European/Other</w:t>
            </w:r>
          </w:p>
        </w:tc>
        <w:tc>
          <w:tcPr>
            <w:tcW w:w="1276" w:type="dxa"/>
            <w:shd w:val="clear" w:color="auto" w:fill="auto"/>
            <w:vAlign w:val="center"/>
          </w:tcPr>
          <w:p w14:paraId="281E845C" w14:textId="77777777" w:rsidR="002B7BEC" w:rsidRPr="00EA3E17" w:rsidRDefault="002B7BEC" w:rsidP="006B0A88">
            <w:pPr>
              <w:pStyle w:val="TableText"/>
              <w:tabs>
                <w:tab w:val="decimal" w:pos="793"/>
              </w:tabs>
              <w:spacing w:line="240" w:lineRule="auto"/>
            </w:pPr>
            <w:r w:rsidRPr="00EA3E17">
              <w:t>7,542</w:t>
            </w:r>
          </w:p>
        </w:tc>
      </w:tr>
    </w:tbl>
    <w:p w14:paraId="6A995FEF" w14:textId="77777777" w:rsidR="003E74E2" w:rsidRDefault="002B7BEC" w:rsidP="000A0158">
      <w:pPr>
        <w:pStyle w:val="Note"/>
        <w:rPr>
          <w:lang w:eastAsia="en-US"/>
        </w:rPr>
      </w:pPr>
      <w:r>
        <w:rPr>
          <w:lang w:eastAsia="en-US"/>
        </w:rPr>
        <w:t xml:space="preserve">Note: </w:t>
      </w:r>
      <w:r w:rsidRPr="00F111CA">
        <w:rPr>
          <w:lang w:eastAsia="en-US"/>
        </w:rPr>
        <w:t xml:space="preserve">Adults who reported more than one ethnic group are counted once in each group reported. This means that the total number of responses for all ethnic groups </w:t>
      </w:r>
      <w:r>
        <w:rPr>
          <w:lang w:eastAsia="en-US"/>
        </w:rPr>
        <w:t>can</w:t>
      </w:r>
      <w:r w:rsidRPr="00F111CA">
        <w:rPr>
          <w:lang w:eastAsia="en-US"/>
        </w:rPr>
        <w:t xml:space="preserve"> be greater than the total number of adults who stated their ethnicities.</w:t>
      </w:r>
    </w:p>
    <w:p w14:paraId="19023D07" w14:textId="77777777" w:rsidR="002B7BEC" w:rsidRPr="00EA3E17" w:rsidRDefault="002B7BEC" w:rsidP="000A0158"/>
    <w:p w14:paraId="05EBE9EC" w14:textId="77777777" w:rsidR="002B7BEC" w:rsidRPr="00EA3E17" w:rsidRDefault="002B7BEC" w:rsidP="000A0158">
      <w:pPr>
        <w:pStyle w:val="Heading3"/>
      </w:pPr>
      <w:r w:rsidRPr="00EA3E17">
        <w:t>Survey weights</w:t>
      </w:r>
    </w:p>
    <w:p w14:paraId="4679B4F0" w14:textId="77777777" w:rsidR="002B7BEC" w:rsidRPr="00EA3E17" w:rsidRDefault="002B7BEC" w:rsidP="000A0158">
      <w:pPr>
        <w:rPr>
          <w:rFonts w:cs="TiemposText-Regular"/>
        </w:rPr>
      </w:pPr>
      <w:r w:rsidRPr="00EA3E17">
        <w:t xml:space="preserve">The Sexual and Reproductive Health data set was weighted so that the responding sample represented the New Zealand </w:t>
      </w:r>
      <w:r w:rsidR="003E74E2">
        <w:t>‘</w:t>
      </w:r>
      <w:r w:rsidRPr="00EA3E17">
        <w:t>usually resident</w:t>
      </w:r>
      <w:r w:rsidR="003E74E2">
        <w:t>’</w:t>
      </w:r>
      <w:r w:rsidRPr="00EA3E17">
        <w:t xml:space="preserve"> population in that year, using external population benchmarks (age, sex, ethnicity and nei</w:t>
      </w:r>
      <w:r>
        <w:t>ghbourhood deprivation) and</w:t>
      </w:r>
      <w:r w:rsidRPr="00EA3E17">
        <w:t xml:space="preserve"> demographic and behavioural benchmarks (</w:t>
      </w:r>
      <w:proofErr w:type="spellStart"/>
      <w:r w:rsidRPr="00EA3E17">
        <w:t>eg</w:t>
      </w:r>
      <w:proofErr w:type="spellEnd"/>
      <w:r w:rsidRPr="00EA3E17">
        <w:t xml:space="preserve">, educational level and hazardous drinking). </w:t>
      </w:r>
      <w:r w:rsidRPr="00EA3E17">
        <w:rPr>
          <w:rFonts w:cs="TiemposText-Regular"/>
        </w:rPr>
        <w:t xml:space="preserve">After an initial selection weight </w:t>
      </w:r>
      <w:r>
        <w:rPr>
          <w:rFonts w:cs="TiemposText-Regular"/>
        </w:rPr>
        <w:t xml:space="preserve">was </w:t>
      </w:r>
      <w:r w:rsidRPr="00EA3E17">
        <w:rPr>
          <w:rFonts w:cs="TiemposText-Regular"/>
        </w:rPr>
        <w:t xml:space="preserve">calculated, it </w:t>
      </w:r>
      <w:r>
        <w:rPr>
          <w:rFonts w:cs="TiemposText-Regular"/>
        </w:rPr>
        <w:t xml:space="preserve">was </w:t>
      </w:r>
      <w:r w:rsidRPr="00EA3E17">
        <w:rPr>
          <w:rFonts w:cs="TiemposText-Regular"/>
        </w:rPr>
        <w:t xml:space="preserve">adjusted for those who did not complete the module (for any reason). This </w:t>
      </w:r>
      <w:r w:rsidRPr="00234580">
        <w:rPr>
          <w:rFonts w:cs="TiemposText-Regular"/>
        </w:rPr>
        <w:t xml:space="preserve">should </w:t>
      </w:r>
      <w:r>
        <w:rPr>
          <w:rFonts w:cs="TiemposText-Regular"/>
        </w:rPr>
        <w:t xml:space="preserve">have </w:t>
      </w:r>
      <w:r w:rsidRPr="00234580">
        <w:rPr>
          <w:rFonts w:cs="TiemposText-Regular"/>
        </w:rPr>
        <w:t>minimise</w:t>
      </w:r>
      <w:r>
        <w:rPr>
          <w:rFonts w:cs="TiemposText-Regular"/>
        </w:rPr>
        <w:t>d</w:t>
      </w:r>
      <w:r w:rsidRPr="00EA3E17">
        <w:rPr>
          <w:rFonts w:cs="TiemposText-Regular"/>
        </w:rPr>
        <w:t xml:space="preserve"> the impact of any differences in the characteristics of people who did or did not participate in the Sexual and Reproductive Health module. For more detail about the survey methodology, refer to the </w:t>
      </w:r>
      <w:r w:rsidRPr="008D68E9">
        <w:rPr>
          <w:rFonts w:cs="TiemposText-Regular"/>
          <w:i/>
        </w:rPr>
        <w:t xml:space="preserve">Methodology Report 2014/15 </w:t>
      </w:r>
      <w:r w:rsidRPr="00EA3E17">
        <w:t>(Ministry of Health 2015</w:t>
      </w:r>
      <w:r>
        <w:t>b</w:t>
      </w:r>
      <w:r w:rsidRPr="00EA3E17">
        <w:t>)</w:t>
      </w:r>
      <w:r>
        <w:t>.</w:t>
      </w:r>
    </w:p>
    <w:p w14:paraId="461F297D" w14:textId="77777777" w:rsidR="002B7BEC" w:rsidRDefault="002B7BEC" w:rsidP="000A0158"/>
    <w:p w14:paraId="34877322" w14:textId="77777777" w:rsidR="003E74E2" w:rsidRDefault="002B7BEC" w:rsidP="000A0158">
      <w:pPr>
        <w:pStyle w:val="Heading3"/>
      </w:pPr>
      <w:r w:rsidRPr="007D1594">
        <w:t>Additional information</w:t>
      </w:r>
    </w:p>
    <w:p w14:paraId="4B58A735" w14:textId="77777777" w:rsidR="002B7BEC" w:rsidRPr="00ED31D9" w:rsidRDefault="002B7BEC" w:rsidP="000A0158">
      <w:r w:rsidRPr="00ED31D9">
        <w:t>See also the following documents:</w:t>
      </w:r>
    </w:p>
    <w:p w14:paraId="23137D83" w14:textId="77777777" w:rsidR="002B7BEC" w:rsidRPr="007D1594" w:rsidRDefault="002B7BEC" w:rsidP="000A0158">
      <w:pPr>
        <w:pStyle w:val="Bullet"/>
      </w:pPr>
      <w:r>
        <w:rPr>
          <w:i/>
        </w:rPr>
        <w:t xml:space="preserve">The New Zealand Health Survey: </w:t>
      </w:r>
      <w:r w:rsidRPr="008D68E9">
        <w:rPr>
          <w:i/>
        </w:rPr>
        <w:t xml:space="preserve">Sample </w:t>
      </w:r>
      <w:r>
        <w:rPr>
          <w:i/>
        </w:rPr>
        <w:t>d</w:t>
      </w:r>
      <w:r w:rsidRPr="008D68E9">
        <w:rPr>
          <w:i/>
        </w:rPr>
        <w:t>esign years 1</w:t>
      </w:r>
      <w:r>
        <w:rPr>
          <w:i/>
        </w:rPr>
        <w:t>–</w:t>
      </w:r>
      <w:r w:rsidRPr="008D68E9">
        <w:rPr>
          <w:i/>
        </w:rPr>
        <w:t>3 (2011</w:t>
      </w:r>
      <w:r>
        <w:rPr>
          <w:i/>
        </w:rPr>
        <w:t>–</w:t>
      </w:r>
      <w:r w:rsidRPr="008D68E9">
        <w:rPr>
          <w:i/>
        </w:rPr>
        <w:t>2013)</w:t>
      </w:r>
      <w:r w:rsidRPr="007D1594">
        <w:t xml:space="preserve"> </w:t>
      </w:r>
      <w:r>
        <w:t>(Ministry of Health 2011). Note, despite the report title being 2011-13, this sample design was used for the 2014/15 Health Survey</w:t>
      </w:r>
    </w:p>
    <w:p w14:paraId="3DC2DB96" w14:textId="77777777" w:rsidR="002B7BEC" w:rsidRPr="007D1594" w:rsidRDefault="002B7BEC" w:rsidP="000A0158">
      <w:pPr>
        <w:pStyle w:val="Bullet"/>
      </w:pPr>
      <w:r w:rsidRPr="008D68E9">
        <w:rPr>
          <w:i/>
        </w:rPr>
        <w:t>Methodology Report 2014/15: New Zealand Health Survey</w:t>
      </w:r>
      <w:r w:rsidRPr="007D1594">
        <w:t xml:space="preserve"> </w:t>
      </w:r>
      <w:r>
        <w:t>(Ministry of Health 2015b)</w:t>
      </w:r>
    </w:p>
    <w:p w14:paraId="776EF0E4" w14:textId="77777777" w:rsidR="002B7BEC" w:rsidRPr="007D1594" w:rsidRDefault="002B7BEC" w:rsidP="000A0158">
      <w:pPr>
        <w:pStyle w:val="Bullet"/>
      </w:pPr>
      <w:r w:rsidRPr="008D68E9">
        <w:rPr>
          <w:i/>
        </w:rPr>
        <w:t>Content Guide 2014/15: New Zealand Health Survey</w:t>
      </w:r>
      <w:r w:rsidRPr="007D1594">
        <w:t xml:space="preserve"> </w:t>
      </w:r>
      <w:r>
        <w:t>(Ministry of Health 2015a)</w:t>
      </w:r>
    </w:p>
    <w:p w14:paraId="761C4E24" w14:textId="77777777" w:rsidR="002B7BEC" w:rsidRPr="00E16BA9" w:rsidRDefault="002B7BEC" w:rsidP="000A0158">
      <w:pPr>
        <w:pStyle w:val="Bullet"/>
      </w:pPr>
      <w:r w:rsidRPr="00A26AA1">
        <w:t xml:space="preserve">Questionnaires </w:t>
      </w:r>
      <w:r>
        <w:t xml:space="preserve">for the </w:t>
      </w:r>
      <w:r w:rsidRPr="00A26AA1">
        <w:t>New Zealand Health Survey</w:t>
      </w:r>
      <w:r>
        <w:t xml:space="preserve"> 2014/15 (Ministry of Health 2016a; Ministry of Heath 2016b)</w:t>
      </w:r>
    </w:p>
    <w:p w14:paraId="36EEA9E6" w14:textId="77777777" w:rsidR="006B0A88" w:rsidRDefault="002B7BEC" w:rsidP="006B0A88">
      <w:pPr>
        <w:pStyle w:val="Bullet"/>
      </w:pPr>
      <w:r w:rsidRPr="006B0A88">
        <w:rPr>
          <w:i/>
        </w:rPr>
        <w:t>Sexual and Reproductive Health Indicator Interpretation</w:t>
      </w:r>
      <w:r w:rsidRPr="00E16BA9">
        <w:t xml:space="preserve"> </w:t>
      </w:r>
      <w:r w:rsidRPr="006B0A88">
        <w:rPr>
          <w:i/>
        </w:rPr>
        <w:t xml:space="preserve">Guide 2014/15: New Zealand Health Survey </w:t>
      </w:r>
      <w:r w:rsidRPr="00E16BA9">
        <w:t>(Ministry of Health 2019)</w:t>
      </w:r>
      <w:r>
        <w:t>.</w:t>
      </w:r>
      <w:bookmarkStart w:id="59" w:name="_Toc4162007"/>
    </w:p>
    <w:p w14:paraId="7CF8A8E7" w14:textId="77777777" w:rsidR="002B7BEC" w:rsidRPr="00027443" w:rsidRDefault="002B7BEC" w:rsidP="000A0158">
      <w:pPr>
        <w:pStyle w:val="Heading1"/>
      </w:pPr>
      <w:bookmarkStart w:id="60" w:name="_Toc23507662"/>
      <w:r w:rsidRPr="00027443">
        <w:lastRenderedPageBreak/>
        <w:t>References</w:t>
      </w:r>
      <w:bookmarkEnd w:id="50"/>
      <w:bookmarkEnd w:id="51"/>
      <w:bookmarkEnd w:id="59"/>
      <w:bookmarkEnd w:id="60"/>
    </w:p>
    <w:p w14:paraId="6A74A9A4" w14:textId="77777777" w:rsidR="002B7BEC" w:rsidRDefault="002B7BEC" w:rsidP="000A0158">
      <w:pPr>
        <w:pStyle w:val="References"/>
        <w:spacing w:after="120"/>
      </w:pPr>
      <w:r w:rsidRPr="00AE3208">
        <w:t xml:space="preserve">Dickson N, Lee </w:t>
      </w:r>
      <w:r>
        <w:t xml:space="preserve">B, </w:t>
      </w:r>
      <w:r w:rsidRPr="00AE3208">
        <w:t>F</w:t>
      </w:r>
      <w:r>
        <w:t>oster T</w:t>
      </w:r>
      <w:r w:rsidRPr="00AE3208">
        <w:t xml:space="preserve">, </w:t>
      </w:r>
      <w:r>
        <w:t>et al</w:t>
      </w:r>
      <w:r w:rsidRPr="00AE3208">
        <w:t xml:space="preserve">. 2015. The first 30 years of HIV in New Zealand: review of the epidemiology. </w:t>
      </w:r>
      <w:r w:rsidRPr="00B3642E">
        <w:rPr>
          <w:i/>
        </w:rPr>
        <w:t>New Zealand Medical Journal</w:t>
      </w:r>
      <w:r w:rsidRPr="00AE3208">
        <w:t xml:space="preserve"> </w:t>
      </w:r>
      <w:r w:rsidRPr="007E54E5">
        <w:t>128(1426): 31–48</w:t>
      </w:r>
      <w:r>
        <w:t>.</w:t>
      </w:r>
    </w:p>
    <w:p w14:paraId="189CDF02" w14:textId="77777777" w:rsidR="002B7BEC" w:rsidRPr="00AE3208" w:rsidRDefault="002B7BEC" w:rsidP="000A0158">
      <w:pPr>
        <w:pStyle w:val="References"/>
        <w:spacing w:after="120"/>
      </w:pPr>
      <w:r w:rsidRPr="00AE3208">
        <w:t>Dickson</w:t>
      </w:r>
      <w:r>
        <w:t xml:space="preserve"> </w:t>
      </w:r>
      <w:r w:rsidRPr="00AE3208">
        <w:t xml:space="preserve">NP, </w:t>
      </w:r>
      <w:proofErr w:type="spellStart"/>
      <w:r w:rsidRPr="00AE3208">
        <w:t>Righarts</w:t>
      </w:r>
      <w:proofErr w:type="spellEnd"/>
      <w:r w:rsidRPr="00AE3208">
        <w:t xml:space="preserve"> A, van </w:t>
      </w:r>
      <w:proofErr w:type="spellStart"/>
      <w:r w:rsidRPr="00AE3208">
        <w:t>Roode</w:t>
      </w:r>
      <w:proofErr w:type="spellEnd"/>
      <w:r w:rsidRPr="00AE3208">
        <w:t xml:space="preserve"> T, </w:t>
      </w:r>
      <w:r>
        <w:t>et al.</w:t>
      </w:r>
      <w:r w:rsidRPr="00AE3208">
        <w:t xml:space="preserve"> 2016. Do </w:t>
      </w:r>
      <w:r>
        <w:t>r</w:t>
      </w:r>
      <w:r w:rsidRPr="00AE3208">
        <w:t xml:space="preserve">eports of </w:t>
      </w:r>
      <w:r>
        <w:t>a</w:t>
      </w:r>
      <w:r w:rsidRPr="00AE3208">
        <w:t xml:space="preserve">ge and </w:t>
      </w:r>
      <w:r>
        <w:t>c</w:t>
      </w:r>
      <w:r w:rsidRPr="00AE3208">
        <w:t xml:space="preserve">ircumstances of </w:t>
      </w:r>
      <w:r>
        <w:t>f</w:t>
      </w:r>
      <w:r w:rsidRPr="00AE3208">
        <w:t xml:space="preserve">irst </w:t>
      </w:r>
      <w:r>
        <w:t>i</w:t>
      </w:r>
      <w:r w:rsidRPr="00AE3208">
        <w:t xml:space="preserve">ntercourse </w:t>
      </w:r>
      <w:r>
        <w:t>d</w:t>
      </w:r>
      <w:r w:rsidRPr="00AE3208">
        <w:t xml:space="preserve">iffer in a </w:t>
      </w:r>
      <w:r>
        <w:t>b</w:t>
      </w:r>
      <w:r w:rsidRPr="00AE3208">
        <w:t xml:space="preserve">irth </w:t>
      </w:r>
      <w:r>
        <w:t>c</w:t>
      </w:r>
      <w:r w:rsidRPr="00AE3208">
        <w:t xml:space="preserve">ohort </w:t>
      </w:r>
      <w:r>
        <w:t>w</w:t>
      </w:r>
      <w:r w:rsidRPr="00AE3208">
        <w:t xml:space="preserve">hen </w:t>
      </w:r>
      <w:r>
        <w:t>a</w:t>
      </w:r>
      <w:r w:rsidRPr="00AE3208">
        <w:t xml:space="preserve">sked </w:t>
      </w:r>
      <w:r>
        <w:t>s</w:t>
      </w:r>
      <w:r w:rsidRPr="00AE3208">
        <w:t xml:space="preserve">eventeen </w:t>
      </w:r>
      <w:r>
        <w:t>y</w:t>
      </w:r>
      <w:r w:rsidRPr="00AE3208">
        <w:t xml:space="preserve">ears </w:t>
      </w:r>
      <w:r>
        <w:t>a</w:t>
      </w:r>
      <w:r w:rsidRPr="00AE3208">
        <w:t>part?</w:t>
      </w:r>
      <w:r>
        <w:t xml:space="preserve"> </w:t>
      </w:r>
      <w:r w:rsidRPr="00565ED6">
        <w:rPr>
          <w:i/>
        </w:rPr>
        <w:t>Journal of Sex Research</w:t>
      </w:r>
      <w:r w:rsidRPr="00AE3208">
        <w:t xml:space="preserve"> 53(3)</w:t>
      </w:r>
      <w:r>
        <w:t>:</w:t>
      </w:r>
      <w:r w:rsidRPr="00AE3208">
        <w:t xml:space="preserve"> 321</w:t>
      </w:r>
      <w:r>
        <w:t>–</w:t>
      </w:r>
      <w:r w:rsidRPr="00AE3208">
        <w:t>30.</w:t>
      </w:r>
    </w:p>
    <w:p w14:paraId="55240ED1" w14:textId="77777777" w:rsidR="002B7BEC" w:rsidRDefault="002B7BEC" w:rsidP="000A0158">
      <w:pPr>
        <w:pStyle w:val="References"/>
        <w:spacing w:after="120"/>
      </w:pPr>
      <w:r w:rsidRPr="00AE3208">
        <w:t>Fergusson DM, Horwood LJ, Ridder</w:t>
      </w:r>
      <w:r>
        <w:t xml:space="preserve"> </w:t>
      </w:r>
      <w:r w:rsidRPr="00AE3208">
        <w:t xml:space="preserve">EM, </w:t>
      </w:r>
      <w:r>
        <w:t>et al.</w:t>
      </w:r>
      <w:r w:rsidRPr="00AE3208">
        <w:t xml:space="preserve"> 2005. Sexual orientation and mental health in a birth cohort of young adults. </w:t>
      </w:r>
      <w:r w:rsidRPr="00565ED6">
        <w:rPr>
          <w:i/>
        </w:rPr>
        <w:t>Psychological Medicine</w:t>
      </w:r>
      <w:r w:rsidRPr="00AE3208">
        <w:t xml:space="preserve"> 35(7)</w:t>
      </w:r>
      <w:r>
        <w:t>:</w:t>
      </w:r>
      <w:r w:rsidRPr="00AE3208">
        <w:t xml:space="preserve"> 971</w:t>
      </w:r>
      <w:r>
        <w:t>–</w:t>
      </w:r>
      <w:r w:rsidRPr="00AE3208">
        <w:t>81.</w:t>
      </w:r>
    </w:p>
    <w:p w14:paraId="63593F84" w14:textId="77777777" w:rsidR="002B7BEC" w:rsidRPr="00AE3208" w:rsidRDefault="002B7BEC" w:rsidP="000A0158">
      <w:pPr>
        <w:pStyle w:val="References"/>
        <w:spacing w:after="120"/>
      </w:pPr>
      <w:r w:rsidRPr="00AE3208">
        <w:t xml:space="preserve">Gonzales G, </w:t>
      </w:r>
      <w:proofErr w:type="spellStart"/>
      <w:r w:rsidRPr="00AE3208">
        <w:t>Przedworski</w:t>
      </w:r>
      <w:proofErr w:type="spellEnd"/>
      <w:r w:rsidRPr="00AE3208">
        <w:t xml:space="preserve"> J, Henning-Smith C. 2016. Comparison of </w:t>
      </w:r>
      <w:r>
        <w:t>h</w:t>
      </w:r>
      <w:r w:rsidRPr="00AE3208">
        <w:t xml:space="preserve">ealth and </w:t>
      </w:r>
      <w:r>
        <w:t>h</w:t>
      </w:r>
      <w:r w:rsidRPr="00AE3208">
        <w:t xml:space="preserve">ealth </w:t>
      </w:r>
      <w:r>
        <w:t>r</w:t>
      </w:r>
      <w:r w:rsidRPr="00AE3208">
        <w:t xml:space="preserve">isk </w:t>
      </w:r>
      <w:r>
        <w:t>f</w:t>
      </w:r>
      <w:r w:rsidRPr="00AE3208">
        <w:t xml:space="preserve">actors </w:t>
      </w:r>
      <w:r>
        <w:t>b</w:t>
      </w:r>
      <w:r w:rsidRPr="00AE3208">
        <w:t xml:space="preserve">etween </w:t>
      </w:r>
      <w:r>
        <w:t>l</w:t>
      </w:r>
      <w:r w:rsidRPr="00AE3208">
        <w:t xml:space="preserve">esbian, </w:t>
      </w:r>
      <w:r>
        <w:t>g</w:t>
      </w:r>
      <w:r w:rsidRPr="00AE3208">
        <w:t xml:space="preserve">ay, and </w:t>
      </w:r>
      <w:r>
        <w:t>b</w:t>
      </w:r>
      <w:r w:rsidRPr="00AE3208">
        <w:t xml:space="preserve">isexual </w:t>
      </w:r>
      <w:r>
        <w:t>a</w:t>
      </w:r>
      <w:r w:rsidRPr="00AE3208">
        <w:t xml:space="preserve">dults and </w:t>
      </w:r>
      <w:r>
        <w:t>h</w:t>
      </w:r>
      <w:r w:rsidRPr="00AE3208">
        <w:t xml:space="preserve">eterosexual </w:t>
      </w:r>
      <w:r w:rsidR="007F3E11">
        <w:t>a</w:t>
      </w:r>
      <w:r w:rsidR="007F3E11" w:rsidRPr="00AE3208">
        <w:t>dults</w:t>
      </w:r>
      <w:r w:rsidRPr="00AE3208">
        <w:t xml:space="preserve"> in the United States: Results </w:t>
      </w:r>
      <w:proofErr w:type="gramStart"/>
      <w:r w:rsidRPr="00AE3208">
        <w:t>From</w:t>
      </w:r>
      <w:proofErr w:type="gramEnd"/>
      <w:r w:rsidRPr="00AE3208">
        <w:t xml:space="preserve"> the National Health Interview Survey. </w:t>
      </w:r>
      <w:r w:rsidRPr="00565ED6">
        <w:rPr>
          <w:i/>
        </w:rPr>
        <w:t>JAMA Intern</w:t>
      </w:r>
      <w:r>
        <w:rPr>
          <w:i/>
        </w:rPr>
        <w:t>al</w:t>
      </w:r>
      <w:r w:rsidRPr="00565ED6">
        <w:rPr>
          <w:i/>
        </w:rPr>
        <w:t xml:space="preserve"> Med</w:t>
      </w:r>
      <w:r>
        <w:rPr>
          <w:i/>
        </w:rPr>
        <w:t>icine</w:t>
      </w:r>
      <w:r w:rsidRPr="00AE3208">
        <w:t xml:space="preserve"> 176(9)</w:t>
      </w:r>
      <w:r>
        <w:t xml:space="preserve">: </w:t>
      </w:r>
      <w:r w:rsidRPr="008B055B">
        <w:t>1344</w:t>
      </w:r>
      <w:r>
        <w:t>–</w:t>
      </w:r>
      <w:r w:rsidRPr="008B055B">
        <w:t>51</w:t>
      </w:r>
      <w:r w:rsidRPr="00AE3208">
        <w:t>.</w:t>
      </w:r>
    </w:p>
    <w:p w14:paraId="71E691C1" w14:textId="77777777" w:rsidR="002B7BEC" w:rsidRPr="00AE3208" w:rsidRDefault="002B7BEC" w:rsidP="000A0158">
      <w:pPr>
        <w:pStyle w:val="References"/>
        <w:spacing w:after="120"/>
      </w:pPr>
      <w:proofErr w:type="spellStart"/>
      <w:r w:rsidRPr="00AE3208">
        <w:t>Laumann</w:t>
      </w:r>
      <w:proofErr w:type="spellEnd"/>
      <w:r w:rsidRPr="00AE3208">
        <w:t xml:space="preserve"> EO, Gagnon JH, Michael RT</w:t>
      </w:r>
      <w:r>
        <w:t>,</w:t>
      </w:r>
      <w:r w:rsidRPr="00AE3208">
        <w:t xml:space="preserve"> </w:t>
      </w:r>
      <w:r>
        <w:t xml:space="preserve">et al. </w:t>
      </w:r>
      <w:r w:rsidRPr="00AE3208">
        <w:t xml:space="preserve">1994. </w:t>
      </w:r>
      <w:r w:rsidRPr="00565ED6">
        <w:rPr>
          <w:i/>
        </w:rPr>
        <w:t xml:space="preserve">The Social </w:t>
      </w:r>
      <w:r w:rsidR="000A0158">
        <w:rPr>
          <w:i/>
        </w:rPr>
        <w:t>O</w:t>
      </w:r>
      <w:r w:rsidRPr="00565ED6">
        <w:rPr>
          <w:i/>
        </w:rPr>
        <w:t xml:space="preserve">rganization of </w:t>
      </w:r>
      <w:r w:rsidR="000A0158">
        <w:rPr>
          <w:i/>
        </w:rPr>
        <w:t>S</w:t>
      </w:r>
      <w:r w:rsidRPr="00565ED6">
        <w:rPr>
          <w:i/>
        </w:rPr>
        <w:t xml:space="preserve">exuality: Sexual </w:t>
      </w:r>
      <w:r>
        <w:rPr>
          <w:i/>
        </w:rPr>
        <w:t>p</w:t>
      </w:r>
      <w:r w:rsidRPr="00565ED6">
        <w:rPr>
          <w:i/>
        </w:rPr>
        <w:t>ractices in the United States</w:t>
      </w:r>
      <w:r w:rsidRPr="00AE3208">
        <w:t>. Chicago: University of Chicago Press.</w:t>
      </w:r>
    </w:p>
    <w:p w14:paraId="35727B0C" w14:textId="77777777" w:rsidR="002B7BEC" w:rsidRPr="00AE3208" w:rsidRDefault="002B7BEC" w:rsidP="000A0158">
      <w:pPr>
        <w:pStyle w:val="References"/>
        <w:spacing w:after="120"/>
      </w:pPr>
      <w:r w:rsidRPr="00AE3208">
        <w:t xml:space="preserve">Lucassen MFG, Clark TC, </w:t>
      </w:r>
      <w:proofErr w:type="spellStart"/>
      <w:r w:rsidRPr="00AE3208">
        <w:t>Moselen</w:t>
      </w:r>
      <w:proofErr w:type="spellEnd"/>
      <w:r w:rsidRPr="00AE3208">
        <w:t xml:space="preserve"> E, </w:t>
      </w:r>
      <w:r>
        <w:t>et al.</w:t>
      </w:r>
      <w:r w:rsidRPr="00AE3208">
        <w:t xml:space="preserve"> 2014. </w:t>
      </w:r>
      <w:r w:rsidRPr="00565ED6">
        <w:rPr>
          <w:i/>
        </w:rPr>
        <w:t>Youth</w:t>
      </w:r>
      <w:r w:rsidR="003E74E2">
        <w:rPr>
          <w:i/>
        </w:rPr>
        <w:t>’</w:t>
      </w:r>
      <w:r w:rsidRPr="00565ED6">
        <w:rPr>
          <w:i/>
        </w:rPr>
        <w:t xml:space="preserve">12 The Health and </w:t>
      </w:r>
      <w:r w:rsidR="000A0158">
        <w:rPr>
          <w:i/>
        </w:rPr>
        <w:t>W</w:t>
      </w:r>
      <w:r w:rsidRPr="00565ED6">
        <w:rPr>
          <w:i/>
        </w:rPr>
        <w:t xml:space="preserve">ellbeing of </w:t>
      </w:r>
      <w:r w:rsidR="000A0158">
        <w:rPr>
          <w:i/>
        </w:rPr>
        <w:t>S</w:t>
      </w:r>
      <w:r w:rsidRPr="00565ED6">
        <w:rPr>
          <w:i/>
        </w:rPr>
        <w:t xml:space="preserve">econdary </w:t>
      </w:r>
      <w:r w:rsidR="000A0158">
        <w:rPr>
          <w:i/>
        </w:rPr>
        <w:t>S</w:t>
      </w:r>
      <w:r w:rsidRPr="00565ED6">
        <w:rPr>
          <w:i/>
        </w:rPr>
        <w:t xml:space="preserve">chool </w:t>
      </w:r>
      <w:r w:rsidR="000A0158">
        <w:rPr>
          <w:i/>
        </w:rPr>
        <w:t>S</w:t>
      </w:r>
      <w:r w:rsidRPr="00565ED6">
        <w:rPr>
          <w:i/>
        </w:rPr>
        <w:t xml:space="preserve">tudents in New Zealand: Results for </w:t>
      </w:r>
      <w:r>
        <w:rPr>
          <w:i/>
        </w:rPr>
        <w:t>y</w:t>
      </w:r>
      <w:r w:rsidRPr="00565ED6">
        <w:rPr>
          <w:i/>
        </w:rPr>
        <w:t xml:space="preserve">oung </w:t>
      </w:r>
      <w:r>
        <w:rPr>
          <w:i/>
        </w:rPr>
        <w:t>a</w:t>
      </w:r>
      <w:r w:rsidRPr="00565ED6">
        <w:rPr>
          <w:i/>
        </w:rPr>
        <w:t xml:space="preserve">dults </w:t>
      </w:r>
      <w:r>
        <w:rPr>
          <w:i/>
        </w:rPr>
        <w:t>a</w:t>
      </w:r>
      <w:r w:rsidRPr="00565ED6">
        <w:rPr>
          <w:i/>
        </w:rPr>
        <w:t xml:space="preserve">ttracted to the </w:t>
      </w:r>
      <w:r>
        <w:rPr>
          <w:i/>
        </w:rPr>
        <w:t>s</w:t>
      </w:r>
      <w:r w:rsidRPr="00565ED6">
        <w:rPr>
          <w:i/>
        </w:rPr>
        <w:t xml:space="preserve">ame </w:t>
      </w:r>
      <w:r>
        <w:rPr>
          <w:i/>
        </w:rPr>
        <w:t>s</w:t>
      </w:r>
      <w:r w:rsidRPr="00565ED6">
        <w:rPr>
          <w:i/>
        </w:rPr>
        <w:t xml:space="preserve">ex or </w:t>
      </w:r>
      <w:r>
        <w:rPr>
          <w:i/>
        </w:rPr>
        <w:t>b</w:t>
      </w:r>
      <w:r w:rsidRPr="00565ED6">
        <w:rPr>
          <w:i/>
        </w:rPr>
        <w:t xml:space="preserve">oth </w:t>
      </w:r>
      <w:r>
        <w:rPr>
          <w:i/>
        </w:rPr>
        <w:t>s</w:t>
      </w:r>
      <w:r w:rsidRPr="00565ED6">
        <w:rPr>
          <w:i/>
        </w:rPr>
        <w:t>exes</w:t>
      </w:r>
      <w:r w:rsidRPr="00AE3208">
        <w:t>. Auckland: University of Auckland</w:t>
      </w:r>
      <w:r>
        <w:t>.</w:t>
      </w:r>
    </w:p>
    <w:p w14:paraId="03E73E6D" w14:textId="77777777" w:rsidR="003E74E2" w:rsidRDefault="002B7BEC" w:rsidP="000A0158">
      <w:pPr>
        <w:pStyle w:val="References"/>
        <w:spacing w:after="120"/>
      </w:pPr>
      <w:r w:rsidRPr="00AE3208">
        <w:t xml:space="preserve">Ministry of Health. 2011. </w:t>
      </w:r>
      <w:r w:rsidRPr="00565ED6">
        <w:rPr>
          <w:i/>
        </w:rPr>
        <w:t>The New Zealand Health Survey: Sample design, years 1–3 (2011–2013)</w:t>
      </w:r>
      <w:r w:rsidRPr="00AE3208">
        <w:t>. Wellington: Ministry of Health.</w:t>
      </w:r>
    </w:p>
    <w:p w14:paraId="59527E83" w14:textId="77777777" w:rsidR="002B7BEC" w:rsidRDefault="002B7BEC" w:rsidP="000A0158">
      <w:pPr>
        <w:pStyle w:val="References"/>
        <w:spacing w:after="120"/>
      </w:pPr>
      <w:r w:rsidRPr="00AE3208">
        <w:t xml:space="preserve">Ministry of Health. </w:t>
      </w:r>
      <w:r w:rsidRPr="007E54E5">
        <w:t>2015a.</w:t>
      </w:r>
      <w:r w:rsidRPr="00AE3208">
        <w:t xml:space="preserve"> </w:t>
      </w:r>
      <w:r w:rsidRPr="00565ED6">
        <w:rPr>
          <w:i/>
        </w:rPr>
        <w:t xml:space="preserve">Content </w:t>
      </w:r>
      <w:r w:rsidR="000A0158">
        <w:rPr>
          <w:i/>
        </w:rPr>
        <w:t>G</w:t>
      </w:r>
      <w:r w:rsidRPr="00565ED6">
        <w:rPr>
          <w:i/>
        </w:rPr>
        <w:t>uide 2014/15: New Zealand Health Survey</w:t>
      </w:r>
      <w:r w:rsidRPr="00AE3208">
        <w:t>. Wellington: Ministry of Health.</w:t>
      </w:r>
    </w:p>
    <w:p w14:paraId="4CCC5A28" w14:textId="77777777" w:rsidR="003E74E2" w:rsidRDefault="002B7BEC" w:rsidP="000A0158">
      <w:pPr>
        <w:pStyle w:val="References"/>
        <w:spacing w:after="120"/>
      </w:pPr>
      <w:r w:rsidRPr="00AE3208">
        <w:t xml:space="preserve">Ministry of Health. </w:t>
      </w:r>
      <w:r w:rsidRPr="007E54E5">
        <w:t>2015b.</w:t>
      </w:r>
      <w:r w:rsidRPr="00AE3208">
        <w:t xml:space="preserve"> </w:t>
      </w:r>
      <w:r w:rsidRPr="00565ED6">
        <w:rPr>
          <w:i/>
        </w:rPr>
        <w:t xml:space="preserve">Methodology </w:t>
      </w:r>
      <w:r w:rsidR="000A0158">
        <w:rPr>
          <w:i/>
        </w:rPr>
        <w:t>R</w:t>
      </w:r>
      <w:r w:rsidRPr="00565ED6">
        <w:rPr>
          <w:i/>
        </w:rPr>
        <w:t>eport 2014/15: New Zealand Health Survey</w:t>
      </w:r>
      <w:r w:rsidRPr="00AE3208">
        <w:t>. Wellington: Ministry of Health.</w:t>
      </w:r>
    </w:p>
    <w:p w14:paraId="56AB7FF4" w14:textId="77777777" w:rsidR="002B7BEC" w:rsidRPr="007E54E5" w:rsidRDefault="002B7BEC" w:rsidP="000A0158">
      <w:pPr>
        <w:pStyle w:val="References"/>
        <w:spacing w:after="120"/>
      </w:pPr>
      <w:r w:rsidRPr="007E54E5">
        <w:t xml:space="preserve">Ministry of Health. 2016a. </w:t>
      </w:r>
      <w:r w:rsidRPr="007E54E5">
        <w:rPr>
          <w:i/>
        </w:rPr>
        <w:t xml:space="preserve">Adult </w:t>
      </w:r>
      <w:r w:rsidR="000A0158">
        <w:rPr>
          <w:i/>
        </w:rPr>
        <w:t>S</w:t>
      </w:r>
      <w:r w:rsidRPr="007E54E5">
        <w:rPr>
          <w:i/>
        </w:rPr>
        <w:t xml:space="preserve">exual </w:t>
      </w:r>
      <w:r w:rsidR="000A0158">
        <w:rPr>
          <w:i/>
        </w:rPr>
        <w:t>R</w:t>
      </w:r>
      <w:r w:rsidRPr="007E54E5">
        <w:rPr>
          <w:i/>
        </w:rPr>
        <w:t xml:space="preserve">eproductive </w:t>
      </w:r>
      <w:r w:rsidR="000A0158">
        <w:rPr>
          <w:i/>
        </w:rPr>
        <w:t>H</w:t>
      </w:r>
      <w:r w:rsidRPr="007E54E5">
        <w:rPr>
          <w:i/>
        </w:rPr>
        <w:t xml:space="preserve">ealth </w:t>
      </w:r>
      <w:r w:rsidR="000A0158">
        <w:rPr>
          <w:i/>
        </w:rPr>
        <w:t>M</w:t>
      </w:r>
      <w:r w:rsidRPr="007E54E5">
        <w:rPr>
          <w:i/>
        </w:rPr>
        <w:t>odule (Year 4)</w:t>
      </w:r>
      <w:r w:rsidRPr="007E54E5">
        <w:t>. Wellington: Ministry of Health.</w:t>
      </w:r>
    </w:p>
    <w:p w14:paraId="0C58A22A" w14:textId="77777777" w:rsidR="002B7BEC" w:rsidRPr="007E54E5" w:rsidRDefault="002B7BEC" w:rsidP="000A0158">
      <w:pPr>
        <w:pStyle w:val="References"/>
        <w:spacing w:after="120"/>
      </w:pPr>
      <w:r w:rsidRPr="007E54E5">
        <w:t xml:space="preserve">Ministry of Health. 2016b. </w:t>
      </w:r>
      <w:r w:rsidRPr="007E54E5">
        <w:rPr>
          <w:i/>
        </w:rPr>
        <w:t xml:space="preserve">New Zealand Health Survey </w:t>
      </w:r>
      <w:r w:rsidR="000A0158">
        <w:rPr>
          <w:i/>
        </w:rPr>
        <w:t>A</w:t>
      </w:r>
      <w:r w:rsidRPr="007E54E5">
        <w:rPr>
          <w:i/>
        </w:rPr>
        <w:t xml:space="preserve">dult </w:t>
      </w:r>
      <w:r w:rsidR="000A0158">
        <w:rPr>
          <w:i/>
        </w:rPr>
        <w:t>Q</w:t>
      </w:r>
      <w:r w:rsidRPr="007E54E5">
        <w:rPr>
          <w:i/>
        </w:rPr>
        <w:t>uestionnaire (Year 4)</w:t>
      </w:r>
      <w:r w:rsidRPr="007E54E5">
        <w:t>. Wellington: Ministry of Health.</w:t>
      </w:r>
    </w:p>
    <w:p w14:paraId="3F51D5A9" w14:textId="77777777" w:rsidR="002B7BEC" w:rsidRPr="00AE3208" w:rsidRDefault="002B7BEC" w:rsidP="000A0158">
      <w:pPr>
        <w:pStyle w:val="References"/>
        <w:spacing w:after="120"/>
      </w:pPr>
      <w:r w:rsidRPr="00AE3208">
        <w:t>Minis</w:t>
      </w:r>
      <w:r w:rsidRPr="006C2F96">
        <w:t>try</w:t>
      </w:r>
      <w:r w:rsidRPr="00AE3208">
        <w:t xml:space="preserve"> of Health. 2018. </w:t>
      </w:r>
      <w:r w:rsidRPr="00565ED6">
        <w:rPr>
          <w:i/>
        </w:rPr>
        <w:t xml:space="preserve">Achieving </w:t>
      </w:r>
      <w:r w:rsidR="000A0158">
        <w:rPr>
          <w:i/>
        </w:rPr>
        <w:t>E</w:t>
      </w:r>
      <w:r w:rsidRPr="00565ED6">
        <w:rPr>
          <w:i/>
        </w:rPr>
        <w:t xml:space="preserve">quity in </w:t>
      </w:r>
      <w:r w:rsidR="000A0158">
        <w:rPr>
          <w:i/>
        </w:rPr>
        <w:t>H</w:t>
      </w:r>
      <w:r w:rsidRPr="00565ED6">
        <w:rPr>
          <w:i/>
        </w:rPr>
        <w:t xml:space="preserve">ealth </w:t>
      </w:r>
      <w:r w:rsidR="000A0158">
        <w:rPr>
          <w:i/>
        </w:rPr>
        <w:t>O</w:t>
      </w:r>
      <w:r w:rsidRPr="00565ED6">
        <w:rPr>
          <w:i/>
        </w:rPr>
        <w:t>utcomes: Highlights of important national and international papers</w:t>
      </w:r>
      <w:r w:rsidRPr="00AE3208">
        <w:t>. Wellington: Ministry of Health.</w:t>
      </w:r>
    </w:p>
    <w:p w14:paraId="417E9B45" w14:textId="77777777" w:rsidR="002B7BEC" w:rsidRPr="00AE3208" w:rsidRDefault="002B7BEC" w:rsidP="000A0158">
      <w:pPr>
        <w:pStyle w:val="References"/>
        <w:spacing w:after="120"/>
      </w:pPr>
      <w:r w:rsidRPr="00AE3208">
        <w:t xml:space="preserve">Ministry of Health. 2019. </w:t>
      </w:r>
      <w:r w:rsidRPr="00565ED6">
        <w:rPr>
          <w:i/>
        </w:rPr>
        <w:t xml:space="preserve">Sexual and </w:t>
      </w:r>
      <w:r w:rsidR="000A0158">
        <w:rPr>
          <w:i/>
        </w:rPr>
        <w:t>R</w:t>
      </w:r>
      <w:r w:rsidRPr="00565ED6">
        <w:rPr>
          <w:i/>
        </w:rPr>
        <w:t xml:space="preserve">eproductive </w:t>
      </w:r>
      <w:r w:rsidR="000A0158">
        <w:rPr>
          <w:i/>
        </w:rPr>
        <w:t>H</w:t>
      </w:r>
      <w:r w:rsidRPr="00565ED6">
        <w:rPr>
          <w:i/>
        </w:rPr>
        <w:t xml:space="preserve">ealth </w:t>
      </w:r>
      <w:r w:rsidR="000A0158">
        <w:rPr>
          <w:i/>
        </w:rPr>
        <w:t>I</w:t>
      </w:r>
      <w:r w:rsidRPr="00565ED6">
        <w:rPr>
          <w:i/>
        </w:rPr>
        <w:t xml:space="preserve">ndicator </w:t>
      </w:r>
      <w:r w:rsidR="000A0158">
        <w:rPr>
          <w:i/>
        </w:rPr>
        <w:t>I</w:t>
      </w:r>
      <w:r w:rsidRPr="00565ED6">
        <w:rPr>
          <w:i/>
        </w:rPr>
        <w:t xml:space="preserve">nterpretation </w:t>
      </w:r>
      <w:r w:rsidR="000A0158">
        <w:rPr>
          <w:i/>
        </w:rPr>
        <w:t>G</w:t>
      </w:r>
      <w:r w:rsidRPr="00565ED6">
        <w:rPr>
          <w:i/>
        </w:rPr>
        <w:t>uide 2014/15: New Zealand Health Survey</w:t>
      </w:r>
      <w:r w:rsidRPr="00AE3208">
        <w:t>. Wellington: Ministry of Health.</w:t>
      </w:r>
    </w:p>
    <w:p w14:paraId="31178EF8" w14:textId="77777777" w:rsidR="002B7BEC" w:rsidRDefault="002B7BEC" w:rsidP="000A0158">
      <w:pPr>
        <w:pStyle w:val="References"/>
        <w:spacing w:after="120"/>
      </w:pPr>
      <w:r w:rsidRPr="00AE3208">
        <w:t xml:space="preserve">Priebe G, </w:t>
      </w:r>
      <w:proofErr w:type="spellStart"/>
      <w:r w:rsidRPr="00AE3208">
        <w:t>Svedin</w:t>
      </w:r>
      <w:proofErr w:type="spellEnd"/>
      <w:r w:rsidRPr="00AE3208">
        <w:t xml:space="preserve"> CG. 2013. Operationalization of three dimensions of sexual orientation in a national survey of late adolescents. </w:t>
      </w:r>
      <w:r w:rsidRPr="00565ED6">
        <w:rPr>
          <w:i/>
        </w:rPr>
        <w:t xml:space="preserve">Journal of </w:t>
      </w:r>
      <w:r>
        <w:rPr>
          <w:i/>
        </w:rPr>
        <w:t>S</w:t>
      </w:r>
      <w:r w:rsidRPr="00565ED6">
        <w:rPr>
          <w:i/>
        </w:rPr>
        <w:t>ex</w:t>
      </w:r>
      <w:r>
        <w:rPr>
          <w:i/>
        </w:rPr>
        <w:t xml:space="preserve"> R</w:t>
      </w:r>
      <w:r w:rsidRPr="00565ED6">
        <w:rPr>
          <w:i/>
        </w:rPr>
        <w:t>esearch</w:t>
      </w:r>
      <w:r w:rsidRPr="00AE3208">
        <w:t xml:space="preserve"> 50(8)</w:t>
      </w:r>
      <w:r>
        <w:t>:</w:t>
      </w:r>
      <w:r w:rsidRPr="00AE3208">
        <w:t xml:space="preserve"> 727</w:t>
      </w:r>
      <w:r>
        <w:t>–</w:t>
      </w:r>
      <w:r w:rsidRPr="00AE3208">
        <w:t>38.</w:t>
      </w:r>
    </w:p>
    <w:p w14:paraId="6FD47EF5" w14:textId="77777777" w:rsidR="002B7BEC" w:rsidRPr="00AE3208" w:rsidRDefault="002B7BEC" w:rsidP="000A0158">
      <w:pPr>
        <w:pStyle w:val="References"/>
        <w:spacing w:after="120"/>
      </w:pPr>
      <w:proofErr w:type="spellStart"/>
      <w:r w:rsidRPr="00AE3208">
        <w:t>Psutka</w:t>
      </w:r>
      <w:proofErr w:type="spellEnd"/>
      <w:r w:rsidRPr="00AE3208">
        <w:t xml:space="preserve"> R, Dickson N, Azariah S, </w:t>
      </w:r>
      <w:r>
        <w:t xml:space="preserve">et al. </w:t>
      </w:r>
      <w:r w:rsidRPr="00AE3208">
        <w:t xml:space="preserve">2013. Enhanced surveillance of infectious syphilis in New Zealand sexual health clinics. </w:t>
      </w:r>
      <w:r w:rsidRPr="00565ED6">
        <w:rPr>
          <w:i/>
        </w:rPr>
        <w:t>International Journal of STD &amp; AIDS</w:t>
      </w:r>
      <w:r>
        <w:t xml:space="preserve"> </w:t>
      </w:r>
      <w:r w:rsidRPr="00AE3208">
        <w:t>24(10)</w:t>
      </w:r>
      <w:r>
        <w:t>:</w:t>
      </w:r>
      <w:r w:rsidRPr="00AE3208">
        <w:t xml:space="preserve"> 791</w:t>
      </w:r>
      <w:r>
        <w:t>–</w:t>
      </w:r>
      <w:r w:rsidRPr="00AE3208">
        <w:t>8.</w:t>
      </w:r>
    </w:p>
    <w:p w14:paraId="4617660E" w14:textId="77777777" w:rsidR="002B7BEC" w:rsidRDefault="002B7BEC" w:rsidP="000A0158">
      <w:pPr>
        <w:pStyle w:val="References"/>
        <w:spacing w:after="120"/>
      </w:pPr>
      <w:proofErr w:type="spellStart"/>
      <w:r w:rsidRPr="00AE3208">
        <w:t>Skegg</w:t>
      </w:r>
      <w:proofErr w:type="spellEnd"/>
      <w:r w:rsidRPr="00AE3208">
        <w:t xml:space="preserve"> K, Nada-Raja S, Dickson, N, </w:t>
      </w:r>
      <w:r>
        <w:t>et al.</w:t>
      </w:r>
      <w:r w:rsidRPr="00AE3208">
        <w:t xml:space="preserve"> 2003. Sexual orientation and self-harm in men and women. </w:t>
      </w:r>
      <w:r w:rsidRPr="00565ED6">
        <w:rPr>
          <w:i/>
        </w:rPr>
        <w:t>American Journal of Psychiatry</w:t>
      </w:r>
      <w:r w:rsidRPr="00AE3208">
        <w:t xml:space="preserve"> 160(3)</w:t>
      </w:r>
      <w:r>
        <w:t>:</w:t>
      </w:r>
      <w:r w:rsidRPr="00AE3208">
        <w:t xml:space="preserve"> 541</w:t>
      </w:r>
      <w:r>
        <w:t>–</w:t>
      </w:r>
      <w:r w:rsidRPr="00AE3208">
        <w:t>6.</w:t>
      </w:r>
    </w:p>
    <w:p w14:paraId="0AB2F40A" w14:textId="77777777" w:rsidR="003E74E2" w:rsidRDefault="002B7BEC" w:rsidP="000A0158">
      <w:pPr>
        <w:pStyle w:val="References"/>
        <w:spacing w:after="120"/>
      </w:pPr>
      <w:r w:rsidRPr="00AE3208">
        <w:t>Stat</w:t>
      </w:r>
      <w:r>
        <w:t>istic</w:t>
      </w:r>
      <w:r w:rsidRPr="00AE3208">
        <w:t>s N</w:t>
      </w:r>
      <w:r>
        <w:t xml:space="preserve">ew </w:t>
      </w:r>
      <w:r w:rsidRPr="00AE3208">
        <w:t>Z</w:t>
      </w:r>
      <w:r>
        <w:t xml:space="preserve">ealand. 2015. </w:t>
      </w:r>
      <w:r w:rsidRPr="0000328B">
        <w:rPr>
          <w:i/>
        </w:rPr>
        <w:t xml:space="preserve">Statistical </w:t>
      </w:r>
      <w:r w:rsidR="000A0158">
        <w:rPr>
          <w:i/>
        </w:rPr>
        <w:t>S</w:t>
      </w:r>
      <w:r w:rsidRPr="0000328B">
        <w:rPr>
          <w:i/>
        </w:rPr>
        <w:t xml:space="preserve">tandard for </w:t>
      </w:r>
      <w:r w:rsidR="000A0158">
        <w:rPr>
          <w:i/>
        </w:rPr>
        <w:t>G</w:t>
      </w:r>
      <w:r w:rsidRPr="0000328B">
        <w:rPr>
          <w:i/>
        </w:rPr>
        <w:t xml:space="preserve">ender </w:t>
      </w:r>
      <w:r w:rsidR="000A0158">
        <w:rPr>
          <w:i/>
        </w:rPr>
        <w:t>I</w:t>
      </w:r>
      <w:r w:rsidRPr="0000328B">
        <w:rPr>
          <w:i/>
        </w:rPr>
        <w:t>dentity</w:t>
      </w:r>
      <w:r w:rsidRPr="00AE3208">
        <w:t xml:space="preserve">. </w:t>
      </w:r>
      <w:r>
        <w:t>Wellington: Statistics New Zealand.</w:t>
      </w:r>
    </w:p>
    <w:sectPr w:rsidR="003E74E2" w:rsidSect="002B7BEC">
      <w:footerReference w:type="even" r:id="rId28"/>
      <w:footerReference w:type="default" r:id="rId29"/>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A5A07" w14:textId="77777777" w:rsidR="00DD3C8F" w:rsidRDefault="00DD3C8F">
      <w:r>
        <w:separator/>
      </w:r>
    </w:p>
    <w:p w14:paraId="16DCAD24" w14:textId="77777777" w:rsidR="00DD3C8F" w:rsidRDefault="00DD3C8F"/>
  </w:endnote>
  <w:endnote w:type="continuationSeparator" w:id="0">
    <w:p w14:paraId="12D71F89" w14:textId="77777777" w:rsidR="00DD3C8F" w:rsidRDefault="00DD3C8F">
      <w:r>
        <w:continuationSeparator/>
      </w:r>
    </w:p>
    <w:p w14:paraId="61E18DAE" w14:textId="77777777" w:rsidR="00DD3C8F" w:rsidRDefault="00DD3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TiemposText-Regular">
    <w:altName w:val="Tiempos Text 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1FBC" w14:textId="77777777" w:rsidR="00DD3C8F" w:rsidRPr="00581136" w:rsidRDefault="00DD3C8F"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5F083C66" w14:textId="77777777" w:rsidR="00DD3C8F" w:rsidRPr="005A79E5" w:rsidRDefault="00DD3C8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7EF2" w14:textId="77777777" w:rsidR="00DD3C8F" w:rsidRDefault="00DD3C8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148B" w14:textId="77777777" w:rsidR="00DD3C8F" w:rsidRDefault="00DD3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D3C8F" w14:paraId="1C819E72" w14:textId="77777777" w:rsidTr="00D662F8">
      <w:trPr>
        <w:cantSplit/>
      </w:trPr>
      <w:tc>
        <w:tcPr>
          <w:tcW w:w="709" w:type="dxa"/>
          <w:vAlign w:val="center"/>
        </w:tcPr>
        <w:p w14:paraId="2170B85A" w14:textId="77777777" w:rsidR="00DD3C8F" w:rsidRPr="00931466" w:rsidRDefault="00DD3C8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C5D25D7" w14:textId="77777777" w:rsidR="00DD3C8F" w:rsidRDefault="00DD3C8F" w:rsidP="00926083">
          <w:pPr>
            <w:pStyle w:val="RectoFooter"/>
            <w:jc w:val="left"/>
          </w:pPr>
          <w:r>
            <w:t>[INSERT TITLE]</w:t>
          </w:r>
        </w:p>
      </w:tc>
    </w:tr>
  </w:tbl>
  <w:p w14:paraId="33A84046" w14:textId="77777777" w:rsidR="00DD3C8F" w:rsidRPr="00571223" w:rsidRDefault="00DD3C8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D3C8F" w14:paraId="27C38072" w14:textId="77777777" w:rsidTr="00D662F8">
      <w:trPr>
        <w:cantSplit/>
      </w:trPr>
      <w:tc>
        <w:tcPr>
          <w:tcW w:w="8080" w:type="dxa"/>
          <w:vAlign w:val="center"/>
        </w:tcPr>
        <w:p w14:paraId="6F6BA885" w14:textId="77777777" w:rsidR="00DD3C8F" w:rsidRDefault="00DD3C8F" w:rsidP="00926083">
          <w:pPr>
            <w:pStyle w:val="RectoFooter"/>
          </w:pPr>
          <w:r>
            <w:t>SEXUAL ORIENTATION: FINDINGS FROM THE 2014/15 NEW ZEALAND HEALTH SURVEY</w:t>
          </w:r>
        </w:p>
      </w:tc>
      <w:tc>
        <w:tcPr>
          <w:tcW w:w="709" w:type="dxa"/>
          <w:vAlign w:val="center"/>
        </w:tcPr>
        <w:p w14:paraId="102CF519" w14:textId="77777777" w:rsidR="00DD3C8F" w:rsidRPr="00931466" w:rsidRDefault="00DD3C8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12237061" w14:textId="77777777" w:rsidR="00DD3C8F" w:rsidRPr="00581EB8" w:rsidRDefault="00DD3C8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1844" w14:textId="77777777" w:rsidR="00DD3C8F" w:rsidRPr="00571223" w:rsidRDefault="00DD3C8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D3C8F" w14:paraId="78F061CC" w14:textId="77777777" w:rsidTr="00D662F8">
      <w:trPr>
        <w:cantSplit/>
      </w:trPr>
      <w:tc>
        <w:tcPr>
          <w:tcW w:w="675" w:type="dxa"/>
          <w:vAlign w:val="center"/>
        </w:tcPr>
        <w:p w14:paraId="3511E860" w14:textId="77777777" w:rsidR="00DD3C8F" w:rsidRPr="00931466" w:rsidRDefault="00DD3C8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0B0C7BA7" w14:textId="77777777" w:rsidR="00DD3C8F" w:rsidRDefault="00DD3C8F" w:rsidP="008814E8">
          <w:pPr>
            <w:pStyle w:val="RectoFooter"/>
            <w:jc w:val="left"/>
          </w:pPr>
          <w:r>
            <w:t>SEXUAL ORIENTATION: FINDINGS FROM THE 2014/15 NEW ZEALAND HEALTH SURVEY</w:t>
          </w:r>
        </w:p>
      </w:tc>
    </w:tr>
  </w:tbl>
  <w:p w14:paraId="38E4CECA" w14:textId="77777777" w:rsidR="00DD3C8F" w:rsidRPr="00571223" w:rsidRDefault="00DD3C8F"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D3C8F" w14:paraId="0624DB6E" w14:textId="77777777" w:rsidTr="00D05AD2">
      <w:trPr>
        <w:cantSplit/>
      </w:trPr>
      <w:tc>
        <w:tcPr>
          <w:tcW w:w="8080" w:type="dxa"/>
          <w:vAlign w:val="center"/>
        </w:tcPr>
        <w:p w14:paraId="274C7D74" w14:textId="77777777" w:rsidR="00DD3C8F" w:rsidRDefault="00DD3C8F" w:rsidP="002575E8">
          <w:pPr>
            <w:pStyle w:val="RectoFooter"/>
          </w:pPr>
          <w:r>
            <w:t>SEXUAL ORIENTATION: FINDINGS FROM THE 2014/15 NEW ZEALAND HEALTH SURVEY</w:t>
          </w:r>
        </w:p>
      </w:tc>
      <w:tc>
        <w:tcPr>
          <w:tcW w:w="709" w:type="dxa"/>
          <w:vAlign w:val="center"/>
        </w:tcPr>
        <w:p w14:paraId="3C7596BE" w14:textId="77777777" w:rsidR="00DD3C8F" w:rsidRPr="00931466" w:rsidRDefault="00DD3C8F" w:rsidP="00D05AD2">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14:paraId="4F02CDB9" w14:textId="77777777" w:rsidR="00DD3C8F" w:rsidRPr="00581EB8" w:rsidRDefault="00DD3C8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2C031" w14:textId="77777777" w:rsidR="00DD3C8F" w:rsidRPr="00A26E6B" w:rsidRDefault="00DD3C8F" w:rsidP="00A26E6B"/>
  </w:footnote>
  <w:footnote w:type="continuationSeparator" w:id="0">
    <w:p w14:paraId="54438C85" w14:textId="77777777" w:rsidR="00DD3C8F" w:rsidRDefault="00DD3C8F">
      <w:r>
        <w:continuationSeparator/>
      </w:r>
    </w:p>
    <w:p w14:paraId="3E72A2F5" w14:textId="77777777" w:rsidR="00DD3C8F" w:rsidRDefault="00DD3C8F"/>
  </w:footnote>
  <w:footnote w:id="1">
    <w:p w14:paraId="266C28E9" w14:textId="77777777" w:rsidR="00DD3C8F" w:rsidRDefault="00DD3C8F" w:rsidP="002B7BEC">
      <w:pPr>
        <w:pStyle w:val="FootnoteText"/>
      </w:pPr>
      <w:r w:rsidRPr="002B7BEC">
        <w:rPr>
          <w:rStyle w:val="FootnoteReference"/>
          <w:rFonts w:eastAsia="MS Gothic"/>
        </w:rPr>
        <w:footnoteRef/>
      </w:r>
      <w:r>
        <w:tab/>
        <w:t>Rainbow is an inclusive term used to refer to anyone with a diverse sex, gender identity or sexual orientation.</w:t>
      </w:r>
    </w:p>
  </w:footnote>
  <w:footnote w:id="2">
    <w:p w14:paraId="1E6A279F" w14:textId="77777777" w:rsidR="00DD3C8F" w:rsidRDefault="00DD3C8F">
      <w:pPr>
        <w:pStyle w:val="FootnoteText"/>
      </w:pPr>
      <w:r>
        <w:rPr>
          <w:rStyle w:val="FootnoteReference"/>
        </w:rPr>
        <w:footnoteRef/>
      </w:r>
      <w:r>
        <w:tab/>
      </w:r>
      <w:r w:rsidRPr="00634003">
        <w:t xml:space="preserve">The </w:t>
      </w:r>
      <w:r>
        <w:rPr>
          <w:lang w:val="en"/>
        </w:rPr>
        <w:t xml:space="preserve">‘other’ category includes adults who did not see themselves as fitting into the heterosexual or straight, bisexual, gay or lesbian categories, such as </w:t>
      </w:r>
      <w:r w:rsidRPr="007A4FCA">
        <w:rPr>
          <w:lang w:val="en"/>
        </w:rPr>
        <w:t>takatāpu</w:t>
      </w:r>
      <w:r>
        <w:rPr>
          <w:lang w:val="en"/>
        </w:rPr>
        <w:t>i.</w:t>
      </w:r>
    </w:p>
  </w:footnote>
  <w:footnote w:id="3">
    <w:p w14:paraId="697EC258" w14:textId="77777777" w:rsidR="00DD3C8F" w:rsidRDefault="00DD3C8F" w:rsidP="00634003">
      <w:pPr>
        <w:pStyle w:val="FootnoteText"/>
      </w:pPr>
      <w:r w:rsidRPr="00634003">
        <w:rPr>
          <w:rStyle w:val="FootnoteReference"/>
          <w:rFonts w:eastAsia="MS Gothic"/>
        </w:rPr>
        <w:footnoteRef/>
      </w:r>
      <w:r>
        <w:tab/>
        <w:t>‘Sex’ and ‘gender’ are related but different concepts (Statistics New Zealand 2015).</w:t>
      </w:r>
    </w:p>
  </w:footnote>
  <w:footnote w:id="4">
    <w:p w14:paraId="3EF2A407" w14:textId="77777777" w:rsidR="00DD3C8F" w:rsidRDefault="00DD3C8F" w:rsidP="00F807AD">
      <w:pPr>
        <w:pStyle w:val="FootnoteText"/>
      </w:pPr>
      <w:r w:rsidRPr="00F807AD">
        <w:rPr>
          <w:rStyle w:val="FootnoteReference"/>
          <w:rFonts w:eastAsia="MS Gothic"/>
        </w:rPr>
        <w:footnoteRef/>
      </w:r>
      <w:r>
        <w:tab/>
        <w:t>‘Sex’ and ‘gender’ are related but different concepts (Statistics New Zealand 2015).</w:t>
      </w:r>
    </w:p>
  </w:footnote>
  <w:footnote w:id="5">
    <w:p w14:paraId="7D8B7642" w14:textId="77777777" w:rsidR="00DD3C8F" w:rsidRDefault="00DD3C8F" w:rsidP="000A0158">
      <w:pPr>
        <w:pStyle w:val="FootnoteText"/>
      </w:pPr>
      <w:r w:rsidRPr="000A0158">
        <w:rPr>
          <w:rStyle w:val="FootnoteReference"/>
          <w:rFonts w:eastAsia="MS Gothic"/>
        </w:rPr>
        <w:footnoteRef/>
      </w:r>
      <w:r>
        <w:tab/>
        <w:t>‘Sex’ and ‘gender’ are related but different concepts (Statistics New Zealand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DD3C8F" w14:paraId="68050724" w14:textId="77777777" w:rsidTr="005A79E5">
      <w:trPr>
        <w:cantSplit/>
      </w:trPr>
      <w:tc>
        <w:tcPr>
          <w:tcW w:w="5210" w:type="dxa"/>
        </w:tcPr>
        <w:p w14:paraId="52BF64D1" w14:textId="77777777" w:rsidR="00DD3C8F" w:rsidRDefault="00DD3C8F" w:rsidP="008814E8">
          <w:pPr>
            <w:pStyle w:val="Header"/>
          </w:pPr>
          <w:r>
            <w:rPr>
              <w:noProof/>
              <w:lang w:eastAsia="en-NZ"/>
            </w:rPr>
            <w:drawing>
              <wp:inline distT="0" distB="0" distL="0" distR="0" wp14:anchorId="5D225D27" wp14:editId="52B3C395">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38B749B" w14:textId="77777777" w:rsidR="00DD3C8F" w:rsidRDefault="00DD3C8F" w:rsidP="008814E8">
          <w:pPr>
            <w:pStyle w:val="Header"/>
            <w:jc w:val="right"/>
          </w:pPr>
          <w:r>
            <w:rPr>
              <w:noProof/>
              <w:lang w:eastAsia="en-NZ"/>
            </w:rPr>
            <w:drawing>
              <wp:inline distT="0" distB="0" distL="0" distR="0" wp14:anchorId="185DD39C" wp14:editId="3295344B">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3EFF00F" w14:textId="77777777" w:rsidR="00DD3C8F" w:rsidRDefault="00DD3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0268" w14:textId="77777777" w:rsidR="00DD3C8F" w:rsidRDefault="00DD3C8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91AD" w14:textId="77777777" w:rsidR="00DD3C8F" w:rsidRDefault="00DD3C8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CE"/>
    <w:multiLevelType w:val="hybridMultilevel"/>
    <w:tmpl w:val="E32A4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C05C9"/>
    <w:multiLevelType w:val="hybridMultilevel"/>
    <w:tmpl w:val="025017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01EB3954"/>
    <w:multiLevelType w:val="hybridMultilevel"/>
    <w:tmpl w:val="28827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F81E56"/>
    <w:multiLevelType w:val="hybridMultilevel"/>
    <w:tmpl w:val="05C6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613D6E"/>
    <w:multiLevelType w:val="hybridMultilevel"/>
    <w:tmpl w:val="EB6E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3728A6"/>
    <w:multiLevelType w:val="hybridMultilevel"/>
    <w:tmpl w:val="3E360B72"/>
    <w:lvl w:ilvl="0" w:tplc="08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 w15:restartNumberingAfterBreak="0">
    <w:nsid w:val="0EA75EC0"/>
    <w:multiLevelType w:val="hybridMultilevel"/>
    <w:tmpl w:val="8286F4F6"/>
    <w:lvl w:ilvl="0" w:tplc="14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84EBD"/>
    <w:multiLevelType w:val="hybridMultilevel"/>
    <w:tmpl w:val="EBDE2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925DE4"/>
    <w:multiLevelType w:val="hybridMultilevel"/>
    <w:tmpl w:val="8D3E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BD282C"/>
    <w:multiLevelType w:val="hybridMultilevel"/>
    <w:tmpl w:val="E6C0F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594514"/>
    <w:multiLevelType w:val="hybridMultilevel"/>
    <w:tmpl w:val="8826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23621A"/>
    <w:multiLevelType w:val="multilevel"/>
    <w:tmpl w:val="A2A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72613"/>
    <w:multiLevelType w:val="hybridMultilevel"/>
    <w:tmpl w:val="CF1634E2"/>
    <w:lvl w:ilvl="0" w:tplc="08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274F3D86"/>
    <w:multiLevelType w:val="hybridMultilevel"/>
    <w:tmpl w:val="DA220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57185D"/>
    <w:multiLevelType w:val="hybridMultilevel"/>
    <w:tmpl w:val="C916E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B958CC"/>
    <w:multiLevelType w:val="hybridMultilevel"/>
    <w:tmpl w:val="818A0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F336C6A"/>
    <w:multiLevelType w:val="hybridMultilevel"/>
    <w:tmpl w:val="DE6EA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690E44"/>
    <w:multiLevelType w:val="hybridMultilevel"/>
    <w:tmpl w:val="CF72E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C54637"/>
    <w:multiLevelType w:val="hybridMultilevel"/>
    <w:tmpl w:val="F8B00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85D39"/>
    <w:multiLevelType w:val="hybridMultilevel"/>
    <w:tmpl w:val="582614FE"/>
    <w:lvl w:ilvl="0" w:tplc="08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564FC"/>
    <w:multiLevelType w:val="hybridMultilevel"/>
    <w:tmpl w:val="C248F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B189320">
      <w:numFmt w:val="bullet"/>
      <w:lvlText w:val="•"/>
      <w:lvlJc w:val="left"/>
      <w:pPr>
        <w:ind w:left="1800" w:hanging="360"/>
      </w:pPr>
      <w:rPr>
        <w:rFonts w:ascii="Segoe UI" w:eastAsia="Times New Roman" w:hAnsi="Segoe U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E64769"/>
    <w:multiLevelType w:val="hybridMultilevel"/>
    <w:tmpl w:val="02C0F6A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F2E59E0"/>
    <w:multiLevelType w:val="hybridMultilevel"/>
    <w:tmpl w:val="44B2EFC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D44E86"/>
    <w:multiLevelType w:val="hybridMultilevel"/>
    <w:tmpl w:val="515EE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BD95910"/>
    <w:multiLevelType w:val="hybridMultilevel"/>
    <w:tmpl w:val="1A860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2132EDA"/>
    <w:multiLevelType w:val="hybridMultilevel"/>
    <w:tmpl w:val="45B49088"/>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B866E5"/>
    <w:multiLevelType w:val="hybridMultilevel"/>
    <w:tmpl w:val="5D924470"/>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00BD9"/>
    <w:multiLevelType w:val="hybridMultilevel"/>
    <w:tmpl w:val="7136B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660635"/>
    <w:multiLevelType w:val="hybridMultilevel"/>
    <w:tmpl w:val="BA6C3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FFE4619"/>
    <w:multiLevelType w:val="hybridMultilevel"/>
    <w:tmpl w:val="CE52D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0061DB"/>
    <w:multiLevelType w:val="hybridMultilevel"/>
    <w:tmpl w:val="D1D6A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84C5C1F"/>
    <w:multiLevelType w:val="hybridMultilevel"/>
    <w:tmpl w:val="C1AC9E0A"/>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7" w15:restartNumberingAfterBreak="0">
    <w:nsid w:val="7DF02633"/>
    <w:multiLevelType w:val="hybridMultilevel"/>
    <w:tmpl w:val="C2327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23"/>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4"/>
  </w:num>
  <w:num w:numId="9">
    <w:abstractNumId w:val="8"/>
  </w:num>
  <w:num w:numId="10">
    <w:abstractNumId w:val="2"/>
  </w:num>
  <w:num w:numId="11">
    <w:abstractNumId w:val="14"/>
  </w:num>
  <w:num w:numId="12">
    <w:abstractNumId w:val="7"/>
  </w:num>
  <w:num w:numId="13">
    <w:abstractNumId w:val="35"/>
  </w:num>
  <w:num w:numId="14">
    <w:abstractNumId w:val="29"/>
  </w:num>
  <w:num w:numId="15">
    <w:abstractNumId w:val="16"/>
  </w:num>
  <w:num w:numId="16">
    <w:abstractNumId w:val="12"/>
  </w:num>
  <w:num w:numId="17">
    <w:abstractNumId w:val="34"/>
  </w:num>
  <w:num w:numId="18">
    <w:abstractNumId w:val="37"/>
  </w:num>
  <w:num w:numId="19">
    <w:abstractNumId w:val="0"/>
  </w:num>
  <w:num w:numId="20">
    <w:abstractNumId w:val="26"/>
  </w:num>
  <w:num w:numId="21">
    <w:abstractNumId w:val="22"/>
  </w:num>
  <w:num w:numId="22">
    <w:abstractNumId w:val="13"/>
  </w:num>
  <w:num w:numId="23">
    <w:abstractNumId w:val="11"/>
  </w:num>
  <w:num w:numId="24">
    <w:abstractNumId w:val="6"/>
  </w:num>
  <w:num w:numId="25">
    <w:abstractNumId w:val="27"/>
  </w:num>
  <w:num w:numId="26">
    <w:abstractNumId w:val="5"/>
  </w:num>
  <w:num w:numId="27">
    <w:abstractNumId w:val="3"/>
  </w:num>
  <w:num w:numId="28">
    <w:abstractNumId w:val="28"/>
  </w:num>
  <w:num w:numId="29">
    <w:abstractNumId w:val="33"/>
  </w:num>
  <w:num w:numId="30">
    <w:abstractNumId w:val="18"/>
  </w:num>
  <w:num w:numId="31">
    <w:abstractNumId w:val="17"/>
  </w:num>
  <w:num w:numId="32">
    <w:abstractNumId w:val="31"/>
  </w:num>
  <w:num w:numId="33">
    <w:abstractNumId w:val="32"/>
  </w:num>
  <w:num w:numId="34">
    <w:abstractNumId w:val="20"/>
  </w:num>
  <w:num w:numId="35">
    <w:abstractNumId w:val="19"/>
  </w:num>
  <w:num w:numId="36">
    <w:abstractNumId w:val="10"/>
  </w:num>
  <w:num w:numId="37">
    <w:abstractNumId w:val="9"/>
  </w:num>
  <w:num w:numId="38">
    <w:abstractNumId w:val="15"/>
  </w:num>
  <w:num w:numId="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52430"/>
    <w:rsid w:val="0016304B"/>
    <w:rsid w:val="0016468A"/>
    <w:rsid w:val="0017070E"/>
    <w:rsid w:val="0018376C"/>
    <w:rsid w:val="0018662D"/>
    <w:rsid w:val="00197427"/>
    <w:rsid w:val="001A21B4"/>
    <w:rsid w:val="001A5CF5"/>
    <w:rsid w:val="001B39D2"/>
    <w:rsid w:val="001B4BF8"/>
    <w:rsid w:val="001C4326"/>
    <w:rsid w:val="001C665E"/>
    <w:rsid w:val="001D3541"/>
    <w:rsid w:val="001D3E4E"/>
    <w:rsid w:val="001E254A"/>
    <w:rsid w:val="001E7386"/>
    <w:rsid w:val="001F45A7"/>
    <w:rsid w:val="0020027C"/>
    <w:rsid w:val="00201A01"/>
    <w:rsid w:val="0020754B"/>
    <w:rsid w:val="002104D3"/>
    <w:rsid w:val="00213A33"/>
    <w:rsid w:val="0021763B"/>
    <w:rsid w:val="00246DB1"/>
    <w:rsid w:val="002476B5"/>
    <w:rsid w:val="002520CC"/>
    <w:rsid w:val="00253ECF"/>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1630"/>
    <w:rsid w:val="002F4685"/>
    <w:rsid w:val="002F7213"/>
    <w:rsid w:val="0030382F"/>
    <w:rsid w:val="0030408D"/>
    <w:rsid w:val="003060E4"/>
    <w:rsid w:val="003160E7"/>
    <w:rsid w:val="0031739E"/>
    <w:rsid w:val="003235C6"/>
    <w:rsid w:val="003309CA"/>
    <w:rsid w:val="003325AB"/>
    <w:rsid w:val="003332D1"/>
    <w:rsid w:val="0033412B"/>
    <w:rsid w:val="00337A0C"/>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0988"/>
    <w:rsid w:val="00571223"/>
    <w:rsid w:val="005763E0"/>
    <w:rsid w:val="00581136"/>
    <w:rsid w:val="00581EB8"/>
    <w:rsid w:val="0058437F"/>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7B2E"/>
    <w:rsid w:val="006C78EB"/>
    <w:rsid w:val="006D1003"/>
    <w:rsid w:val="006D1660"/>
    <w:rsid w:val="006D3047"/>
    <w:rsid w:val="006D63E5"/>
    <w:rsid w:val="006E1753"/>
    <w:rsid w:val="006E3911"/>
    <w:rsid w:val="006F1B67"/>
    <w:rsid w:val="006F4D9C"/>
    <w:rsid w:val="0070091D"/>
    <w:rsid w:val="00702854"/>
    <w:rsid w:val="007145B2"/>
    <w:rsid w:val="0071741C"/>
    <w:rsid w:val="00742B90"/>
    <w:rsid w:val="0074434D"/>
    <w:rsid w:val="00752C61"/>
    <w:rsid w:val="00756AF1"/>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795A"/>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7DD"/>
    <w:rsid w:val="008A3755"/>
    <w:rsid w:val="008A3CCC"/>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30D08"/>
    <w:rsid w:val="00931466"/>
    <w:rsid w:val="00932D69"/>
    <w:rsid w:val="00935589"/>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496"/>
    <w:rsid w:val="00A6490D"/>
    <w:rsid w:val="00A7415D"/>
    <w:rsid w:val="00A80363"/>
    <w:rsid w:val="00A80939"/>
    <w:rsid w:val="00A83E9D"/>
    <w:rsid w:val="00A87C05"/>
    <w:rsid w:val="00A9169D"/>
    <w:rsid w:val="00A93598"/>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4C31"/>
    <w:rsid w:val="00B86AB1"/>
    <w:rsid w:val="00B87726"/>
    <w:rsid w:val="00B91B22"/>
    <w:rsid w:val="00BA7EBA"/>
    <w:rsid w:val="00BB21A4"/>
    <w:rsid w:val="00BB2A06"/>
    <w:rsid w:val="00BB2CBB"/>
    <w:rsid w:val="00BB4198"/>
    <w:rsid w:val="00BC03EE"/>
    <w:rsid w:val="00BC59F1"/>
    <w:rsid w:val="00BD488E"/>
    <w:rsid w:val="00BF3DE1"/>
    <w:rsid w:val="00BF4843"/>
    <w:rsid w:val="00BF5205"/>
    <w:rsid w:val="00C05132"/>
    <w:rsid w:val="00C12508"/>
    <w:rsid w:val="00C22E0A"/>
    <w:rsid w:val="00C23728"/>
    <w:rsid w:val="00C3026C"/>
    <w:rsid w:val="00C313A9"/>
    <w:rsid w:val="00C347C8"/>
    <w:rsid w:val="00C441CF"/>
    <w:rsid w:val="00C45AA2"/>
    <w:rsid w:val="00C4792C"/>
    <w:rsid w:val="00C55BEF"/>
    <w:rsid w:val="00C601AF"/>
    <w:rsid w:val="00C61A63"/>
    <w:rsid w:val="00C6252A"/>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AD2"/>
    <w:rsid w:val="00D05D74"/>
    <w:rsid w:val="00D20C59"/>
    <w:rsid w:val="00D23323"/>
    <w:rsid w:val="00D2392A"/>
    <w:rsid w:val="00D25FFE"/>
    <w:rsid w:val="00D37D80"/>
    <w:rsid w:val="00D442F3"/>
    <w:rsid w:val="00D4476F"/>
    <w:rsid w:val="00D50573"/>
    <w:rsid w:val="00D54D50"/>
    <w:rsid w:val="00D560B4"/>
    <w:rsid w:val="00D662F8"/>
    <w:rsid w:val="00D66797"/>
    <w:rsid w:val="00D7087C"/>
    <w:rsid w:val="00D70C3C"/>
    <w:rsid w:val="00D71DF7"/>
    <w:rsid w:val="00D72BE5"/>
    <w:rsid w:val="00D81462"/>
    <w:rsid w:val="00D82431"/>
    <w:rsid w:val="00D82F26"/>
    <w:rsid w:val="00D84D70"/>
    <w:rsid w:val="00D863D0"/>
    <w:rsid w:val="00D86B00"/>
    <w:rsid w:val="00D86FB9"/>
    <w:rsid w:val="00D87C87"/>
    <w:rsid w:val="00D90BB4"/>
    <w:rsid w:val="00D90E07"/>
    <w:rsid w:val="00D932C2"/>
    <w:rsid w:val="00DA0232"/>
    <w:rsid w:val="00DA2EE9"/>
    <w:rsid w:val="00DB39CF"/>
    <w:rsid w:val="00DB7256"/>
    <w:rsid w:val="00DC0401"/>
    <w:rsid w:val="00DC20BD"/>
    <w:rsid w:val="00DC74BE"/>
    <w:rsid w:val="00DD0BCD"/>
    <w:rsid w:val="00DD3C8F"/>
    <w:rsid w:val="00DD447A"/>
    <w:rsid w:val="00DE3B20"/>
    <w:rsid w:val="00DE6C94"/>
    <w:rsid w:val="00DE6FD7"/>
    <w:rsid w:val="00E23271"/>
    <w:rsid w:val="00E24F80"/>
    <w:rsid w:val="00E259F3"/>
    <w:rsid w:val="00E30985"/>
    <w:rsid w:val="00E33238"/>
    <w:rsid w:val="00E33934"/>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D3840"/>
    <w:rsid w:val="00EE2D5C"/>
    <w:rsid w:val="00EE4ADE"/>
    <w:rsid w:val="00EE4DE8"/>
    <w:rsid w:val="00EE5CB7"/>
    <w:rsid w:val="00F024FE"/>
    <w:rsid w:val="00F05AD4"/>
    <w:rsid w:val="00F10EB6"/>
    <w:rsid w:val="00F13F07"/>
    <w:rsid w:val="00F140B2"/>
    <w:rsid w:val="00F25970"/>
    <w:rsid w:val="00F311A9"/>
    <w:rsid w:val="00F37381"/>
    <w:rsid w:val="00F5180D"/>
    <w:rsid w:val="00F63781"/>
    <w:rsid w:val="00F67496"/>
    <w:rsid w:val="00F801BA"/>
    <w:rsid w:val="00F807AD"/>
    <w:rsid w:val="00F9366A"/>
    <w:rsid w:val="00F946C9"/>
    <w:rsid w:val="00FA0EA5"/>
    <w:rsid w:val="00FA68C7"/>
    <w:rsid w:val="00FA74EE"/>
    <w:rsid w:val="00FA7ED4"/>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E6D43D"/>
  <w15:docId w15:val="{9E35CA12-2E79-482A-ACB0-00B0624A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D16C4"/>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5075B3"/>
    <w:pPr>
      <w:tabs>
        <w:tab w:val="right" w:pos="8080"/>
      </w:tabs>
      <w:spacing w:before="60"/>
      <w:ind w:left="567" w:right="567"/>
    </w:pPr>
    <w:rPr>
      <w:sz w:val="22"/>
    </w:rPr>
  </w:style>
  <w:style w:type="paragraph" w:styleId="TOC3">
    <w:name w:val="toc 3"/>
    <w:basedOn w:val="Normal"/>
    <w:next w:val="Normal"/>
    <w:uiPriority w:val="39"/>
    <w:rsid w:val="000A0158"/>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styleId="BalloonText">
    <w:name w:val="Balloon Text"/>
    <w:basedOn w:val="Normal"/>
    <w:link w:val="BalloonTextChar"/>
    <w:uiPriority w:val="99"/>
    <w:semiHidden/>
    <w:unhideWhenUsed/>
    <w:rsid w:val="002575E8"/>
    <w:rPr>
      <w:rFonts w:ascii="Tahoma" w:hAnsi="Tahoma" w:cs="Tahoma"/>
      <w:sz w:val="16"/>
      <w:szCs w:val="16"/>
    </w:rPr>
  </w:style>
  <w:style w:type="character" w:customStyle="1" w:styleId="BalloonTextChar">
    <w:name w:val="Balloon Text Char"/>
    <w:basedOn w:val="DefaultParagraphFont"/>
    <w:link w:val="BalloonText"/>
    <w:uiPriority w:val="99"/>
    <w:semiHidden/>
    <w:rsid w:val="002575E8"/>
    <w:rPr>
      <w:rFonts w:ascii="Tahoma" w:hAnsi="Tahoma" w:cs="Tahoma"/>
      <w:sz w:val="16"/>
      <w:szCs w:val="16"/>
      <w:lang w:eastAsia="en-GB"/>
    </w:rPr>
  </w:style>
  <w:style w:type="paragraph" w:styleId="ListParagraph">
    <w:name w:val="List Paragraph"/>
    <w:basedOn w:val="Normal"/>
    <w:uiPriority w:val="34"/>
    <w:qFormat/>
    <w:rsid w:val="002575E8"/>
    <w:pPr>
      <w:ind w:left="720"/>
      <w:contextualSpacing/>
    </w:pPr>
  </w:style>
  <w:style w:type="character" w:styleId="CommentReference">
    <w:name w:val="annotation reference"/>
    <w:basedOn w:val="DefaultParagraphFont"/>
    <w:semiHidden/>
    <w:unhideWhenUsed/>
    <w:rsid w:val="00922E41"/>
    <w:rPr>
      <w:sz w:val="16"/>
      <w:szCs w:val="16"/>
    </w:rPr>
  </w:style>
  <w:style w:type="paragraph" w:styleId="CommentText">
    <w:name w:val="annotation text"/>
    <w:basedOn w:val="Normal"/>
    <w:link w:val="CommentTextChar"/>
    <w:semiHidden/>
    <w:unhideWhenUsed/>
    <w:rsid w:val="00922E41"/>
    <w:rPr>
      <w:sz w:val="20"/>
    </w:rPr>
  </w:style>
  <w:style w:type="character" w:customStyle="1" w:styleId="CommentTextChar">
    <w:name w:val="Comment Text Char"/>
    <w:basedOn w:val="DefaultParagraphFont"/>
    <w:link w:val="CommentText"/>
    <w:semiHidden/>
    <w:rsid w:val="00922E41"/>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922E41"/>
    <w:rPr>
      <w:b/>
      <w:bCs/>
    </w:rPr>
  </w:style>
  <w:style w:type="character" w:customStyle="1" w:styleId="CommentSubjectChar">
    <w:name w:val="Comment Subject Char"/>
    <w:basedOn w:val="CommentTextChar"/>
    <w:link w:val="CommentSubject"/>
    <w:uiPriority w:val="99"/>
    <w:semiHidden/>
    <w:rsid w:val="00922E41"/>
    <w:rPr>
      <w:rFonts w:ascii="Segoe UI" w:hAnsi="Segoe UI"/>
      <w:b/>
      <w:bCs/>
      <w:lang w:eastAsia="en-GB"/>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character" w:styleId="UnresolvedMention">
    <w:name w:val="Unresolved Mention"/>
    <w:basedOn w:val="DefaultParagraphFont"/>
    <w:uiPriority w:val="99"/>
    <w:semiHidden/>
    <w:unhideWhenUsed/>
    <w:rsid w:val="00570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0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hyperlink" Target="https://www.health.govt.nz/publication/sexual-and-reproductive-health-2014-15-new-zealand-health-surve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6F74-D64E-4DDF-B281-F7BCE65E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23</Pages>
  <Words>4492</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Sexual Orientation Findings from the 2014-15 New Zealand Health Survey</vt:lpstr>
    </vt:vector>
  </TitlesOfParts>
  <Company>Microsoft</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Orientation Findings from the 2014-15 New Zealand Health Survey</dc:title>
  <dc:creator>Ministry of Health</dc:creator>
  <cp:lastModifiedBy>Geneva Ruppert-Wise</cp:lastModifiedBy>
  <cp:revision>3</cp:revision>
  <cp:lastPrinted>2020-01-13T01:02:00Z</cp:lastPrinted>
  <dcterms:created xsi:type="dcterms:W3CDTF">2020-01-13T01:02:00Z</dcterms:created>
  <dcterms:modified xsi:type="dcterms:W3CDTF">2020-01-13T01:03:00Z</dcterms:modified>
</cp:coreProperties>
</file>