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031D6" w14:textId="77777777" w:rsidR="00DE5643" w:rsidRPr="00320761" w:rsidRDefault="00DE5643" w:rsidP="00A06BE4">
      <w:pPr>
        <w:rPr>
          <w:rFonts w:ascii="Segoe UI Black" w:hAnsi="Segoe UI Black" w:cs="Lucida Sans Unicode"/>
          <w:b/>
          <w:color w:val="000000" w:themeColor="text1"/>
          <w:sz w:val="72"/>
          <w:szCs w:val="72"/>
        </w:rPr>
      </w:pPr>
      <w:r w:rsidRPr="00320761">
        <w:rPr>
          <w:rFonts w:ascii="Segoe UI Black" w:hAnsi="Segoe UI Black" w:cs="Lucida Sans Unicode"/>
          <w:b/>
          <w:color w:val="000000" w:themeColor="text1"/>
          <w:sz w:val="72"/>
          <w:szCs w:val="72"/>
        </w:rPr>
        <w:t xml:space="preserve">Content Guide </w:t>
      </w:r>
    </w:p>
    <w:p w14:paraId="76D85C74" w14:textId="1C4775D5" w:rsidR="00C05132" w:rsidRPr="00320761" w:rsidRDefault="00DE5643" w:rsidP="00A06BE4">
      <w:pPr>
        <w:rPr>
          <w:color w:val="000000" w:themeColor="text1"/>
        </w:rPr>
      </w:pPr>
      <w:r w:rsidRPr="00320761">
        <w:rPr>
          <w:rFonts w:ascii="Segoe UI Black" w:hAnsi="Segoe UI Black" w:cs="Lucida Sans Unicode"/>
          <w:b/>
          <w:color w:val="000000" w:themeColor="text1"/>
          <w:sz w:val="72"/>
          <w:szCs w:val="72"/>
        </w:rPr>
        <w:t>2018/19</w:t>
      </w:r>
    </w:p>
    <w:p w14:paraId="1B5A84BC" w14:textId="576DFBFE" w:rsidR="00142954" w:rsidRPr="00320761" w:rsidRDefault="00142954" w:rsidP="00142954">
      <w:pPr>
        <w:rPr>
          <w:color w:val="000000" w:themeColor="text1"/>
        </w:rPr>
      </w:pPr>
    </w:p>
    <w:p w14:paraId="655FB790" w14:textId="1325D049" w:rsidR="00DE5643" w:rsidRPr="00320761" w:rsidRDefault="00DE5643" w:rsidP="00142954">
      <w:pPr>
        <w:rPr>
          <w:color w:val="000000" w:themeColor="text1"/>
          <w:sz w:val="48"/>
        </w:rPr>
        <w:sectPr w:rsidR="00DE5643" w:rsidRPr="00320761" w:rsidSect="005A79E5">
          <w:headerReference w:type="default" r:id="rId9"/>
          <w:footerReference w:type="default" r:id="rId10"/>
          <w:pgSz w:w="11907" w:h="16834" w:code="9"/>
          <w:pgMar w:top="5670" w:right="1134" w:bottom="1134" w:left="1134" w:header="567" w:footer="851" w:gutter="0"/>
          <w:pgNumType w:start="1"/>
          <w:cols w:space="720"/>
        </w:sectPr>
      </w:pPr>
      <w:r w:rsidRPr="00320761">
        <w:rPr>
          <w:noProof/>
          <w:lang w:eastAsia="en-NZ"/>
        </w:rPr>
        <w:drawing>
          <wp:anchor distT="0" distB="0" distL="114300" distR="114300" simplePos="0" relativeHeight="251865088" behindDoc="1" locked="0" layoutInCell="1" allowOverlap="1" wp14:anchorId="4A29EED0" wp14:editId="71A7B313">
            <wp:simplePos x="0" y="0"/>
            <wp:positionH relativeFrom="column">
              <wp:posOffset>717502</wp:posOffset>
            </wp:positionH>
            <wp:positionV relativeFrom="paragraph">
              <wp:posOffset>2847937</wp:posOffset>
            </wp:positionV>
            <wp:extent cx="5400040" cy="1414780"/>
            <wp:effectExtent l="0" t="0" r="0" b="0"/>
            <wp:wrapTight wrapText="bothSides">
              <wp:wrapPolygon edited="0">
                <wp:start x="0" y="0"/>
                <wp:lineTo x="0" y="21232"/>
                <wp:lineTo x="21488" y="21232"/>
                <wp:lineTo x="21488" y="0"/>
                <wp:lineTo x="0" y="0"/>
              </wp:wrapPolygon>
            </wp:wrapTight>
            <wp:docPr id="7" name="Picture 7" descr="NZ Health Survey 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Z Health Survey Logo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1414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0761">
        <w:rPr>
          <w:color w:val="000000" w:themeColor="text1"/>
          <w:sz w:val="48"/>
        </w:rPr>
        <w:t>New Zealand Health Survey</w:t>
      </w:r>
    </w:p>
    <w:p w14:paraId="0F71C22E" w14:textId="1A330A06" w:rsidR="00DE5643" w:rsidRPr="00320761" w:rsidRDefault="00DE5643" w:rsidP="00DE5643">
      <w:pPr>
        <w:pStyle w:val="Imprint"/>
      </w:pPr>
      <w:r w:rsidRPr="00320761">
        <w:lastRenderedPageBreak/>
        <w:t xml:space="preserve">Citation: Ministry of Health. 2019. </w:t>
      </w:r>
      <w:r w:rsidRPr="004E56D6">
        <w:rPr>
          <w:i/>
        </w:rPr>
        <w:t>Content Guide 2018/19: New Zealand Health Survey</w:t>
      </w:r>
      <w:r w:rsidRPr="00320761">
        <w:t>. Wellington: Ministry of Health.</w:t>
      </w:r>
    </w:p>
    <w:p w14:paraId="6171A913" w14:textId="2354A64C" w:rsidR="00514EEA" w:rsidRPr="00320761" w:rsidRDefault="00514EEA" w:rsidP="00DE5643">
      <w:pPr>
        <w:pStyle w:val="Imprint"/>
      </w:pPr>
      <w:r w:rsidRPr="00320761">
        <w:t xml:space="preserve">Published in </w:t>
      </w:r>
      <w:r w:rsidR="00DE5643" w:rsidRPr="00320761">
        <w:t>November</w:t>
      </w:r>
      <w:r w:rsidRPr="00320761">
        <w:t xml:space="preserve"> 2019 by the Ministry of Health</w:t>
      </w:r>
      <w:r w:rsidRPr="00320761">
        <w:br/>
        <w:t>PO Box 5013, Wellington 6140, New Zealand</w:t>
      </w:r>
    </w:p>
    <w:p w14:paraId="60702F91" w14:textId="4E8FE0F9" w:rsidR="00514EEA" w:rsidRPr="00320761" w:rsidRDefault="00DE5643" w:rsidP="00514EEA">
      <w:pPr>
        <w:pStyle w:val="Imprint"/>
        <w:spacing w:line="276" w:lineRule="auto"/>
        <w:rPr>
          <w:rFonts w:cs="Segoe UI"/>
        </w:rPr>
      </w:pPr>
      <w:r w:rsidRPr="00320761">
        <w:rPr>
          <w:rFonts w:cs="Segoe UI"/>
        </w:rPr>
        <w:t xml:space="preserve">ISBN </w:t>
      </w:r>
      <w:r w:rsidR="004E56D6" w:rsidRPr="004E56D6">
        <w:rPr>
          <w:rFonts w:eastAsia="Arial" w:cs="Segoe UI"/>
          <w:color w:val="000000"/>
        </w:rPr>
        <w:t>978-1-98-859727-0</w:t>
      </w:r>
      <w:r w:rsidR="004E56D6" w:rsidRPr="004E56D6">
        <w:rPr>
          <w:rFonts w:cs="Segoe UI"/>
          <w:sz w:val="18"/>
        </w:rPr>
        <w:t xml:space="preserve"> </w:t>
      </w:r>
      <w:r w:rsidRPr="00320761">
        <w:rPr>
          <w:rFonts w:cs="Segoe UI"/>
        </w:rPr>
        <w:t>(online)</w:t>
      </w:r>
      <w:r w:rsidR="00514EEA" w:rsidRPr="00320761">
        <w:rPr>
          <w:rFonts w:cs="Segoe UI"/>
        </w:rPr>
        <w:br/>
        <w:t>HP</w:t>
      </w:r>
      <w:r w:rsidRPr="00320761">
        <w:rPr>
          <w:rFonts w:cs="Segoe UI"/>
        </w:rPr>
        <w:t xml:space="preserve"> </w:t>
      </w:r>
      <w:r w:rsidR="004E56D6">
        <w:rPr>
          <w:rFonts w:cs="Segoe UI"/>
        </w:rPr>
        <w:t>7254</w:t>
      </w:r>
    </w:p>
    <w:p w14:paraId="4ADDBC92" w14:textId="77777777" w:rsidR="00C86248" w:rsidRPr="00320761" w:rsidRDefault="008C64C4" w:rsidP="00A63DFF">
      <w:pPr>
        <w:rPr>
          <w:color w:val="000000" w:themeColor="text1"/>
        </w:rPr>
      </w:pPr>
      <w:r w:rsidRPr="00320761">
        <w:rPr>
          <w:noProof/>
          <w:color w:val="000000" w:themeColor="text1"/>
          <w:lang w:eastAsia="en-NZ"/>
        </w:rPr>
        <w:drawing>
          <wp:inline distT="0" distB="0" distL="0" distR="0" wp14:anchorId="70E4E4D2" wp14:editId="182B4B25">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37980049" w14:textId="77777777" w:rsidR="00A63DFF" w:rsidRPr="00320761" w:rsidRDefault="00A63DFF" w:rsidP="00A63DFF">
      <w:pPr>
        <w:pStyle w:val="Imprint"/>
        <w:spacing w:before="240" w:after="480"/>
        <w:rPr>
          <w:color w:val="000000" w:themeColor="text1"/>
        </w:rPr>
      </w:pPr>
      <w:r w:rsidRPr="00320761">
        <w:rPr>
          <w:color w:val="000000" w:themeColor="text1"/>
        </w:rP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D15FDE" w:rsidRPr="00320761" w14:paraId="46BC9427" w14:textId="77777777" w:rsidTr="00A63DFF">
        <w:trPr>
          <w:cantSplit/>
        </w:trPr>
        <w:tc>
          <w:tcPr>
            <w:tcW w:w="1526" w:type="dxa"/>
          </w:tcPr>
          <w:p w14:paraId="5D4FC2CA" w14:textId="77777777" w:rsidR="00A63DFF" w:rsidRPr="00320761" w:rsidRDefault="00A63DFF" w:rsidP="00A63DFF">
            <w:pPr>
              <w:rPr>
                <w:rFonts w:cs="Segoe UI"/>
                <w:color w:val="000000" w:themeColor="text1"/>
                <w:sz w:val="15"/>
                <w:szCs w:val="15"/>
              </w:rPr>
            </w:pPr>
            <w:r w:rsidRPr="00320761">
              <w:rPr>
                <w:rFonts w:cs="Segoe UI"/>
                <w:b/>
                <w:noProof/>
                <w:color w:val="000000" w:themeColor="text1"/>
                <w:sz w:val="15"/>
                <w:szCs w:val="15"/>
                <w:lang w:eastAsia="en-NZ"/>
              </w:rPr>
              <w:drawing>
                <wp:inline distT="0" distB="0" distL="0" distR="0" wp14:anchorId="4FEE91D9" wp14:editId="0E5E0FA5">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57F0AA28" w14:textId="77777777" w:rsidR="00A63DFF" w:rsidRPr="00320761" w:rsidRDefault="00A63DFF" w:rsidP="00A63DFF">
            <w:pPr>
              <w:rPr>
                <w:rFonts w:cs="Segoe UI"/>
                <w:color w:val="000000" w:themeColor="text1"/>
                <w:sz w:val="15"/>
                <w:szCs w:val="15"/>
              </w:rPr>
            </w:pPr>
            <w:r w:rsidRPr="00320761">
              <w:rPr>
                <w:rFonts w:cs="Segoe UI"/>
                <w:color w:val="000000" w:themeColor="text1"/>
                <w:sz w:val="15"/>
                <w:szCs w:val="15"/>
              </w:rPr>
              <w:t xml:space="preserve">This work is licensed under the Creative Commons Attribution 4.0 International licence. In essence, </w:t>
            </w:r>
            <w:r w:rsidRPr="00320761">
              <w:rPr>
                <w:rFonts w:cs="Segoe UI"/>
                <w:bCs/>
                <w:color w:val="000000" w:themeColor="text1"/>
                <w:sz w:val="15"/>
                <w:szCs w:val="15"/>
              </w:rPr>
              <w:t xml:space="preserve">you are free to: </w:t>
            </w:r>
            <w:r w:rsidRPr="00320761">
              <w:rPr>
                <w:rFonts w:cs="Segoe UI"/>
                <w:color w:val="000000" w:themeColor="text1"/>
                <w:sz w:val="15"/>
                <w:szCs w:val="15"/>
              </w:rPr>
              <w:t xml:space="preserve">share </w:t>
            </w:r>
            <w:proofErr w:type="spellStart"/>
            <w:r w:rsidRPr="00320761">
              <w:rPr>
                <w:rFonts w:cs="Segoe UI"/>
                <w:color w:val="000000" w:themeColor="text1"/>
                <w:sz w:val="15"/>
                <w:szCs w:val="15"/>
              </w:rPr>
              <w:t>ie</w:t>
            </w:r>
            <w:proofErr w:type="spellEnd"/>
            <w:r w:rsidRPr="00320761">
              <w:rPr>
                <w:rFonts w:cs="Segoe UI"/>
                <w:color w:val="000000" w:themeColor="text1"/>
                <w:sz w:val="15"/>
                <w:szCs w:val="15"/>
              </w:rPr>
              <w:t xml:space="preserve">, copy and redistribute the material in any medium or format; adapt </w:t>
            </w:r>
            <w:proofErr w:type="spellStart"/>
            <w:r w:rsidRPr="00320761">
              <w:rPr>
                <w:rFonts w:cs="Segoe UI"/>
                <w:color w:val="000000" w:themeColor="text1"/>
                <w:sz w:val="15"/>
                <w:szCs w:val="15"/>
              </w:rPr>
              <w:t>ie</w:t>
            </w:r>
            <w:proofErr w:type="spellEnd"/>
            <w:r w:rsidRPr="00320761">
              <w:rPr>
                <w:rFonts w:cs="Segoe UI"/>
                <w:color w:val="000000" w:themeColor="text1"/>
                <w:sz w:val="15"/>
                <w:szCs w:val="15"/>
              </w:rPr>
              <w:t xml:space="preserve">, remix, transform and build upon the material. </w:t>
            </w:r>
            <w:r w:rsidRPr="00320761">
              <w:rPr>
                <w:rFonts w:cs="Segoe UI"/>
                <w:bCs/>
                <w:color w:val="000000" w:themeColor="text1"/>
                <w:sz w:val="15"/>
                <w:szCs w:val="15"/>
              </w:rPr>
              <w:t>You must give appropriate credit, provide a link to the licence and indicate if changes were made.</w:t>
            </w:r>
          </w:p>
        </w:tc>
      </w:tr>
    </w:tbl>
    <w:p w14:paraId="4B8C6AEB" w14:textId="77777777" w:rsidR="007E74F1" w:rsidRPr="00320761" w:rsidRDefault="007E74F1" w:rsidP="00A63DFF">
      <w:pPr>
        <w:rPr>
          <w:color w:val="000000" w:themeColor="text1"/>
        </w:rPr>
      </w:pPr>
    </w:p>
    <w:p w14:paraId="64EE8F89" w14:textId="77777777" w:rsidR="00C86248" w:rsidRPr="00320761" w:rsidRDefault="00C86248">
      <w:pPr>
        <w:jc w:val="center"/>
        <w:rPr>
          <w:color w:val="000000" w:themeColor="text1"/>
        </w:rPr>
        <w:sectPr w:rsidR="00C86248" w:rsidRPr="00320761" w:rsidSect="00C05132">
          <w:footerReference w:type="even" r:id="rId14"/>
          <w:footerReference w:type="default" r:id="rId15"/>
          <w:pgSz w:w="11907" w:h="16834" w:code="9"/>
          <w:pgMar w:top="1701" w:right="2268" w:bottom="1134" w:left="2268" w:header="0" w:footer="0" w:gutter="0"/>
          <w:cols w:space="720"/>
          <w:vAlign w:val="bottom"/>
        </w:sectPr>
      </w:pPr>
    </w:p>
    <w:p w14:paraId="308A3B26" w14:textId="77777777" w:rsidR="00DE5643" w:rsidRPr="00320761" w:rsidRDefault="00DE5643" w:rsidP="00DE5643">
      <w:pPr>
        <w:pStyle w:val="IntroHead"/>
        <w:keepNext/>
      </w:pPr>
      <w:bookmarkStart w:id="0" w:name="_Toc405792991"/>
      <w:bookmarkStart w:id="1" w:name="_Toc405793224"/>
      <w:r w:rsidRPr="00320761">
        <w:lastRenderedPageBreak/>
        <w:t>Authors</w:t>
      </w:r>
    </w:p>
    <w:p w14:paraId="4E3B484A" w14:textId="2CE80E12" w:rsidR="00DE5643" w:rsidRPr="00320761" w:rsidRDefault="007E07BE" w:rsidP="00DE5643">
      <w:pPr>
        <w:sectPr w:rsidR="00DE5643" w:rsidRPr="00320761" w:rsidSect="00953AFD">
          <w:headerReference w:type="default" r:id="rId16"/>
          <w:footerReference w:type="even" r:id="rId17"/>
          <w:footerReference w:type="default" r:id="rId18"/>
          <w:pgSz w:w="11907" w:h="16834" w:code="9"/>
          <w:pgMar w:top="1418" w:right="1701" w:bottom="1134" w:left="1843" w:header="284" w:footer="425" w:gutter="284"/>
          <w:pgNumType w:fmt="upperRoman"/>
          <w:cols w:space="720"/>
        </w:sectPr>
      </w:pPr>
      <w:r w:rsidRPr="00320761">
        <w:t>This report was compiled by the New Zealand Health Survey team in the Health and Disability Intelligence Group, Ministry of Health. Contributors include Chloe Lynch and Maria Turley.</w:t>
      </w:r>
    </w:p>
    <w:p w14:paraId="2F0576A1" w14:textId="24CFAD62" w:rsidR="00C86248" w:rsidRPr="00320761" w:rsidRDefault="00C86248" w:rsidP="00EB06C1">
      <w:pPr>
        <w:pStyle w:val="IntroHead"/>
        <w:keepNext/>
        <w:pageBreakBefore w:val="0"/>
      </w:pPr>
      <w:r w:rsidRPr="00320761">
        <w:lastRenderedPageBreak/>
        <w:t>Contents</w:t>
      </w:r>
      <w:bookmarkEnd w:id="0"/>
      <w:bookmarkEnd w:id="1"/>
    </w:p>
    <w:bookmarkStart w:id="2" w:name="_bookmark4"/>
    <w:bookmarkEnd w:id="2"/>
    <w:p w14:paraId="175406F2" w14:textId="4BDBD73A" w:rsidR="00572A57" w:rsidRDefault="00572A57">
      <w:pPr>
        <w:pStyle w:val="TOC1"/>
        <w:rPr>
          <w:rFonts w:asciiTheme="minorHAnsi" w:eastAsiaTheme="minorEastAsia" w:hAnsiTheme="minorHAnsi" w:cstheme="minorBidi"/>
          <w:noProof/>
          <w:sz w:val="22"/>
          <w:szCs w:val="22"/>
          <w:lang w:eastAsia="en-NZ"/>
        </w:rPr>
      </w:pPr>
      <w:r>
        <w:rPr>
          <w:color w:val="000000" w:themeColor="text1"/>
        </w:rPr>
        <w:fldChar w:fldCharType="begin"/>
      </w:r>
      <w:r>
        <w:rPr>
          <w:color w:val="000000" w:themeColor="text1"/>
        </w:rPr>
        <w:instrText xml:space="preserve"> TOC \o "1-3" \h \z \u </w:instrText>
      </w:r>
      <w:r>
        <w:rPr>
          <w:color w:val="000000" w:themeColor="text1"/>
        </w:rPr>
        <w:fldChar w:fldCharType="separate"/>
      </w:r>
      <w:hyperlink w:anchor="_Toc20997285" w:history="1">
        <w:r w:rsidRPr="00B675B6">
          <w:rPr>
            <w:rStyle w:val="Hyperlink"/>
            <w:noProof/>
          </w:rPr>
          <w:t>Introduction</w:t>
        </w:r>
        <w:r>
          <w:rPr>
            <w:noProof/>
            <w:webHidden/>
          </w:rPr>
          <w:tab/>
        </w:r>
        <w:r>
          <w:rPr>
            <w:noProof/>
            <w:webHidden/>
          </w:rPr>
          <w:fldChar w:fldCharType="begin"/>
        </w:r>
        <w:r>
          <w:rPr>
            <w:noProof/>
            <w:webHidden/>
          </w:rPr>
          <w:instrText xml:space="preserve"> PAGEREF _Toc20997285 \h </w:instrText>
        </w:r>
        <w:r>
          <w:rPr>
            <w:noProof/>
            <w:webHidden/>
          </w:rPr>
        </w:r>
        <w:r>
          <w:rPr>
            <w:noProof/>
            <w:webHidden/>
          </w:rPr>
          <w:fldChar w:fldCharType="separate"/>
        </w:r>
        <w:r w:rsidR="00486803">
          <w:rPr>
            <w:noProof/>
            <w:webHidden/>
          </w:rPr>
          <w:t>2</w:t>
        </w:r>
        <w:r>
          <w:rPr>
            <w:noProof/>
            <w:webHidden/>
          </w:rPr>
          <w:fldChar w:fldCharType="end"/>
        </w:r>
      </w:hyperlink>
    </w:p>
    <w:p w14:paraId="0D9B41DE" w14:textId="3FCCAB2A" w:rsidR="00572A57" w:rsidRDefault="00572A57">
      <w:pPr>
        <w:pStyle w:val="TOC2"/>
        <w:rPr>
          <w:rFonts w:asciiTheme="minorHAnsi" w:eastAsiaTheme="minorEastAsia" w:hAnsiTheme="minorHAnsi" w:cstheme="minorBidi"/>
          <w:noProof/>
          <w:szCs w:val="22"/>
          <w:lang w:eastAsia="en-NZ"/>
        </w:rPr>
      </w:pPr>
      <w:hyperlink w:anchor="_Toc20997286" w:history="1">
        <w:r w:rsidRPr="00B675B6">
          <w:rPr>
            <w:rStyle w:val="Hyperlink"/>
            <w:noProof/>
          </w:rPr>
          <w:t>Background</w:t>
        </w:r>
        <w:r>
          <w:rPr>
            <w:noProof/>
            <w:webHidden/>
          </w:rPr>
          <w:tab/>
        </w:r>
        <w:r>
          <w:rPr>
            <w:noProof/>
            <w:webHidden/>
          </w:rPr>
          <w:fldChar w:fldCharType="begin"/>
        </w:r>
        <w:r>
          <w:rPr>
            <w:noProof/>
            <w:webHidden/>
          </w:rPr>
          <w:instrText xml:space="preserve"> PAGEREF _Toc20997286 \h </w:instrText>
        </w:r>
        <w:r>
          <w:rPr>
            <w:noProof/>
            <w:webHidden/>
          </w:rPr>
        </w:r>
        <w:r>
          <w:rPr>
            <w:noProof/>
            <w:webHidden/>
          </w:rPr>
          <w:fldChar w:fldCharType="separate"/>
        </w:r>
        <w:r w:rsidR="00486803">
          <w:rPr>
            <w:noProof/>
            <w:webHidden/>
          </w:rPr>
          <w:t>2</w:t>
        </w:r>
        <w:r>
          <w:rPr>
            <w:noProof/>
            <w:webHidden/>
          </w:rPr>
          <w:fldChar w:fldCharType="end"/>
        </w:r>
      </w:hyperlink>
    </w:p>
    <w:p w14:paraId="183A8DDC" w14:textId="0F96C335" w:rsidR="00572A57" w:rsidRDefault="00572A57">
      <w:pPr>
        <w:pStyle w:val="TOC2"/>
        <w:rPr>
          <w:rFonts w:asciiTheme="minorHAnsi" w:eastAsiaTheme="minorEastAsia" w:hAnsiTheme="minorHAnsi" w:cstheme="minorBidi"/>
          <w:noProof/>
          <w:szCs w:val="22"/>
          <w:lang w:eastAsia="en-NZ"/>
        </w:rPr>
      </w:pPr>
      <w:hyperlink w:anchor="_Toc20997287" w:history="1">
        <w:r w:rsidRPr="00B675B6">
          <w:rPr>
            <w:rStyle w:val="Hyperlink"/>
            <w:noProof/>
          </w:rPr>
          <w:t>Survey design and methodology</w:t>
        </w:r>
        <w:r>
          <w:rPr>
            <w:noProof/>
            <w:webHidden/>
          </w:rPr>
          <w:tab/>
        </w:r>
        <w:r>
          <w:rPr>
            <w:noProof/>
            <w:webHidden/>
          </w:rPr>
          <w:fldChar w:fldCharType="begin"/>
        </w:r>
        <w:r>
          <w:rPr>
            <w:noProof/>
            <w:webHidden/>
          </w:rPr>
          <w:instrText xml:space="preserve"> PAGEREF _Toc20997287 \h </w:instrText>
        </w:r>
        <w:r>
          <w:rPr>
            <w:noProof/>
            <w:webHidden/>
          </w:rPr>
        </w:r>
        <w:r>
          <w:rPr>
            <w:noProof/>
            <w:webHidden/>
          </w:rPr>
          <w:fldChar w:fldCharType="separate"/>
        </w:r>
        <w:r w:rsidR="00486803">
          <w:rPr>
            <w:noProof/>
            <w:webHidden/>
          </w:rPr>
          <w:t>2</w:t>
        </w:r>
        <w:r>
          <w:rPr>
            <w:noProof/>
            <w:webHidden/>
          </w:rPr>
          <w:fldChar w:fldCharType="end"/>
        </w:r>
      </w:hyperlink>
    </w:p>
    <w:p w14:paraId="1960EAD8" w14:textId="089BDA86" w:rsidR="00572A57" w:rsidRDefault="00572A57">
      <w:pPr>
        <w:pStyle w:val="TOC2"/>
        <w:rPr>
          <w:rFonts w:asciiTheme="minorHAnsi" w:eastAsiaTheme="minorEastAsia" w:hAnsiTheme="minorHAnsi" w:cstheme="minorBidi"/>
          <w:noProof/>
          <w:szCs w:val="22"/>
          <w:lang w:eastAsia="en-NZ"/>
        </w:rPr>
      </w:pPr>
      <w:hyperlink w:anchor="_Toc20997288" w:history="1">
        <w:r w:rsidRPr="00B675B6">
          <w:rPr>
            <w:rStyle w:val="Hyperlink"/>
            <w:noProof/>
          </w:rPr>
          <w:t>Goal and objectives</w:t>
        </w:r>
        <w:r>
          <w:rPr>
            <w:noProof/>
            <w:webHidden/>
          </w:rPr>
          <w:tab/>
        </w:r>
        <w:r>
          <w:rPr>
            <w:noProof/>
            <w:webHidden/>
          </w:rPr>
          <w:fldChar w:fldCharType="begin"/>
        </w:r>
        <w:r>
          <w:rPr>
            <w:noProof/>
            <w:webHidden/>
          </w:rPr>
          <w:instrText xml:space="preserve"> PAGEREF _Toc20997288 \h </w:instrText>
        </w:r>
        <w:r>
          <w:rPr>
            <w:noProof/>
            <w:webHidden/>
          </w:rPr>
        </w:r>
        <w:r>
          <w:rPr>
            <w:noProof/>
            <w:webHidden/>
          </w:rPr>
          <w:fldChar w:fldCharType="separate"/>
        </w:r>
        <w:r w:rsidR="00486803">
          <w:rPr>
            <w:noProof/>
            <w:webHidden/>
          </w:rPr>
          <w:t>3</w:t>
        </w:r>
        <w:r>
          <w:rPr>
            <w:noProof/>
            <w:webHidden/>
          </w:rPr>
          <w:fldChar w:fldCharType="end"/>
        </w:r>
      </w:hyperlink>
    </w:p>
    <w:p w14:paraId="2B365308" w14:textId="4F097F07" w:rsidR="00572A57" w:rsidRDefault="00572A57">
      <w:pPr>
        <w:pStyle w:val="TOC2"/>
        <w:rPr>
          <w:rFonts w:asciiTheme="minorHAnsi" w:eastAsiaTheme="minorEastAsia" w:hAnsiTheme="minorHAnsi" w:cstheme="minorBidi"/>
          <w:noProof/>
          <w:szCs w:val="22"/>
          <w:lang w:eastAsia="en-NZ"/>
        </w:rPr>
      </w:pPr>
      <w:hyperlink w:anchor="_Toc20997291" w:history="1">
        <w:r w:rsidRPr="00B675B6">
          <w:rPr>
            <w:rStyle w:val="Hyperlink"/>
            <w:noProof/>
          </w:rPr>
          <w:t>Information domains</w:t>
        </w:r>
        <w:r>
          <w:rPr>
            <w:noProof/>
            <w:webHidden/>
          </w:rPr>
          <w:tab/>
        </w:r>
        <w:r>
          <w:rPr>
            <w:noProof/>
            <w:webHidden/>
          </w:rPr>
          <w:fldChar w:fldCharType="begin"/>
        </w:r>
        <w:r>
          <w:rPr>
            <w:noProof/>
            <w:webHidden/>
          </w:rPr>
          <w:instrText xml:space="preserve"> PAGEREF _Toc20997291 \h </w:instrText>
        </w:r>
        <w:r>
          <w:rPr>
            <w:noProof/>
            <w:webHidden/>
          </w:rPr>
        </w:r>
        <w:r>
          <w:rPr>
            <w:noProof/>
            <w:webHidden/>
          </w:rPr>
          <w:fldChar w:fldCharType="separate"/>
        </w:r>
        <w:r w:rsidR="00486803">
          <w:rPr>
            <w:noProof/>
            <w:webHidden/>
          </w:rPr>
          <w:t>4</w:t>
        </w:r>
        <w:r>
          <w:rPr>
            <w:noProof/>
            <w:webHidden/>
          </w:rPr>
          <w:fldChar w:fldCharType="end"/>
        </w:r>
      </w:hyperlink>
    </w:p>
    <w:p w14:paraId="5E1C29B4" w14:textId="50309588" w:rsidR="00572A57" w:rsidRDefault="00572A57">
      <w:pPr>
        <w:pStyle w:val="TOC2"/>
        <w:rPr>
          <w:rFonts w:asciiTheme="minorHAnsi" w:eastAsiaTheme="minorEastAsia" w:hAnsiTheme="minorHAnsi" w:cstheme="minorBidi"/>
          <w:noProof/>
          <w:szCs w:val="22"/>
          <w:lang w:eastAsia="en-NZ"/>
        </w:rPr>
      </w:pPr>
      <w:hyperlink w:anchor="_Toc20997292" w:history="1">
        <w:r w:rsidRPr="00B675B6">
          <w:rPr>
            <w:rStyle w:val="Hyperlink"/>
            <w:noProof/>
          </w:rPr>
          <w:t>Questionnaire components</w:t>
        </w:r>
        <w:r>
          <w:rPr>
            <w:noProof/>
            <w:webHidden/>
          </w:rPr>
          <w:tab/>
        </w:r>
        <w:r>
          <w:rPr>
            <w:noProof/>
            <w:webHidden/>
          </w:rPr>
          <w:fldChar w:fldCharType="begin"/>
        </w:r>
        <w:r>
          <w:rPr>
            <w:noProof/>
            <w:webHidden/>
          </w:rPr>
          <w:instrText xml:space="preserve"> PAGEREF _Toc20997292 \h </w:instrText>
        </w:r>
        <w:r>
          <w:rPr>
            <w:noProof/>
            <w:webHidden/>
          </w:rPr>
        </w:r>
        <w:r>
          <w:rPr>
            <w:noProof/>
            <w:webHidden/>
          </w:rPr>
          <w:fldChar w:fldCharType="separate"/>
        </w:r>
        <w:r w:rsidR="00486803">
          <w:rPr>
            <w:noProof/>
            <w:webHidden/>
          </w:rPr>
          <w:t>4</w:t>
        </w:r>
        <w:r>
          <w:rPr>
            <w:noProof/>
            <w:webHidden/>
          </w:rPr>
          <w:fldChar w:fldCharType="end"/>
        </w:r>
      </w:hyperlink>
    </w:p>
    <w:p w14:paraId="7978C963" w14:textId="67E20296" w:rsidR="00572A57" w:rsidRDefault="00572A57">
      <w:pPr>
        <w:pStyle w:val="TOC1"/>
        <w:rPr>
          <w:rFonts w:asciiTheme="minorHAnsi" w:eastAsiaTheme="minorEastAsia" w:hAnsiTheme="minorHAnsi" w:cstheme="minorBidi"/>
          <w:noProof/>
          <w:sz w:val="22"/>
          <w:szCs w:val="22"/>
          <w:lang w:eastAsia="en-NZ"/>
        </w:rPr>
      </w:pPr>
      <w:hyperlink w:anchor="_Toc20997293" w:history="1">
        <w:r w:rsidRPr="00B675B6">
          <w:rPr>
            <w:rStyle w:val="Hyperlink"/>
            <w:noProof/>
          </w:rPr>
          <w:t>Process for developing the New Zealand Health Survey</w:t>
        </w:r>
        <w:r>
          <w:rPr>
            <w:noProof/>
            <w:webHidden/>
          </w:rPr>
          <w:tab/>
        </w:r>
        <w:r>
          <w:rPr>
            <w:noProof/>
            <w:webHidden/>
          </w:rPr>
          <w:fldChar w:fldCharType="begin"/>
        </w:r>
        <w:r>
          <w:rPr>
            <w:noProof/>
            <w:webHidden/>
          </w:rPr>
          <w:instrText xml:space="preserve"> PAGEREF _Toc20997293 \h </w:instrText>
        </w:r>
        <w:r>
          <w:rPr>
            <w:noProof/>
            <w:webHidden/>
          </w:rPr>
        </w:r>
        <w:r>
          <w:rPr>
            <w:noProof/>
            <w:webHidden/>
          </w:rPr>
          <w:fldChar w:fldCharType="separate"/>
        </w:r>
        <w:r w:rsidR="00486803">
          <w:rPr>
            <w:noProof/>
            <w:webHidden/>
          </w:rPr>
          <w:t>5</w:t>
        </w:r>
        <w:r>
          <w:rPr>
            <w:noProof/>
            <w:webHidden/>
          </w:rPr>
          <w:fldChar w:fldCharType="end"/>
        </w:r>
      </w:hyperlink>
    </w:p>
    <w:p w14:paraId="29D2C37E" w14:textId="22068584" w:rsidR="00572A57" w:rsidRDefault="00572A57">
      <w:pPr>
        <w:pStyle w:val="TOC2"/>
        <w:rPr>
          <w:rFonts w:asciiTheme="minorHAnsi" w:eastAsiaTheme="minorEastAsia" w:hAnsiTheme="minorHAnsi" w:cstheme="minorBidi"/>
          <w:noProof/>
          <w:szCs w:val="22"/>
          <w:lang w:eastAsia="en-NZ"/>
        </w:rPr>
      </w:pPr>
      <w:hyperlink w:anchor="_Toc20997294" w:history="1">
        <w:r w:rsidRPr="00B675B6">
          <w:rPr>
            <w:rStyle w:val="Hyperlink"/>
            <w:noProof/>
          </w:rPr>
          <w:t>Core component</w:t>
        </w:r>
        <w:r>
          <w:rPr>
            <w:noProof/>
            <w:webHidden/>
          </w:rPr>
          <w:tab/>
        </w:r>
        <w:r>
          <w:rPr>
            <w:noProof/>
            <w:webHidden/>
          </w:rPr>
          <w:fldChar w:fldCharType="begin"/>
        </w:r>
        <w:r>
          <w:rPr>
            <w:noProof/>
            <w:webHidden/>
          </w:rPr>
          <w:instrText xml:space="preserve"> PAGEREF _Toc20997294 \h </w:instrText>
        </w:r>
        <w:r>
          <w:rPr>
            <w:noProof/>
            <w:webHidden/>
          </w:rPr>
        </w:r>
        <w:r>
          <w:rPr>
            <w:noProof/>
            <w:webHidden/>
          </w:rPr>
          <w:fldChar w:fldCharType="separate"/>
        </w:r>
        <w:r w:rsidR="00486803">
          <w:rPr>
            <w:noProof/>
            <w:webHidden/>
          </w:rPr>
          <w:t>5</w:t>
        </w:r>
        <w:r>
          <w:rPr>
            <w:noProof/>
            <w:webHidden/>
          </w:rPr>
          <w:fldChar w:fldCharType="end"/>
        </w:r>
      </w:hyperlink>
    </w:p>
    <w:p w14:paraId="15A27B3D" w14:textId="0BAC1BEE" w:rsidR="00572A57" w:rsidRDefault="00572A57">
      <w:pPr>
        <w:pStyle w:val="TOC2"/>
        <w:rPr>
          <w:rFonts w:asciiTheme="minorHAnsi" w:eastAsiaTheme="minorEastAsia" w:hAnsiTheme="minorHAnsi" w:cstheme="minorBidi"/>
          <w:noProof/>
          <w:szCs w:val="22"/>
          <w:lang w:eastAsia="en-NZ"/>
        </w:rPr>
      </w:pPr>
      <w:hyperlink w:anchor="_Toc20997295" w:history="1">
        <w:r w:rsidRPr="00B675B6">
          <w:rPr>
            <w:rStyle w:val="Hyperlink"/>
            <w:noProof/>
          </w:rPr>
          <w:t>Module components</w:t>
        </w:r>
        <w:r>
          <w:rPr>
            <w:noProof/>
            <w:webHidden/>
          </w:rPr>
          <w:tab/>
        </w:r>
        <w:r>
          <w:rPr>
            <w:noProof/>
            <w:webHidden/>
          </w:rPr>
          <w:fldChar w:fldCharType="begin"/>
        </w:r>
        <w:r>
          <w:rPr>
            <w:noProof/>
            <w:webHidden/>
          </w:rPr>
          <w:instrText xml:space="preserve"> PAGEREF _Toc20997295 \h </w:instrText>
        </w:r>
        <w:r>
          <w:rPr>
            <w:noProof/>
            <w:webHidden/>
          </w:rPr>
        </w:r>
        <w:r>
          <w:rPr>
            <w:noProof/>
            <w:webHidden/>
          </w:rPr>
          <w:fldChar w:fldCharType="separate"/>
        </w:r>
        <w:r w:rsidR="00486803">
          <w:rPr>
            <w:noProof/>
            <w:webHidden/>
          </w:rPr>
          <w:t>6</w:t>
        </w:r>
        <w:r>
          <w:rPr>
            <w:noProof/>
            <w:webHidden/>
          </w:rPr>
          <w:fldChar w:fldCharType="end"/>
        </w:r>
      </w:hyperlink>
    </w:p>
    <w:p w14:paraId="155E8B0F" w14:textId="06565F3F" w:rsidR="00572A57" w:rsidRDefault="00572A57">
      <w:pPr>
        <w:pStyle w:val="TOC2"/>
        <w:rPr>
          <w:rFonts w:asciiTheme="minorHAnsi" w:eastAsiaTheme="minorEastAsia" w:hAnsiTheme="minorHAnsi" w:cstheme="minorBidi"/>
          <w:noProof/>
          <w:szCs w:val="22"/>
          <w:lang w:eastAsia="en-NZ"/>
        </w:rPr>
      </w:pPr>
      <w:hyperlink w:anchor="_Toc20997296" w:history="1">
        <w:r w:rsidRPr="00B675B6">
          <w:rPr>
            <w:rStyle w:val="Hyperlink"/>
            <w:noProof/>
          </w:rPr>
          <w:t>Cognitive testing</w:t>
        </w:r>
        <w:r>
          <w:rPr>
            <w:noProof/>
            <w:webHidden/>
          </w:rPr>
          <w:tab/>
        </w:r>
        <w:r>
          <w:rPr>
            <w:noProof/>
            <w:webHidden/>
          </w:rPr>
          <w:fldChar w:fldCharType="begin"/>
        </w:r>
        <w:r>
          <w:rPr>
            <w:noProof/>
            <w:webHidden/>
          </w:rPr>
          <w:instrText xml:space="preserve"> PAGEREF _Toc20997296 \h </w:instrText>
        </w:r>
        <w:r>
          <w:rPr>
            <w:noProof/>
            <w:webHidden/>
          </w:rPr>
        </w:r>
        <w:r>
          <w:rPr>
            <w:noProof/>
            <w:webHidden/>
          </w:rPr>
          <w:fldChar w:fldCharType="separate"/>
        </w:r>
        <w:r w:rsidR="00486803">
          <w:rPr>
            <w:noProof/>
            <w:webHidden/>
          </w:rPr>
          <w:t>7</w:t>
        </w:r>
        <w:r>
          <w:rPr>
            <w:noProof/>
            <w:webHidden/>
          </w:rPr>
          <w:fldChar w:fldCharType="end"/>
        </w:r>
      </w:hyperlink>
    </w:p>
    <w:p w14:paraId="7924B0BE" w14:textId="59E1B2EC" w:rsidR="00572A57" w:rsidRDefault="00572A57">
      <w:pPr>
        <w:pStyle w:val="TOC2"/>
        <w:rPr>
          <w:rFonts w:asciiTheme="minorHAnsi" w:eastAsiaTheme="minorEastAsia" w:hAnsiTheme="minorHAnsi" w:cstheme="minorBidi"/>
          <w:noProof/>
          <w:szCs w:val="22"/>
          <w:lang w:eastAsia="en-NZ"/>
        </w:rPr>
      </w:pPr>
      <w:hyperlink w:anchor="_Toc20997299" w:history="1">
        <w:r w:rsidRPr="00B675B6">
          <w:rPr>
            <w:rStyle w:val="Hyperlink"/>
            <w:noProof/>
          </w:rPr>
          <w:t>Pilot testing</w:t>
        </w:r>
        <w:r>
          <w:rPr>
            <w:noProof/>
            <w:webHidden/>
          </w:rPr>
          <w:tab/>
        </w:r>
        <w:r>
          <w:rPr>
            <w:noProof/>
            <w:webHidden/>
          </w:rPr>
          <w:fldChar w:fldCharType="begin"/>
        </w:r>
        <w:r>
          <w:rPr>
            <w:noProof/>
            <w:webHidden/>
          </w:rPr>
          <w:instrText xml:space="preserve"> PAGEREF _Toc20997299 \h </w:instrText>
        </w:r>
        <w:r>
          <w:rPr>
            <w:noProof/>
            <w:webHidden/>
          </w:rPr>
        </w:r>
        <w:r>
          <w:rPr>
            <w:noProof/>
            <w:webHidden/>
          </w:rPr>
          <w:fldChar w:fldCharType="separate"/>
        </w:r>
        <w:r w:rsidR="00486803">
          <w:rPr>
            <w:noProof/>
            <w:webHidden/>
          </w:rPr>
          <w:t>9</w:t>
        </w:r>
        <w:r>
          <w:rPr>
            <w:noProof/>
            <w:webHidden/>
          </w:rPr>
          <w:fldChar w:fldCharType="end"/>
        </w:r>
      </w:hyperlink>
    </w:p>
    <w:p w14:paraId="0F9D719F" w14:textId="26807E48" w:rsidR="00572A57" w:rsidRDefault="00572A57">
      <w:pPr>
        <w:pStyle w:val="TOC2"/>
        <w:rPr>
          <w:rFonts w:asciiTheme="minorHAnsi" w:eastAsiaTheme="minorEastAsia" w:hAnsiTheme="minorHAnsi" w:cstheme="minorBidi"/>
          <w:noProof/>
          <w:szCs w:val="22"/>
          <w:lang w:eastAsia="en-NZ"/>
        </w:rPr>
      </w:pPr>
      <w:hyperlink w:anchor="_Toc20997300" w:history="1">
        <w:r w:rsidRPr="00B675B6">
          <w:rPr>
            <w:rStyle w:val="Hyperlink"/>
            <w:noProof/>
          </w:rPr>
          <w:t>Ethics approval</w:t>
        </w:r>
        <w:r>
          <w:rPr>
            <w:noProof/>
            <w:webHidden/>
          </w:rPr>
          <w:tab/>
        </w:r>
        <w:r>
          <w:rPr>
            <w:noProof/>
            <w:webHidden/>
          </w:rPr>
          <w:fldChar w:fldCharType="begin"/>
        </w:r>
        <w:r>
          <w:rPr>
            <w:noProof/>
            <w:webHidden/>
          </w:rPr>
          <w:instrText xml:space="preserve"> PAGEREF _Toc20997300 \h </w:instrText>
        </w:r>
        <w:r>
          <w:rPr>
            <w:noProof/>
            <w:webHidden/>
          </w:rPr>
        </w:r>
        <w:r>
          <w:rPr>
            <w:noProof/>
            <w:webHidden/>
          </w:rPr>
          <w:fldChar w:fldCharType="separate"/>
        </w:r>
        <w:r w:rsidR="00486803">
          <w:rPr>
            <w:noProof/>
            <w:webHidden/>
          </w:rPr>
          <w:t>10</w:t>
        </w:r>
        <w:r>
          <w:rPr>
            <w:noProof/>
            <w:webHidden/>
          </w:rPr>
          <w:fldChar w:fldCharType="end"/>
        </w:r>
      </w:hyperlink>
    </w:p>
    <w:p w14:paraId="261C9956" w14:textId="0A6C20C9" w:rsidR="00572A57" w:rsidRDefault="00572A57">
      <w:pPr>
        <w:pStyle w:val="TOC2"/>
        <w:rPr>
          <w:rFonts w:asciiTheme="minorHAnsi" w:eastAsiaTheme="minorEastAsia" w:hAnsiTheme="minorHAnsi" w:cstheme="minorBidi"/>
          <w:noProof/>
          <w:szCs w:val="22"/>
          <w:lang w:eastAsia="en-NZ"/>
        </w:rPr>
      </w:pPr>
      <w:hyperlink w:anchor="_Toc20997301" w:history="1">
        <w:r w:rsidRPr="00B675B6">
          <w:rPr>
            <w:rStyle w:val="Hyperlink"/>
            <w:noProof/>
            <w:spacing w:val="-10"/>
          </w:rPr>
          <w:t>Content of the New Zealand Health Survey</w:t>
        </w:r>
        <w:r>
          <w:rPr>
            <w:noProof/>
            <w:webHidden/>
          </w:rPr>
          <w:tab/>
        </w:r>
        <w:r>
          <w:rPr>
            <w:noProof/>
            <w:webHidden/>
          </w:rPr>
          <w:fldChar w:fldCharType="begin"/>
        </w:r>
        <w:r>
          <w:rPr>
            <w:noProof/>
            <w:webHidden/>
          </w:rPr>
          <w:instrText xml:space="preserve"> PAGEREF _Toc20997301 \h </w:instrText>
        </w:r>
        <w:r>
          <w:rPr>
            <w:noProof/>
            <w:webHidden/>
          </w:rPr>
        </w:r>
        <w:r>
          <w:rPr>
            <w:noProof/>
            <w:webHidden/>
          </w:rPr>
          <w:fldChar w:fldCharType="separate"/>
        </w:r>
        <w:r w:rsidR="00486803">
          <w:rPr>
            <w:noProof/>
            <w:webHidden/>
          </w:rPr>
          <w:t>11</w:t>
        </w:r>
        <w:r>
          <w:rPr>
            <w:noProof/>
            <w:webHidden/>
          </w:rPr>
          <w:fldChar w:fldCharType="end"/>
        </w:r>
      </w:hyperlink>
    </w:p>
    <w:p w14:paraId="3233310A" w14:textId="35E3D4E1" w:rsidR="00572A57" w:rsidRDefault="00572A57">
      <w:pPr>
        <w:pStyle w:val="TOC2"/>
        <w:rPr>
          <w:rFonts w:asciiTheme="minorHAnsi" w:eastAsiaTheme="minorEastAsia" w:hAnsiTheme="minorHAnsi" w:cstheme="minorBidi"/>
          <w:noProof/>
          <w:szCs w:val="22"/>
          <w:lang w:eastAsia="en-NZ"/>
        </w:rPr>
      </w:pPr>
      <w:hyperlink w:anchor="_Toc20997302" w:history="1">
        <w:r w:rsidRPr="00B675B6">
          <w:rPr>
            <w:rStyle w:val="Hyperlink"/>
            <w:noProof/>
          </w:rPr>
          <w:t>Long-term health conditions</w:t>
        </w:r>
        <w:r>
          <w:rPr>
            <w:noProof/>
            <w:webHidden/>
          </w:rPr>
          <w:tab/>
        </w:r>
        <w:r>
          <w:rPr>
            <w:noProof/>
            <w:webHidden/>
          </w:rPr>
          <w:fldChar w:fldCharType="begin"/>
        </w:r>
        <w:r>
          <w:rPr>
            <w:noProof/>
            <w:webHidden/>
          </w:rPr>
          <w:instrText xml:space="preserve"> PAGEREF _Toc20997302 \h </w:instrText>
        </w:r>
        <w:r>
          <w:rPr>
            <w:noProof/>
            <w:webHidden/>
          </w:rPr>
        </w:r>
        <w:r>
          <w:rPr>
            <w:noProof/>
            <w:webHidden/>
          </w:rPr>
          <w:fldChar w:fldCharType="separate"/>
        </w:r>
        <w:r w:rsidR="00486803">
          <w:rPr>
            <w:noProof/>
            <w:webHidden/>
          </w:rPr>
          <w:t>11</w:t>
        </w:r>
        <w:r>
          <w:rPr>
            <w:noProof/>
            <w:webHidden/>
          </w:rPr>
          <w:fldChar w:fldCharType="end"/>
        </w:r>
      </w:hyperlink>
    </w:p>
    <w:p w14:paraId="70ED1A55" w14:textId="14F6150F" w:rsidR="00572A57" w:rsidRDefault="00572A57">
      <w:pPr>
        <w:pStyle w:val="TOC2"/>
        <w:rPr>
          <w:rFonts w:asciiTheme="minorHAnsi" w:eastAsiaTheme="minorEastAsia" w:hAnsiTheme="minorHAnsi" w:cstheme="minorBidi"/>
          <w:noProof/>
          <w:szCs w:val="22"/>
          <w:lang w:eastAsia="en-NZ"/>
        </w:rPr>
      </w:pPr>
      <w:hyperlink w:anchor="_Toc20997303" w:history="1">
        <w:r w:rsidRPr="00B675B6">
          <w:rPr>
            <w:rStyle w:val="Hyperlink"/>
            <w:noProof/>
          </w:rPr>
          <w:t>Health service utilisation and patient experience</w:t>
        </w:r>
        <w:r>
          <w:rPr>
            <w:noProof/>
            <w:webHidden/>
          </w:rPr>
          <w:tab/>
        </w:r>
        <w:r>
          <w:rPr>
            <w:noProof/>
            <w:webHidden/>
          </w:rPr>
          <w:fldChar w:fldCharType="begin"/>
        </w:r>
        <w:r>
          <w:rPr>
            <w:noProof/>
            <w:webHidden/>
          </w:rPr>
          <w:instrText xml:space="preserve"> PAGEREF _Toc20997303 \h </w:instrText>
        </w:r>
        <w:r>
          <w:rPr>
            <w:noProof/>
            <w:webHidden/>
          </w:rPr>
        </w:r>
        <w:r>
          <w:rPr>
            <w:noProof/>
            <w:webHidden/>
          </w:rPr>
          <w:fldChar w:fldCharType="separate"/>
        </w:r>
        <w:r w:rsidR="00486803">
          <w:rPr>
            <w:noProof/>
            <w:webHidden/>
          </w:rPr>
          <w:t>12</w:t>
        </w:r>
        <w:r>
          <w:rPr>
            <w:noProof/>
            <w:webHidden/>
          </w:rPr>
          <w:fldChar w:fldCharType="end"/>
        </w:r>
      </w:hyperlink>
    </w:p>
    <w:p w14:paraId="53181694" w14:textId="785564D5" w:rsidR="00572A57" w:rsidRDefault="00572A57">
      <w:pPr>
        <w:pStyle w:val="TOC2"/>
        <w:rPr>
          <w:rFonts w:asciiTheme="minorHAnsi" w:eastAsiaTheme="minorEastAsia" w:hAnsiTheme="minorHAnsi" w:cstheme="minorBidi"/>
          <w:noProof/>
          <w:szCs w:val="22"/>
          <w:lang w:eastAsia="en-NZ"/>
        </w:rPr>
      </w:pPr>
      <w:hyperlink w:anchor="_Toc20997304" w:history="1">
        <w:r w:rsidRPr="00B675B6">
          <w:rPr>
            <w:rStyle w:val="Hyperlink"/>
            <w:noProof/>
          </w:rPr>
          <w:t>Health behaviours and risk factors</w:t>
        </w:r>
        <w:r>
          <w:rPr>
            <w:noProof/>
            <w:webHidden/>
          </w:rPr>
          <w:tab/>
        </w:r>
        <w:r>
          <w:rPr>
            <w:noProof/>
            <w:webHidden/>
          </w:rPr>
          <w:fldChar w:fldCharType="begin"/>
        </w:r>
        <w:r>
          <w:rPr>
            <w:noProof/>
            <w:webHidden/>
          </w:rPr>
          <w:instrText xml:space="preserve"> PAGEREF _Toc20997304 \h </w:instrText>
        </w:r>
        <w:r>
          <w:rPr>
            <w:noProof/>
            <w:webHidden/>
          </w:rPr>
        </w:r>
        <w:r>
          <w:rPr>
            <w:noProof/>
            <w:webHidden/>
          </w:rPr>
          <w:fldChar w:fldCharType="separate"/>
        </w:r>
        <w:r w:rsidR="00486803">
          <w:rPr>
            <w:noProof/>
            <w:webHidden/>
          </w:rPr>
          <w:t>14</w:t>
        </w:r>
        <w:r>
          <w:rPr>
            <w:noProof/>
            <w:webHidden/>
          </w:rPr>
          <w:fldChar w:fldCharType="end"/>
        </w:r>
      </w:hyperlink>
    </w:p>
    <w:p w14:paraId="5E271497" w14:textId="46D72D38" w:rsidR="00572A57" w:rsidRDefault="00572A57">
      <w:pPr>
        <w:pStyle w:val="TOC2"/>
        <w:rPr>
          <w:rFonts w:asciiTheme="minorHAnsi" w:eastAsiaTheme="minorEastAsia" w:hAnsiTheme="minorHAnsi" w:cstheme="minorBidi"/>
          <w:noProof/>
          <w:szCs w:val="22"/>
          <w:lang w:eastAsia="en-NZ"/>
        </w:rPr>
      </w:pPr>
      <w:hyperlink w:anchor="_Toc20997305" w:history="1">
        <w:r w:rsidRPr="00B675B6">
          <w:rPr>
            <w:rStyle w:val="Hyperlink"/>
            <w:noProof/>
          </w:rPr>
          <w:t>Dietary habits</w:t>
        </w:r>
        <w:r>
          <w:rPr>
            <w:noProof/>
            <w:webHidden/>
          </w:rPr>
          <w:tab/>
        </w:r>
        <w:r>
          <w:rPr>
            <w:noProof/>
            <w:webHidden/>
          </w:rPr>
          <w:fldChar w:fldCharType="begin"/>
        </w:r>
        <w:r>
          <w:rPr>
            <w:noProof/>
            <w:webHidden/>
          </w:rPr>
          <w:instrText xml:space="preserve"> PAGEREF _Toc20997305 \h </w:instrText>
        </w:r>
        <w:r>
          <w:rPr>
            <w:noProof/>
            <w:webHidden/>
          </w:rPr>
        </w:r>
        <w:r>
          <w:rPr>
            <w:noProof/>
            <w:webHidden/>
          </w:rPr>
          <w:fldChar w:fldCharType="separate"/>
        </w:r>
        <w:r w:rsidR="00486803">
          <w:rPr>
            <w:noProof/>
            <w:webHidden/>
          </w:rPr>
          <w:t>16</w:t>
        </w:r>
        <w:r>
          <w:rPr>
            <w:noProof/>
            <w:webHidden/>
          </w:rPr>
          <w:fldChar w:fldCharType="end"/>
        </w:r>
      </w:hyperlink>
    </w:p>
    <w:p w14:paraId="1C4DC31E" w14:textId="26953E79" w:rsidR="00572A57" w:rsidRDefault="00572A57">
      <w:pPr>
        <w:pStyle w:val="TOC2"/>
        <w:rPr>
          <w:rFonts w:asciiTheme="minorHAnsi" w:eastAsiaTheme="minorEastAsia" w:hAnsiTheme="minorHAnsi" w:cstheme="minorBidi"/>
          <w:noProof/>
          <w:szCs w:val="22"/>
          <w:lang w:eastAsia="en-NZ"/>
        </w:rPr>
      </w:pPr>
      <w:hyperlink w:anchor="_Toc20997306" w:history="1">
        <w:r w:rsidRPr="00B675B6">
          <w:rPr>
            <w:rStyle w:val="Hyperlink"/>
            <w:noProof/>
          </w:rPr>
          <w:t>Alcohol use</w:t>
        </w:r>
        <w:r>
          <w:rPr>
            <w:noProof/>
            <w:webHidden/>
          </w:rPr>
          <w:tab/>
        </w:r>
        <w:r>
          <w:rPr>
            <w:noProof/>
            <w:webHidden/>
          </w:rPr>
          <w:fldChar w:fldCharType="begin"/>
        </w:r>
        <w:r>
          <w:rPr>
            <w:noProof/>
            <w:webHidden/>
          </w:rPr>
          <w:instrText xml:space="preserve"> PAGEREF _Toc20997306 \h </w:instrText>
        </w:r>
        <w:r>
          <w:rPr>
            <w:noProof/>
            <w:webHidden/>
          </w:rPr>
        </w:r>
        <w:r>
          <w:rPr>
            <w:noProof/>
            <w:webHidden/>
          </w:rPr>
          <w:fldChar w:fldCharType="separate"/>
        </w:r>
        <w:r w:rsidR="00486803">
          <w:rPr>
            <w:noProof/>
            <w:webHidden/>
          </w:rPr>
          <w:t>17</w:t>
        </w:r>
        <w:r>
          <w:rPr>
            <w:noProof/>
            <w:webHidden/>
          </w:rPr>
          <w:fldChar w:fldCharType="end"/>
        </w:r>
      </w:hyperlink>
    </w:p>
    <w:p w14:paraId="6E431CB4" w14:textId="482F9CF9" w:rsidR="00572A57" w:rsidRDefault="00572A57">
      <w:pPr>
        <w:pStyle w:val="TOC2"/>
        <w:rPr>
          <w:rFonts w:asciiTheme="minorHAnsi" w:eastAsiaTheme="minorEastAsia" w:hAnsiTheme="minorHAnsi" w:cstheme="minorBidi"/>
          <w:noProof/>
          <w:szCs w:val="22"/>
          <w:lang w:eastAsia="en-NZ"/>
        </w:rPr>
      </w:pPr>
      <w:hyperlink w:anchor="_Toc20997307" w:history="1">
        <w:r w:rsidRPr="00B675B6">
          <w:rPr>
            <w:rStyle w:val="Hyperlink"/>
            <w:noProof/>
          </w:rPr>
          <w:t>Health status</w:t>
        </w:r>
        <w:r>
          <w:rPr>
            <w:noProof/>
            <w:webHidden/>
          </w:rPr>
          <w:tab/>
        </w:r>
        <w:r>
          <w:rPr>
            <w:noProof/>
            <w:webHidden/>
          </w:rPr>
          <w:fldChar w:fldCharType="begin"/>
        </w:r>
        <w:r>
          <w:rPr>
            <w:noProof/>
            <w:webHidden/>
          </w:rPr>
          <w:instrText xml:space="preserve"> PAGEREF _Toc20997307 \h </w:instrText>
        </w:r>
        <w:r>
          <w:rPr>
            <w:noProof/>
            <w:webHidden/>
          </w:rPr>
        </w:r>
        <w:r>
          <w:rPr>
            <w:noProof/>
            <w:webHidden/>
          </w:rPr>
          <w:fldChar w:fldCharType="separate"/>
        </w:r>
        <w:r w:rsidR="00486803">
          <w:rPr>
            <w:noProof/>
            <w:webHidden/>
          </w:rPr>
          <w:t>18</w:t>
        </w:r>
        <w:r>
          <w:rPr>
            <w:noProof/>
            <w:webHidden/>
          </w:rPr>
          <w:fldChar w:fldCharType="end"/>
        </w:r>
      </w:hyperlink>
    </w:p>
    <w:p w14:paraId="1FB1182F" w14:textId="2870D862" w:rsidR="00572A57" w:rsidRDefault="00572A57">
      <w:pPr>
        <w:pStyle w:val="TOC2"/>
        <w:rPr>
          <w:rFonts w:asciiTheme="minorHAnsi" w:eastAsiaTheme="minorEastAsia" w:hAnsiTheme="minorHAnsi" w:cstheme="minorBidi"/>
          <w:noProof/>
          <w:szCs w:val="22"/>
          <w:lang w:eastAsia="en-NZ"/>
        </w:rPr>
      </w:pPr>
      <w:hyperlink w:anchor="_Toc20997308" w:history="1">
        <w:r w:rsidRPr="00B675B6">
          <w:rPr>
            <w:rStyle w:val="Hyperlink"/>
            <w:noProof/>
          </w:rPr>
          <w:t>Functional difficulties</w:t>
        </w:r>
        <w:r>
          <w:rPr>
            <w:noProof/>
            <w:webHidden/>
          </w:rPr>
          <w:tab/>
        </w:r>
        <w:r>
          <w:rPr>
            <w:noProof/>
            <w:webHidden/>
          </w:rPr>
          <w:fldChar w:fldCharType="begin"/>
        </w:r>
        <w:r>
          <w:rPr>
            <w:noProof/>
            <w:webHidden/>
          </w:rPr>
          <w:instrText xml:space="preserve"> PAGEREF _Toc20997308 \h </w:instrText>
        </w:r>
        <w:r>
          <w:rPr>
            <w:noProof/>
            <w:webHidden/>
          </w:rPr>
        </w:r>
        <w:r>
          <w:rPr>
            <w:noProof/>
            <w:webHidden/>
          </w:rPr>
          <w:fldChar w:fldCharType="separate"/>
        </w:r>
        <w:r w:rsidR="00486803">
          <w:rPr>
            <w:noProof/>
            <w:webHidden/>
          </w:rPr>
          <w:t>20</w:t>
        </w:r>
        <w:r>
          <w:rPr>
            <w:noProof/>
            <w:webHidden/>
          </w:rPr>
          <w:fldChar w:fldCharType="end"/>
        </w:r>
      </w:hyperlink>
    </w:p>
    <w:p w14:paraId="67F9810A" w14:textId="407AF543" w:rsidR="00572A57" w:rsidRDefault="00572A57">
      <w:pPr>
        <w:pStyle w:val="TOC2"/>
        <w:rPr>
          <w:rFonts w:asciiTheme="minorHAnsi" w:eastAsiaTheme="minorEastAsia" w:hAnsiTheme="minorHAnsi" w:cstheme="minorBidi"/>
          <w:noProof/>
          <w:szCs w:val="22"/>
          <w:lang w:eastAsia="en-NZ"/>
        </w:rPr>
      </w:pPr>
      <w:hyperlink w:anchor="_Toc20997309" w:history="1">
        <w:r w:rsidRPr="00B675B6">
          <w:rPr>
            <w:rStyle w:val="Hyperlink"/>
            <w:noProof/>
          </w:rPr>
          <w:t>Sociodemographics</w:t>
        </w:r>
        <w:r>
          <w:rPr>
            <w:noProof/>
            <w:webHidden/>
          </w:rPr>
          <w:tab/>
        </w:r>
        <w:r>
          <w:rPr>
            <w:noProof/>
            <w:webHidden/>
          </w:rPr>
          <w:fldChar w:fldCharType="begin"/>
        </w:r>
        <w:r>
          <w:rPr>
            <w:noProof/>
            <w:webHidden/>
          </w:rPr>
          <w:instrText xml:space="preserve"> PAGEREF _Toc20997309 \h </w:instrText>
        </w:r>
        <w:r>
          <w:rPr>
            <w:noProof/>
            <w:webHidden/>
          </w:rPr>
        </w:r>
        <w:r>
          <w:rPr>
            <w:noProof/>
            <w:webHidden/>
          </w:rPr>
          <w:fldChar w:fldCharType="separate"/>
        </w:r>
        <w:r w:rsidR="00486803">
          <w:rPr>
            <w:noProof/>
            <w:webHidden/>
          </w:rPr>
          <w:t>20</w:t>
        </w:r>
        <w:r>
          <w:rPr>
            <w:noProof/>
            <w:webHidden/>
          </w:rPr>
          <w:fldChar w:fldCharType="end"/>
        </w:r>
      </w:hyperlink>
    </w:p>
    <w:p w14:paraId="69D83EC9" w14:textId="080185E8" w:rsidR="00572A57" w:rsidRDefault="00572A57">
      <w:pPr>
        <w:pStyle w:val="TOC2"/>
        <w:rPr>
          <w:rFonts w:asciiTheme="minorHAnsi" w:eastAsiaTheme="minorEastAsia" w:hAnsiTheme="minorHAnsi" w:cstheme="minorBidi"/>
          <w:noProof/>
          <w:szCs w:val="22"/>
          <w:lang w:eastAsia="en-NZ"/>
        </w:rPr>
      </w:pPr>
      <w:hyperlink w:anchor="_Toc20997310" w:history="1">
        <w:r w:rsidRPr="00B675B6">
          <w:rPr>
            <w:rStyle w:val="Hyperlink"/>
            <w:noProof/>
          </w:rPr>
          <w:t>Anthropometric measurements</w:t>
        </w:r>
        <w:r>
          <w:rPr>
            <w:noProof/>
            <w:webHidden/>
          </w:rPr>
          <w:tab/>
        </w:r>
        <w:r>
          <w:rPr>
            <w:noProof/>
            <w:webHidden/>
          </w:rPr>
          <w:fldChar w:fldCharType="begin"/>
        </w:r>
        <w:r>
          <w:rPr>
            <w:noProof/>
            <w:webHidden/>
          </w:rPr>
          <w:instrText xml:space="preserve"> PAGEREF _Toc20997310 \h </w:instrText>
        </w:r>
        <w:r>
          <w:rPr>
            <w:noProof/>
            <w:webHidden/>
          </w:rPr>
        </w:r>
        <w:r>
          <w:rPr>
            <w:noProof/>
            <w:webHidden/>
          </w:rPr>
          <w:fldChar w:fldCharType="separate"/>
        </w:r>
        <w:r w:rsidR="00486803">
          <w:rPr>
            <w:noProof/>
            <w:webHidden/>
          </w:rPr>
          <w:t>21</w:t>
        </w:r>
        <w:r>
          <w:rPr>
            <w:noProof/>
            <w:webHidden/>
          </w:rPr>
          <w:fldChar w:fldCharType="end"/>
        </w:r>
      </w:hyperlink>
    </w:p>
    <w:p w14:paraId="51C69A78" w14:textId="2C68B5A6" w:rsidR="00572A57" w:rsidRDefault="00572A57">
      <w:pPr>
        <w:pStyle w:val="TOC2"/>
        <w:rPr>
          <w:rFonts w:asciiTheme="minorHAnsi" w:eastAsiaTheme="minorEastAsia" w:hAnsiTheme="minorHAnsi" w:cstheme="minorBidi"/>
          <w:noProof/>
          <w:szCs w:val="22"/>
          <w:lang w:eastAsia="en-NZ"/>
        </w:rPr>
      </w:pPr>
      <w:hyperlink w:anchor="_Toc20997313" w:history="1">
        <w:r w:rsidRPr="00B675B6">
          <w:rPr>
            <w:rStyle w:val="Hyperlink"/>
            <w:noProof/>
          </w:rPr>
          <w:t>Permission details after completing the survey</w:t>
        </w:r>
        <w:r>
          <w:rPr>
            <w:noProof/>
            <w:webHidden/>
          </w:rPr>
          <w:tab/>
        </w:r>
        <w:r>
          <w:rPr>
            <w:noProof/>
            <w:webHidden/>
          </w:rPr>
          <w:fldChar w:fldCharType="begin"/>
        </w:r>
        <w:r>
          <w:rPr>
            <w:noProof/>
            <w:webHidden/>
          </w:rPr>
          <w:instrText xml:space="preserve"> PAGEREF _Toc20997313 \h </w:instrText>
        </w:r>
        <w:r>
          <w:rPr>
            <w:noProof/>
            <w:webHidden/>
          </w:rPr>
        </w:r>
        <w:r>
          <w:rPr>
            <w:noProof/>
            <w:webHidden/>
          </w:rPr>
          <w:fldChar w:fldCharType="separate"/>
        </w:r>
        <w:r w:rsidR="00486803">
          <w:rPr>
            <w:noProof/>
            <w:webHidden/>
          </w:rPr>
          <w:t>23</w:t>
        </w:r>
        <w:r>
          <w:rPr>
            <w:noProof/>
            <w:webHidden/>
          </w:rPr>
          <w:fldChar w:fldCharType="end"/>
        </w:r>
      </w:hyperlink>
    </w:p>
    <w:p w14:paraId="4B20D871" w14:textId="442F3AAC" w:rsidR="00572A57" w:rsidRDefault="00572A57">
      <w:pPr>
        <w:pStyle w:val="TOC1"/>
        <w:rPr>
          <w:rFonts w:asciiTheme="minorHAnsi" w:eastAsiaTheme="minorEastAsia" w:hAnsiTheme="minorHAnsi" w:cstheme="minorBidi"/>
          <w:noProof/>
          <w:sz w:val="22"/>
          <w:szCs w:val="22"/>
          <w:lang w:eastAsia="en-NZ"/>
        </w:rPr>
      </w:pPr>
      <w:hyperlink w:anchor="_Toc20997314" w:history="1">
        <w:r w:rsidRPr="00B675B6">
          <w:rPr>
            <w:rStyle w:val="Hyperlink"/>
            <w:noProof/>
          </w:rPr>
          <w:t>References</w:t>
        </w:r>
        <w:r>
          <w:rPr>
            <w:noProof/>
            <w:webHidden/>
          </w:rPr>
          <w:tab/>
        </w:r>
        <w:r>
          <w:rPr>
            <w:noProof/>
            <w:webHidden/>
          </w:rPr>
          <w:fldChar w:fldCharType="begin"/>
        </w:r>
        <w:r>
          <w:rPr>
            <w:noProof/>
            <w:webHidden/>
          </w:rPr>
          <w:instrText xml:space="preserve"> PAGEREF _Toc20997314 \h </w:instrText>
        </w:r>
        <w:r>
          <w:rPr>
            <w:noProof/>
            <w:webHidden/>
          </w:rPr>
        </w:r>
        <w:r>
          <w:rPr>
            <w:noProof/>
            <w:webHidden/>
          </w:rPr>
          <w:fldChar w:fldCharType="separate"/>
        </w:r>
        <w:r w:rsidR="00486803">
          <w:rPr>
            <w:noProof/>
            <w:webHidden/>
          </w:rPr>
          <w:t>24</w:t>
        </w:r>
        <w:r>
          <w:rPr>
            <w:noProof/>
            <w:webHidden/>
          </w:rPr>
          <w:fldChar w:fldCharType="end"/>
        </w:r>
      </w:hyperlink>
    </w:p>
    <w:p w14:paraId="6AF33960" w14:textId="50E513EF" w:rsidR="008C2973" w:rsidRPr="00320761" w:rsidRDefault="00572A57" w:rsidP="00C10E24">
      <w:pPr>
        <w:pStyle w:val="Heading1"/>
      </w:pPr>
      <w:r>
        <w:rPr>
          <w:rFonts w:ascii="Segoe UI Semibold" w:hAnsi="Segoe UI Semibold"/>
          <w:color w:val="000000" w:themeColor="text1"/>
          <w:spacing w:val="0"/>
          <w:sz w:val="24"/>
        </w:rPr>
        <w:fldChar w:fldCharType="end"/>
      </w:r>
      <w:bookmarkStart w:id="3" w:name="_Toc20997285"/>
      <w:r w:rsidR="00895070" w:rsidRPr="00320761">
        <w:t>Introduction</w:t>
      </w:r>
      <w:bookmarkEnd w:id="3"/>
    </w:p>
    <w:p w14:paraId="54302370" w14:textId="5792B8E1" w:rsidR="007E07BE" w:rsidRPr="00320761" w:rsidRDefault="007E07BE" w:rsidP="007E07BE">
      <w:pPr>
        <w:rPr>
          <w:rStyle w:val="Hyperlink"/>
          <w:rFonts w:ascii="Georgia" w:hAnsi="Georgia"/>
          <w:sz w:val="22"/>
        </w:rPr>
      </w:pPr>
      <w:bookmarkStart w:id="4" w:name="_bookmark7"/>
      <w:bookmarkStart w:id="5" w:name="_Toc372226224"/>
      <w:bookmarkStart w:id="6" w:name="_Toc404710252"/>
      <w:bookmarkStart w:id="7" w:name="_Toc428361629"/>
      <w:bookmarkStart w:id="8" w:name="_Toc467491538"/>
      <w:bookmarkStart w:id="9" w:name="_Toc535580843"/>
      <w:bookmarkStart w:id="10" w:name="_Toc459381923"/>
      <w:bookmarkStart w:id="11" w:name="_Toc460302887"/>
      <w:bookmarkStart w:id="12" w:name="_Toc528588003"/>
      <w:bookmarkEnd w:id="4"/>
      <w:r w:rsidRPr="00320761">
        <w:t xml:space="preserve">This guide describes the content of the New Zealand Health Survey (NZHS) for the period 1 July 2018 to 30 June 2019. It also briefly outlines the history of the NZHS and its development into a continuous survey, describes the process for developing the adult and child questionnaires for 2018/19 and provides an overview of each section of the survey. The questionnaires are available with this report </w:t>
      </w:r>
      <w:r w:rsidR="00832FB6">
        <w:t>o</w:t>
      </w:r>
      <w:r w:rsidRPr="00320761">
        <w:t xml:space="preserve">n the Ministry of Health’s (the Ministry’s) website: </w:t>
      </w:r>
      <w:hyperlink r:id="rId19" w:history="1">
        <w:r w:rsidRPr="00320761">
          <w:rPr>
            <w:rStyle w:val="Hyperlink"/>
          </w:rPr>
          <w:t>www.health.govt.nz</w:t>
        </w:r>
      </w:hyperlink>
    </w:p>
    <w:p w14:paraId="64809028" w14:textId="0CA8AF59" w:rsidR="0037262A" w:rsidRPr="00320761" w:rsidRDefault="0037262A" w:rsidP="0037262A">
      <w:pPr>
        <w:pStyle w:val="Heading2"/>
      </w:pPr>
      <w:bookmarkStart w:id="13" w:name="_Toc20997286"/>
      <w:r w:rsidRPr="00320761">
        <w:t>Background</w:t>
      </w:r>
      <w:bookmarkEnd w:id="5"/>
      <w:bookmarkEnd w:id="6"/>
      <w:bookmarkEnd w:id="7"/>
      <w:bookmarkEnd w:id="8"/>
      <w:bookmarkEnd w:id="9"/>
      <w:bookmarkEnd w:id="13"/>
    </w:p>
    <w:p w14:paraId="4EE0A822" w14:textId="77777777" w:rsidR="007E07BE" w:rsidRPr="00320761" w:rsidRDefault="007E07BE" w:rsidP="007E07BE">
      <w:pPr>
        <w:rPr>
          <w:rFonts w:ascii="Georgia" w:hAnsi="Georgia"/>
          <w:sz w:val="22"/>
        </w:rPr>
      </w:pPr>
      <w:r w:rsidRPr="00320761">
        <w:t xml:space="preserve">The NZHS was first undertaken in 1992/93, with further surveys taking place in 1996/97, 2002/03 and 2006/07. The Ministry’s wider health survey programme included surveys on adult and child nutrition; tobacco, alcohol and drug use; mental health; and oral health. From 2011, the Ministry integrated the NZHS and these other surveys from its wider survey programme into a single survey, which is now in continuous operation. The rationale for this change is detailed in </w:t>
      </w:r>
      <w:r w:rsidRPr="00320761">
        <w:rPr>
          <w:i/>
        </w:rPr>
        <w:t>The New Zealand Health Survey: Objectives and topic areas</w:t>
      </w:r>
      <w:r w:rsidRPr="00320761">
        <w:t xml:space="preserve"> (Ministry of Health 2010).</w:t>
      </w:r>
    </w:p>
    <w:p w14:paraId="1B9F0FC6" w14:textId="77777777" w:rsidR="007E07BE" w:rsidRPr="00320761" w:rsidRDefault="007E07BE" w:rsidP="007E07BE"/>
    <w:p w14:paraId="402CD63A" w14:textId="77777777" w:rsidR="007E07BE" w:rsidRPr="00320761" w:rsidRDefault="007E07BE" w:rsidP="007E07BE">
      <w:r w:rsidRPr="00320761">
        <w:t xml:space="preserve">As a signatory to the </w:t>
      </w:r>
      <w:r w:rsidRPr="00320761">
        <w:rPr>
          <w:i/>
        </w:rPr>
        <w:t>Protocols of Official Statistics</w:t>
      </w:r>
      <w:r w:rsidRPr="00320761">
        <w:t xml:space="preserve"> (Statistics New Zealand 1998), the Ministry employs best-practice survey techniques to extract high-quality information from the NZHS.</w:t>
      </w:r>
      <w:bookmarkStart w:id="14" w:name="_GoBack"/>
      <w:bookmarkEnd w:id="14"/>
      <w:r w:rsidRPr="00320761">
        <w:t xml:space="preserve"> Where possible, the Ministry uses standard frameworks and classifications so that data from the NZHS can be integrated with data from other sources.</w:t>
      </w:r>
    </w:p>
    <w:p w14:paraId="0765582D" w14:textId="77777777" w:rsidR="0037262A" w:rsidRPr="00320761" w:rsidRDefault="0037262A" w:rsidP="0037262A">
      <w:pPr>
        <w:pStyle w:val="Heading2"/>
      </w:pPr>
      <w:bookmarkStart w:id="15" w:name="_Toc372226225"/>
      <w:bookmarkStart w:id="16" w:name="_Toc404710253"/>
      <w:bookmarkStart w:id="17" w:name="_Toc428361630"/>
      <w:bookmarkStart w:id="18" w:name="_Toc467491539"/>
      <w:bookmarkStart w:id="19" w:name="_Toc535580844"/>
      <w:bookmarkStart w:id="20" w:name="_Toc20997287"/>
      <w:r w:rsidRPr="00320761">
        <w:t>Survey design and methodology</w:t>
      </w:r>
      <w:bookmarkEnd w:id="15"/>
      <w:bookmarkEnd w:id="16"/>
      <w:bookmarkEnd w:id="17"/>
      <w:bookmarkEnd w:id="18"/>
      <w:bookmarkEnd w:id="19"/>
      <w:bookmarkEnd w:id="20"/>
    </w:p>
    <w:p w14:paraId="46308DB4" w14:textId="2CD78F3A" w:rsidR="007E07BE" w:rsidRPr="00320761" w:rsidRDefault="007E07BE" w:rsidP="007E07BE">
      <w:pPr>
        <w:rPr>
          <w:rStyle w:val="Hyperlink"/>
          <w:rFonts w:ascii="Georgia" w:hAnsi="Georgia"/>
          <w:sz w:val="22"/>
        </w:rPr>
      </w:pPr>
      <w:bookmarkStart w:id="21" w:name="_Toc372226226"/>
      <w:bookmarkStart w:id="22" w:name="_Toc404710254"/>
      <w:bookmarkStart w:id="23" w:name="_Toc428361631"/>
      <w:bookmarkStart w:id="24" w:name="_Toc467491540"/>
      <w:bookmarkStart w:id="25" w:name="_Toc535580845"/>
      <w:r w:rsidRPr="00320761">
        <w:t xml:space="preserve">The target population for the survey is New Zealand’s usually resident population of all ages and including those living in non-private accommodation. The NZHS sample is selected using a stratified, multi-stage area design. Most of the survey questionnaire is conducted through face-to-face interviews, using computer-assisted personal interviewing (CAPI) software. Some parts of the survey are self-completed by respondents, because of the potentially sensitive nature of the questions. Respondents are adults aged 15 years and older, as well as children aged 0–14 years, who are interviewed through their parent or legal guardian acting as a proxy respondent. The NZHS sample design and methodology will be published online alongside this report, </w:t>
      </w:r>
      <w:r w:rsidR="00320761">
        <w:t>o</w:t>
      </w:r>
      <w:r w:rsidRPr="00320761">
        <w:t xml:space="preserve">n the Ministry’s website: </w:t>
      </w:r>
      <w:hyperlink r:id="rId20" w:history="1">
        <w:r w:rsidRPr="00320761">
          <w:rPr>
            <w:rStyle w:val="Hyperlink"/>
          </w:rPr>
          <w:t>www.health.govt.nz</w:t>
        </w:r>
      </w:hyperlink>
    </w:p>
    <w:p w14:paraId="2C035A52" w14:textId="77777777" w:rsidR="0037262A" w:rsidRPr="00320761" w:rsidRDefault="0037262A" w:rsidP="0037262A">
      <w:pPr>
        <w:pStyle w:val="Heading2"/>
      </w:pPr>
      <w:bookmarkStart w:id="26" w:name="_Toc20997288"/>
      <w:r w:rsidRPr="00320761">
        <w:lastRenderedPageBreak/>
        <w:t>Goal and objectives</w:t>
      </w:r>
      <w:bookmarkEnd w:id="21"/>
      <w:bookmarkEnd w:id="22"/>
      <w:bookmarkEnd w:id="23"/>
      <w:bookmarkEnd w:id="24"/>
      <w:bookmarkEnd w:id="25"/>
      <w:bookmarkEnd w:id="26"/>
    </w:p>
    <w:p w14:paraId="17ACC6CC" w14:textId="77777777" w:rsidR="0037262A" w:rsidRPr="00320761" w:rsidRDefault="0037262A" w:rsidP="0037262A">
      <w:pPr>
        <w:pStyle w:val="Heading3"/>
      </w:pPr>
      <w:bookmarkStart w:id="27" w:name="_Toc20997289"/>
      <w:r w:rsidRPr="00320761">
        <w:t>Goal</w:t>
      </w:r>
      <w:bookmarkEnd w:id="27"/>
    </w:p>
    <w:p w14:paraId="7D3A8DDA" w14:textId="77777777" w:rsidR="007E07BE" w:rsidRPr="00320761" w:rsidRDefault="007E07BE" w:rsidP="007E07BE">
      <w:pPr>
        <w:rPr>
          <w:rFonts w:ascii="Georgia" w:hAnsi="Georgia"/>
          <w:sz w:val="22"/>
        </w:rPr>
      </w:pPr>
      <w:r w:rsidRPr="00320761">
        <w:t>The goal of the NZHS is to support the formulation and evaluation of health policy by providing timely, reliable and relevant health information that cannot be collected more efficiently from other sources. The information covers population health, health risk and protective factors, as well as health service utilisation.</w:t>
      </w:r>
    </w:p>
    <w:p w14:paraId="77ECE2EE" w14:textId="77777777" w:rsidR="0037262A" w:rsidRPr="00320761" w:rsidRDefault="0037262A" w:rsidP="0037262A">
      <w:pPr>
        <w:pStyle w:val="Heading3"/>
      </w:pPr>
      <w:bookmarkStart w:id="28" w:name="_Toc20997290"/>
      <w:r w:rsidRPr="00320761">
        <w:t>Objectives</w:t>
      </w:r>
      <w:bookmarkEnd w:id="28"/>
    </w:p>
    <w:p w14:paraId="55CAB41A" w14:textId="77777777" w:rsidR="0037262A" w:rsidRPr="00320761" w:rsidRDefault="0037262A" w:rsidP="0037262A">
      <w:pPr>
        <w:keepNext/>
      </w:pPr>
      <w:r w:rsidRPr="00320761">
        <w:t>To achieve this goal, 13 high-level objectives have been identified for the NZHS. These are to:</w:t>
      </w:r>
    </w:p>
    <w:p w14:paraId="4F38F1DB" w14:textId="77777777" w:rsidR="007E07BE" w:rsidRPr="00320761" w:rsidRDefault="007E07BE" w:rsidP="007E07BE">
      <w:pPr>
        <w:pStyle w:val="ListParagraph"/>
      </w:pPr>
      <w:r w:rsidRPr="00320761">
        <w:t>monitor the physical and mental health of New Zealanders and the prevalence of selected long-term health conditions</w:t>
      </w:r>
    </w:p>
    <w:p w14:paraId="56A3413D" w14:textId="25896F05" w:rsidR="007E07BE" w:rsidRPr="00320761" w:rsidRDefault="007E07BE" w:rsidP="007E07BE">
      <w:pPr>
        <w:pStyle w:val="ListParagraph"/>
      </w:pPr>
      <w:r w:rsidRPr="00320761">
        <w:t>monitor the prevalence of risk and protective factors associated with these long-term health conditions</w:t>
      </w:r>
    </w:p>
    <w:p w14:paraId="500AA377" w14:textId="7700FFA0" w:rsidR="007E07BE" w:rsidRPr="00320761" w:rsidRDefault="007E07BE" w:rsidP="007E07BE">
      <w:pPr>
        <w:pStyle w:val="ListParagraph"/>
      </w:pPr>
      <w:r w:rsidRPr="00320761">
        <w:t>monitor the use of health services, and patient experience with these services, including access to the services</w:t>
      </w:r>
    </w:p>
    <w:p w14:paraId="432DF20F" w14:textId="2EFB3903" w:rsidR="007E07BE" w:rsidRPr="00320761" w:rsidRDefault="007E07BE" w:rsidP="007E07BE">
      <w:pPr>
        <w:pStyle w:val="ListParagraph"/>
      </w:pPr>
      <w:r w:rsidRPr="00320761">
        <w:t>monitor trends in health-related characteristics, including health status, risk and protective factors, and health service utilisation</w:t>
      </w:r>
    </w:p>
    <w:p w14:paraId="54ABFD85" w14:textId="194BFFDD" w:rsidR="007E07BE" w:rsidRPr="00320761" w:rsidRDefault="007E07BE" w:rsidP="007E07BE">
      <w:pPr>
        <w:pStyle w:val="ListParagraph"/>
      </w:pPr>
      <w:r w:rsidRPr="00320761">
        <w:t>monitor health status and health-related factors that influence social wellbeing outcomes</w:t>
      </w:r>
    </w:p>
    <w:p w14:paraId="6529A983" w14:textId="29BB70FF" w:rsidR="007E07BE" w:rsidRPr="00320761" w:rsidRDefault="007E07BE" w:rsidP="007E07BE">
      <w:pPr>
        <w:pStyle w:val="ListParagraph"/>
      </w:pPr>
      <w:r w:rsidRPr="00320761">
        <w:t>examine differences between population groups, as defined by age, sex, ethnicity and socioeconomic position</w:t>
      </w:r>
    </w:p>
    <w:p w14:paraId="0A58EA66" w14:textId="6927C8D8" w:rsidR="007E07BE" w:rsidRPr="00320761" w:rsidRDefault="007E07BE" w:rsidP="007E07BE">
      <w:pPr>
        <w:pStyle w:val="ListParagraph"/>
      </w:pPr>
      <w:r w:rsidRPr="00320761">
        <w:t>provide a means for collecting data quickly and efficiently in order to address emerging issues related to the health of the population</w:t>
      </w:r>
    </w:p>
    <w:p w14:paraId="1024FC70" w14:textId="23D2E308" w:rsidR="007E07BE" w:rsidRPr="00320761" w:rsidRDefault="007E07BE" w:rsidP="007E07BE">
      <w:pPr>
        <w:pStyle w:val="ListParagraph"/>
      </w:pPr>
      <w:r w:rsidRPr="00320761">
        <w:t>enable follow-up surveys of at-risk populations or patient groups identified from the NZHS as necessary to address specific information needs</w:t>
      </w:r>
    </w:p>
    <w:p w14:paraId="75F4FCB2" w14:textId="7A367578" w:rsidR="007E07BE" w:rsidRPr="00320761" w:rsidRDefault="007E07BE" w:rsidP="007E07BE">
      <w:pPr>
        <w:pStyle w:val="ListParagraph"/>
      </w:pPr>
      <w:r w:rsidRPr="00320761">
        <w:t>measure key health outcomes before and after a policy change or intervention</w:t>
      </w:r>
    </w:p>
    <w:p w14:paraId="528F38B7" w14:textId="35084E6E" w:rsidR="007E07BE" w:rsidRPr="00320761" w:rsidRDefault="007E07BE" w:rsidP="007E07BE">
      <w:pPr>
        <w:pStyle w:val="ListParagraph"/>
      </w:pPr>
      <w:r w:rsidRPr="00320761">
        <w:t>facilitate links to routine administrative data collections to create new health statistics and address wider information needs</w:t>
      </w:r>
    </w:p>
    <w:p w14:paraId="5B7FAEA7" w14:textId="19360914" w:rsidR="007E07BE" w:rsidRPr="00320761" w:rsidRDefault="007E07BE" w:rsidP="007E07BE">
      <w:pPr>
        <w:pStyle w:val="ListParagraph"/>
      </w:pPr>
      <w:r w:rsidRPr="00320761">
        <w:t>provide data for researchers and health statistics for the general public</w:t>
      </w:r>
    </w:p>
    <w:p w14:paraId="4C5C2544" w14:textId="6E313485" w:rsidR="007E07BE" w:rsidRPr="00320761" w:rsidRDefault="007E07BE" w:rsidP="007E07BE">
      <w:pPr>
        <w:pStyle w:val="ListParagraph"/>
      </w:pPr>
      <w:r w:rsidRPr="00320761">
        <w:t>allow New Zealand data to be compared with international health statistics</w:t>
      </w:r>
    </w:p>
    <w:p w14:paraId="060E916D" w14:textId="49157D0F" w:rsidR="007E07BE" w:rsidRPr="00320761" w:rsidRDefault="007E07BE" w:rsidP="007E07BE">
      <w:pPr>
        <w:pStyle w:val="ListParagraph"/>
      </w:pPr>
      <w:r w:rsidRPr="00320761">
        <w:t>evaluate methods and tools to improve the survey’s quality, including implementing objective tests to capture information that is not accessible under the self-report process, such as measuring blood pressure.</w:t>
      </w:r>
    </w:p>
    <w:p w14:paraId="65EDE30D" w14:textId="77777777" w:rsidR="0037262A" w:rsidRPr="00320761" w:rsidRDefault="0037262A" w:rsidP="0037262A"/>
    <w:p w14:paraId="722C5D56" w14:textId="77777777" w:rsidR="0037262A" w:rsidRPr="00320761" w:rsidRDefault="0037262A" w:rsidP="0037262A">
      <w:pPr>
        <w:pStyle w:val="Heading2"/>
      </w:pPr>
      <w:bookmarkStart w:id="29" w:name="_Toc372226227"/>
      <w:bookmarkStart w:id="30" w:name="_Toc404710255"/>
      <w:bookmarkStart w:id="31" w:name="_Toc428361632"/>
      <w:bookmarkStart w:id="32" w:name="_Toc467491541"/>
      <w:bookmarkStart w:id="33" w:name="_Toc535580846"/>
      <w:bookmarkStart w:id="34" w:name="_Toc20997291"/>
      <w:r w:rsidRPr="00320761">
        <w:lastRenderedPageBreak/>
        <w:t>Information domains</w:t>
      </w:r>
      <w:bookmarkEnd w:id="29"/>
      <w:bookmarkEnd w:id="30"/>
      <w:bookmarkEnd w:id="31"/>
      <w:bookmarkEnd w:id="32"/>
      <w:bookmarkEnd w:id="33"/>
      <w:bookmarkEnd w:id="34"/>
    </w:p>
    <w:p w14:paraId="69614C10" w14:textId="77777777" w:rsidR="007E07BE" w:rsidRPr="00320761" w:rsidRDefault="007E07BE" w:rsidP="007E07BE">
      <w:pPr>
        <w:rPr>
          <w:rFonts w:ascii="Georgia" w:hAnsi="Georgia"/>
          <w:sz w:val="22"/>
        </w:rPr>
      </w:pPr>
      <w:r w:rsidRPr="00320761">
        <w:t>To meet the high-level objectives of the NZHS, particularly the first six listed above, detailed information is collected across nine information areas or domains. These nine domains are:</w:t>
      </w:r>
    </w:p>
    <w:p w14:paraId="0F85337A" w14:textId="17621EAE" w:rsidR="0037262A" w:rsidRPr="00320761" w:rsidRDefault="0037262A" w:rsidP="007E07BE">
      <w:pPr>
        <w:pStyle w:val="Number"/>
        <w:numPr>
          <w:ilvl w:val="0"/>
          <w:numId w:val="26"/>
        </w:numPr>
      </w:pPr>
      <w:r w:rsidRPr="00320761">
        <w:t>health status</w:t>
      </w:r>
    </w:p>
    <w:p w14:paraId="041492E9" w14:textId="3D770ADE" w:rsidR="0037262A" w:rsidRPr="00320761" w:rsidRDefault="0037262A" w:rsidP="007E07BE">
      <w:pPr>
        <w:pStyle w:val="Number"/>
        <w:numPr>
          <w:ilvl w:val="0"/>
          <w:numId w:val="26"/>
        </w:numPr>
      </w:pPr>
      <w:r w:rsidRPr="00320761">
        <w:t>long-term health conditions</w:t>
      </w:r>
    </w:p>
    <w:p w14:paraId="2454A1FA" w14:textId="35D721F3" w:rsidR="0037262A" w:rsidRPr="00320761" w:rsidRDefault="0037262A" w:rsidP="007E07BE">
      <w:pPr>
        <w:pStyle w:val="Number"/>
        <w:numPr>
          <w:ilvl w:val="0"/>
          <w:numId w:val="26"/>
        </w:numPr>
      </w:pPr>
      <w:r w:rsidRPr="00320761">
        <w:t>behaviours and risk factors (including tobacco, alcohol and drug use)</w:t>
      </w:r>
    </w:p>
    <w:p w14:paraId="5DD6C989" w14:textId="52EB81F6" w:rsidR="0037262A" w:rsidRPr="00320761" w:rsidRDefault="0037262A" w:rsidP="007E07BE">
      <w:pPr>
        <w:pStyle w:val="Number"/>
        <w:numPr>
          <w:ilvl w:val="0"/>
          <w:numId w:val="26"/>
        </w:numPr>
      </w:pPr>
      <w:r w:rsidRPr="00320761">
        <w:t>nutrition</w:t>
      </w:r>
    </w:p>
    <w:p w14:paraId="13FE852F" w14:textId="782D5719" w:rsidR="0037262A" w:rsidRPr="00320761" w:rsidRDefault="0037262A" w:rsidP="007E07BE">
      <w:pPr>
        <w:pStyle w:val="Number"/>
        <w:numPr>
          <w:ilvl w:val="0"/>
          <w:numId w:val="26"/>
        </w:numPr>
      </w:pPr>
      <w:r w:rsidRPr="00320761">
        <w:t>mental health</w:t>
      </w:r>
    </w:p>
    <w:p w14:paraId="26480B95" w14:textId="5CB8CA21" w:rsidR="0037262A" w:rsidRPr="00320761" w:rsidRDefault="0037262A" w:rsidP="007E07BE">
      <w:pPr>
        <w:pStyle w:val="Number"/>
        <w:numPr>
          <w:ilvl w:val="0"/>
          <w:numId w:val="26"/>
        </w:numPr>
      </w:pPr>
      <w:r w:rsidRPr="00320761">
        <w:t>oral health</w:t>
      </w:r>
    </w:p>
    <w:p w14:paraId="34F10CC0" w14:textId="484D201F" w:rsidR="0037262A" w:rsidRPr="00320761" w:rsidRDefault="0037262A" w:rsidP="007E07BE">
      <w:pPr>
        <w:pStyle w:val="Number"/>
        <w:numPr>
          <w:ilvl w:val="0"/>
          <w:numId w:val="26"/>
        </w:numPr>
      </w:pPr>
      <w:r w:rsidRPr="00320761">
        <w:t>health service utilisation</w:t>
      </w:r>
    </w:p>
    <w:p w14:paraId="1E82EF61" w14:textId="039D383C" w:rsidR="0037262A" w:rsidRPr="00320761" w:rsidRDefault="0037262A" w:rsidP="007E07BE">
      <w:pPr>
        <w:pStyle w:val="Number"/>
        <w:numPr>
          <w:ilvl w:val="0"/>
          <w:numId w:val="26"/>
        </w:numPr>
      </w:pPr>
      <w:r w:rsidRPr="00320761">
        <w:t>patient experience</w:t>
      </w:r>
    </w:p>
    <w:p w14:paraId="2026169C" w14:textId="21D9E378" w:rsidR="0037262A" w:rsidRPr="00320761" w:rsidRDefault="0037262A" w:rsidP="007E07BE">
      <w:pPr>
        <w:pStyle w:val="Number"/>
        <w:numPr>
          <w:ilvl w:val="0"/>
          <w:numId w:val="26"/>
        </w:numPr>
      </w:pPr>
      <w:proofErr w:type="spellStart"/>
      <w:r w:rsidRPr="00320761">
        <w:t>sociodemographics</w:t>
      </w:r>
      <w:proofErr w:type="spellEnd"/>
      <w:r w:rsidRPr="00320761">
        <w:t>.</w:t>
      </w:r>
    </w:p>
    <w:p w14:paraId="703E2540" w14:textId="77777777" w:rsidR="0037262A" w:rsidRPr="00320761" w:rsidRDefault="0037262A" w:rsidP="0037262A"/>
    <w:p w14:paraId="317ED94C" w14:textId="77777777" w:rsidR="007E07BE" w:rsidRPr="00320761" w:rsidRDefault="007E07BE" w:rsidP="007E07BE">
      <w:pPr>
        <w:rPr>
          <w:rFonts w:ascii="Georgia" w:hAnsi="Georgia"/>
          <w:sz w:val="22"/>
        </w:rPr>
      </w:pPr>
      <w:bookmarkStart w:id="35" w:name="_Toc372226228"/>
      <w:bookmarkStart w:id="36" w:name="_Toc404710256"/>
      <w:bookmarkStart w:id="37" w:name="_Toc428361633"/>
      <w:bookmarkStart w:id="38" w:name="_Toc467491542"/>
      <w:bookmarkStart w:id="39" w:name="_Toc535580847"/>
      <w:r w:rsidRPr="00320761">
        <w:t>There is crossover between some domains. For example, aspects of mental health and oral health are included within the long-term health conditions domain, and nutrition is included within the behaviours and risk factors domain.</w:t>
      </w:r>
    </w:p>
    <w:p w14:paraId="0BEA09EC" w14:textId="77777777" w:rsidR="0037262A" w:rsidRPr="00320761" w:rsidRDefault="0037262A" w:rsidP="0037262A">
      <w:pPr>
        <w:pStyle w:val="Heading2"/>
      </w:pPr>
      <w:bookmarkStart w:id="40" w:name="_Toc20997292"/>
      <w:r w:rsidRPr="00320761">
        <w:t>Questionnaire components</w:t>
      </w:r>
      <w:bookmarkEnd w:id="35"/>
      <w:bookmarkEnd w:id="36"/>
      <w:bookmarkEnd w:id="37"/>
      <w:bookmarkEnd w:id="38"/>
      <w:bookmarkEnd w:id="39"/>
      <w:bookmarkEnd w:id="40"/>
    </w:p>
    <w:p w14:paraId="49F57176" w14:textId="77777777" w:rsidR="007E07BE" w:rsidRPr="00320761" w:rsidRDefault="007E07BE" w:rsidP="007E07BE">
      <w:pPr>
        <w:rPr>
          <w:rFonts w:ascii="Georgia" w:hAnsi="Georgia"/>
          <w:sz w:val="22"/>
        </w:rPr>
      </w:pPr>
      <w:r w:rsidRPr="00320761">
        <w:t>The NZHS includes a set of questions drawn from each of the nine information domains. These ‘core’ questions remain the same each year. They make up about half of the survey questions. The NZHS also includes questions that examine a topic in more depth. These ‘module’ questions change each year and make up the other half of the survey questions.</w:t>
      </w:r>
    </w:p>
    <w:p w14:paraId="680E8FC9" w14:textId="77777777" w:rsidR="007E07BE" w:rsidRPr="00320761" w:rsidRDefault="007E07BE" w:rsidP="007E07BE"/>
    <w:p w14:paraId="11AEFCA5" w14:textId="77777777" w:rsidR="007E07BE" w:rsidRPr="00320761" w:rsidRDefault="007E07BE" w:rsidP="007E07BE">
      <w:r w:rsidRPr="00320761">
        <w:t>Because of its size and importance, the behaviours and risk factors domain has been split into a number of modules, including physical activity, tobacco use, alcohol consumption, drug use, problem gambling and sexual and reproductive health. Some modules may run concurrently (</w:t>
      </w:r>
      <w:proofErr w:type="spellStart"/>
      <w:r w:rsidRPr="00320761">
        <w:t>eg</w:t>
      </w:r>
      <w:proofErr w:type="spellEnd"/>
      <w:r w:rsidRPr="00320761">
        <w:t>, tobacco, drugs and alcohol use ran together in the 2012/13 survey).</w:t>
      </w:r>
    </w:p>
    <w:p w14:paraId="011F0BA1" w14:textId="77777777" w:rsidR="007E07BE" w:rsidRPr="00320761" w:rsidRDefault="007E07BE" w:rsidP="007E07BE"/>
    <w:p w14:paraId="08F7B255" w14:textId="0B4AA91B" w:rsidR="00514EEA" w:rsidRPr="00572A57" w:rsidRDefault="007E07BE" w:rsidP="00572A57">
      <w:r w:rsidRPr="00320761">
        <w:t>The continuous nature of the survey also makes it possible to incorporate shorter (one- to three</w:t>
      </w:r>
      <w:r w:rsidRPr="00320761">
        <w:noBreakHyphen/>
        <w:t>minute) ‘clip-on’ modules. These clip-on modules may address an urgent emerging issue or an important topic where policy development or monitoring requires additional information that can be obtained through a small number of questions.</w:t>
      </w:r>
      <w:bookmarkStart w:id="41" w:name="_Toc459381927"/>
      <w:bookmarkStart w:id="42" w:name="_Toc460302891"/>
      <w:bookmarkStart w:id="43" w:name="_Toc528588005"/>
      <w:bookmarkStart w:id="44" w:name="_Toc1738349"/>
      <w:bookmarkEnd w:id="10"/>
      <w:bookmarkEnd w:id="11"/>
      <w:bookmarkEnd w:id="12"/>
    </w:p>
    <w:p w14:paraId="74275F20" w14:textId="77777777" w:rsidR="0037262A" w:rsidRPr="00320761" w:rsidRDefault="0037262A" w:rsidP="0037262A">
      <w:pPr>
        <w:pStyle w:val="Heading1"/>
      </w:pPr>
      <w:bookmarkStart w:id="45" w:name="_Toc20997293"/>
      <w:bookmarkEnd w:id="41"/>
      <w:bookmarkEnd w:id="42"/>
      <w:bookmarkEnd w:id="43"/>
      <w:bookmarkEnd w:id="44"/>
      <w:r w:rsidRPr="00320761">
        <w:lastRenderedPageBreak/>
        <w:t>Process for developing the New Zealand Health Survey</w:t>
      </w:r>
      <w:bookmarkEnd w:id="45"/>
    </w:p>
    <w:p w14:paraId="7C5C5983" w14:textId="77777777" w:rsidR="007E07BE" w:rsidRPr="00320761" w:rsidRDefault="007E07BE" w:rsidP="007E07BE">
      <w:pPr>
        <w:rPr>
          <w:rFonts w:ascii="Georgia" w:hAnsi="Georgia"/>
          <w:sz w:val="22"/>
        </w:rPr>
      </w:pPr>
      <w:bookmarkStart w:id="46" w:name="_Toc372226230"/>
      <w:bookmarkStart w:id="47" w:name="_Toc404710258"/>
      <w:bookmarkStart w:id="48" w:name="_Toc428361635"/>
      <w:bookmarkStart w:id="49" w:name="_Toc467491544"/>
      <w:bookmarkStart w:id="50" w:name="_Toc535580849"/>
      <w:r w:rsidRPr="00320761">
        <w:t>The Ministry’s Health and Disability Intelligence Group developed the adult and child questionnaires for the NZHS in consultation with key internal stakeholders (</w:t>
      </w:r>
      <w:proofErr w:type="spellStart"/>
      <w:r w:rsidRPr="00320761">
        <w:t>eg</w:t>
      </w:r>
      <w:proofErr w:type="spellEnd"/>
      <w:r w:rsidRPr="00320761">
        <w:t>, policy groups) and external stakeholders (</w:t>
      </w:r>
      <w:proofErr w:type="spellStart"/>
      <w:r w:rsidRPr="00320761">
        <w:t>eg</w:t>
      </w:r>
      <w:proofErr w:type="spellEnd"/>
      <w:r w:rsidRPr="00320761">
        <w:t>, technical experts and data users).</w:t>
      </w:r>
    </w:p>
    <w:p w14:paraId="645E7E66" w14:textId="77777777" w:rsidR="00CF37F7" w:rsidRPr="00320761" w:rsidRDefault="00CF37F7" w:rsidP="00CF37F7">
      <w:pPr>
        <w:pStyle w:val="Heading2"/>
      </w:pPr>
      <w:bookmarkStart w:id="51" w:name="_Toc20997294"/>
      <w:r w:rsidRPr="00320761">
        <w:t>Core component</w:t>
      </w:r>
      <w:bookmarkEnd w:id="46"/>
      <w:bookmarkEnd w:id="47"/>
      <w:bookmarkEnd w:id="48"/>
      <w:bookmarkEnd w:id="49"/>
      <w:bookmarkEnd w:id="50"/>
      <w:bookmarkEnd w:id="51"/>
    </w:p>
    <w:p w14:paraId="1823F689" w14:textId="77777777" w:rsidR="00CF37F7" w:rsidRPr="00320761" w:rsidRDefault="00CF37F7" w:rsidP="00CF37F7">
      <w:r w:rsidRPr="00320761">
        <w:t>The NZHS aims to maintain continuity with previous surveys so that time trends can be analysed. To facilitate this approach, the 2006/07 NZHS was used as a ‘question bank’; that is, where possible, the wording of the core questions, response options, show-cards and interviewer prompts from the 2006/07 NZHS has been retained in subsequent surveys.</w:t>
      </w:r>
    </w:p>
    <w:p w14:paraId="36B59354" w14:textId="77777777" w:rsidR="00CF37F7" w:rsidRPr="00320761" w:rsidRDefault="00CF37F7" w:rsidP="00CF37F7"/>
    <w:p w14:paraId="6EE1C1C6" w14:textId="77777777" w:rsidR="00CF37F7" w:rsidRPr="00320761" w:rsidRDefault="00CF37F7" w:rsidP="00CF37F7">
      <w:r w:rsidRPr="00320761">
        <w:t xml:space="preserve">Topics for inclusion in the core component of the NZHS were based on those outlined in </w:t>
      </w:r>
      <w:hyperlink r:id="rId21" w:history="1">
        <w:r w:rsidRPr="00320761">
          <w:rPr>
            <w:rStyle w:val="Hyperlink"/>
            <w:i/>
          </w:rPr>
          <w:t>The</w:t>
        </w:r>
        <w:r w:rsidRPr="00320761">
          <w:rPr>
            <w:rStyle w:val="Hyperlink"/>
          </w:rPr>
          <w:t xml:space="preserve"> </w:t>
        </w:r>
        <w:r w:rsidRPr="00320761">
          <w:rPr>
            <w:rStyle w:val="Hyperlink"/>
            <w:i/>
          </w:rPr>
          <w:t>New Zealand Health Survey: Objectives and topic areas</w:t>
        </w:r>
      </w:hyperlink>
      <w:r w:rsidRPr="00320761">
        <w:rPr>
          <w:i/>
        </w:rPr>
        <w:t xml:space="preserve"> </w:t>
      </w:r>
      <w:r w:rsidRPr="00320761">
        <w:t>(Ministry of Health 2010). The following four criteria were used to determine the topics that would be included each year as core components.</w:t>
      </w:r>
    </w:p>
    <w:p w14:paraId="552ACD75" w14:textId="77777777" w:rsidR="007E07BE" w:rsidRPr="00320761" w:rsidRDefault="007E07BE" w:rsidP="007E07BE">
      <w:pPr>
        <w:pStyle w:val="Bullet"/>
        <w:numPr>
          <w:ilvl w:val="0"/>
          <w:numId w:val="27"/>
        </w:numPr>
        <w:spacing w:line="264" w:lineRule="auto"/>
        <w:rPr>
          <w:rFonts w:ascii="Georgia" w:hAnsi="Georgia"/>
          <w:sz w:val="22"/>
        </w:rPr>
      </w:pPr>
      <w:r w:rsidRPr="00320761">
        <w:t>Impact – the topic has a large impact on health, health policy or health care costs.</w:t>
      </w:r>
    </w:p>
    <w:p w14:paraId="6618DB91" w14:textId="77777777" w:rsidR="007E07BE" w:rsidRPr="00320761" w:rsidRDefault="007E07BE" w:rsidP="007E07BE">
      <w:pPr>
        <w:pStyle w:val="Bullet"/>
        <w:numPr>
          <w:ilvl w:val="0"/>
          <w:numId w:val="27"/>
        </w:numPr>
        <w:spacing w:line="264" w:lineRule="auto"/>
      </w:pPr>
      <w:r w:rsidRPr="00320761">
        <w:t>Measurability – the topic lends itself to robust measurement, including high reliability and validity and responsiveness to change.</w:t>
      </w:r>
    </w:p>
    <w:p w14:paraId="62AC3040" w14:textId="77777777" w:rsidR="007E07BE" w:rsidRPr="00320761" w:rsidRDefault="007E07BE" w:rsidP="007E07BE">
      <w:pPr>
        <w:pStyle w:val="Bullet"/>
        <w:numPr>
          <w:ilvl w:val="0"/>
          <w:numId w:val="27"/>
        </w:numPr>
        <w:spacing w:line="264" w:lineRule="auto"/>
      </w:pPr>
      <w:r w:rsidRPr="00320761">
        <w:t>Disaggregation – the data that can be collected on the topic can be analysed by social group or region.</w:t>
      </w:r>
    </w:p>
    <w:p w14:paraId="02C3FAA5" w14:textId="77777777" w:rsidR="007E07BE" w:rsidRPr="00320761" w:rsidRDefault="007E07BE" w:rsidP="007E07BE">
      <w:pPr>
        <w:pStyle w:val="Bullet"/>
        <w:numPr>
          <w:ilvl w:val="0"/>
          <w:numId w:val="27"/>
        </w:numPr>
        <w:spacing w:line="264" w:lineRule="auto"/>
      </w:pPr>
      <w:r w:rsidRPr="00320761">
        <w:t>International comparability – the topic lends itself to meaningful international benchmarking.</w:t>
      </w:r>
    </w:p>
    <w:p w14:paraId="6CFE83AD" w14:textId="77777777" w:rsidR="00CF37F7" w:rsidRPr="00320761" w:rsidRDefault="00CF37F7" w:rsidP="00CF37F7"/>
    <w:p w14:paraId="3AB1FC5A" w14:textId="77777777" w:rsidR="007E07BE" w:rsidRPr="00320761" w:rsidRDefault="007E07BE" w:rsidP="007E07BE">
      <w:pPr>
        <w:rPr>
          <w:rFonts w:ascii="Georgia" w:hAnsi="Georgia"/>
          <w:sz w:val="22"/>
        </w:rPr>
      </w:pPr>
      <w:r w:rsidRPr="00320761">
        <w:t xml:space="preserve">Priority was given to questions that related to key indicators or outputs and could be used to monitor important health-related time trends. Results on an indicator or output that were included in </w:t>
      </w:r>
      <w:hyperlink r:id="rId22" w:history="1">
        <w:r w:rsidRPr="00320761">
          <w:rPr>
            <w:rStyle w:val="Hyperlink"/>
            <w:i/>
          </w:rPr>
          <w:t>A Portrait of Health: Key results of the 2006/07 New Zealand Health Survey</w:t>
        </w:r>
      </w:hyperlink>
      <w:r w:rsidRPr="00320761">
        <w:t xml:space="preserve"> (Ministry of Health 2008) were considered to be important.</w:t>
      </w:r>
    </w:p>
    <w:p w14:paraId="592AC8FC" w14:textId="77777777" w:rsidR="007E07BE" w:rsidRPr="00320761" w:rsidRDefault="007E07BE" w:rsidP="007E07BE"/>
    <w:p w14:paraId="596D3F8A" w14:textId="77777777" w:rsidR="007E07BE" w:rsidRPr="00320761" w:rsidRDefault="007E07BE" w:rsidP="007E07BE">
      <w:r w:rsidRPr="00320761">
        <w:t>Most of the questions selected for the core component of the survey were from the 2006/07 NZHS. The 2006/07 NZHS included a number of questions from validated instruments, such as the Medical Outcomes Study Short Form (SF-36) and the Alcohol Use Disorders Identification Test (AUDIT). For the NZHS core, the SF-36 was replaced by the SF-12, to minimise interview time. Most other questions selected for the NZHS core occurred in at least one previous survey (1992/93, 1996/97 and/or 2002/03).</w:t>
      </w:r>
    </w:p>
    <w:p w14:paraId="4F2B82B9" w14:textId="77777777" w:rsidR="007E07BE" w:rsidRPr="00320761" w:rsidRDefault="007E07BE" w:rsidP="007E07BE"/>
    <w:p w14:paraId="5342DB22" w14:textId="77777777" w:rsidR="007E07BE" w:rsidRPr="00320761" w:rsidRDefault="007E07BE" w:rsidP="007E07BE">
      <w:pPr>
        <w:rPr>
          <w:lang w:eastAsia="en-US"/>
        </w:rPr>
      </w:pPr>
      <w:r w:rsidRPr="00320761">
        <w:lastRenderedPageBreak/>
        <w:t xml:space="preserve">The need to </w:t>
      </w:r>
      <w:r w:rsidRPr="00320761">
        <w:rPr>
          <w:lang w:eastAsia="en-US"/>
        </w:rPr>
        <w:t>sustain time series makes it more difficult to update and improve core questions and to add new core questions. Where needed, questions will generally be improved when a topic area covered by a core question is reviewed in depth during the development of a related module.</w:t>
      </w:r>
    </w:p>
    <w:p w14:paraId="66069C54" w14:textId="77777777" w:rsidR="00CF37F7" w:rsidRPr="00320761" w:rsidRDefault="00CF37F7" w:rsidP="00CF37F7"/>
    <w:p w14:paraId="49749AF6" w14:textId="77777777" w:rsidR="007E07BE" w:rsidRPr="00320761" w:rsidRDefault="007E07BE" w:rsidP="007E07BE">
      <w:pPr>
        <w:keepNext/>
        <w:rPr>
          <w:rFonts w:ascii="Georgia" w:hAnsi="Georgia"/>
          <w:sz w:val="22"/>
        </w:rPr>
      </w:pPr>
      <w:bookmarkStart w:id="52" w:name="_Toc372226231"/>
      <w:bookmarkStart w:id="53" w:name="_Toc404710259"/>
      <w:bookmarkStart w:id="54" w:name="_Toc428361636"/>
      <w:bookmarkStart w:id="55" w:name="_Toc467491545"/>
      <w:bookmarkStart w:id="56" w:name="_Toc535580850"/>
      <w:r w:rsidRPr="00320761">
        <w:t>The core component of the NZHS includes measuring height and weight in respondents aged two years and older, waist circumference in respondents aged five years and older and blood pressure in respondents aged 15 years and older.</w:t>
      </w:r>
    </w:p>
    <w:p w14:paraId="53345EBB" w14:textId="77777777" w:rsidR="00CF37F7" w:rsidRPr="00320761" w:rsidRDefault="00CF37F7" w:rsidP="00CF37F7">
      <w:pPr>
        <w:pStyle w:val="Heading2"/>
      </w:pPr>
      <w:bookmarkStart w:id="57" w:name="_Toc20997295"/>
      <w:r w:rsidRPr="00320761">
        <w:t>Module component</w:t>
      </w:r>
      <w:bookmarkEnd w:id="52"/>
      <w:bookmarkEnd w:id="53"/>
      <w:bookmarkEnd w:id="54"/>
      <w:r w:rsidRPr="00320761">
        <w:t>s</w:t>
      </w:r>
      <w:bookmarkEnd w:id="55"/>
      <w:bookmarkEnd w:id="56"/>
      <w:bookmarkEnd w:id="57"/>
    </w:p>
    <w:p w14:paraId="1B2309E5" w14:textId="77777777" w:rsidR="00CF37F7" w:rsidRPr="00320761" w:rsidRDefault="00CF37F7" w:rsidP="00CF37F7">
      <w:r w:rsidRPr="00320761">
        <w:t>The module topics in the 2018/19 NZHS are:</w:t>
      </w:r>
    </w:p>
    <w:p w14:paraId="2A3F677E" w14:textId="77777777" w:rsidR="00CF37F7" w:rsidRPr="00320761" w:rsidRDefault="00CF37F7" w:rsidP="000A476A">
      <w:pPr>
        <w:pStyle w:val="Bullet"/>
        <w:numPr>
          <w:ilvl w:val="0"/>
          <w:numId w:val="22"/>
        </w:numPr>
        <w:spacing w:line="264" w:lineRule="auto"/>
        <w:rPr>
          <w:lang w:eastAsia="en-US"/>
        </w:rPr>
      </w:pPr>
      <w:r w:rsidRPr="00320761">
        <w:rPr>
          <w:lang w:eastAsia="en-US"/>
        </w:rPr>
        <w:t>dietary habits, for adults and children</w:t>
      </w:r>
    </w:p>
    <w:p w14:paraId="5D720352" w14:textId="77777777" w:rsidR="00CF37F7" w:rsidRPr="00320761" w:rsidRDefault="00CF37F7" w:rsidP="000A476A">
      <w:pPr>
        <w:pStyle w:val="Bullet"/>
        <w:numPr>
          <w:ilvl w:val="0"/>
          <w:numId w:val="22"/>
        </w:numPr>
        <w:spacing w:line="264" w:lineRule="auto"/>
        <w:rPr>
          <w:lang w:eastAsia="en-US"/>
        </w:rPr>
      </w:pPr>
      <w:r w:rsidRPr="00320761">
        <w:rPr>
          <w:lang w:eastAsia="en-US"/>
        </w:rPr>
        <w:t>alcohol use, for adults</w:t>
      </w:r>
    </w:p>
    <w:p w14:paraId="79F6439E" w14:textId="77777777" w:rsidR="00CF37F7" w:rsidRPr="00320761" w:rsidRDefault="00CF37F7" w:rsidP="000A476A">
      <w:pPr>
        <w:pStyle w:val="Bullet"/>
        <w:numPr>
          <w:ilvl w:val="0"/>
          <w:numId w:val="22"/>
        </w:numPr>
        <w:spacing w:line="264" w:lineRule="auto"/>
        <w:rPr>
          <w:lang w:eastAsia="en-US"/>
        </w:rPr>
      </w:pPr>
      <w:r w:rsidRPr="00320761">
        <w:rPr>
          <w:lang w:eastAsia="en-US"/>
        </w:rPr>
        <w:t>functional difficulties, for adults and children.</w:t>
      </w:r>
    </w:p>
    <w:p w14:paraId="778CF4A3" w14:textId="77777777" w:rsidR="00CF37F7" w:rsidRPr="00320761" w:rsidRDefault="00CF37F7" w:rsidP="00CF37F7"/>
    <w:p w14:paraId="7592154F" w14:textId="77777777" w:rsidR="00CF37F7" w:rsidRPr="00320761" w:rsidRDefault="00CF37F7" w:rsidP="00CF37F7">
      <w:r w:rsidRPr="00320761">
        <w:t>Details of question development are explained in ‘Content of the New Zealand Health Survey’ below.</w:t>
      </w:r>
    </w:p>
    <w:p w14:paraId="004880E6" w14:textId="77777777" w:rsidR="00CF37F7" w:rsidRPr="00320761" w:rsidRDefault="00CF37F7" w:rsidP="00CF37F7"/>
    <w:p w14:paraId="78859B24" w14:textId="6769F8F9" w:rsidR="00CF37F7" w:rsidRPr="00320761" w:rsidRDefault="00CF37F7" w:rsidP="00CF37F7">
      <w:r w:rsidRPr="00320761">
        <w:t xml:space="preserve">All the module topics for the continuous NZHS until 2018/19 are summarised in </w:t>
      </w:r>
      <w:r w:rsidR="009D003B" w:rsidRPr="00320761">
        <w:fldChar w:fldCharType="begin"/>
      </w:r>
      <w:r w:rsidR="009D003B" w:rsidRPr="00320761">
        <w:instrText xml:space="preserve"> REF _Ref20730933 \h </w:instrText>
      </w:r>
      <w:r w:rsidR="00320761">
        <w:instrText xml:space="preserve"> \* MERGEFORMAT </w:instrText>
      </w:r>
      <w:r w:rsidR="009D003B" w:rsidRPr="00320761">
        <w:fldChar w:fldCharType="separate"/>
      </w:r>
      <w:r w:rsidR="00486803" w:rsidRPr="00320761">
        <w:t xml:space="preserve">Table </w:t>
      </w:r>
      <w:r w:rsidR="00486803">
        <w:rPr>
          <w:noProof/>
        </w:rPr>
        <w:t>1</w:t>
      </w:r>
      <w:r w:rsidR="009D003B" w:rsidRPr="00320761">
        <w:fldChar w:fldCharType="end"/>
      </w:r>
      <w:r w:rsidRPr="00320761">
        <w:t>.</w:t>
      </w:r>
      <w:bookmarkStart w:id="58" w:name="_Ref338860026"/>
      <w:bookmarkStart w:id="59" w:name="_Toc339878413"/>
    </w:p>
    <w:p w14:paraId="389DBEFF" w14:textId="77777777" w:rsidR="00CF37F7" w:rsidRPr="00320761" w:rsidRDefault="00CF37F7" w:rsidP="00CF37F7"/>
    <w:p w14:paraId="16B51BB9" w14:textId="5AA98300" w:rsidR="00CF37F7" w:rsidRPr="00320761" w:rsidRDefault="009D003B" w:rsidP="009D003B">
      <w:pPr>
        <w:pStyle w:val="Table"/>
      </w:pPr>
      <w:bookmarkStart w:id="60" w:name="_Ref20730933"/>
      <w:bookmarkStart w:id="61" w:name="_Toc372445583"/>
      <w:bookmarkStart w:id="62" w:name="_Toc403044038"/>
      <w:bookmarkStart w:id="63" w:name="_Toc467491565"/>
      <w:bookmarkStart w:id="64" w:name="_Toc500050384"/>
      <w:bookmarkStart w:id="65" w:name="_Toc535580866"/>
      <w:r w:rsidRPr="00320761">
        <w:t xml:space="preserve">Table </w:t>
      </w:r>
      <w:fldSimple w:instr=" SEQ Table \* ARABIC ">
        <w:r w:rsidR="00486803">
          <w:rPr>
            <w:noProof/>
          </w:rPr>
          <w:t>1</w:t>
        </w:r>
      </w:fldSimple>
      <w:bookmarkEnd w:id="60"/>
      <w:r w:rsidRPr="00320761">
        <w:t xml:space="preserve">: </w:t>
      </w:r>
      <w:bookmarkEnd w:id="58"/>
      <w:r w:rsidR="00CF37F7" w:rsidRPr="00320761">
        <w:t>New Zealand Health Survey module topics, 2011/12–2018/1</w:t>
      </w:r>
      <w:bookmarkEnd w:id="59"/>
      <w:bookmarkEnd w:id="61"/>
      <w:bookmarkEnd w:id="62"/>
      <w:bookmarkEnd w:id="63"/>
      <w:bookmarkEnd w:id="64"/>
      <w:r w:rsidR="00CF37F7" w:rsidRPr="00320761">
        <w:t>9</w:t>
      </w:r>
      <w:bookmarkEnd w:id="65"/>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843"/>
        <w:gridCol w:w="2920"/>
        <w:gridCol w:w="3118"/>
      </w:tblGrid>
      <w:tr w:rsidR="00CF37F7" w:rsidRPr="00320761" w14:paraId="438274FE" w14:textId="77777777" w:rsidTr="00FA4289">
        <w:trPr>
          <w:cantSplit/>
        </w:trPr>
        <w:tc>
          <w:tcPr>
            <w:tcW w:w="1843" w:type="dxa"/>
            <w:tcBorders>
              <w:top w:val="nil"/>
              <w:bottom w:val="nil"/>
            </w:tcBorders>
            <w:shd w:val="clear" w:color="auto" w:fill="F2F2F2" w:themeFill="background1" w:themeFillShade="F2"/>
          </w:tcPr>
          <w:p w14:paraId="2AD13D02" w14:textId="77777777" w:rsidR="00CF37F7" w:rsidRPr="00320761" w:rsidRDefault="00CF37F7" w:rsidP="007E07BE">
            <w:pPr>
              <w:pStyle w:val="TableText"/>
              <w:rPr>
                <w:b/>
              </w:rPr>
            </w:pPr>
            <w:r w:rsidRPr="00320761">
              <w:rPr>
                <w:b/>
              </w:rPr>
              <w:t>Year of NZHS</w:t>
            </w:r>
          </w:p>
        </w:tc>
        <w:tc>
          <w:tcPr>
            <w:tcW w:w="2920" w:type="dxa"/>
            <w:tcBorders>
              <w:top w:val="nil"/>
              <w:bottom w:val="nil"/>
            </w:tcBorders>
            <w:shd w:val="clear" w:color="auto" w:fill="F2F2F2" w:themeFill="background1" w:themeFillShade="F2"/>
          </w:tcPr>
          <w:p w14:paraId="381E36EB" w14:textId="77777777" w:rsidR="00CF37F7" w:rsidRPr="00320761" w:rsidRDefault="00CF37F7" w:rsidP="007E07BE">
            <w:pPr>
              <w:pStyle w:val="TableText"/>
              <w:rPr>
                <w:b/>
              </w:rPr>
            </w:pPr>
            <w:r w:rsidRPr="00320761">
              <w:rPr>
                <w:b/>
              </w:rPr>
              <w:t>Child module topic(s)</w:t>
            </w:r>
          </w:p>
        </w:tc>
        <w:tc>
          <w:tcPr>
            <w:tcW w:w="3118" w:type="dxa"/>
            <w:tcBorders>
              <w:top w:val="nil"/>
              <w:bottom w:val="nil"/>
            </w:tcBorders>
            <w:shd w:val="clear" w:color="auto" w:fill="F2F2F2" w:themeFill="background1" w:themeFillShade="F2"/>
          </w:tcPr>
          <w:p w14:paraId="7A2DA0E5" w14:textId="77777777" w:rsidR="00CF37F7" w:rsidRPr="00320761" w:rsidRDefault="00CF37F7" w:rsidP="007E07BE">
            <w:pPr>
              <w:pStyle w:val="TableText"/>
              <w:rPr>
                <w:b/>
              </w:rPr>
            </w:pPr>
            <w:r w:rsidRPr="00320761">
              <w:rPr>
                <w:b/>
              </w:rPr>
              <w:t>Adult module topic(s)</w:t>
            </w:r>
          </w:p>
        </w:tc>
      </w:tr>
      <w:tr w:rsidR="007E07BE" w:rsidRPr="00320761" w14:paraId="1F6880E5" w14:textId="77777777" w:rsidTr="00FA4289">
        <w:trPr>
          <w:cantSplit/>
        </w:trPr>
        <w:tc>
          <w:tcPr>
            <w:tcW w:w="1843" w:type="dxa"/>
            <w:tcBorders>
              <w:top w:val="nil"/>
              <w:bottom w:val="single" w:sz="4" w:space="0" w:color="A6A6A6" w:themeColor="background1" w:themeShade="A6"/>
            </w:tcBorders>
            <w:shd w:val="clear" w:color="auto" w:fill="auto"/>
          </w:tcPr>
          <w:p w14:paraId="7ECEFB3A" w14:textId="77777777" w:rsidR="007E07BE" w:rsidRPr="00320761" w:rsidRDefault="007E07BE" w:rsidP="007E07BE">
            <w:pPr>
              <w:pStyle w:val="TableText"/>
            </w:pPr>
            <w:r w:rsidRPr="00320761">
              <w:t>2011/12</w:t>
            </w:r>
          </w:p>
        </w:tc>
        <w:tc>
          <w:tcPr>
            <w:tcW w:w="2920" w:type="dxa"/>
            <w:tcBorders>
              <w:top w:val="nil"/>
              <w:bottom w:val="single" w:sz="4" w:space="0" w:color="A6A6A6" w:themeColor="background1" w:themeShade="A6"/>
            </w:tcBorders>
            <w:shd w:val="clear" w:color="auto" w:fill="auto"/>
          </w:tcPr>
          <w:p w14:paraId="24835BF3" w14:textId="77777777" w:rsidR="007E07BE" w:rsidRPr="00320761" w:rsidRDefault="007E07BE" w:rsidP="007E07BE">
            <w:pPr>
              <w:pStyle w:val="TableText"/>
              <w:rPr>
                <w:rFonts w:ascii="Arial" w:hAnsi="Arial"/>
              </w:rPr>
            </w:pPr>
            <w:r w:rsidRPr="00320761">
              <w:t>Health service utilisation and patient experience</w:t>
            </w:r>
          </w:p>
          <w:p w14:paraId="4F24CE58" w14:textId="77777777" w:rsidR="007E07BE" w:rsidRPr="00320761" w:rsidRDefault="007E07BE" w:rsidP="007E07BE">
            <w:pPr>
              <w:pStyle w:val="TableText"/>
            </w:pPr>
          </w:p>
        </w:tc>
        <w:tc>
          <w:tcPr>
            <w:tcW w:w="3118" w:type="dxa"/>
            <w:tcBorders>
              <w:top w:val="nil"/>
              <w:bottom w:val="single" w:sz="4" w:space="0" w:color="A6A6A6" w:themeColor="background1" w:themeShade="A6"/>
            </w:tcBorders>
            <w:shd w:val="clear" w:color="auto" w:fill="auto"/>
          </w:tcPr>
          <w:p w14:paraId="5180EFB2" w14:textId="77777777" w:rsidR="007E07BE" w:rsidRPr="00320761" w:rsidRDefault="007E07BE" w:rsidP="007E07BE">
            <w:pPr>
              <w:pStyle w:val="TableText"/>
            </w:pPr>
            <w:r w:rsidRPr="00320761">
              <w:t>Health service utilisation and patient experience</w:t>
            </w:r>
          </w:p>
          <w:p w14:paraId="5A7870E1" w14:textId="77777777" w:rsidR="007E07BE" w:rsidRPr="00320761" w:rsidRDefault="007E07BE" w:rsidP="007E07BE">
            <w:pPr>
              <w:pStyle w:val="TableText"/>
            </w:pPr>
            <w:r w:rsidRPr="00320761">
              <w:t>Problem gambling</w:t>
            </w:r>
          </w:p>
          <w:p w14:paraId="080E15D7" w14:textId="598F532F" w:rsidR="007E07BE" w:rsidRPr="00320761" w:rsidRDefault="007E07BE" w:rsidP="007E07BE">
            <w:pPr>
              <w:pStyle w:val="TableText"/>
            </w:pPr>
            <w:r w:rsidRPr="00320761">
              <w:t>Racial discrimination</w:t>
            </w:r>
          </w:p>
        </w:tc>
      </w:tr>
      <w:tr w:rsidR="007E07BE" w:rsidRPr="00320761" w14:paraId="7AEBEDB0" w14:textId="77777777" w:rsidTr="00CF37F7">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072595FB" w14:textId="77777777" w:rsidR="007E07BE" w:rsidRPr="00320761" w:rsidRDefault="007E07BE" w:rsidP="007E07BE">
            <w:pPr>
              <w:pStyle w:val="TableText"/>
            </w:pPr>
            <w:r w:rsidRPr="00320761">
              <w:t>2012/13</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76C88261" w14:textId="77777777" w:rsidR="007E07BE" w:rsidRPr="00320761" w:rsidRDefault="007E07BE" w:rsidP="007E07BE">
            <w:pPr>
              <w:pStyle w:val="TableText"/>
            </w:pPr>
            <w:r w:rsidRPr="00320761">
              <w:t>Child development</w:t>
            </w:r>
          </w:p>
          <w:p w14:paraId="053EC325" w14:textId="77777777" w:rsidR="007E07BE" w:rsidRPr="00320761" w:rsidRDefault="007E07BE" w:rsidP="007E07BE">
            <w:pPr>
              <w:pStyle w:val="TableText"/>
            </w:pPr>
            <w:r w:rsidRPr="00320761">
              <w:t>Food security</w:t>
            </w:r>
          </w:p>
          <w:p w14:paraId="205BC9C8" w14:textId="53D11850" w:rsidR="007E07BE" w:rsidRPr="00320761" w:rsidRDefault="007E07BE" w:rsidP="007E07BE">
            <w:pPr>
              <w:pStyle w:val="TableText"/>
            </w:pPr>
            <w:r w:rsidRPr="00320761">
              <w:t>Exposure to second-hand smoke</w:t>
            </w:r>
          </w:p>
        </w:tc>
        <w:tc>
          <w:tcPr>
            <w:tcW w:w="3118" w:type="dxa"/>
            <w:tcBorders>
              <w:top w:val="single" w:sz="4" w:space="0" w:color="A6A6A6" w:themeColor="background1" w:themeShade="A6"/>
              <w:bottom w:val="single" w:sz="4" w:space="0" w:color="A6A6A6" w:themeColor="background1" w:themeShade="A6"/>
            </w:tcBorders>
            <w:shd w:val="clear" w:color="auto" w:fill="auto"/>
          </w:tcPr>
          <w:p w14:paraId="3C4F7DE3" w14:textId="77777777" w:rsidR="007E07BE" w:rsidRPr="00320761" w:rsidRDefault="007E07BE" w:rsidP="007E07BE">
            <w:pPr>
              <w:pStyle w:val="TableText"/>
            </w:pPr>
            <w:r w:rsidRPr="00320761">
              <w:t>Alcohol use</w:t>
            </w:r>
          </w:p>
          <w:p w14:paraId="509D47AE" w14:textId="77777777" w:rsidR="007E07BE" w:rsidRPr="00320761" w:rsidRDefault="007E07BE" w:rsidP="007E07BE">
            <w:pPr>
              <w:pStyle w:val="TableText"/>
            </w:pPr>
            <w:r w:rsidRPr="00320761">
              <w:t>Tobacco use</w:t>
            </w:r>
          </w:p>
          <w:p w14:paraId="091EBAAB" w14:textId="3CD3AC5D" w:rsidR="007E07BE" w:rsidRPr="00320761" w:rsidRDefault="007E07BE" w:rsidP="007E07BE">
            <w:pPr>
              <w:pStyle w:val="TableText"/>
            </w:pPr>
            <w:r w:rsidRPr="00320761">
              <w:t>Drug use</w:t>
            </w:r>
          </w:p>
        </w:tc>
      </w:tr>
      <w:tr w:rsidR="007E07BE" w:rsidRPr="00320761" w14:paraId="7CF4F019" w14:textId="77777777" w:rsidTr="00CF37F7">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480A6249" w14:textId="77777777" w:rsidR="007E07BE" w:rsidRPr="00320761" w:rsidRDefault="007E07BE" w:rsidP="007E07BE">
            <w:pPr>
              <w:pStyle w:val="TableText"/>
            </w:pPr>
            <w:r w:rsidRPr="00320761">
              <w:t>2013/14</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46BC2123" w14:textId="77777777" w:rsidR="007E07BE" w:rsidRPr="00320761" w:rsidRDefault="007E07BE" w:rsidP="007E07BE">
            <w:pPr>
              <w:pStyle w:val="TableText"/>
            </w:pPr>
            <w:r w:rsidRPr="00320761">
              <w:t>Long-term conditions</w:t>
            </w:r>
          </w:p>
          <w:p w14:paraId="3A501C39" w14:textId="77777777" w:rsidR="007E07BE" w:rsidRPr="00320761" w:rsidRDefault="007E07BE" w:rsidP="007E07BE">
            <w:pPr>
              <w:pStyle w:val="TableText"/>
            </w:pPr>
            <w:r w:rsidRPr="00320761">
              <w:t>Health status</w:t>
            </w:r>
          </w:p>
          <w:p w14:paraId="2E578EC0" w14:textId="77777777" w:rsidR="007E07BE" w:rsidRPr="00320761" w:rsidRDefault="007E07BE" w:rsidP="007E07BE">
            <w:pPr>
              <w:pStyle w:val="TableText"/>
            </w:pPr>
            <w:r w:rsidRPr="00320761">
              <w:t>Disability status</w:t>
            </w:r>
          </w:p>
          <w:p w14:paraId="700C1FA2" w14:textId="77777777" w:rsidR="007E07BE" w:rsidRPr="00320761" w:rsidRDefault="007E07BE" w:rsidP="007E07BE">
            <w:pPr>
              <w:pStyle w:val="TableText"/>
            </w:pPr>
            <w:r w:rsidRPr="00320761">
              <w:t>Living standards</w:t>
            </w:r>
          </w:p>
          <w:p w14:paraId="1C26796C" w14:textId="77777777" w:rsidR="007E07BE" w:rsidRPr="00320761" w:rsidRDefault="007E07BE" w:rsidP="007E07BE">
            <w:pPr>
              <w:pStyle w:val="TableText"/>
            </w:pPr>
            <w:r w:rsidRPr="00320761">
              <w:t>Housing quality</w:t>
            </w:r>
          </w:p>
          <w:p w14:paraId="440DB377" w14:textId="0B0CE98C" w:rsidR="007E07BE" w:rsidRPr="00320761" w:rsidRDefault="007E07BE" w:rsidP="007E07BE">
            <w:pPr>
              <w:pStyle w:val="TableText"/>
            </w:pPr>
            <w:r w:rsidRPr="00320761">
              <w:t>Exposure to second-hand smoke</w:t>
            </w:r>
          </w:p>
        </w:tc>
        <w:tc>
          <w:tcPr>
            <w:tcW w:w="3118" w:type="dxa"/>
            <w:tcBorders>
              <w:top w:val="single" w:sz="4" w:space="0" w:color="A6A6A6" w:themeColor="background1" w:themeShade="A6"/>
              <w:bottom w:val="single" w:sz="4" w:space="0" w:color="A6A6A6" w:themeColor="background1" w:themeShade="A6"/>
            </w:tcBorders>
            <w:shd w:val="clear" w:color="auto" w:fill="auto"/>
          </w:tcPr>
          <w:p w14:paraId="026BBAC1" w14:textId="77777777" w:rsidR="007E07BE" w:rsidRPr="00320761" w:rsidRDefault="007E07BE" w:rsidP="007E07BE">
            <w:pPr>
              <w:pStyle w:val="TableText"/>
            </w:pPr>
            <w:r w:rsidRPr="00320761">
              <w:t>Long-term conditions</w:t>
            </w:r>
          </w:p>
          <w:p w14:paraId="79E83269" w14:textId="77777777" w:rsidR="007E07BE" w:rsidRPr="00320761" w:rsidRDefault="007E07BE" w:rsidP="007E07BE">
            <w:pPr>
              <w:pStyle w:val="TableText"/>
            </w:pPr>
            <w:r w:rsidRPr="00320761">
              <w:t>Health status</w:t>
            </w:r>
          </w:p>
          <w:p w14:paraId="5BE2DE1B" w14:textId="77777777" w:rsidR="007E07BE" w:rsidRPr="00320761" w:rsidRDefault="007E07BE" w:rsidP="007E07BE">
            <w:pPr>
              <w:pStyle w:val="TableText"/>
            </w:pPr>
            <w:r w:rsidRPr="00320761">
              <w:t>Disability status</w:t>
            </w:r>
          </w:p>
          <w:p w14:paraId="296F9B3C" w14:textId="77777777" w:rsidR="007E07BE" w:rsidRPr="00320761" w:rsidRDefault="007E07BE" w:rsidP="007E07BE">
            <w:pPr>
              <w:pStyle w:val="TableText"/>
            </w:pPr>
            <w:r w:rsidRPr="00320761">
              <w:t>Living standards</w:t>
            </w:r>
          </w:p>
          <w:p w14:paraId="45DE51CD" w14:textId="39A31614" w:rsidR="007E07BE" w:rsidRPr="00320761" w:rsidRDefault="007E07BE" w:rsidP="007E07BE">
            <w:pPr>
              <w:pStyle w:val="TableText"/>
            </w:pPr>
            <w:r w:rsidRPr="00320761">
              <w:t>Housing quality</w:t>
            </w:r>
          </w:p>
        </w:tc>
      </w:tr>
      <w:tr w:rsidR="007E07BE" w:rsidRPr="00320761" w14:paraId="4193DF74" w14:textId="77777777" w:rsidTr="00CF37F7">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5BABEBFC" w14:textId="77777777" w:rsidR="007E07BE" w:rsidRPr="00320761" w:rsidRDefault="007E07BE" w:rsidP="007E07BE">
            <w:pPr>
              <w:pStyle w:val="TableText"/>
            </w:pPr>
            <w:r w:rsidRPr="00320761">
              <w:t>2014/15</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5A47D004" w14:textId="77777777" w:rsidR="007E07BE" w:rsidRPr="00320761" w:rsidRDefault="007E07BE" w:rsidP="007E07BE">
            <w:pPr>
              <w:pStyle w:val="TableText"/>
            </w:pPr>
            <w:r w:rsidRPr="00320761">
              <w:t>Child development</w:t>
            </w:r>
          </w:p>
          <w:p w14:paraId="100417FA" w14:textId="77777777" w:rsidR="007E07BE" w:rsidRPr="00320761" w:rsidRDefault="007E07BE" w:rsidP="007E07BE">
            <w:pPr>
              <w:pStyle w:val="TableText"/>
            </w:pPr>
            <w:r w:rsidRPr="00320761">
              <w:t>Food security</w:t>
            </w:r>
          </w:p>
          <w:p w14:paraId="75CD9124" w14:textId="0818823A" w:rsidR="007E07BE" w:rsidRPr="00320761" w:rsidRDefault="007E07BE" w:rsidP="007E07BE">
            <w:pPr>
              <w:pStyle w:val="TableText"/>
            </w:pPr>
            <w:r w:rsidRPr="00320761">
              <w:t>Rheumatic fever</w:t>
            </w:r>
          </w:p>
        </w:tc>
        <w:tc>
          <w:tcPr>
            <w:tcW w:w="3118" w:type="dxa"/>
            <w:tcBorders>
              <w:top w:val="single" w:sz="4" w:space="0" w:color="A6A6A6" w:themeColor="background1" w:themeShade="A6"/>
              <w:bottom w:val="single" w:sz="4" w:space="0" w:color="A6A6A6" w:themeColor="background1" w:themeShade="A6"/>
            </w:tcBorders>
            <w:shd w:val="clear" w:color="auto" w:fill="auto"/>
          </w:tcPr>
          <w:p w14:paraId="11EB5C08" w14:textId="77777777" w:rsidR="007E07BE" w:rsidRPr="00320761" w:rsidRDefault="007E07BE" w:rsidP="007E07BE">
            <w:pPr>
              <w:pStyle w:val="TableText"/>
            </w:pPr>
            <w:r w:rsidRPr="00320761">
              <w:t>Sexual and reproductive health</w:t>
            </w:r>
          </w:p>
          <w:p w14:paraId="0D365DC6" w14:textId="77777777" w:rsidR="007E07BE" w:rsidRPr="00320761" w:rsidRDefault="007E07BE" w:rsidP="007E07BE">
            <w:pPr>
              <w:pStyle w:val="TableText"/>
            </w:pPr>
            <w:r w:rsidRPr="00320761">
              <w:t>Biomedical tests</w:t>
            </w:r>
          </w:p>
          <w:p w14:paraId="766952A1" w14:textId="79B8379D" w:rsidR="007E07BE" w:rsidRPr="00320761" w:rsidRDefault="007E07BE" w:rsidP="007E07BE">
            <w:pPr>
              <w:pStyle w:val="TableText"/>
            </w:pPr>
            <w:r w:rsidRPr="00320761">
              <w:t>Rheumatic fever (under 25 years)</w:t>
            </w:r>
          </w:p>
        </w:tc>
      </w:tr>
      <w:tr w:rsidR="007E07BE" w:rsidRPr="00320761" w14:paraId="3106F625" w14:textId="77777777" w:rsidTr="00CF37F7">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60F02D72" w14:textId="77777777" w:rsidR="007E07BE" w:rsidRPr="00320761" w:rsidRDefault="007E07BE" w:rsidP="007E07BE">
            <w:pPr>
              <w:pStyle w:val="TableText"/>
            </w:pPr>
            <w:r w:rsidRPr="00320761">
              <w:t>2015/16</w:t>
            </w:r>
          </w:p>
          <w:p w14:paraId="790C531D" w14:textId="77777777" w:rsidR="007E07BE" w:rsidRPr="00320761" w:rsidRDefault="007E07BE" w:rsidP="007E07BE">
            <w:pPr>
              <w:pStyle w:val="TableText"/>
            </w:pPr>
          </w:p>
        </w:tc>
        <w:tc>
          <w:tcPr>
            <w:tcW w:w="2920" w:type="dxa"/>
            <w:tcBorders>
              <w:top w:val="single" w:sz="4" w:space="0" w:color="A6A6A6" w:themeColor="background1" w:themeShade="A6"/>
              <w:bottom w:val="single" w:sz="4" w:space="0" w:color="A6A6A6" w:themeColor="background1" w:themeShade="A6"/>
            </w:tcBorders>
            <w:shd w:val="clear" w:color="auto" w:fill="auto"/>
          </w:tcPr>
          <w:p w14:paraId="7CAF0668" w14:textId="77777777" w:rsidR="007E07BE" w:rsidRPr="00320761" w:rsidRDefault="007E07BE" w:rsidP="007E07BE">
            <w:pPr>
              <w:pStyle w:val="TableText"/>
            </w:pPr>
            <w:r w:rsidRPr="00320761">
              <w:t>Child development</w:t>
            </w:r>
          </w:p>
          <w:p w14:paraId="6195BEA9" w14:textId="77777777" w:rsidR="007E07BE" w:rsidRPr="00320761" w:rsidRDefault="007E07BE" w:rsidP="007E07BE">
            <w:pPr>
              <w:pStyle w:val="TableText"/>
            </w:pPr>
            <w:r w:rsidRPr="00320761">
              <w:t>Food security</w:t>
            </w:r>
          </w:p>
          <w:p w14:paraId="48C05567" w14:textId="77777777" w:rsidR="007E07BE" w:rsidRPr="00320761" w:rsidRDefault="007E07BE" w:rsidP="007E07BE">
            <w:pPr>
              <w:pStyle w:val="TableText"/>
            </w:pPr>
            <w:r w:rsidRPr="00320761">
              <w:t>Exposure to second-hand smoke</w:t>
            </w:r>
          </w:p>
          <w:p w14:paraId="546DD929" w14:textId="15991B80" w:rsidR="007E07BE" w:rsidRPr="00320761" w:rsidRDefault="007E07BE" w:rsidP="007E07BE">
            <w:pPr>
              <w:pStyle w:val="TableText"/>
            </w:pPr>
            <w:r w:rsidRPr="00320761">
              <w:t>Rheumatic fever</w:t>
            </w:r>
          </w:p>
        </w:tc>
        <w:tc>
          <w:tcPr>
            <w:tcW w:w="3118" w:type="dxa"/>
            <w:tcBorders>
              <w:top w:val="single" w:sz="4" w:space="0" w:color="A6A6A6" w:themeColor="background1" w:themeShade="A6"/>
              <w:bottom w:val="single" w:sz="4" w:space="0" w:color="A6A6A6" w:themeColor="background1" w:themeShade="A6"/>
            </w:tcBorders>
            <w:shd w:val="clear" w:color="auto" w:fill="auto"/>
          </w:tcPr>
          <w:p w14:paraId="2DC0B121" w14:textId="77777777" w:rsidR="007E07BE" w:rsidRPr="00320761" w:rsidRDefault="007E07BE" w:rsidP="007E07BE">
            <w:pPr>
              <w:pStyle w:val="TableText"/>
            </w:pPr>
            <w:r w:rsidRPr="00320761">
              <w:t>Tobacco use</w:t>
            </w:r>
          </w:p>
          <w:p w14:paraId="5457F83C" w14:textId="77777777" w:rsidR="007E07BE" w:rsidRPr="00320761" w:rsidRDefault="007E07BE" w:rsidP="007E07BE">
            <w:pPr>
              <w:pStyle w:val="TableText"/>
            </w:pPr>
            <w:r w:rsidRPr="00320761">
              <w:t>Rheumatic fever (under 25 years)</w:t>
            </w:r>
          </w:p>
          <w:p w14:paraId="68055E7E" w14:textId="77777777" w:rsidR="007E07BE" w:rsidRPr="00320761" w:rsidRDefault="007E07BE" w:rsidP="007E07BE">
            <w:pPr>
              <w:pStyle w:val="TableText"/>
            </w:pPr>
          </w:p>
        </w:tc>
      </w:tr>
      <w:tr w:rsidR="007E07BE" w:rsidRPr="00320761" w14:paraId="50080E95" w14:textId="77777777" w:rsidTr="00CF37F7">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731DB245" w14:textId="77777777" w:rsidR="007E07BE" w:rsidRPr="00320761" w:rsidRDefault="007E07BE" w:rsidP="007E07BE">
            <w:pPr>
              <w:pStyle w:val="TableText"/>
            </w:pPr>
            <w:r w:rsidRPr="00320761">
              <w:lastRenderedPageBreak/>
              <w:t>2016/17</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3AAF6409" w14:textId="77777777" w:rsidR="007E07BE" w:rsidRPr="00320761" w:rsidRDefault="007E07BE" w:rsidP="007E07BE">
            <w:pPr>
              <w:pStyle w:val="TableText"/>
              <w:rPr>
                <w:rFonts w:ascii="Arial" w:hAnsi="Arial"/>
              </w:rPr>
            </w:pPr>
            <w:r w:rsidRPr="00320761">
              <w:rPr>
                <w:lang w:eastAsia="en-US"/>
              </w:rPr>
              <w:t xml:space="preserve">Behavioural and developmental problems </w:t>
            </w:r>
          </w:p>
          <w:p w14:paraId="03A7234E" w14:textId="759D7E30" w:rsidR="007E07BE" w:rsidRPr="00320761" w:rsidRDefault="007E07BE" w:rsidP="007E07BE">
            <w:pPr>
              <w:pStyle w:val="TableText"/>
            </w:pPr>
            <w:r w:rsidRPr="00320761">
              <w:t>Rheumatic fever</w:t>
            </w:r>
          </w:p>
        </w:tc>
        <w:tc>
          <w:tcPr>
            <w:tcW w:w="3118" w:type="dxa"/>
            <w:tcBorders>
              <w:top w:val="single" w:sz="4" w:space="0" w:color="A6A6A6" w:themeColor="background1" w:themeShade="A6"/>
              <w:bottom w:val="single" w:sz="4" w:space="0" w:color="A6A6A6" w:themeColor="background1" w:themeShade="A6"/>
            </w:tcBorders>
            <w:shd w:val="clear" w:color="auto" w:fill="auto"/>
          </w:tcPr>
          <w:p w14:paraId="126C14F3" w14:textId="77777777" w:rsidR="007E07BE" w:rsidRPr="00320761" w:rsidRDefault="007E07BE" w:rsidP="007E07BE">
            <w:pPr>
              <w:pStyle w:val="TableText"/>
            </w:pPr>
            <w:r w:rsidRPr="00320761">
              <w:rPr>
                <w:lang w:eastAsia="en-US"/>
              </w:rPr>
              <w:t>Mental health and substance use</w:t>
            </w:r>
          </w:p>
          <w:p w14:paraId="576C56E3" w14:textId="77777777" w:rsidR="007E07BE" w:rsidRPr="00320761" w:rsidRDefault="007E07BE" w:rsidP="007E07BE">
            <w:pPr>
              <w:pStyle w:val="TableText"/>
              <w:rPr>
                <w:lang w:eastAsia="en-US"/>
              </w:rPr>
            </w:pPr>
            <w:r w:rsidRPr="00320761">
              <w:t>Rheumatic fever (under 25 years)</w:t>
            </w:r>
          </w:p>
          <w:p w14:paraId="1EE19B1B" w14:textId="724E2D89" w:rsidR="007E07BE" w:rsidRPr="00320761" w:rsidRDefault="007E07BE" w:rsidP="007E07BE">
            <w:pPr>
              <w:pStyle w:val="TableText"/>
            </w:pPr>
            <w:r w:rsidRPr="00320761">
              <w:t>Racial discrimination</w:t>
            </w:r>
          </w:p>
        </w:tc>
      </w:tr>
      <w:tr w:rsidR="007E07BE" w:rsidRPr="00320761" w14:paraId="3F85D64A" w14:textId="77777777" w:rsidTr="00FA4289">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602457AC" w14:textId="77777777" w:rsidR="007E07BE" w:rsidRPr="00320761" w:rsidRDefault="007E07BE" w:rsidP="007E07BE">
            <w:pPr>
              <w:pStyle w:val="TableText"/>
            </w:pPr>
            <w:r w:rsidRPr="00320761">
              <w:t>2017/18</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6D4450C0" w14:textId="77837EF7" w:rsidR="007E07BE" w:rsidRPr="00320761" w:rsidRDefault="007E07BE" w:rsidP="007E07BE">
            <w:pPr>
              <w:pStyle w:val="TableText"/>
              <w:rPr>
                <w:lang w:eastAsia="en-US"/>
              </w:rPr>
            </w:pPr>
            <w:r w:rsidRPr="00320761">
              <w:rPr>
                <w:lang w:eastAsia="en-US"/>
              </w:rPr>
              <w:t>Health service utilisation and patient experience</w:t>
            </w:r>
          </w:p>
        </w:tc>
        <w:tc>
          <w:tcPr>
            <w:tcW w:w="3118" w:type="dxa"/>
            <w:tcBorders>
              <w:top w:val="single" w:sz="4" w:space="0" w:color="A6A6A6" w:themeColor="background1" w:themeShade="A6"/>
              <w:bottom w:val="single" w:sz="4" w:space="0" w:color="A6A6A6" w:themeColor="background1" w:themeShade="A6"/>
            </w:tcBorders>
            <w:shd w:val="clear" w:color="auto" w:fill="auto"/>
          </w:tcPr>
          <w:p w14:paraId="54BE4B65" w14:textId="77777777" w:rsidR="007E07BE" w:rsidRPr="00320761" w:rsidRDefault="007E07BE" w:rsidP="007E07BE">
            <w:pPr>
              <w:pStyle w:val="TableText"/>
              <w:rPr>
                <w:lang w:eastAsia="en-US"/>
              </w:rPr>
            </w:pPr>
            <w:r w:rsidRPr="00320761">
              <w:rPr>
                <w:lang w:eastAsia="en-US"/>
              </w:rPr>
              <w:t>Health service utilisation and patient experience</w:t>
            </w:r>
          </w:p>
          <w:p w14:paraId="14CAB4C6" w14:textId="235F4D71" w:rsidR="007E07BE" w:rsidRPr="00320761" w:rsidRDefault="007E07BE" w:rsidP="007E07BE">
            <w:pPr>
              <w:pStyle w:val="TableText"/>
              <w:rPr>
                <w:lang w:eastAsia="en-US"/>
              </w:rPr>
            </w:pPr>
            <w:r w:rsidRPr="00320761">
              <w:rPr>
                <w:lang w:eastAsia="en-US"/>
              </w:rPr>
              <w:t>Understanding health and health care</w:t>
            </w:r>
          </w:p>
        </w:tc>
      </w:tr>
      <w:tr w:rsidR="007E07BE" w:rsidRPr="00320761" w14:paraId="16A48590" w14:textId="77777777" w:rsidTr="00FA4289">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0C7A9DDE" w14:textId="77777777" w:rsidR="007E07BE" w:rsidRPr="00320761" w:rsidRDefault="007E07BE" w:rsidP="007E07BE">
            <w:pPr>
              <w:pStyle w:val="TableText"/>
            </w:pPr>
            <w:r w:rsidRPr="00320761">
              <w:t>2018/19</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70C28E85" w14:textId="77777777" w:rsidR="007E07BE" w:rsidRPr="00320761" w:rsidRDefault="007E07BE" w:rsidP="007E07BE">
            <w:pPr>
              <w:pStyle w:val="TableText"/>
              <w:rPr>
                <w:lang w:eastAsia="en-US"/>
              </w:rPr>
            </w:pPr>
            <w:r w:rsidRPr="00320761">
              <w:rPr>
                <w:lang w:eastAsia="en-US"/>
              </w:rPr>
              <w:t>Dietary habits</w:t>
            </w:r>
          </w:p>
          <w:p w14:paraId="424A3FBB" w14:textId="72E285B7" w:rsidR="007E07BE" w:rsidRPr="00320761" w:rsidRDefault="007E07BE" w:rsidP="007E07BE">
            <w:pPr>
              <w:pStyle w:val="TableText"/>
              <w:rPr>
                <w:lang w:eastAsia="en-US"/>
              </w:rPr>
            </w:pPr>
            <w:r w:rsidRPr="00320761">
              <w:rPr>
                <w:lang w:eastAsia="en-US"/>
              </w:rPr>
              <w:t>Functional difficulties</w:t>
            </w:r>
          </w:p>
        </w:tc>
        <w:tc>
          <w:tcPr>
            <w:tcW w:w="3118" w:type="dxa"/>
            <w:tcBorders>
              <w:top w:val="single" w:sz="4" w:space="0" w:color="A6A6A6" w:themeColor="background1" w:themeShade="A6"/>
              <w:bottom w:val="single" w:sz="4" w:space="0" w:color="A6A6A6" w:themeColor="background1" w:themeShade="A6"/>
            </w:tcBorders>
            <w:shd w:val="clear" w:color="auto" w:fill="auto"/>
          </w:tcPr>
          <w:p w14:paraId="2229487F" w14:textId="77777777" w:rsidR="007E07BE" w:rsidRPr="00320761" w:rsidRDefault="007E07BE" w:rsidP="007E07BE">
            <w:pPr>
              <w:pStyle w:val="TableText"/>
              <w:rPr>
                <w:lang w:eastAsia="en-US"/>
              </w:rPr>
            </w:pPr>
            <w:r w:rsidRPr="00320761">
              <w:rPr>
                <w:lang w:eastAsia="en-US"/>
              </w:rPr>
              <w:t>Dietary habits</w:t>
            </w:r>
          </w:p>
          <w:p w14:paraId="24CF0748" w14:textId="77777777" w:rsidR="007E07BE" w:rsidRPr="00320761" w:rsidRDefault="007E07BE" w:rsidP="007E07BE">
            <w:pPr>
              <w:pStyle w:val="TableText"/>
              <w:rPr>
                <w:lang w:eastAsia="en-US"/>
              </w:rPr>
            </w:pPr>
            <w:r w:rsidRPr="00320761">
              <w:rPr>
                <w:lang w:eastAsia="en-US"/>
              </w:rPr>
              <w:t>Functional difficulties</w:t>
            </w:r>
          </w:p>
          <w:p w14:paraId="1C1CC454" w14:textId="35571226" w:rsidR="007E07BE" w:rsidRPr="00320761" w:rsidRDefault="007E07BE" w:rsidP="007E07BE">
            <w:pPr>
              <w:pStyle w:val="TableText"/>
              <w:rPr>
                <w:lang w:eastAsia="en-US"/>
              </w:rPr>
            </w:pPr>
            <w:r w:rsidRPr="00320761">
              <w:rPr>
                <w:lang w:eastAsia="en-US"/>
              </w:rPr>
              <w:t>Alcohol use</w:t>
            </w:r>
          </w:p>
        </w:tc>
      </w:tr>
    </w:tbl>
    <w:p w14:paraId="6E3EF666" w14:textId="77777777" w:rsidR="00FA4289" w:rsidRPr="00320761" w:rsidRDefault="00FA4289" w:rsidP="00FA4289">
      <w:pPr>
        <w:pStyle w:val="Heading2"/>
      </w:pPr>
      <w:bookmarkStart w:id="66" w:name="_Toc535580851"/>
      <w:bookmarkStart w:id="67" w:name="_Toc20997296"/>
      <w:r w:rsidRPr="00320761">
        <w:t>Cognitive testing</w:t>
      </w:r>
      <w:bookmarkEnd w:id="66"/>
      <w:bookmarkEnd w:id="67"/>
    </w:p>
    <w:p w14:paraId="3BCBD3AF" w14:textId="77777777" w:rsidR="007E07BE" w:rsidRPr="00320761" w:rsidRDefault="007E07BE" w:rsidP="007E07BE">
      <w:pPr>
        <w:rPr>
          <w:rFonts w:ascii="Georgia" w:hAnsi="Georgia"/>
          <w:sz w:val="22"/>
        </w:rPr>
      </w:pPr>
      <w:r w:rsidRPr="00320761">
        <w:rPr>
          <w:lang w:eastAsia="en-US"/>
        </w:rPr>
        <w:t>Cognitive testing helps ensure questions are understood as intended and that response options are appropriate.</w:t>
      </w:r>
      <w:r w:rsidRPr="00320761">
        <w:t xml:space="preserve"> </w:t>
      </w:r>
      <w:r w:rsidRPr="00320761">
        <w:rPr>
          <w:lang w:eastAsia="en-US"/>
        </w:rPr>
        <w:t>The cognitive testing process includes:</w:t>
      </w:r>
    </w:p>
    <w:p w14:paraId="4CF67420" w14:textId="77777777" w:rsidR="007E07BE" w:rsidRPr="00320761" w:rsidRDefault="007E07BE" w:rsidP="007E07BE">
      <w:pPr>
        <w:pStyle w:val="Bullet"/>
        <w:numPr>
          <w:ilvl w:val="0"/>
          <w:numId w:val="28"/>
        </w:numPr>
        <w:spacing w:line="264" w:lineRule="auto"/>
        <w:rPr>
          <w:rFonts w:ascii="Georgia" w:hAnsi="Georgia"/>
          <w:sz w:val="22"/>
          <w:lang w:eastAsia="en-US"/>
        </w:rPr>
      </w:pPr>
      <w:r w:rsidRPr="00320761">
        <w:rPr>
          <w:lang w:eastAsia="en-US"/>
        </w:rPr>
        <w:t>comprehension – how does the respondent understand the question?</w:t>
      </w:r>
    </w:p>
    <w:p w14:paraId="25D1D694" w14:textId="77777777" w:rsidR="007E07BE" w:rsidRPr="00320761" w:rsidRDefault="007E07BE" w:rsidP="007E07BE">
      <w:pPr>
        <w:pStyle w:val="Bullet"/>
        <w:numPr>
          <w:ilvl w:val="0"/>
          <w:numId w:val="28"/>
        </w:numPr>
        <w:spacing w:line="264" w:lineRule="auto"/>
        <w:rPr>
          <w:lang w:eastAsia="en-US"/>
        </w:rPr>
      </w:pPr>
      <w:r w:rsidRPr="00320761">
        <w:rPr>
          <w:lang w:eastAsia="en-US"/>
        </w:rPr>
        <w:t>recall – what knowledge or memory does the respondent select that is relevant to the subject matter?</w:t>
      </w:r>
    </w:p>
    <w:p w14:paraId="7E21B544" w14:textId="77777777" w:rsidR="007E07BE" w:rsidRPr="00320761" w:rsidRDefault="007E07BE" w:rsidP="007E07BE">
      <w:pPr>
        <w:pStyle w:val="Bullet"/>
        <w:numPr>
          <w:ilvl w:val="0"/>
          <w:numId w:val="28"/>
        </w:numPr>
        <w:spacing w:line="264" w:lineRule="auto"/>
        <w:rPr>
          <w:lang w:eastAsia="en-US"/>
        </w:rPr>
      </w:pPr>
      <w:r w:rsidRPr="00320761">
        <w:rPr>
          <w:lang w:eastAsia="en-US"/>
        </w:rPr>
        <w:t xml:space="preserve">judgement and selection – how </w:t>
      </w:r>
      <w:proofErr w:type="gramStart"/>
      <w:r w:rsidRPr="00320761">
        <w:rPr>
          <w:lang w:eastAsia="en-US"/>
        </w:rPr>
        <w:t>does</w:t>
      </w:r>
      <w:proofErr w:type="gramEnd"/>
      <w:r w:rsidRPr="00320761">
        <w:rPr>
          <w:lang w:eastAsia="en-US"/>
        </w:rPr>
        <w:t xml:space="preserve"> the respondent judge what they remember and formulate a response?</w:t>
      </w:r>
    </w:p>
    <w:p w14:paraId="6847AB73" w14:textId="77777777" w:rsidR="00FA4289" w:rsidRPr="00320761" w:rsidRDefault="00FA4289" w:rsidP="00FA4289"/>
    <w:p w14:paraId="19D7AD6D" w14:textId="2959D97D" w:rsidR="007E07BE" w:rsidRPr="00320761" w:rsidRDefault="007E07BE" w:rsidP="007E07BE">
      <w:pPr>
        <w:rPr>
          <w:rFonts w:ascii="Georgia" w:hAnsi="Georgia"/>
          <w:sz w:val="22"/>
        </w:rPr>
      </w:pPr>
      <w:r w:rsidRPr="00320761">
        <w:t>Initially</w:t>
      </w:r>
      <w:r w:rsidR="00832FB6">
        <w:t>,</w:t>
      </w:r>
      <w:r w:rsidRPr="00320761">
        <w:t xml:space="preserve"> new or changed questions are cognitively tested with colleagues as respondents. Then a smaller number of questions are prioritised for cognitive testing with relevant populations (demographic variety, extreme cases etc). CBG Health Research Limited, an Auckland-based independent public health research provider, carries out this second stage of cognitive testing.</w:t>
      </w:r>
    </w:p>
    <w:p w14:paraId="0224DD22" w14:textId="77777777" w:rsidR="007E07BE" w:rsidRPr="00320761" w:rsidRDefault="007E07BE" w:rsidP="007E07BE"/>
    <w:p w14:paraId="5B440D1C" w14:textId="77777777" w:rsidR="007E07BE" w:rsidRPr="00320761" w:rsidRDefault="007E07BE" w:rsidP="007E07BE">
      <w:r w:rsidRPr="00320761">
        <w:t>Researchers investigate whether the questions are working as intended and whether the respondents have access to all the information needed to answer the questions accurately.</w:t>
      </w:r>
    </w:p>
    <w:p w14:paraId="5CB7C802" w14:textId="77777777" w:rsidR="007E07BE" w:rsidRPr="00320761" w:rsidRDefault="007E07BE" w:rsidP="007E07BE">
      <w:r w:rsidRPr="00320761">
        <w:tab/>
      </w:r>
    </w:p>
    <w:p w14:paraId="1180E798" w14:textId="77777777" w:rsidR="007E07BE" w:rsidRPr="00320761" w:rsidRDefault="007E07BE" w:rsidP="007E07BE">
      <w:r w:rsidRPr="00320761">
        <w:t>Respondents in cognitive testing are invited to comment on:</w:t>
      </w:r>
    </w:p>
    <w:p w14:paraId="2C49CFC3" w14:textId="77777777" w:rsidR="00FA4289" w:rsidRPr="00320761" w:rsidRDefault="00FA4289" w:rsidP="000A476A">
      <w:pPr>
        <w:pStyle w:val="Bullet"/>
        <w:numPr>
          <w:ilvl w:val="0"/>
          <w:numId w:val="25"/>
        </w:numPr>
        <w:spacing w:line="264" w:lineRule="auto"/>
        <w:rPr>
          <w:lang w:eastAsia="en-US"/>
        </w:rPr>
      </w:pPr>
      <w:r w:rsidRPr="00320761">
        <w:rPr>
          <w:lang w:eastAsia="en-US"/>
        </w:rPr>
        <w:t>question flow/sequencing</w:t>
      </w:r>
    </w:p>
    <w:p w14:paraId="26B42F34" w14:textId="77777777" w:rsidR="00FA4289" w:rsidRPr="00320761" w:rsidRDefault="00FA4289" w:rsidP="000A476A">
      <w:pPr>
        <w:pStyle w:val="Bullet"/>
        <w:numPr>
          <w:ilvl w:val="0"/>
          <w:numId w:val="25"/>
        </w:numPr>
        <w:spacing w:line="264" w:lineRule="auto"/>
        <w:rPr>
          <w:lang w:eastAsia="en-US"/>
        </w:rPr>
      </w:pPr>
      <w:r w:rsidRPr="00320761">
        <w:rPr>
          <w:lang w:eastAsia="en-US"/>
        </w:rPr>
        <w:t>level of engagement/satisfaction with the questions</w:t>
      </w:r>
    </w:p>
    <w:p w14:paraId="69839CAE" w14:textId="77777777" w:rsidR="00FA4289" w:rsidRPr="00320761" w:rsidRDefault="00FA4289" w:rsidP="000A476A">
      <w:pPr>
        <w:pStyle w:val="Bullet"/>
        <w:numPr>
          <w:ilvl w:val="0"/>
          <w:numId w:val="25"/>
        </w:numPr>
        <w:spacing w:line="264" w:lineRule="auto"/>
      </w:pPr>
      <w:r w:rsidRPr="00320761">
        <w:rPr>
          <w:lang w:eastAsia="en-US"/>
        </w:rPr>
        <w:t>problems/issues with the questionnaire.</w:t>
      </w:r>
    </w:p>
    <w:p w14:paraId="791EA14A" w14:textId="77777777" w:rsidR="00FA4289" w:rsidRPr="00320761" w:rsidRDefault="00FA4289" w:rsidP="00FA4289"/>
    <w:p w14:paraId="24D8D83F" w14:textId="77777777" w:rsidR="007E07BE" w:rsidRPr="00320761" w:rsidRDefault="007E07BE" w:rsidP="007E07BE">
      <w:pPr>
        <w:rPr>
          <w:rFonts w:ascii="Georgia" w:hAnsi="Georgia"/>
          <w:sz w:val="22"/>
        </w:rPr>
      </w:pPr>
      <w:r w:rsidRPr="00320761">
        <w:t xml:space="preserve">For the 2018/19 NZHS cognitive testing, the survey questions were administered face-to-face. After asking each survey question, a researcher conducted a cognitive interview on that question before moving to the next question. The researchers read the questions aloud and recorded their findings electronically into a spreadsheet. Picture show-cards that accompanied the questions were made available to respondents on a tablet computer. </w:t>
      </w:r>
    </w:p>
    <w:p w14:paraId="2DECC068" w14:textId="77777777" w:rsidR="007E07BE" w:rsidRPr="00320761" w:rsidRDefault="007E07BE" w:rsidP="007E07BE"/>
    <w:p w14:paraId="6E9E2640" w14:textId="102290EE" w:rsidR="007E07BE" w:rsidRPr="00320761" w:rsidRDefault="00DE560B" w:rsidP="007E07BE">
      <w:r>
        <w:t>The survey targeted r</w:t>
      </w:r>
      <w:r w:rsidR="007E07BE" w:rsidRPr="00320761">
        <w:t xml:space="preserve">espondents from more deprived areas </w:t>
      </w:r>
      <w:r>
        <w:t>t</w:t>
      </w:r>
      <w:r w:rsidR="007E07BE" w:rsidRPr="00320761">
        <w:t xml:space="preserve">o ensure </w:t>
      </w:r>
      <w:r>
        <w:t>adequate testing of que</w:t>
      </w:r>
      <w:r w:rsidR="007E07BE" w:rsidRPr="00320761">
        <w:t xml:space="preserve">stions relating to dietary behaviours that are closely correlated with deprivation. One-third of the sample who took part in the cognitive testing were adult and child </w:t>
      </w:r>
      <w:r w:rsidR="007E07BE" w:rsidRPr="00320761">
        <w:lastRenderedPageBreak/>
        <w:t xml:space="preserve">respondents who </w:t>
      </w:r>
      <w:r>
        <w:t xml:space="preserve">agreed to be re-contacted for further research </w:t>
      </w:r>
      <w:r w:rsidR="007E07BE" w:rsidRPr="00320761">
        <w:t>in the 2016/17 NZHS</w:t>
      </w:r>
      <w:r w:rsidR="000C74A1">
        <w:t xml:space="preserve"> </w:t>
      </w:r>
      <w:r w:rsidR="007E07BE" w:rsidRPr="00320761">
        <w:t>and resided in more deprived areas (</w:t>
      </w:r>
      <w:proofErr w:type="spellStart"/>
      <w:r w:rsidR="007E07BE" w:rsidRPr="00320761">
        <w:t>NZDep</w:t>
      </w:r>
      <w:proofErr w:type="spellEnd"/>
      <w:r w:rsidR="007E07BE" w:rsidRPr="00320761">
        <w:t xml:space="preserve"> score of 1−3). The remaining two-thirds of the sample were adult and child respondents recruited via the survey providers’ existing professional and personal networks. Respondents were selected to represent both urban and rural areas of New Zealand with respondents residing in Auckland, Wellington, Taupo and Northland.</w:t>
      </w:r>
    </w:p>
    <w:p w14:paraId="66DBF1BF" w14:textId="77777777" w:rsidR="00FA4289" w:rsidRPr="00320761" w:rsidRDefault="00FA4289" w:rsidP="00FA4289">
      <w:pPr>
        <w:pStyle w:val="Heading3"/>
      </w:pPr>
      <w:bookmarkStart w:id="68" w:name="_Toc20997297"/>
      <w:r w:rsidRPr="00320761">
        <w:t>Adult survey 2018/19</w:t>
      </w:r>
      <w:bookmarkEnd w:id="68"/>
    </w:p>
    <w:p w14:paraId="53ACDED2" w14:textId="77777777" w:rsidR="007E07BE" w:rsidRPr="00320761" w:rsidRDefault="007E07BE" w:rsidP="007E07BE">
      <w:pPr>
        <w:rPr>
          <w:rFonts w:ascii="Georgia" w:hAnsi="Georgia"/>
          <w:sz w:val="22"/>
        </w:rPr>
      </w:pPr>
      <w:r w:rsidRPr="00320761">
        <w:t xml:space="preserve">Researchers conducted interviews with 60 adults aged 15 years and over to test 23 new or modified questions included in the adult survey. </w:t>
      </w:r>
    </w:p>
    <w:p w14:paraId="01BE89C3" w14:textId="77777777" w:rsidR="007E07BE" w:rsidRPr="00320761" w:rsidRDefault="007E07BE" w:rsidP="007E07BE">
      <w:r w:rsidRPr="00320761">
        <w:t>Generally, the questions were understood as intended. Following cognitive testing, changes were made to several questions. The key changes are listed below.</w:t>
      </w:r>
    </w:p>
    <w:p w14:paraId="409AB61C" w14:textId="77777777" w:rsidR="007E07BE" w:rsidRPr="00320761" w:rsidRDefault="007E07BE" w:rsidP="007E07BE">
      <w:pPr>
        <w:pStyle w:val="Bullet"/>
        <w:numPr>
          <w:ilvl w:val="0"/>
          <w:numId w:val="29"/>
        </w:numPr>
        <w:spacing w:line="264" w:lineRule="auto"/>
        <w:rPr>
          <w:rFonts w:ascii="Georgia" w:hAnsi="Georgia"/>
          <w:sz w:val="22"/>
        </w:rPr>
      </w:pPr>
      <w:r w:rsidRPr="00320761">
        <w:t xml:space="preserve">Additional words or interviewer instructions were added to various dietary habits questions to make it clearer what the respondent should include or exclude. For example, in a question about how many slices of bread or bread rolls the respondent eats per day, a statement was added indicating that bagels and wraps should be excluded. </w:t>
      </w:r>
    </w:p>
    <w:p w14:paraId="0A4938A0" w14:textId="77777777" w:rsidR="007E07BE" w:rsidRPr="00320761" w:rsidRDefault="007E07BE" w:rsidP="007E07BE">
      <w:pPr>
        <w:pStyle w:val="Bullet"/>
        <w:numPr>
          <w:ilvl w:val="0"/>
          <w:numId w:val="29"/>
        </w:numPr>
        <w:spacing w:line="264" w:lineRule="auto"/>
      </w:pPr>
      <w:r w:rsidRPr="00320761">
        <w:t xml:space="preserve">The picture show-cards were improved to ensure they covered the most appropriate foods and drinks that would help respondents to answer the questions. For example, in a question about what type of butter, margarine or plant oil spread the respondent uses the most of, pictures of budget brands were added to ensure they were included, if applicable. </w:t>
      </w:r>
    </w:p>
    <w:p w14:paraId="360E0D8B" w14:textId="77777777" w:rsidR="007E07BE" w:rsidRPr="00320761" w:rsidRDefault="007E07BE" w:rsidP="007E07BE">
      <w:pPr>
        <w:pStyle w:val="Bullet"/>
        <w:numPr>
          <w:ilvl w:val="0"/>
          <w:numId w:val="29"/>
        </w:numPr>
        <w:spacing w:line="264" w:lineRule="auto"/>
      </w:pPr>
      <w:r w:rsidRPr="00320761">
        <w:t>For the questions about fruit and vegetable consumption, picture show-cards showing a serving of fruit or vegetables on a person’s hand or a bowl were finalised. During testing, respondents reported that the picture show-cards provided greater clarity about what a serving is. A picture of the fruit or vegetables in a measuring jug was also tested but respondents preferred the picture featuring a bowl.</w:t>
      </w:r>
    </w:p>
    <w:p w14:paraId="542A68E8" w14:textId="42B69301" w:rsidR="007E07BE" w:rsidRPr="00320761" w:rsidRDefault="007E07BE" w:rsidP="007E07BE">
      <w:pPr>
        <w:pStyle w:val="Bullet"/>
        <w:numPr>
          <w:ilvl w:val="0"/>
          <w:numId w:val="29"/>
        </w:numPr>
        <w:spacing w:line="264" w:lineRule="auto"/>
      </w:pPr>
      <w:r w:rsidRPr="00320761">
        <w:t>The questions about the respondent’s perception of their weight and their weight intentions were changed from interviewer</w:t>
      </w:r>
      <w:r w:rsidR="00A6767E">
        <w:t>-</w:t>
      </w:r>
      <w:r w:rsidRPr="00320761">
        <w:t>administered to self-completed by the respondent. This was because some respondents felt uncomfortable giving a response to the interviewer due to the personal nature of these particular questions.</w:t>
      </w:r>
    </w:p>
    <w:p w14:paraId="1F1E8D7D" w14:textId="77777777" w:rsidR="00FA4289" w:rsidRPr="00320761" w:rsidRDefault="00FA4289" w:rsidP="00FA4289">
      <w:pPr>
        <w:pStyle w:val="Heading3"/>
      </w:pPr>
      <w:bookmarkStart w:id="69" w:name="_Toc20997298"/>
      <w:r w:rsidRPr="00320761">
        <w:t>Child survey 2018/19</w:t>
      </w:r>
      <w:bookmarkEnd w:id="69"/>
    </w:p>
    <w:p w14:paraId="4489B5D4" w14:textId="77777777" w:rsidR="007E07BE" w:rsidRPr="00320761" w:rsidRDefault="007E07BE" w:rsidP="007E07BE">
      <w:pPr>
        <w:rPr>
          <w:rFonts w:ascii="Georgia" w:hAnsi="Georgia"/>
          <w:sz w:val="22"/>
        </w:rPr>
      </w:pPr>
      <w:r w:rsidRPr="00320761">
        <w:t xml:space="preserve">Researchers conducted interviews with 60 parents/primary caregivers of 60 children aged 0–14 years to test seven questions. </w:t>
      </w:r>
    </w:p>
    <w:p w14:paraId="72114FF8" w14:textId="77777777" w:rsidR="007E07BE" w:rsidRPr="00320761" w:rsidRDefault="007E07BE" w:rsidP="007E07BE"/>
    <w:p w14:paraId="1D35C1A6" w14:textId="4A1E27F8" w:rsidR="007E07BE" w:rsidRPr="00320761" w:rsidRDefault="007E07BE" w:rsidP="007E07BE">
      <w:r w:rsidRPr="00320761">
        <w:t>The child survey questions tested all relat</w:t>
      </w:r>
      <w:r w:rsidR="000C74A1">
        <w:t>ed</w:t>
      </w:r>
      <w:r w:rsidRPr="00320761">
        <w:t xml:space="preserve"> to dietary habits. Following cognitive testing, the same changes were made to the child questions as were made to the adult questions.</w:t>
      </w:r>
    </w:p>
    <w:p w14:paraId="75BFE5D5" w14:textId="77777777" w:rsidR="00FA4289" w:rsidRPr="00320761" w:rsidRDefault="00FA4289" w:rsidP="00FA4289">
      <w:r w:rsidRPr="00320761">
        <w:t xml:space="preserve"> </w:t>
      </w:r>
    </w:p>
    <w:p w14:paraId="5DE115B0" w14:textId="77777777" w:rsidR="00FA4289" w:rsidRPr="00320761" w:rsidRDefault="00FA4289" w:rsidP="00FA4289">
      <w:pPr>
        <w:pStyle w:val="Heading2"/>
      </w:pPr>
      <w:bookmarkStart w:id="70" w:name="_Toc372226233"/>
      <w:bookmarkStart w:id="71" w:name="_Toc404710261"/>
      <w:bookmarkStart w:id="72" w:name="_Toc428361638"/>
      <w:bookmarkStart w:id="73" w:name="_Toc467491547"/>
      <w:bookmarkStart w:id="74" w:name="_Toc535580852"/>
      <w:bookmarkStart w:id="75" w:name="_Toc20997299"/>
      <w:r w:rsidRPr="00320761">
        <w:lastRenderedPageBreak/>
        <w:t>Pilot testing</w:t>
      </w:r>
      <w:bookmarkEnd w:id="70"/>
      <w:bookmarkEnd w:id="71"/>
      <w:bookmarkEnd w:id="72"/>
      <w:bookmarkEnd w:id="73"/>
      <w:bookmarkEnd w:id="74"/>
      <w:bookmarkEnd w:id="75"/>
    </w:p>
    <w:p w14:paraId="1F09DDC7" w14:textId="77777777" w:rsidR="00FA4289" w:rsidRPr="00320761" w:rsidRDefault="00FA4289" w:rsidP="00FA4289">
      <w:r w:rsidRPr="00320761">
        <w:t>The main objectives of the pilot testing were to:</w:t>
      </w:r>
    </w:p>
    <w:p w14:paraId="351F5263" w14:textId="77777777" w:rsidR="007E07BE" w:rsidRPr="00320761" w:rsidRDefault="007E07BE" w:rsidP="007E07BE">
      <w:pPr>
        <w:pStyle w:val="Bullet"/>
      </w:pPr>
      <w:r w:rsidRPr="00320761">
        <w:t>ensure that the questionnaires performed as expected, with all routing, edits and consistency checks working correctly</w:t>
      </w:r>
    </w:p>
    <w:p w14:paraId="0DA880ED" w14:textId="77777777" w:rsidR="007E07BE" w:rsidRPr="00320761" w:rsidRDefault="007E07BE" w:rsidP="007E07BE">
      <w:pPr>
        <w:pStyle w:val="Bullet"/>
      </w:pPr>
      <w:r w:rsidRPr="00320761">
        <w:t>determine the average duration for each element of the questionnaire as well as the survey process overall</w:t>
      </w:r>
    </w:p>
    <w:p w14:paraId="1466B93A" w14:textId="77777777" w:rsidR="007E07BE" w:rsidRPr="00320761" w:rsidRDefault="007E07BE" w:rsidP="007E07BE">
      <w:pPr>
        <w:pStyle w:val="Bullet"/>
      </w:pPr>
      <w:r w:rsidRPr="00320761">
        <w:t>identify and explore questions with high non-response rates and ‘other’ response rates</w:t>
      </w:r>
    </w:p>
    <w:p w14:paraId="43DC913B" w14:textId="77777777" w:rsidR="007E07BE" w:rsidRPr="00320761" w:rsidRDefault="007E07BE" w:rsidP="007E07BE">
      <w:pPr>
        <w:pStyle w:val="Bullet"/>
      </w:pPr>
      <w:r w:rsidRPr="00320761">
        <w:t>evaluate whether the training provided was comprehensive and fully prepared the interviewers to work on the project</w:t>
      </w:r>
    </w:p>
    <w:p w14:paraId="7FBC4FE2" w14:textId="77777777" w:rsidR="007E07BE" w:rsidRPr="00320761" w:rsidRDefault="007E07BE" w:rsidP="007E07BE">
      <w:pPr>
        <w:pStyle w:val="Bullet"/>
      </w:pPr>
      <w:r w:rsidRPr="00320761">
        <w:t>evaluate how respondents engaged with the survey</w:t>
      </w:r>
    </w:p>
    <w:p w14:paraId="76518DEE" w14:textId="77777777" w:rsidR="007E07BE" w:rsidRPr="00320761" w:rsidRDefault="007E07BE" w:rsidP="007E07BE">
      <w:pPr>
        <w:pStyle w:val="Bullet"/>
      </w:pPr>
      <w:r w:rsidRPr="00320761">
        <w:t>analyse completion rates for the self-complete sections of the adult survey</w:t>
      </w:r>
    </w:p>
    <w:p w14:paraId="31BED4FA" w14:textId="77777777" w:rsidR="007E07BE" w:rsidRPr="00320761" w:rsidRDefault="007E07BE" w:rsidP="007E07BE">
      <w:pPr>
        <w:pStyle w:val="Bullet"/>
      </w:pPr>
      <w:r w:rsidRPr="00320761">
        <w:t>assess the impact of adding the blood pressure measurement to the adult survey on the overall measurement rates and survey duration</w:t>
      </w:r>
    </w:p>
    <w:p w14:paraId="00FD5BDB" w14:textId="77777777" w:rsidR="007E07BE" w:rsidRPr="00320761" w:rsidRDefault="007E07BE" w:rsidP="007E07BE">
      <w:pPr>
        <w:pStyle w:val="Bullet"/>
      </w:pPr>
      <w:r w:rsidRPr="00320761">
        <w:t xml:space="preserve">assess the placement of the functional </w:t>
      </w:r>
      <w:proofErr w:type="gramStart"/>
      <w:r w:rsidRPr="00320761">
        <w:t>difficulties</w:t>
      </w:r>
      <w:proofErr w:type="gramEnd"/>
      <w:r w:rsidRPr="00320761">
        <w:t xml:space="preserve"> questions in both surveys </w:t>
      </w:r>
    </w:p>
    <w:p w14:paraId="12B99CA7" w14:textId="77777777" w:rsidR="007E07BE" w:rsidRPr="00320761" w:rsidRDefault="007E07BE" w:rsidP="007E07BE">
      <w:pPr>
        <w:pStyle w:val="Bullet"/>
      </w:pPr>
      <w:r w:rsidRPr="00320761">
        <w:t>assess the placement of the perceptions of weight questions in the adult self-completion section</w:t>
      </w:r>
    </w:p>
    <w:p w14:paraId="75BB8011" w14:textId="77777777" w:rsidR="007E07BE" w:rsidRPr="00320761" w:rsidRDefault="007E07BE" w:rsidP="007E07BE">
      <w:pPr>
        <w:pStyle w:val="Bullet"/>
      </w:pPr>
      <w:r w:rsidRPr="00320761">
        <w:t xml:space="preserve">evaluate the performance of the electronic picture show-cards developed for the dietary </w:t>
      </w:r>
      <w:proofErr w:type="gramStart"/>
      <w:r w:rsidRPr="00320761">
        <w:t>habits</w:t>
      </w:r>
      <w:proofErr w:type="gramEnd"/>
      <w:r w:rsidRPr="00320761">
        <w:t xml:space="preserve"> module</w:t>
      </w:r>
    </w:p>
    <w:p w14:paraId="352D09DE" w14:textId="77777777" w:rsidR="007E07BE" w:rsidRPr="00320761" w:rsidRDefault="007E07BE" w:rsidP="007E07BE">
      <w:pPr>
        <w:pStyle w:val="Bullet"/>
      </w:pPr>
      <w:r w:rsidRPr="00320761">
        <w:t>investigate the response to including the question text on the show-cards (in addition to the response options).</w:t>
      </w:r>
    </w:p>
    <w:p w14:paraId="79B1ABB8" w14:textId="77777777" w:rsidR="00FA4289" w:rsidRPr="00320761" w:rsidRDefault="00FA4289" w:rsidP="00FA4289">
      <w:pPr>
        <w:pStyle w:val="Bullet"/>
        <w:numPr>
          <w:ilvl w:val="0"/>
          <w:numId w:val="0"/>
        </w:numPr>
      </w:pPr>
    </w:p>
    <w:p w14:paraId="502B4928" w14:textId="77777777" w:rsidR="007E07BE" w:rsidRPr="00320761" w:rsidRDefault="007E07BE" w:rsidP="007E07BE">
      <w:pPr>
        <w:rPr>
          <w:rFonts w:ascii="Georgia" w:eastAsiaTheme="minorEastAsia" w:hAnsi="Georgia"/>
          <w:lang w:val="en-US" w:eastAsia="en-US"/>
        </w:rPr>
      </w:pPr>
      <w:r w:rsidRPr="00320761">
        <w:rPr>
          <w:rFonts w:eastAsiaTheme="minorEastAsia"/>
          <w:lang w:val="en-US" w:eastAsia="en-US"/>
        </w:rPr>
        <w:t>Researchers tested the questionnaires on 100 respondents from different age, sex and ethnic groups. The respondents were recruited via the usual NZHS respondent selection process.</w:t>
      </w:r>
    </w:p>
    <w:p w14:paraId="27A2610B" w14:textId="77777777" w:rsidR="007E07BE" w:rsidRPr="00320761" w:rsidRDefault="007E07BE" w:rsidP="007E07BE">
      <w:pPr>
        <w:rPr>
          <w:rFonts w:eastAsiaTheme="minorEastAsia"/>
          <w:lang w:val="en-US" w:eastAsia="en-US"/>
        </w:rPr>
      </w:pPr>
    </w:p>
    <w:p w14:paraId="3C65D83E" w14:textId="77777777" w:rsidR="007E07BE" w:rsidRPr="00320761" w:rsidRDefault="007E07BE" w:rsidP="007E07BE">
      <w:r w:rsidRPr="00320761">
        <w:t xml:space="preserve">The key changes resulting from the </w:t>
      </w:r>
      <w:r w:rsidRPr="00320761">
        <w:rPr>
          <w:lang w:eastAsia="en-US"/>
        </w:rPr>
        <w:t>pilot test were as follows.</w:t>
      </w:r>
    </w:p>
    <w:p w14:paraId="10088D1D" w14:textId="77777777" w:rsidR="007E07BE" w:rsidRPr="00320761" w:rsidRDefault="007E07BE" w:rsidP="007E07BE">
      <w:pPr>
        <w:pStyle w:val="Bullet"/>
      </w:pPr>
      <w:r w:rsidRPr="00320761">
        <w:t xml:space="preserve">The functional difficulties questions in the adult survey were moved to a slightly different location in the survey. All researchers agreed that the questions would flow better if they were positioned directly after the Medical Outcomes Study Short Form version 2.0 (SF-12) (Ware et al 1998) rather than after the Kessler 10-item Psychological Distress Scale (K10) (Andrews and Slade 2001). In this way, the health status section asks first about general health, then functional difficulties, then mental health. </w:t>
      </w:r>
    </w:p>
    <w:p w14:paraId="331A4E87" w14:textId="77777777" w:rsidR="007E07BE" w:rsidRPr="00320761" w:rsidRDefault="007E07BE" w:rsidP="007E07BE">
      <w:pPr>
        <w:pStyle w:val="Bullet"/>
        <w:rPr>
          <w:lang w:eastAsia="en-US"/>
        </w:rPr>
      </w:pPr>
      <w:r w:rsidRPr="00320761">
        <w:t>A ‘never’ response option was added to the core question in the adult and child surveys about how often the respondent’s teeth are brushed. This was added because two parents or caregivers who never brushed their child’s teeth didn’t think that the option ‘less than once a day’ was an accurate reflection of the frequency they brushed</w:t>
      </w:r>
      <w:r w:rsidRPr="00320761">
        <w:rPr>
          <w:lang w:eastAsia="en-US"/>
        </w:rPr>
        <w:t>.</w:t>
      </w:r>
    </w:p>
    <w:p w14:paraId="743D70EB" w14:textId="77777777" w:rsidR="00FA4289" w:rsidRPr="00320761" w:rsidRDefault="00FA4289" w:rsidP="00FA4289">
      <w:pPr>
        <w:rPr>
          <w:lang w:eastAsia="en-US"/>
        </w:rPr>
      </w:pPr>
    </w:p>
    <w:p w14:paraId="7421CEFE" w14:textId="77777777" w:rsidR="00FA4289" w:rsidRPr="00320761" w:rsidRDefault="00FA4289" w:rsidP="00FA4289">
      <w:pPr>
        <w:pStyle w:val="Heading2"/>
      </w:pPr>
      <w:bookmarkStart w:id="76" w:name="_Toc372226234"/>
      <w:bookmarkStart w:id="77" w:name="_Toc404710262"/>
      <w:bookmarkStart w:id="78" w:name="_Toc428361639"/>
      <w:bookmarkStart w:id="79" w:name="_Toc467491548"/>
      <w:bookmarkStart w:id="80" w:name="_Toc535580853"/>
      <w:bookmarkStart w:id="81" w:name="_Toc20997300"/>
      <w:r w:rsidRPr="00320761">
        <w:lastRenderedPageBreak/>
        <w:t>Ethics approval</w:t>
      </w:r>
      <w:bookmarkEnd w:id="76"/>
      <w:bookmarkEnd w:id="77"/>
      <w:bookmarkEnd w:id="78"/>
      <w:bookmarkEnd w:id="79"/>
      <w:bookmarkEnd w:id="80"/>
      <w:bookmarkEnd w:id="81"/>
    </w:p>
    <w:p w14:paraId="500EEE91" w14:textId="77777777" w:rsidR="00FA4289" w:rsidRPr="00320761" w:rsidRDefault="00FA4289" w:rsidP="00FA4289">
      <w:r w:rsidRPr="00320761">
        <w:t>The Multi-region Ethics Committee (MEC) approved the NZHS 2018/19 (Multi-region Ethics Committee Reference: MEC/10/10/103).</w:t>
      </w:r>
    </w:p>
    <w:p w14:paraId="67E31A19" w14:textId="77777777" w:rsidR="00FA4289" w:rsidRPr="00320761" w:rsidRDefault="00FA4289" w:rsidP="00FA4289"/>
    <w:p w14:paraId="38DC825E" w14:textId="77777777" w:rsidR="00FA4289" w:rsidRPr="00320761" w:rsidRDefault="00FA4289" w:rsidP="00FA4289">
      <w:pPr>
        <w:rPr>
          <w:rFonts w:eastAsia="Arial"/>
        </w:rPr>
      </w:pPr>
    </w:p>
    <w:p w14:paraId="515BF256" w14:textId="77777777" w:rsidR="00FA4289" w:rsidRPr="00320761" w:rsidRDefault="00FA4289" w:rsidP="00FA4289">
      <w:pPr>
        <w:rPr>
          <w:rFonts w:eastAsia="Arial"/>
        </w:rPr>
      </w:pPr>
    </w:p>
    <w:p w14:paraId="63B22F07" w14:textId="05D4D780" w:rsidR="00FA4289" w:rsidRPr="00320761" w:rsidRDefault="00FA4289" w:rsidP="00FA4289">
      <w:pPr>
        <w:rPr>
          <w:rFonts w:eastAsia="Arial"/>
        </w:rPr>
        <w:sectPr w:rsidR="00FA4289" w:rsidRPr="00320761" w:rsidSect="009D003B">
          <w:pgSz w:w="11907" w:h="16834" w:code="9"/>
          <w:pgMar w:top="1418" w:right="1701" w:bottom="1134" w:left="1843" w:header="284" w:footer="425" w:gutter="284"/>
          <w:pgNumType w:start="1"/>
          <w:cols w:space="720"/>
        </w:sectPr>
      </w:pPr>
    </w:p>
    <w:p w14:paraId="797EBF22" w14:textId="77777777" w:rsidR="00FA4289" w:rsidRPr="00320761" w:rsidRDefault="00FA4289" w:rsidP="001202F9">
      <w:pPr>
        <w:pStyle w:val="Heading2"/>
        <w:rPr>
          <w:rFonts w:eastAsia="Times New Roman"/>
          <w:color w:val="23305D"/>
          <w:spacing w:val="-10"/>
          <w:sz w:val="72"/>
        </w:rPr>
      </w:pPr>
      <w:bookmarkStart w:id="82" w:name="_Toc20997301"/>
      <w:r w:rsidRPr="00320761">
        <w:rPr>
          <w:rFonts w:eastAsia="Times New Roman"/>
          <w:color w:val="23305D"/>
          <w:spacing w:val="-10"/>
          <w:sz w:val="72"/>
        </w:rPr>
        <w:lastRenderedPageBreak/>
        <w:t>Content of the New Zealand Health Survey</w:t>
      </w:r>
      <w:bookmarkEnd w:id="82"/>
    </w:p>
    <w:p w14:paraId="5B8B7F6D" w14:textId="77777777" w:rsidR="00FA4289" w:rsidRPr="00320761" w:rsidRDefault="00FA4289" w:rsidP="00FA4289">
      <w:bookmarkStart w:id="83" w:name="_Toc332207386"/>
      <w:bookmarkStart w:id="84" w:name="_Toc339358318"/>
      <w:bookmarkStart w:id="85" w:name="_Toc339374303"/>
      <w:bookmarkStart w:id="86" w:name="_Toc459381945"/>
      <w:bookmarkStart w:id="87" w:name="_Toc460302918"/>
      <w:bookmarkStart w:id="88" w:name="_Toc528588027"/>
      <w:r w:rsidRPr="00320761">
        <w:t>The adult and child questionnaires included the following sections, which are core to the questionnaires unless noted otherwise</w:t>
      </w:r>
      <w:bookmarkEnd w:id="83"/>
      <w:bookmarkEnd w:id="84"/>
      <w:bookmarkEnd w:id="85"/>
      <w:r w:rsidRPr="00320761">
        <w:t>.</w:t>
      </w:r>
    </w:p>
    <w:p w14:paraId="4ADEB139" w14:textId="46A680DA" w:rsidR="007E07BE" w:rsidRPr="00320761" w:rsidRDefault="007E07BE" w:rsidP="007E07BE">
      <w:pPr>
        <w:pStyle w:val="Bullet"/>
        <w:numPr>
          <w:ilvl w:val="0"/>
          <w:numId w:val="31"/>
        </w:numPr>
        <w:spacing w:line="264" w:lineRule="auto"/>
        <w:rPr>
          <w:rFonts w:ascii="Georgia" w:hAnsi="Georgia"/>
          <w:sz w:val="22"/>
        </w:rPr>
      </w:pPr>
      <w:r w:rsidRPr="00320761">
        <w:t>Long-term health conditions</w:t>
      </w:r>
    </w:p>
    <w:p w14:paraId="5C41A329" w14:textId="77777777" w:rsidR="007E07BE" w:rsidRPr="00320761" w:rsidRDefault="007E07BE" w:rsidP="007E07BE">
      <w:pPr>
        <w:pStyle w:val="Bullet"/>
        <w:numPr>
          <w:ilvl w:val="0"/>
          <w:numId w:val="31"/>
        </w:numPr>
        <w:spacing w:line="264" w:lineRule="auto"/>
      </w:pPr>
      <w:r w:rsidRPr="00320761">
        <w:t>Health service utilisation and patient experience</w:t>
      </w:r>
    </w:p>
    <w:p w14:paraId="5D1D325C" w14:textId="77777777" w:rsidR="007E07BE" w:rsidRPr="00320761" w:rsidRDefault="007E07BE" w:rsidP="007E07BE">
      <w:pPr>
        <w:pStyle w:val="Bullet"/>
        <w:numPr>
          <w:ilvl w:val="0"/>
          <w:numId w:val="31"/>
        </w:numPr>
        <w:spacing w:line="264" w:lineRule="auto"/>
      </w:pPr>
      <w:r w:rsidRPr="00320761">
        <w:t>Health behaviours and risk factors</w:t>
      </w:r>
    </w:p>
    <w:p w14:paraId="4421E4CA" w14:textId="77777777" w:rsidR="007E07BE" w:rsidRPr="00320761" w:rsidRDefault="007E07BE" w:rsidP="007E07BE">
      <w:pPr>
        <w:pStyle w:val="Bullet"/>
        <w:numPr>
          <w:ilvl w:val="0"/>
          <w:numId w:val="31"/>
        </w:numPr>
        <w:spacing w:line="264" w:lineRule="auto"/>
      </w:pPr>
      <w:r w:rsidRPr="00320761">
        <w:t>Dietary habits (a module for adults and children)</w:t>
      </w:r>
    </w:p>
    <w:p w14:paraId="6352EC67" w14:textId="77777777" w:rsidR="007E07BE" w:rsidRPr="00320761" w:rsidRDefault="007E07BE" w:rsidP="007E07BE">
      <w:pPr>
        <w:pStyle w:val="Bullet"/>
        <w:numPr>
          <w:ilvl w:val="0"/>
          <w:numId w:val="31"/>
        </w:numPr>
        <w:spacing w:line="264" w:lineRule="auto"/>
      </w:pPr>
      <w:r w:rsidRPr="00320761">
        <w:t>Alcohol use (a module clip-on for adults)</w:t>
      </w:r>
    </w:p>
    <w:p w14:paraId="7F440F25" w14:textId="77777777" w:rsidR="007E07BE" w:rsidRPr="00320761" w:rsidRDefault="007E07BE" w:rsidP="007E07BE">
      <w:pPr>
        <w:pStyle w:val="Bullet"/>
        <w:numPr>
          <w:ilvl w:val="0"/>
          <w:numId w:val="31"/>
        </w:numPr>
        <w:spacing w:line="264" w:lineRule="auto"/>
      </w:pPr>
      <w:r w:rsidRPr="00320761">
        <w:t>Health status</w:t>
      </w:r>
    </w:p>
    <w:p w14:paraId="7105F593" w14:textId="77777777" w:rsidR="007E07BE" w:rsidRPr="00320761" w:rsidRDefault="007E07BE" w:rsidP="007E07BE">
      <w:pPr>
        <w:pStyle w:val="Bullet"/>
        <w:numPr>
          <w:ilvl w:val="0"/>
          <w:numId w:val="31"/>
        </w:numPr>
        <w:spacing w:line="264" w:lineRule="auto"/>
      </w:pPr>
      <w:r w:rsidRPr="00320761">
        <w:t>Functional difficulties (a module clip-on for adults and children)</w:t>
      </w:r>
    </w:p>
    <w:p w14:paraId="0CAB016A" w14:textId="77777777" w:rsidR="007E07BE" w:rsidRPr="00320761" w:rsidRDefault="007E07BE" w:rsidP="007E07BE">
      <w:pPr>
        <w:pStyle w:val="Bullet"/>
        <w:numPr>
          <w:ilvl w:val="0"/>
          <w:numId w:val="31"/>
        </w:numPr>
        <w:spacing w:line="264" w:lineRule="auto"/>
      </w:pPr>
      <w:proofErr w:type="spellStart"/>
      <w:r w:rsidRPr="00320761">
        <w:t>Sociodemographics</w:t>
      </w:r>
      <w:proofErr w:type="spellEnd"/>
    </w:p>
    <w:p w14:paraId="17620079" w14:textId="77777777" w:rsidR="007E07BE" w:rsidRPr="00320761" w:rsidRDefault="007E07BE" w:rsidP="007E07BE">
      <w:pPr>
        <w:pStyle w:val="Bullet"/>
        <w:numPr>
          <w:ilvl w:val="0"/>
          <w:numId w:val="31"/>
        </w:numPr>
        <w:spacing w:line="264" w:lineRule="auto"/>
      </w:pPr>
      <w:r w:rsidRPr="00320761">
        <w:t>Anthropometric measurements</w:t>
      </w:r>
    </w:p>
    <w:p w14:paraId="25B8E7F1" w14:textId="77777777" w:rsidR="007E07BE" w:rsidRPr="00320761" w:rsidRDefault="007E07BE" w:rsidP="007E07BE">
      <w:pPr>
        <w:pStyle w:val="Bullet"/>
        <w:numPr>
          <w:ilvl w:val="0"/>
          <w:numId w:val="31"/>
        </w:numPr>
        <w:spacing w:line="264" w:lineRule="auto"/>
      </w:pPr>
      <w:r w:rsidRPr="00320761">
        <w:t>Permission details after completing the survey.</w:t>
      </w:r>
    </w:p>
    <w:p w14:paraId="48021C6E" w14:textId="77777777" w:rsidR="00FA4289" w:rsidRPr="00320761" w:rsidRDefault="00FA4289" w:rsidP="00FA4289">
      <w:pPr>
        <w:pStyle w:val="Heading2"/>
      </w:pPr>
      <w:bookmarkStart w:id="89" w:name="_Toc372226236"/>
      <w:bookmarkStart w:id="90" w:name="_Toc404710264"/>
      <w:bookmarkStart w:id="91" w:name="_Toc428361641"/>
      <w:bookmarkStart w:id="92" w:name="_Toc467491550"/>
      <w:bookmarkStart w:id="93" w:name="_Toc535580855"/>
      <w:bookmarkStart w:id="94" w:name="_Toc20997302"/>
      <w:r w:rsidRPr="00320761">
        <w:t>Long-term health conditions</w:t>
      </w:r>
      <w:bookmarkEnd w:id="89"/>
      <w:bookmarkEnd w:id="90"/>
      <w:bookmarkEnd w:id="91"/>
      <w:bookmarkEnd w:id="92"/>
      <w:bookmarkEnd w:id="93"/>
      <w:bookmarkEnd w:id="94"/>
    </w:p>
    <w:p w14:paraId="1E0D8977" w14:textId="77777777" w:rsidR="007E07BE" w:rsidRPr="00320761" w:rsidRDefault="007E07BE" w:rsidP="007E07BE">
      <w:pPr>
        <w:rPr>
          <w:rFonts w:ascii="Georgia" w:hAnsi="Georgia"/>
          <w:sz w:val="22"/>
        </w:rPr>
      </w:pPr>
      <w:r w:rsidRPr="00320761">
        <w:t>Long-term health conditions cover any ongoing or recurring health problem, including a physical or mental illness, which has a significant impact on a person’s life and/or the lives of family, whānau or other carers. Such conditions are generally not cured once acquired. For the purposes of monitoring population health, a long-term health condition is defined in the NZHS as a health condition that has lasted, or is expected to last, for more than six months and is based on a respondent’s self-report of what a doctor told them.</w:t>
      </w:r>
    </w:p>
    <w:p w14:paraId="085F6E14" w14:textId="77777777" w:rsidR="007E07BE" w:rsidRPr="00320761" w:rsidRDefault="007E07BE" w:rsidP="007E07BE"/>
    <w:p w14:paraId="500EB28E" w14:textId="5ADD6B5D" w:rsidR="007E07BE" w:rsidRPr="00320761" w:rsidRDefault="007E07BE" w:rsidP="007E07BE">
      <w:r w:rsidRPr="00320761">
        <w:t xml:space="preserve">This section collects information on the prevalence of major long-term conditions (see </w:t>
      </w:r>
      <w:r w:rsidR="00726A39" w:rsidRPr="00320761">
        <w:fldChar w:fldCharType="begin"/>
      </w:r>
      <w:r w:rsidR="00726A39" w:rsidRPr="00320761">
        <w:instrText xml:space="preserve"> REF _Ref20731081 \h </w:instrText>
      </w:r>
      <w:r w:rsidR="00320761">
        <w:instrText xml:space="preserve"> \* MERGEFORMAT </w:instrText>
      </w:r>
      <w:r w:rsidR="00726A39" w:rsidRPr="00320761">
        <w:fldChar w:fldCharType="separate"/>
      </w:r>
      <w:r w:rsidR="00486803" w:rsidRPr="00320761">
        <w:t xml:space="preserve">Table </w:t>
      </w:r>
      <w:r w:rsidR="00486803">
        <w:rPr>
          <w:noProof/>
        </w:rPr>
        <w:t>2</w:t>
      </w:r>
      <w:r w:rsidR="00726A39" w:rsidRPr="00320761">
        <w:fldChar w:fldCharType="end"/>
      </w:r>
      <w:r w:rsidRPr="00320761">
        <w:t>) as well as treatments for these conditions.</w:t>
      </w:r>
    </w:p>
    <w:p w14:paraId="5EE4E1C1" w14:textId="77777777" w:rsidR="007E07BE" w:rsidRPr="00320761" w:rsidRDefault="007E07BE" w:rsidP="007E07BE"/>
    <w:p w14:paraId="0DB57FBC" w14:textId="77777777" w:rsidR="007E07BE" w:rsidRPr="00320761" w:rsidRDefault="007E07BE" w:rsidP="007E07BE">
      <w:r w:rsidRPr="00320761">
        <w:t xml:space="preserve">In the 2017/18 NZHS, a self-rated oral health question was included for adults and children aged 1–14 years, asking them to rate the health of their teeth or mouth. This question was also included in the 2009 New Zealand Oral Health Survey and the 2013/14 NZHS long-term conditions module. </w:t>
      </w:r>
    </w:p>
    <w:p w14:paraId="06F201E1" w14:textId="77777777" w:rsidR="007E07BE" w:rsidRPr="00320761" w:rsidRDefault="007E07BE" w:rsidP="007E07BE"/>
    <w:p w14:paraId="0D3EB928" w14:textId="77777777" w:rsidR="007E07BE" w:rsidRPr="00320761" w:rsidRDefault="007E07BE" w:rsidP="007E07BE">
      <w:r w:rsidRPr="00320761">
        <w:t xml:space="preserve">In the 2018/19 NZHS, a question about having ever had a hysterectomy was included for female respondents aged 20 years and over. </w:t>
      </w:r>
    </w:p>
    <w:p w14:paraId="133B4ED6" w14:textId="77777777" w:rsidR="00FA4289" w:rsidRPr="00320761" w:rsidRDefault="00FA4289" w:rsidP="00FA4289"/>
    <w:p w14:paraId="654C2781" w14:textId="6ECB0FD1" w:rsidR="00FA4289" w:rsidRPr="00320761" w:rsidRDefault="009D003B" w:rsidP="009D003B">
      <w:pPr>
        <w:pStyle w:val="Table"/>
      </w:pPr>
      <w:bookmarkStart w:id="95" w:name="_Ref20731081"/>
      <w:bookmarkStart w:id="96" w:name="_Ref339361245"/>
      <w:bookmarkStart w:id="97" w:name="_Toc273953826"/>
      <w:bookmarkStart w:id="98" w:name="_Toc284577446"/>
      <w:bookmarkStart w:id="99" w:name="_Toc339361286"/>
      <w:bookmarkStart w:id="100" w:name="_Toc372226251"/>
      <w:bookmarkStart w:id="101" w:name="_Toc403547279"/>
      <w:bookmarkStart w:id="102" w:name="_Toc428361653"/>
      <w:bookmarkStart w:id="103" w:name="_Toc467491562"/>
      <w:bookmarkStart w:id="104" w:name="_Toc535580867"/>
      <w:r w:rsidRPr="00320761">
        <w:lastRenderedPageBreak/>
        <w:t xml:space="preserve">Table </w:t>
      </w:r>
      <w:fldSimple w:instr=" SEQ Table \* ARABIC ">
        <w:r w:rsidR="00486803">
          <w:rPr>
            <w:noProof/>
          </w:rPr>
          <w:t>2</w:t>
        </w:r>
      </w:fldSimple>
      <w:bookmarkEnd w:id="95"/>
      <w:r w:rsidRPr="00320761">
        <w:t xml:space="preserve">: </w:t>
      </w:r>
      <w:bookmarkEnd w:id="96"/>
      <w:bookmarkEnd w:id="97"/>
      <w:r w:rsidR="00FA4289" w:rsidRPr="00320761">
        <w:t>Long-term health conditions</w:t>
      </w:r>
      <w:bookmarkEnd w:id="98"/>
      <w:bookmarkEnd w:id="99"/>
      <w:bookmarkEnd w:id="100"/>
      <w:bookmarkEnd w:id="101"/>
      <w:bookmarkEnd w:id="102"/>
      <w:bookmarkEnd w:id="103"/>
      <w:bookmarkEnd w:id="104"/>
    </w:p>
    <w:tbl>
      <w:tblPr>
        <w:tblW w:w="0" w:type="auto"/>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3828"/>
        <w:gridCol w:w="4053"/>
      </w:tblGrid>
      <w:tr w:rsidR="00FA4289" w:rsidRPr="00320761" w14:paraId="71F8E4F2" w14:textId="77777777" w:rsidTr="00FA4289">
        <w:trPr>
          <w:cantSplit/>
        </w:trPr>
        <w:tc>
          <w:tcPr>
            <w:tcW w:w="3828" w:type="dxa"/>
            <w:tcBorders>
              <w:top w:val="nil"/>
              <w:bottom w:val="nil"/>
            </w:tcBorders>
            <w:shd w:val="clear" w:color="auto" w:fill="F2F2F2" w:themeFill="background1" w:themeFillShade="F2"/>
            <w:tcMar>
              <w:top w:w="0" w:type="dxa"/>
              <w:left w:w="57" w:type="dxa"/>
              <w:bottom w:w="0" w:type="dxa"/>
              <w:right w:w="57" w:type="dxa"/>
            </w:tcMar>
          </w:tcPr>
          <w:p w14:paraId="35946FCF" w14:textId="77777777" w:rsidR="00FA4289" w:rsidRPr="00320761" w:rsidRDefault="00FA4289" w:rsidP="007E07BE">
            <w:pPr>
              <w:pStyle w:val="TableText"/>
              <w:keepNext/>
              <w:rPr>
                <w:b/>
              </w:rPr>
            </w:pPr>
            <w:r w:rsidRPr="00320761">
              <w:rPr>
                <w:b/>
              </w:rPr>
              <w:t>Adult</w:t>
            </w:r>
          </w:p>
        </w:tc>
        <w:tc>
          <w:tcPr>
            <w:tcW w:w="4053" w:type="dxa"/>
            <w:tcBorders>
              <w:top w:val="nil"/>
              <w:bottom w:val="nil"/>
            </w:tcBorders>
            <w:shd w:val="clear" w:color="auto" w:fill="F2F2F2" w:themeFill="background1" w:themeFillShade="F2"/>
            <w:tcMar>
              <w:top w:w="0" w:type="dxa"/>
              <w:left w:w="57" w:type="dxa"/>
              <w:bottom w:w="0" w:type="dxa"/>
              <w:right w:w="57" w:type="dxa"/>
            </w:tcMar>
          </w:tcPr>
          <w:p w14:paraId="1A9219EA" w14:textId="77777777" w:rsidR="00FA4289" w:rsidRPr="00320761" w:rsidRDefault="00FA4289" w:rsidP="007E07BE">
            <w:pPr>
              <w:pStyle w:val="TableText"/>
              <w:keepNext/>
              <w:rPr>
                <w:b/>
              </w:rPr>
            </w:pPr>
            <w:r w:rsidRPr="00320761">
              <w:rPr>
                <w:b/>
              </w:rPr>
              <w:t>Child</w:t>
            </w:r>
          </w:p>
        </w:tc>
      </w:tr>
      <w:tr w:rsidR="007E07BE" w:rsidRPr="00320761" w14:paraId="54C8E493" w14:textId="77777777" w:rsidTr="00FA4289">
        <w:trPr>
          <w:cantSplit/>
        </w:trPr>
        <w:tc>
          <w:tcPr>
            <w:tcW w:w="3828" w:type="dxa"/>
            <w:tcBorders>
              <w:top w:val="nil"/>
              <w:bottom w:val="single" w:sz="4" w:space="0" w:color="A6A6A6" w:themeColor="background1" w:themeShade="A6"/>
            </w:tcBorders>
            <w:shd w:val="clear" w:color="auto" w:fill="auto"/>
            <w:tcMar>
              <w:top w:w="0" w:type="dxa"/>
              <w:left w:w="57" w:type="dxa"/>
              <w:bottom w:w="0" w:type="dxa"/>
              <w:right w:w="57" w:type="dxa"/>
            </w:tcMar>
          </w:tcPr>
          <w:p w14:paraId="0DE7DA33" w14:textId="77777777" w:rsidR="007E07BE" w:rsidRPr="00320761" w:rsidRDefault="007E07BE" w:rsidP="007E07BE">
            <w:pPr>
              <w:pStyle w:val="TableText"/>
              <w:rPr>
                <w:rFonts w:ascii="Arial" w:hAnsi="Arial"/>
              </w:rPr>
            </w:pPr>
            <w:r w:rsidRPr="00320761">
              <w:t>Heart disease</w:t>
            </w:r>
          </w:p>
          <w:p w14:paraId="12AA916D" w14:textId="77777777" w:rsidR="007E07BE" w:rsidRPr="00320761" w:rsidRDefault="007E07BE" w:rsidP="007E07BE">
            <w:pPr>
              <w:pStyle w:val="TableText"/>
            </w:pPr>
            <w:r w:rsidRPr="00320761">
              <w:t>Stroke</w:t>
            </w:r>
          </w:p>
          <w:p w14:paraId="3499AD3C" w14:textId="77777777" w:rsidR="007E07BE" w:rsidRPr="00320761" w:rsidRDefault="007E07BE" w:rsidP="007E07BE">
            <w:pPr>
              <w:pStyle w:val="TableText"/>
            </w:pPr>
            <w:r w:rsidRPr="00320761">
              <w:t>Diabetes</w:t>
            </w:r>
          </w:p>
          <w:p w14:paraId="069797D7" w14:textId="77777777" w:rsidR="007E07BE" w:rsidRPr="00320761" w:rsidRDefault="007E07BE" w:rsidP="007E07BE">
            <w:pPr>
              <w:pStyle w:val="TableText"/>
            </w:pPr>
            <w:r w:rsidRPr="00320761">
              <w:t>Asthma</w:t>
            </w:r>
          </w:p>
          <w:p w14:paraId="00A8B9B3" w14:textId="77777777" w:rsidR="007E07BE" w:rsidRPr="00320761" w:rsidRDefault="007E07BE" w:rsidP="007E07BE">
            <w:pPr>
              <w:pStyle w:val="TableText"/>
            </w:pPr>
            <w:r w:rsidRPr="00320761">
              <w:t>Arthritis</w:t>
            </w:r>
          </w:p>
          <w:p w14:paraId="63E8AA0B" w14:textId="77777777" w:rsidR="007E07BE" w:rsidRPr="00320761" w:rsidRDefault="007E07BE" w:rsidP="007E07BE">
            <w:pPr>
              <w:pStyle w:val="TableText"/>
            </w:pPr>
            <w:r w:rsidRPr="00320761">
              <w:t>Mental health conditions</w:t>
            </w:r>
          </w:p>
          <w:p w14:paraId="6FD053AB" w14:textId="77777777" w:rsidR="007E07BE" w:rsidRPr="00320761" w:rsidRDefault="007E07BE" w:rsidP="007E07BE">
            <w:pPr>
              <w:pStyle w:val="TableText"/>
            </w:pPr>
            <w:r w:rsidRPr="00320761">
              <w:t>Chronic pain</w:t>
            </w:r>
          </w:p>
          <w:p w14:paraId="0628858B" w14:textId="2626AD1A" w:rsidR="007E07BE" w:rsidRPr="00320761" w:rsidRDefault="007E07BE" w:rsidP="007E07BE">
            <w:pPr>
              <w:pStyle w:val="TableText"/>
            </w:pPr>
            <w:r w:rsidRPr="00320761">
              <w:t>Oral health</w:t>
            </w:r>
          </w:p>
        </w:tc>
        <w:tc>
          <w:tcPr>
            <w:tcW w:w="4053" w:type="dxa"/>
            <w:tcBorders>
              <w:top w:val="nil"/>
              <w:bottom w:val="single" w:sz="4" w:space="0" w:color="A6A6A6" w:themeColor="background1" w:themeShade="A6"/>
            </w:tcBorders>
            <w:shd w:val="clear" w:color="auto" w:fill="auto"/>
            <w:tcMar>
              <w:top w:w="0" w:type="dxa"/>
              <w:left w:w="57" w:type="dxa"/>
              <w:bottom w:w="0" w:type="dxa"/>
              <w:right w:w="57" w:type="dxa"/>
            </w:tcMar>
          </w:tcPr>
          <w:p w14:paraId="7D1A6E2D" w14:textId="77777777" w:rsidR="007E07BE" w:rsidRPr="00320761" w:rsidRDefault="007E07BE" w:rsidP="007E07BE">
            <w:pPr>
              <w:pStyle w:val="TableText"/>
            </w:pPr>
            <w:r w:rsidRPr="00320761">
              <w:t>Asthma</w:t>
            </w:r>
          </w:p>
          <w:p w14:paraId="7A01BB24" w14:textId="77777777" w:rsidR="007E07BE" w:rsidRPr="00320761" w:rsidRDefault="007E07BE" w:rsidP="007E07BE">
            <w:pPr>
              <w:pStyle w:val="TableText"/>
            </w:pPr>
            <w:r w:rsidRPr="00320761">
              <w:t>Eczema</w:t>
            </w:r>
          </w:p>
          <w:p w14:paraId="2F754B97" w14:textId="77777777" w:rsidR="007E07BE" w:rsidRPr="00320761" w:rsidRDefault="007E07BE" w:rsidP="007E07BE">
            <w:pPr>
              <w:pStyle w:val="TableText"/>
            </w:pPr>
            <w:r w:rsidRPr="00320761">
              <w:t>Diabetes</w:t>
            </w:r>
          </w:p>
          <w:p w14:paraId="41E1AEE8" w14:textId="77777777" w:rsidR="007E07BE" w:rsidRPr="00320761" w:rsidRDefault="007E07BE" w:rsidP="007E07BE">
            <w:pPr>
              <w:pStyle w:val="TableText"/>
            </w:pPr>
            <w:r w:rsidRPr="00320761">
              <w:t>Rheumatic heart disease</w:t>
            </w:r>
          </w:p>
          <w:p w14:paraId="09FFC5F6" w14:textId="77777777" w:rsidR="007E07BE" w:rsidRPr="00320761" w:rsidRDefault="007E07BE" w:rsidP="007E07BE">
            <w:pPr>
              <w:pStyle w:val="TableText"/>
            </w:pPr>
            <w:r w:rsidRPr="00320761">
              <w:t>Autism spectrum disorder</w:t>
            </w:r>
          </w:p>
          <w:p w14:paraId="345A3361" w14:textId="77777777" w:rsidR="007E07BE" w:rsidRPr="00320761" w:rsidRDefault="007E07BE" w:rsidP="007E07BE">
            <w:pPr>
              <w:pStyle w:val="TableText"/>
            </w:pPr>
            <w:r w:rsidRPr="00320761">
              <w:t>Depression</w:t>
            </w:r>
          </w:p>
          <w:p w14:paraId="0371CEE2" w14:textId="77777777" w:rsidR="007E07BE" w:rsidRPr="00320761" w:rsidRDefault="007E07BE" w:rsidP="007E07BE">
            <w:pPr>
              <w:pStyle w:val="TableText"/>
            </w:pPr>
            <w:r w:rsidRPr="00320761">
              <w:t>Anxiety disorder</w:t>
            </w:r>
          </w:p>
          <w:p w14:paraId="401A61E2" w14:textId="77777777" w:rsidR="007E07BE" w:rsidRPr="00320761" w:rsidRDefault="007E07BE" w:rsidP="007E07BE">
            <w:pPr>
              <w:pStyle w:val="TableText"/>
            </w:pPr>
            <w:r w:rsidRPr="00320761">
              <w:t>Attention deficit disorder or attention deficit hyperactivity disorder</w:t>
            </w:r>
          </w:p>
          <w:p w14:paraId="3B2D52A9" w14:textId="4F29F444" w:rsidR="007E07BE" w:rsidRPr="00320761" w:rsidRDefault="007E07BE" w:rsidP="007E07BE">
            <w:pPr>
              <w:pStyle w:val="TableText"/>
            </w:pPr>
            <w:r w:rsidRPr="00320761">
              <w:t>Oral health</w:t>
            </w:r>
          </w:p>
        </w:tc>
      </w:tr>
    </w:tbl>
    <w:p w14:paraId="256CF836" w14:textId="77777777" w:rsidR="00FA4289" w:rsidRPr="00320761" w:rsidRDefault="00FA4289" w:rsidP="00FA4289">
      <w:pPr>
        <w:pStyle w:val="Heading2"/>
      </w:pPr>
      <w:bookmarkStart w:id="105" w:name="_Toc372226237"/>
      <w:bookmarkStart w:id="106" w:name="_Toc404710265"/>
      <w:bookmarkStart w:id="107" w:name="_Toc428361642"/>
      <w:bookmarkStart w:id="108" w:name="_Toc467491551"/>
      <w:bookmarkStart w:id="109" w:name="_Toc535580856"/>
      <w:bookmarkStart w:id="110" w:name="_Toc20997303"/>
      <w:r w:rsidRPr="00320761">
        <w:t>Health service utilisation and patient experience</w:t>
      </w:r>
      <w:bookmarkEnd w:id="105"/>
      <w:bookmarkEnd w:id="106"/>
      <w:bookmarkEnd w:id="107"/>
      <w:bookmarkEnd w:id="108"/>
      <w:bookmarkEnd w:id="109"/>
      <w:bookmarkEnd w:id="110"/>
    </w:p>
    <w:p w14:paraId="405C1B65" w14:textId="77777777" w:rsidR="007E07BE" w:rsidRPr="00320761" w:rsidRDefault="007E07BE" w:rsidP="007E07BE">
      <w:pPr>
        <w:rPr>
          <w:rFonts w:ascii="Georgia" w:hAnsi="Georgia"/>
          <w:sz w:val="22"/>
        </w:rPr>
      </w:pPr>
      <w:bookmarkStart w:id="111" w:name="_Ref20731095"/>
      <w:bookmarkStart w:id="112" w:name="_Toc372226252"/>
      <w:bookmarkStart w:id="113" w:name="_Toc403547280"/>
      <w:bookmarkStart w:id="114" w:name="_Toc428361654"/>
      <w:bookmarkStart w:id="115" w:name="_Toc467491563"/>
      <w:bookmarkStart w:id="116" w:name="_Toc535580868"/>
      <w:r w:rsidRPr="00320761">
        <w:t>The use of appropriate and effective health care services is an important determinant of population health. Areas of interest for the NZHS include the frequency of health care contact; the range and comprehensiveness of health services; their accessibility, availability and affordability; and the continuity and coordination of care they provide.</w:t>
      </w:r>
    </w:p>
    <w:p w14:paraId="2893C22B" w14:textId="77777777" w:rsidR="007E07BE" w:rsidRPr="00320761" w:rsidRDefault="007E07BE" w:rsidP="007E07BE"/>
    <w:p w14:paraId="478CA23E" w14:textId="77777777" w:rsidR="007E07BE" w:rsidRPr="00320761" w:rsidRDefault="007E07BE" w:rsidP="007E07BE">
      <w:r w:rsidRPr="00320761">
        <w:t>Patient experience includes the processes or events that occur (or do not occur) in the course of a specific episode of care. It addresses the interpersonal aspects of care: the interaction between health professionals and health care users. Examples include communication skills, the building of trust, the discussion and explanation of symptoms and the involvement of patients in decisions about their own treatment and care.</w:t>
      </w:r>
    </w:p>
    <w:p w14:paraId="79390E52" w14:textId="77777777" w:rsidR="007E07BE" w:rsidRPr="00320761" w:rsidRDefault="007E07BE" w:rsidP="007E07BE"/>
    <w:p w14:paraId="1CE74BEA" w14:textId="0C0A8987" w:rsidR="007E07BE" w:rsidRPr="00320761" w:rsidRDefault="007E07BE" w:rsidP="007E07BE">
      <w:r w:rsidRPr="00320761">
        <w:t>The NZHS focuses on health service utilisation and patient experience in the primary health care setting, which is often people’s first point of contact with the health system. Nearly all New Zealanders (over 90 percent) have a primary health care provider, and the NZHS provides a comprehensive source of data on primary health care utilisation. Therefore</w:t>
      </w:r>
      <w:r w:rsidR="00572A57">
        <w:t>,</w:t>
      </w:r>
      <w:r w:rsidRPr="00320761">
        <w:t xml:space="preserve"> </w:t>
      </w:r>
      <w:proofErr w:type="gramStart"/>
      <w:r w:rsidRPr="00320761">
        <w:t>a number of</w:t>
      </w:r>
      <w:proofErr w:type="gramEnd"/>
      <w:r w:rsidRPr="00320761">
        <w:t xml:space="preserve"> questions focus on consultations with GPs and primary health care nurses. To reduce recall bias, the time period of interest for many of the patient experience questions relates to primary health care visits that occurred in the previous three months. </w:t>
      </w:r>
    </w:p>
    <w:p w14:paraId="705807AD" w14:textId="77777777" w:rsidR="007E07BE" w:rsidRPr="00320761" w:rsidRDefault="007E07BE" w:rsidP="007E07BE">
      <w:r w:rsidRPr="00320761">
        <w:t xml:space="preserve"> </w:t>
      </w:r>
    </w:p>
    <w:p w14:paraId="7C2B7679" w14:textId="77777777" w:rsidR="007E07BE" w:rsidRPr="00320761" w:rsidRDefault="007E07BE" w:rsidP="007E07BE">
      <w:r w:rsidRPr="00320761">
        <w:t>Questions are also included about the use of and experience with after-hours and emergency department (ED) services. These questions use a 12-month recall period to capture a sufficient number of contacts with these services.</w:t>
      </w:r>
    </w:p>
    <w:p w14:paraId="2A6CFF43" w14:textId="77777777" w:rsidR="007E07BE" w:rsidRPr="00320761" w:rsidRDefault="007E07BE" w:rsidP="007E07BE"/>
    <w:p w14:paraId="32897832" w14:textId="77777777" w:rsidR="007E07BE" w:rsidRPr="00320761" w:rsidRDefault="007E07BE" w:rsidP="007E07BE">
      <w:r w:rsidRPr="00320761">
        <w:t>Information on the use of secondary- and tertiary-level health services (public and private hospitals and medical specialists) can generally be captured in more detail from administrative databases and surveys administered immediately following a patient’s contact with these services. Therefore, the NZHS collects only a subset of questions on service utilisation and patient experiences related to secondary- and tertiary-level health services.</w:t>
      </w:r>
    </w:p>
    <w:p w14:paraId="5ED4DB3F" w14:textId="77777777" w:rsidR="007E07BE" w:rsidRPr="00320761" w:rsidRDefault="007E07BE" w:rsidP="007E07BE"/>
    <w:p w14:paraId="26EBEBDC" w14:textId="77777777" w:rsidR="007E07BE" w:rsidRPr="00320761" w:rsidRDefault="007E07BE" w:rsidP="007E07BE">
      <w:r w:rsidRPr="00320761">
        <w:t>A small number of questions are also included on prescriptions, dental health care services and visits with other health care workers.</w:t>
      </w:r>
    </w:p>
    <w:p w14:paraId="43C426F2" w14:textId="77777777" w:rsidR="007E07BE" w:rsidRPr="00320761" w:rsidRDefault="007E07BE" w:rsidP="007E07BE"/>
    <w:p w14:paraId="5716EB74" w14:textId="77777777" w:rsidR="007E07BE" w:rsidRPr="00320761" w:rsidRDefault="007E07BE" w:rsidP="007E07BE">
      <w:r w:rsidRPr="00320761">
        <w:t>Many of the health service utilisation and patient experience questions originally come from international surveys, such as the United Kingdom’s GP Patient Survey, the Commonwealth Fund International Health Policy Survey and Australian patient experience surveys.</w:t>
      </w:r>
    </w:p>
    <w:p w14:paraId="25539D4E" w14:textId="77777777" w:rsidR="007E07BE" w:rsidRPr="00320761" w:rsidRDefault="007E07BE" w:rsidP="007E07BE"/>
    <w:p w14:paraId="13C67CD9" w14:textId="77777777" w:rsidR="007E07BE" w:rsidRPr="00320761" w:rsidRDefault="007E07BE" w:rsidP="007E07BE">
      <w:r w:rsidRPr="00320761">
        <w:t>In the 2017/18 NZHS, there were some changes to the questions about visits to primary health care nurses. In the survey, the term 'practice nurse' was replaced with 'nurse at GP clinic or medical centre' in case 'practice' could be misinterpreted to mean a nurse who is not fully qualified. New questions were added about primary health care nurse visits that were completed as part of a GP consultation (including seeing the nurse before or after seeing the GP). These questions were also included in the 2006/07 NZHS.</w:t>
      </w:r>
    </w:p>
    <w:p w14:paraId="40B05D8F" w14:textId="77777777" w:rsidR="007E07BE" w:rsidRPr="00320761" w:rsidRDefault="007E07BE" w:rsidP="007E07BE"/>
    <w:p w14:paraId="490210CA" w14:textId="77777777" w:rsidR="007E07BE" w:rsidRPr="00320761" w:rsidRDefault="007E07BE" w:rsidP="007E07BE">
      <w:r w:rsidRPr="00320761">
        <w:t xml:space="preserve">Questions about whether the usual medical centre was informed after the respondent’s visit to an after-hours medical centre, ED or a medical specialist were removed from the 2017/18 NZHS because many respondents were unaware whether their usual medical centre was informed or not. </w:t>
      </w:r>
    </w:p>
    <w:p w14:paraId="6F4AE70D" w14:textId="77777777" w:rsidR="007E07BE" w:rsidRPr="00320761" w:rsidRDefault="007E07BE" w:rsidP="007E07BE"/>
    <w:p w14:paraId="278EDD7A" w14:textId="3D245209" w:rsidR="007E07BE" w:rsidRPr="00320761" w:rsidRDefault="007E07BE" w:rsidP="007E07BE">
      <w:r w:rsidRPr="00320761">
        <w:t xml:space="preserve">The question topics included in this section of the NZHS are summarised in </w:t>
      </w:r>
      <w:r w:rsidR="00726A39" w:rsidRPr="00320761">
        <w:fldChar w:fldCharType="begin"/>
      </w:r>
      <w:r w:rsidR="00726A39" w:rsidRPr="00320761">
        <w:instrText xml:space="preserve"> REF _Ref20732636 \h </w:instrText>
      </w:r>
      <w:r w:rsidR="00320761">
        <w:instrText xml:space="preserve"> \* MERGEFORMAT </w:instrText>
      </w:r>
      <w:r w:rsidR="00726A39" w:rsidRPr="00320761">
        <w:fldChar w:fldCharType="separate"/>
      </w:r>
      <w:r w:rsidR="00486803" w:rsidRPr="00320761">
        <w:t xml:space="preserve">Table </w:t>
      </w:r>
      <w:r w:rsidR="00486803">
        <w:rPr>
          <w:noProof/>
        </w:rPr>
        <w:t>3</w:t>
      </w:r>
      <w:r w:rsidR="00726A39" w:rsidRPr="00320761">
        <w:fldChar w:fldCharType="end"/>
      </w:r>
      <w:r w:rsidRPr="00320761">
        <w:t>. Most of the topics listed were included in both the adult and child survey, but some were in the adult survey only.</w:t>
      </w:r>
    </w:p>
    <w:p w14:paraId="2EE91C40" w14:textId="77777777" w:rsidR="007E07BE" w:rsidRPr="00320761" w:rsidRDefault="007E07BE" w:rsidP="007E07BE">
      <w:pPr>
        <w:rPr>
          <w:rFonts w:cs="Arial"/>
          <w:sz w:val="20"/>
        </w:rPr>
      </w:pPr>
    </w:p>
    <w:p w14:paraId="4571BF8A" w14:textId="6930BA1D" w:rsidR="00FA4289" w:rsidRPr="00320761" w:rsidRDefault="009D003B" w:rsidP="00FA4289">
      <w:pPr>
        <w:pStyle w:val="Table"/>
      </w:pPr>
      <w:bookmarkStart w:id="117" w:name="_Ref20732636"/>
      <w:r w:rsidRPr="00320761">
        <w:t xml:space="preserve">Table </w:t>
      </w:r>
      <w:fldSimple w:instr=" SEQ Table \* ARABIC ">
        <w:r w:rsidR="00486803">
          <w:rPr>
            <w:noProof/>
          </w:rPr>
          <w:t>3</w:t>
        </w:r>
      </w:fldSimple>
      <w:bookmarkEnd w:id="111"/>
      <w:bookmarkEnd w:id="117"/>
      <w:r w:rsidRPr="00320761">
        <w:t xml:space="preserve">: </w:t>
      </w:r>
      <w:r w:rsidR="00FA4289" w:rsidRPr="00320761">
        <w:t>Health service utilisation and patient experience</w:t>
      </w:r>
      <w:bookmarkEnd w:id="112"/>
      <w:bookmarkEnd w:id="113"/>
      <w:bookmarkEnd w:id="114"/>
      <w:bookmarkEnd w:id="115"/>
      <w:bookmarkEnd w:id="116"/>
    </w:p>
    <w:tbl>
      <w:tblPr>
        <w:tblW w:w="8165" w:type="dxa"/>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3119"/>
        <w:gridCol w:w="5046"/>
      </w:tblGrid>
      <w:tr w:rsidR="00FA4289" w:rsidRPr="00320761" w14:paraId="6F4A3D9D" w14:textId="77777777" w:rsidTr="00FA4289">
        <w:trPr>
          <w:cantSplit/>
        </w:trPr>
        <w:tc>
          <w:tcPr>
            <w:tcW w:w="3119" w:type="dxa"/>
            <w:tcBorders>
              <w:top w:val="nil"/>
              <w:bottom w:val="nil"/>
            </w:tcBorders>
            <w:shd w:val="clear" w:color="auto" w:fill="F2F2F2" w:themeFill="background1" w:themeFillShade="F2"/>
            <w:tcMar>
              <w:top w:w="0" w:type="dxa"/>
              <w:left w:w="57" w:type="dxa"/>
              <w:bottom w:w="0" w:type="dxa"/>
              <w:right w:w="57" w:type="dxa"/>
            </w:tcMar>
          </w:tcPr>
          <w:p w14:paraId="37CDF04B" w14:textId="77777777" w:rsidR="00FA4289" w:rsidRPr="00320761" w:rsidRDefault="00FA4289" w:rsidP="007E07BE">
            <w:pPr>
              <w:pStyle w:val="TableText"/>
              <w:rPr>
                <w:b/>
              </w:rPr>
            </w:pPr>
            <w:r w:rsidRPr="00320761">
              <w:rPr>
                <w:b/>
              </w:rPr>
              <w:t>Health service setting</w:t>
            </w:r>
          </w:p>
        </w:tc>
        <w:tc>
          <w:tcPr>
            <w:tcW w:w="5046" w:type="dxa"/>
            <w:tcBorders>
              <w:top w:val="nil"/>
              <w:bottom w:val="nil"/>
            </w:tcBorders>
            <w:shd w:val="clear" w:color="auto" w:fill="F2F2F2" w:themeFill="background1" w:themeFillShade="F2"/>
          </w:tcPr>
          <w:p w14:paraId="72883AF2" w14:textId="77777777" w:rsidR="00FA4289" w:rsidRPr="00320761" w:rsidRDefault="00FA4289" w:rsidP="007E07BE">
            <w:pPr>
              <w:pStyle w:val="TableText"/>
              <w:rPr>
                <w:b/>
              </w:rPr>
            </w:pPr>
            <w:r w:rsidRPr="00320761">
              <w:rPr>
                <w:b/>
              </w:rPr>
              <w:t>Topics</w:t>
            </w:r>
          </w:p>
        </w:tc>
      </w:tr>
      <w:tr w:rsidR="007E07BE" w:rsidRPr="00320761" w14:paraId="422AC7C1" w14:textId="77777777" w:rsidTr="00FA4289">
        <w:trPr>
          <w:cantSplit/>
        </w:trPr>
        <w:tc>
          <w:tcPr>
            <w:tcW w:w="3119" w:type="dxa"/>
            <w:tcBorders>
              <w:top w:val="nil"/>
              <w:bottom w:val="single" w:sz="4" w:space="0" w:color="A6A6A6" w:themeColor="background1" w:themeShade="A6"/>
            </w:tcBorders>
            <w:shd w:val="clear" w:color="auto" w:fill="auto"/>
            <w:tcMar>
              <w:top w:w="0" w:type="dxa"/>
              <w:left w:w="57" w:type="dxa"/>
              <w:bottom w:w="0" w:type="dxa"/>
              <w:right w:w="57" w:type="dxa"/>
            </w:tcMar>
          </w:tcPr>
          <w:p w14:paraId="0E2A98DD" w14:textId="00F1179A" w:rsidR="007E07BE" w:rsidRPr="00320761" w:rsidRDefault="007E07BE" w:rsidP="007E07BE">
            <w:pPr>
              <w:pStyle w:val="TableText"/>
            </w:pPr>
            <w:r w:rsidRPr="00320761">
              <w:t>Usual primary health care provider</w:t>
            </w:r>
          </w:p>
        </w:tc>
        <w:tc>
          <w:tcPr>
            <w:tcW w:w="5046" w:type="dxa"/>
            <w:tcBorders>
              <w:top w:val="nil"/>
              <w:bottom w:val="single" w:sz="4" w:space="0" w:color="A6A6A6" w:themeColor="background1" w:themeShade="A6"/>
            </w:tcBorders>
            <w:shd w:val="clear" w:color="auto" w:fill="auto"/>
          </w:tcPr>
          <w:p w14:paraId="13370E42" w14:textId="2D0BA277" w:rsidR="007E07BE" w:rsidRPr="00320761" w:rsidRDefault="007E07BE" w:rsidP="007E07BE">
            <w:pPr>
              <w:pStyle w:val="TableText"/>
            </w:pPr>
            <w:r w:rsidRPr="00320761">
              <w:t>Type of service, timely access, health checks, health discussions</w:t>
            </w:r>
          </w:p>
        </w:tc>
      </w:tr>
      <w:tr w:rsidR="007E07BE" w:rsidRPr="00320761" w14:paraId="64C33609" w14:textId="77777777" w:rsidTr="00FA4289">
        <w:trPr>
          <w:cantSplit/>
        </w:trPr>
        <w:tc>
          <w:tcPr>
            <w:tcW w:w="3119"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7E3DFF6A" w14:textId="55D44A3F" w:rsidR="007E07BE" w:rsidRPr="00320761" w:rsidRDefault="007E07BE" w:rsidP="007E07BE">
            <w:pPr>
              <w:pStyle w:val="TableText"/>
            </w:pPr>
            <w:r w:rsidRPr="00320761">
              <w:t>General practitioners</w:t>
            </w:r>
          </w:p>
        </w:tc>
        <w:tc>
          <w:tcPr>
            <w:tcW w:w="5046" w:type="dxa"/>
            <w:tcBorders>
              <w:top w:val="single" w:sz="4" w:space="0" w:color="A6A6A6" w:themeColor="background1" w:themeShade="A6"/>
              <w:bottom w:val="single" w:sz="4" w:space="0" w:color="A6A6A6" w:themeColor="background1" w:themeShade="A6"/>
            </w:tcBorders>
            <w:shd w:val="clear" w:color="auto" w:fill="auto"/>
          </w:tcPr>
          <w:p w14:paraId="2B7C9094" w14:textId="14AD7755" w:rsidR="007E07BE" w:rsidRPr="00320761" w:rsidRDefault="007E07BE" w:rsidP="007E07BE">
            <w:pPr>
              <w:pStyle w:val="TableText"/>
            </w:pPr>
            <w:r w:rsidRPr="00320761">
              <w:t>Visits in last 12 months, visit cost, patient experience, unmet need / barriers to access</w:t>
            </w:r>
          </w:p>
        </w:tc>
      </w:tr>
      <w:tr w:rsidR="007E07BE" w:rsidRPr="00320761" w14:paraId="1DA3AECA" w14:textId="77777777" w:rsidTr="00FA4289">
        <w:trPr>
          <w:cantSplit/>
        </w:trPr>
        <w:tc>
          <w:tcPr>
            <w:tcW w:w="3119"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2FFCE0EB" w14:textId="5221FB6B" w:rsidR="007E07BE" w:rsidRPr="00320761" w:rsidRDefault="007E07BE" w:rsidP="007E07BE">
            <w:pPr>
              <w:pStyle w:val="TableText"/>
            </w:pPr>
            <w:r w:rsidRPr="00320761">
              <w:t>Primary health care nurses</w:t>
            </w:r>
          </w:p>
        </w:tc>
        <w:tc>
          <w:tcPr>
            <w:tcW w:w="5046" w:type="dxa"/>
            <w:tcBorders>
              <w:top w:val="single" w:sz="4" w:space="0" w:color="A6A6A6" w:themeColor="background1" w:themeShade="A6"/>
              <w:bottom w:val="single" w:sz="4" w:space="0" w:color="A6A6A6" w:themeColor="background1" w:themeShade="A6"/>
            </w:tcBorders>
            <w:shd w:val="clear" w:color="auto" w:fill="auto"/>
          </w:tcPr>
          <w:p w14:paraId="134D758F" w14:textId="14FE9280" w:rsidR="007E07BE" w:rsidRPr="00320761" w:rsidRDefault="007E07BE" w:rsidP="007E07BE">
            <w:pPr>
              <w:pStyle w:val="TableText"/>
            </w:pPr>
            <w:r w:rsidRPr="00320761">
              <w:t>Visits in last 12 months, visit cost</w:t>
            </w:r>
          </w:p>
        </w:tc>
      </w:tr>
      <w:tr w:rsidR="007E07BE" w:rsidRPr="00320761" w14:paraId="5D4B412F" w14:textId="77777777" w:rsidTr="00FA4289">
        <w:trPr>
          <w:cantSplit/>
        </w:trPr>
        <w:tc>
          <w:tcPr>
            <w:tcW w:w="3119"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2B754BEF" w14:textId="0EFF8EAA" w:rsidR="007E07BE" w:rsidRPr="00320761" w:rsidRDefault="007E07BE" w:rsidP="007E07BE">
            <w:pPr>
              <w:pStyle w:val="TableText"/>
            </w:pPr>
            <w:r w:rsidRPr="00320761">
              <w:t>Other health care workers</w:t>
            </w:r>
          </w:p>
        </w:tc>
        <w:tc>
          <w:tcPr>
            <w:tcW w:w="5046" w:type="dxa"/>
            <w:tcBorders>
              <w:top w:val="single" w:sz="4" w:space="0" w:color="A6A6A6" w:themeColor="background1" w:themeShade="A6"/>
              <w:bottom w:val="single" w:sz="4" w:space="0" w:color="A6A6A6" w:themeColor="background1" w:themeShade="A6"/>
            </w:tcBorders>
            <w:shd w:val="clear" w:color="auto" w:fill="auto"/>
          </w:tcPr>
          <w:p w14:paraId="4DEECD6A" w14:textId="09354E6B" w:rsidR="007E07BE" w:rsidRPr="00320761" w:rsidRDefault="007E07BE" w:rsidP="007E07BE">
            <w:pPr>
              <w:pStyle w:val="TableText"/>
            </w:pPr>
            <w:r w:rsidRPr="00320761">
              <w:t>Visits in last 12 months</w:t>
            </w:r>
          </w:p>
        </w:tc>
      </w:tr>
      <w:tr w:rsidR="007E07BE" w:rsidRPr="00320761" w14:paraId="17C74E61" w14:textId="77777777" w:rsidTr="00FA4289">
        <w:trPr>
          <w:cantSplit/>
        </w:trPr>
        <w:tc>
          <w:tcPr>
            <w:tcW w:w="3119"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2B109492" w14:textId="7FEE317C" w:rsidR="007E07BE" w:rsidRPr="00320761" w:rsidRDefault="007E07BE" w:rsidP="007E07BE">
            <w:pPr>
              <w:pStyle w:val="TableText"/>
            </w:pPr>
            <w:r w:rsidRPr="00320761">
              <w:t>After-hours medical services</w:t>
            </w:r>
          </w:p>
        </w:tc>
        <w:tc>
          <w:tcPr>
            <w:tcW w:w="5046" w:type="dxa"/>
            <w:tcBorders>
              <w:top w:val="single" w:sz="4" w:space="0" w:color="A6A6A6" w:themeColor="background1" w:themeShade="A6"/>
              <w:bottom w:val="single" w:sz="4" w:space="0" w:color="A6A6A6" w:themeColor="background1" w:themeShade="A6"/>
            </w:tcBorders>
            <w:shd w:val="clear" w:color="auto" w:fill="auto"/>
          </w:tcPr>
          <w:p w14:paraId="36207F7A" w14:textId="7E556039" w:rsidR="007E07BE" w:rsidRPr="00320761" w:rsidRDefault="007E07BE" w:rsidP="007E07BE">
            <w:pPr>
              <w:pStyle w:val="TableText"/>
            </w:pPr>
            <w:r w:rsidRPr="00320761">
              <w:t>Visits in last 12 months, visit cost, patient experience, unmet need / barriers to access</w:t>
            </w:r>
          </w:p>
        </w:tc>
      </w:tr>
      <w:tr w:rsidR="007E07BE" w:rsidRPr="00320761" w14:paraId="7D8F2656" w14:textId="77777777" w:rsidTr="00FA4289">
        <w:trPr>
          <w:cantSplit/>
        </w:trPr>
        <w:tc>
          <w:tcPr>
            <w:tcW w:w="3119"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541697A9" w14:textId="7A3CA2DC" w:rsidR="007E07BE" w:rsidRPr="00320761" w:rsidRDefault="007E07BE" w:rsidP="007E07BE">
            <w:pPr>
              <w:pStyle w:val="TableText"/>
            </w:pPr>
            <w:r w:rsidRPr="00320761">
              <w:t>Hospitals</w:t>
            </w:r>
          </w:p>
        </w:tc>
        <w:tc>
          <w:tcPr>
            <w:tcW w:w="5046" w:type="dxa"/>
            <w:tcBorders>
              <w:top w:val="single" w:sz="4" w:space="0" w:color="A6A6A6" w:themeColor="background1" w:themeShade="A6"/>
              <w:bottom w:val="single" w:sz="4" w:space="0" w:color="A6A6A6" w:themeColor="background1" w:themeShade="A6"/>
            </w:tcBorders>
            <w:shd w:val="clear" w:color="auto" w:fill="auto"/>
          </w:tcPr>
          <w:p w14:paraId="01C4FF9F" w14:textId="65B36ADC" w:rsidR="007E07BE" w:rsidRPr="00320761" w:rsidRDefault="007E07BE" w:rsidP="007E07BE">
            <w:pPr>
              <w:pStyle w:val="TableText"/>
            </w:pPr>
            <w:r w:rsidRPr="00320761">
              <w:t>Visits in last 12 months</w:t>
            </w:r>
          </w:p>
        </w:tc>
      </w:tr>
      <w:tr w:rsidR="007E07BE" w:rsidRPr="00320761" w14:paraId="2734C47E" w14:textId="77777777" w:rsidTr="00FA4289">
        <w:trPr>
          <w:cantSplit/>
        </w:trPr>
        <w:tc>
          <w:tcPr>
            <w:tcW w:w="3119"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77BEBE8E" w14:textId="30004578" w:rsidR="007E07BE" w:rsidRPr="00320761" w:rsidRDefault="007E07BE" w:rsidP="007E07BE">
            <w:pPr>
              <w:pStyle w:val="TableText"/>
            </w:pPr>
            <w:r w:rsidRPr="00320761">
              <w:t>Emergency departments</w:t>
            </w:r>
          </w:p>
        </w:tc>
        <w:tc>
          <w:tcPr>
            <w:tcW w:w="5046" w:type="dxa"/>
            <w:tcBorders>
              <w:top w:val="single" w:sz="4" w:space="0" w:color="A6A6A6" w:themeColor="background1" w:themeShade="A6"/>
              <w:bottom w:val="single" w:sz="4" w:space="0" w:color="A6A6A6" w:themeColor="background1" w:themeShade="A6"/>
            </w:tcBorders>
            <w:shd w:val="clear" w:color="auto" w:fill="auto"/>
          </w:tcPr>
          <w:p w14:paraId="6BA15488" w14:textId="650519CA" w:rsidR="007E07BE" w:rsidRPr="00320761" w:rsidRDefault="007E07BE" w:rsidP="007E07BE">
            <w:pPr>
              <w:pStyle w:val="TableText"/>
            </w:pPr>
            <w:r w:rsidRPr="00320761">
              <w:t>Visits in last 12 months, reason for last visit, patient experience / continuity of care</w:t>
            </w:r>
          </w:p>
        </w:tc>
      </w:tr>
      <w:tr w:rsidR="007E07BE" w:rsidRPr="00320761" w14:paraId="39AF87EA" w14:textId="77777777" w:rsidTr="00FA4289">
        <w:trPr>
          <w:cantSplit/>
        </w:trPr>
        <w:tc>
          <w:tcPr>
            <w:tcW w:w="3119"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2E62DC95" w14:textId="2024CE76" w:rsidR="007E07BE" w:rsidRPr="00320761" w:rsidRDefault="007E07BE" w:rsidP="007E07BE">
            <w:pPr>
              <w:pStyle w:val="TableText"/>
            </w:pPr>
            <w:r w:rsidRPr="00320761">
              <w:t>Medical specialists</w:t>
            </w:r>
          </w:p>
        </w:tc>
        <w:tc>
          <w:tcPr>
            <w:tcW w:w="5046" w:type="dxa"/>
            <w:tcBorders>
              <w:top w:val="single" w:sz="4" w:space="0" w:color="A6A6A6" w:themeColor="background1" w:themeShade="A6"/>
              <w:bottom w:val="single" w:sz="4" w:space="0" w:color="A6A6A6" w:themeColor="background1" w:themeShade="A6"/>
            </w:tcBorders>
            <w:shd w:val="clear" w:color="auto" w:fill="auto"/>
          </w:tcPr>
          <w:p w14:paraId="21B50C8F" w14:textId="15ADB6FC" w:rsidR="007E07BE" w:rsidRPr="00320761" w:rsidRDefault="007E07BE" w:rsidP="007E07BE">
            <w:pPr>
              <w:pStyle w:val="TableText"/>
            </w:pPr>
            <w:r w:rsidRPr="00320761">
              <w:t>Visits in last 12 months, patient experience / continuity of care</w:t>
            </w:r>
          </w:p>
        </w:tc>
      </w:tr>
      <w:tr w:rsidR="007E07BE" w:rsidRPr="00320761" w14:paraId="5B2AB31D" w14:textId="77777777" w:rsidTr="00FA4289">
        <w:trPr>
          <w:cantSplit/>
        </w:trPr>
        <w:tc>
          <w:tcPr>
            <w:tcW w:w="3119"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1DFDFE2B" w14:textId="09F40BAA" w:rsidR="007E07BE" w:rsidRPr="00320761" w:rsidRDefault="007E07BE" w:rsidP="007E07BE">
            <w:pPr>
              <w:pStyle w:val="TableText"/>
            </w:pPr>
            <w:r w:rsidRPr="00320761">
              <w:t>Dental health care workers</w:t>
            </w:r>
          </w:p>
        </w:tc>
        <w:tc>
          <w:tcPr>
            <w:tcW w:w="5046" w:type="dxa"/>
            <w:tcBorders>
              <w:top w:val="single" w:sz="4" w:space="0" w:color="A6A6A6" w:themeColor="background1" w:themeShade="A6"/>
              <w:bottom w:val="single" w:sz="4" w:space="0" w:color="A6A6A6" w:themeColor="background1" w:themeShade="A6"/>
            </w:tcBorders>
            <w:shd w:val="clear" w:color="auto" w:fill="auto"/>
          </w:tcPr>
          <w:p w14:paraId="340C6926" w14:textId="548BC966" w:rsidR="007E07BE" w:rsidRPr="00320761" w:rsidRDefault="007E07BE" w:rsidP="007E07BE">
            <w:pPr>
              <w:pStyle w:val="TableText"/>
            </w:pPr>
            <w:r w:rsidRPr="00320761">
              <w:t>Visits in last 12 months, unmet need / barriers to access</w:t>
            </w:r>
          </w:p>
        </w:tc>
      </w:tr>
      <w:tr w:rsidR="007E07BE" w:rsidRPr="00320761" w14:paraId="38D8ED84" w14:textId="77777777" w:rsidTr="00FA4289">
        <w:trPr>
          <w:cantSplit/>
        </w:trPr>
        <w:tc>
          <w:tcPr>
            <w:tcW w:w="3119"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10265759" w14:textId="2F2BBBC2" w:rsidR="007E07BE" w:rsidRPr="00320761" w:rsidRDefault="007E07BE" w:rsidP="007E07BE">
            <w:pPr>
              <w:pStyle w:val="TableText"/>
            </w:pPr>
            <w:r w:rsidRPr="00320761">
              <w:t>Prescription medicines</w:t>
            </w:r>
          </w:p>
        </w:tc>
        <w:tc>
          <w:tcPr>
            <w:tcW w:w="5046" w:type="dxa"/>
            <w:tcBorders>
              <w:top w:val="single" w:sz="4" w:space="0" w:color="A6A6A6" w:themeColor="background1" w:themeShade="A6"/>
              <w:bottom w:val="single" w:sz="4" w:space="0" w:color="A6A6A6" w:themeColor="background1" w:themeShade="A6"/>
            </w:tcBorders>
            <w:shd w:val="clear" w:color="auto" w:fill="auto"/>
          </w:tcPr>
          <w:p w14:paraId="29F1B5D1" w14:textId="0975C777" w:rsidR="007E07BE" w:rsidRPr="00320761" w:rsidRDefault="007E07BE" w:rsidP="007E07BE">
            <w:pPr>
              <w:pStyle w:val="TableText"/>
            </w:pPr>
            <w:r w:rsidRPr="00320761">
              <w:t>Unmet need / barriers to access</w:t>
            </w:r>
          </w:p>
        </w:tc>
      </w:tr>
    </w:tbl>
    <w:p w14:paraId="68339066" w14:textId="7F288CBA" w:rsidR="00FA4289" w:rsidRPr="00320761" w:rsidRDefault="00FA4289" w:rsidP="00FA4289">
      <w:pPr>
        <w:sectPr w:rsidR="00FA4289" w:rsidRPr="00320761" w:rsidSect="001F63DA">
          <w:pgSz w:w="11907" w:h="16834" w:code="9"/>
          <w:pgMar w:top="1418" w:right="1701" w:bottom="1134" w:left="1843" w:header="284" w:footer="425" w:gutter="284"/>
          <w:cols w:space="720"/>
        </w:sectPr>
      </w:pPr>
    </w:p>
    <w:p w14:paraId="5CFEB889" w14:textId="77777777" w:rsidR="00FA4289" w:rsidRPr="00320761" w:rsidRDefault="00FA4289" w:rsidP="00FA4289">
      <w:pPr>
        <w:pStyle w:val="Heading2"/>
      </w:pPr>
      <w:bookmarkStart w:id="118" w:name="_Toc535580857"/>
      <w:bookmarkStart w:id="119" w:name="_Toc20997304"/>
      <w:r w:rsidRPr="00320761">
        <w:lastRenderedPageBreak/>
        <w:t>Health behaviours and risk factors</w:t>
      </w:r>
      <w:bookmarkEnd w:id="118"/>
      <w:bookmarkEnd w:id="119"/>
    </w:p>
    <w:p w14:paraId="565CE33D" w14:textId="77777777" w:rsidR="007E07BE" w:rsidRPr="00320761" w:rsidRDefault="007E07BE" w:rsidP="007E07BE">
      <w:pPr>
        <w:rPr>
          <w:rFonts w:ascii="Georgia" w:hAnsi="Georgia"/>
          <w:sz w:val="22"/>
        </w:rPr>
      </w:pPr>
      <w:bookmarkStart w:id="120" w:name="_Ref20731110"/>
      <w:bookmarkStart w:id="121" w:name="_Toc284577447"/>
      <w:bookmarkStart w:id="122" w:name="_Toc372226253"/>
      <w:bookmarkStart w:id="123" w:name="_Toc403547281"/>
      <w:bookmarkStart w:id="124" w:name="_Toc428361655"/>
      <w:bookmarkStart w:id="125" w:name="_Toc467491564"/>
      <w:bookmarkStart w:id="126" w:name="_Toc535580869"/>
      <w:r w:rsidRPr="00320761">
        <w:t>Health behaviours and risk factors can have a direct or indirect impact on health and wellbeing. For example, smoking has a direct impact on health, while education has an indirect impact by informing and influencing our ability to make better health choices. Health behaviours that have a negative effect on health are referred to as risk factors (</w:t>
      </w:r>
      <w:proofErr w:type="spellStart"/>
      <w:r w:rsidRPr="00320761">
        <w:t>eg</w:t>
      </w:r>
      <w:proofErr w:type="spellEnd"/>
      <w:r w:rsidRPr="00320761">
        <w:t>, smoking), while health behaviours that have a positive effect on health are referred to as protective factors (</w:t>
      </w:r>
      <w:proofErr w:type="spellStart"/>
      <w:r w:rsidRPr="00320761">
        <w:t>eg</w:t>
      </w:r>
      <w:proofErr w:type="spellEnd"/>
      <w:r w:rsidRPr="00320761">
        <w:t>, eating healthy foods such as vegetables and fruit).</w:t>
      </w:r>
    </w:p>
    <w:p w14:paraId="44867958" w14:textId="77777777" w:rsidR="007E07BE" w:rsidRPr="00320761" w:rsidRDefault="007E07BE" w:rsidP="007E07BE"/>
    <w:p w14:paraId="75EA0B2B" w14:textId="77777777" w:rsidR="007E07BE" w:rsidRPr="00320761" w:rsidRDefault="007E07BE" w:rsidP="007E07BE">
      <w:r w:rsidRPr="00320761">
        <w:rPr>
          <w:color w:val="000000"/>
        </w:rPr>
        <w:t>M</w:t>
      </w:r>
      <w:r w:rsidRPr="00320761">
        <w:t xml:space="preserve">onitoring trends in exposure to risk and protective factors informs the development and evaluation of health policy, especially policy related to health promotion, disease prevention and primary health care. The measurement of risk and protective factors is part of the internationally recognised minimum standards for health surveys. These standards, developed by the World Health Organization (WHO), comprise the </w:t>
      </w:r>
      <w:proofErr w:type="spellStart"/>
      <w:r w:rsidRPr="00320761">
        <w:t>STEPwise</w:t>
      </w:r>
      <w:proofErr w:type="spellEnd"/>
      <w:r w:rsidRPr="00320761">
        <w:t xml:space="preserve"> approach to surveillance of risk factors for non-communicable diseases (STEPS) (WHO 2005).</w:t>
      </w:r>
    </w:p>
    <w:p w14:paraId="2EBB6789" w14:textId="77777777" w:rsidR="007E07BE" w:rsidRPr="00320761" w:rsidRDefault="007E07BE" w:rsidP="007E07BE"/>
    <w:p w14:paraId="667FB06F" w14:textId="77777777" w:rsidR="007E07BE" w:rsidRPr="00320761" w:rsidRDefault="007E07BE" w:rsidP="007E07BE">
      <w:r w:rsidRPr="00320761">
        <w:t>The core health risk and protective factor questions are based on a subset of questions from the 2006/07 NZHS, some of which were also included in earlier surveys. This provides important time-series information on topics such as smoking.</w:t>
      </w:r>
    </w:p>
    <w:p w14:paraId="4BA07EF8" w14:textId="77777777" w:rsidR="007E07BE" w:rsidRPr="00320761" w:rsidRDefault="007E07BE" w:rsidP="007E07BE"/>
    <w:p w14:paraId="6733D877" w14:textId="77777777" w:rsidR="007E07BE" w:rsidRPr="00320761" w:rsidRDefault="007E07BE" w:rsidP="007E07BE">
      <w:r w:rsidRPr="00320761">
        <w:t>The questions about alcohol use come from the Alcohol Use Disorders Test (AUDIT). The AUDIT is a 10-item questionnaire that covers three aspects of alcohol use: alcohol consumption, dependence and adverse consequences. A score of eight or more indicates a hazardous drinking pattern. A respondent can reach a score of eight from the alcohol consumption items of the questionnaire alone, for example, by drinking six or more drinks on one occasion, twice a week (</w:t>
      </w:r>
      <w:proofErr w:type="spellStart"/>
      <w:r w:rsidRPr="00320761">
        <w:t>Babor</w:t>
      </w:r>
      <w:proofErr w:type="spellEnd"/>
      <w:r w:rsidRPr="00320761">
        <w:t xml:space="preserve"> et al 2001).</w:t>
      </w:r>
    </w:p>
    <w:p w14:paraId="4B044E68" w14:textId="77777777" w:rsidR="007E07BE" w:rsidRPr="00320761" w:rsidRDefault="007E07BE" w:rsidP="007E07BE"/>
    <w:p w14:paraId="7F40CB50" w14:textId="77777777" w:rsidR="007E07BE" w:rsidRPr="00320761" w:rsidRDefault="007E07BE" w:rsidP="007E07BE">
      <w:r w:rsidRPr="00320761">
        <w:t xml:space="preserve">In 2015/16, two alcohol questions were changed in the AUDIT section of the NZHS. </w:t>
      </w:r>
    </w:p>
    <w:p w14:paraId="73C4AC9A" w14:textId="77777777" w:rsidR="007E07BE" w:rsidRPr="00320761" w:rsidRDefault="007E07BE" w:rsidP="007E07BE">
      <w:r w:rsidRPr="00320761">
        <w:t>Before 2015/16, the NZHS did not define ‘drinks’ in the two AUDIT questions covering typical quantity and frequency of heavy drinking. To ensure consistency in interpreting the meaning of ‘drinks’, the authors of the AUDIT recommended that each country apply their own definition of a standard drink (which, in New Zealand, is 10 g pure alcohol), with illustrations of standard drinks in local beverages. Thus, for the 2015/16 survey, the two AUDIT alcohol consumption questions were changed from ‘drinks’ to ‘standard drinks’ and included a show-card illustrating the number of standard drinks in various common beverages. The changes were only made for half the survey sample (selected randomly) in order to assess their impact. From 2016/17, the NZHS only uses the standard drinks show-card version of AUDIT, creating a break in the time series.</w:t>
      </w:r>
    </w:p>
    <w:p w14:paraId="5B1E898D" w14:textId="77777777" w:rsidR="007E07BE" w:rsidRPr="00320761" w:rsidRDefault="007E07BE" w:rsidP="007E07BE"/>
    <w:p w14:paraId="53684234" w14:textId="25E536ED" w:rsidR="007E07BE" w:rsidRPr="00320761" w:rsidRDefault="007E07BE" w:rsidP="007E07BE">
      <w:r w:rsidRPr="00320761">
        <w:t xml:space="preserve">The 2016/17 NZHS included two new questions about screen time for children aged 2–14 years. The Ministry developed these questions to measure the amount of time children spend watching television or looking at a screen (excluding time spent looking at screens at school or for homework). From 2017/18, the questions about screen time were also asked for children aged 6 months to 2 years to measure screen time in the younger age group as well. </w:t>
      </w:r>
    </w:p>
    <w:p w14:paraId="61C09463" w14:textId="77777777" w:rsidR="007E07BE" w:rsidRPr="00320761" w:rsidRDefault="007E07BE" w:rsidP="007E07BE"/>
    <w:p w14:paraId="34098F74" w14:textId="77777777" w:rsidR="007E07BE" w:rsidRPr="00320761" w:rsidRDefault="007E07BE" w:rsidP="007E07BE">
      <w:r w:rsidRPr="00320761">
        <w:lastRenderedPageBreak/>
        <w:t>The 2017/18 NZHS also included new questions in the core component on sleep, teeth brushing and use of electronic cigarettes.</w:t>
      </w:r>
    </w:p>
    <w:p w14:paraId="6DD127C9" w14:textId="77777777" w:rsidR="007E07BE" w:rsidRPr="00320761" w:rsidRDefault="007E07BE" w:rsidP="007E07BE"/>
    <w:p w14:paraId="0BF03146" w14:textId="77777777" w:rsidR="007E07BE" w:rsidRPr="00320761" w:rsidRDefault="007E07BE" w:rsidP="007E07BE">
      <w:r w:rsidRPr="00320761">
        <w:t xml:space="preserve">Getting enough quality sleep is important for brain functioning, emotional wellbeing and physical health. The NZHS for adults and children asks how much sleep the respondent usually gets in a 24-hour period. This question originally came from the United States’ National Health Interview Survey and was also included in the 2013/14 NZHS long-term conditions module. For the 2017/18 NZHS, an interviewer note was added to ensure interviewers use a consistent method of rounding to a whole number. </w:t>
      </w:r>
    </w:p>
    <w:p w14:paraId="189F0999" w14:textId="77777777" w:rsidR="007E07BE" w:rsidRPr="00320761" w:rsidRDefault="007E07BE" w:rsidP="007E07BE"/>
    <w:p w14:paraId="283FEAC8" w14:textId="77777777" w:rsidR="007E07BE" w:rsidRPr="00320761" w:rsidRDefault="007E07BE" w:rsidP="007E07BE">
      <w:r w:rsidRPr="00320761">
        <w:t>The Ministry recommends brushing teeth twice a day with standard fluoride toothpaste. The NZHS for adults and children asks how often the respondent brushes their teeth and the type of toothpaste they usually use. The show-card for the question on type of toothpaste used includes pictures to help respondents differentiate between categories, particularly between standard and low-fluoride toothpaste. Similar questions on teeth brushing were included in the 2013/14 NZHS long-term conditions module.</w:t>
      </w:r>
    </w:p>
    <w:p w14:paraId="371EB6F9" w14:textId="77777777" w:rsidR="007E07BE" w:rsidRPr="00320761" w:rsidRDefault="007E07BE" w:rsidP="007E07BE"/>
    <w:p w14:paraId="305E50C4" w14:textId="23AC0C60" w:rsidR="007E07BE" w:rsidRPr="00320761" w:rsidRDefault="00A6767E" w:rsidP="007E07BE">
      <w:r>
        <w:t>Vaping products</w:t>
      </w:r>
      <w:r w:rsidR="007E07BE" w:rsidRPr="00320761">
        <w:t xml:space="preserve"> have the potential to improve</w:t>
      </w:r>
      <w:r>
        <w:t xml:space="preserve"> the </w:t>
      </w:r>
      <w:r w:rsidR="007E07BE" w:rsidRPr="00320761">
        <w:t>health</w:t>
      </w:r>
      <w:r>
        <w:t xml:space="preserve"> of people who choose to switch from tobacco smoking</w:t>
      </w:r>
      <w:r w:rsidR="007E07BE" w:rsidRPr="00320761">
        <w:t>. It is therefore important to monitor their uptake in New Zealand. The NZHS includes questions asking adults whether they have ever tried an electronic cigarette and how often they now use them. These questions were also included in the 2015/16 NZHS tobacco use module. In the 2018/19 NZHS, the words 'or vaping devices' were added to these questions because this is an alternative name for electronic cigarettes.</w:t>
      </w:r>
    </w:p>
    <w:p w14:paraId="2D4D2EAB" w14:textId="77777777" w:rsidR="007E07BE" w:rsidRPr="00320761" w:rsidRDefault="007E07BE" w:rsidP="007E07BE"/>
    <w:p w14:paraId="05042A32" w14:textId="0623A711" w:rsidR="007E07BE" w:rsidRPr="00320761" w:rsidRDefault="007E07BE" w:rsidP="007E07BE">
      <w:r w:rsidRPr="00320761">
        <w:t>In the 2017/18 NZHS, the question about drug use was changed from interviewer</w:t>
      </w:r>
      <w:r w:rsidR="00A6767E">
        <w:t>-</w:t>
      </w:r>
      <w:r w:rsidRPr="00320761">
        <w:t xml:space="preserve">administered to self-completed to encourage more honest responses. Respondents whose interview is being conducted with cognitive or language assistance from a family member, caregiver or one of their friends were not asked this question. This is to ensure these confidential responses were not revealed to people with whom the respondent has a personal relationship. </w:t>
      </w:r>
    </w:p>
    <w:p w14:paraId="0BD36C00" w14:textId="77777777" w:rsidR="007E07BE" w:rsidRPr="00320761" w:rsidRDefault="007E07BE" w:rsidP="007E07BE"/>
    <w:p w14:paraId="48E2F971" w14:textId="5B60E360" w:rsidR="007E07BE" w:rsidRPr="00320761" w:rsidRDefault="007E07BE" w:rsidP="007E07BE">
      <w:r w:rsidRPr="00320761">
        <w:t xml:space="preserve">In the 2017/18 NZHS the drug use question was moved to the end of the </w:t>
      </w:r>
      <w:proofErr w:type="gramStart"/>
      <w:r w:rsidRPr="00320761">
        <w:t>survey</w:t>
      </w:r>
      <w:proofErr w:type="gramEnd"/>
      <w:r w:rsidRPr="00320761">
        <w:t xml:space="preserve"> so the self-complete questions were asked together. In the 2018/19 NZHS it was moved to the health behaviours and risk factors section to be asked alongside other self-complete questions relevant to that section of the questionnaire.</w:t>
      </w:r>
    </w:p>
    <w:p w14:paraId="2EFFC998" w14:textId="77777777" w:rsidR="007E07BE" w:rsidRPr="00320761" w:rsidRDefault="007E07BE" w:rsidP="007E07BE"/>
    <w:p w14:paraId="736AA91E" w14:textId="3202E661" w:rsidR="007E07BE" w:rsidRPr="00320761" w:rsidRDefault="007E07BE" w:rsidP="007E07BE">
      <w:r w:rsidRPr="00320761">
        <w:t xml:space="preserve">The topics included in the core NZHS component of the health behaviours and risk factors section are shown in </w:t>
      </w:r>
      <w:r w:rsidR="00726A39" w:rsidRPr="00320761">
        <w:fldChar w:fldCharType="begin"/>
      </w:r>
      <w:r w:rsidR="00726A39" w:rsidRPr="00320761">
        <w:instrText xml:space="preserve"> REF _Ref20732648 \h </w:instrText>
      </w:r>
      <w:r w:rsidR="00320761">
        <w:instrText xml:space="preserve"> \* MERGEFORMAT </w:instrText>
      </w:r>
      <w:r w:rsidR="00726A39" w:rsidRPr="00320761">
        <w:fldChar w:fldCharType="separate"/>
      </w:r>
      <w:r w:rsidR="00486803" w:rsidRPr="00320761">
        <w:t xml:space="preserve">Table </w:t>
      </w:r>
      <w:r w:rsidR="00486803">
        <w:rPr>
          <w:noProof/>
        </w:rPr>
        <w:t>4</w:t>
      </w:r>
      <w:r w:rsidR="00726A39" w:rsidRPr="00320761">
        <w:fldChar w:fldCharType="end"/>
      </w:r>
      <w:r w:rsidRPr="00320761">
        <w:t>.</w:t>
      </w:r>
    </w:p>
    <w:p w14:paraId="28E7C05E" w14:textId="65CC9880" w:rsidR="00FA4289" w:rsidRPr="00320761" w:rsidRDefault="009D003B" w:rsidP="00FA4289">
      <w:pPr>
        <w:pStyle w:val="Table"/>
      </w:pPr>
      <w:bookmarkStart w:id="127" w:name="_Ref20732648"/>
      <w:r w:rsidRPr="00320761">
        <w:lastRenderedPageBreak/>
        <w:t xml:space="preserve">Table </w:t>
      </w:r>
      <w:fldSimple w:instr=" SEQ Table \* ARABIC ">
        <w:r w:rsidR="00486803">
          <w:rPr>
            <w:noProof/>
          </w:rPr>
          <w:t>4</w:t>
        </w:r>
      </w:fldSimple>
      <w:bookmarkEnd w:id="120"/>
      <w:bookmarkEnd w:id="127"/>
      <w:r w:rsidRPr="00320761">
        <w:t xml:space="preserve">: </w:t>
      </w:r>
      <w:r w:rsidR="00FA4289" w:rsidRPr="00320761">
        <w:t>Health behaviours and risk factors</w:t>
      </w:r>
      <w:bookmarkEnd w:id="121"/>
      <w:bookmarkEnd w:id="122"/>
      <w:bookmarkEnd w:id="123"/>
      <w:bookmarkEnd w:id="124"/>
      <w:bookmarkEnd w:id="125"/>
      <w:bookmarkEnd w:id="126"/>
    </w:p>
    <w:tbl>
      <w:tblPr>
        <w:tblW w:w="0" w:type="auto"/>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3969"/>
        <w:gridCol w:w="3516"/>
      </w:tblGrid>
      <w:tr w:rsidR="00FA4289" w:rsidRPr="00320761" w14:paraId="6D5DC5DF" w14:textId="77777777" w:rsidTr="00FA4289">
        <w:trPr>
          <w:cantSplit/>
        </w:trPr>
        <w:tc>
          <w:tcPr>
            <w:tcW w:w="3969" w:type="dxa"/>
            <w:tcBorders>
              <w:top w:val="nil"/>
              <w:bottom w:val="nil"/>
            </w:tcBorders>
            <w:shd w:val="clear" w:color="auto" w:fill="F2F2F2" w:themeFill="background1" w:themeFillShade="F2"/>
            <w:tcMar>
              <w:top w:w="0" w:type="dxa"/>
              <w:left w:w="57" w:type="dxa"/>
              <w:bottom w:w="0" w:type="dxa"/>
              <w:right w:w="57" w:type="dxa"/>
            </w:tcMar>
          </w:tcPr>
          <w:p w14:paraId="5DCBA785" w14:textId="77777777" w:rsidR="00FA4289" w:rsidRPr="00320761" w:rsidRDefault="00FA4289" w:rsidP="007E07BE">
            <w:pPr>
              <w:pStyle w:val="TableText"/>
              <w:keepNext/>
              <w:rPr>
                <w:b/>
              </w:rPr>
            </w:pPr>
            <w:r w:rsidRPr="00320761">
              <w:rPr>
                <w:b/>
              </w:rPr>
              <w:t>Adult</w:t>
            </w:r>
          </w:p>
        </w:tc>
        <w:tc>
          <w:tcPr>
            <w:tcW w:w="3516" w:type="dxa"/>
            <w:tcBorders>
              <w:top w:val="nil"/>
              <w:bottom w:val="nil"/>
            </w:tcBorders>
            <w:shd w:val="clear" w:color="auto" w:fill="F2F2F2" w:themeFill="background1" w:themeFillShade="F2"/>
            <w:tcMar>
              <w:top w:w="0" w:type="dxa"/>
              <w:left w:w="57" w:type="dxa"/>
              <w:bottom w:w="0" w:type="dxa"/>
              <w:right w:w="57" w:type="dxa"/>
            </w:tcMar>
          </w:tcPr>
          <w:p w14:paraId="68E67D32" w14:textId="77777777" w:rsidR="00FA4289" w:rsidRPr="00320761" w:rsidRDefault="00FA4289" w:rsidP="007E07BE">
            <w:pPr>
              <w:pStyle w:val="TableText"/>
              <w:keepNext/>
              <w:rPr>
                <w:b/>
              </w:rPr>
            </w:pPr>
            <w:r w:rsidRPr="00320761">
              <w:rPr>
                <w:b/>
              </w:rPr>
              <w:t>Child</w:t>
            </w:r>
          </w:p>
        </w:tc>
      </w:tr>
      <w:tr w:rsidR="00726A39" w:rsidRPr="00320761" w14:paraId="23922126" w14:textId="77777777" w:rsidTr="00FA4289">
        <w:trPr>
          <w:cantSplit/>
        </w:trPr>
        <w:tc>
          <w:tcPr>
            <w:tcW w:w="3969" w:type="dxa"/>
            <w:tcBorders>
              <w:top w:val="nil"/>
              <w:bottom w:val="single" w:sz="4" w:space="0" w:color="A6A6A6" w:themeColor="background1" w:themeShade="A6"/>
            </w:tcBorders>
            <w:shd w:val="clear" w:color="auto" w:fill="auto"/>
            <w:tcMar>
              <w:top w:w="0" w:type="dxa"/>
              <w:left w:w="57" w:type="dxa"/>
              <w:bottom w:w="0" w:type="dxa"/>
              <w:right w:w="57" w:type="dxa"/>
            </w:tcMar>
          </w:tcPr>
          <w:p w14:paraId="2B02F676" w14:textId="77777777" w:rsidR="00726A39" w:rsidRPr="00320761" w:rsidRDefault="00726A39" w:rsidP="00726A39">
            <w:pPr>
              <w:pStyle w:val="TableText"/>
              <w:rPr>
                <w:rFonts w:ascii="Arial" w:hAnsi="Arial"/>
              </w:rPr>
            </w:pPr>
            <w:r w:rsidRPr="00320761">
              <w:t>High blood pressure</w:t>
            </w:r>
          </w:p>
          <w:p w14:paraId="2BB5DB9E" w14:textId="77777777" w:rsidR="00726A39" w:rsidRPr="00320761" w:rsidRDefault="00726A39" w:rsidP="00726A39">
            <w:pPr>
              <w:pStyle w:val="TableText"/>
            </w:pPr>
            <w:r w:rsidRPr="00320761">
              <w:t>High blood cholesterol</w:t>
            </w:r>
          </w:p>
          <w:p w14:paraId="7AB71290" w14:textId="77777777" w:rsidR="00726A39" w:rsidRPr="00320761" w:rsidRDefault="00726A39" w:rsidP="00726A39">
            <w:pPr>
              <w:pStyle w:val="TableText"/>
            </w:pPr>
            <w:r w:rsidRPr="00320761">
              <w:t>Physical activity</w:t>
            </w:r>
          </w:p>
          <w:p w14:paraId="5C501A2B" w14:textId="77777777" w:rsidR="00726A39" w:rsidRPr="00320761" w:rsidRDefault="00726A39" w:rsidP="00726A39">
            <w:pPr>
              <w:pStyle w:val="TableText"/>
            </w:pPr>
            <w:r w:rsidRPr="00320761">
              <w:t>Sleep</w:t>
            </w:r>
          </w:p>
          <w:p w14:paraId="0808C734" w14:textId="77777777" w:rsidR="00726A39" w:rsidRPr="00320761" w:rsidRDefault="00726A39" w:rsidP="00726A39">
            <w:pPr>
              <w:pStyle w:val="TableText"/>
            </w:pPr>
            <w:r w:rsidRPr="00320761">
              <w:t>Teeth brushing</w:t>
            </w:r>
          </w:p>
          <w:p w14:paraId="53CED8BA" w14:textId="77777777" w:rsidR="00726A39" w:rsidRPr="00320761" w:rsidRDefault="00726A39" w:rsidP="00726A39">
            <w:pPr>
              <w:pStyle w:val="TableText"/>
            </w:pPr>
            <w:r w:rsidRPr="00320761">
              <w:t>Tobacco use</w:t>
            </w:r>
          </w:p>
          <w:p w14:paraId="415D324F" w14:textId="77777777" w:rsidR="00726A39" w:rsidRPr="00320761" w:rsidRDefault="00726A39" w:rsidP="00726A39">
            <w:pPr>
              <w:pStyle w:val="TableText"/>
            </w:pPr>
            <w:r w:rsidRPr="00320761">
              <w:t>Electronic cigarette use</w:t>
            </w:r>
          </w:p>
          <w:p w14:paraId="2F5FD944" w14:textId="77777777" w:rsidR="00726A39" w:rsidRPr="00320761" w:rsidRDefault="00726A39" w:rsidP="00726A39">
            <w:pPr>
              <w:pStyle w:val="TableText"/>
            </w:pPr>
            <w:r w:rsidRPr="00320761">
              <w:t>Dietary habits</w:t>
            </w:r>
          </w:p>
          <w:p w14:paraId="0B1ED402" w14:textId="77777777" w:rsidR="00726A39" w:rsidRPr="00320761" w:rsidRDefault="00726A39" w:rsidP="00726A39">
            <w:pPr>
              <w:pStyle w:val="TableText"/>
            </w:pPr>
            <w:r w:rsidRPr="00320761">
              <w:t>Alcohol use</w:t>
            </w:r>
          </w:p>
          <w:p w14:paraId="15B5157E" w14:textId="38B7FD16" w:rsidR="00726A39" w:rsidRPr="00320761" w:rsidRDefault="00726A39" w:rsidP="00726A39">
            <w:pPr>
              <w:pStyle w:val="TableText"/>
            </w:pPr>
            <w:r w:rsidRPr="00320761">
              <w:t>Drug use</w:t>
            </w:r>
          </w:p>
        </w:tc>
        <w:tc>
          <w:tcPr>
            <w:tcW w:w="3516" w:type="dxa"/>
            <w:tcBorders>
              <w:top w:val="nil"/>
              <w:bottom w:val="single" w:sz="4" w:space="0" w:color="A6A6A6" w:themeColor="background1" w:themeShade="A6"/>
            </w:tcBorders>
            <w:shd w:val="clear" w:color="auto" w:fill="auto"/>
            <w:tcMar>
              <w:top w:w="0" w:type="dxa"/>
              <w:left w:w="57" w:type="dxa"/>
              <w:bottom w:w="0" w:type="dxa"/>
              <w:right w:w="57" w:type="dxa"/>
            </w:tcMar>
          </w:tcPr>
          <w:p w14:paraId="7414F216" w14:textId="77777777" w:rsidR="00726A39" w:rsidRPr="00320761" w:rsidRDefault="00726A39" w:rsidP="00726A39">
            <w:pPr>
              <w:pStyle w:val="TableText"/>
            </w:pPr>
            <w:r w:rsidRPr="00320761">
              <w:t>Perceptions of child’s weight</w:t>
            </w:r>
          </w:p>
          <w:p w14:paraId="62982D5A" w14:textId="77777777" w:rsidR="00726A39" w:rsidRPr="00320761" w:rsidRDefault="00726A39" w:rsidP="00726A39">
            <w:pPr>
              <w:pStyle w:val="TableText"/>
            </w:pPr>
            <w:r w:rsidRPr="00320761">
              <w:t>Infant feeding</w:t>
            </w:r>
          </w:p>
          <w:p w14:paraId="0310BD2D" w14:textId="77777777" w:rsidR="00726A39" w:rsidRPr="00320761" w:rsidRDefault="00726A39" w:rsidP="00726A39">
            <w:pPr>
              <w:pStyle w:val="TableText"/>
            </w:pPr>
            <w:r w:rsidRPr="00320761">
              <w:t>Dietary habits</w:t>
            </w:r>
          </w:p>
          <w:p w14:paraId="343614E8" w14:textId="77777777" w:rsidR="00726A39" w:rsidRPr="00320761" w:rsidRDefault="00726A39" w:rsidP="00726A39">
            <w:pPr>
              <w:pStyle w:val="TableText"/>
            </w:pPr>
            <w:r w:rsidRPr="00320761">
              <w:t>Physical activity (sedentary behaviour)</w:t>
            </w:r>
          </w:p>
          <w:p w14:paraId="19CCCC8C" w14:textId="77777777" w:rsidR="00726A39" w:rsidRPr="00320761" w:rsidRDefault="00726A39" w:rsidP="00726A39">
            <w:pPr>
              <w:pStyle w:val="TableText"/>
            </w:pPr>
            <w:r w:rsidRPr="00320761">
              <w:t>Sleep</w:t>
            </w:r>
          </w:p>
          <w:p w14:paraId="60CFCD2E" w14:textId="77777777" w:rsidR="00726A39" w:rsidRPr="00320761" w:rsidRDefault="00726A39" w:rsidP="00726A39">
            <w:pPr>
              <w:pStyle w:val="TableText"/>
            </w:pPr>
            <w:r w:rsidRPr="00320761">
              <w:t>Teeth brushing</w:t>
            </w:r>
          </w:p>
          <w:p w14:paraId="38B8C609" w14:textId="1EFF5201" w:rsidR="00726A39" w:rsidRPr="00320761" w:rsidRDefault="00726A39" w:rsidP="00726A39">
            <w:pPr>
              <w:pStyle w:val="TableText"/>
            </w:pPr>
            <w:r w:rsidRPr="00320761">
              <w:t>Response to child’s misbehaviour</w:t>
            </w:r>
          </w:p>
        </w:tc>
      </w:tr>
    </w:tbl>
    <w:p w14:paraId="1D07FCDF" w14:textId="77777777" w:rsidR="00FA4289" w:rsidRPr="00320761" w:rsidRDefault="00FA4289" w:rsidP="00FA4289">
      <w:pPr>
        <w:pStyle w:val="Heading2"/>
      </w:pPr>
      <w:bookmarkStart w:id="128" w:name="_Toc535580858"/>
      <w:bookmarkStart w:id="129" w:name="_Toc372226243"/>
      <w:bookmarkStart w:id="130" w:name="_Toc404710268"/>
      <w:bookmarkStart w:id="131" w:name="_Toc428361646"/>
      <w:bookmarkStart w:id="132" w:name="_Toc467491557"/>
      <w:bookmarkStart w:id="133" w:name="_Toc20997305"/>
      <w:r w:rsidRPr="00320761">
        <w:t>Dietary habits</w:t>
      </w:r>
      <w:bookmarkEnd w:id="128"/>
      <w:bookmarkEnd w:id="133"/>
      <w:r w:rsidRPr="00320761">
        <w:t xml:space="preserve"> </w:t>
      </w:r>
    </w:p>
    <w:p w14:paraId="7D6280DE" w14:textId="77777777" w:rsidR="00726A39" w:rsidRPr="00320761" w:rsidRDefault="00726A39" w:rsidP="00726A39">
      <w:pPr>
        <w:rPr>
          <w:rFonts w:ascii="Georgia" w:hAnsi="Georgia"/>
          <w:sz w:val="22"/>
        </w:rPr>
      </w:pPr>
      <w:r w:rsidRPr="00320761">
        <w:t>Poor diet and excess body weight are leading causes of potentially avoidable health loss in New Zealand. In 2017, dietary risks accounted for 8.6% of health loss from all causes, closely followed by high body mass index (BMI) (8.3%) (Institute for Health Metrics and Evaluation 2018).</w:t>
      </w:r>
    </w:p>
    <w:p w14:paraId="46F6D110" w14:textId="77777777" w:rsidR="00726A39" w:rsidRPr="00320761" w:rsidRDefault="00726A39" w:rsidP="00726A39"/>
    <w:p w14:paraId="05BF3BF1" w14:textId="7C345149" w:rsidR="00726A39" w:rsidRPr="00320761" w:rsidRDefault="00726A39" w:rsidP="00726A39">
      <w:r w:rsidRPr="00320761">
        <w:t xml:space="preserve">The 2018/19 NZHS included a dietary habits module for adults and children aged 2−14 years. The questions collect information about key dietary habits associated with diet quality or nutritional status and focus on the priority areas of the Ministry’s </w:t>
      </w:r>
      <w:r w:rsidRPr="00320761">
        <w:rPr>
          <w:i/>
        </w:rPr>
        <w:t xml:space="preserve">Eating and Activity Guidelines </w:t>
      </w:r>
      <w:r w:rsidRPr="00320761">
        <w:t xml:space="preserve">(Ministry of Health, 2015). The questions were largely based on the dietary </w:t>
      </w:r>
      <w:proofErr w:type="gramStart"/>
      <w:r w:rsidRPr="00320761">
        <w:t>habits</w:t>
      </w:r>
      <w:proofErr w:type="gramEnd"/>
      <w:r w:rsidRPr="00320761">
        <w:t xml:space="preserve"> questions from the 2008/09 New Zealand Adult Nutrition Survey, allowing some comparisons over time for adults. In consultation with key stakeholders, some changes to questions were made and new questions were developed. </w:t>
      </w:r>
    </w:p>
    <w:p w14:paraId="146B39F6" w14:textId="77777777" w:rsidR="00726A39" w:rsidRPr="00320761" w:rsidRDefault="00726A39" w:rsidP="00726A39"/>
    <w:p w14:paraId="709B48B0" w14:textId="4A0CF48A" w:rsidR="00726A39" w:rsidRPr="00320761" w:rsidRDefault="00726A39" w:rsidP="00726A39">
      <w:r w:rsidRPr="00320761">
        <w:t>Short questions on dietary habits can be used as indicators to assess good nutrition when comprehensive dietary assessments, such as 24-hour diet recalls, are not available. However</w:t>
      </w:r>
      <w:r w:rsidR="004E56D6">
        <w:t>,</w:t>
      </w:r>
      <w:r w:rsidRPr="00320761">
        <w:t xml:space="preserve"> these types of questions do have several limitations, for example they cannot provide accurate quantitative estimates of food or nutrient intake.</w:t>
      </w:r>
    </w:p>
    <w:p w14:paraId="10407C3B" w14:textId="77777777" w:rsidR="00726A39" w:rsidRPr="00320761" w:rsidRDefault="00726A39" w:rsidP="00726A39"/>
    <w:p w14:paraId="14EA9351" w14:textId="77777777" w:rsidR="00726A39" w:rsidRPr="00320761" w:rsidRDefault="00726A39" w:rsidP="00726A39">
      <w:r w:rsidRPr="00320761">
        <w:t>The dietary habits module covers:</w:t>
      </w:r>
    </w:p>
    <w:p w14:paraId="6E8C1BD8" w14:textId="7E1F540D" w:rsidR="00726A39" w:rsidRPr="00320761" w:rsidRDefault="00726A39" w:rsidP="00726A39">
      <w:pPr>
        <w:pStyle w:val="Bullet"/>
        <w:rPr>
          <w:lang w:eastAsia="en-US"/>
        </w:rPr>
      </w:pPr>
      <w:r w:rsidRPr="00320761">
        <w:t>frequency of intake (of processed meats, red meat, fish or other seafood, legumes, nuts or seeds, biscuits or cakes, lollies, fast food or takeaways, drinks made from cordial, concentrate or powder, fruit juice and soft drinks or energy drinks)</w:t>
      </w:r>
    </w:p>
    <w:p w14:paraId="10152775" w14:textId="77777777" w:rsidR="00726A39" w:rsidRPr="00320761" w:rsidRDefault="00726A39" w:rsidP="00726A39">
      <w:pPr>
        <w:pStyle w:val="Bullet"/>
      </w:pPr>
      <w:r w:rsidRPr="00320761">
        <w:t>quality of intake (type of bread, milk, butter or spread and cooking oils used most often)</w:t>
      </w:r>
    </w:p>
    <w:p w14:paraId="1697676F" w14:textId="77777777" w:rsidR="00726A39" w:rsidRPr="00320761" w:rsidRDefault="00726A39" w:rsidP="00726A39">
      <w:pPr>
        <w:pStyle w:val="Bullet"/>
      </w:pPr>
      <w:r w:rsidRPr="00320761">
        <w:t>cooking practices (removing excess fat from red meat before cooking or eating it)</w:t>
      </w:r>
    </w:p>
    <w:p w14:paraId="4967BC14" w14:textId="6B8B295A" w:rsidR="00726A39" w:rsidRPr="00320761" w:rsidRDefault="00726A39" w:rsidP="00726A39">
      <w:pPr>
        <w:pStyle w:val="Bullet"/>
      </w:pPr>
      <w:r w:rsidRPr="00320761">
        <w:t>food groups excluded from diet (</w:t>
      </w:r>
      <w:proofErr w:type="spellStart"/>
      <w:r w:rsidRPr="00320761">
        <w:t>eg</w:t>
      </w:r>
      <w:proofErr w:type="spellEnd"/>
      <w:r w:rsidRPr="00320761">
        <w:t>, red meat, dairy products etc)</w:t>
      </w:r>
    </w:p>
    <w:p w14:paraId="2BA7324B" w14:textId="77777777" w:rsidR="00726A39" w:rsidRPr="00320761" w:rsidRDefault="00726A39" w:rsidP="00726A39">
      <w:pPr>
        <w:pStyle w:val="Bullet"/>
      </w:pPr>
      <w:r w:rsidRPr="00320761">
        <w:t>weight perceptions and intentions</w:t>
      </w:r>
    </w:p>
    <w:p w14:paraId="484137B8" w14:textId="54BE63D8" w:rsidR="00726A39" w:rsidRPr="00320761" w:rsidRDefault="00726A39" w:rsidP="00726A39">
      <w:pPr>
        <w:pStyle w:val="Bullet"/>
      </w:pPr>
      <w:r w:rsidRPr="00320761">
        <w:t>health checks for child at usual medical centre (</w:t>
      </w:r>
      <w:proofErr w:type="spellStart"/>
      <w:r w:rsidRPr="00320761">
        <w:t>eg</w:t>
      </w:r>
      <w:proofErr w:type="spellEnd"/>
      <w:r w:rsidRPr="00320761">
        <w:t>, weight and height measurement, talked about healthy food or nutrition etc).</w:t>
      </w:r>
    </w:p>
    <w:p w14:paraId="016E0D46" w14:textId="77777777" w:rsidR="00FA4289" w:rsidRPr="00320761" w:rsidRDefault="00FA4289" w:rsidP="00FA4289"/>
    <w:p w14:paraId="75FFE123" w14:textId="77777777" w:rsidR="00FA4289" w:rsidRPr="00320761" w:rsidRDefault="00FA4289" w:rsidP="00FA4289">
      <w:pPr>
        <w:keepNext/>
      </w:pPr>
      <w:r w:rsidRPr="00320761">
        <w:lastRenderedPageBreak/>
        <w:t>Results from the module can be used to:</w:t>
      </w:r>
    </w:p>
    <w:p w14:paraId="20009002" w14:textId="270942F1" w:rsidR="00726A39" w:rsidRPr="00320761" w:rsidRDefault="00726A39" w:rsidP="00726A39">
      <w:pPr>
        <w:pStyle w:val="Bullet"/>
        <w:rPr>
          <w:lang w:eastAsia="en-US"/>
        </w:rPr>
      </w:pPr>
      <w:r w:rsidRPr="00320761">
        <w:t>explore dietary habits of different population groups (</w:t>
      </w:r>
      <w:proofErr w:type="spellStart"/>
      <w:r w:rsidRPr="00320761">
        <w:t>eg</w:t>
      </w:r>
      <w:proofErr w:type="spellEnd"/>
      <w:r w:rsidRPr="00320761">
        <w:t xml:space="preserve">, by ethnic group, socioeconomic status, body size etc) to help target interventions and support </w:t>
      </w:r>
    </w:p>
    <w:p w14:paraId="50A15BF7" w14:textId="77777777" w:rsidR="00726A39" w:rsidRPr="00320761" w:rsidRDefault="00726A39" w:rsidP="00726A39">
      <w:pPr>
        <w:pStyle w:val="Bullet"/>
      </w:pPr>
      <w:r w:rsidRPr="00320761">
        <w:t>provide information for developing and monitoring the Ministry’s nutrition policies and programmes</w:t>
      </w:r>
    </w:p>
    <w:p w14:paraId="5951F842" w14:textId="77777777" w:rsidR="00726A39" w:rsidRPr="00320761" w:rsidRDefault="00726A39" w:rsidP="00726A39">
      <w:pPr>
        <w:pStyle w:val="Bullet"/>
      </w:pPr>
      <w:r w:rsidRPr="00320761">
        <w:t xml:space="preserve">develop relevant healthy eating resources </w:t>
      </w:r>
    </w:p>
    <w:p w14:paraId="38ADDA89" w14:textId="77777777" w:rsidR="00726A39" w:rsidRPr="00320761" w:rsidRDefault="00726A39" w:rsidP="00726A39">
      <w:pPr>
        <w:pStyle w:val="Bullet"/>
      </w:pPr>
      <w:r w:rsidRPr="00320761">
        <w:t>monitor changes in dietary habits over time (where question has been included previously).</w:t>
      </w:r>
    </w:p>
    <w:p w14:paraId="457C460D" w14:textId="77777777" w:rsidR="00FA4289" w:rsidRPr="00320761" w:rsidRDefault="00FA4289" w:rsidP="00FA4289">
      <w:pPr>
        <w:rPr>
          <w:szCs w:val="22"/>
        </w:rPr>
      </w:pPr>
    </w:p>
    <w:p w14:paraId="4B98443A" w14:textId="6B039D19" w:rsidR="00FA4289" w:rsidRPr="00320761" w:rsidRDefault="00FA4289" w:rsidP="00FA4289">
      <w:pPr>
        <w:rPr>
          <w:szCs w:val="22"/>
        </w:rPr>
      </w:pPr>
      <w:r w:rsidRPr="00320761">
        <w:rPr>
          <w:szCs w:val="22"/>
        </w:rPr>
        <w:t>Some of the core questions in the child survey changed in the 2018/19 NZHS as follows.</w:t>
      </w:r>
    </w:p>
    <w:p w14:paraId="16E23542" w14:textId="77777777" w:rsidR="00726A39" w:rsidRPr="00320761" w:rsidRDefault="00726A39" w:rsidP="00726A39">
      <w:pPr>
        <w:pStyle w:val="Bullet"/>
        <w:rPr>
          <w:lang w:eastAsia="en-US"/>
        </w:rPr>
      </w:pPr>
      <w:r w:rsidRPr="00320761">
        <w:t>Breakfast question – changed from asking about having breakfast when at home to having breakfast anywhere.</w:t>
      </w:r>
    </w:p>
    <w:p w14:paraId="7F21EFFA" w14:textId="77777777" w:rsidR="00726A39" w:rsidRPr="00320761" w:rsidRDefault="00726A39" w:rsidP="00726A39">
      <w:pPr>
        <w:pStyle w:val="Bullet"/>
      </w:pPr>
      <w:r w:rsidRPr="00320761">
        <w:t>Fizzy drinks question – extended from being just about fizzy or soft drinks to also include sports drinks and energy drinks.</w:t>
      </w:r>
    </w:p>
    <w:p w14:paraId="54004334" w14:textId="77777777" w:rsidR="00726A39" w:rsidRPr="00320761" w:rsidRDefault="00726A39" w:rsidP="00726A39">
      <w:pPr>
        <w:pStyle w:val="Bullet"/>
      </w:pPr>
      <w:r w:rsidRPr="00320761">
        <w:t>Fast food or takeaways question – made clearer that only those fast food and takeaways highest in saturated fat and salt should be included.</w:t>
      </w:r>
    </w:p>
    <w:p w14:paraId="291F059F" w14:textId="77777777" w:rsidR="00726A39" w:rsidRPr="00320761" w:rsidRDefault="00726A39" w:rsidP="00726A39">
      <w:pPr>
        <w:pStyle w:val="Bullet"/>
      </w:pPr>
      <w:r w:rsidRPr="00320761">
        <w:t>The recall period was changed from frequency of intake in last seven days to the number of times in a week it is consumed on average while thinking back over the past four weeks.</w:t>
      </w:r>
    </w:p>
    <w:p w14:paraId="01B34C12" w14:textId="77777777" w:rsidR="0068653B" w:rsidRPr="00320761" w:rsidRDefault="0068653B" w:rsidP="0068653B"/>
    <w:p w14:paraId="04632E21" w14:textId="78E6EEFB" w:rsidR="00726A39" w:rsidRPr="00320761" w:rsidRDefault="00726A39" w:rsidP="00726A39">
      <w:pPr>
        <w:rPr>
          <w:rFonts w:ascii="Georgia" w:hAnsi="Georgia"/>
          <w:sz w:val="22"/>
          <w:szCs w:val="22"/>
        </w:rPr>
      </w:pPr>
      <w:bookmarkStart w:id="134" w:name="_Toc535580859"/>
      <w:r w:rsidRPr="00320761">
        <w:rPr>
          <w:szCs w:val="22"/>
        </w:rPr>
        <w:t xml:space="preserve">Electronic picture show-cards, containing pictures of relevant foods and drinks, were developed and used for this section of the survey to help respondents answer the questions. Some questions that were more personal, such as those in the adult survey about weight perceptions and intentions, were self-completed by the respondent </w:t>
      </w:r>
      <w:r w:rsidR="000C74A1">
        <w:rPr>
          <w:szCs w:val="22"/>
        </w:rPr>
        <w:t>rather than</w:t>
      </w:r>
      <w:r w:rsidRPr="00320761">
        <w:rPr>
          <w:szCs w:val="22"/>
        </w:rPr>
        <w:t xml:space="preserve"> asked by the interviewer.</w:t>
      </w:r>
    </w:p>
    <w:p w14:paraId="7D16A4B8" w14:textId="77777777" w:rsidR="00FA4289" w:rsidRPr="00320761" w:rsidRDefault="00FA4289" w:rsidP="00FA4289">
      <w:pPr>
        <w:pStyle w:val="Heading2"/>
      </w:pPr>
      <w:bookmarkStart w:id="135" w:name="_Toc20997306"/>
      <w:r w:rsidRPr="00320761">
        <w:t>Alcohol use</w:t>
      </w:r>
      <w:bookmarkEnd w:id="134"/>
      <w:bookmarkEnd w:id="135"/>
    </w:p>
    <w:p w14:paraId="04279CC1" w14:textId="37E1CA79" w:rsidR="00726A39" w:rsidRPr="00320761" w:rsidRDefault="00726A39" w:rsidP="00726A39">
      <w:pPr>
        <w:rPr>
          <w:rFonts w:ascii="Georgia" w:hAnsi="Georgia"/>
          <w:sz w:val="22"/>
        </w:rPr>
      </w:pPr>
      <w:bookmarkStart w:id="136" w:name="_Toc535580860"/>
      <w:r w:rsidRPr="00320761">
        <w:t>The 2018/19 NZHS for adults included an alcohol use clip-on module. This repeat</w:t>
      </w:r>
      <w:r w:rsidR="000C74A1">
        <w:t>ed</w:t>
      </w:r>
      <w:r w:rsidRPr="00320761">
        <w:t xml:space="preserve"> some key questions from the 2012/13 NZHS alcohol use module to allow the Ministry to monitor progress on its policies and actions relating to alcohol use. The clip-on module questions ask about age of first alcoholic drink and drinking alcohol in pregnancy. </w:t>
      </w:r>
    </w:p>
    <w:p w14:paraId="7EB5425F" w14:textId="77777777" w:rsidR="00726A39" w:rsidRPr="00320761" w:rsidRDefault="00726A39" w:rsidP="00726A39"/>
    <w:p w14:paraId="0AC02170" w14:textId="77777777" w:rsidR="00726A39" w:rsidRPr="00320761" w:rsidRDefault="00726A39" w:rsidP="00726A39">
      <w:r w:rsidRPr="00320761">
        <w:t>The Ministry wants to delay the uptake of alcohol by young people. Early onset of alcohol consumption tends to increase the likelihood of heavy use and has been associated with increased rates of violence and injury and mental health problems (Inter-Agency Committee on Drugs 2015).</w:t>
      </w:r>
    </w:p>
    <w:p w14:paraId="07CF80F6" w14:textId="77777777" w:rsidR="00726A39" w:rsidRPr="00320761" w:rsidRDefault="00726A39" w:rsidP="00726A39"/>
    <w:p w14:paraId="3E93047B" w14:textId="72D92205" w:rsidR="00726A39" w:rsidRPr="00320761" w:rsidRDefault="00726A39" w:rsidP="00726A39">
      <w:r w:rsidRPr="00320761">
        <w:t>The Ministry’s advice for women is to stop drinking alcohol if they could be pregnant, are pregnant or are trying to get pregnant. Alcohol can affect the baby’s growth, especially in the brain. There</w:t>
      </w:r>
      <w:r w:rsidR="00714DA8">
        <w:t xml:space="preserve"> i</w:t>
      </w:r>
      <w:r w:rsidRPr="00320761">
        <w:t>s a risk that the baby may have a range of life-long problems, known as fetal alcohol spectrum disorder (FASD) (FASD Working Group 2016).</w:t>
      </w:r>
    </w:p>
    <w:p w14:paraId="291FB57B" w14:textId="77777777" w:rsidR="00726A39" w:rsidRPr="00320761" w:rsidRDefault="00726A39" w:rsidP="00726A39"/>
    <w:p w14:paraId="4081FE82" w14:textId="77777777" w:rsidR="00726A39" w:rsidRPr="00320761" w:rsidRDefault="00726A39" w:rsidP="00726A39">
      <w:r w:rsidRPr="00320761">
        <w:lastRenderedPageBreak/>
        <w:t>In a self-complete section of the NZHS, females aged 15–54 years were asked if they have been pregnant in the last 12 months. If they had been pregnant then they were asked about their drinking behaviour during their most recent pregnancy, and if anyone advised them not to drink alcohol.</w:t>
      </w:r>
    </w:p>
    <w:p w14:paraId="2F81CEEF" w14:textId="77777777" w:rsidR="00FA4289" w:rsidRPr="00320761" w:rsidRDefault="00FA4289" w:rsidP="00FA4289">
      <w:pPr>
        <w:pStyle w:val="Heading2"/>
      </w:pPr>
      <w:bookmarkStart w:id="137" w:name="_Toc20997307"/>
      <w:r w:rsidRPr="00320761">
        <w:t>Health status</w:t>
      </w:r>
      <w:bookmarkEnd w:id="129"/>
      <w:bookmarkEnd w:id="130"/>
      <w:bookmarkEnd w:id="131"/>
      <w:bookmarkEnd w:id="132"/>
      <w:bookmarkEnd w:id="136"/>
      <w:bookmarkEnd w:id="137"/>
    </w:p>
    <w:p w14:paraId="24B1E231" w14:textId="77777777" w:rsidR="00726A39" w:rsidRPr="00320761" w:rsidRDefault="00726A39" w:rsidP="00726A39">
      <w:pPr>
        <w:rPr>
          <w:rFonts w:ascii="Georgia" w:hAnsi="Georgia"/>
          <w:sz w:val="22"/>
        </w:rPr>
      </w:pPr>
      <w:r w:rsidRPr="00320761">
        <w:t>Monitoring the health status of the population provides useful information to evaluate the performance of the health system, identify unmet need for health services, evaluate the impact of the determinants of health and uncover health problems that require further investigation.</w:t>
      </w:r>
    </w:p>
    <w:p w14:paraId="573F4366" w14:textId="77777777" w:rsidR="00726A39" w:rsidRPr="00320761" w:rsidRDefault="00726A39" w:rsidP="00726A39"/>
    <w:p w14:paraId="3109727A" w14:textId="77777777" w:rsidR="00726A39" w:rsidRPr="00320761" w:rsidRDefault="00726A39" w:rsidP="00726A39">
      <w:r w:rsidRPr="00320761">
        <w:t>Self-reported health measures are based on an individual’s own perception of their health status and functioning. These measures provide an alternative source of data to objective measures of health, such as hospital rates and disease prevalence.</w:t>
      </w:r>
    </w:p>
    <w:p w14:paraId="527984AA" w14:textId="77777777" w:rsidR="00726A39" w:rsidRPr="00320761" w:rsidRDefault="00726A39" w:rsidP="00726A39"/>
    <w:p w14:paraId="1AE35F80" w14:textId="77777777" w:rsidR="00726A39" w:rsidRPr="00320761" w:rsidRDefault="00726A39" w:rsidP="00726A39">
      <w:r w:rsidRPr="00320761">
        <w:t>The WHO defines a ‘health state’ as a multi-dimensional attribute of an individual that indicates his or her level of functioning across all important physiological, psychological and psychosocial dimensions of life. The relevant dimensions are those defined in the International Classification of Functioning, Disability and Health (WHO 2001).</w:t>
      </w:r>
    </w:p>
    <w:p w14:paraId="1FD38100" w14:textId="77777777" w:rsidR="00726A39" w:rsidRPr="00320761" w:rsidRDefault="00726A39" w:rsidP="00726A39"/>
    <w:p w14:paraId="1008AC21" w14:textId="77777777" w:rsidR="00726A39" w:rsidRPr="00320761" w:rsidRDefault="00726A39" w:rsidP="00726A39">
      <w:r w:rsidRPr="00320761">
        <w:t>Various survey instruments have been developed to assess these dimensions. For adults, instruments included in the core NZHS are the SF-12 and the K10.</w:t>
      </w:r>
    </w:p>
    <w:p w14:paraId="37C01A46" w14:textId="77777777" w:rsidR="00726A39" w:rsidRPr="00320761" w:rsidRDefault="00726A39" w:rsidP="00726A39"/>
    <w:p w14:paraId="5FBCB051" w14:textId="77777777" w:rsidR="00726A39" w:rsidRPr="00320761" w:rsidRDefault="00726A39" w:rsidP="00726A39">
      <w:r w:rsidRPr="00320761">
        <w:t>The SF-12 is an internationally validated instrument comprising a subset of the SF-36 questions included in the NZHS since 1996/97. The SF-12 includes at least one item for all eight SF</w:t>
      </w:r>
      <w:r w:rsidRPr="00320761">
        <w:noBreakHyphen/>
        <w:t>36 domains: physical functioning, role limitation (physical), bodily pain, general health perceptions, vitality, social functioning, role limitation (emotional) and mental health.</w:t>
      </w:r>
    </w:p>
    <w:p w14:paraId="64C4F8CD" w14:textId="77777777" w:rsidR="00726A39" w:rsidRPr="00320761" w:rsidRDefault="00726A39" w:rsidP="00726A39"/>
    <w:p w14:paraId="7389C775" w14:textId="77777777" w:rsidR="00726A39" w:rsidRPr="00320761" w:rsidRDefault="00726A39" w:rsidP="00726A39">
      <w:r w:rsidRPr="00320761">
        <w:t xml:space="preserve">The SF-12 is considered to be an appropriate substitute for the SF-36 when a briefer instrument is </w:t>
      </w:r>
      <w:proofErr w:type="gramStart"/>
      <w:r w:rsidRPr="00320761">
        <w:t>required</w:t>
      </w:r>
      <w:proofErr w:type="gramEnd"/>
      <w:r w:rsidRPr="00320761">
        <w:t xml:space="preserve"> and the summary scales are of interest. The SF-12 physical component summary scale and a mental health component summary scale have been shown to explain approximately 90 percent of the variance in the SF-36 summary scales (Ware et al 1996). An analysis of the 2006/07 NZHS showed that the correlation between the SF-12 and SF-36 was 0.95 for the physical summary scales and 0.93 for the mental summary scales.</w:t>
      </w:r>
    </w:p>
    <w:p w14:paraId="1F962D13" w14:textId="77777777" w:rsidR="0068653B" w:rsidRPr="00320761" w:rsidRDefault="0068653B" w:rsidP="0068653B">
      <w:pPr>
        <w:pStyle w:val="Heading4"/>
      </w:pPr>
      <w:r w:rsidRPr="00320761">
        <w:t>SF-12 scoring</w:t>
      </w:r>
    </w:p>
    <w:p w14:paraId="37EFBCAD" w14:textId="7AA9CE78" w:rsidR="004E56D6" w:rsidRDefault="00726A39" w:rsidP="00813CC7">
      <w:pPr>
        <w:sectPr w:rsidR="004E56D6" w:rsidSect="001F63DA">
          <w:pgSz w:w="11907" w:h="16834" w:code="9"/>
          <w:pgMar w:top="1418" w:right="1701" w:bottom="1134" w:left="1843" w:header="284" w:footer="425" w:gutter="284"/>
          <w:cols w:space="720"/>
        </w:sectPr>
      </w:pPr>
      <w:r w:rsidRPr="00320761">
        <w:t xml:space="preserve">Responses to each of the SF-12 items are scored and expressed on a scale of 0–100 for each of the eight health domains. Interpretation of the SF-12 is based on the mean average scores (see </w:t>
      </w:r>
      <w:r w:rsidRPr="00320761">
        <w:fldChar w:fldCharType="begin"/>
      </w:r>
      <w:r w:rsidRPr="00320761">
        <w:instrText xml:space="preserve"> REF _Ref20731122 \h </w:instrText>
      </w:r>
      <w:r w:rsidR="00320761">
        <w:instrText xml:space="preserve"> \* MERGEFORMAT </w:instrText>
      </w:r>
      <w:r w:rsidRPr="00320761">
        <w:fldChar w:fldCharType="separate"/>
      </w:r>
      <w:r w:rsidR="00486803" w:rsidRPr="00320761">
        <w:t xml:space="preserve">Table </w:t>
      </w:r>
      <w:r w:rsidR="00486803">
        <w:rPr>
          <w:noProof/>
        </w:rPr>
        <w:t>5</w:t>
      </w:r>
      <w:r w:rsidRPr="00320761">
        <w:fldChar w:fldCharType="end"/>
      </w:r>
      <w:r w:rsidRPr="00320761">
        <w:t>).</w:t>
      </w:r>
    </w:p>
    <w:p w14:paraId="667EC0FC" w14:textId="3ABB210D" w:rsidR="0068653B" w:rsidRPr="004E56D6" w:rsidRDefault="0068653B" w:rsidP="00813CC7">
      <w:pPr>
        <w:rPr>
          <w:rFonts w:ascii="Georgia" w:hAnsi="Georgia"/>
          <w:sz w:val="22"/>
        </w:rPr>
      </w:pPr>
    </w:p>
    <w:p w14:paraId="128A9B44" w14:textId="056208D0" w:rsidR="0068653B" w:rsidRPr="00320761" w:rsidRDefault="009D003B" w:rsidP="0068653B">
      <w:pPr>
        <w:pStyle w:val="Table"/>
      </w:pPr>
      <w:bookmarkStart w:id="138" w:name="_Ref20731122"/>
      <w:bookmarkStart w:id="139" w:name="_Toc428361658"/>
      <w:bookmarkStart w:id="140" w:name="_Toc467491568"/>
      <w:bookmarkStart w:id="141" w:name="_Toc535580870"/>
      <w:r w:rsidRPr="00320761">
        <w:lastRenderedPageBreak/>
        <w:t xml:space="preserve">Table </w:t>
      </w:r>
      <w:fldSimple w:instr=" SEQ Table \* ARABIC ">
        <w:r w:rsidR="00486803">
          <w:rPr>
            <w:noProof/>
          </w:rPr>
          <w:t>5</w:t>
        </w:r>
      </w:fldSimple>
      <w:bookmarkEnd w:id="138"/>
      <w:r w:rsidRPr="00320761">
        <w:t xml:space="preserve">: </w:t>
      </w:r>
      <w:r w:rsidR="0068653B" w:rsidRPr="00320761">
        <w:t>Scoring for the SF-12</w:t>
      </w:r>
      <w:bookmarkEnd w:id="139"/>
      <w:bookmarkEnd w:id="140"/>
      <w:bookmarkEnd w:id="141"/>
    </w:p>
    <w:tbl>
      <w:tblPr>
        <w:tblW w:w="7881" w:type="dxa"/>
        <w:tblInd w:w="57" w:type="dxa"/>
        <w:tblBorders>
          <w:top w:val="single" w:sz="4" w:space="0" w:color="auto"/>
          <w:bottom w:val="single" w:sz="4" w:space="0" w:color="auto"/>
        </w:tblBorders>
        <w:tblLayout w:type="fixed"/>
        <w:tblCellMar>
          <w:left w:w="57" w:type="dxa"/>
          <w:right w:w="57" w:type="dxa"/>
        </w:tblCellMar>
        <w:tblLook w:val="00A0" w:firstRow="1" w:lastRow="0" w:firstColumn="1" w:lastColumn="0" w:noHBand="0" w:noVBand="0"/>
      </w:tblPr>
      <w:tblGrid>
        <w:gridCol w:w="567"/>
        <w:gridCol w:w="1653"/>
        <w:gridCol w:w="2968"/>
        <w:gridCol w:w="2693"/>
      </w:tblGrid>
      <w:tr w:rsidR="0068653B" w:rsidRPr="00320761" w14:paraId="62201B9E" w14:textId="77777777" w:rsidTr="009D003B">
        <w:trPr>
          <w:cantSplit/>
        </w:trPr>
        <w:tc>
          <w:tcPr>
            <w:tcW w:w="567" w:type="dxa"/>
            <w:tcBorders>
              <w:top w:val="nil"/>
              <w:bottom w:val="nil"/>
            </w:tcBorders>
            <w:shd w:val="clear" w:color="auto" w:fill="F2F2F2" w:themeFill="background1" w:themeFillShade="F2"/>
          </w:tcPr>
          <w:p w14:paraId="6A73398C" w14:textId="77777777" w:rsidR="0068653B" w:rsidRPr="00320761" w:rsidRDefault="0068653B" w:rsidP="0068653B">
            <w:pPr>
              <w:pStyle w:val="TableText"/>
              <w:rPr>
                <w:b/>
              </w:rPr>
            </w:pPr>
            <w:r w:rsidRPr="00320761">
              <w:rPr>
                <w:b/>
              </w:rPr>
              <w:t>Code</w:t>
            </w:r>
          </w:p>
        </w:tc>
        <w:tc>
          <w:tcPr>
            <w:tcW w:w="1653" w:type="dxa"/>
            <w:tcBorders>
              <w:top w:val="nil"/>
              <w:bottom w:val="nil"/>
            </w:tcBorders>
            <w:shd w:val="clear" w:color="auto" w:fill="F2F2F2" w:themeFill="background1" w:themeFillShade="F2"/>
          </w:tcPr>
          <w:p w14:paraId="61739263" w14:textId="77777777" w:rsidR="0068653B" w:rsidRPr="00320761" w:rsidRDefault="0068653B" w:rsidP="0068653B">
            <w:pPr>
              <w:pStyle w:val="TableText"/>
              <w:ind w:left="57" w:right="142"/>
              <w:rPr>
                <w:b/>
              </w:rPr>
            </w:pPr>
            <w:r w:rsidRPr="00320761">
              <w:rPr>
                <w:b/>
              </w:rPr>
              <w:t>Domain</w:t>
            </w:r>
          </w:p>
        </w:tc>
        <w:tc>
          <w:tcPr>
            <w:tcW w:w="2968" w:type="dxa"/>
            <w:tcBorders>
              <w:top w:val="nil"/>
              <w:bottom w:val="nil"/>
            </w:tcBorders>
            <w:shd w:val="clear" w:color="auto" w:fill="F2F2F2" w:themeFill="background1" w:themeFillShade="F2"/>
          </w:tcPr>
          <w:p w14:paraId="29C3DAB3" w14:textId="77777777" w:rsidR="0068653B" w:rsidRPr="00320761" w:rsidRDefault="0068653B" w:rsidP="0068653B">
            <w:pPr>
              <w:pStyle w:val="TableText"/>
              <w:ind w:right="142"/>
              <w:rPr>
                <w:b/>
              </w:rPr>
            </w:pPr>
            <w:r w:rsidRPr="00320761">
              <w:rPr>
                <w:b/>
              </w:rPr>
              <w:t>Low score interpretation</w:t>
            </w:r>
          </w:p>
        </w:tc>
        <w:tc>
          <w:tcPr>
            <w:tcW w:w="2693" w:type="dxa"/>
            <w:tcBorders>
              <w:top w:val="nil"/>
              <w:bottom w:val="nil"/>
            </w:tcBorders>
            <w:shd w:val="clear" w:color="auto" w:fill="F2F2F2" w:themeFill="background1" w:themeFillShade="F2"/>
          </w:tcPr>
          <w:p w14:paraId="59A9CCBC" w14:textId="77777777" w:rsidR="0068653B" w:rsidRPr="00320761" w:rsidRDefault="0068653B" w:rsidP="0068653B">
            <w:pPr>
              <w:pStyle w:val="TableText"/>
              <w:rPr>
                <w:b/>
              </w:rPr>
            </w:pPr>
            <w:r w:rsidRPr="00320761">
              <w:rPr>
                <w:b/>
              </w:rPr>
              <w:t>High score interpretation</w:t>
            </w:r>
          </w:p>
        </w:tc>
      </w:tr>
      <w:tr w:rsidR="00726A39" w:rsidRPr="00320761" w14:paraId="4A36868C" w14:textId="77777777" w:rsidTr="009D003B">
        <w:trPr>
          <w:cantSplit/>
        </w:trPr>
        <w:tc>
          <w:tcPr>
            <w:tcW w:w="567" w:type="dxa"/>
            <w:tcBorders>
              <w:top w:val="nil"/>
              <w:bottom w:val="single" w:sz="4" w:space="0" w:color="A6A6A6" w:themeColor="background1" w:themeShade="A6"/>
            </w:tcBorders>
            <w:shd w:val="clear" w:color="auto" w:fill="auto"/>
          </w:tcPr>
          <w:p w14:paraId="04D055A4" w14:textId="0BC3061E" w:rsidR="00726A39" w:rsidRPr="00320761" w:rsidRDefault="00726A39" w:rsidP="00726A39">
            <w:pPr>
              <w:pStyle w:val="TableText"/>
              <w:jc w:val="center"/>
            </w:pPr>
            <w:r w:rsidRPr="00320761">
              <w:t>PF</w:t>
            </w:r>
          </w:p>
        </w:tc>
        <w:tc>
          <w:tcPr>
            <w:tcW w:w="1653" w:type="dxa"/>
            <w:tcBorders>
              <w:top w:val="nil"/>
              <w:bottom w:val="single" w:sz="4" w:space="0" w:color="A6A6A6" w:themeColor="background1" w:themeShade="A6"/>
            </w:tcBorders>
            <w:shd w:val="clear" w:color="auto" w:fill="auto"/>
          </w:tcPr>
          <w:p w14:paraId="477234DE" w14:textId="2FBE6FC3" w:rsidR="00726A39" w:rsidRPr="00320761" w:rsidRDefault="00726A39" w:rsidP="00726A39">
            <w:pPr>
              <w:pStyle w:val="TableText"/>
              <w:ind w:left="57" w:right="142"/>
            </w:pPr>
            <w:r w:rsidRPr="00320761">
              <w:t>Physical functioning</w:t>
            </w:r>
          </w:p>
        </w:tc>
        <w:tc>
          <w:tcPr>
            <w:tcW w:w="2968" w:type="dxa"/>
            <w:tcBorders>
              <w:top w:val="nil"/>
              <w:bottom w:val="single" w:sz="4" w:space="0" w:color="A6A6A6" w:themeColor="background1" w:themeShade="A6"/>
            </w:tcBorders>
            <w:shd w:val="clear" w:color="auto" w:fill="auto"/>
          </w:tcPr>
          <w:p w14:paraId="0362FCA6" w14:textId="1DA7B4FB" w:rsidR="00726A39" w:rsidRPr="00320761" w:rsidRDefault="00726A39" w:rsidP="00726A39">
            <w:pPr>
              <w:pStyle w:val="TableText"/>
              <w:ind w:right="142"/>
            </w:pPr>
            <w:r w:rsidRPr="00320761">
              <w:t>Limited a lot in performing all physical activities, including self-care, due to health</w:t>
            </w:r>
          </w:p>
        </w:tc>
        <w:tc>
          <w:tcPr>
            <w:tcW w:w="2693" w:type="dxa"/>
            <w:tcBorders>
              <w:top w:val="nil"/>
              <w:bottom w:val="single" w:sz="4" w:space="0" w:color="A6A6A6" w:themeColor="background1" w:themeShade="A6"/>
            </w:tcBorders>
            <w:shd w:val="clear" w:color="auto" w:fill="auto"/>
          </w:tcPr>
          <w:p w14:paraId="0783112C" w14:textId="5A39596B" w:rsidR="00726A39" w:rsidRPr="00320761" w:rsidRDefault="00726A39" w:rsidP="00726A39">
            <w:pPr>
              <w:pStyle w:val="TableText"/>
            </w:pPr>
            <w:r w:rsidRPr="00320761">
              <w:t>Performs all types of physical activities, including the most vigorous, without limitations due to health</w:t>
            </w:r>
          </w:p>
        </w:tc>
      </w:tr>
      <w:tr w:rsidR="00726A39" w:rsidRPr="00320761" w14:paraId="138D44A9" w14:textId="77777777" w:rsidTr="009D003B">
        <w:trPr>
          <w:cantSplit/>
        </w:trPr>
        <w:tc>
          <w:tcPr>
            <w:tcW w:w="567" w:type="dxa"/>
            <w:tcBorders>
              <w:top w:val="single" w:sz="4" w:space="0" w:color="A6A6A6" w:themeColor="background1" w:themeShade="A6"/>
              <w:bottom w:val="single" w:sz="4" w:space="0" w:color="A6A6A6" w:themeColor="background1" w:themeShade="A6"/>
            </w:tcBorders>
            <w:shd w:val="clear" w:color="auto" w:fill="auto"/>
          </w:tcPr>
          <w:p w14:paraId="28D4803A" w14:textId="52DFB36F" w:rsidR="00726A39" w:rsidRPr="00320761" w:rsidRDefault="00726A39" w:rsidP="00726A39">
            <w:pPr>
              <w:pStyle w:val="TableText"/>
              <w:jc w:val="center"/>
            </w:pPr>
            <w:r w:rsidRPr="00320761">
              <w:t>RP</w:t>
            </w:r>
          </w:p>
        </w:tc>
        <w:tc>
          <w:tcPr>
            <w:tcW w:w="1653" w:type="dxa"/>
            <w:tcBorders>
              <w:top w:val="single" w:sz="4" w:space="0" w:color="A6A6A6" w:themeColor="background1" w:themeShade="A6"/>
              <w:bottom w:val="single" w:sz="4" w:space="0" w:color="A6A6A6" w:themeColor="background1" w:themeShade="A6"/>
            </w:tcBorders>
            <w:shd w:val="clear" w:color="auto" w:fill="auto"/>
          </w:tcPr>
          <w:p w14:paraId="7B4802F7" w14:textId="1E00F125" w:rsidR="00726A39" w:rsidRPr="00320761" w:rsidRDefault="00726A39" w:rsidP="00726A39">
            <w:pPr>
              <w:pStyle w:val="TableText"/>
              <w:ind w:left="57" w:right="142"/>
            </w:pPr>
            <w:r w:rsidRPr="00320761">
              <w:t>Role limitation – physical</w:t>
            </w:r>
          </w:p>
        </w:tc>
        <w:tc>
          <w:tcPr>
            <w:tcW w:w="2968" w:type="dxa"/>
            <w:tcBorders>
              <w:top w:val="single" w:sz="4" w:space="0" w:color="A6A6A6" w:themeColor="background1" w:themeShade="A6"/>
              <w:bottom w:val="single" w:sz="4" w:space="0" w:color="A6A6A6" w:themeColor="background1" w:themeShade="A6"/>
            </w:tcBorders>
            <w:shd w:val="clear" w:color="auto" w:fill="auto"/>
          </w:tcPr>
          <w:p w14:paraId="14A6AC07" w14:textId="3638C1D6" w:rsidR="00726A39" w:rsidRPr="00320761" w:rsidRDefault="00726A39" w:rsidP="00726A39">
            <w:pPr>
              <w:pStyle w:val="TableText"/>
              <w:ind w:right="142"/>
            </w:pPr>
            <w:r w:rsidRPr="00320761">
              <w:t>Limited a lot in work or other daily activities as a result of physical health</w:t>
            </w:r>
          </w:p>
        </w:tc>
        <w:tc>
          <w:tcPr>
            <w:tcW w:w="2693" w:type="dxa"/>
            <w:tcBorders>
              <w:top w:val="single" w:sz="4" w:space="0" w:color="A6A6A6" w:themeColor="background1" w:themeShade="A6"/>
              <w:bottom w:val="single" w:sz="4" w:space="0" w:color="A6A6A6" w:themeColor="background1" w:themeShade="A6"/>
            </w:tcBorders>
            <w:shd w:val="clear" w:color="auto" w:fill="auto"/>
          </w:tcPr>
          <w:p w14:paraId="59224A67" w14:textId="1C6BD8ED" w:rsidR="00726A39" w:rsidRPr="00320761" w:rsidRDefault="00726A39" w:rsidP="00726A39">
            <w:pPr>
              <w:pStyle w:val="TableText"/>
            </w:pPr>
            <w:r w:rsidRPr="00320761">
              <w:t>No problems with work or other daily activities as a result of physical health</w:t>
            </w:r>
          </w:p>
        </w:tc>
      </w:tr>
      <w:tr w:rsidR="00726A39" w:rsidRPr="00320761" w14:paraId="2B182007" w14:textId="77777777" w:rsidTr="009D003B">
        <w:trPr>
          <w:cantSplit/>
        </w:trPr>
        <w:tc>
          <w:tcPr>
            <w:tcW w:w="567" w:type="dxa"/>
            <w:tcBorders>
              <w:top w:val="single" w:sz="4" w:space="0" w:color="A6A6A6" w:themeColor="background1" w:themeShade="A6"/>
              <w:bottom w:val="single" w:sz="4" w:space="0" w:color="A6A6A6" w:themeColor="background1" w:themeShade="A6"/>
            </w:tcBorders>
            <w:shd w:val="clear" w:color="auto" w:fill="auto"/>
          </w:tcPr>
          <w:p w14:paraId="2D8FC8CF" w14:textId="3C42DD13" w:rsidR="00726A39" w:rsidRPr="00320761" w:rsidRDefault="00726A39" w:rsidP="00726A39">
            <w:pPr>
              <w:pStyle w:val="TableText"/>
              <w:jc w:val="center"/>
            </w:pPr>
            <w:r w:rsidRPr="00320761">
              <w:t>BP</w:t>
            </w:r>
          </w:p>
        </w:tc>
        <w:tc>
          <w:tcPr>
            <w:tcW w:w="1653" w:type="dxa"/>
            <w:tcBorders>
              <w:top w:val="single" w:sz="4" w:space="0" w:color="A6A6A6" w:themeColor="background1" w:themeShade="A6"/>
              <w:bottom w:val="single" w:sz="4" w:space="0" w:color="A6A6A6" w:themeColor="background1" w:themeShade="A6"/>
            </w:tcBorders>
            <w:shd w:val="clear" w:color="auto" w:fill="auto"/>
          </w:tcPr>
          <w:p w14:paraId="001776A2" w14:textId="523F98BC" w:rsidR="00726A39" w:rsidRPr="00320761" w:rsidRDefault="00726A39" w:rsidP="00726A39">
            <w:pPr>
              <w:pStyle w:val="TableText"/>
              <w:ind w:left="57" w:right="142"/>
            </w:pPr>
            <w:r w:rsidRPr="00320761">
              <w:t>Bodily pain</w:t>
            </w:r>
          </w:p>
        </w:tc>
        <w:tc>
          <w:tcPr>
            <w:tcW w:w="2968" w:type="dxa"/>
            <w:tcBorders>
              <w:top w:val="single" w:sz="4" w:space="0" w:color="A6A6A6" w:themeColor="background1" w:themeShade="A6"/>
              <w:bottom w:val="single" w:sz="4" w:space="0" w:color="A6A6A6" w:themeColor="background1" w:themeShade="A6"/>
            </w:tcBorders>
            <w:shd w:val="clear" w:color="auto" w:fill="auto"/>
          </w:tcPr>
          <w:p w14:paraId="1F2ED8A1" w14:textId="7DB62563" w:rsidR="00726A39" w:rsidRPr="00320761" w:rsidRDefault="00726A39" w:rsidP="00726A39">
            <w:pPr>
              <w:pStyle w:val="TableText"/>
              <w:ind w:right="142"/>
            </w:pPr>
            <w:r w:rsidRPr="00320761">
              <w:t>Very severe and extremely limiting bodily pain</w:t>
            </w:r>
          </w:p>
        </w:tc>
        <w:tc>
          <w:tcPr>
            <w:tcW w:w="2693" w:type="dxa"/>
            <w:tcBorders>
              <w:top w:val="single" w:sz="4" w:space="0" w:color="A6A6A6" w:themeColor="background1" w:themeShade="A6"/>
              <w:bottom w:val="single" w:sz="4" w:space="0" w:color="A6A6A6" w:themeColor="background1" w:themeShade="A6"/>
            </w:tcBorders>
            <w:shd w:val="clear" w:color="auto" w:fill="auto"/>
          </w:tcPr>
          <w:p w14:paraId="63395FAB" w14:textId="5B233294" w:rsidR="00726A39" w:rsidRPr="00320761" w:rsidRDefault="00726A39" w:rsidP="00726A39">
            <w:pPr>
              <w:pStyle w:val="TableText"/>
            </w:pPr>
            <w:r w:rsidRPr="00320761">
              <w:t>No pain or limitations due to pain</w:t>
            </w:r>
          </w:p>
        </w:tc>
      </w:tr>
      <w:tr w:rsidR="00726A39" w:rsidRPr="00320761" w14:paraId="207C1D0A" w14:textId="77777777" w:rsidTr="009D003B">
        <w:trPr>
          <w:cantSplit/>
        </w:trPr>
        <w:tc>
          <w:tcPr>
            <w:tcW w:w="567" w:type="dxa"/>
            <w:tcBorders>
              <w:top w:val="single" w:sz="4" w:space="0" w:color="A6A6A6" w:themeColor="background1" w:themeShade="A6"/>
              <w:bottom w:val="single" w:sz="4" w:space="0" w:color="A6A6A6" w:themeColor="background1" w:themeShade="A6"/>
            </w:tcBorders>
            <w:shd w:val="clear" w:color="auto" w:fill="auto"/>
          </w:tcPr>
          <w:p w14:paraId="57917E83" w14:textId="03E0E88F" w:rsidR="00726A39" w:rsidRPr="00320761" w:rsidRDefault="00726A39" w:rsidP="00726A39">
            <w:pPr>
              <w:pStyle w:val="TableText"/>
              <w:jc w:val="center"/>
            </w:pPr>
            <w:r w:rsidRPr="00320761">
              <w:t>GH</w:t>
            </w:r>
          </w:p>
        </w:tc>
        <w:tc>
          <w:tcPr>
            <w:tcW w:w="1653" w:type="dxa"/>
            <w:tcBorders>
              <w:top w:val="single" w:sz="4" w:space="0" w:color="A6A6A6" w:themeColor="background1" w:themeShade="A6"/>
              <w:bottom w:val="single" w:sz="4" w:space="0" w:color="A6A6A6" w:themeColor="background1" w:themeShade="A6"/>
            </w:tcBorders>
            <w:shd w:val="clear" w:color="auto" w:fill="auto"/>
          </w:tcPr>
          <w:p w14:paraId="03AF5CDB" w14:textId="3846F540" w:rsidR="00726A39" w:rsidRPr="00320761" w:rsidRDefault="00726A39" w:rsidP="00726A39">
            <w:pPr>
              <w:pStyle w:val="TableText"/>
              <w:ind w:left="57" w:right="142"/>
            </w:pPr>
            <w:r w:rsidRPr="00320761">
              <w:t>General health perceptions</w:t>
            </w:r>
          </w:p>
        </w:tc>
        <w:tc>
          <w:tcPr>
            <w:tcW w:w="2968" w:type="dxa"/>
            <w:tcBorders>
              <w:top w:val="single" w:sz="4" w:space="0" w:color="A6A6A6" w:themeColor="background1" w:themeShade="A6"/>
              <w:bottom w:val="single" w:sz="4" w:space="0" w:color="A6A6A6" w:themeColor="background1" w:themeShade="A6"/>
            </w:tcBorders>
            <w:shd w:val="clear" w:color="auto" w:fill="auto"/>
          </w:tcPr>
          <w:p w14:paraId="7989FB4C" w14:textId="23D136D3" w:rsidR="00726A39" w:rsidRPr="00320761" w:rsidRDefault="00726A39" w:rsidP="00726A39">
            <w:pPr>
              <w:pStyle w:val="TableText"/>
              <w:ind w:right="142"/>
            </w:pPr>
            <w:r w:rsidRPr="00320761">
              <w:t>Evaluates own health as poor and believes it is likely to get worse</w:t>
            </w:r>
          </w:p>
        </w:tc>
        <w:tc>
          <w:tcPr>
            <w:tcW w:w="2693" w:type="dxa"/>
            <w:tcBorders>
              <w:top w:val="single" w:sz="4" w:space="0" w:color="A6A6A6" w:themeColor="background1" w:themeShade="A6"/>
              <w:bottom w:val="single" w:sz="4" w:space="0" w:color="A6A6A6" w:themeColor="background1" w:themeShade="A6"/>
            </w:tcBorders>
            <w:shd w:val="clear" w:color="auto" w:fill="auto"/>
          </w:tcPr>
          <w:p w14:paraId="3D7A8639" w14:textId="6E282042" w:rsidR="00726A39" w:rsidRPr="00320761" w:rsidRDefault="00726A39" w:rsidP="00726A39">
            <w:pPr>
              <w:pStyle w:val="TableText"/>
            </w:pPr>
            <w:r w:rsidRPr="00320761">
              <w:t>Evaluates own health as excellent</w:t>
            </w:r>
          </w:p>
        </w:tc>
      </w:tr>
      <w:tr w:rsidR="00726A39" w:rsidRPr="00320761" w14:paraId="4CEC8784" w14:textId="77777777" w:rsidTr="009D003B">
        <w:trPr>
          <w:cantSplit/>
        </w:trPr>
        <w:tc>
          <w:tcPr>
            <w:tcW w:w="567" w:type="dxa"/>
            <w:tcBorders>
              <w:top w:val="single" w:sz="4" w:space="0" w:color="A6A6A6" w:themeColor="background1" w:themeShade="A6"/>
              <w:bottom w:val="single" w:sz="4" w:space="0" w:color="A6A6A6" w:themeColor="background1" w:themeShade="A6"/>
            </w:tcBorders>
            <w:shd w:val="clear" w:color="auto" w:fill="auto"/>
          </w:tcPr>
          <w:p w14:paraId="5472C46D" w14:textId="54A5B2BC" w:rsidR="00726A39" w:rsidRPr="00320761" w:rsidRDefault="00726A39" w:rsidP="00726A39">
            <w:pPr>
              <w:pStyle w:val="TableText"/>
              <w:jc w:val="center"/>
            </w:pPr>
            <w:r w:rsidRPr="00320761">
              <w:t>VT</w:t>
            </w:r>
          </w:p>
        </w:tc>
        <w:tc>
          <w:tcPr>
            <w:tcW w:w="1653" w:type="dxa"/>
            <w:tcBorders>
              <w:top w:val="single" w:sz="4" w:space="0" w:color="A6A6A6" w:themeColor="background1" w:themeShade="A6"/>
              <w:bottom w:val="single" w:sz="4" w:space="0" w:color="A6A6A6" w:themeColor="background1" w:themeShade="A6"/>
            </w:tcBorders>
            <w:shd w:val="clear" w:color="auto" w:fill="auto"/>
          </w:tcPr>
          <w:p w14:paraId="51E6617D" w14:textId="28A21D6A" w:rsidR="00726A39" w:rsidRPr="00320761" w:rsidRDefault="00726A39" w:rsidP="00726A39">
            <w:pPr>
              <w:pStyle w:val="TableText"/>
              <w:ind w:left="57" w:right="142"/>
            </w:pPr>
            <w:r w:rsidRPr="00320761">
              <w:t>Vitality</w:t>
            </w:r>
          </w:p>
        </w:tc>
        <w:tc>
          <w:tcPr>
            <w:tcW w:w="2968" w:type="dxa"/>
            <w:tcBorders>
              <w:top w:val="single" w:sz="4" w:space="0" w:color="A6A6A6" w:themeColor="background1" w:themeShade="A6"/>
              <w:bottom w:val="single" w:sz="4" w:space="0" w:color="A6A6A6" w:themeColor="background1" w:themeShade="A6"/>
            </w:tcBorders>
            <w:shd w:val="clear" w:color="auto" w:fill="auto"/>
          </w:tcPr>
          <w:p w14:paraId="0E36D4BA" w14:textId="6F6118D1" w:rsidR="00726A39" w:rsidRPr="00320761" w:rsidRDefault="00726A39" w:rsidP="00726A39">
            <w:pPr>
              <w:pStyle w:val="TableText"/>
              <w:ind w:right="142"/>
            </w:pPr>
            <w:r w:rsidRPr="00320761">
              <w:t>Feels tired and worn out all of the time</w:t>
            </w:r>
          </w:p>
        </w:tc>
        <w:tc>
          <w:tcPr>
            <w:tcW w:w="2693" w:type="dxa"/>
            <w:tcBorders>
              <w:top w:val="single" w:sz="4" w:space="0" w:color="A6A6A6" w:themeColor="background1" w:themeShade="A6"/>
              <w:bottom w:val="single" w:sz="4" w:space="0" w:color="A6A6A6" w:themeColor="background1" w:themeShade="A6"/>
            </w:tcBorders>
            <w:shd w:val="clear" w:color="auto" w:fill="auto"/>
          </w:tcPr>
          <w:p w14:paraId="688B8EA7" w14:textId="14ED0C89" w:rsidR="00726A39" w:rsidRPr="00320761" w:rsidRDefault="00726A39" w:rsidP="00726A39">
            <w:pPr>
              <w:pStyle w:val="TableText"/>
            </w:pPr>
            <w:r w:rsidRPr="00320761">
              <w:t>Feels full of energy all of the time</w:t>
            </w:r>
          </w:p>
        </w:tc>
      </w:tr>
      <w:tr w:rsidR="00726A39" w:rsidRPr="00320761" w14:paraId="7C56771D" w14:textId="77777777" w:rsidTr="009D003B">
        <w:trPr>
          <w:cantSplit/>
        </w:trPr>
        <w:tc>
          <w:tcPr>
            <w:tcW w:w="567" w:type="dxa"/>
            <w:tcBorders>
              <w:top w:val="single" w:sz="4" w:space="0" w:color="A6A6A6" w:themeColor="background1" w:themeShade="A6"/>
              <w:bottom w:val="single" w:sz="4" w:space="0" w:color="A6A6A6" w:themeColor="background1" w:themeShade="A6"/>
            </w:tcBorders>
            <w:shd w:val="clear" w:color="auto" w:fill="auto"/>
          </w:tcPr>
          <w:p w14:paraId="2917AD8B" w14:textId="4B2F832D" w:rsidR="00726A39" w:rsidRPr="00320761" w:rsidRDefault="00726A39" w:rsidP="00726A39">
            <w:pPr>
              <w:pStyle w:val="TableText"/>
              <w:jc w:val="center"/>
            </w:pPr>
            <w:r w:rsidRPr="00320761">
              <w:t>SF</w:t>
            </w:r>
          </w:p>
        </w:tc>
        <w:tc>
          <w:tcPr>
            <w:tcW w:w="1653" w:type="dxa"/>
            <w:tcBorders>
              <w:top w:val="single" w:sz="4" w:space="0" w:color="A6A6A6" w:themeColor="background1" w:themeShade="A6"/>
              <w:bottom w:val="single" w:sz="4" w:space="0" w:color="A6A6A6" w:themeColor="background1" w:themeShade="A6"/>
            </w:tcBorders>
            <w:shd w:val="clear" w:color="auto" w:fill="auto"/>
          </w:tcPr>
          <w:p w14:paraId="0C697821" w14:textId="33345132" w:rsidR="00726A39" w:rsidRPr="00320761" w:rsidRDefault="00726A39" w:rsidP="00726A39">
            <w:pPr>
              <w:pStyle w:val="TableText"/>
              <w:ind w:left="57" w:right="142"/>
            </w:pPr>
            <w:r w:rsidRPr="00320761">
              <w:t>Social functioning</w:t>
            </w:r>
          </w:p>
        </w:tc>
        <w:tc>
          <w:tcPr>
            <w:tcW w:w="2968" w:type="dxa"/>
            <w:tcBorders>
              <w:top w:val="single" w:sz="4" w:space="0" w:color="A6A6A6" w:themeColor="background1" w:themeShade="A6"/>
              <w:bottom w:val="single" w:sz="4" w:space="0" w:color="A6A6A6" w:themeColor="background1" w:themeShade="A6"/>
            </w:tcBorders>
            <w:shd w:val="clear" w:color="auto" w:fill="auto"/>
          </w:tcPr>
          <w:p w14:paraId="45323A2B" w14:textId="38D78F3E" w:rsidR="00726A39" w:rsidRPr="00320761" w:rsidRDefault="00726A39" w:rsidP="00726A39">
            <w:pPr>
              <w:pStyle w:val="TableText"/>
              <w:ind w:right="142"/>
            </w:pPr>
            <w:r w:rsidRPr="00320761">
              <w:t>Extreme and frequent interference with normal social activities due to physical or emotional problems</w:t>
            </w:r>
          </w:p>
        </w:tc>
        <w:tc>
          <w:tcPr>
            <w:tcW w:w="2693" w:type="dxa"/>
            <w:tcBorders>
              <w:top w:val="single" w:sz="4" w:space="0" w:color="A6A6A6" w:themeColor="background1" w:themeShade="A6"/>
              <w:bottom w:val="single" w:sz="4" w:space="0" w:color="A6A6A6" w:themeColor="background1" w:themeShade="A6"/>
            </w:tcBorders>
            <w:shd w:val="clear" w:color="auto" w:fill="auto"/>
          </w:tcPr>
          <w:p w14:paraId="32EE5598" w14:textId="332A92A1" w:rsidR="00726A39" w:rsidRPr="00320761" w:rsidRDefault="00726A39" w:rsidP="00726A39">
            <w:pPr>
              <w:pStyle w:val="TableText"/>
            </w:pPr>
            <w:r w:rsidRPr="00320761">
              <w:t>Performs normal social activities without interference due to physical or emotional problems</w:t>
            </w:r>
          </w:p>
        </w:tc>
      </w:tr>
      <w:tr w:rsidR="00726A39" w:rsidRPr="00320761" w14:paraId="6BD5388C" w14:textId="77777777" w:rsidTr="009D003B">
        <w:trPr>
          <w:cantSplit/>
        </w:trPr>
        <w:tc>
          <w:tcPr>
            <w:tcW w:w="567" w:type="dxa"/>
            <w:tcBorders>
              <w:top w:val="single" w:sz="4" w:space="0" w:color="A6A6A6" w:themeColor="background1" w:themeShade="A6"/>
              <w:bottom w:val="single" w:sz="4" w:space="0" w:color="A6A6A6" w:themeColor="background1" w:themeShade="A6"/>
            </w:tcBorders>
            <w:shd w:val="clear" w:color="auto" w:fill="auto"/>
          </w:tcPr>
          <w:p w14:paraId="1C249E01" w14:textId="7BD827D3" w:rsidR="00726A39" w:rsidRPr="00320761" w:rsidRDefault="00726A39" w:rsidP="00726A39">
            <w:pPr>
              <w:pStyle w:val="TableText"/>
              <w:jc w:val="center"/>
            </w:pPr>
            <w:r w:rsidRPr="00320761">
              <w:t>RE</w:t>
            </w:r>
          </w:p>
        </w:tc>
        <w:tc>
          <w:tcPr>
            <w:tcW w:w="1653" w:type="dxa"/>
            <w:tcBorders>
              <w:top w:val="single" w:sz="4" w:space="0" w:color="A6A6A6" w:themeColor="background1" w:themeShade="A6"/>
              <w:bottom w:val="single" w:sz="4" w:space="0" w:color="A6A6A6" w:themeColor="background1" w:themeShade="A6"/>
            </w:tcBorders>
            <w:shd w:val="clear" w:color="auto" w:fill="auto"/>
          </w:tcPr>
          <w:p w14:paraId="43CE599D" w14:textId="025ED600" w:rsidR="00726A39" w:rsidRPr="00320761" w:rsidRDefault="00726A39" w:rsidP="00726A39">
            <w:pPr>
              <w:pStyle w:val="TableText"/>
              <w:ind w:left="57" w:right="142"/>
            </w:pPr>
            <w:r w:rsidRPr="00320761">
              <w:t>Role limitation – emotional</w:t>
            </w:r>
          </w:p>
        </w:tc>
        <w:tc>
          <w:tcPr>
            <w:tcW w:w="2968" w:type="dxa"/>
            <w:tcBorders>
              <w:top w:val="single" w:sz="4" w:space="0" w:color="A6A6A6" w:themeColor="background1" w:themeShade="A6"/>
              <w:bottom w:val="single" w:sz="4" w:space="0" w:color="A6A6A6" w:themeColor="background1" w:themeShade="A6"/>
            </w:tcBorders>
            <w:shd w:val="clear" w:color="auto" w:fill="auto"/>
          </w:tcPr>
          <w:p w14:paraId="5E50C04A" w14:textId="59CB1DA0" w:rsidR="00726A39" w:rsidRPr="00320761" w:rsidRDefault="00726A39" w:rsidP="00726A39">
            <w:pPr>
              <w:pStyle w:val="TableText"/>
              <w:ind w:right="142"/>
            </w:pPr>
            <w:r w:rsidRPr="00320761">
              <w:t>Problems with work or other daily activities as a result of emotional problems</w:t>
            </w:r>
          </w:p>
        </w:tc>
        <w:tc>
          <w:tcPr>
            <w:tcW w:w="2693" w:type="dxa"/>
            <w:tcBorders>
              <w:top w:val="single" w:sz="4" w:space="0" w:color="A6A6A6" w:themeColor="background1" w:themeShade="A6"/>
              <w:bottom w:val="single" w:sz="4" w:space="0" w:color="A6A6A6" w:themeColor="background1" w:themeShade="A6"/>
            </w:tcBorders>
            <w:shd w:val="clear" w:color="auto" w:fill="auto"/>
          </w:tcPr>
          <w:p w14:paraId="5AEDB212" w14:textId="09000BCA" w:rsidR="00726A39" w:rsidRPr="00320761" w:rsidRDefault="00726A39" w:rsidP="00726A39">
            <w:pPr>
              <w:pStyle w:val="TableText"/>
            </w:pPr>
            <w:r w:rsidRPr="00320761">
              <w:t>No problems with work or other daily activities as a result of emotional problems</w:t>
            </w:r>
          </w:p>
        </w:tc>
      </w:tr>
      <w:tr w:rsidR="00726A39" w:rsidRPr="00320761" w14:paraId="01C4D731" w14:textId="77777777" w:rsidTr="009D003B">
        <w:trPr>
          <w:cantSplit/>
        </w:trPr>
        <w:tc>
          <w:tcPr>
            <w:tcW w:w="567" w:type="dxa"/>
            <w:tcBorders>
              <w:top w:val="single" w:sz="4" w:space="0" w:color="A6A6A6" w:themeColor="background1" w:themeShade="A6"/>
              <w:bottom w:val="single" w:sz="4" w:space="0" w:color="A6A6A6" w:themeColor="background1" w:themeShade="A6"/>
            </w:tcBorders>
            <w:shd w:val="clear" w:color="auto" w:fill="auto"/>
          </w:tcPr>
          <w:p w14:paraId="6DE75528" w14:textId="26D31AD7" w:rsidR="00726A39" w:rsidRPr="00320761" w:rsidRDefault="00726A39" w:rsidP="00726A39">
            <w:pPr>
              <w:pStyle w:val="TableText"/>
              <w:jc w:val="center"/>
            </w:pPr>
            <w:r w:rsidRPr="00320761">
              <w:t>MH</w:t>
            </w:r>
          </w:p>
        </w:tc>
        <w:tc>
          <w:tcPr>
            <w:tcW w:w="1653" w:type="dxa"/>
            <w:tcBorders>
              <w:top w:val="single" w:sz="4" w:space="0" w:color="A6A6A6" w:themeColor="background1" w:themeShade="A6"/>
              <w:bottom w:val="single" w:sz="4" w:space="0" w:color="A6A6A6" w:themeColor="background1" w:themeShade="A6"/>
            </w:tcBorders>
            <w:shd w:val="clear" w:color="auto" w:fill="auto"/>
          </w:tcPr>
          <w:p w14:paraId="5EBADAF0" w14:textId="63F41005" w:rsidR="00726A39" w:rsidRPr="00320761" w:rsidRDefault="00726A39" w:rsidP="00726A39">
            <w:pPr>
              <w:pStyle w:val="TableText"/>
              <w:ind w:left="57" w:right="142"/>
            </w:pPr>
            <w:r w:rsidRPr="00320761">
              <w:t>Mental health</w:t>
            </w:r>
          </w:p>
        </w:tc>
        <w:tc>
          <w:tcPr>
            <w:tcW w:w="2968" w:type="dxa"/>
            <w:tcBorders>
              <w:top w:val="single" w:sz="4" w:space="0" w:color="A6A6A6" w:themeColor="background1" w:themeShade="A6"/>
              <w:bottom w:val="single" w:sz="4" w:space="0" w:color="A6A6A6" w:themeColor="background1" w:themeShade="A6"/>
            </w:tcBorders>
            <w:shd w:val="clear" w:color="auto" w:fill="auto"/>
          </w:tcPr>
          <w:p w14:paraId="416E0952" w14:textId="10AA07C6" w:rsidR="00726A39" w:rsidRPr="00320761" w:rsidRDefault="00726A39" w:rsidP="00726A39">
            <w:pPr>
              <w:pStyle w:val="TableText"/>
              <w:ind w:right="142"/>
            </w:pPr>
            <w:r w:rsidRPr="00320761">
              <w:t>Has feelings of nervousness and depression all the time</w:t>
            </w:r>
          </w:p>
        </w:tc>
        <w:tc>
          <w:tcPr>
            <w:tcW w:w="2693" w:type="dxa"/>
            <w:tcBorders>
              <w:top w:val="single" w:sz="4" w:space="0" w:color="A6A6A6" w:themeColor="background1" w:themeShade="A6"/>
              <w:bottom w:val="single" w:sz="4" w:space="0" w:color="A6A6A6" w:themeColor="background1" w:themeShade="A6"/>
            </w:tcBorders>
            <w:shd w:val="clear" w:color="auto" w:fill="auto"/>
          </w:tcPr>
          <w:p w14:paraId="35686A5A" w14:textId="180937AF" w:rsidR="00726A39" w:rsidRPr="00320761" w:rsidRDefault="00726A39" w:rsidP="00726A39">
            <w:pPr>
              <w:pStyle w:val="TableText"/>
            </w:pPr>
            <w:r w:rsidRPr="00320761">
              <w:t>Feels peaceful, happy and calm all the time</w:t>
            </w:r>
          </w:p>
        </w:tc>
      </w:tr>
    </w:tbl>
    <w:p w14:paraId="0783436A" w14:textId="77777777" w:rsidR="0068653B" w:rsidRPr="00320761" w:rsidRDefault="0068653B" w:rsidP="0068653B">
      <w:pPr>
        <w:pStyle w:val="Heading4"/>
      </w:pPr>
      <w:r w:rsidRPr="00320761">
        <w:t>K10 scoring</w:t>
      </w:r>
    </w:p>
    <w:p w14:paraId="2BF49D10" w14:textId="77777777" w:rsidR="00726A39" w:rsidRPr="00320761" w:rsidRDefault="00726A39" w:rsidP="00726A39">
      <w:pPr>
        <w:rPr>
          <w:rFonts w:ascii="Georgia" w:hAnsi="Georgia"/>
          <w:sz w:val="22"/>
        </w:rPr>
      </w:pPr>
      <w:r w:rsidRPr="00320761">
        <w:t>The K10 is an internationally validated instrument for measuring non-specific psychological distress in a population, and scores of 12 or more on the K10 are strongly correlated with having an anxiety or depressive disorder (Kessler et al 2003).</w:t>
      </w:r>
    </w:p>
    <w:p w14:paraId="623A2F8C" w14:textId="77777777" w:rsidR="00726A39" w:rsidRPr="00320761" w:rsidRDefault="00726A39" w:rsidP="00726A39"/>
    <w:p w14:paraId="6D3F0BA9" w14:textId="77777777" w:rsidR="00726A39" w:rsidRPr="00320761" w:rsidRDefault="00726A39" w:rsidP="00726A39">
      <w:r w:rsidRPr="00320761">
        <w:t>The K10 was included for the first time in the 2006/07 NZHS.</w:t>
      </w:r>
    </w:p>
    <w:p w14:paraId="26AF51A0" w14:textId="77777777" w:rsidR="00726A39" w:rsidRPr="00320761" w:rsidRDefault="00726A39" w:rsidP="00726A39"/>
    <w:p w14:paraId="2EDB2B16" w14:textId="77777777" w:rsidR="00726A39" w:rsidRPr="00320761" w:rsidRDefault="00726A39" w:rsidP="00726A39">
      <w:r w:rsidRPr="00320761">
        <w:t>Each question in the K10 has five possible responses: ‘all of the time’, ‘most of the time’, ‘some of the time’, ‘a little of the time’ or ‘none of the time’. For the NZHS, the response to each question was coded to allow scoring as follows: ‘all of the time’ was set to 4; ‘most of the time’ was set to 3; ‘some of the time’ was set to 2; ‘a little of the time’ was set to 1; ‘none of the time’ was set to 0; and all other values were set to missing. The possible range of scores is 0–40, with higher scores indicating higher psychological distress.</w:t>
      </w:r>
    </w:p>
    <w:p w14:paraId="2910BB2B" w14:textId="77777777" w:rsidR="00726A39" w:rsidRPr="00320761" w:rsidRDefault="00726A39" w:rsidP="00726A39"/>
    <w:p w14:paraId="6DBEC889" w14:textId="31DDAE23" w:rsidR="004E56D6" w:rsidRDefault="00726A39" w:rsidP="0068653B">
      <w:pPr>
        <w:sectPr w:rsidR="004E56D6" w:rsidSect="001F63DA">
          <w:pgSz w:w="11907" w:h="16834" w:code="9"/>
          <w:pgMar w:top="1418" w:right="1701" w:bottom="1134" w:left="1843" w:header="284" w:footer="425" w:gutter="284"/>
          <w:cols w:space="720"/>
        </w:sectPr>
      </w:pPr>
      <w:r w:rsidRPr="00320761">
        <w:t xml:space="preserve">For NZHS reporting, psychological distress means having high or very high levels of psychological distress on the K10 scale, that is, a score of 12 or more (see </w:t>
      </w:r>
      <w:r w:rsidRPr="00320761">
        <w:fldChar w:fldCharType="begin"/>
      </w:r>
      <w:r w:rsidRPr="00320761">
        <w:instrText xml:space="preserve"> REF _Ref20731373 \h </w:instrText>
      </w:r>
      <w:r w:rsidR="00320761">
        <w:instrText xml:space="preserve"> \* MERGEFORMAT </w:instrText>
      </w:r>
      <w:r w:rsidRPr="00320761">
        <w:fldChar w:fldCharType="separate"/>
      </w:r>
      <w:r w:rsidR="00486803" w:rsidRPr="00320761">
        <w:t xml:space="preserve">Table </w:t>
      </w:r>
      <w:r w:rsidR="00486803">
        <w:rPr>
          <w:noProof/>
        </w:rPr>
        <w:t>6</w:t>
      </w:r>
      <w:r w:rsidRPr="00320761">
        <w:fldChar w:fldCharType="end"/>
      </w:r>
      <w:r w:rsidRPr="00320761">
        <w:t>).</w:t>
      </w:r>
    </w:p>
    <w:p w14:paraId="2CF35948" w14:textId="4B108351" w:rsidR="0068653B" w:rsidRPr="00320761" w:rsidRDefault="009D003B" w:rsidP="0068653B">
      <w:pPr>
        <w:pStyle w:val="Table"/>
      </w:pPr>
      <w:bookmarkStart w:id="142" w:name="_Ref20731373"/>
      <w:bookmarkStart w:id="143" w:name="_Toc428361659"/>
      <w:bookmarkStart w:id="144" w:name="_Toc467491569"/>
      <w:bookmarkStart w:id="145" w:name="_Toc535580871"/>
      <w:r w:rsidRPr="00320761">
        <w:t xml:space="preserve">Table </w:t>
      </w:r>
      <w:fldSimple w:instr=" SEQ Table \* ARABIC ">
        <w:r w:rsidR="00486803">
          <w:rPr>
            <w:noProof/>
          </w:rPr>
          <w:t>6</w:t>
        </w:r>
      </w:fldSimple>
      <w:bookmarkEnd w:id="142"/>
      <w:r w:rsidRPr="00320761">
        <w:t xml:space="preserve">: </w:t>
      </w:r>
      <w:r w:rsidR="0068653B" w:rsidRPr="00320761">
        <w:t>Scoring for the K10</w:t>
      </w:r>
      <w:bookmarkEnd w:id="143"/>
      <w:bookmarkEnd w:id="144"/>
      <w:bookmarkEnd w:id="145"/>
    </w:p>
    <w:tbl>
      <w:tblPr>
        <w:tblW w:w="0" w:type="auto"/>
        <w:tblInd w:w="57" w:type="dxa"/>
        <w:tblBorders>
          <w:top w:val="single" w:sz="4" w:space="0" w:color="auto"/>
          <w:bottom w:val="single" w:sz="4" w:space="0" w:color="auto"/>
        </w:tblBorders>
        <w:tblLayout w:type="fixed"/>
        <w:tblCellMar>
          <w:left w:w="57" w:type="dxa"/>
          <w:right w:w="57" w:type="dxa"/>
        </w:tblCellMar>
        <w:tblLook w:val="00A0" w:firstRow="1" w:lastRow="0" w:firstColumn="1" w:lastColumn="0" w:noHBand="0" w:noVBand="0"/>
      </w:tblPr>
      <w:tblGrid>
        <w:gridCol w:w="1928"/>
        <w:gridCol w:w="5670"/>
      </w:tblGrid>
      <w:tr w:rsidR="0068653B" w:rsidRPr="00320761" w14:paraId="4EF31F3E" w14:textId="77777777" w:rsidTr="0068653B">
        <w:trPr>
          <w:cantSplit/>
        </w:trPr>
        <w:tc>
          <w:tcPr>
            <w:tcW w:w="1928" w:type="dxa"/>
            <w:tcBorders>
              <w:top w:val="nil"/>
              <w:bottom w:val="nil"/>
            </w:tcBorders>
            <w:shd w:val="clear" w:color="auto" w:fill="F2F2F2" w:themeFill="background1" w:themeFillShade="F2"/>
          </w:tcPr>
          <w:p w14:paraId="0EB4F15B" w14:textId="77777777" w:rsidR="0068653B" w:rsidRPr="00320761" w:rsidRDefault="0068653B" w:rsidP="0068653B">
            <w:pPr>
              <w:pStyle w:val="TableText"/>
              <w:rPr>
                <w:b/>
              </w:rPr>
            </w:pPr>
            <w:r w:rsidRPr="00320761">
              <w:rPr>
                <w:b/>
              </w:rPr>
              <w:t>Score</w:t>
            </w:r>
          </w:p>
        </w:tc>
        <w:tc>
          <w:tcPr>
            <w:tcW w:w="5670" w:type="dxa"/>
            <w:tcBorders>
              <w:top w:val="nil"/>
              <w:bottom w:val="nil"/>
            </w:tcBorders>
            <w:shd w:val="clear" w:color="auto" w:fill="F2F2F2" w:themeFill="background1" w:themeFillShade="F2"/>
          </w:tcPr>
          <w:p w14:paraId="4E9BED80" w14:textId="77777777" w:rsidR="0068653B" w:rsidRPr="00320761" w:rsidRDefault="0068653B" w:rsidP="0068653B">
            <w:pPr>
              <w:pStyle w:val="TableText"/>
              <w:rPr>
                <w:b/>
              </w:rPr>
            </w:pPr>
            <w:r w:rsidRPr="00320761">
              <w:rPr>
                <w:b/>
              </w:rPr>
              <w:t>Interpretation</w:t>
            </w:r>
          </w:p>
        </w:tc>
      </w:tr>
      <w:tr w:rsidR="00726A39" w:rsidRPr="00320761" w14:paraId="055514A0" w14:textId="77777777" w:rsidTr="0068653B">
        <w:trPr>
          <w:cantSplit/>
        </w:trPr>
        <w:tc>
          <w:tcPr>
            <w:tcW w:w="1928" w:type="dxa"/>
            <w:tcBorders>
              <w:top w:val="nil"/>
              <w:bottom w:val="single" w:sz="4" w:space="0" w:color="A6A6A6" w:themeColor="background1" w:themeShade="A6"/>
            </w:tcBorders>
            <w:shd w:val="clear" w:color="auto" w:fill="auto"/>
          </w:tcPr>
          <w:p w14:paraId="60025BE6" w14:textId="2DE3F157" w:rsidR="00726A39" w:rsidRPr="00320761" w:rsidRDefault="00726A39" w:rsidP="00726A39">
            <w:pPr>
              <w:pStyle w:val="TableText"/>
            </w:pPr>
            <w:r w:rsidRPr="00320761">
              <w:t>0–5</w:t>
            </w:r>
          </w:p>
        </w:tc>
        <w:tc>
          <w:tcPr>
            <w:tcW w:w="5670" w:type="dxa"/>
            <w:tcBorders>
              <w:top w:val="nil"/>
              <w:bottom w:val="single" w:sz="4" w:space="0" w:color="A6A6A6" w:themeColor="background1" w:themeShade="A6"/>
            </w:tcBorders>
            <w:shd w:val="clear" w:color="auto" w:fill="auto"/>
          </w:tcPr>
          <w:p w14:paraId="558C603E" w14:textId="6B7892F2" w:rsidR="00726A39" w:rsidRPr="00320761" w:rsidRDefault="00726A39" w:rsidP="00726A39">
            <w:pPr>
              <w:pStyle w:val="TableText"/>
            </w:pPr>
            <w:r w:rsidRPr="00320761">
              <w:t>None or low psychological distress</w:t>
            </w:r>
          </w:p>
        </w:tc>
      </w:tr>
      <w:tr w:rsidR="00726A39" w:rsidRPr="00320761" w14:paraId="1C95F56B" w14:textId="77777777" w:rsidTr="0068653B">
        <w:trPr>
          <w:cantSplit/>
        </w:trPr>
        <w:tc>
          <w:tcPr>
            <w:tcW w:w="1928" w:type="dxa"/>
            <w:tcBorders>
              <w:top w:val="single" w:sz="4" w:space="0" w:color="A6A6A6" w:themeColor="background1" w:themeShade="A6"/>
              <w:bottom w:val="single" w:sz="4" w:space="0" w:color="A6A6A6" w:themeColor="background1" w:themeShade="A6"/>
            </w:tcBorders>
            <w:shd w:val="clear" w:color="auto" w:fill="auto"/>
          </w:tcPr>
          <w:p w14:paraId="2C04F965" w14:textId="1CEE8465" w:rsidR="00726A39" w:rsidRPr="00320761" w:rsidRDefault="00726A39" w:rsidP="00726A39">
            <w:pPr>
              <w:pStyle w:val="TableText"/>
            </w:pPr>
            <w:r w:rsidRPr="00320761">
              <w:t>6–11</w:t>
            </w:r>
          </w:p>
        </w:tc>
        <w:tc>
          <w:tcPr>
            <w:tcW w:w="5670" w:type="dxa"/>
            <w:tcBorders>
              <w:top w:val="single" w:sz="4" w:space="0" w:color="A6A6A6" w:themeColor="background1" w:themeShade="A6"/>
              <w:bottom w:val="single" w:sz="4" w:space="0" w:color="A6A6A6" w:themeColor="background1" w:themeShade="A6"/>
            </w:tcBorders>
            <w:shd w:val="clear" w:color="auto" w:fill="auto"/>
          </w:tcPr>
          <w:p w14:paraId="55E0652B" w14:textId="5FF88D70" w:rsidR="00726A39" w:rsidRPr="00320761" w:rsidRDefault="00726A39" w:rsidP="00726A39">
            <w:pPr>
              <w:pStyle w:val="TableText"/>
            </w:pPr>
            <w:r w:rsidRPr="00320761">
              <w:t>Moderate psychological distress</w:t>
            </w:r>
          </w:p>
        </w:tc>
      </w:tr>
      <w:tr w:rsidR="00726A39" w:rsidRPr="00320761" w14:paraId="7993E6D7" w14:textId="77777777" w:rsidTr="0068653B">
        <w:trPr>
          <w:cantSplit/>
        </w:trPr>
        <w:tc>
          <w:tcPr>
            <w:tcW w:w="1928" w:type="dxa"/>
            <w:tcBorders>
              <w:top w:val="single" w:sz="4" w:space="0" w:color="A6A6A6" w:themeColor="background1" w:themeShade="A6"/>
              <w:bottom w:val="single" w:sz="4" w:space="0" w:color="A6A6A6" w:themeColor="background1" w:themeShade="A6"/>
            </w:tcBorders>
            <w:shd w:val="clear" w:color="auto" w:fill="auto"/>
          </w:tcPr>
          <w:p w14:paraId="3FF4D8B2" w14:textId="6C8909AA" w:rsidR="00726A39" w:rsidRPr="00320761" w:rsidRDefault="00726A39" w:rsidP="00726A39">
            <w:pPr>
              <w:pStyle w:val="TableText"/>
            </w:pPr>
            <w:r w:rsidRPr="00320761">
              <w:t>12–19</w:t>
            </w:r>
          </w:p>
        </w:tc>
        <w:tc>
          <w:tcPr>
            <w:tcW w:w="5670" w:type="dxa"/>
            <w:tcBorders>
              <w:top w:val="single" w:sz="4" w:space="0" w:color="A6A6A6" w:themeColor="background1" w:themeShade="A6"/>
              <w:bottom w:val="single" w:sz="4" w:space="0" w:color="A6A6A6" w:themeColor="background1" w:themeShade="A6"/>
            </w:tcBorders>
            <w:shd w:val="clear" w:color="auto" w:fill="auto"/>
          </w:tcPr>
          <w:p w14:paraId="2F2A01CD" w14:textId="45033BB5" w:rsidR="00726A39" w:rsidRPr="00320761" w:rsidRDefault="00726A39" w:rsidP="00726A39">
            <w:pPr>
              <w:pStyle w:val="TableText"/>
            </w:pPr>
            <w:r w:rsidRPr="00320761">
              <w:t>High psychological distress</w:t>
            </w:r>
          </w:p>
        </w:tc>
      </w:tr>
      <w:tr w:rsidR="00726A39" w:rsidRPr="00320761" w14:paraId="534AE11F" w14:textId="77777777" w:rsidTr="0068653B">
        <w:trPr>
          <w:cantSplit/>
        </w:trPr>
        <w:tc>
          <w:tcPr>
            <w:tcW w:w="1928" w:type="dxa"/>
            <w:tcBorders>
              <w:top w:val="single" w:sz="4" w:space="0" w:color="A6A6A6" w:themeColor="background1" w:themeShade="A6"/>
              <w:bottom w:val="single" w:sz="4" w:space="0" w:color="A6A6A6" w:themeColor="background1" w:themeShade="A6"/>
            </w:tcBorders>
            <w:shd w:val="clear" w:color="auto" w:fill="auto"/>
          </w:tcPr>
          <w:p w14:paraId="3A0BD059" w14:textId="7F5579C6" w:rsidR="00726A39" w:rsidRPr="00320761" w:rsidRDefault="00726A39" w:rsidP="00726A39">
            <w:pPr>
              <w:pStyle w:val="TableText"/>
            </w:pPr>
            <w:r w:rsidRPr="00320761">
              <w:t>20–40</w:t>
            </w:r>
          </w:p>
        </w:tc>
        <w:tc>
          <w:tcPr>
            <w:tcW w:w="5670" w:type="dxa"/>
            <w:tcBorders>
              <w:top w:val="single" w:sz="4" w:space="0" w:color="A6A6A6" w:themeColor="background1" w:themeShade="A6"/>
              <w:bottom w:val="single" w:sz="4" w:space="0" w:color="A6A6A6" w:themeColor="background1" w:themeShade="A6"/>
            </w:tcBorders>
            <w:shd w:val="clear" w:color="auto" w:fill="auto"/>
          </w:tcPr>
          <w:p w14:paraId="7244C51D" w14:textId="2B0141B9" w:rsidR="00726A39" w:rsidRPr="00320761" w:rsidRDefault="00726A39" w:rsidP="00726A39">
            <w:pPr>
              <w:pStyle w:val="TableText"/>
            </w:pPr>
            <w:r w:rsidRPr="00320761">
              <w:t>Very high psychological distress</w:t>
            </w:r>
          </w:p>
        </w:tc>
      </w:tr>
    </w:tbl>
    <w:p w14:paraId="33E3ECAC" w14:textId="77777777" w:rsidR="0068653B" w:rsidRPr="00320761" w:rsidRDefault="0068653B" w:rsidP="0068653B">
      <w:pPr>
        <w:pStyle w:val="Heading2"/>
      </w:pPr>
      <w:bookmarkStart w:id="146" w:name="_Toc535580861"/>
      <w:bookmarkStart w:id="147" w:name="_Toc372226244"/>
      <w:bookmarkStart w:id="148" w:name="_Toc404710269"/>
      <w:bookmarkStart w:id="149" w:name="_Toc428361647"/>
      <w:bookmarkStart w:id="150" w:name="_Toc467491558"/>
      <w:bookmarkStart w:id="151" w:name="_Toc20997308"/>
      <w:r w:rsidRPr="00320761">
        <w:t>Functional difficulties</w:t>
      </w:r>
      <w:bookmarkEnd w:id="146"/>
      <w:bookmarkEnd w:id="151"/>
    </w:p>
    <w:p w14:paraId="6A076E7E" w14:textId="77777777" w:rsidR="00726A39" w:rsidRPr="00320761" w:rsidRDefault="00726A39" w:rsidP="00726A39">
      <w:pPr>
        <w:rPr>
          <w:rFonts w:ascii="Georgia" w:hAnsi="Georgia"/>
          <w:sz w:val="22"/>
        </w:rPr>
      </w:pPr>
      <w:r w:rsidRPr="00320761">
        <w:t>There is currently a lack of data in New Zealand about the health outcomes of disabled people and their access to health services.</w:t>
      </w:r>
    </w:p>
    <w:p w14:paraId="3A26D774" w14:textId="77777777" w:rsidR="00726A39" w:rsidRPr="00320761" w:rsidRDefault="00726A39" w:rsidP="00726A39"/>
    <w:p w14:paraId="7F244465" w14:textId="77777777" w:rsidR="00726A39" w:rsidRPr="00320761" w:rsidRDefault="00726A39" w:rsidP="00726A39">
      <w:r w:rsidRPr="00320761">
        <w:t xml:space="preserve">A set of six questions, known as the Washington Group Short Set (WGSS), on functional difficulties and activity limitations was included as a module clip-on in the 2018/19 NZHS for adults and children aged 5−14 years. These questions were developed by the Washington Group on Disability Statistics (WG), a United Nations city group established to address the need for internationally comparable population-based statistics on disability. </w:t>
      </w:r>
    </w:p>
    <w:p w14:paraId="2D60CCEE" w14:textId="77777777" w:rsidR="00726A39" w:rsidRPr="00320761" w:rsidRDefault="00726A39" w:rsidP="00726A39"/>
    <w:p w14:paraId="75A29236" w14:textId="6C21449E" w:rsidR="00726A39" w:rsidRPr="00320761" w:rsidRDefault="00726A39" w:rsidP="00726A39">
      <w:r w:rsidRPr="00320761">
        <w:t xml:space="preserve">The WGSS identifies respondents who are more likely to experience restrictions in social participation because of difficulties undertaking basic functional activities (Washington Group on Disability Statistics 2016a). These activities are seeing (even with their glasses), hearing (even with their hearing aid), walking or climbing stairs, remembering or concentrating, self-care and communicating. </w:t>
      </w:r>
    </w:p>
    <w:p w14:paraId="78D013F4" w14:textId="77777777" w:rsidR="00726A39" w:rsidRPr="00320761" w:rsidRDefault="00726A39" w:rsidP="00726A39"/>
    <w:p w14:paraId="619A7F09" w14:textId="6E0E284C" w:rsidR="00726A39" w:rsidRPr="00320761" w:rsidRDefault="00726A39" w:rsidP="00726A39">
      <w:r w:rsidRPr="00320761">
        <w:t xml:space="preserve">The WGSS was developed for inclusion in population surveys and will allow comparisons of NZHS results for disabled people with the rest of the population. </w:t>
      </w:r>
      <w:r w:rsidR="000C74A1">
        <w:t>Several</w:t>
      </w:r>
      <w:r w:rsidRPr="00320761">
        <w:t xml:space="preserve"> New Zealand population surveys</w:t>
      </w:r>
      <w:r w:rsidR="000C74A1">
        <w:t xml:space="preserve"> have included the question set</w:t>
      </w:r>
      <w:r w:rsidRPr="00320761">
        <w:t xml:space="preserve">, </w:t>
      </w:r>
      <w:r w:rsidR="000C74A1">
        <w:t>including</w:t>
      </w:r>
      <w:r w:rsidRPr="00320761">
        <w:t xml:space="preserve"> the New Zealand General Social Survey (NZGSS) and 2018 New Zealand Census of Population and Dwellings. </w:t>
      </w:r>
      <w:r w:rsidR="000C74A1">
        <w:t>T</w:t>
      </w:r>
      <w:r w:rsidRPr="00320761">
        <w:t>he WGSS</w:t>
      </w:r>
      <w:r w:rsidR="000C74A1">
        <w:t xml:space="preserve"> identifies</w:t>
      </w:r>
      <w:r w:rsidRPr="00320761">
        <w:t xml:space="preserve"> disabled people as those who have a lot of difficulty</w:t>
      </w:r>
      <w:r w:rsidR="000C74A1">
        <w:t xml:space="preserve"> with</w:t>
      </w:r>
      <w:r w:rsidRPr="00320761">
        <w:t xml:space="preserve">, or cannot do at all, at least one of the six specified activities. </w:t>
      </w:r>
    </w:p>
    <w:p w14:paraId="7F085ECC" w14:textId="77777777" w:rsidR="00726A39" w:rsidRPr="00320761" w:rsidRDefault="00726A39" w:rsidP="00726A39"/>
    <w:p w14:paraId="7F29B2D7" w14:textId="302CE778" w:rsidR="00726A39" w:rsidRPr="00320761" w:rsidRDefault="00726A39" w:rsidP="00726A39">
      <w:r w:rsidRPr="00320761">
        <w:t xml:space="preserve">The WGSS does not cover all types of disability and should not be used to determine overall disability prevalence. The WG state that the WGSS can be used for children aged 5−17 years but acknowledge that disability among children is not adequately covered, and </w:t>
      </w:r>
      <w:r w:rsidR="00A6767E">
        <w:t xml:space="preserve">that it </w:t>
      </w:r>
      <w:r w:rsidRPr="00320761">
        <w:t>will miss many children with learning and psychological impairments. There was not enough survey space in the 2018/19 NZHS for the longer (and preferable) WG Module on Child Functioning (Washington Group on Disability Statistics 2016b) but the WGSS should still allow some comparisons to be made between disabled children and the rest of the child population.</w:t>
      </w:r>
    </w:p>
    <w:p w14:paraId="17B5EECA" w14:textId="77777777" w:rsidR="0068653B" w:rsidRPr="00320761" w:rsidRDefault="0068653B" w:rsidP="0068653B"/>
    <w:p w14:paraId="399666D8" w14:textId="77777777" w:rsidR="0068653B" w:rsidRPr="00320761" w:rsidRDefault="0068653B" w:rsidP="0068653B">
      <w:pPr>
        <w:pStyle w:val="Heading2"/>
      </w:pPr>
      <w:bookmarkStart w:id="152" w:name="_Toc535580862"/>
      <w:bookmarkStart w:id="153" w:name="_Toc20997309"/>
      <w:proofErr w:type="spellStart"/>
      <w:r w:rsidRPr="00320761">
        <w:t>Sociodemographics</w:t>
      </w:r>
      <w:bookmarkEnd w:id="147"/>
      <w:bookmarkEnd w:id="148"/>
      <w:bookmarkEnd w:id="149"/>
      <w:bookmarkEnd w:id="150"/>
      <w:bookmarkEnd w:id="152"/>
      <w:bookmarkEnd w:id="153"/>
      <w:proofErr w:type="spellEnd"/>
    </w:p>
    <w:p w14:paraId="62727E02" w14:textId="77777777" w:rsidR="00726A39" w:rsidRPr="00320761" w:rsidRDefault="00726A39" w:rsidP="00726A39">
      <w:pPr>
        <w:rPr>
          <w:rFonts w:ascii="Georgia" w:hAnsi="Georgia"/>
          <w:sz w:val="22"/>
        </w:rPr>
      </w:pPr>
      <w:bookmarkStart w:id="154" w:name="_Toc467491559"/>
      <w:bookmarkStart w:id="155" w:name="_Toc535580863"/>
      <w:r w:rsidRPr="00320761">
        <w:t xml:space="preserve">Health status, health risks and health service utilisation are strongly influenced by socioeconomic, cultural and demographic forces. Understanding the </w:t>
      </w:r>
      <w:r w:rsidRPr="00320761">
        <w:lastRenderedPageBreak/>
        <w:t>sociodemographic structure of a population is essential for interpreting survey data and using this evidence to inform policy.</w:t>
      </w:r>
    </w:p>
    <w:p w14:paraId="5D590178" w14:textId="77777777" w:rsidR="00726A39" w:rsidRPr="00320761" w:rsidRDefault="00726A39" w:rsidP="00726A39"/>
    <w:p w14:paraId="3A9A4444" w14:textId="77777777" w:rsidR="00726A39" w:rsidRPr="00320761" w:rsidRDefault="00726A39" w:rsidP="00726A39">
      <w:r w:rsidRPr="00320761">
        <w:t>Statistics New Zealand has developed standard sociodemographic questions for use in all household social surveys that are part of the official statistics system. The sociodemographic domain in the NZHS closely follows the Statistics New Zealand model, including questions from the New Zealand Census of Population and Dwellings and the NZGSS. In addition to self-reported variables (</w:t>
      </w:r>
      <w:proofErr w:type="spellStart"/>
      <w:r w:rsidRPr="00320761">
        <w:t>eg</w:t>
      </w:r>
      <w:proofErr w:type="spellEnd"/>
      <w:r w:rsidRPr="00320761">
        <w:t>, age, sex, ethnicity, education, employment status, income, housing and household composition), the NZHS records variables derived from the census area unit/ primary sampling unit of the household (</w:t>
      </w:r>
      <w:proofErr w:type="spellStart"/>
      <w:r w:rsidRPr="00320761">
        <w:t>eg</w:t>
      </w:r>
      <w:proofErr w:type="spellEnd"/>
      <w:r w:rsidRPr="00320761">
        <w:t>, area deprivation and rurality). Questions on health insurance are also included in the sociodemographic section of the adult questionnaire.</w:t>
      </w:r>
    </w:p>
    <w:p w14:paraId="4B39BF37" w14:textId="77777777" w:rsidR="00726A39" w:rsidRPr="00320761" w:rsidRDefault="00726A39" w:rsidP="00726A39"/>
    <w:p w14:paraId="01698B02" w14:textId="77777777" w:rsidR="00726A39" w:rsidRPr="00320761" w:rsidRDefault="00726A39" w:rsidP="00726A39">
      <w:r w:rsidRPr="00320761">
        <w:t>A question on sexual identity was added in the 2015/16 NZHS. This question is self-completed by the respondent because of its sensitive nature. From 2016/17, the sexual identity question was not asked for respondents whose interview was being conducted with cognitive or language assistance from a family member, caregiver or one of their friends. This was to ensure these confidential responses were not revealed to people with whom the respondent has a personal relationship.</w:t>
      </w:r>
    </w:p>
    <w:p w14:paraId="49EFE2AE" w14:textId="77777777" w:rsidR="0068653B" w:rsidRPr="00320761" w:rsidRDefault="0068653B" w:rsidP="0068653B">
      <w:pPr>
        <w:pStyle w:val="Heading2"/>
      </w:pPr>
      <w:bookmarkStart w:id="156" w:name="_Toc20997310"/>
      <w:r w:rsidRPr="00320761">
        <w:t>Anthropometric measurements</w:t>
      </w:r>
      <w:bookmarkEnd w:id="154"/>
      <w:bookmarkEnd w:id="155"/>
      <w:bookmarkEnd w:id="156"/>
    </w:p>
    <w:p w14:paraId="5B73848B" w14:textId="77777777" w:rsidR="00726A39" w:rsidRPr="00320761" w:rsidRDefault="00726A39" w:rsidP="00726A39">
      <w:pPr>
        <w:rPr>
          <w:rFonts w:ascii="Georgia" w:hAnsi="Georgia"/>
          <w:sz w:val="22"/>
        </w:rPr>
      </w:pPr>
      <w:bookmarkStart w:id="157" w:name="_Toc332275622"/>
      <w:bookmarkStart w:id="158" w:name="_Toc339358325"/>
      <w:bookmarkStart w:id="159" w:name="_Toc339374310"/>
      <w:r w:rsidRPr="00320761">
        <w:t>The WHO STEPS approach to monitoring chronic diseases and their risk factors covers three levels of data collection:</w:t>
      </w:r>
    </w:p>
    <w:p w14:paraId="79B0A3FB" w14:textId="77777777" w:rsidR="00726A39" w:rsidRPr="00320761" w:rsidRDefault="00726A39" w:rsidP="00726A39">
      <w:pPr>
        <w:pStyle w:val="Bullet"/>
      </w:pPr>
      <w:r w:rsidRPr="00320761">
        <w:t>Step 1 – questionnaires</w:t>
      </w:r>
    </w:p>
    <w:p w14:paraId="088FCC13" w14:textId="77777777" w:rsidR="00726A39" w:rsidRPr="00320761" w:rsidRDefault="00726A39" w:rsidP="00726A39">
      <w:pPr>
        <w:pStyle w:val="Bullet"/>
      </w:pPr>
      <w:r w:rsidRPr="00320761">
        <w:t>Step 2 – physical measurements (</w:t>
      </w:r>
      <w:proofErr w:type="spellStart"/>
      <w:r w:rsidRPr="00320761">
        <w:t>eg</w:t>
      </w:r>
      <w:proofErr w:type="spellEnd"/>
      <w:r w:rsidRPr="00320761">
        <w:t>, height, weight, blood pressure)</w:t>
      </w:r>
    </w:p>
    <w:p w14:paraId="0F9499FF" w14:textId="77777777" w:rsidR="00726A39" w:rsidRPr="00320761" w:rsidRDefault="00726A39" w:rsidP="00726A39">
      <w:pPr>
        <w:pStyle w:val="Bullet"/>
      </w:pPr>
      <w:r w:rsidRPr="00320761">
        <w:t>Step 3 – biomedical measurements (</w:t>
      </w:r>
      <w:proofErr w:type="spellStart"/>
      <w:r w:rsidRPr="00320761">
        <w:t>eg</w:t>
      </w:r>
      <w:proofErr w:type="spellEnd"/>
      <w:r w:rsidRPr="00320761">
        <w:t>, blood and urine samples).</w:t>
      </w:r>
    </w:p>
    <w:p w14:paraId="52E47BBD" w14:textId="77777777" w:rsidR="00726A39" w:rsidRPr="00320761" w:rsidRDefault="00726A39" w:rsidP="00726A39"/>
    <w:p w14:paraId="226BF307" w14:textId="77777777" w:rsidR="00726A39" w:rsidRPr="00320761" w:rsidRDefault="00726A39" w:rsidP="00726A39">
      <w:r w:rsidRPr="00320761">
        <w:t>The NZHS questionnaires have always collected data on chronic diseases and their risk factors. Up until 2002/03, physical and biochemical measurements were only included in nutrition surveys, but these objective measurements have gradually been added to the NZHS.</w:t>
      </w:r>
    </w:p>
    <w:p w14:paraId="22572691" w14:textId="77777777" w:rsidR="00726A39" w:rsidRPr="00320761" w:rsidRDefault="00726A39" w:rsidP="00726A39"/>
    <w:p w14:paraId="046F460C" w14:textId="77777777" w:rsidR="00726A39" w:rsidRPr="00320761" w:rsidRDefault="00726A39" w:rsidP="00726A39">
      <w:r w:rsidRPr="00320761">
        <w:t xml:space="preserve">The measurement of adults’ body size was added to the NZHS core content in 2002/03 and extended to include children in 2006/07. The measurement of adults’ blood pressure was added to the NZHS core content in 2012/13 and may be extended to children in the future. </w:t>
      </w:r>
    </w:p>
    <w:p w14:paraId="3BDEE4C5" w14:textId="77777777" w:rsidR="00726A39" w:rsidRPr="00320761" w:rsidRDefault="00726A39" w:rsidP="00726A39"/>
    <w:p w14:paraId="70FB2C0F" w14:textId="77777777" w:rsidR="00726A39" w:rsidRPr="00320761" w:rsidRDefault="00726A39" w:rsidP="00726A39">
      <w:r w:rsidRPr="00320761">
        <w:t>Biomedical measurements (adults only) were included as a module in the 2014/15 NZHS.</w:t>
      </w:r>
    </w:p>
    <w:p w14:paraId="6BED54F1" w14:textId="77777777" w:rsidR="0068653B" w:rsidRPr="00320761" w:rsidRDefault="0068653B" w:rsidP="0068653B"/>
    <w:p w14:paraId="0AE08536" w14:textId="77777777" w:rsidR="0068653B" w:rsidRPr="00320761" w:rsidRDefault="0068653B" w:rsidP="0068653B">
      <w:pPr>
        <w:pStyle w:val="Heading3"/>
      </w:pPr>
      <w:bookmarkStart w:id="160" w:name="_Toc20997311"/>
      <w:r w:rsidRPr="00320761">
        <w:t>Body size</w:t>
      </w:r>
      <w:bookmarkEnd w:id="160"/>
    </w:p>
    <w:p w14:paraId="37C74819" w14:textId="77777777" w:rsidR="00726A39" w:rsidRPr="00320761" w:rsidRDefault="00726A39" w:rsidP="00726A39">
      <w:pPr>
        <w:rPr>
          <w:rFonts w:ascii="Georgia" w:hAnsi="Georgia"/>
          <w:sz w:val="22"/>
        </w:rPr>
      </w:pPr>
      <w:bookmarkStart w:id="161" w:name="_Toc386015284"/>
      <w:bookmarkEnd w:id="157"/>
      <w:bookmarkEnd w:id="158"/>
      <w:bookmarkEnd w:id="159"/>
      <w:r w:rsidRPr="00320761">
        <w:t>A healthy body size is recognised as being important for good health and wellbeing. There is strong evidence that obese children and adults are at greater risk of short- and long-term health consequences (WHO 2000).</w:t>
      </w:r>
    </w:p>
    <w:p w14:paraId="7325AAE4" w14:textId="77777777" w:rsidR="00726A39" w:rsidRPr="00320761" w:rsidRDefault="00726A39" w:rsidP="00726A39"/>
    <w:p w14:paraId="0719D56F" w14:textId="77777777" w:rsidR="00726A39" w:rsidRPr="00320761" w:rsidRDefault="00726A39" w:rsidP="00726A39">
      <w:r w:rsidRPr="00320761">
        <w:lastRenderedPageBreak/>
        <w:t>Self-reporting height and weight is unreliable compared with measuring these factors (</w:t>
      </w:r>
      <w:proofErr w:type="spellStart"/>
      <w:r w:rsidRPr="00320761">
        <w:t>Gorber</w:t>
      </w:r>
      <w:proofErr w:type="spellEnd"/>
      <w:r w:rsidRPr="00320761">
        <w:t xml:space="preserve"> et al 2007). Overall, people underestimate their weight and overestimate their height (resulting in a lower BMI), and they are more likely to do so if they are overweight or obese.</w:t>
      </w:r>
    </w:p>
    <w:p w14:paraId="051DA652" w14:textId="77777777" w:rsidR="00726A39" w:rsidRPr="00320761" w:rsidRDefault="00726A39" w:rsidP="00726A39"/>
    <w:p w14:paraId="5D824498" w14:textId="77777777" w:rsidR="00726A39" w:rsidRPr="00320761" w:rsidRDefault="00726A39" w:rsidP="00726A39">
      <w:r w:rsidRPr="00320761">
        <w:t>For the NZHS, height and weight are measured for respondents from the age of two years and over, and waist measurements are taken for respondents from the age of five years and over. Measurements are not taken for pregnant women. Measurements are collected following a standardised protocol and using the same professional anthropometric equipment as for the 2011/12 NZHS – apart from the introduction of laser height measurement in 2012/13.</w:t>
      </w:r>
    </w:p>
    <w:p w14:paraId="698E6CE2" w14:textId="77777777" w:rsidR="00726A39" w:rsidRPr="00320761" w:rsidRDefault="00726A39" w:rsidP="00726A39"/>
    <w:p w14:paraId="17F40900" w14:textId="77777777" w:rsidR="00726A39" w:rsidRPr="00320761" w:rsidRDefault="00726A39" w:rsidP="00726A39">
      <w:r w:rsidRPr="00320761">
        <w:t>Data on height and weight are used to calculate body mass index (BMI), which is used to classify people as underweight, a healthy weight, overweight and obese according to international cut</w:t>
      </w:r>
      <w:r w:rsidRPr="00320761">
        <w:noBreakHyphen/>
        <w:t>off points. BMI cut-offs points are intended to identify people or populations at increased risk of health conditions, such as type 2 diabetes, associated with increasing BMI rather than being a measure of body fat.</w:t>
      </w:r>
    </w:p>
    <w:p w14:paraId="6D80423F" w14:textId="77777777" w:rsidR="0068653B" w:rsidRPr="00320761" w:rsidRDefault="0068653B" w:rsidP="0068653B">
      <w:pPr>
        <w:pStyle w:val="Heading3"/>
      </w:pPr>
      <w:bookmarkStart w:id="162" w:name="_Toc20997312"/>
      <w:r w:rsidRPr="00320761">
        <w:t>Blood pressure</w:t>
      </w:r>
      <w:bookmarkEnd w:id="162"/>
    </w:p>
    <w:p w14:paraId="1B29E081" w14:textId="77777777" w:rsidR="00726A39" w:rsidRPr="00320761" w:rsidRDefault="00726A39" w:rsidP="00726A39">
      <w:pPr>
        <w:rPr>
          <w:rFonts w:ascii="Georgia" w:hAnsi="Georgia"/>
          <w:sz w:val="22"/>
        </w:rPr>
      </w:pPr>
      <w:bookmarkStart w:id="163" w:name="_Toc467491560"/>
      <w:bookmarkStart w:id="164" w:name="_Toc535580864"/>
      <w:bookmarkEnd w:id="161"/>
      <w:r w:rsidRPr="00320761">
        <w:t>High blood pressure (often referred to as hypertension) is a risk factor for ischaemic heart disease, stroke, hypertensive heart disease, kidney failure and dementia.</w:t>
      </w:r>
    </w:p>
    <w:p w14:paraId="30967694" w14:textId="77777777" w:rsidR="00726A39" w:rsidRPr="00320761" w:rsidRDefault="00726A39" w:rsidP="00726A39"/>
    <w:p w14:paraId="174FCAB5" w14:textId="77777777" w:rsidR="00726A39" w:rsidRPr="00320761" w:rsidRDefault="00726A39" w:rsidP="00726A39">
      <w:r w:rsidRPr="00320761">
        <w:t>There are usually no symptoms associated with high blood pressure, so self-reporting will underestimate its prevalence. The best way to monitor population blood pressure is to take actual blood pressure measurements. By combining data on self-reported and measured high blood pressure, we can also estimate levels of hypertension awareness, treatment and control. Measurement of blood pressure in adults was introduced into the annual core content of the NZHS in 2012/13, though was not collected in the 2017/18 NZHS.</w:t>
      </w:r>
    </w:p>
    <w:p w14:paraId="6B204B68" w14:textId="77777777" w:rsidR="00726A39" w:rsidRPr="00320761" w:rsidRDefault="00726A39" w:rsidP="00726A39"/>
    <w:p w14:paraId="50F9C3D3" w14:textId="77777777" w:rsidR="00726A39" w:rsidRPr="00320761" w:rsidRDefault="00726A39" w:rsidP="00726A39">
      <w:r w:rsidRPr="00320761">
        <w:t>Measurements of blood pressure and heart rate are made using standardised protocol and an OMRON HEM-907 device, which automatically records heart rate, systolic and diastolic blood pressure three times, with a 1-minute pause between measurements.</w:t>
      </w:r>
    </w:p>
    <w:p w14:paraId="12B482DE" w14:textId="77777777" w:rsidR="00726A39" w:rsidRPr="00320761" w:rsidRDefault="00726A39" w:rsidP="0068653B">
      <w:pPr>
        <w:pStyle w:val="Heading2"/>
        <w:sectPr w:rsidR="00726A39" w:rsidRPr="00320761" w:rsidSect="001F63DA">
          <w:pgSz w:w="11907" w:h="16834" w:code="9"/>
          <w:pgMar w:top="1418" w:right="1701" w:bottom="1134" w:left="1843" w:header="284" w:footer="425" w:gutter="284"/>
          <w:cols w:space="720"/>
        </w:sectPr>
      </w:pPr>
    </w:p>
    <w:p w14:paraId="766433FE" w14:textId="1D4C49B6" w:rsidR="0068653B" w:rsidRPr="00320761" w:rsidRDefault="0068653B" w:rsidP="0068653B">
      <w:pPr>
        <w:pStyle w:val="Heading2"/>
      </w:pPr>
      <w:bookmarkStart w:id="165" w:name="_Toc20997313"/>
      <w:r w:rsidRPr="00320761">
        <w:lastRenderedPageBreak/>
        <w:t>Permission details after completing the survey</w:t>
      </w:r>
      <w:bookmarkEnd w:id="163"/>
      <w:bookmarkEnd w:id="164"/>
      <w:bookmarkEnd w:id="165"/>
    </w:p>
    <w:p w14:paraId="794DB7EC" w14:textId="77777777" w:rsidR="00726A39" w:rsidRPr="00320761" w:rsidRDefault="00726A39" w:rsidP="00726A39">
      <w:pPr>
        <w:rPr>
          <w:rFonts w:ascii="Georgia" w:hAnsi="Georgia"/>
          <w:sz w:val="22"/>
        </w:rPr>
      </w:pPr>
      <w:r w:rsidRPr="00320761">
        <w:t>At the end of the interview, the interviewer seeks the respondent’s permission for:</w:t>
      </w:r>
    </w:p>
    <w:p w14:paraId="3595D56A" w14:textId="77777777" w:rsidR="00726A39" w:rsidRPr="00320761" w:rsidRDefault="00726A39" w:rsidP="00726A39">
      <w:pPr>
        <w:pStyle w:val="Bullet"/>
      </w:pPr>
      <w:r w:rsidRPr="00320761">
        <w:t>the survey supervisor to contact them again for audit purposes</w:t>
      </w:r>
    </w:p>
    <w:p w14:paraId="502926F0" w14:textId="77777777" w:rsidR="00726A39" w:rsidRPr="00320761" w:rsidRDefault="00726A39" w:rsidP="00726A39">
      <w:pPr>
        <w:pStyle w:val="Bullet"/>
      </w:pPr>
      <w:r w:rsidRPr="00320761">
        <w:t>NZHS researchers to contact them again within the next two years about the possibility of answering other health-related questions of importance to the Ministry</w:t>
      </w:r>
    </w:p>
    <w:p w14:paraId="55C7A073" w14:textId="77777777" w:rsidR="00726A39" w:rsidRPr="00320761" w:rsidRDefault="00726A39" w:rsidP="00726A39">
      <w:pPr>
        <w:pStyle w:val="Bullet"/>
      </w:pPr>
      <w:r w:rsidRPr="00320761">
        <w:t>combining their survey data with other health information already routinely collected by the Ministry – the respondent would sign a separate consent form to authorise their consent to this data being linked.</w:t>
      </w:r>
    </w:p>
    <w:p w14:paraId="66633EC1" w14:textId="77777777" w:rsidR="00726A39" w:rsidRPr="00320761" w:rsidRDefault="00726A39" w:rsidP="00726A39"/>
    <w:p w14:paraId="086B704C" w14:textId="77777777" w:rsidR="00726A39" w:rsidRPr="00320761" w:rsidRDefault="00726A39" w:rsidP="00726A39">
      <w:r w:rsidRPr="00320761">
        <w:t>Respondents are also asked if they were a Christchurch resident at the time of the 22 February 2011 earthquake, to assist with monitoring the earthquake’s impact on population health.</w:t>
      </w:r>
    </w:p>
    <w:p w14:paraId="32AA0D7D" w14:textId="6ECCB120" w:rsidR="0068653B" w:rsidRPr="00320761" w:rsidRDefault="0068653B" w:rsidP="00813CC7">
      <w:pPr>
        <w:sectPr w:rsidR="0068653B" w:rsidRPr="00320761" w:rsidSect="001F63DA">
          <w:pgSz w:w="11907" w:h="16834" w:code="9"/>
          <w:pgMar w:top="1418" w:right="1701" w:bottom="1134" w:left="1843" w:header="284" w:footer="425" w:gutter="284"/>
          <w:cols w:space="720"/>
        </w:sectPr>
      </w:pPr>
    </w:p>
    <w:p w14:paraId="40D43992" w14:textId="77777777" w:rsidR="00B42EEC" w:rsidRPr="00320761" w:rsidRDefault="00B42EEC" w:rsidP="00B42EEC">
      <w:pPr>
        <w:pStyle w:val="Heading1"/>
      </w:pPr>
      <w:bookmarkStart w:id="166" w:name="_Toc20997314"/>
      <w:r w:rsidRPr="00320761">
        <w:lastRenderedPageBreak/>
        <w:t>References</w:t>
      </w:r>
      <w:bookmarkEnd w:id="166"/>
    </w:p>
    <w:p w14:paraId="58FA768A" w14:textId="77777777" w:rsidR="0068653B" w:rsidRPr="00320761" w:rsidRDefault="0068653B" w:rsidP="0068653B">
      <w:pPr>
        <w:pStyle w:val="References"/>
      </w:pPr>
      <w:r w:rsidRPr="00320761">
        <w:t xml:space="preserve">Andrews G, Slade T. 2001. Interpreting scores on the Kessler Psychological Distress Scale (K10). </w:t>
      </w:r>
      <w:r w:rsidRPr="00320761">
        <w:rPr>
          <w:i/>
          <w:iCs/>
        </w:rPr>
        <w:t>Australian and New Zealand Journal of Public Health</w:t>
      </w:r>
      <w:r w:rsidRPr="00320761">
        <w:t xml:space="preserve"> 25: 494–7.</w:t>
      </w:r>
    </w:p>
    <w:p w14:paraId="1BA27CFA" w14:textId="77777777" w:rsidR="0068653B" w:rsidRPr="00320761" w:rsidRDefault="0068653B" w:rsidP="0068653B">
      <w:pPr>
        <w:pStyle w:val="References"/>
      </w:pPr>
      <w:proofErr w:type="spellStart"/>
      <w:r w:rsidRPr="00320761">
        <w:t>Babor</w:t>
      </w:r>
      <w:proofErr w:type="spellEnd"/>
      <w:r w:rsidRPr="00320761">
        <w:t xml:space="preserve"> T, Higgins-Biddle J, Saunders J, et al. 2001. </w:t>
      </w:r>
      <w:r w:rsidRPr="00320761">
        <w:rPr>
          <w:i/>
          <w:iCs/>
        </w:rPr>
        <w:t>AUDIT: The Alcohol Use Disorders Identification Test: Guidelines for use in primary care.</w:t>
      </w:r>
      <w:r w:rsidRPr="00320761">
        <w:t xml:space="preserve"> Geneva: World Health Organization.</w:t>
      </w:r>
    </w:p>
    <w:p w14:paraId="43A14B6D" w14:textId="77777777" w:rsidR="0068653B" w:rsidRPr="00731714" w:rsidRDefault="0068653B" w:rsidP="0068653B">
      <w:pPr>
        <w:pStyle w:val="References"/>
        <w:rPr>
          <w:szCs w:val="21"/>
        </w:rPr>
      </w:pPr>
      <w:r w:rsidRPr="00731714">
        <w:rPr>
          <w:rFonts w:cs="Arial"/>
          <w:szCs w:val="21"/>
          <w:lang w:val="en"/>
        </w:rPr>
        <w:t xml:space="preserve">FASD Working Group. 2016. </w:t>
      </w:r>
      <w:proofErr w:type="gramStart"/>
      <w:r w:rsidRPr="00731714">
        <w:rPr>
          <w:rFonts w:cs="Arial"/>
          <w:i/>
          <w:szCs w:val="21"/>
          <w:lang w:val="en"/>
        </w:rPr>
        <w:t>Taking Action</w:t>
      </w:r>
      <w:proofErr w:type="gramEnd"/>
      <w:r w:rsidRPr="00731714">
        <w:rPr>
          <w:rFonts w:cs="Arial"/>
          <w:i/>
          <w:szCs w:val="21"/>
          <w:lang w:val="en"/>
        </w:rPr>
        <w:t xml:space="preserve"> on Fetal Alcohol Spectrum Disorder: 2016–2019: An action plan</w:t>
      </w:r>
      <w:r w:rsidRPr="00731714">
        <w:rPr>
          <w:rFonts w:cs="Arial"/>
          <w:szCs w:val="21"/>
          <w:lang w:val="en"/>
        </w:rPr>
        <w:t>. Wellington: Ministry of Health.</w:t>
      </w:r>
    </w:p>
    <w:p w14:paraId="1DD76ED0" w14:textId="77777777" w:rsidR="0068653B" w:rsidRPr="00320761" w:rsidRDefault="0068653B" w:rsidP="0068653B">
      <w:pPr>
        <w:pStyle w:val="References"/>
        <w:rPr>
          <w:lang w:eastAsia="en-NZ"/>
        </w:rPr>
      </w:pPr>
      <w:bookmarkStart w:id="167" w:name="pone.0035381-Barrett1"/>
      <w:bookmarkEnd w:id="167"/>
      <w:proofErr w:type="spellStart"/>
      <w:r w:rsidRPr="00320761">
        <w:rPr>
          <w:lang w:eastAsia="en-NZ"/>
        </w:rPr>
        <w:t>Gorber</w:t>
      </w:r>
      <w:proofErr w:type="spellEnd"/>
      <w:r w:rsidRPr="00320761">
        <w:rPr>
          <w:lang w:eastAsia="en-NZ"/>
        </w:rPr>
        <w:t xml:space="preserve"> SC, Tremblay M, Moher D, et al. 2007. A comparison of direct vs self-report measures for assessing height, weight and body mass index: a systematic review. </w:t>
      </w:r>
      <w:r w:rsidRPr="00320761">
        <w:rPr>
          <w:i/>
          <w:lang w:eastAsia="en-NZ"/>
        </w:rPr>
        <w:t>Obesity Reviews</w:t>
      </w:r>
      <w:r w:rsidRPr="00320761">
        <w:rPr>
          <w:lang w:eastAsia="en-NZ"/>
        </w:rPr>
        <w:t xml:space="preserve"> 8: 307–26.</w:t>
      </w:r>
    </w:p>
    <w:p w14:paraId="6CC2EFB6" w14:textId="0E374A4C" w:rsidR="0068653B" w:rsidRPr="00320761" w:rsidRDefault="0068653B" w:rsidP="0068653B">
      <w:pPr>
        <w:pStyle w:val="References"/>
        <w:rPr>
          <w:lang w:eastAsia="en-NZ"/>
        </w:rPr>
      </w:pPr>
      <w:r w:rsidRPr="00320761">
        <w:rPr>
          <w:lang w:eastAsia="en-NZ"/>
        </w:rPr>
        <w:t xml:space="preserve">Institute for Health Metrics and Evaluation. 2018. </w:t>
      </w:r>
      <w:r w:rsidRPr="00320761">
        <w:rPr>
          <w:i/>
          <w:lang w:eastAsia="en-NZ"/>
        </w:rPr>
        <w:t>Global Burden of Disease Compare Data Visualization</w:t>
      </w:r>
      <w:r w:rsidRPr="00320761">
        <w:rPr>
          <w:lang w:eastAsia="en-NZ"/>
        </w:rPr>
        <w:t xml:space="preserve">. URL: </w:t>
      </w:r>
      <w:hyperlink r:id="rId23" w:history="1">
        <w:r w:rsidR="009D003B" w:rsidRPr="004E56D6">
          <w:rPr>
            <w:rStyle w:val="Hyperlink"/>
            <w:b w:val="0"/>
            <w:color w:val="auto"/>
            <w:lang w:eastAsia="en-NZ"/>
          </w:rPr>
          <w:t>http://vizhub.healthdata.org/gbd-compare</w:t>
        </w:r>
      </w:hyperlink>
      <w:r w:rsidR="009D003B" w:rsidRPr="004E56D6">
        <w:rPr>
          <w:b/>
          <w:lang w:eastAsia="en-NZ"/>
        </w:rPr>
        <w:t xml:space="preserve"> </w:t>
      </w:r>
      <w:r w:rsidRPr="004E56D6">
        <w:rPr>
          <w:lang w:eastAsia="en-NZ"/>
        </w:rPr>
        <w:t>(</w:t>
      </w:r>
      <w:r w:rsidRPr="00320761">
        <w:rPr>
          <w:lang w:eastAsia="en-NZ"/>
        </w:rPr>
        <w:t>accessed 12 November 2018).</w:t>
      </w:r>
    </w:p>
    <w:p w14:paraId="0D730445" w14:textId="77777777" w:rsidR="0068653B" w:rsidRPr="00320761" w:rsidRDefault="0068653B" w:rsidP="0068653B">
      <w:pPr>
        <w:pStyle w:val="References"/>
        <w:rPr>
          <w:lang w:eastAsia="en-NZ"/>
        </w:rPr>
      </w:pPr>
      <w:r w:rsidRPr="00320761">
        <w:rPr>
          <w:lang w:eastAsia="en-NZ"/>
        </w:rPr>
        <w:t xml:space="preserve">Inter-Agency Committee on Drugs. 2015. </w:t>
      </w:r>
      <w:r w:rsidRPr="00320761">
        <w:rPr>
          <w:i/>
          <w:lang w:eastAsia="en-NZ"/>
        </w:rPr>
        <w:t>National Drug Policy 2015 to 2020</w:t>
      </w:r>
      <w:r w:rsidRPr="00320761">
        <w:rPr>
          <w:lang w:eastAsia="en-NZ"/>
        </w:rPr>
        <w:t>. Wellington: Ministry of Health.</w:t>
      </w:r>
    </w:p>
    <w:p w14:paraId="107774F4" w14:textId="77777777" w:rsidR="0068653B" w:rsidRPr="00320761" w:rsidRDefault="0068653B" w:rsidP="0068653B">
      <w:pPr>
        <w:pStyle w:val="References"/>
      </w:pPr>
      <w:r w:rsidRPr="00320761">
        <w:t xml:space="preserve">Kessler RC, Barker PR, </w:t>
      </w:r>
      <w:proofErr w:type="spellStart"/>
      <w:r w:rsidRPr="00320761">
        <w:t>Colpe</w:t>
      </w:r>
      <w:proofErr w:type="spellEnd"/>
      <w:r w:rsidRPr="00320761">
        <w:t xml:space="preserve"> LJ, et al. 2003. Screening for serious mental illness in the general population. </w:t>
      </w:r>
      <w:r w:rsidRPr="00320761">
        <w:rPr>
          <w:i/>
        </w:rPr>
        <w:t>Archives of General Psychiatry</w:t>
      </w:r>
      <w:r w:rsidRPr="00320761">
        <w:t xml:space="preserve"> 60(2): 184–9.</w:t>
      </w:r>
    </w:p>
    <w:p w14:paraId="51CE7CB9" w14:textId="77777777" w:rsidR="0068653B" w:rsidRPr="00320761" w:rsidRDefault="0068653B" w:rsidP="0068653B">
      <w:pPr>
        <w:pStyle w:val="References"/>
      </w:pPr>
      <w:r w:rsidRPr="00320761">
        <w:t xml:space="preserve">Ministry of Health. 2008. </w:t>
      </w:r>
      <w:r w:rsidRPr="00320761">
        <w:rPr>
          <w:i/>
        </w:rPr>
        <w:t>A Portrait of Health: Key results of the 2006/07 New Zealand Health Survey</w:t>
      </w:r>
      <w:r w:rsidRPr="00320761">
        <w:t>. Wellington: Ministry of Health.</w:t>
      </w:r>
    </w:p>
    <w:p w14:paraId="79939501" w14:textId="77777777" w:rsidR="0068653B" w:rsidRPr="00731714" w:rsidRDefault="0068653B" w:rsidP="0068653B">
      <w:pPr>
        <w:pStyle w:val="References"/>
      </w:pPr>
      <w:r w:rsidRPr="00320761">
        <w:t>Ministry of Health. 2010.</w:t>
      </w:r>
      <w:r w:rsidRPr="00320761">
        <w:rPr>
          <w:i/>
        </w:rPr>
        <w:t xml:space="preserve"> The New Zealand Health Survey: Objectives and topic areas. </w:t>
      </w:r>
      <w:r w:rsidRPr="00731714">
        <w:t>Wellington: Ministry of Health.</w:t>
      </w:r>
    </w:p>
    <w:p w14:paraId="2DC8325D" w14:textId="77777777" w:rsidR="0068653B" w:rsidRPr="00731714" w:rsidRDefault="0068653B" w:rsidP="0068653B">
      <w:pPr>
        <w:pStyle w:val="References"/>
        <w:rPr>
          <w:szCs w:val="21"/>
        </w:rPr>
      </w:pPr>
      <w:r w:rsidRPr="00731714">
        <w:rPr>
          <w:rFonts w:cs="Arial"/>
          <w:szCs w:val="21"/>
          <w:lang w:val="en"/>
        </w:rPr>
        <w:t xml:space="preserve">Ministry of Health. 2015. </w:t>
      </w:r>
      <w:r w:rsidRPr="00731714">
        <w:rPr>
          <w:rFonts w:cs="Arial"/>
          <w:i/>
          <w:szCs w:val="21"/>
          <w:lang w:val="en"/>
        </w:rPr>
        <w:t>Eating and Activity Guidelines for New Zealand Adults</w:t>
      </w:r>
      <w:r w:rsidRPr="00731714">
        <w:rPr>
          <w:rFonts w:cs="Arial"/>
          <w:szCs w:val="21"/>
          <w:lang w:val="en"/>
        </w:rPr>
        <w:t>. Wellington: Ministry of Health.</w:t>
      </w:r>
    </w:p>
    <w:p w14:paraId="7440DBF2" w14:textId="77777777" w:rsidR="0068653B" w:rsidRPr="00320761" w:rsidRDefault="0068653B" w:rsidP="0068653B">
      <w:pPr>
        <w:rPr>
          <w:szCs w:val="21"/>
        </w:rPr>
      </w:pPr>
      <w:r w:rsidRPr="00320761">
        <w:rPr>
          <w:szCs w:val="21"/>
        </w:rPr>
        <w:t xml:space="preserve">Ministry of Health. 2016. </w:t>
      </w:r>
      <w:r w:rsidRPr="00320761">
        <w:rPr>
          <w:i/>
          <w:szCs w:val="21"/>
        </w:rPr>
        <w:t>Health Loss in New Zealand 1990–2013: A report from the New Zealand Burden of Diseases, Injuries and Risk Factors Study</w:t>
      </w:r>
      <w:r w:rsidRPr="00320761">
        <w:rPr>
          <w:szCs w:val="21"/>
        </w:rPr>
        <w:t>. Wellington: Ministry of Health.</w:t>
      </w:r>
    </w:p>
    <w:p w14:paraId="7742BBA9" w14:textId="77777777" w:rsidR="0068653B" w:rsidRPr="00320761" w:rsidRDefault="0068653B" w:rsidP="0068653B"/>
    <w:p w14:paraId="56264033" w14:textId="77777777" w:rsidR="0068653B" w:rsidRPr="00320761" w:rsidRDefault="0068653B" w:rsidP="0068653B">
      <w:pPr>
        <w:pStyle w:val="References"/>
      </w:pPr>
      <w:r w:rsidRPr="00320761">
        <w:t xml:space="preserve">Statistics New Zealand. 1998. </w:t>
      </w:r>
      <w:r w:rsidRPr="00320761">
        <w:rPr>
          <w:i/>
        </w:rPr>
        <w:t>Protocols of Official Statistics.</w:t>
      </w:r>
      <w:r w:rsidRPr="00320761">
        <w:t xml:space="preserve"> Wellington: Statistics New Zealand.</w:t>
      </w:r>
    </w:p>
    <w:p w14:paraId="1479BD78" w14:textId="77777777" w:rsidR="0068653B" w:rsidRPr="00320761" w:rsidRDefault="0068653B" w:rsidP="0068653B">
      <w:pPr>
        <w:pStyle w:val="References"/>
      </w:pPr>
      <w:r w:rsidRPr="00320761">
        <w:t>Ware J, Kosinski M, Keller S. 1996. A 12-Item Short-Form Health Survey: construction of scales and preliminary tests of reliability and validity.</w:t>
      </w:r>
      <w:r w:rsidRPr="00320761">
        <w:rPr>
          <w:i/>
        </w:rPr>
        <w:t xml:space="preserve"> Medical Care </w:t>
      </w:r>
      <w:r w:rsidRPr="00320761">
        <w:t>34(3): 220–33.</w:t>
      </w:r>
    </w:p>
    <w:p w14:paraId="1D666F60" w14:textId="77777777" w:rsidR="0068653B" w:rsidRPr="00320761" w:rsidRDefault="0068653B" w:rsidP="0068653B">
      <w:pPr>
        <w:pStyle w:val="References"/>
      </w:pPr>
      <w:r w:rsidRPr="00320761">
        <w:t xml:space="preserve">Ware J, Kosinski M, Keller S. 1998. </w:t>
      </w:r>
      <w:r w:rsidRPr="00320761">
        <w:rPr>
          <w:i/>
        </w:rPr>
        <w:t>SF-12: How to score the SF-12 physical and mental health summary scales.</w:t>
      </w:r>
      <w:r w:rsidRPr="00320761">
        <w:t xml:space="preserve"> 3rd edition. Lincoln (RI): </w:t>
      </w:r>
      <w:proofErr w:type="spellStart"/>
      <w:r w:rsidRPr="00320761">
        <w:t>QualityMetric</w:t>
      </w:r>
      <w:proofErr w:type="spellEnd"/>
      <w:r w:rsidRPr="00320761">
        <w:t xml:space="preserve"> Incorporated.</w:t>
      </w:r>
    </w:p>
    <w:p w14:paraId="7DCB73FD" w14:textId="36EDA790" w:rsidR="0068653B" w:rsidRPr="00320761" w:rsidRDefault="0068653B" w:rsidP="0068653B">
      <w:pPr>
        <w:pStyle w:val="References"/>
      </w:pPr>
      <w:r w:rsidRPr="00320761">
        <w:t xml:space="preserve">Washington Group on Disability Statistics (2016a). </w:t>
      </w:r>
      <w:r w:rsidRPr="00320761">
        <w:rPr>
          <w:i/>
        </w:rPr>
        <w:t>Short set of disability questions</w:t>
      </w:r>
      <w:r w:rsidRPr="00320761">
        <w:t xml:space="preserve">. URL: </w:t>
      </w:r>
      <w:hyperlink r:id="rId24" w:history="1">
        <w:r w:rsidRPr="004E56D6">
          <w:rPr>
            <w:rStyle w:val="Hyperlink"/>
            <w:b w:val="0"/>
            <w:color w:val="auto"/>
          </w:rPr>
          <w:t>www.washingtongroup-disability.com/washington-group-question-sets/short-set-of-disability-questions/</w:t>
        </w:r>
      </w:hyperlink>
      <w:r w:rsidRPr="00320761">
        <w:t xml:space="preserve"> (accessed 14 January 2019).</w:t>
      </w:r>
    </w:p>
    <w:p w14:paraId="012DA102" w14:textId="3690F18B" w:rsidR="0068653B" w:rsidRPr="00320761" w:rsidRDefault="0068653B" w:rsidP="0068653B">
      <w:pPr>
        <w:pStyle w:val="References"/>
      </w:pPr>
      <w:r w:rsidRPr="00320761">
        <w:lastRenderedPageBreak/>
        <w:t xml:space="preserve">Washington Group on Disability Statistics (2016b). </w:t>
      </w:r>
      <w:r w:rsidRPr="00320761">
        <w:rPr>
          <w:i/>
        </w:rPr>
        <w:t>Child functioning</w:t>
      </w:r>
      <w:r w:rsidRPr="00320761">
        <w:t xml:space="preserve">. URL: </w:t>
      </w:r>
      <w:hyperlink r:id="rId25" w:history="1">
        <w:r w:rsidRPr="004E56D6">
          <w:rPr>
            <w:rStyle w:val="Hyperlink"/>
            <w:b w:val="0"/>
            <w:color w:val="auto"/>
          </w:rPr>
          <w:t>http://www.washingtongroup-disability.com/washington-group-question-sets/child-disability/</w:t>
        </w:r>
      </w:hyperlink>
      <w:r w:rsidRPr="00320761">
        <w:t xml:space="preserve"> (accessed 14 January 2019).</w:t>
      </w:r>
    </w:p>
    <w:p w14:paraId="4E867303" w14:textId="3DAC00C6" w:rsidR="0068653B" w:rsidRPr="00320761" w:rsidRDefault="0068653B" w:rsidP="0068653B">
      <w:pPr>
        <w:pStyle w:val="References"/>
      </w:pPr>
      <w:proofErr w:type="gramStart"/>
      <w:r w:rsidRPr="00320761">
        <w:t>WHO.</w:t>
      </w:r>
      <w:proofErr w:type="gramEnd"/>
      <w:r w:rsidRPr="00320761">
        <w:t xml:space="preserve"> 2000. </w:t>
      </w:r>
      <w:r w:rsidRPr="00320761">
        <w:rPr>
          <w:i/>
        </w:rPr>
        <w:t>Obesity: Preventing and managing the global epidemic</w:t>
      </w:r>
      <w:r w:rsidRPr="00320761">
        <w:t xml:space="preserve">. Geneva: World Health Organization. URL: </w:t>
      </w:r>
      <w:hyperlink r:id="rId26" w:history="1">
        <w:r w:rsidRPr="004E56D6">
          <w:rPr>
            <w:rStyle w:val="Hyperlink"/>
            <w:b w:val="0"/>
            <w:color w:val="auto"/>
          </w:rPr>
          <w:t>www.who.int/nutrition/publications/obesity/WHO_TRS_894/en/</w:t>
        </w:r>
      </w:hyperlink>
      <w:r w:rsidRPr="00320761">
        <w:t xml:space="preserve"> (accessed 13 May 2014).</w:t>
      </w:r>
    </w:p>
    <w:p w14:paraId="16F71728" w14:textId="505B5017" w:rsidR="0068653B" w:rsidRPr="00320761" w:rsidRDefault="0068653B" w:rsidP="0068653B">
      <w:pPr>
        <w:pStyle w:val="References"/>
      </w:pPr>
      <w:proofErr w:type="gramStart"/>
      <w:r w:rsidRPr="00320761">
        <w:t>WHO.</w:t>
      </w:r>
      <w:proofErr w:type="gramEnd"/>
      <w:r w:rsidRPr="00320761">
        <w:t xml:space="preserve"> 2001. </w:t>
      </w:r>
      <w:r w:rsidRPr="00320761">
        <w:rPr>
          <w:i/>
        </w:rPr>
        <w:t>International Classification of Functioning, Disability and Health (ICF).</w:t>
      </w:r>
      <w:r w:rsidRPr="00320761">
        <w:t xml:space="preserve"> Geneva: World Health Organization. UR</w:t>
      </w:r>
      <w:r w:rsidR="009D003B" w:rsidRPr="00320761">
        <w:t>L:</w:t>
      </w:r>
      <w:r w:rsidRPr="00320761">
        <w:rPr>
          <w:rStyle w:val="Hyperlink"/>
        </w:rPr>
        <w:t xml:space="preserve">  </w:t>
      </w:r>
      <w:hyperlink r:id="rId27" w:history="1">
        <w:r w:rsidR="009D003B" w:rsidRPr="004E56D6">
          <w:rPr>
            <w:rStyle w:val="Hyperlink"/>
            <w:b w:val="0"/>
            <w:color w:val="auto"/>
          </w:rPr>
          <w:t>https://www.who.int/classifications/icf/icf_more/en/</w:t>
        </w:r>
      </w:hyperlink>
      <w:r w:rsidR="009D003B" w:rsidRPr="004E56D6">
        <w:t xml:space="preserve"> </w:t>
      </w:r>
      <w:r w:rsidRPr="00320761">
        <w:t>(accessed 27 June 2016).</w:t>
      </w:r>
    </w:p>
    <w:p w14:paraId="07124BA8" w14:textId="5FA52D49" w:rsidR="00281E6A" w:rsidRPr="00281E6A" w:rsidRDefault="0068653B" w:rsidP="009D003B">
      <w:pPr>
        <w:pStyle w:val="References"/>
      </w:pPr>
      <w:proofErr w:type="gramStart"/>
      <w:r w:rsidRPr="00320761">
        <w:t>WHO.</w:t>
      </w:r>
      <w:proofErr w:type="gramEnd"/>
      <w:r w:rsidRPr="00320761">
        <w:t xml:space="preserve"> 2005. </w:t>
      </w:r>
      <w:proofErr w:type="spellStart"/>
      <w:r w:rsidRPr="00320761">
        <w:rPr>
          <w:i/>
          <w:iCs/>
        </w:rPr>
        <w:t>STEPwise</w:t>
      </w:r>
      <w:proofErr w:type="spellEnd"/>
      <w:r w:rsidRPr="00320761">
        <w:rPr>
          <w:i/>
          <w:iCs/>
        </w:rPr>
        <w:t xml:space="preserve"> approach to Surveillance (STEPS). </w:t>
      </w:r>
      <w:r w:rsidRPr="00320761">
        <w:t xml:space="preserve">Geneva: World Health Organization. </w:t>
      </w:r>
      <w:r w:rsidRPr="00320761">
        <w:rPr>
          <w:iCs/>
        </w:rPr>
        <w:t xml:space="preserve">URL: </w:t>
      </w:r>
      <w:r w:rsidRPr="004E56D6">
        <w:rPr>
          <w:rStyle w:val="Hyperlink"/>
          <w:b w:val="0"/>
          <w:color w:val="auto"/>
        </w:rPr>
        <w:t>www.who.int/ncd_surveillance/steps/en</w:t>
      </w:r>
      <w:r w:rsidRPr="004E56D6">
        <w:t xml:space="preserve"> </w:t>
      </w:r>
      <w:r w:rsidRPr="00320761">
        <w:t>(accessed 14 October 2016).</w:t>
      </w:r>
      <w:bookmarkEnd w:id="86"/>
      <w:bookmarkEnd w:id="87"/>
      <w:bookmarkEnd w:id="88"/>
    </w:p>
    <w:sectPr w:rsidR="00281E6A" w:rsidRPr="00281E6A" w:rsidSect="0098153E">
      <w:pgSz w:w="11907" w:h="16834" w:code="9"/>
      <w:pgMar w:top="1418" w:right="1701" w:bottom="1134" w:left="1843" w:header="284" w:footer="425"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B57CE" w14:textId="77777777" w:rsidR="004E56D6" w:rsidRDefault="004E56D6">
      <w:r>
        <w:separator/>
      </w:r>
    </w:p>
    <w:p w14:paraId="3CC44A62" w14:textId="77777777" w:rsidR="004E56D6" w:rsidRDefault="004E56D6"/>
  </w:endnote>
  <w:endnote w:type="continuationSeparator" w:id="0">
    <w:p w14:paraId="62B8AE43" w14:textId="77777777" w:rsidR="004E56D6" w:rsidRDefault="004E56D6">
      <w:r>
        <w:continuationSeparator/>
      </w:r>
    </w:p>
    <w:p w14:paraId="62022CD6" w14:textId="77777777" w:rsidR="004E56D6" w:rsidRDefault="004E5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1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878FA" w14:textId="1E0FCFBC" w:rsidR="004E56D6" w:rsidRPr="00581136" w:rsidRDefault="004E56D6" w:rsidP="005A79E5">
    <w:pPr>
      <w:pStyle w:val="Footer"/>
      <w:pBdr>
        <w:bottom w:val="single" w:sz="4" w:space="1" w:color="auto"/>
      </w:pBdr>
      <w:tabs>
        <w:tab w:val="right" w:pos="9639"/>
      </w:tabs>
      <w:rPr>
        <w:b/>
      </w:rPr>
    </w:pPr>
    <w:r>
      <w:rPr>
        <w:b/>
      </w:rPr>
      <w:t>Released 2019</w:t>
    </w:r>
    <w:r w:rsidRPr="00581136">
      <w:rPr>
        <w:b/>
      </w:rPr>
      <w:tab/>
      <w:t>health.govt.nz</w:t>
    </w:r>
  </w:p>
  <w:p w14:paraId="6395FB3D" w14:textId="77777777" w:rsidR="004E56D6" w:rsidRPr="005A79E5" w:rsidRDefault="004E56D6">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A9373" w14:textId="77777777" w:rsidR="004E56D6" w:rsidRDefault="004E56D6"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3E32E" w14:textId="77777777" w:rsidR="004E56D6" w:rsidRDefault="004E56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4E56D6" w14:paraId="4C88EBE1" w14:textId="77777777" w:rsidTr="00875F9E">
      <w:trPr>
        <w:cantSplit/>
      </w:trPr>
      <w:tc>
        <w:tcPr>
          <w:tcW w:w="709" w:type="dxa"/>
          <w:vAlign w:val="center"/>
        </w:tcPr>
        <w:p w14:paraId="5E60C2A4" w14:textId="77777777" w:rsidR="004E56D6" w:rsidRPr="00931466" w:rsidRDefault="004E56D6" w:rsidP="00875F9E">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20</w:t>
          </w:r>
          <w:r w:rsidRPr="00931466">
            <w:rPr>
              <w:rStyle w:val="PageNumber"/>
            </w:rPr>
            <w:fldChar w:fldCharType="end"/>
          </w:r>
        </w:p>
      </w:tc>
      <w:tc>
        <w:tcPr>
          <w:tcW w:w="8080" w:type="dxa"/>
          <w:vAlign w:val="center"/>
        </w:tcPr>
        <w:p w14:paraId="4117E3BF" w14:textId="492A0449" w:rsidR="004E56D6" w:rsidRDefault="004E56D6" w:rsidP="00875F9E">
          <w:pPr>
            <w:pStyle w:val="RectoFooter"/>
            <w:jc w:val="left"/>
          </w:pPr>
          <w:r w:rsidRPr="009D003B">
            <w:t>Content Guide 2018/19: New Zealand Health Survey</w:t>
          </w:r>
        </w:p>
      </w:tc>
    </w:tr>
  </w:tbl>
  <w:p w14:paraId="3BCDFA3E" w14:textId="77777777" w:rsidR="004E56D6" w:rsidRPr="00875F9E" w:rsidRDefault="004E56D6" w:rsidP="00875F9E">
    <w:pPr>
      <w:pStyle w:val="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4E56D6" w14:paraId="62CDCA20" w14:textId="77777777" w:rsidTr="00875F9E">
      <w:trPr>
        <w:cantSplit/>
      </w:trPr>
      <w:tc>
        <w:tcPr>
          <w:tcW w:w="8080" w:type="dxa"/>
          <w:vAlign w:val="center"/>
        </w:tcPr>
        <w:p w14:paraId="490B10F9" w14:textId="227435F0" w:rsidR="004E56D6" w:rsidRDefault="004E56D6" w:rsidP="00875F9E">
          <w:pPr>
            <w:pStyle w:val="RectoFooter"/>
          </w:pPr>
          <w:r w:rsidRPr="009D003B">
            <w:t>Content Guide 2018/19: New Zealand Health Survey</w:t>
          </w:r>
          <w:r w:rsidRPr="00535CAC">
            <w:t xml:space="preserve"> </w:t>
          </w:r>
        </w:p>
      </w:tc>
      <w:tc>
        <w:tcPr>
          <w:tcW w:w="709" w:type="dxa"/>
          <w:vAlign w:val="center"/>
        </w:tcPr>
        <w:p w14:paraId="4896F8A6" w14:textId="77777777" w:rsidR="004E56D6" w:rsidRPr="00931466" w:rsidRDefault="004E56D6" w:rsidP="00875F9E">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19</w:t>
          </w:r>
          <w:r w:rsidRPr="00931466">
            <w:rPr>
              <w:rStyle w:val="PageNumber"/>
            </w:rPr>
            <w:fldChar w:fldCharType="end"/>
          </w:r>
        </w:p>
      </w:tc>
    </w:tr>
  </w:tbl>
  <w:p w14:paraId="0BD014F4" w14:textId="77777777" w:rsidR="004E56D6" w:rsidRPr="00581EB8" w:rsidRDefault="004E56D6"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C2FFF" w14:textId="77777777" w:rsidR="004E56D6" w:rsidRPr="00A26E6B" w:rsidRDefault="004E56D6" w:rsidP="00A26E6B"/>
  </w:footnote>
  <w:footnote w:type="continuationSeparator" w:id="0">
    <w:p w14:paraId="22C09E3E" w14:textId="77777777" w:rsidR="004E56D6" w:rsidRDefault="004E56D6">
      <w:r>
        <w:continuationSeparator/>
      </w:r>
    </w:p>
    <w:p w14:paraId="528373CF" w14:textId="77777777" w:rsidR="004E56D6" w:rsidRDefault="004E56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4E56D6" w14:paraId="76D3B687" w14:textId="77777777" w:rsidTr="005A79E5">
      <w:trPr>
        <w:cantSplit/>
      </w:trPr>
      <w:tc>
        <w:tcPr>
          <w:tcW w:w="5210" w:type="dxa"/>
        </w:tcPr>
        <w:p w14:paraId="1EAE7E20" w14:textId="77777777" w:rsidR="004E56D6" w:rsidRDefault="004E56D6" w:rsidP="00802C89">
          <w:pPr>
            <w:pStyle w:val="Header"/>
          </w:pPr>
          <w:r>
            <w:rPr>
              <w:noProof/>
              <w:lang w:eastAsia="en-NZ"/>
            </w:rPr>
            <w:drawing>
              <wp:inline distT="0" distB="0" distL="0" distR="0" wp14:anchorId="12F4EC3D" wp14:editId="59178C71">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27294F4B" w14:textId="77777777" w:rsidR="004E56D6" w:rsidRDefault="004E56D6" w:rsidP="00802C89">
          <w:pPr>
            <w:pStyle w:val="Header"/>
            <w:jc w:val="right"/>
          </w:pPr>
          <w:r>
            <w:rPr>
              <w:noProof/>
              <w:lang w:eastAsia="en-NZ"/>
            </w:rPr>
            <w:drawing>
              <wp:inline distT="0" distB="0" distL="0" distR="0" wp14:anchorId="7773B24D" wp14:editId="2C8C195A">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330E416B" w14:textId="77777777" w:rsidR="004E56D6" w:rsidRDefault="004E56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2CABA" w14:textId="77777777" w:rsidR="004E56D6" w:rsidRDefault="004E56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A3C910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4A98FD8C"/>
    <w:lvl w:ilvl="0">
      <w:start w:val="1"/>
      <w:numFmt w:val="bullet"/>
      <w:pStyle w:val="Appendix2"/>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D95AD0BA"/>
    <w:name w:val="WW8Num8"/>
    <w:lvl w:ilvl="0">
      <w:start w:val="1"/>
      <w:numFmt w:val="bullet"/>
      <w:pStyle w:val="1stlevelpara"/>
      <w:lvlText w:val=""/>
      <w:lvlJc w:val="left"/>
      <w:pPr>
        <w:ind w:left="720" w:hanging="360"/>
      </w:pPr>
      <w:rPr>
        <w:rFonts w:ascii="Symbol" w:hAnsi="Symbol"/>
      </w:rPr>
    </w:lvl>
  </w:abstractNum>
  <w:abstractNum w:abstractNumId="3" w15:restartNumberingAfterBreak="0">
    <w:nsid w:val="001B3C99"/>
    <w:multiLevelType w:val="multilevel"/>
    <w:tmpl w:val="E006D00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5" w15:restartNumberingAfterBreak="0">
    <w:nsid w:val="0FEE4C58"/>
    <w:multiLevelType w:val="hybridMultilevel"/>
    <w:tmpl w:val="FCDE6A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13914580"/>
    <w:multiLevelType w:val="singleLevel"/>
    <w:tmpl w:val="2BAA699C"/>
    <w:lvl w:ilvl="0">
      <w:start w:val="1"/>
      <w:numFmt w:val="bullet"/>
      <w:pStyle w:val="LI"/>
      <w:lvlText w:val=""/>
      <w:lvlJc w:val="left"/>
      <w:pPr>
        <w:tabs>
          <w:tab w:val="num" w:pos="360"/>
        </w:tabs>
        <w:ind w:left="283" w:hanging="283"/>
      </w:pPr>
      <w:rPr>
        <w:rFonts w:ascii="Symbol" w:hAnsi="Symbol" w:hint="default"/>
        <w:sz w:val="22"/>
      </w:rPr>
    </w:lvl>
  </w:abstractNum>
  <w:abstractNum w:abstractNumId="7" w15:restartNumberingAfterBreak="0">
    <w:nsid w:val="15DD6B2C"/>
    <w:multiLevelType w:val="hybridMultilevel"/>
    <w:tmpl w:val="8A3454E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8" w15:restartNumberingAfterBreak="0">
    <w:nsid w:val="163D6458"/>
    <w:multiLevelType w:val="hybridMultilevel"/>
    <w:tmpl w:val="7C22AC8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1AE33295"/>
    <w:multiLevelType w:val="hybridMultilevel"/>
    <w:tmpl w:val="8AA091A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0" w15:restartNumberingAfterBreak="0">
    <w:nsid w:val="2000591E"/>
    <w:multiLevelType w:val="hybridMultilevel"/>
    <w:tmpl w:val="2342062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1B01880"/>
    <w:multiLevelType w:val="multilevel"/>
    <w:tmpl w:val="2F8C906E"/>
    <w:styleLink w:val="AlphabeticalList"/>
    <w:lvl w:ilvl="0">
      <w:start w:val="1"/>
      <w:numFmt w:val="lowerLetter"/>
      <w:lvlText w:val="%1."/>
      <w:lvlJc w:val="left"/>
      <w:pPr>
        <w:tabs>
          <w:tab w:val="num" w:pos="284"/>
        </w:tabs>
        <w:ind w:left="1134" w:hanging="28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25B23BA"/>
    <w:multiLevelType w:val="hybridMultilevel"/>
    <w:tmpl w:val="52B430D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3" w15:restartNumberingAfterBreak="0">
    <w:nsid w:val="23DC7796"/>
    <w:multiLevelType w:val="multilevel"/>
    <w:tmpl w:val="AF409524"/>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275"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AB229B"/>
    <w:multiLevelType w:val="hybridMultilevel"/>
    <w:tmpl w:val="CBAADABC"/>
    <w:lvl w:ilvl="0" w:tplc="D722C4FE">
      <w:start w:val="1"/>
      <w:numFmt w:val="decimal"/>
      <w:pStyle w:val="ReferenceText"/>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94850AD"/>
    <w:multiLevelType w:val="hybridMultilevel"/>
    <w:tmpl w:val="F536D33A"/>
    <w:lvl w:ilvl="0" w:tplc="04090001">
      <w:start w:val="1"/>
      <w:numFmt w:val="bullet"/>
      <w:pStyle w:val="StyleBullets11pt1"/>
      <w:lvlText w:val=""/>
      <w:lvlJc w:val="left"/>
      <w:pPr>
        <w:tabs>
          <w:tab w:val="num" w:pos="1134"/>
        </w:tabs>
        <w:ind w:left="1134" w:hanging="283"/>
      </w:pPr>
      <w:rPr>
        <w:rFonts w:ascii="Wingdings" w:hAnsi="Wingdings" w:hint="default"/>
        <w:color w:val="53534C"/>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53534C"/>
        <w:sz w:val="16"/>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2126D4"/>
    <w:multiLevelType w:val="singleLevel"/>
    <w:tmpl w:val="42063C46"/>
    <w:lvl w:ilvl="0">
      <w:start w:val="1"/>
      <w:numFmt w:val="lowerRoman"/>
      <w:pStyle w:val="Recommendations"/>
      <w:lvlText w:val="(%1)"/>
      <w:lvlJc w:val="left"/>
      <w:pPr>
        <w:tabs>
          <w:tab w:val="num" w:pos="851"/>
        </w:tabs>
        <w:ind w:left="851" w:hanging="851"/>
      </w:pPr>
      <w:rPr>
        <w:b w:val="0"/>
        <w:i w:val="0"/>
      </w:rPr>
    </w:lvl>
  </w:abstractNum>
  <w:abstractNum w:abstractNumId="18" w15:restartNumberingAfterBreak="0">
    <w:nsid w:val="3EC96B6F"/>
    <w:multiLevelType w:val="hybridMultilevel"/>
    <w:tmpl w:val="5DB8C9AA"/>
    <w:lvl w:ilvl="0" w:tplc="FFFFFFFF">
      <w:start w:val="1"/>
      <w:numFmt w:val="bullet"/>
      <w:pStyle w:val="Bullets1Indented"/>
      <w:lvlText w:val=""/>
      <w:lvlJc w:val="left"/>
      <w:pPr>
        <w:tabs>
          <w:tab w:val="num" w:pos="1800"/>
        </w:tabs>
        <w:ind w:left="1800" w:hanging="360"/>
      </w:pPr>
      <w:rPr>
        <w:rFonts w:ascii="Wingdings" w:hAnsi="Wingdings" w:hint="default"/>
        <w:color w:val="53534C"/>
        <w:sz w:val="16"/>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0A7BEB"/>
    <w:multiLevelType w:val="hybridMultilevel"/>
    <w:tmpl w:val="87681380"/>
    <w:lvl w:ilvl="0" w:tplc="951AADDE">
      <w:start w:val="1"/>
      <w:numFmt w:val="decimal"/>
      <w:pStyle w:val="ListParagraph2"/>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F6636BB"/>
    <w:multiLevelType w:val="hybridMultilevel"/>
    <w:tmpl w:val="DE1451B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519E5BE0"/>
    <w:multiLevelType w:val="hybridMultilevel"/>
    <w:tmpl w:val="B24CA724"/>
    <w:lvl w:ilvl="0" w:tplc="04090001">
      <w:start w:val="1"/>
      <w:numFmt w:val="bullet"/>
      <w:pStyle w:val="ListBullet2"/>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0473"/>
    <w:multiLevelType w:val="hybridMultilevel"/>
    <w:tmpl w:val="354C2388"/>
    <w:lvl w:ilvl="0" w:tplc="FFFFFFFF">
      <w:start w:val="1"/>
      <w:numFmt w:val="bullet"/>
      <w:pStyle w:val="Tablebullets1"/>
      <w:lvlText w:val=""/>
      <w:lvlJc w:val="left"/>
      <w:pPr>
        <w:tabs>
          <w:tab w:val="num" w:pos="743"/>
        </w:tabs>
        <w:ind w:left="743" w:hanging="360"/>
      </w:pPr>
      <w:rPr>
        <w:rFonts w:ascii="Wingdings" w:hAnsi="Wingdings" w:hint="default"/>
        <w:color w:val="53534C"/>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417A77"/>
    <w:multiLevelType w:val="hybridMultilevel"/>
    <w:tmpl w:val="CEB0BA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659678E6"/>
    <w:multiLevelType w:val="hybridMultilevel"/>
    <w:tmpl w:val="DFC06D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69761C0C"/>
    <w:multiLevelType w:val="singleLevel"/>
    <w:tmpl w:val="4BA68AF6"/>
    <w:lvl w:ilvl="0">
      <w:start w:val="1"/>
      <w:numFmt w:val="lowerLetter"/>
      <w:pStyle w:val="AlphaList"/>
      <w:lvlText w:val="%1."/>
      <w:lvlJc w:val="left"/>
      <w:pPr>
        <w:tabs>
          <w:tab w:val="num" w:pos="1211"/>
        </w:tabs>
        <w:ind w:left="1211" w:hanging="360"/>
      </w:pPr>
      <w:rPr>
        <w:rFonts w:hint="default"/>
        <w:sz w:val="23"/>
      </w:rPr>
    </w:lvl>
  </w:abstractNum>
  <w:abstractNum w:abstractNumId="27" w15:restartNumberingAfterBreak="0">
    <w:nsid w:val="70D72920"/>
    <w:multiLevelType w:val="hybridMultilevel"/>
    <w:tmpl w:val="FBA4848A"/>
    <w:lvl w:ilvl="0" w:tplc="08090001">
      <w:start w:val="1"/>
      <w:numFmt w:val="bullet"/>
      <w:pStyle w:val="List-bullet"/>
      <w:lvlText w:val="•"/>
      <w:lvlJc w:val="left"/>
      <w:pPr>
        <w:tabs>
          <w:tab w:val="num" w:pos="1454"/>
        </w:tabs>
        <w:ind w:left="1454" w:hanging="360"/>
      </w:pPr>
      <w:rPr>
        <w:rFonts w:hint="default"/>
        <w:color w:val="auto"/>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311C11"/>
    <w:multiLevelType w:val="hybridMultilevel"/>
    <w:tmpl w:val="2A84719C"/>
    <w:lvl w:ilvl="0" w:tplc="66F66CDC">
      <w:start w:val="1"/>
      <w:numFmt w:val="decimal"/>
      <w:pStyle w:val="Appendix"/>
      <w:lvlText w:val="Appendix %1."/>
      <w:lvlJc w:val="left"/>
      <w:pPr>
        <w:tabs>
          <w:tab w:val="num" w:pos="720"/>
        </w:tabs>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9" w15:restartNumberingAfterBreak="0">
    <w:nsid w:val="79F62854"/>
    <w:multiLevelType w:val="hybridMultilevel"/>
    <w:tmpl w:val="B358E4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30"/>
  </w:num>
  <w:num w:numId="2">
    <w:abstractNumId w:val="16"/>
  </w:num>
  <w:num w:numId="3">
    <w:abstractNumId w:val="19"/>
  </w:num>
  <w:num w:numId="4">
    <w:abstractNumId w:val="4"/>
  </w:num>
  <w:num w:numId="5">
    <w:abstractNumId w:val="13"/>
  </w:num>
  <w:num w:numId="6">
    <w:abstractNumId w:val="1"/>
  </w:num>
  <w:num w:numId="7">
    <w:abstractNumId w:val="14"/>
  </w:num>
  <w:num w:numId="8">
    <w:abstractNumId w:val="20"/>
  </w:num>
  <w:num w:numId="9">
    <w:abstractNumId w:val="23"/>
  </w:num>
  <w:num w:numId="10">
    <w:abstractNumId w:val="18"/>
  </w:num>
  <w:num w:numId="11">
    <w:abstractNumId w:val="28"/>
  </w:num>
  <w:num w:numId="12">
    <w:abstractNumId w:val="27"/>
  </w:num>
  <w:num w:numId="13">
    <w:abstractNumId w:val="11"/>
  </w:num>
  <w:num w:numId="14">
    <w:abstractNumId w:val="26"/>
  </w:num>
  <w:num w:numId="15">
    <w:abstractNumId w:val="22"/>
  </w:num>
  <w:num w:numId="16">
    <w:abstractNumId w:val="0"/>
  </w:num>
  <w:num w:numId="17">
    <w:abstractNumId w:val="2"/>
  </w:num>
  <w:num w:numId="18">
    <w:abstractNumId w:val="15"/>
  </w:num>
  <w:num w:numId="19">
    <w:abstractNumId w:val="6"/>
  </w:num>
  <w:num w:numId="20">
    <w:abstractNumId w:val="17"/>
  </w:num>
  <w:num w:numId="21">
    <w:abstractNumId w:val="21"/>
  </w:num>
  <w:num w:numId="22">
    <w:abstractNumId w:val="10"/>
  </w:num>
  <w:num w:numId="23">
    <w:abstractNumId w:val="29"/>
  </w:num>
  <w:num w:numId="24">
    <w:abstractNumId w:val="24"/>
  </w:num>
  <w:num w:numId="25">
    <w:abstractNumId w:val="25"/>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4"/>
  </w:num>
  <w:num w:numId="29">
    <w:abstractNumId w:val="29"/>
  </w:num>
  <w:num w:numId="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5"/>
  </w:num>
  <w:num w:numId="33">
    <w:abstractNumId w:val="8"/>
  </w:num>
  <w:num w:numId="34">
    <w:abstractNumId w:val="7"/>
  </w:num>
  <w:num w:numId="35">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activeWritingStyle w:appName="MSWord" w:lang="en-NZ" w:vendorID="64" w:dllVersion="6" w:nlCheck="1" w:checkStyle="1"/>
  <w:activeWritingStyle w:appName="MSWord" w:lang="en-NZ" w:vendorID="64" w:dllVersion="4096" w:nlCheck="1" w:checkStyle="0"/>
  <w:activeWritingStyle w:appName="MSWord" w:lang="en-NZ"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EB"/>
    <w:rsid w:val="00001878"/>
    <w:rsid w:val="000025B8"/>
    <w:rsid w:val="0001168D"/>
    <w:rsid w:val="000165CC"/>
    <w:rsid w:val="000177AA"/>
    <w:rsid w:val="00017BE8"/>
    <w:rsid w:val="000212BA"/>
    <w:rsid w:val="00023F4D"/>
    <w:rsid w:val="00024C77"/>
    <w:rsid w:val="0002545A"/>
    <w:rsid w:val="00025A6F"/>
    <w:rsid w:val="0002618D"/>
    <w:rsid w:val="00030B26"/>
    <w:rsid w:val="00030E84"/>
    <w:rsid w:val="00032C0A"/>
    <w:rsid w:val="00035257"/>
    <w:rsid w:val="00035D68"/>
    <w:rsid w:val="00043973"/>
    <w:rsid w:val="00043C1E"/>
    <w:rsid w:val="00044480"/>
    <w:rsid w:val="000457F7"/>
    <w:rsid w:val="00050EEB"/>
    <w:rsid w:val="00052C5B"/>
    <w:rsid w:val="00053A27"/>
    <w:rsid w:val="00054B44"/>
    <w:rsid w:val="00055A92"/>
    <w:rsid w:val="000563C9"/>
    <w:rsid w:val="000569D8"/>
    <w:rsid w:val="0006228D"/>
    <w:rsid w:val="00062330"/>
    <w:rsid w:val="00063B33"/>
    <w:rsid w:val="00063FC4"/>
    <w:rsid w:val="000706E2"/>
    <w:rsid w:val="00071EBA"/>
    <w:rsid w:val="00072BD6"/>
    <w:rsid w:val="00074549"/>
    <w:rsid w:val="00075B78"/>
    <w:rsid w:val="0007624A"/>
    <w:rsid w:val="000775B8"/>
    <w:rsid w:val="00082CD6"/>
    <w:rsid w:val="0008437D"/>
    <w:rsid w:val="00085AFE"/>
    <w:rsid w:val="00094800"/>
    <w:rsid w:val="000A476A"/>
    <w:rsid w:val="000B0730"/>
    <w:rsid w:val="000B1D4D"/>
    <w:rsid w:val="000B3F43"/>
    <w:rsid w:val="000C3AE5"/>
    <w:rsid w:val="000C656C"/>
    <w:rsid w:val="000C705E"/>
    <w:rsid w:val="000C74A1"/>
    <w:rsid w:val="000D08BE"/>
    <w:rsid w:val="000D19F4"/>
    <w:rsid w:val="000D489F"/>
    <w:rsid w:val="000D58DD"/>
    <w:rsid w:val="000E00C3"/>
    <w:rsid w:val="000E4E74"/>
    <w:rsid w:val="000E7D06"/>
    <w:rsid w:val="000F2AE2"/>
    <w:rsid w:val="000F2BFF"/>
    <w:rsid w:val="000F4CCB"/>
    <w:rsid w:val="00102063"/>
    <w:rsid w:val="00102D25"/>
    <w:rsid w:val="00103734"/>
    <w:rsid w:val="00103973"/>
    <w:rsid w:val="0010541C"/>
    <w:rsid w:val="00106F93"/>
    <w:rsid w:val="001112A5"/>
    <w:rsid w:val="00111D50"/>
    <w:rsid w:val="001138AD"/>
    <w:rsid w:val="00113B8E"/>
    <w:rsid w:val="0011564B"/>
    <w:rsid w:val="00116F98"/>
    <w:rsid w:val="00117DC3"/>
    <w:rsid w:val="001202F9"/>
    <w:rsid w:val="0012053C"/>
    <w:rsid w:val="001218C8"/>
    <w:rsid w:val="00121956"/>
    <w:rsid w:val="00122363"/>
    <w:rsid w:val="00123D75"/>
    <w:rsid w:val="00124768"/>
    <w:rsid w:val="001249F6"/>
    <w:rsid w:val="0012650D"/>
    <w:rsid w:val="001300AC"/>
    <w:rsid w:val="001342C7"/>
    <w:rsid w:val="0013585C"/>
    <w:rsid w:val="00137096"/>
    <w:rsid w:val="00140437"/>
    <w:rsid w:val="0014080A"/>
    <w:rsid w:val="00142261"/>
    <w:rsid w:val="00142954"/>
    <w:rsid w:val="00145BA9"/>
    <w:rsid w:val="001460E0"/>
    <w:rsid w:val="00146937"/>
    <w:rsid w:val="001472F0"/>
    <w:rsid w:val="00147F71"/>
    <w:rsid w:val="00150A6E"/>
    <w:rsid w:val="001536D1"/>
    <w:rsid w:val="001538BC"/>
    <w:rsid w:val="001545BC"/>
    <w:rsid w:val="00154A9D"/>
    <w:rsid w:val="00154B32"/>
    <w:rsid w:val="00161DAC"/>
    <w:rsid w:val="0016468A"/>
    <w:rsid w:val="00167DA3"/>
    <w:rsid w:val="00170833"/>
    <w:rsid w:val="00174A67"/>
    <w:rsid w:val="00175364"/>
    <w:rsid w:val="00175B47"/>
    <w:rsid w:val="0017606F"/>
    <w:rsid w:val="00182472"/>
    <w:rsid w:val="0018662D"/>
    <w:rsid w:val="00194F3D"/>
    <w:rsid w:val="00195744"/>
    <w:rsid w:val="001964F5"/>
    <w:rsid w:val="00197427"/>
    <w:rsid w:val="001A21B4"/>
    <w:rsid w:val="001A5CF5"/>
    <w:rsid w:val="001A5D55"/>
    <w:rsid w:val="001A77E4"/>
    <w:rsid w:val="001B0E6D"/>
    <w:rsid w:val="001B39D2"/>
    <w:rsid w:val="001B4BF8"/>
    <w:rsid w:val="001C4326"/>
    <w:rsid w:val="001C4912"/>
    <w:rsid w:val="001D3541"/>
    <w:rsid w:val="001D3E4E"/>
    <w:rsid w:val="001D412B"/>
    <w:rsid w:val="001E254A"/>
    <w:rsid w:val="001E3C12"/>
    <w:rsid w:val="001E7386"/>
    <w:rsid w:val="001F03AA"/>
    <w:rsid w:val="001F45A7"/>
    <w:rsid w:val="001F63DA"/>
    <w:rsid w:val="001F67E4"/>
    <w:rsid w:val="00201A01"/>
    <w:rsid w:val="00204230"/>
    <w:rsid w:val="00205510"/>
    <w:rsid w:val="00205692"/>
    <w:rsid w:val="0020754B"/>
    <w:rsid w:val="002104D3"/>
    <w:rsid w:val="00213A33"/>
    <w:rsid w:val="0021763B"/>
    <w:rsid w:val="00220F78"/>
    <w:rsid w:val="002222C7"/>
    <w:rsid w:val="00230EF3"/>
    <w:rsid w:val="00235455"/>
    <w:rsid w:val="0024145F"/>
    <w:rsid w:val="002469F7"/>
    <w:rsid w:val="00246DB1"/>
    <w:rsid w:val="002474F6"/>
    <w:rsid w:val="002476B5"/>
    <w:rsid w:val="00250BDA"/>
    <w:rsid w:val="002520CC"/>
    <w:rsid w:val="00253ECF"/>
    <w:rsid w:val="002546A1"/>
    <w:rsid w:val="002564DB"/>
    <w:rsid w:val="00262791"/>
    <w:rsid w:val="002628F4"/>
    <w:rsid w:val="002633EA"/>
    <w:rsid w:val="00267324"/>
    <w:rsid w:val="002711B8"/>
    <w:rsid w:val="00275D08"/>
    <w:rsid w:val="0027782E"/>
    <w:rsid w:val="00281E6A"/>
    <w:rsid w:val="002841FA"/>
    <w:rsid w:val="002858E3"/>
    <w:rsid w:val="00287A30"/>
    <w:rsid w:val="00287E03"/>
    <w:rsid w:val="00291658"/>
    <w:rsid w:val="0029190A"/>
    <w:rsid w:val="00292C5A"/>
    <w:rsid w:val="00295241"/>
    <w:rsid w:val="002A24C4"/>
    <w:rsid w:val="002A26D9"/>
    <w:rsid w:val="002A4000"/>
    <w:rsid w:val="002A4DFC"/>
    <w:rsid w:val="002A744D"/>
    <w:rsid w:val="002B047D"/>
    <w:rsid w:val="002B1D27"/>
    <w:rsid w:val="002B3B4F"/>
    <w:rsid w:val="002B6485"/>
    <w:rsid w:val="002B6DD9"/>
    <w:rsid w:val="002B732B"/>
    <w:rsid w:val="002B76A7"/>
    <w:rsid w:val="002C0205"/>
    <w:rsid w:val="002C0D2B"/>
    <w:rsid w:val="002C2219"/>
    <w:rsid w:val="002C2552"/>
    <w:rsid w:val="002C2805"/>
    <w:rsid w:val="002C6B8B"/>
    <w:rsid w:val="002C7641"/>
    <w:rsid w:val="002D0DF2"/>
    <w:rsid w:val="002D23BD"/>
    <w:rsid w:val="002D2841"/>
    <w:rsid w:val="002D623D"/>
    <w:rsid w:val="002E07F5"/>
    <w:rsid w:val="002E0B47"/>
    <w:rsid w:val="002E3727"/>
    <w:rsid w:val="002E5189"/>
    <w:rsid w:val="002F3B52"/>
    <w:rsid w:val="002F4685"/>
    <w:rsid w:val="002F7213"/>
    <w:rsid w:val="0030029C"/>
    <w:rsid w:val="003020CF"/>
    <w:rsid w:val="0030382F"/>
    <w:rsid w:val="0030408D"/>
    <w:rsid w:val="003044B0"/>
    <w:rsid w:val="00304969"/>
    <w:rsid w:val="003060E4"/>
    <w:rsid w:val="003070F0"/>
    <w:rsid w:val="003126D7"/>
    <w:rsid w:val="00312899"/>
    <w:rsid w:val="003142E7"/>
    <w:rsid w:val="003160E7"/>
    <w:rsid w:val="0031739E"/>
    <w:rsid w:val="003175E4"/>
    <w:rsid w:val="00320761"/>
    <w:rsid w:val="003245F7"/>
    <w:rsid w:val="003309A5"/>
    <w:rsid w:val="003309CA"/>
    <w:rsid w:val="003325AB"/>
    <w:rsid w:val="003332D1"/>
    <w:rsid w:val="00333840"/>
    <w:rsid w:val="00333906"/>
    <w:rsid w:val="0033412B"/>
    <w:rsid w:val="00335F8B"/>
    <w:rsid w:val="00337885"/>
    <w:rsid w:val="00341161"/>
    <w:rsid w:val="00343365"/>
    <w:rsid w:val="003445F4"/>
    <w:rsid w:val="00345239"/>
    <w:rsid w:val="00347D11"/>
    <w:rsid w:val="00351E21"/>
    <w:rsid w:val="003523E4"/>
    <w:rsid w:val="00353501"/>
    <w:rsid w:val="00353520"/>
    <w:rsid w:val="00353734"/>
    <w:rsid w:val="003606F8"/>
    <w:rsid w:val="0036254F"/>
    <w:rsid w:val="003648EF"/>
    <w:rsid w:val="00366395"/>
    <w:rsid w:val="003673E6"/>
    <w:rsid w:val="0037262A"/>
    <w:rsid w:val="00375344"/>
    <w:rsid w:val="00377264"/>
    <w:rsid w:val="003779D2"/>
    <w:rsid w:val="0038180E"/>
    <w:rsid w:val="0038302E"/>
    <w:rsid w:val="00383295"/>
    <w:rsid w:val="00383647"/>
    <w:rsid w:val="00383A46"/>
    <w:rsid w:val="00385E38"/>
    <w:rsid w:val="00385FC4"/>
    <w:rsid w:val="00390BC8"/>
    <w:rsid w:val="00393E2B"/>
    <w:rsid w:val="003A0138"/>
    <w:rsid w:val="003A0423"/>
    <w:rsid w:val="003A26A5"/>
    <w:rsid w:val="003A3761"/>
    <w:rsid w:val="003A512D"/>
    <w:rsid w:val="003A5FEA"/>
    <w:rsid w:val="003A61FD"/>
    <w:rsid w:val="003B1D10"/>
    <w:rsid w:val="003B3262"/>
    <w:rsid w:val="003B4CCC"/>
    <w:rsid w:val="003B57C5"/>
    <w:rsid w:val="003B6E9B"/>
    <w:rsid w:val="003C0D0C"/>
    <w:rsid w:val="003C76D4"/>
    <w:rsid w:val="003D0D54"/>
    <w:rsid w:val="003D137D"/>
    <w:rsid w:val="003D2CC5"/>
    <w:rsid w:val="003E04C1"/>
    <w:rsid w:val="003E0887"/>
    <w:rsid w:val="003E232E"/>
    <w:rsid w:val="003E3147"/>
    <w:rsid w:val="003E429D"/>
    <w:rsid w:val="003E7C46"/>
    <w:rsid w:val="003F2106"/>
    <w:rsid w:val="003F228E"/>
    <w:rsid w:val="003F36F7"/>
    <w:rsid w:val="003F52A7"/>
    <w:rsid w:val="003F7013"/>
    <w:rsid w:val="003F776F"/>
    <w:rsid w:val="0040240C"/>
    <w:rsid w:val="00402CCF"/>
    <w:rsid w:val="004061F4"/>
    <w:rsid w:val="00413021"/>
    <w:rsid w:val="00415153"/>
    <w:rsid w:val="004159BE"/>
    <w:rsid w:val="004201FC"/>
    <w:rsid w:val="00420E4E"/>
    <w:rsid w:val="00422937"/>
    <w:rsid w:val="004301C6"/>
    <w:rsid w:val="00430545"/>
    <w:rsid w:val="00434299"/>
    <w:rsid w:val="0043478F"/>
    <w:rsid w:val="004353C3"/>
    <w:rsid w:val="004357B4"/>
    <w:rsid w:val="0043602B"/>
    <w:rsid w:val="00440BE0"/>
    <w:rsid w:val="00442C1C"/>
    <w:rsid w:val="0044357E"/>
    <w:rsid w:val="0044584B"/>
    <w:rsid w:val="00447CB7"/>
    <w:rsid w:val="00450D78"/>
    <w:rsid w:val="004516B7"/>
    <w:rsid w:val="004534C4"/>
    <w:rsid w:val="00455CC9"/>
    <w:rsid w:val="00460826"/>
    <w:rsid w:val="00460EA7"/>
    <w:rsid w:val="0046195B"/>
    <w:rsid w:val="0046362D"/>
    <w:rsid w:val="00463669"/>
    <w:rsid w:val="0046395F"/>
    <w:rsid w:val="0046596D"/>
    <w:rsid w:val="004766FB"/>
    <w:rsid w:val="004805AD"/>
    <w:rsid w:val="00481F58"/>
    <w:rsid w:val="004852C5"/>
    <w:rsid w:val="00486803"/>
    <w:rsid w:val="00487C04"/>
    <w:rsid w:val="004907E1"/>
    <w:rsid w:val="00496336"/>
    <w:rsid w:val="00497F3D"/>
    <w:rsid w:val="004A035B"/>
    <w:rsid w:val="004A2108"/>
    <w:rsid w:val="004A38D7"/>
    <w:rsid w:val="004A4A66"/>
    <w:rsid w:val="004A778C"/>
    <w:rsid w:val="004A78C9"/>
    <w:rsid w:val="004B11E9"/>
    <w:rsid w:val="004B48C7"/>
    <w:rsid w:val="004B49A6"/>
    <w:rsid w:val="004C0F12"/>
    <w:rsid w:val="004C2E6A"/>
    <w:rsid w:val="004C64B8"/>
    <w:rsid w:val="004C69F6"/>
    <w:rsid w:val="004C77E9"/>
    <w:rsid w:val="004D1553"/>
    <w:rsid w:val="004D1848"/>
    <w:rsid w:val="004D2A2D"/>
    <w:rsid w:val="004D2FB2"/>
    <w:rsid w:val="004D365D"/>
    <w:rsid w:val="004D369B"/>
    <w:rsid w:val="004D53EE"/>
    <w:rsid w:val="004D6689"/>
    <w:rsid w:val="004E1D1D"/>
    <w:rsid w:val="004E56D6"/>
    <w:rsid w:val="004E7AC8"/>
    <w:rsid w:val="004E7C6F"/>
    <w:rsid w:val="004F0C94"/>
    <w:rsid w:val="004F2B93"/>
    <w:rsid w:val="005019AE"/>
    <w:rsid w:val="005026EE"/>
    <w:rsid w:val="00503749"/>
    <w:rsid w:val="00504CF4"/>
    <w:rsid w:val="00505E3B"/>
    <w:rsid w:val="0050635B"/>
    <w:rsid w:val="00514EEA"/>
    <w:rsid w:val="005151C2"/>
    <w:rsid w:val="00523187"/>
    <w:rsid w:val="00524724"/>
    <w:rsid w:val="00526CA7"/>
    <w:rsid w:val="00526FB1"/>
    <w:rsid w:val="0053199F"/>
    <w:rsid w:val="00533B90"/>
    <w:rsid w:val="00534B7D"/>
    <w:rsid w:val="00535CAC"/>
    <w:rsid w:val="0054075D"/>
    <w:rsid w:val="005410F8"/>
    <w:rsid w:val="005411F6"/>
    <w:rsid w:val="0054173E"/>
    <w:rsid w:val="005448EC"/>
    <w:rsid w:val="00545963"/>
    <w:rsid w:val="00550256"/>
    <w:rsid w:val="00553165"/>
    <w:rsid w:val="00553958"/>
    <w:rsid w:val="00555C62"/>
    <w:rsid w:val="00556BB7"/>
    <w:rsid w:val="0055763D"/>
    <w:rsid w:val="00561516"/>
    <w:rsid w:val="005621F2"/>
    <w:rsid w:val="0056445E"/>
    <w:rsid w:val="00567B58"/>
    <w:rsid w:val="00571223"/>
    <w:rsid w:val="00572A57"/>
    <w:rsid w:val="0057477D"/>
    <w:rsid w:val="005763E0"/>
    <w:rsid w:val="00580AAB"/>
    <w:rsid w:val="00581136"/>
    <w:rsid w:val="005813EC"/>
    <w:rsid w:val="00581EB8"/>
    <w:rsid w:val="00583972"/>
    <w:rsid w:val="00586413"/>
    <w:rsid w:val="005A2533"/>
    <w:rsid w:val="005A27CA"/>
    <w:rsid w:val="005A43BD"/>
    <w:rsid w:val="005A72DA"/>
    <w:rsid w:val="005A79E5"/>
    <w:rsid w:val="005B1584"/>
    <w:rsid w:val="005B56BC"/>
    <w:rsid w:val="005B6BCE"/>
    <w:rsid w:val="005B770F"/>
    <w:rsid w:val="005C6AD3"/>
    <w:rsid w:val="005D034C"/>
    <w:rsid w:val="005D070B"/>
    <w:rsid w:val="005D289F"/>
    <w:rsid w:val="005D43A9"/>
    <w:rsid w:val="005D5677"/>
    <w:rsid w:val="005D6702"/>
    <w:rsid w:val="005D6B68"/>
    <w:rsid w:val="005D7990"/>
    <w:rsid w:val="005E226E"/>
    <w:rsid w:val="005E2636"/>
    <w:rsid w:val="005E6454"/>
    <w:rsid w:val="006015D7"/>
    <w:rsid w:val="0060199C"/>
    <w:rsid w:val="00601B21"/>
    <w:rsid w:val="006041F0"/>
    <w:rsid w:val="00605C6D"/>
    <w:rsid w:val="006100EF"/>
    <w:rsid w:val="006120CA"/>
    <w:rsid w:val="00612A82"/>
    <w:rsid w:val="0062333C"/>
    <w:rsid w:val="00624174"/>
    <w:rsid w:val="006244CA"/>
    <w:rsid w:val="00626CF8"/>
    <w:rsid w:val="00630859"/>
    <w:rsid w:val="006314AF"/>
    <w:rsid w:val="00632D25"/>
    <w:rsid w:val="006334FB"/>
    <w:rsid w:val="0063378D"/>
    <w:rsid w:val="00634ED8"/>
    <w:rsid w:val="00636375"/>
    <w:rsid w:val="00636D7D"/>
    <w:rsid w:val="00637194"/>
    <w:rsid w:val="00637408"/>
    <w:rsid w:val="0064041A"/>
    <w:rsid w:val="00641AA2"/>
    <w:rsid w:val="00642868"/>
    <w:rsid w:val="00647AFE"/>
    <w:rsid w:val="006506F3"/>
    <w:rsid w:val="006512BC"/>
    <w:rsid w:val="00653A5A"/>
    <w:rsid w:val="006550F1"/>
    <w:rsid w:val="006575F4"/>
    <w:rsid w:val="0065764A"/>
    <w:rsid w:val="006579E6"/>
    <w:rsid w:val="00660682"/>
    <w:rsid w:val="00661C7B"/>
    <w:rsid w:val="0066381A"/>
    <w:rsid w:val="00663EDC"/>
    <w:rsid w:val="006644AA"/>
    <w:rsid w:val="00664602"/>
    <w:rsid w:val="00665913"/>
    <w:rsid w:val="006664B0"/>
    <w:rsid w:val="00671078"/>
    <w:rsid w:val="0067411C"/>
    <w:rsid w:val="006758CA"/>
    <w:rsid w:val="00675CCF"/>
    <w:rsid w:val="00680A04"/>
    <w:rsid w:val="0068158B"/>
    <w:rsid w:val="006831F0"/>
    <w:rsid w:val="0068653B"/>
    <w:rsid w:val="00686D80"/>
    <w:rsid w:val="006904A5"/>
    <w:rsid w:val="00690691"/>
    <w:rsid w:val="00691132"/>
    <w:rsid w:val="006917E1"/>
    <w:rsid w:val="0069189E"/>
    <w:rsid w:val="00694895"/>
    <w:rsid w:val="006953CC"/>
    <w:rsid w:val="00697E2E"/>
    <w:rsid w:val="006A0367"/>
    <w:rsid w:val="006A25A2"/>
    <w:rsid w:val="006A3B87"/>
    <w:rsid w:val="006B04FF"/>
    <w:rsid w:val="006B0E73"/>
    <w:rsid w:val="006B1E3D"/>
    <w:rsid w:val="006B4A4D"/>
    <w:rsid w:val="006B5695"/>
    <w:rsid w:val="006B7B2E"/>
    <w:rsid w:val="006C2BF3"/>
    <w:rsid w:val="006C6382"/>
    <w:rsid w:val="006C78EB"/>
    <w:rsid w:val="006D0568"/>
    <w:rsid w:val="006D0B8C"/>
    <w:rsid w:val="006D15E5"/>
    <w:rsid w:val="006D1660"/>
    <w:rsid w:val="006D2932"/>
    <w:rsid w:val="006D38A8"/>
    <w:rsid w:val="006D3A45"/>
    <w:rsid w:val="006D63E5"/>
    <w:rsid w:val="006E3225"/>
    <w:rsid w:val="006E3911"/>
    <w:rsid w:val="006E3DAB"/>
    <w:rsid w:val="006E439F"/>
    <w:rsid w:val="006F0028"/>
    <w:rsid w:val="006F1B67"/>
    <w:rsid w:val="006F3909"/>
    <w:rsid w:val="006F4BD3"/>
    <w:rsid w:val="006F4D9C"/>
    <w:rsid w:val="0070091D"/>
    <w:rsid w:val="00702854"/>
    <w:rsid w:val="00704388"/>
    <w:rsid w:val="00704CD8"/>
    <w:rsid w:val="007131F5"/>
    <w:rsid w:val="00714DA8"/>
    <w:rsid w:val="0071666E"/>
    <w:rsid w:val="00717128"/>
    <w:rsid w:val="0071741C"/>
    <w:rsid w:val="00717D25"/>
    <w:rsid w:val="00723B0B"/>
    <w:rsid w:val="00726A39"/>
    <w:rsid w:val="007275F4"/>
    <w:rsid w:val="00731714"/>
    <w:rsid w:val="0073363D"/>
    <w:rsid w:val="007357DA"/>
    <w:rsid w:val="007363E4"/>
    <w:rsid w:val="007429DE"/>
    <w:rsid w:val="00742B90"/>
    <w:rsid w:val="00743C41"/>
    <w:rsid w:val="00743CB9"/>
    <w:rsid w:val="0074434D"/>
    <w:rsid w:val="00746236"/>
    <w:rsid w:val="00757BA4"/>
    <w:rsid w:val="00757F02"/>
    <w:rsid w:val="007601EE"/>
    <w:rsid w:val="007605B8"/>
    <w:rsid w:val="007614C6"/>
    <w:rsid w:val="007615AD"/>
    <w:rsid w:val="00765DAB"/>
    <w:rsid w:val="00766877"/>
    <w:rsid w:val="00770198"/>
    <w:rsid w:val="00771B1E"/>
    <w:rsid w:val="00773C95"/>
    <w:rsid w:val="00774650"/>
    <w:rsid w:val="007813B7"/>
    <w:rsid w:val="0078171E"/>
    <w:rsid w:val="0078481B"/>
    <w:rsid w:val="0078658E"/>
    <w:rsid w:val="00786613"/>
    <w:rsid w:val="00791A68"/>
    <w:rsid w:val="007920E2"/>
    <w:rsid w:val="0079566E"/>
    <w:rsid w:val="00795B34"/>
    <w:rsid w:val="007A067F"/>
    <w:rsid w:val="007A3D5B"/>
    <w:rsid w:val="007A6E22"/>
    <w:rsid w:val="007B1770"/>
    <w:rsid w:val="007B2230"/>
    <w:rsid w:val="007B2EDB"/>
    <w:rsid w:val="007B4D3E"/>
    <w:rsid w:val="007B7C70"/>
    <w:rsid w:val="007B7DEB"/>
    <w:rsid w:val="007C08B6"/>
    <w:rsid w:val="007C1F30"/>
    <w:rsid w:val="007D2151"/>
    <w:rsid w:val="007D3B90"/>
    <w:rsid w:val="007D42CC"/>
    <w:rsid w:val="007D446C"/>
    <w:rsid w:val="007D4E03"/>
    <w:rsid w:val="007D5DE4"/>
    <w:rsid w:val="007D7C3A"/>
    <w:rsid w:val="007E0777"/>
    <w:rsid w:val="007E07BE"/>
    <w:rsid w:val="007E1341"/>
    <w:rsid w:val="007E1B41"/>
    <w:rsid w:val="007E1EC4"/>
    <w:rsid w:val="007E30B9"/>
    <w:rsid w:val="007E3C72"/>
    <w:rsid w:val="007E3E13"/>
    <w:rsid w:val="007E74F1"/>
    <w:rsid w:val="007F09B1"/>
    <w:rsid w:val="007F0F0C"/>
    <w:rsid w:val="007F1288"/>
    <w:rsid w:val="007F2B15"/>
    <w:rsid w:val="007F368B"/>
    <w:rsid w:val="007F5467"/>
    <w:rsid w:val="00800A8A"/>
    <w:rsid w:val="0080155C"/>
    <w:rsid w:val="00802C89"/>
    <w:rsid w:val="008052E1"/>
    <w:rsid w:val="008061F3"/>
    <w:rsid w:val="00813CC7"/>
    <w:rsid w:val="00820321"/>
    <w:rsid w:val="00822F2C"/>
    <w:rsid w:val="00823DEE"/>
    <w:rsid w:val="008260A0"/>
    <w:rsid w:val="008305E8"/>
    <w:rsid w:val="00832C28"/>
    <w:rsid w:val="00832FB6"/>
    <w:rsid w:val="008338C4"/>
    <w:rsid w:val="00836165"/>
    <w:rsid w:val="00841F8C"/>
    <w:rsid w:val="0084640C"/>
    <w:rsid w:val="00856088"/>
    <w:rsid w:val="00860826"/>
    <w:rsid w:val="00860CC3"/>
    <w:rsid w:val="00860E21"/>
    <w:rsid w:val="0086301C"/>
    <w:rsid w:val="00863117"/>
    <w:rsid w:val="008637AD"/>
    <w:rsid w:val="0086388B"/>
    <w:rsid w:val="00863A70"/>
    <w:rsid w:val="008642E5"/>
    <w:rsid w:val="00870A36"/>
    <w:rsid w:val="00872D93"/>
    <w:rsid w:val="00874825"/>
    <w:rsid w:val="00875F9E"/>
    <w:rsid w:val="00880470"/>
    <w:rsid w:val="00880ADD"/>
    <w:rsid w:val="00880D94"/>
    <w:rsid w:val="008859FE"/>
    <w:rsid w:val="0088611E"/>
    <w:rsid w:val="00886F64"/>
    <w:rsid w:val="008904C0"/>
    <w:rsid w:val="008924DE"/>
    <w:rsid w:val="00895070"/>
    <w:rsid w:val="0089571B"/>
    <w:rsid w:val="008A3755"/>
    <w:rsid w:val="008A3EFE"/>
    <w:rsid w:val="008B19DC"/>
    <w:rsid w:val="008B264F"/>
    <w:rsid w:val="008B6F83"/>
    <w:rsid w:val="008B7E47"/>
    <w:rsid w:val="008B7FD8"/>
    <w:rsid w:val="008C199B"/>
    <w:rsid w:val="008C2973"/>
    <w:rsid w:val="008C6324"/>
    <w:rsid w:val="008C64C4"/>
    <w:rsid w:val="008D0BD6"/>
    <w:rsid w:val="008D1A46"/>
    <w:rsid w:val="008D2C63"/>
    <w:rsid w:val="008D2D63"/>
    <w:rsid w:val="008D6DB0"/>
    <w:rsid w:val="008D74D5"/>
    <w:rsid w:val="008E0786"/>
    <w:rsid w:val="008E3A07"/>
    <w:rsid w:val="008E537B"/>
    <w:rsid w:val="008E65C3"/>
    <w:rsid w:val="008E7A4A"/>
    <w:rsid w:val="008F0619"/>
    <w:rsid w:val="008F0805"/>
    <w:rsid w:val="008F13D7"/>
    <w:rsid w:val="008F29BE"/>
    <w:rsid w:val="008F2F08"/>
    <w:rsid w:val="008F4AE5"/>
    <w:rsid w:val="008F51EB"/>
    <w:rsid w:val="008F6D42"/>
    <w:rsid w:val="00900197"/>
    <w:rsid w:val="00900BC9"/>
    <w:rsid w:val="009016D2"/>
    <w:rsid w:val="00902126"/>
    <w:rsid w:val="00902DFE"/>
    <w:rsid w:val="00902F55"/>
    <w:rsid w:val="0090582B"/>
    <w:rsid w:val="009060C0"/>
    <w:rsid w:val="009133F5"/>
    <w:rsid w:val="00914725"/>
    <w:rsid w:val="00916B8C"/>
    <w:rsid w:val="009171E7"/>
    <w:rsid w:val="0091756F"/>
    <w:rsid w:val="00920A27"/>
    <w:rsid w:val="00920CA1"/>
    <w:rsid w:val="00920FFF"/>
    <w:rsid w:val="00921216"/>
    <w:rsid w:val="009216CC"/>
    <w:rsid w:val="00926083"/>
    <w:rsid w:val="00927C5A"/>
    <w:rsid w:val="00930D08"/>
    <w:rsid w:val="00931466"/>
    <w:rsid w:val="00932D69"/>
    <w:rsid w:val="00935589"/>
    <w:rsid w:val="009409AC"/>
    <w:rsid w:val="00942644"/>
    <w:rsid w:val="009438EC"/>
    <w:rsid w:val="00944647"/>
    <w:rsid w:val="00945D20"/>
    <w:rsid w:val="00953AFD"/>
    <w:rsid w:val="0095565C"/>
    <w:rsid w:val="00956935"/>
    <w:rsid w:val="009603B8"/>
    <w:rsid w:val="00966F9A"/>
    <w:rsid w:val="009734C0"/>
    <w:rsid w:val="00977B8A"/>
    <w:rsid w:val="0098113B"/>
    <w:rsid w:val="0098153E"/>
    <w:rsid w:val="009822EB"/>
    <w:rsid w:val="0098253E"/>
    <w:rsid w:val="00982971"/>
    <w:rsid w:val="009845AD"/>
    <w:rsid w:val="00984835"/>
    <w:rsid w:val="009933EF"/>
    <w:rsid w:val="00993C43"/>
    <w:rsid w:val="00995BA0"/>
    <w:rsid w:val="009969AE"/>
    <w:rsid w:val="00996B33"/>
    <w:rsid w:val="009A0959"/>
    <w:rsid w:val="009A1278"/>
    <w:rsid w:val="009A2ADD"/>
    <w:rsid w:val="009A315A"/>
    <w:rsid w:val="009A418B"/>
    <w:rsid w:val="009A426F"/>
    <w:rsid w:val="009A42D5"/>
    <w:rsid w:val="009A4473"/>
    <w:rsid w:val="009A7735"/>
    <w:rsid w:val="009B05C9"/>
    <w:rsid w:val="009B18E1"/>
    <w:rsid w:val="009B286C"/>
    <w:rsid w:val="009B2981"/>
    <w:rsid w:val="009B4C7E"/>
    <w:rsid w:val="009B6561"/>
    <w:rsid w:val="009B76F6"/>
    <w:rsid w:val="009C151C"/>
    <w:rsid w:val="009C2F0B"/>
    <w:rsid w:val="009C2F25"/>
    <w:rsid w:val="009C440A"/>
    <w:rsid w:val="009C69C9"/>
    <w:rsid w:val="009C7224"/>
    <w:rsid w:val="009D003B"/>
    <w:rsid w:val="009D5125"/>
    <w:rsid w:val="009D60B8"/>
    <w:rsid w:val="009D7D4B"/>
    <w:rsid w:val="009E36ED"/>
    <w:rsid w:val="009E3C8C"/>
    <w:rsid w:val="009E6B77"/>
    <w:rsid w:val="009F0D39"/>
    <w:rsid w:val="009F2204"/>
    <w:rsid w:val="009F460A"/>
    <w:rsid w:val="009F7A47"/>
    <w:rsid w:val="00A01143"/>
    <w:rsid w:val="00A03868"/>
    <w:rsid w:val="00A043FB"/>
    <w:rsid w:val="00A06070"/>
    <w:rsid w:val="00A0654A"/>
    <w:rsid w:val="00A06BE4"/>
    <w:rsid w:val="00A0729C"/>
    <w:rsid w:val="00A07779"/>
    <w:rsid w:val="00A106F0"/>
    <w:rsid w:val="00A1166A"/>
    <w:rsid w:val="00A20B2E"/>
    <w:rsid w:val="00A24F33"/>
    <w:rsid w:val="00A25069"/>
    <w:rsid w:val="00A26E6B"/>
    <w:rsid w:val="00A3068F"/>
    <w:rsid w:val="00A3145B"/>
    <w:rsid w:val="00A3172D"/>
    <w:rsid w:val="00A31A11"/>
    <w:rsid w:val="00A339D0"/>
    <w:rsid w:val="00A34C74"/>
    <w:rsid w:val="00A34DEA"/>
    <w:rsid w:val="00A34EA2"/>
    <w:rsid w:val="00A359E9"/>
    <w:rsid w:val="00A41002"/>
    <w:rsid w:val="00A4201A"/>
    <w:rsid w:val="00A44E9D"/>
    <w:rsid w:val="00A463E6"/>
    <w:rsid w:val="00A46E6F"/>
    <w:rsid w:val="00A5465D"/>
    <w:rsid w:val="00A553CE"/>
    <w:rsid w:val="00A5677A"/>
    <w:rsid w:val="00A56DCC"/>
    <w:rsid w:val="00A607E9"/>
    <w:rsid w:val="00A62077"/>
    <w:rsid w:val="00A62324"/>
    <w:rsid w:val="00A625E8"/>
    <w:rsid w:val="00A6378C"/>
    <w:rsid w:val="00A63DFF"/>
    <w:rsid w:val="00A6490D"/>
    <w:rsid w:val="00A6767E"/>
    <w:rsid w:val="00A70ED2"/>
    <w:rsid w:val="00A71A2A"/>
    <w:rsid w:val="00A720AB"/>
    <w:rsid w:val="00A7415D"/>
    <w:rsid w:val="00A80363"/>
    <w:rsid w:val="00A80939"/>
    <w:rsid w:val="00A8192C"/>
    <w:rsid w:val="00A81AD1"/>
    <w:rsid w:val="00A83E9D"/>
    <w:rsid w:val="00A87C05"/>
    <w:rsid w:val="00A9169D"/>
    <w:rsid w:val="00A935E5"/>
    <w:rsid w:val="00AA240C"/>
    <w:rsid w:val="00AB5E0D"/>
    <w:rsid w:val="00AB6C23"/>
    <w:rsid w:val="00AC08C2"/>
    <w:rsid w:val="00AC101C"/>
    <w:rsid w:val="00AC355A"/>
    <w:rsid w:val="00AC5B63"/>
    <w:rsid w:val="00AC6476"/>
    <w:rsid w:val="00AC724D"/>
    <w:rsid w:val="00AD2E1F"/>
    <w:rsid w:val="00AD46DE"/>
    <w:rsid w:val="00AD4CF1"/>
    <w:rsid w:val="00AD5116"/>
    <w:rsid w:val="00AD5988"/>
    <w:rsid w:val="00AE228B"/>
    <w:rsid w:val="00AE5EE3"/>
    <w:rsid w:val="00AF7800"/>
    <w:rsid w:val="00B00CF5"/>
    <w:rsid w:val="00B072E0"/>
    <w:rsid w:val="00B1007E"/>
    <w:rsid w:val="00B10E4D"/>
    <w:rsid w:val="00B17083"/>
    <w:rsid w:val="00B20E1F"/>
    <w:rsid w:val="00B22104"/>
    <w:rsid w:val="00B253F6"/>
    <w:rsid w:val="00B254C1"/>
    <w:rsid w:val="00B26675"/>
    <w:rsid w:val="00B305DB"/>
    <w:rsid w:val="00B31AE1"/>
    <w:rsid w:val="00B332F8"/>
    <w:rsid w:val="00B33ABC"/>
    <w:rsid w:val="00B3492B"/>
    <w:rsid w:val="00B40E12"/>
    <w:rsid w:val="00B42EEC"/>
    <w:rsid w:val="00B4646F"/>
    <w:rsid w:val="00B52BB3"/>
    <w:rsid w:val="00B55C7D"/>
    <w:rsid w:val="00B56A48"/>
    <w:rsid w:val="00B56B5D"/>
    <w:rsid w:val="00B571CF"/>
    <w:rsid w:val="00B577BD"/>
    <w:rsid w:val="00B63038"/>
    <w:rsid w:val="00B63450"/>
    <w:rsid w:val="00B64BD8"/>
    <w:rsid w:val="00B701D1"/>
    <w:rsid w:val="00B71F7F"/>
    <w:rsid w:val="00B73AF2"/>
    <w:rsid w:val="00B7551A"/>
    <w:rsid w:val="00B76F14"/>
    <w:rsid w:val="00B773F1"/>
    <w:rsid w:val="00B85285"/>
    <w:rsid w:val="00B86391"/>
    <w:rsid w:val="00B86AB1"/>
    <w:rsid w:val="00B919D2"/>
    <w:rsid w:val="00B921DE"/>
    <w:rsid w:val="00BA2BF7"/>
    <w:rsid w:val="00BB0340"/>
    <w:rsid w:val="00BB2A06"/>
    <w:rsid w:val="00BB2CBB"/>
    <w:rsid w:val="00BB2DA6"/>
    <w:rsid w:val="00BB4198"/>
    <w:rsid w:val="00BC03EE"/>
    <w:rsid w:val="00BC1F88"/>
    <w:rsid w:val="00BC2D25"/>
    <w:rsid w:val="00BC370C"/>
    <w:rsid w:val="00BC59F1"/>
    <w:rsid w:val="00BC7546"/>
    <w:rsid w:val="00BD50A8"/>
    <w:rsid w:val="00BE4309"/>
    <w:rsid w:val="00BE5267"/>
    <w:rsid w:val="00BE5742"/>
    <w:rsid w:val="00BE7E16"/>
    <w:rsid w:val="00BF2FC2"/>
    <w:rsid w:val="00BF3DE1"/>
    <w:rsid w:val="00BF4843"/>
    <w:rsid w:val="00BF489C"/>
    <w:rsid w:val="00BF5205"/>
    <w:rsid w:val="00C001E8"/>
    <w:rsid w:val="00C02294"/>
    <w:rsid w:val="00C05132"/>
    <w:rsid w:val="00C10E24"/>
    <w:rsid w:val="00C12508"/>
    <w:rsid w:val="00C12DDD"/>
    <w:rsid w:val="00C20152"/>
    <w:rsid w:val="00C21B60"/>
    <w:rsid w:val="00C22EE4"/>
    <w:rsid w:val="00C23728"/>
    <w:rsid w:val="00C254BC"/>
    <w:rsid w:val="00C25F4C"/>
    <w:rsid w:val="00C26649"/>
    <w:rsid w:val="00C313A9"/>
    <w:rsid w:val="00C3260F"/>
    <w:rsid w:val="00C37043"/>
    <w:rsid w:val="00C40142"/>
    <w:rsid w:val="00C441CF"/>
    <w:rsid w:val="00C45AA2"/>
    <w:rsid w:val="00C4792C"/>
    <w:rsid w:val="00C506D4"/>
    <w:rsid w:val="00C51823"/>
    <w:rsid w:val="00C52ABA"/>
    <w:rsid w:val="00C55BEF"/>
    <w:rsid w:val="00C57AE0"/>
    <w:rsid w:val="00C57B04"/>
    <w:rsid w:val="00C601AF"/>
    <w:rsid w:val="00C6163A"/>
    <w:rsid w:val="00C61A63"/>
    <w:rsid w:val="00C63B53"/>
    <w:rsid w:val="00C66296"/>
    <w:rsid w:val="00C7394D"/>
    <w:rsid w:val="00C74443"/>
    <w:rsid w:val="00C76E39"/>
    <w:rsid w:val="00C77282"/>
    <w:rsid w:val="00C77D1D"/>
    <w:rsid w:val="00C80B58"/>
    <w:rsid w:val="00C8154D"/>
    <w:rsid w:val="00C817F7"/>
    <w:rsid w:val="00C84DE5"/>
    <w:rsid w:val="00C86248"/>
    <w:rsid w:val="00C90B31"/>
    <w:rsid w:val="00C94CDC"/>
    <w:rsid w:val="00C96135"/>
    <w:rsid w:val="00CA0C7C"/>
    <w:rsid w:val="00CA0D6F"/>
    <w:rsid w:val="00CA4C33"/>
    <w:rsid w:val="00CA6F4A"/>
    <w:rsid w:val="00CB17DA"/>
    <w:rsid w:val="00CB6427"/>
    <w:rsid w:val="00CC0FBE"/>
    <w:rsid w:val="00CC5266"/>
    <w:rsid w:val="00CD2119"/>
    <w:rsid w:val="00CD237A"/>
    <w:rsid w:val="00CD36AC"/>
    <w:rsid w:val="00CD4D45"/>
    <w:rsid w:val="00CD75DC"/>
    <w:rsid w:val="00CE13A3"/>
    <w:rsid w:val="00CE36BC"/>
    <w:rsid w:val="00CE3902"/>
    <w:rsid w:val="00CE6C0A"/>
    <w:rsid w:val="00CF1747"/>
    <w:rsid w:val="00CF322B"/>
    <w:rsid w:val="00CF37F7"/>
    <w:rsid w:val="00CF60ED"/>
    <w:rsid w:val="00CF7DDE"/>
    <w:rsid w:val="00D03E03"/>
    <w:rsid w:val="00D050E4"/>
    <w:rsid w:val="00D05D74"/>
    <w:rsid w:val="00D13D02"/>
    <w:rsid w:val="00D15FDE"/>
    <w:rsid w:val="00D20C59"/>
    <w:rsid w:val="00D21307"/>
    <w:rsid w:val="00D23323"/>
    <w:rsid w:val="00D2392A"/>
    <w:rsid w:val="00D24964"/>
    <w:rsid w:val="00D25FFE"/>
    <w:rsid w:val="00D260C0"/>
    <w:rsid w:val="00D27C1D"/>
    <w:rsid w:val="00D30CDE"/>
    <w:rsid w:val="00D34DD0"/>
    <w:rsid w:val="00D35EEE"/>
    <w:rsid w:val="00D36714"/>
    <w:rsid w:val="00D42447"/>
    <w:rsid w:val="00D42589"/>
    <w:rsid w:val="00D4476F"/>
    <w:rsid w:val="00D50573"/>
    <w:rsid w:val="00D54D50"/>
    <w:rsid w:val="00D560B4"/>
    <w:rsid w:val="00D623EF"/>
    <w:rsid w:val="00D63878"/>
    <w:rsid w:val="00D662F8"/>
    <w:rsid w:val="00D66797"/>
    <w:rsid w:val="00D67113"/>
    <w:rsid w:val="00D7087C"/>
    <w:rsid w:val="00D70C3C"/>
    <w:rsid w:val="00D71DF7"/>
    <w:rsid w:val="00D724F3"/>
    <w:rsid w:val="00D72BE5"/>
    <w:rsid w:val="00D75C05"/>
    <w:rsid w:val="00D81462"/>
    <w:rsid w:val="00D81DCB"/>
    <w:rsid w:val="00D82F26"/>
    <w:rsid w:val="00D84795"/>
    <w:rsid w:val="00D863D0"/>
    <w:rsid w:val="00D86FB9"/>
    <w:rsid w:val="00D87C87"/>
    <w:rsid w:val="00D90BB4"/>
    <w:rsid w:val="00D90E07"/>
    <w:rsid w:val="00D932C2"/>
    <w:rsid w:val="00D9510C"/>
    <w:rsid w:val="00D9664C"/>
    <w:rsid w:val="00D97551"/>
    <w:rsid w:val="00DA25A6"/>
    <w:rsid w:val="00DA76FA"/>
    <w:rsid w:val="00DB1C24"/>
    <w:rsid w:val="00DB39CF"/>
    <w:rsid w:val="00DB7256"/>
    <w:rsid w:val="00DB758D"/>
    <w:rsid w:val="00DC0401"/>
    <w:rsid w:val="00DC20BD"/>
    <w:rsid w:val="00DD0BCD"/>
    <w:rsid w:val="00DD1105"/>
    <w:rsid w:val="00DD28E9"/>
    <w:rsid w:val="00DD2A6D"/>
    <w:rsid w:val="00DD447A"/>
    <w:rsid w:val="00DD65C3"/>
    <w:rsid w:val="00DE3B20"/>
    <w:rsid w:val="00DE408D"/>
    <w:rsid w:val="00DE560B"/>
    <w:rsid w:val="00DE5643"/>
    <w:rsid w:val="00DE6C94"/>
    <w:rsid w:val="00DE6FD7"/>
    <w:rsid w:val="00DF0182"/>
    <w:rsid w:val="00DF191E"/>
    <w:rsid w:val="00DF46F8"/>
    <w:rsid w:val="00DF4C49"/>
    <w:rsid w:val="00E02CEF"/>
    <w:rsid w:val="00E12712"/>
    <w:rsid w:val="00E13665"/>
    <w:rsid w:val="00E16776"/>
    <w:rsid w:val="00E23271"/>
    <w:rsid w:val="00E233B0"/>
    <w:rsid w:val="00E242D8"/>
    <w:rsid w:val="00E24F80"/>
    <w:rsid w:val="00E259F3"/>
    <w:rsid w:val="00E30985"/>
    <w:rsid w:val="00E33238"/>
    <w:rsid w:val="00E359C1"/>
    <w:rsid w:val="00E376B7"/>
    <w:rsid w:val="00E410BD"/>
    <w:rsid w:val="00E42F5D"/>
    <w:rsid w:val="00E4348B"/>
    <w:rsid w:val="00E4486C"/>
    <w:rsid w:val="00E460B6"/>
    <w:rsid w:val="00E511D5"/>
    <w:rsid w:val="00E53E3A"/>
    <w:rsid w:val="00E60249"/>
    <w:rsid w:val="00E65269"/>
    <w:rsid w:val="00E673AA"/>
    <w:rsid w:val="00E721BD"/>
    <w:rsid w:val="00E747F1"/>
    <w:rsid w:val="00E751D4"/>
    <w:rsid w:val="00E763E9"/>
    <w:rsid w:val="00E76D66"/>
    <w:rsid w:val="00E80395"/>
    <w:rsid w:val="00E956BA"/>
    <w:rsid w:val="00E957E2"/>
    <w:rsid w:val="00E96140"/>
    <w:rsid w:val="00EA34E3"/>
    <w:rsid w:val="00EA41A5"/>
    <w:rsid w:val="00EA5357"/>
    <w:rsid w:val="00EA796A"/>
    <w:rsid w:val="00EB06C1"/>
    <w:rsid w:val="00EB1856"/>
    <w:rsid w:val="00EC2092"/>
    <w:rsid w:val="00EC34E2"/>
    <w:rsid w:val="00EC41D9"/>
    <w:rsid w:val="00EC50CE"/>
    <w:rsid w:val="00EC5B34"/>
    <w:rsid w:val="00ED021E"/>
    <w:rsid w:val="00ED0275"/>
    <w:rsid w:val="00ED323C"/>
    <w:rsid w:val="00ED44A2"/>
    <w:rsid w:val="00ED6B29"/>
    <w:rsid w:val="00EE1595"/>
    <w:rsid w:val="00EE2D5C"/>
    <w:rsid w:val="00EE4ADE"/>
    <w:rsid w:val="00EE4DE8"/>
    <w:rsid w:val="00EE5CB7"/>
    <w:rsid w:val="00EE5DBA"/>
    <w:rsid w:val="00EF1CF2"/>
    <w:rsid w:val="00F024FE"/>
    <w:rsid w:val="00F05AD4"/>
    <w:rsid w:val="00F07782"/>
    <w:rsid w:val="00F10EB6"/>
    <w:rsid w:val="00F13F07"/>
    <w:rsid w:val="00F140B2"/>
    <w:rsid w:val="00F150F1"/>
    <w:rsid w:val="00F16628"/>
    <w:rsid w:val="00F16D42"/>
    <w:rsid w:val="00F2189C"/>
    <w:rsid w:val="00F246FA"/>
    <w:rsid w:val="00F2494A"/>
    <w:rsid w:val="00F25970"/>
    <w:rsid w:val="00F311A9"/>
    <w:rsid w:val="00F31FBE"/>
    <w:rsid w:val="00F32AB5"/>
    <w:rsid w:val="00F32B57"/>
    <w:rsid w:val="00F426FA"/>
    <w:rsid w:val="00F5180D"/>
    <w:rsid w:val="00F520D3"/>
    <w:rsid w:val="00F54D22"/>
    <w:rsid w:val="00F6065C"/>
    <w:rsid w:val="00F62511"/>
    <w:rsid w:val="00F63201"/>
    <w:rsid w:val="00F63781"/>
    <w:rsid w:val="00F655D3"/>
    <w:rsid w:val="00F67496"/>
    <w:rsid w:val="00F801BA"/>
    <w:rsid w:val="00F8069D"/>
    <w:rsid w:val="00F808D6"/>
    <w:rsid w:val="00F913FF"/>
    <w:rsid w:val="00F9366A"/>
    <w:rsid w:val="00F946C9"/>
    <w:rsid w:val="00FA0EA5"/>
    <w:rsid w:val="00FA4289"/>
    <w:rsid w:val="00FA64F1"/>
    <w:rsid w:val="00FA6C09"/>
    <w:rsid w:val="00FA74EE"/>
    <w:rsid w:val="00FB1179"/>
    <w:rsid w:val="00FB1A80"/>
    <w:rsid w:val="00FB4362"/>
    <w:rsid w:val="00FB786C"/>
    <w:rsid w:val="00FB7A92"/>
    <w:rsid w:val="00FC3711"/>
    <w:rsid w:val="00FC46E7"/>
    <w:rsid w:val="00FC5D25"/>
    <w:rsid w:val="00FD0D7E"/>
    <w:rsid w:val="00FD4FFB"/>
    <w:rsid w:val="00FD7594"/>
    <w:rsid w:val="00FD7BBD"/>
    <w:rsid w:val="00FE0071"/>
    <w:rsid w:val="00FE118B"/>
    <w:rsid w:val="00FE35AC"/>
    <w:rsid w:val="00FE6E13"/>
    <w:rsid w:val="00FF15F6"/>
    <w:rsid w:val="00FF469C"/>
    <w:rsid w:val="00FF527C"/>
    <w:rsid w:val="00FF5CB6"/>
    <w:rsid w:val="00FF62D9"/>
    <w:rsid w:val="00FF65C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D34F20"/>
  <w15:docId w15:val="{2D2EAA27-C90D-4BBC-8163-EFC338CE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05AD"/>
    <w:rPr>
      <w:rFonts w:ascii="Segoe UI" w:hAnsi="Segoe UI"/>
      <w:sz w:val="21"/>
      <w:lang w:eastAsia="en-GB"/>
    </w:rPr>
  </w:style>
  <w:style w:type="paragraph" w:styleId="Heading1">
    <w:name w:val="heading 1"/>
    <w:basedOn w:val="Normal"/>
    <w:next w:val="Normal"/>
    <w:link w:val="Heading1Char"/>
    <w:uiPriority w:val="9"/>
    <w:qFormat/>
    <w:rsid w:val="00C10E24"/>
    <w:pPr>
      <w:pageBreakBefore/>
      <w:spacing w:after="360"/>
      <w:outlineLvl w:val="0"/>
    </w:pPr>
    <w:rPr>
      <w:b/>
      <w:color w:val="23305D"/>
      <w:spacing w:val="-10"/>
      <w:sz w:val="72"/>
    </w:rPr>
  </w:style>
  <w:style w:type="paragraph" w:styleId="Heading2">
    <w:name w:val="heading 2"/>
    <w:basedOn w:val="Normal"/>
    <w:next w:val="Normal"/>
    <w:link w:val="Heading2Char"/>
    <w:uiPriority w:val="9"/>
    <w:qFormat/>
    <w:rsid w:val="00535CAC"/>
    <w:pPr>
      <w:keepNext/>
      <w:spacing w:before="360" w:after="180"/>
      <w:outlineLvl w:val="1"/>
    </w:pPr>
    <w:rPr>
      <w:rFonts w:eastAsia="Arial"/>
      <w:b/>
      <w:color w:val="0A6AB4"/>
      <w:spacing w:val="-5"/>
      <w:sz w:val="48"/>
    </w:rPr>
  </w:style>
  <w:style w:type="paragraph" w:styleId="Heading3">
    <w:name w:val="heading 3"/>
    <w:basedOn w:val="Normal"/>
    <w:next w:val="Normal"/>
    <w:link w:val="Heading3Char"/>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953AFD"/>
    <w:pPr>
      <w:tabs>
        <w:tab w:val="right" w:pos="8080"/>
      </w:tabs>
      <w:spacing w:before="18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uiPriority w:val="39"/>
    <w:rsid w:val="00953AFD"/>
    <w:pPr>
      <w:tabs>
        <w:tab w:val="right" w:pos="8080"/>
      </w:tabs>
      <w:spacing w:before="120" w:after="120"/>
      <w:ind w:left="1134" w:right="567" w:hanging="567"/>
    </w:pPr>
  </w:style>
  <w:style w:type="paragraph" w:customStyle="1" w:styleId="Bullet">
    <w:name w:val="Bullet"/>
    <w:basedOn w:val="Normal"/>
    <w:link w:val="BulletChar"/>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A7415D"/>
    <w:pPr>
      <w:spacing w:before="60" w:line="228" w:lineRule="auto"/>
      <w:ind w:left="284" w:hanging="284"/>
    </w:pPr>
    <w:rPr>
      <w:sz w:val="17"/>
    </w:rPr>
  </w:style>
  <w:style w:type="paragraph" w:styleId="Header">
    <w:name w:val="header"/>
    <w:basedOn w:val="Normal"/>
    <w:link w:val="HeaderChar"/>
    <w:uiPriority w:val="99"/>
    <w:qFormat/>
    <w:rsid w:val="00D25FFE"/>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FA4289"/>
    <w:rPr>
      <w:sz w:val="18"/>
      <w:szCs w:val="18"/>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link w:val="TableTextChar"/>
    <w:qFormat/>
    <w:rsid w:val="009C440A"/>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qFormat/>
    <w:rsid w:val="00E30985"/>
    <w:pPr>
      <w:spacing w:before="240" w:line="264" w:lineRule="auto"/>
    </w:pPr>
    <w:rPr>
      <w:b/>
      <w:color w:val="FFFFFF" w:themeColor="background1"/>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Normal"/>
    <w:qFormat/>
    <w:rsid w:val="005A79E5"/>
    <w:pPr>
      <w:spacing w:before="840"/>
      <w:ind w:right="3402"/>
    </w:pPr>
    <w:rPr>
      <w:rFonts w:ascii="Segoe UI Semibold" w:hAnsi="Segoe UI Semibold" w:cs="Segoe UI Semibold"/>
      <w:sz w:val="2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9"/>
    <w:rsid w:val="00C10E24"/>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535CAC"/>
    <w:rPr>
      <w:rFonts w:ascii="Segoe UI" w:eastAsia="Arial"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paragraph" w:customStyle="1" w:styleId="Year">
    <w:name w:val="Year"/>
    <w:basedOn w:val="Subhead"/>
    <w:next w:val="Subhead"/>
    <w:qFormat/>
    <w:rsid w:val="008E3A07"/>
    <w:pPr>
      <w:pBdr>
        <w:bottom w:val="single" w:sz="48" w:space="6" w:color="auto"/>
      </w:pBdr>
    </w:pPr>
    <w:rPr>
      <w:sz w:val="56"/>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qFormat/>
    <w:rsid w:val="00514EEA"/>
    <w:pPr>
      <w:numPr>
        <w:numId w:val="5"/>
      </w:numPr>
      <w:spacing w:before="90"/>
    </w:pPr>
    <w:rPr>
      <w:szCs w:val="24"/>
    </w:rPr>
  </w:style>
  <w:style w:type="paragraph" w:customStyle="1" w:styleId="Letter">
    <w:name w:val="Letter"/>
    <w:basedOn w:val="Normal"/>
    <w:qFormat/>
    <w:rsid w:val="00C10E24"/>
    <w:pPr>
      <w:numPr>
        <w:ilvl w:val="1"/>
        <w:numId w:val="5"/>
      </w:numPr>
      <w:spacing w:before="120"/>
      <w:ind w:left="1134"/>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E30985"/>
    <w:pPr>
      <w:keepNext/>
      <w:spacing w:after="120"/>
    </w:pPr>
    <w:rPr>
      <w:rFonts w:eastAsia="Arial Unicode MS"/>
    </w:rPr>
  </w:style>
  <w:style w:type="paragraph" w:customStyle="1" w:styleId="Shadedboxtext">
    <w:name w:val="Shaded box text"/>
    <w:basedOn w:val="Normal"/>
    <w:qFormat/>
    <w:rsid w:val="00E30985"/>
    <w:pPr>
      <w:spacing w:line="228" w:lineRule="auto"/>
      <w:ind w:right="142"/>
    </w:pPr>
    <w:rPr>
      <w:rFonts w:eastAsia="Arial Unicode MS"/>
    </w:rPr>
  </w:style>
  <w:style w:type="character" w:customStyle="1" w:styleId="TableTextChar">
    <w:name w:val="TableText Char"/>
    <w:link w:val="TableText"/>
    <w:rsid w:val="00895070"/>
    <w:rPr>
      <w:rFonts w:ascii="Segoe UI" w:hAnsi="Segoe UI"/>
      <w:sz w:val="18"/>
      <w:lang w:eastAsia="en-GB"/>
    </w:rPr>
  </w:style>
  <w:style w:type="paragraph" w:customStyle="1" w:styleId="Roman">
    <w:name w:val="Roman"/>
    <w:basedOn w:val="Normal"/>
    <w:qFormat/>
    <w:rsid w:val="00A463E6"/>
    <w:pPr>
      <w:numPr>
        <w:ilvl w:val="2"/>
        <w:numId w:val="5"/>
      </w:numPr>
      <w:spacing w:before="90"/>
    </w:pPr>
  </w:style>
  <w:style w:type="paragraph" w:styleId="BalloonText">
    <w:name w:val="Balloon Text"/>
    <w:basedOn w:val="Normal"/>
    <w:link w:val="BalloonTextChar"/>
    <w:uiPriority w:val="99"/>
    <w:semiHidden/>
    <w:unhideWhenUsed/>
    <w:rsid w:val="000569D8"/>
    <w:rPr>
      <w:rFonts w:ascii="Tahoma" w:hAnsi="Tahoma" w:cs="Tahoma"/>
      <w:sz w:val="16"/>
      <w:szCs w:val="16"/>
    </w:rPr>
  </w:style>
  <w:style w:type="character" w:customStyle="1" w:styleId="BalloonTextChar">
    <w:name w:val="Balloon Text Char"/>
    <w:basedOn w:val="DefaultParagraphFont"/>
    <w:link w:val="BalloonText"/>
    <w:uiPriority w:val="99"/>
    <w:semiHidden/>
    <w:rsid w:val="000569D8"/>
    <w:rPr>
      <w:rFonts w:ascii="Tahoma" w:hAnsi="Tahoma" w:cs="Tahoma"/>
      <w:sz w:val="16"/>
      <w:szCs w:val="16"/>
      <w:lang w:eastAsia="en-GB"/>
    </w:rPr>
  </w:style>
  <w:style w:type="character" w:styleId="CommentReference">
    <w:name w:val="annotation reference"/>
    <w:basedOn w:val="DefaultParagraphFont"/>
    <w:uiPriority w:val="99"/>
    <w:semiHidden/>
    <w:unhideWhenUsed/>
    <w:rsid w:val="002469F7"/>
    <w:rPr>
      <w:sz w:val="16"/>
      <w:szCs w:val="16"/>
    </w:rPr>
  </w:style>
  <w:style w:type="paragraph" w:styleId="CommentSubject">
    <w:name w:val="annotation subject"/>
    <w:basedOn w:val="Normal"/>
    <w:next w:val="Normal"/>
    <w:link w:val="CommentSubjectChar"/>
    <w:uiPriority w:val="99"/>
    <w:semiHidden/>
    <w:unhideWhenUsed/>
    <w:rsid w:val="00BC370C"/>
    <w:rPr>
      <w:b/>
      <w:bCs/>
      <w:sz w:val="20"/>
    </w:rPr>
  </w:style>
  <w:style w:type="character" w:customStyle="1" w:styleId="CommentSubjectChar">
    <w:name w:val="Comment Subject Char"/>
    <w:basedOn w:val="DefaultParagraphFont"/>
    <w:link w:val="CommentSubject"/>
    <w:uiPriority w:val="99"/>
    <w:semiHidden/>
    <w:rsid w:val="00BC370C"/>
    <w:rPr>
      <w:rFonts w:ascii="Segoe UI" w:hAnsi="Segoe UI"/>
      <w:b/>
      <w:bCs/>
      <w:lang w:eastAsia="en-GB"/>
    </w:rPr>
  </w:style>
  <w:style w:type="paragraph" w:styleId="ListParagraph">
    <w:name w:val="List Paragraph"/>
    <w:aliases w:val="Normal text,List Paragraph1"/>
    <w:basedOn w:val="Number"/>
    <w:link w:val="ListParagraphChar"/>
    <w:uiPriority w:val="34"/>
    <w:qFormat/>
    <w:rsid w:val="00514EEA"/>
  </w:style>
  <w:style w:type="paragraph" w:styleId="CommentText">
    <w:name w:val="annotation text"/>
    <w:basedOn w:val="Normal"/>
    <w:link w:val="CommentTextChar"/>
    <w:uiPriority w:val="99"/>
    <w:semiHidden/>
    <w:unhideWhenUsed/>
    <w:rsid w:val="004B49A6"/>
    <w:rPr>
      <w:sz w:val="20"/>
    </w:rPr>
  </w:style>
  <w:style w:type="character" w:customStyle="1" w:styleId="CommentTextChar">
    <w:name w:val="Comment Text Char"/>
    <w:basedOn w:val="DefaultParagraphFont"/>
    <w:link w:val="CommentText"/>
    <w:uiPriority w:val="99"/>
    <w:semiHidden/>
    <w:rsid w:val="004B49A6"/>
    <w:rPr>
      <w:rFonts w:ascii="Segoe UI" w:hAnsi="Segoe UI"/>
      <w:lang w:eastAsia="en-GB"/>
    </w:rPr>
  </w:style>
  <w:style w:type="paragraph" w:styleId="ListBullet">
    <w:name w:val="List Bullet"/>
    <w:basedOn w:val="Normal"/>
    <w:uiPriority w:val="99"/>
    <w:unhideWhenUsed/>
    <w:rsid w:val="007F09B1"/>
    <w:pPr>
      <w:tabs>
        <w:tab w:val="num" w:pos="360"/>
      </w:tabs>
      <w:ind w:left="360" w:hanging="360"/>
      <w:contextualSpacing/>
    </w:pPr>
  </w:style>
  <w:style w:type="character" w:customStyle="1" w:styleId="UnresolvedMention1">
    <w:name w:val="Unresolved Mention1"/>
    <w:basedOn w:val="DefaultParagraphFont"/>
    <w:uiPriority w:val="99"/>
    <w:semiHidden/>
    <w:unhideWhenUsed/>
    <w:rsid w:val="009A1278"/>
    <w:rPr>
      <w:color w:val="605E5C"/>
      <w:shd w:val="clear" w:color="auto" w:fill="E1DFDD"/>
    </w:rPr>
  </w:style>
  <w:style w:type="character" w:styleId="UnresolvedMention">
    <w:name w:val="Unresolved Mention"/>
    <w:basedOn w:val="DefaultParagraphFont"/>
    <w:uiPriority w:val="99"/>
    <w:semiHidden/>
    <w:unhideWhenUsed/>
    <w:rsid w:val="0086301C"/>
    <w:rPr>
      <w:color w:val="605E5C"/>
      <w:shd w:val="clear" w:color="auto" w:fill="E1DFDD"/>
    </w:rPr>
  </w:style>
  <w:style w:type="character" w:customStyle="1" w:styleId="ListParagraphChar">
    <w:name w:val="List Paragraph Char"/>
    <w:aliases w:val="Normal text Char,List Paragraph1 Char"/>
    <w:basedOn w:val="DefaultParagraphFont"/>
    <w:link w:val="ListParagraph"/>
    <w:uiPriority w:val="34"/>
    <w:rsid w:val="00514EEA"/>
    <w:rPr>
      <w:rFonts w:ascii="Segoe UI" w:hAnsi="Segoe UI"/>
      <w:sz w:val="21"/>
      <w:szCs w:val="24"/>
      <w:lang w:eastAsia="en-GB"/>
    </w:rPr>
  </w:style>
  <w:style w:type="table" w:customStyle="1" w:styleId="TableGrid1">
    <w:name w:val="Table Grid1"/>
    <w:basedOn w:val="TableNormal"/>
    <w:next w:val="TableGrid"/>
    <w:uiPriority w:val="39"/>
    <w:rsid w:val="000C656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0C656C"/>
    <w:pPr>
      <w:spacing w:after="240" w:line="300" w:lineRule="atLeast"/>
    </w:pPr>
    <w:rPr>
      <w:rFonts w:cs="Arial"/>
      <w:color w:val="262626"/>
      <w:sz w:val="20"/>
      <w:szCs w:val="22"/>
      <w:lang w:eastAsia="en-US"/>
    </w:rPr>
  </w:style>
  <w:style w:type="character" w:customStyle="1" w:styleId="BodyChar">
    <w:name w:val="Body Char"/>
    <w:link w:val="Body"/>
    <w:rsid w:val="000C656C"/>
    <w:rPr>
      <w:rFonts w:ascii="Segoe UI" w:hAnsi="Segoe UI" w:cs="Arial"/>
      <w:color w:val="262626"/>
      <w:szCs w:val="22"/>
      <w:lang w:eastAsia="en-US"/>
    </w:rPr>
  </w:style>
  <w:style w:type="paragraph" w:customStyle="1" w:styleId="ListParagraph2">
    <w:name w:val="List Paragraph 2"/>
    <w:basedOn w:val="ListParagraph"/>
    <w:qFormat/>
    <w:rsid w:val="000C656C"/>
    <w:pPr>
      <w:keepNext/>
      <w:keepLines/>
      <w:numPr>
        <w:numId w:val="8"/>
      </w:numPr>
      <w:spacing w:before="120" w:line="276" w:lineRule="auto"/>
      <w:ind w:left="567" w:hanging="567"/>
      <w:contextualSpacing/>
    </w:pPr>
    <w:rPr>
      <w:rFonts w:cs="Segoe UI"/>
      <w:color w:val="2E74B5"/>
      <w:sz w:val="32"/>
      <w:szCs w:val="32"/>
      <w:lang w:val="en" w:eastAsia="en-US"/>
    </w:rPr>
  </w:style>
  <w:style w:type="paragraph" w:customStyle="1" w:styleId="NormalBold">
    <w:name w:val="Normal Bold"/>
    <w:basedOn w:val="Normal"/>
    <w:qFormat/>
    <w:rsid w:val="00FA6C09"/>
    <w:pPr>
      <w:spacing w:before="180" w:after="120" w:line="276" w:lineRule="auto"/>
    </w:pPr>
    <w:rPr>
      <w:rFonts w:eastAsia="Calibri" w:cs="Segoe UI"/>
      <w:b/>
      <w:sz w:val="22"/>
      <w:szCs w:val="22"/>
      <w:lang w:val="en" w:eastAsia="en-US"/>
    </w:rPr>
  </w:style>
  <w:style w:type="paragraph" w:customStyle="1" w:styleId="ReferenceText">
    <w:name w:val="Reference Text"/>
    <w:basedOn w:val="ListParagraph"/>
    <w:qFormat/>
    <w:rsid w:val="00FA6C09"/>
    <w:pPr>
      <w:numPr>
        <w:numId w:val="7"/>
      </w:numPr>
      <w:spacing w:before="0" w:after="160" w:line="276" w:lineRule="auto"/>
      <w:contextualSpacing/>
    </w:pPr>
    <w:rPr>
      <w:rFonts w:cs="Segoe UI"/>
      <w:bCs/>
      <w:color w:val="2B2B2B"/>
      <w:sz w:val="16"/>
      <w:szCs w:val="16"/>
      <w:lang w:val="en"/>
    </w:rPr>
  </w:style>
  <w:style w:type="paragraph" w:customStyle="1" w:styleId="Heading2-nonumbering">
    <w:name w:val="Heading 2 - no numbering"/>
    <w:basedOn w:val="Heading2"/>
    <w:next w:val="Normal"/>
    <w:autoRedefine/>
    <w:qFormat/>
    <w:rsid w:val="00A8192C"/>
    <w:pPr>
      <w:keepNext w:val="0"/>
      <w:pageBreakBefore/>
      <w:spacing w:before="0"/>
    </w:pPr>
    <w:rPr>
      <w:b w:val="0"/>
      <w:sz w:val="36"/>
    </w:rPr>
  </w:style>
  <w:style w:type="character" w:styleId="Strong">
    <w:name w:val="Strong"/>
    <w:basedOn w:val="DefaultParagraphFont"/>
    <w:uiPriority w:val="22"/>
    <w:qFormat/>
    <w:rsid w:val="00A8192C"/>
    <w:rPr>
      <w:b/>
      <w:bCs/>
    </w:rPr>
  </w:style>
  <w:style w:type="paragraph" w:styleId="NormalWeb">
    <w:name w:val="Normal (Web)"/>
    <w:basedOn w:val="Normal"/>
    <w:uiPriority w:val="99"/>
    <w:unhideWhenUsed/>
    <w:rsid w:val="00A8192C"/>
    <w:pPr>
      <w:spacing w:before="100" w:beforeAutospacing="1" w:after="100" w:afterAutospacing="1"/>
    </w:pPr>
    <w:rPr>
      <w:rFonts w:ascii="Times New Roman" w:hAnsi="Times New Roman"/>
      <w:sz w:val="24"/>
      <w:szCs w:val="24"/>
      <w:lang w:eastAsia="en-NZ"/>
    </w:rPr>
  </w:style>
  <w:style w:type="paragraph" w:customStyle="1" w:styleId="Default">
    <w:name w:val="Default"/>
    <w:rsid w:val="00A8192C"/>
    <w:pPr>
      <w:autoSpaceDE w:val="0"/>
      <w:autoSpaceDN w:val="0"/>
      <w:adjustRightInd w:val="0"/>
    </w:pPr>
    <w:rPr>
      <w:rFonts w:ascii="Arial" w:eastAsiaTheme="minorHAnsi" w:hAnsi="Arial" w:cs="Arial"/>
      <w:color w:val="000000"/>
      <w:sz w:val="24"/>
      <w:szCs w:val="24"/>
      <w:lang w:eastAsia="en-US"/>
    </w:rPr>
  </w:style>
  <w:style w:type="character" w:customStyle="1" w:styleId="ilfuvd">
    <w:name w:val="ilfuvd"/>
    <w:basedOn w:val="DefaultParagraphFont"/>
    <w:rsid w:val="00A8192C"/>
  </w:style>
  <w:style w:type="character" w:styleId="Emphasis">
    <w:name w:val="Emphasis"/>
    <w:basedOn w:val="DefaultParagraphFont"/>
    <w:uiPriority w:val="20"/>
    <w:qFormat/>
    <w:rsid w:val="00A8192C"/>
    <w:rPr>
      <w:i/>
      <w:iCs/>
    </w:rPr>
  </w:style>
  <w:style w:type="paragraph" w:styleId="BodyTextIndent">
    <w:name w:val="Body Text Indent"/>
    <w:basedOn w:val="Normal"/>
    <w:link w:val="BodyTextIndentChar"/>
    <w:uiPriority w:val="99"/>
    <w:unhideWhenUsed/>
    <w:rsid w:val="00A8192C"/>
    <w:pPr>
      <w:spacing w:after="80" w:line="259" w:lineRule="auto"/>
      <w:ind w:left="33"/>
    </w:pPr>
    <w:rPr>
      <w:rFonts w:ascii="Arial" w:eastAsiaTheme="minorHAnsi" w:hAnsi="Arial" w:cs="Arial"/>
      <w:sz w:val="18"/>
      <w:szCs w:val="18"/>
      <w:lang w:eastAsia="en-US"/>
    </w:rPr>
  </w:style>
  <w:style w:type="character" w:customStyle="1" w:styleId="BodyTextIndentChar">
    <w:name w:val="Body Text Indent Char"/>
    <w:basedOn w:val="DefaultParagraphFont"/>
    <w:link w:val="BodyTextIndent"/>
    <w:uiPriority w:val="99"/>
    <w:rsid w:val="00A8192C"/>
    <w:rPr>
      <w:rFonts w:ascii="Arial" w:eastAsiaTheme="minorHAnsi" w:hAnsi="Arial" w:cs="Arial"/>
      <w:sz w:val="18"/>
      <w:szCs w:val="18"/>
      <w:lang w:eastAsia="en-US"/>
    </w:rPr>
  </w:style>
  <w:style w:type="paragraph" w:styleId="EndnoteText">
    <w:name w:val="endnote text"/>
    <w:basedOn w:val="Normal"/>
    <w:link w:val="EndnoteTextChar"/>
    <w:unhideWhenUsed/>
    <w:rsid w:val="00A8192C"/>
    <w:rPr>
      <w:sz w:val="20"/>
    </w:rPr>
  </w:style>
  <w:style w:type="character" w:customStyle="1" w:styleId="EndnoteTextChar">
    <w:name w:val="Endnote Text Char"/>
    <w:basedOn w:val="DefaultParagraphFont"/>
    <w:link w:val="EndnoteText"/>
    <w:rsid w:val="00A8192C"/>
    <w:rPr>
      <w:rFonts w:ascii="Segoe UI" w:hAnsi="Segoe UI"/>
      <w:lang w:eastAsia="en-GB"/>
    </w:rPr>
  </w:style>
  <w:style w:type="character" w:styleId="EndnoteReference">
    <w:name w:val="endnote reference"/>
    <w:basedOn w:val="DefaultParagraphFont"/>
    <w:unhideWhenUsed/>
    <w:rsid w:val="00A8192C"/>
    <w:rPr>
      <w:vertAlign w:val="superscript"/>
    </w:rPr>
  </w:style>
  <w:style w:type="character" w:styleId="FollowedHyperlink">
    <w:name w:val="FollowedHyperlink"/>
    <w:basedOn w:val="DefaultParagraphFont"/>
    <w:unhideWhenUsed/>
    <w:rsid w:val="00A8192C"/>
    <w:rPr>
      <w:color w:val="800080" w:themeColor="followedHyperlink"/>
      <w:u w:val="single"/>
    </w:rPr>
  </w:style>
  <w:style w:type="paragraph" w:styleId="TOCHeading">
    <w:name w:val="TOC Heading"/>
    <w:basedOn w:val="Heading1"/>
    <w:next w:val="Normal"/>
    <w:uiPriority w:val="39"/>
    <w:unhideWhenUsed/>
    <w:qFormat/>
    <w:rsid w:val="00A8192C"/>
    <w:pPr>
      <w:keepNext/>
      <w:keepLines/>
      <w:pageBreakBefore w:val="0"/>
      <w:spacing w:before="240" w:after="0" w:line="259" w:lineRule="auto"/>
      <w:outlineLvl w:val="9"/>
    </w:pPr>
    <w:rPr>
      <w:rFonts w:asciiTheme="majorHAnsi" w:eastAsiaTheme="majorEastAsia" w:hAnsiTheme="majorHAnsi" w:cstheme="majorBidi"/>
      <w:color w:val="365F91" w:themeColor="accent1" w:themeShade="BF"/>
      <w:spacing w:val="0"/>
      <w:sz w:val="32"/>
      <w:szCs w:val="32"/>
      <w:lang w:val="en-US" w:eastAsia="en-US"/>
    </w:rPr>
  </w:style>
  <w:style w:type="paragraph" w:customStyle="1" w:styleId="Tableheading">
    <w:name w:val="Table heading"/>
    <w:basedOn w:val="Normal"/>
    <w:link w:val="TableheadingChar"/>
    <w:qFormat/>
    <w:rsid w:val="00A8192C"/>
    <w:pPr>
      <w:widowControl w:val="0"/>
      <w:autoSpaceDE w:val="0"/>
      <w:autoSpaceDN w:val="0"/>
      <w:adjustRightInd w:val="0"/>
      <w:spacing w:before="60" w:after="60"/>
    </w:pPr>
    <w:rPr>
      <w:b/>
      <w:sz w:val="20"/>
    </w:rPr>
  </w:style>
  <w:style w:type="character" w:customStyle="1" w:styleId="BulletChar">
    <w:name w:val="Bullet Char"/>
    <w:link w:val="Bullet"/>
    <w:rsid w:val="00A8192C"/>
    <w:rPr>
      <w:rFonts w:ascii="Segoe UI" w:hAnsi="Segoe UI"/>
      <w:sz w:val="21"/>
      <w:lang w:eastAsia="en-GB"/>
    </w:rPr>
  </w:style>
  <w:style w:type="character" w:customStyle="1" w:styleId="TableheadingChar">
    <w:name w:val="Table heading Char"/>
    <w:link w:val="Tableheading"/>
    <w:rsid w:val="00A8192C"/>
    <w:rPr>
      <w:rFonts w:ascii="Segoe UI" w:hAnsi="Segoe UI"/>
      <w:b/>
      <w:lang w:eastAsia="en-GB"/>
    </w:rPr>
  </w:style>
  <w:style w:type="character" w:customStyle="1" w:styleId="y0nh2b">
    <w:name w:val="y0nh2b"/>
    <w:rsid w:val="00A8192C"/>
  </w:style>
  <w:style w:type="table" w:styleId="TableGrid10">
    <w:name w:val="Table Grid 1"/>
    <w:basedOn w:val="TableNormal"/>
    <w:rsid w:val="00A8192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6">
    <w:name w:val="toc 6"/>
    <w:basedOn w:val="Normal"/>
    <w:rsid w:val="00A8192C"/>
    <w:pPr>
      <w:widowControl w:val="0"/>
      <w:tabs>
        <w:tab w:val="right" w:leader="dot" w:pos="11052"/>
      </w:tabs>
      <w:autoSpaceDE w:val="0"/>
      <w:autoSpaceDN w:val="0"/>
      <w:adjustRightInd w:val="0"/>
      <w:spacing w:before="60" w:after="60"/>
      <w:ind w:left="1415"/>
    </w:pPr>
    <w:rPr>
      <w:rFonts w:ascii="Arial" w:hAnsi="Arial" w:cs="Tahoma"/>
      <w:sz w:val="20"/>
    </w:rPr>
  </w:style>
  <w:style w:type="table" w:styleId="MediumGrid3-Accent1">
    <w:name w:val="Medium Grid 3 Accent 1"/>
    <w:basedOn w:val="TableNormal"/>
    <w:uiPriority w:val="69"/>
    <w:rsid w:val="00A8192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1-Accent11">
    <w:name w:val="Medium Shading 1 - Accent 11"/>
    <w:basedOn w:val="TableNormal"/>
    <w:uiPriority w:val="63"/>
    <w:rsid w:val="00A8192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ppendix">
    <w:name w:val="Appendix"/>
    <w:basedOn w:val="Heading1"/>
    <w:next w:val="Normal"/>
    <w:rsid w:val="00A8192C"/>
    <w:pPr>
      <w:keepNext/>
      <w:numPr>
        <w:numId w:val="11"/>
      </w:numPr>
      <w:pBdr>
        <w:bottom w:val="single" w:sz="8" w:space="1" w:color="auto"/>
      </w:pBdr>
      <w:tabs>
        <w:tab w:val="clear" w:pos="720"/>
        <w:tab w:val="num" w:pos="360"/>
        <w:tab w:val="left" w:pos="567"/>
        <w:tab w:val="left" w:pos="1680"/>
      </w:tabs>
      <w:spacing w:after="240" w:line="276" w:lineRule="auto"/>
      <w:ind w:left="360"/>
    </w:pPr>
    <w:rPr>
      <w:rFonts w:ascii="Arial" w:hAnsi="Arial" w:cs="Arial"/>
      <w:b w:val="0"/>
      <w:bCs/>
      <w:color w:val="231F20"/>
      <w:spacing w:val="0"/>
      <w:kern w:val="32"/>
      <w:sz w:val="32"/>
      <w:szCs w:val="32"/>
      <w:lang w:val="en-GB"/>
    </w:rPr>
  </w:style>
  <w:style w:type="paragraph" w:customStyle="1" w:styleId="SubHeading">
    <w:name w:val="Sub Heading"/>
    <w:basedOn w:val="Normal"/>
    <w:rsid w:val="00A8192C"/>
    <w:pPr>
      <w:widowControl w:val="0"/>
      <w:autoSpaceDE w:val="0"/>
      <w:autoSpaceDN w:val="0"/>
      <w:adjustRightInd w:val="0"/>
      <w:spacing w:before="200" w:after="100"/>
    </w:pPr>
    <w:rPr>
      <w:rFonts w:ascii="Arial" w:hAnsi="Arial"/>
      <w:b/>
      <w:bCs/>
      <w:sz w:val="24"/>
    </w:rPr>
  </w:style>
  <w:style w:type="character" w:customStyle="1" w:styleId="Bold">
    <w:name w:val="Bold"/>
    <w:rsid w:val="00A8192C"/>
    <w:rPr>
      <w:b/>
    </w:rPr>
  </w:style>
  <w:style w:type="paragraph" w:styleId="Caption">
    <w:name w:val="caption"/>
    <w:basedOn w:val="Normal"/>
    <w:rsid w:val="00A8192C"/>
    <w:pPr>
      <w:widowControl w:val="0"/>
      <w:autoSpaceDE w:val="0"/>
      <w:autoSpaceDN w:val="0"/>
      <w:adjustRightInd w:val="0"/>
      <w:spacing w:before="120" w:after="120"/>
    </w:pPr>
    <w:rPr>
      <w:rFonts w:ascii="Arial" w:hAnsi="Arial" w:cs="Tahoma"/>
      <w:i/>
      <w:iCs/>
      <w:sz w:val="20"/>
      <w:szCs w:val="24"/>
    </w:rPr>
  </w:style>
  <w:style w:type="paragraph" w:styleId="List">
    <w:name w:val="List"/>
    <w:basedOn w:val="Normal"/>
    <w:rsid w:val="00A8192C"/>
    <w:pPr>
      <w:widowControl w:val="0"/>
      <w:autoSpaceDE w:val="0"/>
      <w:autoSpaceDN w:val="0"/>
      <w:adjustRightInd w:val="0"/>
      <w:spacing w:before="60" w:after="120"/>
    </w:pPr>
    <w:rPr>
      <w:rFonts w:ascii="Arial" w:hAnsi="Arial" w:cs="Tahoma"/>
      <w:sz w:val="20"/>
    </w:rPr>
  </w:style>
  <w:style w:type="paragraph" w:customStyle="1" w:styleId="Paragrahnumber">
    <w:name w:val="Paragrah number"/>
    <w:basedOn w:val="Normal"/>
    <w:rsid w:val="00A8192C"/>
    <w:pPr>
      <w:widowControl w:val="0"/>
      <w:tabs>
        <w:tab w:val="num" w:pos="284"/>
      </w:tabs>
      <w:autoSpaceDE w:val="0"/>
      <w:autoSpaceDN w:val="0"/>
      <w:adjustRightInd w:val="0"/>
      <w:spacing w:before="60" w:after="60"/>
      <w:ind w:left="284" w:hanging="284"/>
    </w:pPr>
    <w:rPr>
      <w:rFonts w:ascii="Arial" w:hAnsi="Arial"/>
      <w:sz w:val="20"/>
    </w:rPr>
  </w:style>
  <w:style w:type="paragraph" w:customStyle="1" w:styleId="TableHead3">
    <w:name w:val="Table Head 3"/>
    <w:basedOn w:val="Normal"/>
    <w:rsid w:val="00A8192C"/>
    <w:pPr>
      <w:widowControl w:val="0"/>
      <w:spacing w:before="120" w:after="120"/>
      <w:jc w:val="center"/>
    </w:pPr>
    <w:rPr>
      <w:rFonts w:ascii="Times New Roman" w:hAnsi="Times New Roman"/>
      <w:b/>
      <w:sz w:val="20"/>
      <w:lang w:val="en-AU" w:eastAsia="en-US"/>
    </w:rPr>
  </w:style>
  <w:style w:type="paragraph" w:customStyle="1" w:styleId="TableHeading-White">
    <w:name w:val="Table Heading - White"/>
    <w:basedOn w:val="Normal"/>
    <w:rsid w:val="00A8192C"/>
    <w:pPr>
      <w:widowControl w:val="0"/>
      <w:autoSpaceDE w:val="0"/>
      <w:autoSpaceDN w:val="0"/>
      <w:adjustRightInd w:val="0"/>
      <w:spacing w:before="60" w:after="60"/>
    </w:pPr>
    <w:rPr>
      <w:rFonts w:ascii="Arial" w:hAnsi="Arial"/>
      <w:b/>
      <w:bCs/>
      <w:color w:val="FFFFFF"/>
      <w:sz w:val="20"/>
    </w:rPr>
  </w:style>
  <w:style w:type="paragraph" w:styleId="TOC4">
    <w:name w:val="toc 4"/>
    <w:basedOn w:val="Normal"/>
    <w:rsid w:val="00A8192C"/>
    <w:pPr>
      <w:widowControl w:val="0"/>
      <w:tabs>
        <w:tab w:val="right" w:leader="dot" w:pos="10486"/>
      </w:tabs>
      <w:autoSpaceDE w:val="0"/>
      <w:autoSpaceDN w:val="0"/>
      <w:adjustRightInd w:val="0"/>
      <w:spacing w:before="60" w:after="60"/>
      <w:ind w:left="849"/>
    </w:pPr>
    <w:rPr>
      <w:rFonts w:ascii="Arial" w:hAnsi="Arial" w:cs="Tahoma"/>
      <w:sz w:val="20"/>
    </w:rPr>
  </w:style>
  <w:style w:type="paragraph" w:styleId="TOC5">
    <w:name w:val="toc 5"/>
    <w:basedOn w:val="Normal"/>
    <w:rsid w:val="00A8192C"/>
    <w:pPr>
      <w:widowControl w:val="0"/>
      <w:tabs>
        <w:tab w:val="right" w:leader="dot" w:pos="10769"/>
      </w:tabs>
      <w:autoSpaceDE w:val="0"/>
      <w:autoSpaceDN w:val="0"/>
      <w:adjustRightInd w:val="0"/>
      <w:spacing w:before="60" w:after="60"/>
      <w:ind w:left="1132"/>
    </w:pPr>
    <w:rPr>
      <w:rFonts w:ascii="Arial" w:hAnsi="Arial" w:cs="Tahoma"/>
      <w:sz w:val="20"/>
    </w:rPr>
  </w:style>
  <w:style w:type="paragraph" w:styleId="TOC7">
    <w:name w:val="toc 7"/>
    <w:basedOn w:val="Normal"/>
    <w:rsid w:val="00A8192C"/>
    <w:pPr>
      <w:widowControl w:val="0"/>
      <w:tabs>
        <w:tab w:val="right" w:leader="dot" w:pos="11335"/>
      </w:tabs>
      <w:autoSpaceDE w:val="0"/>
      <w:autoSpaceDN w:val="0"/>
      <w:adjustRightInd w:val="0"/>
      <w:spacing w:before="60" w:after="60"/>
      <w:ind w:left="1698"/>
    </w:pPr>
    <w:rPr>
      <w:rFonts w:ascii="Arial" w:hAnsi="Arial" w:cs="Tahoma"/>
      <w:sz w:val="20"/>
    </w:rPr>
  </w:style>
  <w:style w:type="paragraph" w:styleId="TOC8">
    <w:name w:val="toc 8"/>
    <w:basedOn w:val="Normal"/>
    <w:rsid w:val="00A8192C"/>
    <w:pPr>
      <w:widowControl w:val="0"/>
      <w:tabs>
        <w:tab w:val="right" w:leader="dot" w:pos="11618"/>
      </w:tabs>
      <w:autoSpaceDE w:val="0"/>
      <w:autoSpaceDN w:val="0"/>
      <w:adjustRightInd w:val="0"/>
      <w:spacing w:before="60" w:after="60"/>
      <w:ind w:left="1981"/>
    </w:pPr>
    <w:rPr>
      <w:rFonts w:ascii="Arial" w:hAnsi="Arial" w:cs="Tahoma"/>
      <w:sz w:val="20"/>
    </w:rPr>
  </w:style>
  <w:style w:type="paragraph" w:styleId="TOC9">
    <w:name w:val="toc 9"/>
    <w:basedOn w:val="Normal"/>
    <w:rsid w:val="00A8192C"/>
    <w:pPr>
      <w:widowControl w:val="0"/>
      <w:tabs>
        <w:tab w:val="right" w:leader="dot" w:pos="11901"/>
      </w:tabs>
      <w:autoSpaceDE w:val="0"/>
      <w:autoSpaceDN w:val="0"/>
      <w:adjustRightInd w:val="0"/>
      <w:spacing w:before="60" w:after="60"/>
      <w:ind w:left="2264"/>
    </w:pPr>
    <w:rPr>
      <w:rFonts w:ascii="Arial" w:hAnsi="Arial" w:cs="Tahoma"/>
      <w:sz w:val="20"/>
    </w:rPr>
  </w:style>
  <w:style w:type="paragraph" w:customStyle="1" w:styleId="BulletsIndented">
    <w:name w:val="Bullets Indented"/>
    <w:basedOn w:val="Normal"/>
    <w:rsid w:val="00A8192C"/>
    <w:pPr>
      <w:spacing w:before="60" w:after="60"/>
    </w:pPr>
    <w:rPr>
      <w:rFonts w:ascii="Arial" w:hAnsi="Arial" w:cs="Arial"/>
      <w:sz w:val="20"/>
      <w:szCs w:val="22"/>
      <w:lang w:val="en-US" w:eastAsia="en-US"/>
    </w:rPr>
  </w:style>
  <w:style w:type="paragraph" w:styleId="NormalIndent">
    <w:name w:val="Normal Indent"/>
    <w:basedOn w:val="Normal"/>
    <w:link w:val="NormalIndentChar"/>
    <w:rsid w:val="00A8192C"/>
    <w:pPr>
      <w:widowControl w:val="0"/>
      <w:autoSpaceDE w:val="0"/>
      <w:autoSpaceDN w:val="0"/>
      <w:adjustRightInd w:val="0"/>
      <w:spacing w:before="100" w:after="100"/>
      <w:ind w:left="851"/>
    </w:pPr>
    <w:rPr>
      <w:rFonts w:ascii="Arial" w:hAnsi="Arial"/>
      <w:sz w:val="20"/>
    </w:rPr>
  </w:style>
  <w:style w:type="paragraph" w:customStyle="1" w:styleId="Tablebullets">
    <w:name w:val="Table bullets"/>
    <w:basedOn w:val="Normal"/>
    <w:rsid w:val="00A8192C"/>
    <w:pPr>
      <w:widowControl w:val="0"/>
      <w:tabs>
        <w:tab w:val="num" w:pos="567"/>
      </w:tabs>
      <w:autoSpaceDE w:val="0"/>
      <w:autoSpaceDN w:val="0"/>
      <w:adjustRightInd w:val="0"/>
      <w:spacing w:before="60" w:after="60"/>
      <w:ind w:left="567" w:hanging="283"/>
    </w:pPr>
    <w:rPr>
      <w:rFonts w:ascii="Arial" w:hAnsi="Arial"/>
      <w:sz w:val="20"/>
    </w:rPr>
  </w:style>
  <w:style w:type="paragraph" w:customStyle="1" w:styleId="Tablebullets1">
    <w:name w:val="Table bullets 1"/>
    <w:basedOn w:val="Tablebullets"/>
    <w:rsid w:val="00A8192C"/>
    <w:pPr>
      <w:numPr>
        <w:numId w:val="9"/>
      </w:numPr>
    </w:pPr>
  </w:style>
  <w:style w:type="paragraph" w:customStyle="1" w:styleId="Bullets1Indented">
    <w:name w:val="Bullets 1 Indented"/>
    <w:basedOn w:val="Normal"/>
    <w:rsid w:val="00A8192C"/>
    <w:pPr>
      <w:numPr>
        <w:numId w:val="10"/>
      </w:numPr>
      <w:tabs>
        <w:tab w:val="clear" w:pos="1800"/>
        <w:tab w:val="left" w:pos="2280"/>
      </w:tabs>
      <w:spacing w:before="100" w:after="100"/>
      <w:ind w:left="2291"/>
    </w:pPr>
    <w:rPr>
      <w:rFonts w:ascii="Arial" w:hAnsi="Arial" w:cs="Arial"/>
      <w:sz w:val="20"/>
      <w:szCs w:val="24"/>
      <w:lang w:eastAsia="en-NZ"/>
    </w:rPr>
  </w:style>
  <w:style w:type="character" w:customStyle="1" w:styleId="Blue">
    <w:name w:val="Blue"/>
    <w:rsid w:val="00A8192C"/>
    <w:rPr>
      <w:b/>
      <w:color w:val="00759B"/>
    </w:rPr>
  </w:style>
  <w:style w:type="paragraph" w:customStyle="1" w:styleId="Bullets">
    <w:name w:val="Bullets"/>
    <w:basedOn w:val="BulletsIndented"/>
    <w:link w:val="BulletsCharChar"/>
    <w:rsid w:val="00A8192C"/>
    <w:pPr>
      <w:tabs>
        <w:tab w:val="num" w:pos="360"/>
        <w:tab w:val="left" w:pos="840"/>
      </w:tabs>
      <w:ind w:left="360"/>
    </w:pPr>
  </w:style>
  <w:style w:type="paragraph" w:customStyle="1" w:styleId="Appendix2">
    <w:name w:val="Appendix 2"/>
    <w:basedOn w:val="Heading2"/>
    <w:next w:val="Normal"/>
    <w:rsid w:val="00A8192C"/>
    <w:pPr>
      <w:numPr>
        <w:ilvl w:val="1"/>
        <w:numId w:val="6"/>
      </w:numPr>
      <w:tabs>
        <w:tab w:val="left" w:pos="840"/>
      </w:tabs>
      <w:spacing w:before="240" w:after="100"/>
      <w:ind w:left="851" w:hanging="851"/>
    </w:pPr>
    <w:rPr>
      <w:rFonts w:ascii="Arial" w:eastAsia="MS Mincho" w:hAnsi="Arial" w:cs="Arial"/>
      <w:iCs/>
      <w:color w:val="002663"/>
      <w:spacing w:val="0"/>
      <w:kern w:val="32"/>
      <w:sz w:val="24"/>
      <w:szCs w:val="28"/>
      <w:lang w:val="en-GB"/>
    </w:rPr>
  </w:style>
  <w:style w:type="paragraph" w:customStyle="1" w:styleId="Bullets1">
    <w:name w:val="Bullets 1"/>
    <w:basedOn w:val="Bullets1Indented"/>
    <w:link w:val="Bullets1CharChar"/>
    <w:rsid w:val="00A8192C"/>
    <w:pPr>
      <w:tabs>
        <w:tab w:val="clear" w:pos="2280"/>
      </w:tabs>
      <w:ind w:left="1200"/>
    </w:pPr>
    <w:rPr>
      <w:rFonts w:eastAsia="MS Mincho"/>
    </w:rPr>
  </w:style>
  <w:style w:type="paragraph" w:customStyle="1" w:styleId="TableSideHeadings">
    <w:name w:val="Table Side Headings"/>
    <w:basedOn w:val="Normal"/>
    <w:rsid w:val="00A8192C"/>
    <w:pPr>
      <w:widowControl w:val="0"/>
      <w:autoSpaceDE w:val="0"/>
      <w:autoSpaceDN w:val="0"/>
      <w:adjustRightInd w:val="0"/>
      <w:spacing w:before="60" w:after="60"/>
      <w:ind w:left="113" w:right="113"/>
      <w:jc w:val="center"/>
    </w:pPr>
    <w:rPr>
      <w:rFonts w:ascii="Arial" w:hAnsi="Arial"/>
      <w:sz w:val="20"/>
    </w:rPr>
  </w:style>
  <w:style w:type="table" w:styleId="TableGrid2">
    <w:name w:val="Table Grid 2"/>
    <w:basedOn w:val="TableNormal"/>
    <w:rsid w:val="00A8192C"/>
    <w:pPr>
      <w:widowControl w:val="0"/>
      <w:autoSpaceDE w:val="0"/>
      <w:autoSpaceDN w:val="0"/>
      <w:adjustRightInd w:val="0"/>
      <w:spacing w:before="60" w:after="6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List-bullet">
    <w:name w:val="List-bullet"/>
    <w:basedOn w:val="Normal"/>
    <w:rsid w:val="00A8192C"/>
    <w:pPr>
      <w:numPr>
        <w:numId w:val="12"/>
      </w:numPr>
      <w:tabs>
        <w:tab w:val="left" w:pos="1080"/>
      </w:tabs>
      <w:spacing w:after="200" w:line="300" w:lineRule="exact"/>
    </w:pPr>
    <w:rPr>
      <w:rFonts w:ascii="Arial" w:hAnsi="Arial"/>
      <w:sz w:val="20"/>
      <w:szCs w:val="24"/>
      <w:lang w:eastAsia="en-US"/>
    </w:rPr>
  </w:style>
  <w:style w:type="paragraph" w:customStyle="1" w:styleId="Z-agcycvr-name">
    <w:name w:val="Z-agcycvr-name"/>
    <w:basedOn w:val="Normal"/>
    <w:rsid w:val="00A8192C"/>
    <w:pPr>
      <w:tabs>
        <w:tab w:val="center" w:pos="4536"/>
        <w:tab w:val="right" w:pos="9072"/>
      </w:tabs>
      <w:spacing w:before="1440"/>
      <w:jc w:val="center"/>
    </w:pPr>
    <w:rPr>
      <w:rFonts w:ascii="Arial Bold" w:hAnsi="Arial Bold" w:cs="Arial"/>
      <w:b/>
      <w:sz w:val="30"/>
      <w:szCs w:val="36"/>
      <w:lang w:eastAsia="en-US"/>
    </w:rPr>
  </w:style>
  <w:style w:type="paragraph" w:customStyle="1" w:styleId="Z-cvr-H1">
    <w:name w:val="Z-cvr-H1"/>
    <w:basedOn w:val="Heading3"/>
    <w:rsid w:val="00A8192C"/>
    <w:pPr>
      <w:tabs>
        <w:tab w:val="left" w:pos="578"/>
        <w:tab w:val="center" w:pos="4536"/>
        <w:tab w:val="right" w:pos="9072"/>
      </w:tabs>
      <w:spacing w:before="0" w:after="200" w:line="400" w:lineRule="exact"/>
    </w:pPr>
    <w:rPr>
      <w:rFonts w:ascii="Arial Black" w:hAnsi="Arial Black" w:cs="Arial"/>
      <w:color w:val="auto"/>
      <w:spacing w:val="0"/>
      <w:sz w:val="32"/>
      <w:szCs w:val="24"/>
      <w:lang w:eastAsia="en-US"/>
    </w:rPr>
  </w:style>
  <w:style w:type="paragraph" w:customStyle="1" w:styleId="Z-cvr-Normal">
    <w:name w:val="Z-cvr-Normal"/>
    <w:basedOn w:val="Normal"/>
    <w:rsid w:val="00A8192C"/>
    <w:pPr>
      <w:tabs>
        <w:tab w:val="center" w:pos="4536"/>
        <w:tab w:val="right" w:pos="9072"/>
      </w:tabs>
      <w:spacing w:after="200" w:line="300" w:lineRule="exact"/>
    </w:pPr>
    <w:rPr>
      <w:rFonts w:ascii="Arial" w:hAnsi="Arial" w:cs="Arial"/>
      <w:bCs/>
      <w:sz w:val="20"/>
      <w:szCs w:val="24"/>
      <w:lang w:eastAsia="en-US"/>
    </w:rPr>
  </w:style>
  <w:style w:type="paragraph" w:customStyle="1" w:styleId="Z-FooterNote">
    <w:name w:val="Z-FooterNote"/>
    <w:basedOn w:val="Normal"/>
    <w:rsid w:val="00A8192C"/>
    <w:pPr>
      <w:tabs>
        <w:tab w:val="center" w:pos="4536"/>
        <w:tab w:val="right" w:pos="9072"/>
      </w:tabs>
      <w:spacing w:after="120"/>
      <w:jc w:val="right"/>
    </w:pPr>
    <w:rPr>
      <w:rFonts w:ascii="Arial" w:hAnsi="Arial" w:cs="Arial"/>
      <w:color w:val="993366"/>
      <w:sz w:val="20"/>
      <w:szCs w:val="24"/>
      <w:lang w:eastAsia="en-US"/>
    </w:rPr>
  </w:style>
  <w:style w:type="paragraph" w:customStyle="1" w:styleId="StyleZ-cvr-NormalBold">
    <w:name w:val="Style Z-cvr-Normal + Bold"/>
    <w:basedOn w:val="Z-cvr-Normal"/>
    <w:rsid w:val="00A8192C"/>
    <w:rPr>
      <w:b/>
    </w:rPr>
  </w:style>
  <w:style w:type="paragraph" w:styleId="BlockText">
    <w:name w:val="Block Text"/>
    <w:basedOn w:val="Normal"/>
    <w:rsid w:val="00A8192C"/>
    <w:pPr>
      <w:spacing w:after="200" w:line="300" w:lineRule="exact"/>
      <w:ind w:left="720" w:right="720"/>
    </w:pPr>
    <w:rPr>
      <w:rFonts w:ascii="Arial" w:hAnsi="Arial"/>
      <w:i/>
      <w:sz w:val="20"/>
      <w:szCs w:val="24"/>
      <w:lang w:eastAsia="en-US"/>
    </w:rPr>
  </w:style>
  <w:style w:type="paragraph" w:customStyle="1" w:styleId="Normal00">
    <w:name w:val="Normal 0/0"/>
    <w:basedOn w:val="Normal"/>
    <w:rsid w:val="00A8192C"/>
    <w:pPr>
      <w:spacing w:line="300" w:lineRule="exact"/>
    </w:pPr>
    <w:rPr>
      <w:rFonts w:ascii="Arial" w:hAnsi="Arial"/>
      <w:sz w:val="20"/>
      <w:szCs w:val="24"/>
      <w:lang w:eastAsia="en-US"/>
    </w:rPr>
  </w:style>
  <w:style w:type="paragraph" w:customStyle="1" w:styleId="TableText0">
    <w:name w:val="Table Text"/>
    <w:basedOn w:val="Normal"/>
    <w:link w:val="TableTextChar0"/>
    <w:qFormat/>
    <w:rsid w:val="00A8192C"/>
    <w:pPr>
      <w:spacing w:line="220" w:lineRule="exact"/>
    </w:pPr>
    <w:rPr>
      <w:rFonts w:ascii="Arial" w:hAnsi="Arial"/>
      <w:sz w:val="18"/>
      <w:szCs w:val="24"/>
      <w:lang w:eastAsia="en-US"/>
    </w:rPr>
  </w:style>
  <w:style w:type="paragraph" w:customStyle="1" w:styleId="GuidanceText">
    <w:name w:val="Guidance Text"/>
    <w:basedOn w:val="Normal"/>
    <w:next w:val="NormalIndent"/>
    <w:rsid w:val="00A8192C"/>
    <w:pPr>
      <w:widowControl w:val="0"/>
      <w:autoSpaceDE w:val="0"/>
      <w:autoSpaceDN w:val="0"/>
      <w:adjustRightInd w:val="0"/>
      <w:spacing w:before="60" w:after="60"/>
      <w:ind w:left="840"/>
    </w:pPr>
    <w:rPr>
      <w:rFonts w:ascii="Arial" w:hAnsi="Arial" w:cs="Arial"/>
      <w:i/>
      <w:color w:val="000000"/>
      <w:sz w:val="20"/>
    </w:rPr>
  </w:style>
  <w:style w:type="character" w:customStyle="1" w:styleId="NormalIndentChar">
    <w:name w:val="Normal Indent Char"/>
    <w:link w:val="NormalIndent"/>
    <w:rsid w:val="00A8192C"/>
    <w:rPr>
      <w:rFonts w:ascii="Arial" w:hAnsi="Arial"/>
      <w:lang w:eastAsia="en-GB"/>
    </w:rPr>
  </w:style>
  <w:style w:type="paragraph" w:styleId="DocumentMap">
    <w:name w:val="Document Map"/>
    <w:basedOn w:val="Normal"/>
    <w:link w:val="DocumentMapChar"/>
    <w:semiHidden/>
    <w:rsid w:val="00A8192C"/>
    <w:pPr>
      <w:widowControl w:val="0"/>
      <w:shd w:val="clear" w:color="auto" w:fill="000080"/>
      <w:autoSpaceDE w:val="0"/>
      <w:autoSpaceDN w:val="0"/>
      <w:adjustRightInd w:val="0"/>
      <w:spacing w:before="60" w:after="60"/>
    </w:pPr>
    <w:rPr>
      <w:rFonts w:ascii="Tahoma" w:hAnsi="Tahoma" w:cs="Tahoma"/>
      <w:sz w:val="20"/>
    </w:rPr>
  </w:style>
  <w:style w:type="character" w:customStyle="1" w:styleId="DocumentMapChar">
    <w:name w:val="Document Map Char"/>
    <w:basedOn w:val="DefaultParagraphFont"/>
    <w:link w:val="DocumentMap"/>
    <w:semiHidden/>
    <w:rsid w:val="00A8192C"/>
    <w:rPr>
      <w:rFonts w:ascii="Tahoma" w:hAnsi="Tahoma" w:cs="Tahoma"/>
      <w:shd w:val="clear" w:color="auto" w:fill="000080"/>
      <w:lang w:eastAsia="en-GB"/>
    </w:rPr>
  </w:style>
  <w:style w:type="paragraph" w:styleId="TableofFigures">
    <w:name w:val="table of figures"/>
    <w:basedOn w:val="Normal"/>
    <w:next w:val="Normal"/>
    <w:semiHidden/>
    <w:rsid w:val="00A8192C"/>
    <w:pPr>
      <w:widowControl w:val="0"/>
      <w:autoSpaceDE w:val="0"/>
      <w:autoSpaceDN w:val="0"/>
      <w:adjustRightInd w:val="0"/>
      <w:spacing w:before="60" w:after="60"/>
    </w:pPr>
    <w:rPr>
      <w:rFonts w:ascii="Arial" w:hAnsi="Arial"/>
      <w:sz w:val="20"/>
    </w:rPr>
  </w:style>
  <w:style w:type="character" w:customStyle="1" w:styleId="NormalIndentCharChar">
    <w:name w:val="Normal Indent Char Char"/>
    <w:locked/>
    <w:rsid w:val="00A8192C"/>
    <w:rPr>
      <w:rFonts w:ascii="Calibri" w:hAnsi="Calibri"/>
      <w:lang w:val="en-NZ" w:bidi="ar-SA"/>
    </w:rPr>
  </w:style>
  <w:style w:type="character" w:customStyle="1" w:styleId="CharChar6">
    <w:name w:val="Char Char6"/>
    <w:semiHidden/>
    <w:locked/>
    <w:rsid w:val="00A8192C"/>
    <w:rPr>
      <w:rFonts w:ascii="Arial" w:hAnsi="Arial"/>
      <w:color w:val="00759B"/>
      <w:sz w:val="16"/>
      <w:lang w:val="en-GB" w:eastAsia="en-GB" w:bidi="ar-SA"/>
    </w:rPr>
  </w:style>
  <w:style w:type="paragraph" w:customStyle="1" w:styleId="Picture">
    <w:name w:val="Picture"/>
    <w:basedOn w:val="NormalIndent"/>
    <w:rsid w:val="00A8192C"/>
    <w:pPr>
      <w:widowControl/>
      <w:tabs>
        <w:tab w:val="left" w:pos="851"/>
      </w:tabs>
      <w:autoSpaceDE/>
      <w:autoSpaceDN/>
      <w:adjustRightInd/>
      <w:spacing w:line="360" w:lineRule="auto"/>
      <w:ind w:left="1702" w:hanging="851"/>
      <w:jc w:val="center"/>
    </w:pPr>
    <w:rPr>
      <w:sz w:val="23"/>
      <w:szCs w:val="24"/>
      <w:lang w:val="en-GB"/>
    </w:rPr>
  </w:style>
  <w:style w:type="numbering" w:customStyle="1" w:styleId="AlphabeticalList">
    <w:name w:val="Alphabetical List"/>
    <w:rsid w:val="00A8192C"/>
    <w:pPr>
      <w:numPr>
        <w:numId w:val="13"/>
      </w:numPr>
    </w:pPr>
  </w:style>
  <w:style w:type="paragraph" w:customStyle="1" w:styleId="NormalLevel2">
    <w:name w:val="Normal Level 2"/>
    <w:basedOn w:val="Normal"/>
    <w:rsid w:val="00A8192C"/>
    <w:pPr>
      <w:tabs>
        <w:tab w:val="num" w:pos="1701"/>
      </w:tabs>
      <w:spacing w:after="200" w:line="300" w:lineRule="exact"/>
      <w:ind w:left="1701" w:hanging="567"/>
    </w:pPr>
    <w:rPr>
      <w:rFonts w:ascii="Arial" w:hAnsi="Arial"/>
      <w:sz w:val="20"/>
      <w:szCs w:val="24"/>
      <w:lang w:eastAsia="en-US"/>
    </w:rPr>
  </w:style>
  <w:style w:type="paragraph" w:customStyle="1" w:styleId="NormalLevel3">
    <w:name w:val="Normal Level 3"/>
    <w:basedOn w:val="Normal"/>
    <w:rsid w:val="00A8192C"/>
    <w:pPr>
      <w:tabs>
        <w:tab w:val="num" w:pos="2268"/>
      </w:tabs>
      <w:spacing w:after="200" w:line="300" w:lineRule="exact"/>
      <w:ind w:left="2268" w:hanging="567"/>
    </w:pPr>
    <w:rPr>
      <w:rFonts w:ascii="Arial" w:hAnsi="Arial"/>
      <w:sz w:val="20"/>
      <w:szCs w:val="24"/>
      <w:lang w:eastAsia="en-US"/>
    </w:rPr>
  </w:style>
  <w:style w:type="paragraph" w:customStyle="1" w:styleId="NormalLevel4">
    <w:name w:val="Normal Level 4"/>
    <w:basedOn w:val="Normal"/>
    <w:rsid w:val="00A8192C"/>
    <w:pPr>
      <w:tabs>
        <w:tab w:val="num" w:pos="2835"/>
      </w:tabs>
      <w:spacing w:after="200" w:line="300" w:lineRule="exact"/>
      <w:ind w:left="2835" w:hanging="567"/>
    </w:pPr>
    <w:rPr>
      <w:rFonts w:ascii="Arial" w:hAnsi="Arial"/>
      <w:sz w:val="20"/>
      <w:szCs w:val="24"/>
      <w:lang w:eastAsia="en-US"/>
    </w:rPr>
  </w:style>
  <w:style w:type="character" w:customStyle="1" w:styleId="Bullets1CharChar">
    <w:name w:val="Bullets 1 Char Char"/>
    <w:link w:val="Bullets1"/>
    <w:locked/>
    <w:rsid w:val="00A8192C"/>
    <w:rPr>
      <w:rFonts w:ascii="Arial" w:eastAsia="MS Mincho" w:hAnsi="Arial" w:cs="Arial"/>
      <w:szCs w:val="24"/>
    </w:rPr>
  </w:style>
  <w:style w:type="paragraph" w:customStyle="1" w:styleId="AlphaList">
    <w:name w:val="Alpha List"/>
    <w:basedOn w:val="Normal"/>
    <w:rsid w:val="00A8192C"/>
    <w:pPr>
      <w:numPr>
        <w:numId w:val="14"/>
      </w:numPr>
      <w:spacing w:before="100" w:after="100"/>
    </w:pPr>
    <w:rPr>
      <w:rFonts w:ascii="Arial" w:hAnsi="Arial"/>
      <w:sz w:val="23"/>
      <w:szCs w:val="24"/>
      <w:lang w:val="en-GB"/>
    </w:rPr>
  </w:style>
  <w:style w:type="paragraph" w:customStyle="1" w:styleId="TableHeading0">
    <w:name w:val="Table Heading"/>
    <w:basedOn w:val="Normal"/>
    <w:link w:val="TableHeadingChar0"/>
    <w:rsid w:val="00A8192C"/>
    <w:pPr>
      <w:spacing w:before="60" w:after="60"/>
    </w:pPr>
    <w:rPr>
      <w:rFonts w:ascii="Arial" w:hAnsi="Arial" w:cs="Arial"/>
      <w:b/>
      <w:color w:val="FFFFFF"/>
      <w:sz w:val="20"/>
      <w:szCs w:val="22"/>
      <w:lang w:eastAsia="en-NZ"/>
    </w:rPr>
  </w:style>
  <w:style w:type="character" w:customStyle="1" w:styleId="TableHeadingChar0">
    <w:name w:val="Table Heading Char"/>
    <w:link w:val="TableHeading0"/>
    <w:locked/>
    <w:rsid w:val="00A8192C"/>
    <w:rPr>
      <w:rFonts w:ascii="Arial" w:hAnsi="Arial" w:cs="Arial"/>
      <w:b/>
      <w:color w:val="FFFFFF"/>
      <w:szCs w:val="22"/>
    </w:rPr>
  </w:style>
  <w:style w:type="paragraph" w:customStyle="1" w:styleId="Tabletext1">
    <w:name w:val="Table text"/>
    <w:basedOn w:val="Normal"/>
    <w:link w:val="TabletextChar1"/>
    <w:rsid w:val="00A8192C"/>
    <w:pPr>
      <w:spacing w:before="80" w:after="80"/>
    </w:pPr>
    <w:rPr>
      <w:rFonts w:ascii="Arial" w:hAnsi="Arial"/>
      <w:sz w:val="20"/>
      <w:szCs w:val="24"/>
      <w:lang w:eastAsia="en-NZ"/>
    </w:rPr>
  </w:style>
  <w:style w:type="character" w:customStyle="1" w:styleId="TabletextChar1">
    <w:name w:val="Table text Char"/>
    <w:link w:val="Tabletext1"/>
    <w:locked/>
    <w:rsid w:val="00A8192C"/>
    <w:rPr>
      <w:rFonts w:ascii="Arial" w:hAnsi="Arial"/>
      <w:szCs w:val="24"/>
    </w:rPr>
  </w:style>
  <w:style w:type="paragraph" w:customStyle="1" w:styleId="TableBullets0">
    <w:name w:val="Table Bullets"/>
    <w:basedOn w:val="Bullets"/>
    <w:link w:val="TableBulletsCharChar"/>
    <w:rsid w:val="00A8192C"/>
    <w:pPr>
      <w:tabs>
        <w:tab w:val="clear" w:pos="360"/>
        <w:tab w:val="clear" w:pos="840"/>
      </w:tabs>
      <w:ind w:left="0"/>
    </w:pPr>
    <w:rPr>
      <w:sz w:val="23"/>
    </w:rPr>
  </w:style>
  <w:style w:type="character" w:customStyle="1" w:styleId="TableBulletsCharChar">
    <w:name w:val="Table Bullets Char Char"/>
    <w:link w:val="TableBullets0"/>
    <w:locked/>
    <w:rsid w:val="00A8192C"/>
    <w:rPr>
      <w:rFonts w:ascii="Arial" w:hAnsi="Arial" w:cs="Arial"/>
      <w:sz w:val="23"/>
      <w:szCs w:val="22"/>
      <w:lang w:val="en-US" w:eastAsia="en-US"/>
    </w:rPr>
  </w:style>
  <w:style w:type="paragraph" w:customStyle="1" w:styleId="TableHeadingCentre">
    <w:name w:val="Table Heading Centre"/>
    <w:basedOn w:val="TableHeading0"/>
    <w:rsid w:val="00A8192C"/>
    <w:pPr>
      <w:jc w:val="center"/>
    </w:pPr>
  </w:style>
  <w:style w:type="paragraph" w:styleId="ListBullet2">
    <w:name w:val="List Bullet 2"/>
    <w:basedOn w:val="Normal"/>
    <w:rsid w:val="00A8192C"/>
    <w:pPr>
      <w:widowControl w:val="0"/>
      <w:numPr>
        <w:numId w:val="15"/>
      </w:numPr>
      <w:autoSpaceDE w:val="0"/>
      <w:autoSpaceDN w:val="0"/>
      <w:adjustRightInd w:val="0"/>
      <w:spacing w:before="60" w:after="60"/>
    </w:pPr>
    <w:rPr>
      <w:rFonts w:ascii="Arial" w:hAnsi="Arial"/>
      <w:sz w:val="22"/>
    </w:rPr>
  </w:style>
  <w:style w:type="paragraph" w:customStyle="1" w:styleId="TableText9pt">
    <w:name w:val="Table Text 9pt"/>
    <w:basedOn w:val="Tabletext1"/>
    <w:rsid w:val="00A8192C"/>
    <w:pPr>
      <w:spacing w:before="40" w:after="40"/>
    </w:pPr>
    <w:rPr>
      <w:sz w:val="18"/>
    </w:rPr>
  </w:style>
  <w:style w:type="paragraph" w:styleId="ListNumber">
    <w:name w:val="List Number"/>
    <w:basedOn w:val="Normal"/>
    <w:rsid w:val="00A8192C"/>
    <w:pPr>
      <w:numPr>
        <w:numId w:val="16"/>
      </w:numPr>
      <w:spacing w:before="120"/>
    </w:pPr>
    <w:rPr>
      <w:rFonts w:ascii="Arial" w:hAnsi="Arial"/>
      <w:sz w:val="20"/>
      <w:szCs w:val="24"/>
      <w:lang w:val="en-AU" w:eastAsia="en-US"/>
    </w:rPr>
  </w:style>
  <w:style w:type="character" w:customStyle="1" w:styleId="BulletsCharChar">
    <w:name w:val="Bullets Char Char"/>
    <w:link w:val="Bullets"/>
    <w:locked/>
    <w:rsid w:val="00A8192C"/>
    <w:rPr>
      <w:rFonts w:ascii="Arial" w:hAnsi="Arial" w:cs="Arial"/>
      <w:szCs w:val="22"/>
      <w:lang w:val="en-US" w:eastAsia="en-US"/>
    </w:rPr>
  </w:style>
  <w:style w:type="character" w:customStyle="1" w:styleId="CharChar13">
    <w:name w:val="Char Char13"/>
    <w:locked/>
    <w:rsid w:val="00A8192C"/>
    <w:rPr>
      <w:rFonts w:ascii="Arial" w:hAnsi="Arial"/>
      <w:sz w:val="23"/>
      <w:szCs w:val="24"/>
      <w:lang w:val="en-NZ" w:bidi="ar-SA"/>
    </w:rPr>
  </w:style>
  <w:style w:type="paragraph" w:customStyle="1" w:styleId="NumPara1">
    <w:name w:val="Num Para 1"/>
    <w:basedOn w:val="Normal"/>
    <w:link w:val="NumPara1CharChar"/>
    <w:rsid w:val="00A8192C"/>
    <w:pPr>
      <w:tabs>
        <w:tab w:val="left" w:pos="851"/>
      </w:tabs>
      <w:spacing w:before="60" w:after="60"/>
      <w:ind w:left="851" w:hanging="851"/>
    </w:pPr>
    <w:rPr>
      <w:rFonts w:ascii="Arial" w:hAnsi="Arial"/>
      <w:sz w:val="20"/>
      <w:szCs w:val="24"/>
      <w:lang w:val="en-GB"/>
    </w:rPr>
  </w:style>
  <w:style w:type="character" w:customStyle="1" w:styleId="NumPara1CharChar">
    <w:name w:val="Num Para 1 Char Char"/>
    <w:link w:val="NumPara1"/>
    <w:rsid w:val="00A8192C"/>
    <w:rPr>
      <w:rFonts w:ascii="Arial" w:hAnsi="Arial"/>
      <w:szCs w:val="24"/>
      <w:lang w:val="en-GB" w:eastAsia="en-GB"/>
    </w:rPr>
  </w:style>
  <w:style w:type="paragraph" w:customStyle="1" w:styleId="NumPara2">
    <w:name w:val="Num Para 2"/>
    <w:basedOn w:val="NumPara1"/>
    <w:rsid w:val="00A8192C"/>
    <w:pPr>
      <w:tabs>
        <w:tab w:val="num" w:pos="360"/>
      </w:tabs>
    </w:pPr>
  </w:style>
  <w:style w:type="paragraph" w:customStyle="1" w:styleId="1stlevelpara">
    <w:name w:val="1st level para"/>
    <w:basedOn w:val="Normal"/>
    <w:link w:val="1stlevelparaChar"/>
    <w:rsid w:val="00A8192C"/>
    <w:pPr>
      <w:widowControl w:val="0"/>
      <w:numPr>
        <w:numId w:val="17"/>
      </w:numPr>
      <w:autoSpaceDE w:val="0"/>
      <w:autoSpaceDN w:val="0"/>
      <w:adjustRightInd w:val="0"/>
      <w:spacing w:before="60" w:after="60"/>
      <w:ind w:left="1434" w:hanging="357"/>
    </w:pPr>
    <w:rPr>
      <w:rFonts w:ascii="Arial" w:hAnsi="Arial"/>
      <w:sz w:val="20"/>
    </w:rPr>
  </w:style>
  <w:style w:type="character" w:customStyle="1" w:styleId="1stlevelparaChar">
    <w:name w:val="1st level para Char"/>
    <w:link w:val="1stlevelpara"/>
    <w:rsid w:val="00A8192C"/>
    <w:rPr>
      <w:rFonts w:ascii="Arial" w:hAnsi="Arial"/>
      <w:lang w:eastAsia="en-GB"/>
    </w:rPr>
  </w:style>
  <w:style w:type="paragraph" w:customStyle="1" w:styleId="TableHeadingWhite">
    <w:name w:val="Table Heading + White"/>
    <w:basedOn w:val="TableHeading0"/>
    <w:rsid w:val="00A8192C"/>
    <w:rPr>
      <w:rFonts w:ascii="Calibri" w:hAnsi="Calibri"/>
      <w:szCs w:val="20"/>
    </w:rPr>
  </w:style>
  <w:style w:type="paragraph" w:styleId="BodyText">
    <w:name w:val="Body Text"/>
    <w:basedOn w:val="Normal"/>
    <w:link w:val="BodyTextChar"/>
    <w:rsid w:val="00A8192C"/>
    <w:pPr>
      <w:spacing w:before="240"/>
    </w:pPr>
    <w:rPr>
      <w:rFonts w:ascii="Arial" w:hAnsi="Arial"/>
      <w:sz w:val="24"/>
      <w:lang w:eastAsia="en-US"/>
    </w:rPr>
  </w:style>
  <w:style w:type="character" w:customStyle="1" w:styleId="BodyTextChar">
    <w:name w:val="Body Text Char"/>
    <w:basedOn w:val="DefaultParagraphFont"/>
    <w:link w:val="BodyText"/>
    <w:rsid w:val="00A8192C"/>
    <w:rPr>
      <w:rFonts w:ascii="Arial" w:hAnsi="Arial"/>
      <w:sz w:val="24"/>
      <w:lang w:eastAsia="en-US"/>
    </w:rPr>
  </w:style>
  <w:style w:type="paragraph" w:customStyle="1" w:styleId="StyleTableBulletsCalibri11pt">
    <w:name w:val="Style Table Bullets + Calibri 11 pt"/>
    <w:basedOn w:val="TableBullets0"/>
    <w:rsid w:val="00A8192C"/>
    <w:pPr>
      <w:ind w:left="170" w:hanging="170"/>
    </w:pPr>
    <w:rPr>
      <w:rFonts w:ascii="Calibri" w:hAnsi="Calibri"/>
      <w:sz w:val="22"/>
    </w:rPr>
  </w:style>
  <w:style w:type="paragraph" w:customStyle="1" w:styleId="StyleBullets11pt1">
    <w:name w:val="Style Bullets + 11 pt1"/>
    <w:basedOn w:val="Bullets"/>
    <w:link w:val="StyleBullets11pt1Char"/>
    <w:rsid w:val="00A8192C"/>
    <w:pPr>
      <w:numPr>
        <w:numId w:val="18"/>
      </w:numPr>
      <w:tabs>
        <w:tab w:val="clear" w:pos="840"/>
      </w:tabs>
    </w:pPr>
    <w:rPr>
      <w:sz w:val="22"/>
    </w:rPr>
  </w:style>
  <w:style w:type="paragraph" w:customStyle="1" w:styleId="StyleTableBulletsCalibri11pt1">
    <w:name w:val="Style Table Bullets + Calibri 11 pt1"/>
    <w:basedOn w:val="TableBullets0"/>
    <w:rsid w:val="00A8192C"/>
    <w:pPr>
      <w:ind w:left="227" w:hanging="227"/>
    </w:pPr>
    <w:rPr>
      <w:rFonts w:ascii="Calibri" w:hAnsi="Calibri"/>
      <w:sz w:val="22"/>
    </w:rPr>
  </w:style>
  <w:style w:type="paragraph" w:customStyle="1" w:styleId="StyleTableBulletsCalibri11pt2">
    <w:name w:val="Style Table Bullets + Calibri 11 pt2"/>
    <w:basedOn w:val="TableBullets0"/>
    <w:rsid w:val="00A8192C"/>
    <w:pPr>
      <w:ind w:left="284" w:hanging="284"/>
    </w:pPr>
    <w:rPr>
      <w:rFonts w:ascii="Calibri" w:hAnsi="Calibri"/>
      <w:sz w:val="22"/>
    </w:rPr>
  </w:style>
  <w:style w:type="paragraph" w:customStyle="1" w:styleId="StyleTableTextCalibri11ptBefore3ptAfter3pt">
    <w:name w:val="Style Table Text + Calibri 11 pt Before:  3 pt After:  3 pt"/>
    <w:basedOn w:val="TableText0"/>
    <w:rsid w:val="00A8192C"/>
    <w:pPr>
      <w:spacing w:before="60" w:after="60" w:line="240" w:lineRule="auto"/>
    </w:pPr>
    <w:rPr>
      <w:rFonts w:ascii="Calibri" w:hAnsi="Calibri"/>
      <w:sz w:val="22"/>
      <w:szCs w:val="20"/>
    </w:rPr>
  </w:style>
  <w:style w:type="paragraph" w:customStyle="1" w:styleId="StyleTableBulletsCalibri11pt3">
    <w:name w:val="Style Table Bullets + Calibri 11 pt3"/>
    <w:basedOn w:val="TableBullets0"/>
    <w:rsid w:val="00A8192C"/>
    <w:rPr>
      <w:rFonts w:ascii="Calibri" w:hAnsi="Calibri"/>
      <w:sz w:val="22"/>
    </w:rPr>
  </w:style>
  <w:style w:type="paragraph" w:customStyle="1" w:styleId="StyleTableTextCalibri11ptBefore3ptAfter3pt1">
    <w:name w:val="Style Table Text + Calibri 11 pt Before:  3 pt After:  3 pt1"/>
    <w:basedOn w:val="TableText0"/>
    <w:rsid w:val="00A8192C"/>
    <w:pPr>
      <w:spacing w:before="60" w:after="60" w:line="240" w:lineRule="auto"/>
    </w:pPr>
    <w:rPr>
      <w:rFonts w:ascii="Calibri" w:hAnsi="Calibri"/>
      <w:sz w:val="22"/>
      <w:szCs w:val="20"/>
    </w:rPr>
  </w:style>
  <w:style w:type="paragraph" w:customStyle="1" w:styleId="NormalTextChar">
    <w:name w:val="Normal Text Char"/>
    <w:basedOn w:val="Normal"/>
    <w:link w:val="NormalTextCharChar"/>
    <w:rsid w:val="00A8192C"/>
    <w:pPr>
      <w:spacing w:after="120"/>
      <w:ind w:left="851"/>
    </w:pPr>
    <w:rPr>
      <w:rFonts w:ascii="Arial" w:hAnsi="Arial"/>
      <w:sz w:val="22"/>
      <w:lang w:eastAsia="en-US"/>
    </w:rPr>
  </w:style>
  <w:style w:type="paragraph" w:customStyle="1" w:styleId="MSHeading1">
    <w:name w:val="MS Heading 1"/>
    <w:basedOn w:val="Heading1"/>
    <w:link w:val="MSHeading1Char"/>
    <w:rsid w:val="00A8192C"/>
    <w:pPr>
      <w:keepNext/>
      <w:keepLines/>
      <w:tabs>
        <w:tab w:val="left" w:pos="0"/>
        <w:tab w:val="left" w:pos="567"/>
        <w:tab w:val="num" w:pos="1134"/>
      </w:tabs>
      <w:spacing w:after="120" w:line="276" w:lineRule="auto"/>
      <w:ind w:left="2134" w:hanging="2134"/>
    </w:pPr>
    <w:rPr>
      <w:rFonts w:ascii="Arial" w:hAnsi="Arial" w:cs="Segoe UI"/>
      <w:b w:val="0"/>
      <w:caps/>
      <w:color w:val="auto"/>
      <w:spacing w:val="0"/>
      <w:kern w:val="26"/>
      <w:sz w:val="26"/>
      <w:szCs w:val="26"/>
      <w:lang w:eastAsia="en-US"/>
    </w:rPr>
  </w:style>
  <w:style w:type="paragraph" w:customStyle="1" w:styleId="MSHeading2">
    <w:name w:val="MS Heading 2"/>
    <w:basedOn w:val="MSHeading1"/>
    <w:rsid w:val="00A8192C"/>
    <w:pPr>
      <w:pageBreakBefore w:val="0"/>
      <w:spacing w:before="240"/>
    </w:pPr>
    <w:rPr>
      <w:caps w:val="0"/>
    </w:rPr>
  </w:style>
  <w:style w:type="character" w:customStyle="1" w:styleId="NormalTextCharChar">
    <w:name w:val="Normal Text Char Char"/>
    <w:link w:val="NormalTextChar"/>
    <w:rsid w:val="00A8192C"/>
    <w:rPr>
      <w:rFonts w:ascii="Arial" w:hAnsi="Arial"/>
      <w:sz w:val="22"/>
      <w:lang w:eastAsia="en-US"/>
    </w:rPr>
  </w:style>
  <w:style w:type="paragraph" w:customStyle="1" w:styleId="NormalBlueItalicText">
    <w:name w:val="Normal Blue Italic Text"/>
    <w:basedOn w:val="NormalTextChar"/>
    <w:link w:val="NormalBlueItalicTextChar"/>
    <w:rsid w:val="00A8192C"/>
    <w:rPr>
      <w:i/>
      <w:iCs/>
      <w:color w:val="0000FF"/>
    </w:rPr>
  </w:style>
  <w:style w:type="character" w:customStyle="1" w:styleId="NormalBlueItalicTextChar">
    <w:name w:val="Normal Blue Italic Text Char"/>
    <w:link w:val="NormalBlueItalicText"/>
    <w:rsid w:val="00A8192C"/>
    <w:rPr>
      <w:rFonts w:ascii="Arial" w:hAnsi="Arial"/>
      <w:i/>
      <w:iCs/>
      <w:color w:val="0000FF"/>
      <w:sz w:val="22"/>
      <w:lang w:eastAsia="en-US"/>
    </w:rPr>
  </w:style>
  <w:style w:type="character" w:customStyle="1" w:styleId="MSHeading1Char">
    <w:name w:val="MS Heading 1 Char"/>
    <w:link w:val="MSHeading1"/>
    <w:rsid w:val="00A8192C"/>
    <w:rPr>
      <w:rFonts w:ascii="Arial" w:hAnsi="Arial" w:cs="Segoe UI"/>
      <w:caps/>
      <w:kern w:val="26"/>
      <w:sz w:val="26"/>
      <w:szCs w:val="26"/>
      <w:lang w:eastAsia="en-US"/>
    </w:rPr>
  </w:style>
  <w:style w:type="character" w:customStyle="1" w:styleId="TableTextChar0">
    <w:name w:val="Table Text Char"/>
    <w:link w:val="TableText0"/>
    <w:rsid w:val="00A8192C"/>
    <w:rPr>
      <w:rFonts w:ascii="Arial" w:hAnsi="Arial"/>
      <w:sz w:val="18"/>
      <w:szCs w:val="24"/>
      <w:lang w:eastAsia="en-US"/>
    </w:rPr>
  </w:style>
  <w:style w:type="paragraph" w:customStyle="1" w:styleId="AppendixId">
    <w:name w:val="Appendix Id"/>
    <w:basedOn w:val="NormalTextChar"/>
    <w:link w:val="AppendixIdChar"/>
    <w:rsid w:val="00A8192C"/>
    <w:pPr>
      <w:keepNext/>
      <w:pageBreakBefore/>
      <w:pBdr>
        <w:bottom w:val="single" w:sz="18" w:space="6" w:color="auto"/>
      </w:pBdr>
      <w:spacing w:before="3000"/>
      <w:ind w:left="3969"/>
      <w:jc w:val="right"/>
    </w:pPr>
    <w:rPr>
      <w:b/>
      <w:sz w:val="28"/>
    </w:rPr>
  </w:style>
  <w:style w:type="paragraph" w:customStyle="1" w:styleId="AppendixName">
    <w:name w:val="Appendix Name"/>
    <w:basedOn w:val="NormalTextChar"/>
    <w:rsid w:val="00A8192C"/>
    <w:pPr>
      <w:spacing w:before="720"/>
      <w:ind w:left="3969"/>
      <w:jc w:val="right"/>
    </w:pPr>
    <w:rPr>
      <w:b/>
      <w:sz w:val="36"/>
    </w:rPr>
  </w:style>
  <w:style w:type="character" w:customStyle="1" w:styleId="AppendixIdChar">
    <w:name w:val="Appendix Id Char"/>
    <w:link w:val="AppendixId"/>
    <w:rsid w:val="00A8192C"/>
    <w:rPr>
      <w:rFonts w:ascii="Arial" w:hAnsi="Arial"/>
      <w:b/>
      <w:sz w:val="28"/>
      <w:lang w:eastAsia="en-US"/>
    </w:rPr>
  </w:style>
  <w:style w:type="paragraph" w:customStyle="1" w:styleId="2ndlevelpara">
    <w:name w:val="2nd level para"/>
    <w:basedOn w:val="1stlevelpara"/>
    <w:link w:val="2ndlevelparaChar"/>
    <w:rsid w:val="00A8192C"/>
    <w:pPr>
      <w:widowControl/>
      <w:tabs>
        <w:tab w:val="num" w:pos="567"/>
      </w:tabs>
      <w:suppressAutoHyphens/>
      <w:autoSpaceDE/>
      <w:autoSpaceDN/>
      <w:adjustRightInd/>
      <w:spacing w:before="240" w:after="0"/>
      <w:ind w:left="0" w:firstLine="0"/>
    </w:pPr>
    <w:rPr>
      <w:sz w:val="24"/>
      <w:lang w:eastAsia="ar-SA"/>
    </w:rPr>
  </w:style>
  <w:style w:type="paragraph" w:customStyle="1" w:styleId="LI">
    <w:name w:val="LI"/>
    <w:basedOn w:val="Normal"/>
    <w:link w:val="LIChar"/>
    <w:rsid w:val="00A8192C"/>
    <w:pPr>
      <w:numPr>
        <w:numId w:val="19"/>
      </w:numPr>
      <w:spacing w:after="120"/>
    </w:pPr>
    <w:rPr>
      <w:rFonts w:ascii="Arial" w:hAnsi="Arial"/>
      <w:snapToGrid w:val="0"/>
      <w:sz w:val="22"/>
      <w:szCs w:val="22"/>
      <w:lang w:eastAsia="en-US"/>
    </w:rPr>
  </w:style>
  <w:style w:type="character" w:customStyle="1" w:styleId="LIChar">
    <w:name w:val="LI Char"/>
    <w:link w:val="LI"/>
    <w:rsid w:val="00A8192C"/>
    <w:rPr>
      <w:rFonts w:ascii="Arial" w:hAnsi="Arial"/>
      <w:snapToGrid w:val="0"/>
      <w:sz w:val="22"/>
      <w:szCs w:val="22"/>
      <w:lang w:eastAsia="en-US"/>
    </w:rPr>
  </w:style>
  <w:style w:type="paragraph" w:customStyle="1" w:styleId="B">
    <w:name w:val="B"/>
    <w:basedOn w:val="Normal"/>
    <w:link w:val="BChar1"/>
    <w:rsid w:val="00A8192C"/>
    <w:pPr>
      <w:spacing w:after="120"/>
      <w:ind w:left="578"/>
    </w:pPr>
    <w:rPr>
      <w:rFonts w:ascii="Arial" w:hAnsi="Arial"/>
      <w:sz w:val="22"/>
      <w:lang w:eastAsia="en-NZ"/>
    </w:rPr>
  </w:style>
  <w:style w:type="character" w:customStyle="1" w:styleId="BChar1">
    <w:name w:val="B Char1"/>
    <w:link w:val="B"/>
    <w:rsid w:val="00A8192C"/>
    <w:rPr>
      <w:rFonts w:ascii="Arial" w:hAnsi="Arial"/>
      <w:sz w:val="22"/>
    </w:rPr>
  </w:style>
  <w:style w:type="paragraph" w:customStyle="1" w:styleId="3rdlevelpara">
    <w:name w:val="3rd level para"/>
    <w:basedOn w:val="2ndlevelpara"/>
    <w:rsid w:val="00A8192C"/>
    <w:pPr>
      <w:numPr>
        <w:numId w:val="0"/>
      </w:numPr>
      <w:tabs>
        <w:tab w:val="num" w:pos="1701"/>
      </w:tabs>
      <w:suppressAutoHyphens w:val="0"/>
      <w:ind w:left="1700" w:hanging="562"/>
    </w:pPr>
    <w:rPr>
      <w:lang w:eastAsia="en-US"/>
    </w:rPr>
  </w:style>
  <w:style w:type="paragraph" w:customStyle="1" w:styleId="4thlevelpara">
    <w:name w:val="4th level para"/>
    <w:basedOn w:val="3rdlevelpara"/>
    <w:rsid w:val="00A8192C"/>
    <w:pPr>
      <w:tabs>
        <w:tab w:val="clear" w:pos="1701"/>
        <w:tab w:val="num" w:pos="2268"/>
      </w:tabs>
      <w:ind w:left="2261"/>
    </w:pPr>
  </w:style>
  <w:style w:type="paragraph" w:customStyle="1" w:styleId="5thlevelpara">
    <w:name w:val="5th level para"/>
    <w:basedOn w:val="4thlevelpara"/>
    <w:rsid w:val="00A8192C"/>
    <w:pPr>
      <w:tabs>
        <w:tab w:val="clear" w:pos="2268"/>
        <w:tab w:val="num" w:pos="2835"/>
      </w:tabs>
      <w:ind w:left="2835" w:hanging="567"/>
    </w:pPr>
  </w:style>
  <w:style w:type="paragraph" w:customStyle="1" w:styleId="6thlevelpara">
    <w:name w:val="6th level para"/>
    <w:basedOn w:val="5thlevelpara"/>
    <w:rsid w:val="00A8192C"/>
    <w:pPr>
      <w:tabs>
        <w:tab w:val="clear" w:pos="2835"/>
        <w:tab w:val="left" w:pos="3402"/>
        <w:tab w:val="num" w:pos="3555"/>
      </w:tabs>
      <w:ind w:left="3402"/>
    </w:pPr>
  </w:style>
  <w:style w:type="character" w:customStyle="1" w:styleId="2ndlevelparaChar">
    <w:name w:val="2nd level para Char"/>
    <w:link w:val="2ndlevelpara"/>
    <w:locked/>
    <w:rsid w:val="00A8192C"/>
    <w:rPr>
      <w:rFonts w:ascii="Arial" w:hAnsi="Arial"/>
      <w:sz w:val="24"/>
      <w:lang w:eastAsia="ar-SA"/>
    </w:rPr>
  </w:style>
  <w:style w:type="paragraph" w:customStyle="1" w:styleId="NormalText">
    <w:name w:val="Normal Text"/>
    <w:basedOn w:val="Normal"/>
    <w:rsid w:val="00A8192C"/>
    <w:pPr>
      <w:spacing w:after="120"/>
      <w:ind w:left="851"/>
    </w:pPr>
    <w:rPr>
      <w:rFonts w:ascii="Arial" w:hAnsi="Arial"/>
      <w:sz w:val="22"/>
      <w:lang w:eastAsia="en-US"/>
    </w:rPr>
  </w:style>
  <w:style w:type="paragraph" w:customStyle="1" w:styleId="Recommendations">
    <w:name w:val="Recommendations"/>
    <w:basedOn w:val="NormalText"/>
    <w:rsid w:val="00A8192C"/>
    <w:pPr>
      <w:numPr>
        <w:numId w:val="20"/>
      </w:numPr>
      <w:spacing w:after="240"/>
    </w:pPr>
    <w:rPr>
      <w:szCs w:val="22"/>
    </w:rPr>
  </w:style>
  <w:style w:type="character" w:customStyle="1" w:styleId="tgc">
    <w:name w:val="_tgc"/>
    <w:rsid w:val="00A8192C"/>
  </w:style>
  <w:style w:type="character" w:styleId="IntenseReference">
    <w:name w:val="Intense Reference"/>
    <w:uiPriority w:val="32"/>
    <w:rsid w:val="00A8192C"/>
    <w:rPr>
      <w:b/>
      <w:bCs/>
      <w:smallCaps/>
      <w:color w:val="5B9BD5"/>
      <w:spacing w:val="5"/>
    </w:rPr>
  </w:style>
  <w:style w:type="paragraph" w:customStyle="1" w:styleId="rteindent1">
    <w:name w:val="rteindent1"/>
    <w:basedOn w:val="Normal"/>
    <w:rsid w:val="00A8192C"/>
    <w:pPr>
      <w:spacing w:before="360" w:after="360"/>
      <w:ind w:left="600"/>
    </w:pPr>
    <w:rPr>
      <w:rFonts w:ascii="Times New Roman" w:hAnsi="Times New Roman"/>
      <w:sz w:val="24"/>
      <w:szCs w:val="24"/>
      <w:lang w:eastAsia="en-NZ"/>
    </w:rPr>
  </w:style>
  <w:style w:type="character" w:customStyle="1" w:styleId="StyleBullets11pt1Char">
    <w:name w:val="Style Bullets + 11 pt1 Char"/>
    <w:link w:val="StyleBullets11pt1"/>
    <w:rsid w:val="00A8192C"/>
    <w:rPr>
      <w:rFonts w:ascii="Arial" w:hAnsi="Arial" w:cs="Arial"/>
      <w:sz w:val="22"/>
      <w:szCs w:val="22"/>
      <w:lang w:val="en-US" w:eastAsia="en-US"/>
    </w:rPr>
  </w:style>
  <w:style w:type="paragraph" w:customStyle="1" w:styleId="Numberless">
    <w:name w:val="Numberless"/>
    <w:basedOn w:val="Body"/>
    <w:link w:val="NumberlessChar"/>
    <w:qFormat/>
    <w:rsid w:val="00A8192C"/>
    <w:pPr>
      <w:spacing w:before="240"/>
    </w:pPr>
    <w:rPr>
      <w:b/>
      <w:lang w:val="en-GB" w:eastAsia="en-GB"/>
    </w:rPr>
  </w:style>
  <w:style w:type="character" w:customStyle="1" w:styleId="apple-converted-space">
    <w:name w:val="apple-converted-space"/>
    <w:rsid w:val="00A8192C"/>
  </w:style>
  <w:style w:type="character" w:customStyle="1" w:styleId="NumberlessChar">
    <w:name w:val="Numberless Char"/>
    <w:link w:val="Numberless"/>
    <w:rsid w:val="00A8192C"/>
    <w:rPr>
      <w:rFonts w:ascii="Segoe UI" w:hAnsi="Segoe UI" w:cs="Arial"/>
      <w:b/>
      <w:color w:val="262626"/>
      <w:szCs w:val="22"/>
      <w:lang w:val="en-GB" w:eastAsia="en-GB"/>
    </w:rPr>
  </w:style>
  <w:style w:type="character" w:customStyle="1" w:styleId="system">
    <w:name w:val="system"/>
    <w:basedOn w:val="DefaultParagraphFont"/>
    <w:rsid w:val="00A8192C"/>
  </w:style>
  <w:style w:type="table" w:customStyle="1" w:styleId="TableGrid0">
    <w:name w:val="TableGrid"/>
    <w:rsid w:val="00A8192C"/>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NoList1">
    <w:name w:val="No List1"/>
    <w:next w:val="NoList"/>
    <w:uiPriority w:val="99"/>
    <w:semiHidden/>
    <w:unhideWhenUsed/>
    <w:rsid w:val="00A8192C"/>
  </w:style>
  <w:style w:type="character" w:customStyle="1" w:styleId="pname">
    <w:name w:val="pname"/>
    <w:basedOn w:val="DefaultParagraphFont"/>
    <w:rsid w:val="00A8192C"/>
  </w:style>
  <w:style w:type="character" w:customStyle="1" w:styleId="bullet2">
    <w:name w:val="bullet2"/>
    <w:basedOn w:val="DefaultParagraphFont"/>
    <w:rsid w:val="00A8192C"/>
  </w:style>
  <w:style w:type="character" w:customStyle="1" w:styleId="author">
    <w:name w:val="author"/>
    <w:basedOn w:val="DefaultParagraphFont"/>
    <w:rsid w:val="00A8192C"/>
  </w:style>
  <w:style w:type="character" w:customStyle="1" w:styleId="articletitle">
    <w:name w:val="articletitle"/>
    <w:basedOn w:val="DefaultParagraphFont"/>
    <w:rsid w:val="00A8192C"/>
  </w:style>
  <w:style w:type="character" w:customStyle="1" w:styleId="pubyear">
    <w:name w:val="pubyear"/>
    <w:basedOn w:val="DefaultParagraphFont"/>
    <w:rsid w:val="00A8192C"/>
  </w:style>
  <w:style w:type="character" w:customStyle="1" w:styleId="vol3">
    <w:name w:val="vol3"/>
    <w:basedOn w:val="DefaultParagraphFont"/>
    <w:rsid w:val="00A8192C"/>
  </w:style>
  <w:style w:type="character" w:customStyle="1" w:styleId="pagefirst">
    <w:name w:val="pagefirst"/>
    <w:basedOn w:val="DefaultParagraphFont"/>
    <w:rsid w:val="00A8192C"/>
  </w:style>
  <w:style w:type="character" w:customStyle="1" w:styleId="pagelast">
    <w:name w:val="pagelast"/>
    <w:basedOn w:val="DefaultParagraphFont"/>
    <w:rsid w:val="00A81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554">
      <w:bodyDiv w:val="1"/>
      <w:marLeft w:val="0"/>
      <w:marRight w:val="0"/>
      <w:marTop w:val="0"/>
      <w:marBottom w:val="0"/>
      <w:divBdr>
        <w:top w:val="none" w:sz="0" w:space="0" w:color="auto"/>
        <w:left w:val="none" w:sz="0" w:space="0" w:color="auto"/>
        <w:bottom w:val="none" w:sz="0" w:space="0" w:color="auto"/>
        <w:right w:val="none" w:sz="0" w:space="0" w:color="auto"/>
      </w:divBdr>
    </w:div>
    <w:div w:id="18361847">
      <w:bodyDiv w:val="1"/>
      <w:marLeft w:val="0"/>
      <w:marRight w:val="0"/>
      <w:marTop w:val="0"/>
      <w:marBottom w:val="0"/>
      <w:divBdr>
        <w:top w:val="none" w:sz="0" w:space="0" w:color="auto"/>
        <w:left w:val="none" w:sz="0" w:space="0" w:color="auto"/>
        <w:bottom w:val="none" w:sz="0" w:space="0" w:color="auto"/>
        <w:right w:val="none" w:sz="0" w:space="0" w:color="auto"/>
      </w:divBdr>
    </w:div>
    <w:div w:id="36315388">
      <w:bodyDiv w:val="1"/>
      <w:marLeft w:val="0"/>
      <w:marRight w:val="0"/>
      <w:marTop w:val="0"/>
      <w:marBottom w:val="0"/>
      <w:divBdr>
        <w:top w:val="none" w:sz="0" w:space="0" w:color="auto"/>
        <w:left w:val="none" w:sz="0" w:space="0" w:color="auto"/>
        <w:bottom w:val="none" w:sz="0" w:space="0" w:color="auto"/>
        <w:right w:val="none" w:sz="0" w:space="0" w:color="auto"/>
      </w:divBdr>
    </w:div>
    <w:div w:id="56125391">
      <w:bodyDiv w:val="1"/>
      <w:marLeft w:val="0"/>
      <w:marRight w:val="0"/>
      <w:marTop w:val="0"/>
      <w:marBottom w:val="0"/>
      <w:divBdr>
        <w:top w:val="none" w:sz="0" w:space="0" w:color="auto"/>
        <w:left w:val="none" w:sz="0" w:space="0" w:color="auto"/>
        <w:bottom w:val="none" w:sz="0" w:space="0" w:color="auto"/>
        <w:right w:val="none" w:sz="0" w:space="0" w:color="auto"/>
      </w:divBdr>
    </w:div>
    <w:div w:id="99686239">
      <w:bodyDiv w:val="1"/>
      <w:marLeft w:val="0"/>
      <w:marRight w:val="0"/>
      <w:marTop w:val="0"/>
      <w:marBottom w:val="0"/>
      <w:divBdr>
        <w:top w:val="none" w:sz="0" w:space="0" w:color="auto"/>
        <w:left w:val="none" w:sz="0" w:space="0" w:color="auto"/>
        <w:bottom w:val="none" w:sz="0" w:space="0" w:color="auto"/>
        <w:right w:val="none" w:sz="0" w:space="0" w:color="auto"/>
      </w:divBdr>
    </w:div>
    <w:div w:id="154299558">
      <w:bodyDiv w:val="1"/>
      <w:marLeft w:val="0"/>
      <w:marRight w:val="0"/>
      <w:marTop w:val="0"/>
      <w:marBottom w:val="0"/>
      <w:divBdr>
        <w:top w:val="none" w:sz="0" w:space="0" w:color="auto"/>
        <w:left w:val="none" w:sz="0" w:space="0" w:color="auto"/>
        <w:bottom w:val="none" w:sz="0" w:space="0" w:color="auto"/>
        <w:right w:val="none" w:sz="0" w:space="0" w:color="auto"/>
      </w:divBdr>
    </w:div>
    <w:div w:id="195195411">
      <w:bodyDiv w:val="1"/>
      <w:marLeft w:val="0"/>
      <w:marRight w:val="0"/>
      <w:marTop w:val="0"/>
      <w:marBottom w:val="0"/>
      <w:divBdr>
        <w:top w:val="none" w:sz="0" w:space="0" w:color="auto"/>
        <w:left w:val="none" w:sz="0" w:space="0" w:color="auto"/>
        <w:bottom w:val="none" w:sz="0" w:space="0" w:color="auto"/>
        <w:right w:val="none" w:sz="0" w:space="0" w:color="auto"/>
      </w:divBdr>
    </w:div>
    <w:div w:id="204953035">
      <w:bodyDiv w:val="1"/>
      <w:marLeft w:val="0"/>
      <w:marRight w:val="0"/>
      <w:marTop w:val="0"/>
      <w:marBottom w:val="0"/>
      <w:divBdr>
        <w:top w:val="none" w:sz="0" w:space="0" w:color="auto"/>
        <w:left w:val="none" w:sz="0" w:space="0" w:color="auto"/>
        <w:bottom w:val="none" w:sz="0" w:space="0" w:color="auto"/>
        <w:right w:val="none" w:sz="0" w:space="0" w:color="auto"/>
      </w:divBdr>
    </w:div>
    <w:div w:id="273826475">
      <w:bodyDiv w:val="1"/>
      <w:marLeft w:val="0"/>
      <w:marRight w:val="0"/>
      <w:marTop w:val="0"/>
      <w:marBottom w:val="0"/>
      <w:divBdr>
        <w:top w:val="none" w:sz="0" w:space="0" w:color="auto"/>
        <w:left w:val="none" w:sz="0" w:space="0" w:color="auto"/>
        <w:bottom w:val="none" w:sz="0" w:space="0" w:color="auto"/>
        <w:right w:val="none" w:sz="0" w:space="0" w:color="auto"/>
      </w:divBdr>
    </w:div>
    <w:div w:id="303002753">
      <w:bodyDiv w:val="1"/>
      <w:marLeft w:val="0"/>
      <w:marRight w:val="0"/>
      <w:marTop w:val="0"/>
      <w:marBottom w:val="0"/>
      <w:divBdr>
        <w:top w:val="none" w:sz="0" w:space="0" w:color="auto"/>
        <w:left w:val="none" w:sz="0" w:space="0" w:color="auto"/>
        <w:bottom w:val="none" w:sz="0" w:space="0" w:color="auto"/>
        <w:right w:val="none" w:sz="0" w:space="0" w:color="auto"/>
      </w:divBdr>
    </w:div>
    <w:div w:id="369692268">
      <w:bodyDiv w:val="1"/>
      <w:marLeft w:val="0"/>
      <w:marRight w:val="0"/>
      <w:marTop w:val="0"/>
      <w:marBottom w:val="0"/>
      <w:divBdr>
        <w:top w:val="none" w:sz="0" w:space="0" w:color="auto"/>
        <w:left w:val="none" w:sz="0" w:space="0" w:color="auto"/>
        <w:bottom w:val="none" w:sz="0" w:space="0" w:color="auto"/>
        <w:right w:val="none" w:sz="0" w:space="0" w:color="auto"/>
      </w:divBdr>
    </w:div>
    <w:div w:id="393359261">
      <w:bodyDiv w:val="1"/>
      <w:marLeft w:val="0"/>
      <w:marRight w:val="0"/>
      <w:marTop w:val="0"/>
      <w:marBottom w:val="0"/>
      <w:divBdr>
        <w:top w:val="none" w:sz="0" w:space="0" w:color="auto"/>
        <w:left w:val="none" w:sz="0" w:space="0" w:color="auto"/>
        <w:bottom w:val="none" w:sz="0" w:space="0" w:color="auto"/>
        <w:right w:val="none" w:sz="0" w:space="0" w:color="auto"/>
      </w:divBdr>
    </w:div>
    <w:div w:id="414981948">
      <w:bodyDiv w:val="1"/>
      <w:marLeft w:val="0"/>
      <w:marRight w:val="0"/>
      <w:marTop w:val="0"/>
      <w:marBottom w:val="0"/>
      <w:divBdr>
        <w:top w:val="none" w:sz="0" w:space="0" w:color="auto"/>
        <w:left w:val="none" w:sz="0" w:space="0" w:color="auto"/>
        <w:bottom w:val="none" w:sz="0" w:space="0" w:color="auto"/>
        <w:right w:val="none" w:sz="0" w:space="0" w:color="auto"/>
      </w:divBdr>
    </w:div>
    <w:div w:id="455756312">
      <w:bodyDiv w:val="1"/>
      <w:marLeft w:val="0"/>
      <w:marRight w:val="0"/>
      <w:marTop w:val="0"/>
      <w:marBottom w:val="0"/>
      <w:divBdr>
        <w:top w:val="none" w:sz="0" w:space="0" w:color="auto"/>
        <w:left w:val="none" w:sz="0" w:space="0" w:color="auto"/>
        <w:bottom w:val="none" w:sz="0" w:space="0" w:color="auto"/>
        <w:right w:val="none" w:sz="0" w:space="0" w:color="auto"/>
      </w:divBdr>
    </w:div>
    <w:div w:id="471483980">
      <w:bodyDiv w:val="1"/>
      <w:marLeft w:val="0"/>
      <w:marRight w:val="0"/>
      <w:marTop w:val="0"/>
      <w:marBottom w:val="0"/>
      <w:divBdr>
        <w:top w:val="none" w:sz="0" w:space="0" w:color="auto"/>
        <w:left w:val="none" w:sz="0" w:space="0" w:color="auto"/>
        <w:bottom w:val="none" w:sz="0" w:space="0" w:color="auto"/>
        <w:right w:val="none" w:sz="0" w:space="0" w:color="auto"/>
      </w:divBdr>
    </w:div>
    <w:div w:id="495805744">
      <w:bodyDiv w:val="1"/>
      <w:marLeft w:val="0"/>
      <w:marRight w:val="0"/>
      <w:marTop w:val="0"/>
      <w:marBottom w:val="0"/>
      <w:divBdr>
        <w:top w:val="none" w:sz="0" w:space="0" w:color="auto"/>
        <w:left w:val="none" w:sz="0" w:space="0" w:color="auto"/>
        <w:bottom w:val="none" w:sz="0" w:space="0" w:color="auto"/>
        <w:right w:val="none" w:sz="0" w:space="0" w:color="auto"/>
      </w:divBdr>
    </w:div>
    <w:div w:id="524560767">
      <w:bodyDiv w:val="1"/>
      <w:marLeft w:val="0"/>
      <w:marRight w:val="0"/>
      <w:marTop w:val="0"/>
      <w:marBottom w:val="0"/>
      <w:divBdr>
        <w:top w:val="none" w:sz="0" w:space="0" w:color="auto"/>
        <w:left w:val="none" w:sz="0" w:space="0" w:color="auto"/>
        <w:bottom w:val="none" w:sz="0" w:space="0" w:color="auto"/>
        <w:right w:val="none" w:sz="0" w:space="0" w:color="auto"/>
      </w:divBdr>
    </w:div>
    <w:div w:id="536503961">
      <w:bodyDiv w:val="1"/>
      <w:marLeft w:val="0"/>
      <w:marRight w:val="0"/>
      <w:marTop w:val="0"/>
      <w:marBottom w:val="0"/>
      <w:divBdr>
        <w:top w:val="none" w:sz="0" w:space="0" w:color="auto"/>
        <w:left w:val="none" w:sz="0" w:space="0" w:color="auto"/>
        <w:bottom w:val="none" w:sz="0" w:space="0" w:color="auto"/>
        <w:right w:val="none" w:sz="0" w:space="0" w:color="auto"/>
      </w:divBdr>
    </w:div>
    <w:div w:id="653486102">
      <w:bodyDiv w:val="1"/>
      <w:marLeft w:val="0"/>
      <w:marRight w:val="0"/>
      <w:marTop w:val="0"/>
      <w:marBottom w:val="0"/>
      <w:divBdr>
        <w:top w:val="none" w:sz="0" w:space="0" w:color="auto"/>
        <w:left w:val="none" w:sz="0" w:space="0" w:color="auto"/>
        <w:bottom w:val="none" w:sz="0" w:space="0" w:color="auto"/>
        <w:right w:val="none" w:sz="0" w:space="0" w:color="auto"/>
      </w:divBdr>
    </w:div>
    <w:div w:id="677780622">
      <w:bodyDiv w:val="1"/>
      <w:marLeft w:val="0"/>
      <w:marRight w:val="0"/>
      <w:marTop w:val="0"/>
      <w:marBottom w:val="0"/>
      <w:divBdr>
        <w:top w:val="none" w:sz="0" w:space="0" w:color="auto"/>
        <w:left w:val="none" w:sz="0" w:space="0" w:color="auto"/>
        <w:bottom w:val="none" w:sz="0" w:space="0" w:color="auto"/>
        <w:right w:val="none" w:sz="0" w:space="0" w:color="auto"/>
      </w:divBdr>
    </w:div>
    <w:div w:id="711000076">
      <w:bodyDiv w:val="1"/>
      <w:marLeft w:val="0"/>
      <w:marRight w:val="0"/>
      <w:marTop w:val="0"/>
      <w:marBottom w:val="0"/>
      <w:divBdr>
        <w:top w:val="none" w:sz="0" w:space="0" w:color="auto"/>
        <w:left w:val="none" w:sz="0" w:space="0" w:color="auto"/>
        <w:bottom w:val="none" w:sz="0" w:space="0" w:color="auto"/>
        <w:right w:val="none" w:sz="0" w:space="0" w:color="auto"/>
      </w:divBdr>
    </w:div>
    <w:div w:id="738749606">
      <w:bodyDiv w:val="1"/>
      <w:marLeft w:val="0"/>
      <w:marRight w:val="0"/>
      <w:marTop w:val="0"/>
      <w:marBottom w:val="0"/>
      <w:divBdr>
        <w:top w:val="none" w:sz="0" w:space="0" w:color="auto"/>
        <w:left w:val="none" w:sz="0" w:space="0" w:color="auto"/>
        <w:bottom w:val="none" w:sz="0" w:space="0" w:color="auto"/>
        <w:right w:val="none" w:sz="0" w:space="0" w:color="auto"/>
      </w:divBdr>
    </w:div>
    <w:div w:id="750546071">
      <w:bodyDiv w:val="1"/>
      <w:marLeft w:val="0"/>
      <w:marRight w:val="0"/>
      <w:marTop w:val="0"/>
      <w:marBottom w:val="0"/>
      <w:divBdr>
        <w:top w:val="none" w:sz="0" w:space="0" w:color="auto"/>
        <w:left w:val="none" w:sz="0" w:space="0" w:color="auto"/>
        <w:bottom w:val="none" w:sz="0" w:space="0" w:color="auto"/>
        <w:right w:val="none" w:sz="0" w:space="0" w:color="auto"/>
      </w:divBdr>
    </w:div>
    <w:div w:id="816191500">
      <w:bodyDiv w:val="1"/>
      <w:marLeft w:val="0"/>
      <w:marRight w:val="0"/>
      <w:marTop w:val="0"/>
      <w:marBottom w:val="0"/>
      <w:divBdr>
        <w:top w:val="none" w:sz="0" w:space="0" w:color="auto"/>
        <w:left w:val="none" w:sz="0" w:space="0" w:color="auto"/>
        <w:bottom w:val="none" w:sz="0" w:space="0" w:color="auto"/>
        <w:right w:val="none" w:sz="0" w:space="0" w:color="auto"/>
      </w:divBdr>
    </w:div>
    <w:div w:id="862671468">
      <w:bodyDiv w:val="1"/>
      <w:marLeft w:val="0"/>
      <w:marRight w:val="0"/>
      <w:marTop w:val="0"/>
      <w:marBottom w:val="0"/>
      <w:divBdr>
        <w:top w:val="none" w:sz="0" w:space="0" w:color="auto"/>
        <w:left w:val="none" w:sz="0" w:space="0" w:color="auto"/>
        <w:bottom w:val="none" w:sz="0" w:space="0" w:color="auto"/>
        <w:right w:val="none" w:sz="0" w:space="0" w:color="auto"/>
      </w:divBdr>
    </w:div>
    <w:div w:id="885214683">
      <w:bodyDiv w:val="1"/>
      <w:marLeft w:val="0"/>
      <w:marRight w:val="0"/>
      <w:marTop w:val="0"/>
      <w:marBottom w:val="0"/>
      <w:divBdr>
        <w:top w:val="none" w:sz="0" w:space="0" w:color="auto"/>
        <w:left w:val="none" w:sz="0" w:space="0" w:color="auto"/>
        <w:bottom w:val="none" w:sz="0" w:space="0" w:color="auto"/>
        <w:right w:val="none" w:sz="0" w:space="0" w:color="auto"/>
      </w:divBdr>
    </w:div>
    <w:div w:id="939528167">
      <w:bodyDiv w:val="1"/>
      <w:marLeft w:val="0"/>
      <w:marRight w:val="0"/>
      <w:marTop w:val="0"/>
      <w:marBottom w:val="0"/>
      <w:divBdr>
        <w:top w:val="none" w:sz="0" w:space="0" w:color="auto"/>
        <w:left w:val="none" w:sz="0" w:space="0" w:color="auto"/>
        <w:bottom w:val="none" w:sz="0" w:space="0" w:color="auto"/>
        <w:right w:val="none" w:sz="0" w:space="0" w:color="auto"/>
      </w:divBdr>
    </w:div>
    <w:div w:id="978261531">
      <w:bodyDiv w:val="1"/>
      <w:marLeft w:val="0"/>
      <w:marRight w:val="0"/>
      <w:marTop w:val="0"/>
      <w:marBottom w:val="0"/>
      <w:divBdr>
        <w:top w:val="none" w:sz="0" w:space="0" w:color="auto"/>
        <w:left w:val="none" w:sz="0" w:space="0" w:color="auto"/>
        <w:bottom w:val="none" w:sz="0" w:space="0" w:color="auto"/>
        <w:right w:val="none" w:sz="0" w:space="0" w:color="auto"/>
      </w:divBdr>
    </w:div>
    <w:div w:id="1045258516">
      <w:bodyDiv w:val="1"/>
      <w:marLeft w:val="0"/>
      <w:marRight w:val="0"/>
      <w:marTop w:val="0"/>
      <w:marBottom w:val="0"/>
      <w:divBdr>
        <w:top w:val="none" w:sz="0" w:space="0" w:color="auto"/>
        <w:left w:val="none" w:sz="0" w:space="0" w:color="auto"/>
        <w:bottom w:val="none" w:sz="0" w:space="0" w:color="auto"/>
        <w:right w:val="none" w:sz="0" w:space="0" w:color="auto"/>
      </w:divBdr>
    </w:div>
    <w:div w:id="1093089217">
      <w:bodyDiv w:val="1"/>
      <w:marLeft w:val="0"/>
      <w:marRight w:val="0"/>
      <w:marTop w:val="0"/>
      <w:marBottom w:val="0"/>
      <w:divBdr>
        <w:top w:val="none" w:sz="0" w:space="0" w:color="auto"/>
        <w:left w:val="none" w:sz="0" w:space="0" w:color="auto"/>
        <w:bottom w:val="none" w:sz="0" w:space="0" w:color="auto"/>
        <w:right w:val="none" w:sz="0" w:space="0" w:color="auto"/>
      </w:divBdr>
    </w:div>
    <w:div w:id="1107507881">
      <w:bodyDiv w:val="1"/>
      <w:marLeft w:val="0"/>
      <w:marRight w:val="0"/>
      <w:marTop w:val="0"/>
      <w:marBottom w:val="0"/>
      <w:divBdr>
        <w:top w:val="none" w:sz="0" w:space="0" w:color="auto"/>
        <w:left w:val="none" w:sz="0" w:space="0" w:color="auto"/>
        <w:bottom w:val="none" w:sz="0" w:space="0" w:color="auto"/>
        <w:right w:val="none" w:sz="0" w:space="0" w:color="auto"/>
      </w:divBdr>
    </w:div>
    <w:div w:id="1166089449">
      <w:bodyDiv w:val="1"/>
      <w:marLeft w:val="0"/>
      <w:marRight w:val="0"/>
      <w:marTop w:val="0"/>
      <w:marBottom w:val="0"/>
      <w:divBdr>
        <w:top w:val="none" w:sz="0" w:space="0" w:color="auto"/>
        <w:left w:val="none" w:sz="0" w:space="0" w:color="auto"/>
        <w:bottom w:val="none" w:sz="0" w:space="0" w:color="auto"/>
        <w:right w:val="none" w:sz="0" w:space="0" w:color="auto"/>
      </w:divBdr>
    </w:div>
    <w:div w:id="1174417907">
      <w:bodyDiv w:val="1"/>
      <w:marLeft w:val="0"/>
      <w:marRight w:val="0"/>
      <w:marTop w:val="0"/>
      <w:marBottom w:val="0"/>
      <w:divBdr>
        <w:top w:val="none" w:sz="0" w:space="0" w:color="auto"/>
        <w:left w:val="none" w:sz="0" w:space="0" w:color="auto"/>
        <w:bottom w:val="none" w:sz="0" w:space="0" w:color="auto"/>
        <w:right w:val="none" w:sz="0" w:space="0" w:color="auto"/>
      </w:divBdr>
    </w:div>
    <w:div w:id="1174611100">
      <w:bodyDiv w:val="1"/>
      <w:marLeft w:val="0"/>
      <w:marRight w:val="0"/>
      <w:marTop w:val="0"/>
      <w:marBottom w:val="0"/>
      <w:divBdr>
        <w:top w:val="none" w:sz="0" w:space="0" w:color="auto"/>
        <w:left w:val="none" w:sz="0" w:space="0" w:color="auto"/>
        <w:bottom w:val="none" w:sz="0" w:space="0" w:color="auto"/>
        <w:right w:val="none" w:sz="0" w:space="0" w:color="auto"/>
      </w:divBdr>
    </w:div>
    <w:div w:id="1197350079">
      <w:bodyDiv w:val="1"/>
      <w:marLeft w:val="0"/>
      <w:marRight w:val="0"/>
      <w:marTop w:val="0"/>
      <w:marBottom w:val="0"/>
      <w:divBdr>
        <w:top w:val="none" w:sz="0" w:space="0" w:color="auto"/>
        <w:left w:val="none" w:sz="0" w:space="0" w:color="auto"/>
        <w:bottom w:val="none" w:sz="0" w:space="0" w:color="auto"/>
        <w:right w:val="none" w:sz="0" w:space="0" w:color="auto"/>
      </w:divBdr>
    </w:div>
    <w:div w:id="1229538290">
      <w:bodyDiv w:val="1"/>
      <w:marLeft w:val="0"/>
      <w:marRight w:val="0"/>
      <w:marTop w:val="0"/>
      <w:marBottom w:val="0"/>
      <w:divBdr>
        <w:top w:val="none" w:sz="0" w:space="0" w:color="auto"/>
        <w:left w:val="none" w:sz="0" w:space="0" w:color="auto"/>
        <w:bottom w:val="none" w:sz="0" w:space="0" w:color="auto"/>
        <w:right w:val="none" w:sz="0" w:space="0" w:color="auto"/>
      </w:divBdr>
    </w:div>
    <w:div w:id="1273245416">
      <w:bodyDiv w:val="1"/>
      <w:marLeft w:val="0"/>
      <w:marRight w:val="0"/>
      <w:marTop w:val="0"/>
      <w:marBottom w:val="0"/>
      <w:divBdr>
        <w:top w:val="none" w:sz="0" w:space="0" w:color="auto"/>
        <w:left w:val="none" w:sz="0" w:space="0" w:color="auto"/>
        <w:bottom w:val="none" w:sz="0" w:space="0" w:color="auto"/>
        <w:right w:val="none" w:sz="0" w:space="0" w:color="auto"/>
      </w:divBdr>
    </w:div>
    <w:div w:id="1434394175">
      <w:bodyDiv w:val="1"/>
      <w:marLeft w:val="0"/>
      <w:marRight w:val="0"/>
      <w:marTop w:val="0"/>
      <w:marBottom w:val="0"/>
      <w:divBdr>
        <w:top w:val="none" w:sz="0" w:space="0" w:color="auto"/>
        <w:left w:val="none" w:sz="0" w:space="0" w:color="auto"/>
        <w:bottom w:val="none" w:sz="0" w:space="0" w:color="auto"/>
        <w:right w:val="none" w:sz="0" w:space="0" w:color="auto"/>
      </w:divBdr>
    </w:div>
    <w:div w:id="1463115537">
      <w:bodyDiv w:val="1"/>
      <w:marLeft w:val="0"/>
      <w:marRight w:val="0"/>
      <w:marTop w:val="0"/>
      <w:marBottom w:val="0"/>
      <w:divBdr>
        <w:top w:val="none" w:sz="0" w:space="0" w:color="auto"/>
        <w:left w:val="none" w:sz="0" w:space="0" w:color="auto"/>
        <w:bottom w:val="none" w:sz="0" w:space="0" w:color="auto"/>
        <w:right w:val="none" w:sz="0" w:space="0" w:color="auto"/>
      </w:divBdr>
    </w:div>
    <w:div w:id="1497529386">
      <w:bodyDiv w:val="1"/>
      <w:marLeft w:val="0"/>
      <w:marRight w:val="0"/>
      <w:marTop w:val="0"/>
      <w:marBottom w:val="0"/>
      <w:divBdr>
        <w:top w:val="none" w:sz="0" w:space="0" w:color="auto"/>
        <w:left w:val="none" w:sz="0" w:space="0" w:color="auto"/>
        <w:bottom w:val="none" w:sz="0" w:space="0" w:color="auto"/>
        <w:right w:val="none" w:sz="0" w:space="0" w:color="auto"/>
      </w:divBdr>
    </w:div>
    <w:div w:id="1546407142">
      <w:bodyDiv w:val="1"/>
      <w:marLeft w:val="0"/>
      <w:marRight w:val="0"/>
      <w:marTop w:val="0"/>
      <w:marBottom w:val="0"/>
      <w:divBdr>
        <w:top w:val="none" w:sz="0" w:space="0" w:color="auto"/>
        <w:left w:val="none" w:sz="0" w:space="0" w:color="auto"/>
        <w:bottom w:val="none" w:sz="0" w:space="0" w:color="auto"/>
        <w:right w:val="none" w:sz="0" w:space="0" w:color="auto"/>
      </w:divBdr>
    </w:div>
    <w:div w:id="1597783807">
      <w:bodyDiv w:val="1"/>
      <w:marLeft w:val="0"/>
      <w:marRight w:val="0"/>
      <w:marTop w:val="0"/>
      <w:marBottom w:val="0"/>
      <w:divBdr>
        <w:top w:val="none" w:sz="0" w:space="0" w:color="auto"/>
        <w:left w:val="none" w:sz="0" w:space="0" w:color="auto"/>
        <w:bottom w:val="none" w:sz="0" w:space="0" w:color="auto"/>
        <w:right w:val="none" w:sz="0" w:space="0" w:color="auto"/>
      </w:divBdr>
    </w:div>
    <w:div w:id="1602421376">
      <w:bodyDiv w:val="1"/>
      <w:marLeft w:val="0"/>
      <w:marRight w:val="0"/>
      <w:marTop w:val="0"/>
      <w:marBottom w:val="0"/>
      <w:divBdr>
        <w:top w:val="none" w:sz="0" w:space="0" w:color="auto"/>
        <w:left w:val="none" w:sz="0" w:space="0" w:color="auto"/>
        <w:bottom w:val="none" w:sz="0" w:space="0" w:color="auto"/>
        <w:right w:val="none" w:sz="0" w:space="0" w:color="auto"/>
      </w:divBdr>
    </w:div>
    <w:div w:id="1625307881">
      <w:bodyDiv w:val="1"/>
      <w:marLeft w:val="0"/>
      <w:marRight w:val="0"/>
      <w:marTop w:val="0"/>
      <w:marBottom w:val="0"/>
      <w:divBdr>
        <w:top w:val="none" w:sz="0" w:space="0" w:color="auto"/>
        <w:left w:val="none" w:sz="0" w:space="0" w:color="auto"/>
        <w:bottom w:val="none" w:sz="0" w:space="0" w:color="auto"/>
        <w:right w:val="none" w:sz="0" w:space="0" w:color="auto"/>
      </w:divBdr>
    </w:div>
    <w:div w:id="1632128725">
      <w:bodyDiv w:val="1"/>
      <w:marLeft w:val="0"/>
      <w:marRight w:val="0"/>
      <w:marTop w:val="0"/>
      <w:marBottom w:val="0"/>
      <w:divBdr>
        <w:top w:val="none" w:sz="0" w:space="0" w:color="auto"/>
        <w:left w:val="none" w:sz="0" w:space="0" w:color="auto"/>
        <w:bottom w:val="none" w:sz="0" w:space="0" w:color="auto"/>
        <w:right w:val="none" w:sz="0" w:space="0" w:color="auto"/>
      </w:divBdr>
    </w:div>
    <w:div w:id="1632133486">
      <w:bodyDiv w:val="1"/>
      <w:marLeft w:val="0"/>
      <w:marRight w:val="0"/>
      <w:marTop w:val="0"/>
      <w:marBottom w:val="0"/>
      <w:divBdr>
        <w:top w:val="none" w:sz="0" w:space="0" w:color="auto"/>
        <w:left w:val="none" w:sz="0" w:space="0" w:color="auto"/>
        <w:bottom w:val="none" w:sz="0" w:space="0" w:color="auto"/>
        <w:right w:val="none" w:sz="0" w:space="0" w:color="auto"/>
      </w:divBdr>
    </w:div>
    <w:div w:id="1690985585">
      <w:bodyDiv w:val="1"/>
      <w:marLeft w:val="0"/>
      <w:marRight w:val="0"/>
      <w:marTop w:val="0"/>
      <w:marBottom w:val="0"/>
      <w:divBdr>
        <w:top w:val="none" w:sz="0" w:space="0" w:color="auto"/>
        <w:left w:val="none" w:sz="0" w:space="0" w:color="auto"/>
        <w:bottom w:val="none" w:sz="0" w:space="0" w:color="auto"/>
        <w:right w:val="none" w:sz="0" w:space="0" w:color="auto"/>
      </w:divBdr>
    </w:div>
    <w:div w:id="1768698462">
      <w:bodyDiv w:val="1"/>
      <w:marLeft w:val="0"/>
      <w:marRight w:val="0"/>
      <w:marTop w:val="0"/>
      <w:marBottom w:val="0"/>
      <w:divBdr>
        <w:top w:val="none" w:sz="0" w:space="0" w:color="auto"/>
        <w:left w:val="none" w:sz="0" w:space="0" w:color="auto"/>
        <w:bottom w:val="none" w:sz="0" w:space="0" w:color="auto"/>
        <w:right w:val="none" w:sz="0" w:space="0" w:color="auto"/>
      </w:divBdr>
    </w:div>
    <w:div w:id="1857957809">
      <w:bodyDiv w:val="1"/>
      <w:marLeft w:val="0"/>
      <w:marRight w:val="0"/>
      <w:marTop w:val="0"/>
      <w:marBottom w:val="0"/>
      <w:divBdr>
        <w:top w:val="none" w:sz="0" w:space="0" w:color="auto"/>
        <w:left w:val="none" w:sz="0" w:space="0" w:color="auto"/>
        <w:bottom w:val="none" w:sz="0" w:space="0" w:color="auto"/>
        <w:right w:val="none" w:sz="0" w:space="0" w:color="auto"/>
      </w:divBdr>
    </w:div>
    <w:div w:id="1966496583">
      <w:bodyDiv w:val="1"/>
      <w:marLeft w:val="0"/>
      <w:marRight w:val="0"/>
      <w:marTop w:val="0"/>
      <w:marBottom w:val="0"/>
      <w:divBdr>
        <w:top w:val="none" w:sz="0" w:space="0" w:color="auto"/>
        <w:left w:val="none" w:sz="0" w:space="0" w:color="auto"/>
        <w:bottom w:val="none" w:sz="0" w:space="0" w:color="auto"/>
        <w:right w:val="none" w:sz="0" w:space="0" w:color="auto"/>
      </w:divBdr>
    </w:div>
    <w:div w:id="1972007479">
      <w:bodyDiv w:val="1"/>
      <w:marLeft w:val="0"/>
      <w:marRight w:val="0"/>
      <w:marTop w:val="0"/>
      <w:marBottom w:val="0"/>
      <w:divBdr>
        <w:top w:val="none" w:sz="0" w:space="0" w:color="auto"/>
        <w:left w:val="none" w:sz="0" w:space="0" w:color="auto"/>
        <w:bottom w:val="none" w:sz="0" w:space="0" w:color="auto"/>
        <w:right w:val="none" w:sz="0" w:space="0" w:color="auto"/>
      </w:divBdr>
    </w:div>
    <w:div w:id="1972129301">
      <w:bodyDiv w:val="1"/>
      <w:marLeft w:val="0"/>
      <w:marRight w:val="0"/>
      <w:marTop w:val="0"/>
      <w:marBottom w:val="0"/>
      <w:divBdr>
        <w:top w:val="none" w:sz="0" w:space="0" w:color="auto"/>
        <w:left w:val="none" w:sz="0" w:space="0" w:color="auto"/>
        <w:bottom w:val="none" w:sz="0" w:space="0" w:color="auto"/>
        <w:right w:val="none" w:sz="0" w:space="0" w:color="auto"/>
      </w:divBdr>
    </w:div>
    <w:div w:id="2038189938">
      <w:bodyDiv w:val="1"/>
      <w:marLeft w:val="0"/>
      <w:marRight w:val="0"/>
      <w:marTop w:val="0"/>
      <w:marBottom w:val="0"/>
      <w:divBdr>
        <w:top w:val="none" w:sz="0" w:space="0" w:color="auto"/>
        <w:left w:val="none" w:sz="0" w:space="0" w:color="auto"/>
        <w:bottom w:val="none" w:sz="0" w:space="0" w:color="auto"/>
        <w:right w:val="none" w:sz="0" w:space="0" w:color="auto"/>
      </w:divBdr>
    </w:div>
    <w:div w:id="2077044481">
      <w:bodyDiv w:val="1"/>
      <w:marLeft w:val="0"/>
      <w:marRight w:val="0"/>
      <w:marTop w:val="0"/>
      <w:marBottom w:val="0"/>
      <w:divBdr>
        <w:top w:val="none" w:sz="0" w:space="0" w:color="auto"/>
        <w:left w:val="none" w:sz="0" w:space="0" w:color="auto"/>
        <w:bottom w:val="none" w:sz="0" w:space="0" w:color="auto"/>
        <w:right w:val="none" w:sz="0" w:space="0" w:color="auto"/>
      </w:divBdr>
    </w:div>
    <w:div w:id="2107845796">
      <w:bodyDiv w:val="1"/>
      <w:marLeft w:val="0"/>
      <w:marRight w:val="0"/>
      <w:marTop w:val="0"/>
      <w:marBottom w:val="0"/>
      <w:divBdr>
        <w:top w:val="none" w:sz="0" w:space="0" w:color="auto"/>
        <w:left w:val="none" w:sz="0" w:space="0" w:color="auto"/>
        <w:bottom w:val="none" w:sz="0" w:space="0" w:color="auto"/>
        <w:right w:val="none" w:sz="0" w:space="0" w:color="auto"/>
      </w:divBdr>
    </w:div>
    <w:div w:id="2138330935">
      <w:bodyDiv w:val="1"/>
      <w:marLeft w:val="0"/>
      <w:marRight w:val="0"/>
      <w:marTop w:val="0"/>
      <w:marBottom w:val="0"/>
      <w:divBdr>
        <w:top w:val="none" w:sz="0" w:space="0" w:color="auto"/>
        <w:left w:val="none" w:sz="0" w:space="0" w:color="auto"/>
        <w:bottom w:val="none" w:sz="0" w:space="0" w:color="auto"/>
        <w:right w:val="none" w:sz="0" w:space="0" w:color="auto"/>
      </w:divBdr>
    </w:div>
    <w:div w:id="213872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5.xml"/><Relationship Id="rId26" Type="http://schemas.openxmlformats.org/officeDocument/2006/relationships/hyperlink" Target="http://www.who.int/nutrition/publications/obesity/WHO_TRS_894/en/" TargetMode="External"/><Relationship Id="rId3" Type="http://schemas.openxmlformats.org/officeDocument/2006/relationships/numbering" Target="numbering.xml"/><Relationship Id="rId21" Type="http://schemas.openxmlformats.org/officeDocument/2006/relationships/hyperlink" Target="http://www.health.govt.nz/publication/new-zealand-health-survey-objectives-and-topic-areas-august-2010"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4.xml"/><Relationship Id="rId25" Type="http://schemas.openxmlformats.org/officeDocument/2006/relationships/hyperlink" Target="http://www.washingtongroup-disability.com/washington-group-question-sets/child-disability/"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health.govt.nz/system/files/documents/publications/www.health.govt.n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washingtongroup-disability.com/washington-group-question-sets/short-set-of-disability-questions/"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vizhub.healthdata.org/gbd-compare"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health.govt.nz/system/files/documents/publications/www.health.govt.nz"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www.health.govt.nz/publication/portrait-health-key-results-2006-07-new-zealand-health-survey" TargetMode="External"/><Relationship Id="rId27" Type="http://schemas.openxmlformats.org/officeDocument/2006/relationships/hyperlink" Target="https://www.who.int/classifications/icf/icf_more/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B5F87-B1D0-4830-9696-8E50D039928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A4580AA-24C2-4539-A6E6-27C368CB1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0</TotalTime>
  <Pages>29</Pages>
  <Words>7709</Words>
  <Characters>46105</Characters>
  <Application>Microsoft Office Word</Application>
  <DocSecurity>0</DocSecurity>
  <Lines>384</Lines>
  <Paragraphs>107</Paragraphs>
  <ScaleCrop>false</ScaleCrop>
  <HeadingPairs>
    <vt:vector size="2" baseType="variant">
      <vt:variant>
        <vt:lpstr>Title</vt:lpstr>
      </vt:variant>
      <vt:variant>
        <vt:i4>1</vt:i4>
      </vt:variant>
    </vt:vector>
  </HeadingPairs>
  <TitlesOfParts>
    <vt:vector size="1" baseType="lpstr">
      <vt:lpstr>Code of practice for industrial radiography: draft for consultation</vt:lpstr>
    </vt:vector>
  </TitlesOfParts>
  <Company>Microsoft</Company>
  <LinksUpToDate>false</LinksUpToDate>
  <CharactersWithSpaces>53707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 for industrial radiography: draft for consultation</dc:title>
  <dc:creator>Ministry of Health</dc:creator>
  <cp:lastModifiedBy>Geneva Ruppert-Wise</cp:lastModifiedBy>
  <cp:revision>3</cp:revision>
  <cp:lastPrinted>2019-10-02T23:16:00Z</cp:lastPrinted>
  <dcterms:created xsi:type="dcterms:W3CDTF">2019-10-02T23:16:00Z</dcterms:created>
  <dcterms:modified xsi:type="dcterms:W3CDTF">2019-10-02T23:16:00Z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0d67cb6f-adab-4b26-9a6d-f7cc3ceb9c88</vt:lpwstr>
  </property>
  <property fmtid="{D5CDD505-2E9C-101B-9397-08002B2CF9AE}" pid="3" name="bjSaver">
    <vt:lpwstr>krTTd/tCey+WOl9ytoYuTtzpNMvhn08I</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uid="9920fcc9-9f43-4d43-9e3e-b98a219cfd55" value="" /&gt;&lt;/sisl&gt;</vt:lpwstr>
  </property>
  <property fmtid="{D5CDD505-2E9C-101B-9397-08002B2CF9AE}" pid="6" name="bjDocumentSecurityLabel">
    <vt:lpwstr>Not Classified</vt:lpwstr>
  </property>
  <property fmtid="{D5CDD505-2E9C-101B-9397-08002B2CF9AE}" pid="7" name="_NewReviewCycle">
    <vt:lpwstr/>
  </property>
</Properties>
</file>