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9B357" w14:textId="68D09910" w:rsidR="00A90A8C" w:rsidRPr="00D979E7" w:rsidRDefault="00A90A8C" w:rsidP="00271FB7">
      <w:pPr>
        <w:spacing w:before="120" w:after="120" w:line="240" w:lineRule="auto"/>
        <w:jc w:val="center"/>
        <w:rPr>
          <w:rFonts w:ascii="Arial" w:hAnsi="Arial" w:cs="Arial"/>
          <w:b/>
          <w:sz w:val="56"/>
        </w:rPr>
      </w:pPr>
      <w:bookmarkStart w:id="0" w:name="_GoBack"/>
      <w:bookmarkEnd w:id="0"/>
    </w:p>
    <w:p w14:paraId="3E29E8C8" w14:textId="107B7B3A" w:rsidR="004A0580" w:rsidRPr="00D979E7" w:rsidRDefault="004A0580" w:rsidP="00271FB7">
      <w:pPr>
        <w:spacing w:before="120" w:after="120" w:line="240" w:lineRule="auto"/>
        <w:jc w:val="center"/>
        <w:rPr>
          <w:rFonts w:ascii="Arial" w:hAnsi="Arial" w:cs="Arial"/>
          <w:b/>
          <w:sz w:val="56"/>
        </w:rPr>
      </w:pPr>
      <w:r w:rsidRPr="00D979E7">
        <w:rPr>
          <w:rFonts w:ascii="Arial" w:hAnsi="Arial" w:cs="Arial"/>
          <w:b/>
          <w:sz w:val="56"/>
        </w:rPr>
        <w:t xml:space="preserve">Healthy Homes Initiative Outcomes Evaluation Service: </w:t>
      </w:r>
      <w:r w:rsidRPr="00D979E7">
        <w:rPr>
          <w:rFonts w:ascii="Arial" w:hAnsi="Arial" w:cs="Arial"/>
          <w:sz w:val="56"/>
        </w:rPr>
        <w:t>Initial analysis of health outcomes</w:t>
      </w:r>
    </w:p>
    <w:p w14:paraId="48228839" w14:textId="77777777" w:rsidR="004A0580" w:rsidRPr="00D979E7" w:rsidRDefault="004A0580" w:rsidP="00271FB7">
      <w:pPr>
        <w:spacing w:before="120" w:after="120" w:line="240" w:lineRule="auto"/>
        <w:rPr>
          <w:rFonts w:ascii="Arial" w:hAnsi="Arial" w:cs="Arial"/>
        </w:rPr>
      </w:pPr>
    </w:p>
    <w:p w14:paraId="1385E79D" w14:textId="77777777" w:rsidR="008311B9" w:rsidRPr="00D979E7" w:rsidRDefault="008311B9" w:rsidP="00271FB7">
      <w:pPr>
        <w:spacing w:before="120" w:after="120" w:line="240" w:lineRule="auto"/>
        <w:jc w:val="center"/>
        <w:rPr>
          <w:rFonts w:ascii="Arial" w:hAnsi="Arial" w:cs="Arial"/>
          <w:sz w:val="50"/>
          <w:szCs w:val="50"/>
          <w:u w:val="single"/>
        </w:rPr>
      </w:pPr>
    </w:p>
    <w:p w14:paraId="015067DE" w14:textId="77777777" w:rsidR="008311B9" w:rsidRPr="00D979E7" w:rsidRDefault="008311B9" w:rsidP="00271FB7">
      <w:pPr>
        <w:spacing w:before="120" w:after="120" w:line="240" w:lineRule="auto"/>
        <w:jc w:val="center"/>
        <w:rPr>
          <w:rFonts w:ascii="Arial" w:hAnsi="Arial" w:cs="Arial"/>
          <w:sz w:val="50"/>
          <w:szCs w:val="50"/>
          <w:u w:val="single"/>
        </w:rPr>
      </w:pPr>
    </w:p>
    <w:p w14:paraId="258CEFED" w14:textId="6587809E" w:rsidR="004A0580" w:rsidRPr="00D979E7" w:rsidRDefault="00345789" w:rsidP="00271FB7">
      <w:pPr>
        <w:spacing w:before="120" w:after="120" w:line="240" w:lineRule="auto"/>
        <w:jc w:val="center"/>
        <w:rPr>
          <w:rFonts w:ascii="Arial" w:hAnsi="Arial" w:cs="Arial"/>
          <w:sz w:val="50"/>
          <w:szCs w:val="50"/>
          <w:u w:val="single"/>
        </w:rPr>
      </w:pPr>
      <w:r w:rsidRPr="00D979E7">
        <w:rPr>
          <w:rFonts w:ascii="Arial" w:hAnsi="Arial" w:cs="Arial"/>
          <w:sz w:val="50"/>
          <w:szCs w:val="50"/>
          <w:u w:val="single"/>
        </w:rPr>
        <w:t xml:space="preserve">Interim </w:t>
      </w:r>
      <w:r w:rsidR="004A0580" w:rsidRPr="00D979E7">
        <w:rPr>
          <w:rFonts w:ascii="Arial" w:hAnsi="Arial" w:cs="Arial"/>
          <w:sz w:val="50"/>
          <w:szCs w:val="50"/>
          <w:u w:val="single"/>
        </w:rPr>
        <w:t>Report</w:t>
      </w:r>
    </w:p>
    <w:p w14:paraId="379E8880" w14:textId="6A40396F" w:rsidR="004A0580" w:rsidRPr="00D979E7" w:rsidRDefault="002323E5" w:rsidP="00271FB7">
      <w:pPr>
        <w:spacing w:before="120" w:after="120" w:line="240" w:lineRule="auto"/>
        <w:jc w:val="center"/>
        <w:rPr>
          <w:rFonts w:ascii="Arial" w:hAnsi="Arial" w:cs="Arial"/>
          <w:sz w:val="40"/>
          <w:szCs w:val="40"/>
        </w:rPr>
      </w:pPr>
      <w:r w:rsidRPr="00D979E7">
        <w:rPr>
          <w:rFonts w:ascii="Arial" w:hAnsi="Arial" w:cs="Arial"/>
          <w:sz w:val="40"/>
          <w:szCs w:val="40"/>
        </w:rPr>
        <w:t>7</w:t>
      </w:r>
      <w:r w:rsidRPr="00D979E7">
        <w:rPr>
          <w:rFonts w:ascii="Arial" w:hAnsi="Arial" w:cs="Arial"/>
          <w:sz w:val="40"/>
          <w:szCs w:val="40"/>
          <w:vertAlign w:val="superscript"/>
        </w:rPr>
        <w:t>th</w:t>
      </w:r>
      <w:r w:rsidRPr="00D979E7">
        <w:rPr>
          <w:rFonts w:ascii="Arial" w:hAnsi="Arial" w:cs="Arial"/>
          <w:sz w:val="40"/>
          <w:szCs w:val="40"/>
        </w:rPr>
        <w:t xml:space="preserve"> August</w:t>
      </w:r>
      <w:r w:rsidR="004A0580" w:rsidRPr="00D979E7">
        <w:rPr>
          <w:rFonts w:ascii="Arial" w:hAnsi="Arial" w:cs="Arial"/>
          <w:sz w:val="40"/>
          <w:szCs w:val="40"/>
        </w:rPr>
        <w:t xml:space="preserve"> 2019</w:t>
      </w:r>
    </w:p>
    <w:p w14:paraId="7F723726" w14:textId="2807BDFA" w:rsidR="004A0580" w:rsidRPr="00D979E7" w:rsidRDefault="004A0580" w:rsidP="00271FB7">
      <w:pPr>
        <w:spacing w:before="120" w:after="120" w:line="240" w:lineRule="auto"/>
        <w:rPr>
          <w:rFonts w:ascii="Arial" w:hAnsi="Arial" w:cs="Arial"/>
        </w:rPr>
      </w:pPr>
    </w:p>
    <w:p w14:paraId="2CEC7FD1" w14:textId="61D32E59" w:rsidR="004A0580" w:rsidRPr="00D979E7" w:rsidRDefault="004A0580" w:rsidP="00271FB7">
      <w:pPr>
        <w:spacing w:before="120" w:after="120" w:line="240" w:lineRule="auto"/>
        <w:rPr>
          <w:rFonts w:ascii="Arial" w:hAnsi="Arial" w:cs="Arial"/>
        </w:rPr>
      </w:pPr>
    </w:p>
    <w:p w14:paraId="567483CF" w14:textId="0DBCC6FB" w:rsidR="004A0580" w:rsidRPr="00D979E7" w:rsidRDefault="004A0580" w:rsidP="00271FB7">
      <w:pPr>
        <w:spacing w:before="120" w:after="120" w:line="240" w:lineRule="auto"/>
        <w:rPr>
          <w:rFonts w:ascii="Arial" w:hAnsi="Arial" w:cs="Arial"/>
        </w:rPr>
      </w:pPr>
    </w:p>
    <w:p w14:paraId="39299E19" w14:textId="18ED5D0E" w:rsidR="004A0580" w:rsidRPr="00D979E7" w:rsidRDefault="004A0580" w:rsidP="00271FB7">
      <w:pPr>
        <w:spacing w:before="120" w:after="120" w:line="240" w:lineRule="auto"/>
        <w:rPr>
          <w:rFonts w:ascii="Arial" w:hAnsi="Arial" w:cs="Arial"/>
          <w:sz w:val="30"/>
          <w:szCs w:val="30"/>
        </w:rPr>
      </w:pPr>
    </w:p>
    <w:p w14:paraId="28A4DCA0" w14:textId="77777777" w:rsidR="004A0580" w:rsidRPr="00D979E7" w:rsidRDefault="004A0580" w:rsidP="00271FB7">
      <w:pPr>
        <w:spacing w:before="120" w:after="120" w:line="240" w:lineRule="auto"/>
        <w:rPr>
          <w:rFonts w:ascii="Arial" w:hAnsi="Arial" w:cs="Arial"/>
          <w:sz w:val="30"/>
          <w:szCs w:val="30"/>
        </w:rPr>
      </w:pPr>
    </w:p>
    <w:p w14:paraId="611FF3F5" w14:textId="77777777" w:rsidR="004A0580" w:rsidRPr="00D979E7" w:rsidRDefault="004A0580" w:rsidP="00271FB7">
      <w:pPr>
        <w:spacing w:before="120" w:after="120" w:line="240" w:lineRule="auto"/>
        <w:rPr>
          <w:rFonts w:ascii="Arial" w:hAnsi="Arial" w:cs="Arial"/>
          <w:sz w:val="30"/>
          <w:szCs w:val="30"/>
        </w:rPr>
      </w:pPr>
    </w:p>
    <w:p w14:paraId="6EDA36C6" w14:textId="029BE788" w:rsidR="008311B9" w:rsidRPr="00D979E7" w:rsidRDefault="004A0580" w:rsidP="00271FB7">
      <w:pPr>
        <w:spacing w:before="120" w:after="120" w:line="240" w:lineRule="auto"/>
        <w:jc w:val="center"/>
        <w:rPr>
          <w:rFonts w:ascii="Arial" w:hAnsi="Arial" w:cs="Arial"/>
          <w:sz w:val="30"/>
          <w:szCs w:val="30"/>
        </w:rPr>
      </w:pPr>
      <w:r w:rsidRPr="00D979E7">
        <w:rPr>
          <w:rFonts w:ascii="Arial" w:hAnsi="Arial" w:cs="Arial"/>
          <w:sz w:val="30"/>
          <w:szCs w:val="30"/>
        </w:rPr>
        <w:t xml:space="preserve">Authors: </w:t>
      </w:r>
      <w:r w:rsidR="00A90A8C" w:rsidRPr="00D979E7">
        <w:rPr>
          <w:rFonts w:ascii="Arial" w:hAnsi="Arial" w:cs="Arial"/>
          <w:sz w:val="30"/>
          <w:szCs w:val="30"/>
        </w:rPr>
        <w:t>Nevil Pierse, Maddie White, Lynn Riggs</w:t>
      </w:r>
    </w:p>
    <w:p w14:paraId="5807FBC6" w14:textId="77777777" w:rsidR="008311B9" w:rsidRPr="00D979E7" w:rsidRDefault="008311B9" w:rsidP="00271FB7">
      <w:pPr>
        <w:spacing w:before="120" w:after="120" w:line="240" w:lineRule="auto"/>
        <w:rPr>
          <w:rFonts w:ascii="Arial" w:hAnsi="Arial" w:cs="Arial"/>
          <w:sz w:val="30"/>
          <w:szCs w:val="30"/>
        </w:rPr>
      </w:pPr>
    </w:p>
    <w:p w14:paraId="379FB665" w14:textId="622F9F87" w:rsidR="00A90A8C" w:rsidRPr="00D979E7" w:rsidRDefault="004A0580" w:rsidP="00271FB7">
      <w:pPr>
        <w:spacing w:before="120" w:after="120" w:line="240" w:lineRule="auto"/>
        <w:rPr>
          <w:rFonts w:ascii="Arial" w:hAnsi="Arial" w:cs="Arial"/>
          <w:sz w:val="30"/>
          <w:szCs w:val="30"/>
        </w:rPr>
      </w:pPr>
      <w:r w:rsidRPr="00D979E7">
        <w:rPr>
          <w:rFonts w:ascii="Arial" w:hAnsi="Arial" w:cs="Arial"/>
          <w:noProof/>
          <w:lang w:eastAsia="en-NZ"/>
        </w:rPr>
        <w:drawing>
          <wp:anchor distT="0" distB="0" distL="114300" distR="114300" simplePos="0" relativeHeight="251659264" behindDoc="1" locked="0" layoutInCell="1" allowOverlap="1" wp14:anchorId="1F0EDE76" wp14:editId="6C6C39FA">
            <wp:simplePos x="0" y="0"/>
            <wp:positionH relativeFrom="column">
              <wp:posOffset>754325</wp:posOffset>
            </wp:positionH>
            <wp:positionV relativeFrom="paragraph">
              <wp:posOffset>384175</wp:posOffset>
            </wp:positionV>
            <wp:extent cx="1659255" cy="716280"/>
            <wp:effectExtent l="0" t="0" r="0" b="7620"/>
            <wp:wrapSquare wrapText="bothSides"/>
            <wp:docPr id="8" name="Picture 1" descr="HeKainga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KaingaLogo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9255" cy="716280"/>
                    </a:xfrm>
                    <a:prstGeom prst="rect">
                      <a:avLst/>
                    </a:prstGeom>
                    <a:noFill/>
                  </pic:spPr>
                </pic:pic>
              </a:graphicData>
            </a:graphic>
            <wp14:sizeRelH relativeFrom="page">
              <wp14:pctWidth>0</wp14:pctWidth>
            </wp14:sizeRelH>
            <wp14:sizeRelV relativeFrom="page">
              <wp14:pctHeight>0</wp14:pctHeight>
            </wp14:sizeRelV>
          </wp:anchor>
        </w:drawing>
      </w:r>
      <w:r w:rsidRPr="00D979E7">
        <w:rPr>
          <w:rFonts w:ascii="Arial" w:hAnsi="Arial" w:cs="Arial"/>
          <w:noProof/>
          <w:lang w:eastAsia="en-NZ"/>
        </w:rPr>
        <w:drawing>
          <wp:anchor distT="0" distB="0" distL="114300" distR="114300" simplePos="0" relativeHeight="251660288" behindDoc="0" locked="0" layoutInCell="1" allowOverlap="1" wp14:anchorId="0B1702BB" wp14:editId="78842219">
            <wp:simplePos x="0" y="0"/>
            <wp:positionH relativeFrom="column">
              <wp:posOffset>2444639</wp:posOffset>
            </wp:positionH>
            <wp:positionV relativeFrom="paragraph">
              <wp:posOffset>439420</wp:posOffset>
            </wp:positionV>
            <wp:extent cx="2470785" cy="685800"/>
            <wp:effectExtent l="0" t="0" r="5715" b="0"/>
            <wp:wrapSquare wrapText="bothSides"/>
            <wp:docPr id="2" name="Picture 2" descr="Motu Economic and Public Policy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tu Economic and Public Policy Resear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078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91430" w14:textId="77777777" w:rsidR="00946336" w:rsidRPr="00D979E7" w:rsidRDefault="00946336" w:rsidP="00271FB7">
      <w:pPr>
        <w:spacing w:before="120" w:after="120" w:line="240" w:lineRule="auto"/>
        <w:rPr>
          <w:rFonts w:ascii="Arial" w:hAnsi="Arial" w:cs="Arial"/>
        </w:rPr>
      </w:pPr>
    </w:p>
    <w:p w14:paraId="02F2E925" w14:textId="224103A2" w:rsidR="008924B3" w:rsidRPr="00D979E7" w:rsidRDefault="00E9143D" w:rsidP="00271FB7">
      <w:pPr>
        <w:pStyle w:val="TOCHeading"/>
        <w:spacing w:before="120" w:after="120" w:line="240" w:lineRule="auto"/>
        <w:rPr>
          <w:rFonts w:ascii="Arial" w:hAnsi="Arial" w:cs="Arial"/>
        </w:rPr>
      </w:pPr>
      <w:r w:rsidRPr="00D979E7">
        <w:rPr>
          <w:rFonts w:ascii="Arial" w:hAnsi="Arial" w:cs="Arial"/>
        </w:rPr>
        <w:br w:type="page"/>
      </w:r>
    </w:p>
    <w:p w14:paraId="69DEDA22" w14:textId="77777777" w:rsidR="008D2DF2" w:rsidRPr="00D979E7" w:rsidRDefault="008D2DF2" w:rsidP="008D2DF2">
      <w:pPr>
        <w:rPr>
          <w:rFonts w:ascii="Arial" w:hAnsi="Arial" w:cs="Arial"/>
          <w:b/>
        </w:rPr>
      </w:pPr>
      <w:r w:rsidRPr="00D979E7">
        <w:rPr>
          <w:rFonts w:ascii="Arial" w:hAnsi="Arial" w:cs="Arial"/>
          <w:b/>
        </w:rPr>
        <w:lastRenderedPageBreak/>
        <w:t xml:space="preserve">Acknowledgements </w:t>
      </w:r>
    </w:p>
    <w:p w14:paraId="2BC2D12F" w14:textId="4F9D2DAA" w:rsidR="00823CF2" w:rsidRDefault="008D2DF2" w:rsidP="008D2DF2">
      <w:pPr>
        <w:rPr>
          <w:rFonts w:ascii="Arial" w:hAnsi="Arial" w:cs="Arial"/>
        </w:rPr>
      </w:pPr>
      <w:r w:rsidRPr="00D979E7">
        <w:rPr>
          <w:rFonts w:ascii="Arial" w:hAnsi="Arial" w:cs="Arial"/>
        </w:rPr>
        <w:t xml:space="preserve">To </w:t>
      </w:r>
      <w:proofErr w:type="gramStart"/>
      <w:r w:rsidRPr="00D979E7">
        <w:rPr>
          <w:rFonts w:ascii="Arial" w:hAnsi="Arial" w:cs="Arial"/>
        </w:rPr>
        <w:t>all of</w:t>
      </w:r>
      <w:proofErr w:type="gramEnd"/>
      <w:r w:rsidRPr="00D979E7">
        <w:rPr>
          <w:rFonts w:ascii="Arial" w:hAnsi="Arial" w:cs="Arial"/>
        </w:rPr>
        <w:t xml:space="preserve"> the HHI providers: ka </w:t>
      </w:r>
      <w:proofErr w:type="spellStart"/>
      <w:r w:rsidRPr="00D979E7">
        <w:rPr>
          <w:rFonts w:ascii="Arial" w:hAnsi="Arial" w:cs="Arial"/>
        </w:rPr>
        <w:t>nui</w:t>
      </w:r>
      <w:proofErr w:type="spellEnd"/>
      <w:r w:rsidRPr="00D979E7">
        <w:rPr>
          <w:rFonts w:ascii="Arial" w:hAnsi="Arial" w:cs="Arial"/>
        </w:rPr>
        <w:t xml:space="preserve"> </w:t>
      </w:r>
      <w:proofErr w:type="spellStart"/>
      <w:r w:rsidRPr="00D979E7">
        <w:rPr>
          <w:rFonts w:ascii="Arial" w:hAnsi="Arial" w:cs="Arial"/>
        </w:rPr>
        <w:t>te</w:t>
      </w:r>
      <w:proofErr w:type="spellEnd"/>
      <w:r w:rsidRPr="00D979E7">
        <w:rPr>
          <w:rFonts w:ascii="Arial" w:hAnsi="Arial" w:cs="Arial"/>
        </w:rPr>
        <w:t xml:space="preserve"> mihi </w:t>
      </w:r>
      <w:proofErr w:type="spellStart"/>
      <w:r w:rsidRPr="00D979E7">
        <w:rPr>
          <w:rFonts w:ascii="Arial" w:hAnsi="Arial" w:cs="Arial"/>
        </w:rPr>
        <w:t>ki</w:t>
      </w:r>
      <w:proofErr w:type="spellEnd"/>
      <w:r w:rsidRPr="00D979E7">
        <w:rPr>
          <w:rFonts w:ascii="Arial" w:hAnsi="Arial" w:cs="Arial"/>
        </w:rPr>
        <w:t xml:space="preserve"> a </w:t>
      </w:r>
      <w:proofErr w:type="spellStart"/>
      <w:r w:rsidRPr="00D979E7">
        <w:rPr>
          <w:rFonts w:ascii="Arial" w:hAnsi="Arial" w:cs="Arial"/>
        </w:rPr>
        <w:t>koutou</w:t>
      </w:r>
      <w:proofErr w:type="spellEnd"/>
      <w:r w:rsidRPr="00D979E7">
        <w:rPr>
          <w:rFonts w:ascii="Arial" w:hAnsi="Arial" w:cs="Arial"/>
        </w:rPr>
        <w:t xml:space="preserve"> </w:t>
      </w:r>
      <w:proofErr w:type="spellStart"/>
      <w:r w:rsidRPr="00D979E7">
        <w:rPr>
          <w:rFonts w:ascii="Arial" w:hAnsi="Arial" w:cs="Arial"/>
        </w:rPr>
        <w:t>k</w:t>
      </w:r>
      <w:r w:rsidR="00823CF2">
        <w:rPr>
          <w:rFonts w:ascii="Arial" w:hAnsi="Arial" w:cs="Arial"/>
        </w:rPr>
        <w:t>atoa</w:t>
      </w:r>
      <w:proofErr w:type="spellEnd"/>
      <w:r w:rsidR="00823CF2">
        <w:rPr>
          <w:rFonts w:ascii="Arial" w:hAnsi="Arial" w:cs="Arial"/>
        </w:rPr>
        <w:t>, a huge thanks to you all.</w:t>
      </w:r>
    </w:p>
    <w:p w14:paraId="5BEDAA33" w14:textId="77777777" w:rsidR="00823CF2" w:rsidRDefault="00823CF2">
      <w:pPr>
        <w:spacing w:after="160" w:line="259" w:lineRule="auto"/>
        <w:rPr>
          <w:rFonts w:ascii="Arial" w:hAnsi="Arial" w:cs="Arial"/>
        </w:rPr>
      </w:pPr>
      <w:r>
        <w:rPr>
          <w:rFonts w:ascii="Arial" w:hAnsi="Arial" w:cs="Arial"/>
        </w:rPr>
        <w:br w:type="page"/>
      </w:r>
    </w:p>
    <w:p w14:paraId="6C63E6E1" w14:textId="77777777" w:rsidR="008D2DF2" w:rsidRPr="00823CF2" w:rsidRDefault="008D2DF2" w:rsidP="008D2DF2">
      <w:pPr>
        <w:rPr>
          <w:rFonts w:ascii="Arial" w:hAnsi="Arial" w:cs="Arial"/>
          <w:sz w:val="21"/>
          <w:szCs w:val="21"/>
          <w:shd w:val="clear" w:color="auto" w:fill="FFFFFF"/>
        </w:rPr>
      </w:pPr>
    </w:p>
    <w:sdt>
      <w:sdtPr>
        <w:rPr>
          <w:rFonts w:ascii="Arial" w:eastAsia="Calibri" w:hAnsi="Arial" w:cs="Arial"/>
          <w:color w:val="auto"/>
          <w:sz w:val="22"/>
          <w:szCs w:val="22"/>
          <w:lang w:val="en-NZ"/>
        </w:rPr>
        <w:id w:val="1676382534"/>
        <w:docPartObj>
          <w:docPartGallery w:val="Table of Contents"/>
          <w:docPartUnique/>
        </w:docPartObj>
      </w:sdtPr>
      <w:sdtEndPr>
        <w:rPr>
          <w:b/>
          <w:bCs/>
          <w:noProof/>
        </w:rPr>
      </w:sdtEndPr>
      <w:sdtContent>
        <w:p w14:paraId="1A9C6984" w14:textId="21560232" w:rsidR="00A42FBD" w:rsidRPr="00823CF2" w:rsidRDefault="00A42FBD" w:rsidP="00823CF2">
          <w:pPr>
            <w:pStyle w:val="TOCHeading"/>
            <w:spacing w:before="120" w:after="120" w:line="240" w:lineRule="auto"/>
            <w:rPr>
              <w:rFonts w:ascii="Arial" w:eastAsia="Calibri" w:hAnsi="Arial" w:cs="Arial"/>
              <w:color w:val="auto"/>
              <w:sz w:val="22"/>
              <w:szCs w:val="22"/>
              <w:lang w:val="en-NZ"/>
            </w:rPr>
          </w:pPr>
        </w:p>
        <w:p w14:paraId="6234641E" w14:textId="2D7FCB06" w:rsidR="00A51C70" w:rsidRPr="00D979E7" w:rsidRDefault="00A51C70" w:rsidP="008D2DF2">
          <w:pPr>
            <w:pStyle w:val="TOCHeading"/>
            <w:spacing w:before="120" w:after="120" w:line="240" w:lineRule="auto"/>
            <w:rPr>
              <w:rFonts w:ascii="Arial" w:eastAsia="Calibri" w:hAnsi="Arial" w:cs="Arial"/>
              <w:color w:val="auto"/>
              <w:sz w:val="22"/>
              <w:szCs w:val="22"/>
              <w:lang w:val="en-NZ"/>
            </w:rPr>
          </w:pPr>
          <w:r w:rsidRPr="00D979E7">
            <w:rPr>
              <w:rFonts w:ascii="Arial" w:hAnsi="Arial" w:cs="Arial"/>
            </w:rPr>
            <w:t>Contents</w:t>
          </w:r>
        </w:p>
        <w:p w14:paraId="1744B794" w14:textId="77777777" w:rsidR="00823CF2" w:rsidRDefault="00823CF2">
          <w:pPr>
            <w:pStyle w:val="TOC1"/>
            <w:tabs>
              <w:tab w:val="right" w:leader="dot" w:pos="9016"/>
            </w:tabs>
            <w:rPr>
              <w:rFonts w:asciiTheme="minorHAnsi" w:eastAsiaTheme="minorEastAsia" w:hAnsiTheme="minorHAnsi" w:cstheme="minorBidi"/>
              <w:noProof/>
              <w:lang w:eastAsia="en-NZ"/>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hyperlink w:anchor="_Toc19715029" w:history="1">
            <w:r w:rsidRPr="006467C0">
              <w:rPr>
                <w:rStyle w:val="Hyperlink"/>
                <w:rFonts w:ascii="Arial" w:hAnsi="Arial" w:cs="Arial"/>
                <w:noProof/>
              </w:rPr>
              <w:t>Executive Summary</w:t>
            </w:r>
            <w:r>
              <w:rPr>
                <w:noProof/>
                <w:webHidden/>
              </w:rPr>
              <w:tab/>
            </w:r>
            <w:r>
              <w:rPr>
                <w:noProof/>
                <w:webHidden/>
              </w:rPr>
              <w:fldChar w:fldCharType="begin"/>
            </w:r>
            <w:r>
              <w:rPr>
                <w:noProof/>
                <w:webHidden/>
              </w:rPr>
              <w:instrText xml:space="preserve"> PAGEREF _Toc19715029 \h </w:instrText>
            </w:r>
            <w:r>
              <w:rPr>
                <w:noProof/>
                <w:webHidden/>
              </w:rPr>
            </w:r>
            <w:r>
              <w:rPr>
                <w:noProof/>
                <w:webHidden/>
              </w:rPr>
              <w:fldChar w:fldCharType="separate"/>
            </w:r>
            <w:r w:rsidR="00393154">
              <w:rPr>
                <w:noProof/>
                <w:webHidden/>
              </w:rPr>
              <w:t>4</w:t>
            </w:r>
            <w:r>
              <w:rPr>
                <w:noProof/>
                <w:webHidden/>
              </w:rPr>
              <w:fldChar w:fldCharType="end"/>
            </w:r>
          </w:hyperlink>
        </w:p>
        <w:p w14:paraId="4243751E" w14:textId="77777777" w:rsidR="00823CF2" w:rsidRDefault="0010547F">
          <w:pPr>
            <w:pStyle w:val="TOC1"/>
            <w:tabs>
              <w:tab w:val="right" w:leader="dot" w:pos="9016"/>
            </w:tabs>
            <w:rPr>
              <w:rFonts w:asciiTheme="minorHAnsi" w:eastAsiaTheme="minorEastAsia" w:hAnsiTheme="minorHAnsi" w:cstheme="minorBidi"/>
              <w:noProof/>
              <w:lang w:eastAsia="en-NZ"/>
            </w:rPr>
          </w:pPr>
          <w:hyperlink w:anchor="_Toc19715030" w:history="1">
            <w:r w:rsidR="00823CF2" w:rsidRPr="006467C0">
              <w:rPr>
                <w:rStyle w:val="Hyperlink"/>
                <w:rFonts w:ascii="Arial" w:hAnsi="Arial" w:cs="Arial"/>
                <w:noProof/>
              </w:rPr>
              <w:t>Introduction to the HHI Outcomes Evaluation</w:t>
            </w:r>
            <w:r w:rsidR="00823CF2">
              <w:rPr>
                <w:noProof/>
                <w:webHidden/>
              </w:rPr>
              <w:tab/>
            </w:r>
            <w:r w:rsidR="00823CF2">
              <w:rPr>
                <w:noProof/>
                <w:webHidden/>
              </w:rPr>
              <w:fldChar w:fldCharType="begin"/>
            </w:r>
            <w:r w:rsidR="00823CF2">
              <w:rPr>
                <w:noProof/>
                <w:webHidden/>
              </w:rPr>
              <w:instrText xml:space="preserve"> PAGEREF _Toc19715030 \h </w:instrText>
            </w:r>
            <w:r w:rsidR="00823CF2">
              <w:rPr>
                <w:noProof/>
                <w:webHidden/>
              </w:rPr>
            </w:r>
            <w:r w:rsidR="00823CF2">
              <w:rPr>
                <w:noProof/>
                <w:webHidden/>
              </w:rPr>
              <w:fldChar w:fldCharType="separate"/>
            </w:r>
            <w:r w:rsidR="00393154">
              <w:rPr>
                <w:noProof/>
                <w:webHidden/>
              </w:rPr>
              <w:t>7</w:t>
            </w:r>
            <w:r w:rsidR="00823CF2">
              <w:rPr>
                <w:noProof/>
                <w:webHidden/>
              </w:rPr>
              <w:fldChar w:fldCharType="end"/>
            </w:r>
          </w:hyperlink>
        </w:p>
        <w:p w14:paraId="30F0DD43" w14:textId="77777777" w:rsidR="00823CF2" w:rsidRDefault="0010547F">
          <w:pPr>
            <w:pStyle w:val="TOC1"/>
            <w:tabs>
              <w:tab w:val="right" w:leader="dot" w:pos="9016"/>
            </w:tabs>
            <w:rPr>
              <w:rFonts w:asciiTheme="minorHAnsi" w:eastAsiaTheme="minorEastAsia" w:hAnsiTheme="minorHAnsi" w:cstheme="minorBidi"/>
              <w:noProof/>
              <w:lang w:eastAsia="en-NZ"/>
            </w:rPr>
          </w:pPr>
          <w:hyperlink w:anchor="_Toc19715031" w:history="1">
            <w:r w:rsidR="00823CF2" w:rsidRPr="006467C0">
              <w:rPr>
                <w:rStyle w:val="Hyperlink"/>
                <w:rFonts w:ascii="Arial" w:hAnsi="Arial" w:cs="Arial"/>
                <w:noProof/>
              </w:rPr>
              <w:t>Background to the HHIs</w:t>
            </w:r>
            <w:r w:rsidR="00823CF2">
              <w:rPr>
                <w:noProof/>
                <w:webHidden/>
              </w:rPr>
              <w:tab/>
            </w:r>
            <w:r w:rsidR="00823CF2">
              <w:rPr>
                <w:noProof/>
                <w:webHidden/>
              </w:rPr>
              <w:fldChar w:fldCharType="begin"/>
            </w:r>
            <w:r w:rsidR="00823CF2">
              <w:rPr>
                <w:noProof/>
                <w:webHidden/>
              </w:rPr>
              <w:instrText xml:space="preserve"> PAGEREF _Toc19715031 \h </w:instrText>
            </w:r>
            <w:r w:rsidR="00823CF2">
              <w:rPr>
                <w:noProof/>
                <w:webHidden/>
              </w:rPr>
            </w:r>
            <w:r w:rsidR="00823CF2">
              <w:rPr>
                <w:noProof/>
                <w:webHidden/>
              </w:rPr>
              <w:fldChar w:fldCharType="separate"/>
            </w:r>
            <w:r w:rsidR="00393154">
              <w:rPr>
                <w:noProof/>
                <w:webHidden/>
              </w:rPr>
              <w:t>7</w:t>
            </w:r>
            <w:r w:rsidR="00823CF2">
              <w:rPr>
                <w:noProof/>
                <w:webHidden/>
              </w:rPr>
              <w:fldChar w:fldCharType="end"/>
            </w:r>
          </w:hyperlink>
        </w:p>
        <w:p w14:paraId="23651341" w14:textId="77777777" w:rsidR="00823CF2" w:rsidRDefault="0010547F">
          <w:pPr>
            <w:pStyle w:val="TOC1"/>
            <w:tabs>
              <w:tab w:val="right" w:leader="dot" w:pos="9016"/>
            </w:tabs>
            <w:rPr>
              <w:rFonts w:asciiTheme="minorHAnsi" w:eastAsiaTheme="minorEastAsia" w:hAnsiTheme="minorHAnsi" w:cstheme="minorBidi"/>
              <w:noProof/>
              <w:lang w:eastAsia="en-NZ"/>
            </w:rPr>
          </w:pPr>
          <w:hyperlink w:anchor="_Toc19715032" w:history="1">
            <w:r w:rsidR="00823CF2" w:rsidRPr="006467C0">
              <w:rPr>
                <w:rStyle w:val="Hyperlink"/>
                <w:rFonts w:ascii="Arial" w:hAnsi="Arial" w:cs="Arial"/>
                <w:noProof/>
              </w:rPr>
              <w:t>Methodology</w:t>
            </w:r>
            <w:r w:rsidR="00823CF2">
              <w:rPr>
                <w:noProof/>
                <w:webHidden/>
              </w:rPr>
              <w:tab/>
            </w:r>
            <w:r w:rsidR="00823CF2">
              <w:rPr>
                <w:noProof/>
                <w:webHidden/>
              </w:rPr>
              <w:fldChar w:fldCharType="begin"/>
            </w:r>
            <w:r w:rsidR="00823CF2">
              <w:rPr>
                <w:noProof/>
                <w:webHidden/>
              </w:rPr>
              <w:instrText xml:space="preserve"> PAGEREF _Toc19715032 \h </w:instrText>
            </w:r>
            <w:r w:rsidR="00823CF2">
              <w:rPr>
                <w:noProof/>
                <w:webHidden/>
              </w:rPr>
            </w:r>
            <w:r w:rsidR="00823CF2">
              <w:rPr>
                <w:noProof/>
                <w:webHidden/>
              </w:rPr>
              <w:fldChar w:fldCharType="separate"/>
            </w:r>
            <w:r w:rsidR="00393154">
              <w:rPr>
                <w:noProof/>
                <w:webHidden/>
              </w:rPr>
              <w:t>8</w:t>
            </w:r>
            <w:r w:rsidR="00823CF2">
              <w:rPr>
                <w:noProof/>
                <w:webHidden/>
              </w:rPr>
              <w:fldChar w:fldCharType="end"/>
            </w:r>
          </w:hyperlink>
        </w:p>
        <w:p w14:paraId="77A07C20" w14:textId="77777777" w:rsidR="00823CF2" w:rsidRDefault="0010547F">
          <w:pPr>
            <w:pStyle w:val="TOC2"/>
            <w:tabs>
              <w:tab w:val="right" w:leader="dot" w:pos="9016"/>
            </w:tabs>
            <w:rPr>
              <w:rFonts w:asciiTheme="minorHAnsi" w:eastAsiaTheme="minorEastAsia" w:hAnsiTheme="minorHAnsi" w:cstheme="minorBidi"/>
              <w:noProof/>
              <w:lang w:eastAsia="en-NZ"/>
            </w:rPr>
          </w:pPr>
          <w:hyperlink w:anchor="_Toc19715033" w:history="1">
            <w:r w:rsidR="00823CF2" w:rsidRPr="006467C0">
              <w:rPr>
                <w:rStyle w:val="Hyperlink"/>
                <w:rFonts w:ascii="Arial" w:hAnsi="Arial" w:cs="Arial"/>
                <w:noProof/>
              </w:rPr>
              <w:t>Data sources</w:t>
            </w:r>
            <w:r w:rsidR="00823CF2">
              <w:rPr>
                <w:noProof/>
                <w:webHidden/>
              </w:rPr>
              <w:tab/>
            </w:r>
            <w:r w:rsidR="00823CF2">
              <w:rPr>
                <w:noProof/>
                <w:webHidden/>
              </w:rPr>
              <w:fldChar w:fldCharType="begin"/>
            </w:r>
            <w:r w:rsidR="00823CF2">
              <w:rPr>
                <w:noProof/>
                <w:webHidden/>
              </w:rPr>
              <w:instrText xml:space="preserve"> PAGEREF _Toc19715033 \h </w:instrText>
            </w:r>
            <w:r w:rsidR="00823CF2">
              <w:rPr>
                <w:noProof/>
                <w:webHidden/>
              </w:rPr>
            </w:r>
            <w:r w:rsidR="00823CF2">
              <w:rPr>
                <w:noProof/>
                <w:webHidden/>
              </w:rPr>
              <w:fldChar w:fldCharType="separate"/>
            </w:r>
            <w:r w:rsidR="00393154">
              <w:rPr>
                <w:noProof/>
                <w:webHidden/>
              </w:rPr>
              <w:t>8</w:t>
            </w:r>
            <w:r w:rsidR="00823CF2">
              <w:rPr>
                <w:noProof/>
                <w:webHidden/>
              </w:rPr>
              <w:fldChar w:fldCharType="end"/>
            </w:r>
          </w:hyperlink>
        </w:p>
        <w:p w14:paraId="62C6DDD2" w14:textId="77777777" w:rsidR="00823CF2" w:rsidRDefault="0010547F">
          <w:pPr>
            <w:pStyle w:val="TOC3"/>
            <w:tabs>
              <w:tab w:val="right" w:leader="dot" w:pos="9016"/>
            </w:tabs>
            <w:rPr>
              <w:rFonts w:asciiTheme="minorHAnsi" w:eastAsiaTheme="minorEastAsia" w:hAnsiTheme="minorHAnsi" w:cstheme="minorBidi"/>
              <w:noProof/>
              <w:lang w:eastAsia="en-NZ"/>
            </w:rPr>
          </w:pPr>
          <w:hyperlink w:anchor="_Toc19715034" w:history="1">
            <w:r w:rsidR="00823CF2" w:rsidRPr="006467C0">
              <w:rPr>
                <w:rStyle w:val="Hyperlink"/>
                <w:rFonts w:ascii="Arial" w:hAnsi="Arial" w:cs="Arial"/>
                <w:noProof/>
              </w:rPr>
              <w:t>Referral data</w:t>
            </w:r>
            <w:r w:rsidR="00823CF2">
              <w:rPr>
                <w:noProof/>
                <w:webHidden/>
              </w:rPr>
              <w:tab/>
            </w:r>
            <w:r w:rsidR="00823CF2">
              <w:rPr>
                <w:noProof/>
                <w:webHidden/>
              </w:rPr>
              <w:fldChar w:fldCharType="begin"/>
            </w:r>
            <w:r w:rsidR="00823CF2">
              <w:rPr>
                <w:noProof/>
                <w:webHidden/>
              </w:rPr>
              <w:instrText xml:space="preserve"> PAGEREF _Toc19715034 \h </w:instrText>
            </w:r>
            <w:r w:rsidR="00823CF2">
              <w:rPr>
                <w:noProof/>
                <w:webHidden/>
              </w:rPr>
            </w:r>
            <w:r w:rsidR="00823CF2">
              <w:rPr>
                <w:noProof/>
                <w:webHidden/>
              </w:rPr>
              <w:fldChar w:fldCharType="separate"/>
            </w:r>
            <w:r w:rsidR="00393154">
              <w:rPr>
                <w:noProof/>
                <w:webHidden/>
              </w:rPr>
              <w:t>8</w:t>
            </w:r>
            <w:r w:rsidR="00823CF2">
              <w:rPr>
                <w:noProof/>
                <w:webHidden/>
              </w:rPr>
              <w:fldChar w:fldCharType="end"/>
            </w:r>
          </w:hyperlink>
        </w:p>
        <w:p w14:paraId="0238A76C" w14:textId="77777777" w:rsidR="00823CF2" w:rsidRDefault="0010547F">
          <w:pPr>
            <w:pStyle w:val="TOC3"/>
            <w:tabs>
              <w:tab w:val="right" w:leader="dot" w:pos="9016"/>
            </w:tabs>
            <w:rPr>
              <w:rFonts w:asciiTheme="minorHAnsi" w:eastAsiaTheme="minorEastAsia" w:hAnsiTheme="minorHAnsi" w:cstheme="minorBidi"/>
              <w:noProof/>
              <w:lang w:eastAsia="en-NZ"/>
            </w:rPr>
          </w:pPr>
          <w:hyperlink w:anchor="_Toc19715035" w:history="1">
            <w:r w:rsidR="00823CF2" w:rsidRPr="006467C0">
              <w:rPr>
                <w:rStyle w:val="Hyperlink"/>
                <w:rFonts w:ascii="Arial" w:hAnsi="Arial" w:cs="Arial"/>
                <w:noProof/>
              </w:rPr>
              <w:t>National collections data on health outcomes</w:t>
            </w:r>
            <w:r w:rsidR="00823CF2">
              <w:rPr>
                <w:noProof/>
                <w:webHidden/>
              </w:rPr>
              <w:tab/>
            </w:r>
            <w:r w:rsidR="00823CF2">
              <w:rPr>
                <w:noProof/>
                <w:webHidden/>
              </w:rPr>
              <w:fldChar w:fldCharType="begin"/>
            </w:r>
            <w:r w:rsidR="00823CF2">
              <w:rPr>
                <w:noProof/>
                <w:webHidden/>
              </w:rPr>
              <w:instrText xml:space="preserve"> PAGEREF _Toc19715035 \h </w:instrText>
            </w:r>
            <w:r w:rsidR="00823CF2">
              <w:rPr>
                <w:noProof/>
                <w:webHidden/>
              </w:rPr>
            </w:r>
            <w:r w:rsidR="00823CF2">
              <w:rPr>
                <w:noProof/>
                <w:webHidden/>
              </w:rPr>
              <w:fldChar w:fldCharType="separate"/>
            </w:r>
            <w:r w:rsidR="00393154">
              <w:rPr>
                <w:noProof/>
                <w:webHidden/>
              </w:rPr>
              <w:t>9</w:t>
            </w:r>
            <w:r w:rsidR="00823CF2">
              <w:rPr>
                <w:noProof/>
                <w:webHidden/>
              </w:rPr>
              <w:fldChar w:fldCharType="end"/>
            </w:r>
          </w:hyperlink>
        </w:p>
        <w:p w14:paraId="527B7D73" w14:textId="77777777" w:rsidR="00823CF2" w:rsidRDefault="0010547F">
          <w:pPr>
            <w:pStyle w:val="TOC3"/>
            <w:tabs>
              <w:tab w:val="right" w:leader="dot" w:pos="9016"/>
            </w:tabs>
            <w:rPr>
              <w:rFonts w:asciiTheme="minorHAnsi" w:eastAsiaTheme="minorEastAsia" w:hAnsiTheme="minorHAnsi" w:cstheme="minorBidi"/>
              <w:noProof/>
              <w:lang w:eastAsia="en-NZ"/>
            </w:rPr>
          </w:pPr>
          <w:hyperlink w:anchor="_Toc19715036" w:history="1">
            <w:r w:rsidR="00823CF2" w:rsidRPr="006467C0">
              <w:rPr>
                <w:rStyle w:val="Hyperlink"/>
                <w:rFonts w:ascii="Arial" w:hAnsi="Arial" w:cs="Arial"/>
                <w:noProof/>
              </w:rPr>
              <w:t>Programme cost data</w:t>
            </w:r>
            <w:r w:rsidR="00823CF2">
              <w:rPr>
                <w:noProof/>
                <w:webHidden/>
              </w:rPr>
              <w:tab/>
            </w:r>
            <w:r w:rsidR="00823CF2">
              <w:rPr>
                <w:noProof/>
                <w:webHidden/>
              </w:rPr>
              <w:fldChar w:fldCharType="begin"/>
            </w:r>
            <w:r w:rsidR="00823CF2">
              <w:rPr>
                <w:noProof/>
                <w:webHidden/>
              </w:rPr>
              <w:instrText xml:space="preserve"> PAGEREF _Toc19715036 \h </w:instrText>
            </w:r>
            <w:r w:rsidR="00823CF2">
              <w:rPr>
                <w:noProof/>
                <w:webHidden/>
              </w:rPr>
            </w:r>
            <w:r w:rsidR="00823CF2">
              <w:rPr>
                <w:noProof/>
                <w:webHidden/>
              </w:rPr>
              <w:fldChar w:fldCharType="separate"/>
            </w:r>
            <w:r w:rsidR="00393154">
              <w:rPr>
                <w:noProof/>
                <w:webHidden/>
              </w:rPr>
              <w:t>9</w:t>
            </w:r>
            <w:r w:rsidR="00823CF2">
              <w:rPr>
                <w:noProof/>
                <w:webHidden/>
              </w:rPr>
              <w:fldChar w:fldCharType="end"/>
            </w:r>
          </w:hyperlink>
        </w:p>
        <w:p w14:paraId="66888CDA" w14:textId="77777777" w:rsidR="00823CF2" w:rsidRDefault="0010547F">
          <w:pPr>
            <w:pStyle w:val="TOC2"/>
            <w:tabs>
              <w:tab w:val="right" w:leader="dot" w:pos="9016"/>
            </w:tabs>
            <w:rPr>
              <w:rFonts w:asciiTheme="minorHAnsi" w:eastAsiaTheme="minorEastAsia" w:hAnsiTheme="minorHAnsi" w:cstheme="minorBidi"/>
              <w:noProof/>
              <w:lang w:eastAsia="en-NZ"/>
            </w:rPr>
          </w:pPr>
          <w:hyperlink w:anchor="_Toc19715037" w:history="1">
            <w:r w:rsidR="00823CF2" w:rsidRPr="006467C0">
              <w:rPr>
                <w:rStyle w:val="Hyperlink"/>
                <w:rFonts w:ascii="Arial" w:hAnsi="Arial" w:cs="Arial"/>
                <w:noProof/>
              </w:rPr>
              <w:t>Sample description</w:t>
            </w:r>
            <w:r w:rsidR="00823CF2">
              <w:rPr>
                <w:noProof/>
                <w:webHidden/>
              </w:rPr>
              <w:tab/>
            </w:r>
            <w:r w:rsidR="00823CF2">
              <w:rPr>
                <w:noProof/>
                <w:webHidden/>
              </w:rPr>
              <w:fldChar w:fldCharType="begin"/>
            </w:r>
            <w:r w:rsidR="00823CF2">
              <w:rPr>
                <w:noProof/>
                <w:webHidden/>
              </w:rPr>
              <w:instrText xml:space="preserve"> PAGEREF _Toc19715037 \h </w:instrText>
            </w:r>
            <w:r w:rsidR="00823CF2">
              <w:rPr>
                <w:noProof/>
                <w:webHidden/>
              </w:rPr>
            </w:r>
            <w:r w:rsidR="00823CF2">
              <w:rPr>
                <w:noProof/>
                <w:webHidden/>
              </w:rPr>
              <w:fldChar w:fldCharType="separate"/>
            </w:r>
            <w:r w:rsidR="00393154">
              <w:rPr>
                <w:noProof/>
                <w:webHidden/>
              </w:rPr>
              <w:t>9</w:t>
            </w:r>
            <w:r w:rsidR="00823CF2">
              <w:rPr>
                <w:noProof/>
                <w:webHidden/>
              </w:rPr>
              <w:fldChar w:fldCharType="end"/>
            </w:r>
          </w:hyperlink>
        </w:p>
        <w:p w14:paraId="1F908381" w14:textId="77777777" w:rsidR="00823CF2" w:rsidRDefault="0010547F">
          <w:pPr>
            <w:pStyle w:val="TOC2"/>
            <w:tabs>
              <w:tab w:val="right" w:leader="dot" w:pos="9016"/>
            </w:tabs>
            <w:rPr>
              <w:rFonts w:asciiTheme="minorHAnsi" w:eastAsiaTheme="minorEastAsia" w:hAnsiTheme="minorHAnsi" w:cstheme="minorBidi"/>
              <w:noProof/>
              <w:lang w:eastAsia="en-NZ"/>
            </w:rPr>
          </w:pPr>
          <w:hyperlink w:anchor="_Toc19715038" w:history="1">
            <w:r w:rsidR="00823CF2" w:rsidRPr="006467C0">
              <w:rPr>
                <w:rStyle w:val="Hyperlink"/>
                <w:rFonts w:ascii="Arial" w:hAnsi="Arial" w:cs="Arial"/>
                <w:noProof/>
              </w:rPr>
              <w:t>Methods</w:t>
            </w:r>
            <w:r w:rsidR="00823CF2">
              <w:rPr>
                <w:noProof/>
                <w:webHidden/>
              </w:rPr>
              <w:tab/>
            </w:r>
            <w:r w:rsidR="00823CF2">
              <w:rPr>
                <w:noProof/>
                <w:webHidden/>
              </w:rPr>
              <w:fldChar w:fldCharType="begin"/>
            </w:r>
            <w:r w:rsidR="00823CF2">
              <w:rPr>
                <w:noProof/>
                <w:webHidden/>
              </w:rPr>
              <w:instrText xml:space="preserve"> PAGEREF _Toc19715038 \h </w:instrText>
            </w:r>
            <w:r w:rsidR="00823CF2">
              <w:rPr>
                <w:noProof/>
                <w:webHidden/>
              </w:rPr>
            </w:r>
            <w:r w:rsidR="00823CF2">
              <w:rPr>
                <w:noProof/>
                <w:webHidden/>
              </w:rPr>
              <w:fldChar w:fldCharType="separate"/>
            </w:r>
            <w:r w:rsidR="00393154">
              <w:rPr>
                <w:noProof/>
                <w:webHidden/>
              </w:rPr>
              <w:t>9</w:t>
            </w:r>
            <w:r w:rsidR="00823CF2">
              <w:rPr>
                <w:noProof/>
                <w:webHidden/>
              </w:rPr>
              <w:fldChar w:fldCharType="end"/>
            </w:r>
          </w:hyperlink>
        </w:p>
        <w:p w14:paraId="0611AC75" w14:textId="77777777" w:rsidR="00823CF2" w:rsidRDefault="0010547F">
          <w:pPr>
            <w:pStyle w:val="TOC3"/>
            <w:tabs>
              <w:tab w:val="right" w:leader="dot" w:pos="9016"/>
            </w:tabs>
            <w:rPr>
              <w:rFonts w:asciiTheme="minorHAnsi" w:eastAsiaTheme="minorEastAsia" w:hAnsiTheme="minorHAnsi" w:cstheme="minorBidi"/>
              <w:noProof/>
              <w:lang w:eastAsia="en-NZ"/>
            </w:rPr>
          </w:pPr>
          <w:hyperlink w:anchor="_Toc19715039" w:history="1">
            <w:r w:rsidR="00823CF2" w:rsidRPr="006467C0">
              <w:rPr>
                <w:rStyle w:val="Hyperlink"/>
                <w:rFonts w:ascii="Arial" w:hAnsi="Arial" w:cs="Arial"/>
                <w:noProof/>
              </w:rPr>
              <w:t>Event definitions</w:t>
            </w:r>
            <w:r w:rsidR="00823CF2">
              <w:rPr>
                <w:noProof/>
                <w:webHidden/>
              </w:rPr>
              <w:tab/>
            </w:r>
            <w:r w:rsidR="00823CF2">
              <w:rPr>
                <w:noProof/>
                <w:webHidden/>
              </w:rPr>
              <w:fldChar w:fldCharType="begin"/>
            </w:r>
            <w:r w:rsidR="00823CF2">
              <w:rPr>
                <w:noProof/>
                <w:webHidden/>
              </w:rPr>
              <w:instrText xml:space="preserve"> PAGEREF _Toc19715039 \h </w:instrText>
            </w:r>
            <w:r w:rsidR="00823CF2">
              <w:rPr>
                <w:noProof/>
                <w:webHidden/>
              </w:rPr>
            </w:r>
            <w:r w:rsidR="00823CF2">
              <w:rPr>
                <w:noProof/>
                <w:webHidden/>
              </w:rPr>
              <w:fldChar w:fldCharType="separate"/>
            </w:r>
            <w:r w:rsidR="00393154">
              <w:rPr>
                <w:noProof/>
                <w:webHidden/>
              </w:rPr>
              <w:t>9</w:t>
            </w:r>
            <w:r w:rsidR="00823CF2">
              <w:rPr>
                <w:noProof/>
                <w:webHidden/>
              </w:rPr>
              <w:fldChar w:fldCharType="end"/>
            </w:r>
          </w:hyperlink>
        </w:p>
        <w:p w14:paraId="6F11A7A5" w14:textId="77777777" w:rsidR="00823CF2" w:rsidRDefault="0010547F">
          <w:pPr>
            <w:pStyle w:val="TOC3"/>
            <w:tabs>
              <w:tab w:val="right" w:leader="dot" w:pos="9016"/>
            </w:tabs>
            <w:rPr>
              <w:rFonts w:asciiTheme="minorHAnsi" w:eastAsiaTheme="minorEastAsia" w:hAnsiTheme="minorHAnsi" w:cstheme="minorBidi"/>
              <w:noProof/>
              <w:lang w:eastAsia="en-NZ"/>
            </w:rPr>
          </w:pPr>
          <w:hyperlink w:anchor="_Toc19715040" w:history="1">
            <w:r w:rsidR="00823CF2" w:rsidRPr="006467C0">
              <w:rPr>
                <w:rStyle w:val="Hyperlink"/>
                <w:rFonts w:ascii="Arial" w:hAnsi="Arial" w:cs="Arial"/>
                <w:noProof/>
              </w:rPr>
              <w:t>Unit of analysis</w:t>
            </w:r>
            <w:r w:rsidR="00823CF2">
              <w:rPr>
                <w:noProof/>
                <w:webHidden/>
              </w:rPr>
              <w:tab/>
            </w:r>
            <w:r w:rsidR="00823CF2">
              <w:rPr>
                <w:noProof/>
                <w:webHidden/>
              </w:rPr>
              <w:fldChar w:fldCharType="begin"/>
            </w:r>
            <w:r w:rsidR="00823CF2">
              <w:rPr>
                <w:noProof/>
                <w:webHidden/>
              </w:rPr>
              <w:instrText xml:space="preserve"> PAGEREF _Toc19715040 \h </w:instrText>
            </w:r>
            <w:r w:rsidR="00823CF2">
              <w:rPr>
                <w:noProof/>
                <w:webHidden/>
              </w:rPr>
            </w:r>
            <w:r w:rsidR="00823CF2">
              <w:rPr>
                <w:noProof/>
                <w:webHidden/>
              </w:rPr>
              <w:fldChar w:fldCharType="separate"/>
            </w:r>
            <w:r w:rsidR="00393154">
              <w:rPr>
                <w:noProof/>
                <w:webHidden/>
              </w:rPr>
              <w:t>10</w:t>
            </w:r>
            <w:r w:rsidR="00823CF2">
              <w:rPr>
                <w:noProof/>
                <w:webHidden/>
              </w:rPr>
              <w:fldChar w:fldCharType="end"/>
            </w:r>
          </w:hyperlink>
        </w:p>
        <w:p w14:paraId="1359460D" w14:textId="77777777" w:rsidR="00823CF2" w:rsidRDefault="0010547F">
          <w:pPr>
            <w:pStyle w:val="TOC3"/>
            <w:tabs>
              <w:tab w:val="right" w:leader="dot" w:pos="9016"/>
            </w:tabs>
            <w:rPr>
              <w:rFonts w:asciiTheme="minorHAnsi" w:eastAsiaTheme="minorEastAsia" w:hAnsiTheme="minorHAnsi" w:cstheme="minorBidi"/>
              <w:noProof/>
              <w:lang w:eastAsia="en-NZ"/>
            </w:rPr>
          </w:pPr>
          <w:hyperlink w:anchor="_Toc19715041" w:history="1">
            <w:r w:rsidR="00823CF2" w:rsidRPr="006467C0">
              <w:rPr>
                <w:rStyle w:val="Hyperlink"/>
                <w:rFonts w:ascii="Arial" w:hAnsi="Arial" w:cs="Arial"/>
                <w:noProof/>
              </w:rPr>
              <w:t>Analytical approach</w:t>
            </w:r>
            <w:r w:rsidR="00823CF2">
              <w:rPr>
                <w:noProof/>
                <w:webHidden/>
              </w:rPr>
              <w:tab/>
            </w:r>
            <w:r w:rsidR="00823CF2">
              <w:rPr>
                <w:noProof/>
                <w:webHidden/>
              </w:rPr>
              <w:fldChar w:fldCharType="begin"/>
            </w:r>
            <w:r w:rsidR="00823CF2">
              <w:rPr>
                <w:noProof/>
                <w:webHidden/>
              </w:rPr>
              <w:instrText xml:space="preserve"> PAGEREF _Toc19715041 \h </w:instrText>
            </w:r>
            <w:r w:rsidR="00823CF2">
              <w:rPr>
                <w:noProof/>
                <w:webHidden/>
              </w:rPr>
            </w:r>
            <w:r w:rsidR="00823CF2">
              <w:rPr>
                <w:noProof/>
                <w:webHidden/>
              </w:rPr>
              <w:fldChar w:fldCharType="separate"/>
            </w:r>
            <w:r w:rsidR="00393154">
              <w:rPr>
                <w:noProof/>
                <w:webHidden/>
              </w:rPr>
              <w:t>10</w:t>
            </w:r>
            <w:r w:rsidR="00823CF2">
              <w:rPr>
                <w:noProof/>
                <w:webHidden/>
              </w:rPr>
              <w:fldChar w:fldCharType="end"/>
            </w:r>
          </w:hyperlink>
        </w:p>
        <w:p w14:paraId="62E123C8" w14:textId="77777777" w:rsidR="00823CF2" w:rsidRDefault="0010547F">
          <w:pPr>
            <w:pStyle w:val="TOC3"/>
            <w:tabs>
              <w:tab w:val="right" w:leader="dot" w:pos="9016"/>
            </w:tabs>
            <w:rPr>
              <w:rFonts w:asciiTheme="minorHAnsi" w:eastAsiaTheme="minorEastAsia" w:hAnsiTheme="minorHAnsi" w:cstheme="minorBidi"/>
              <w:noProof/>
              <w:lang w:eastAsia="en-NZ"/>
            </w:rPr>
          </w:pPr>
          <w:hyperlink w:anchor="_Toc19715042" w:history="1">
            <w:r w:rsidR="00823CF2" w:rsidRPr="006467C0">
              <w:rPr>
                <w:rStyle w:val="Hyperlink"/>
                <w:rFonts w:ascii="Arial" w:hAnsi="Arial" w:cs="Arial"/>
                <w:noProof/>
              </w:rPr>
              <w:t>Corrective adjustments</w:t>
            </w:r>
            <w:r w:rsidR="00823CF2">
              <w:rPr>
                <w:noProof/>
                <w:webHidden/>
              </w:rPr>
              <w:tab/>
            </w:r>
            <w:r w:rsidR="00823CF2">
              <w:rPr>
                <w:noProof/>
                <w:webHidden/>
              </w:rPr>
              <w:fldChar w:fldCharType="begin"/>
            </w:r>
            <w:r w:rsidR="00823CF2">
              <w:rPr>
                <w:noProof/>
                <w:webHidden/>
              </w:rPr>
              <w:instrText xml:space="preserve"> PAGEREF _Toc19715042 \h </w:instrText>
            </w:r>
            <w:r w:rsidR="00823CF2">
              <w:rPr>
                <w:noProof/>
                <w:webHidden/>
              </w:rPr>
            </w:r>
            <w:r w:rsidR="00823CF2">
              <w:rPr>
                <w:noProof/>
                <w:webHidden/>
              </w:rPr>
              <w:fldChar w:fldCharType="separate"/>
            </w:r>
            <w:r w:rsidR="00393154">
              <w:rPr>
                <w:noProof/>
                <w:webHidden/>
              </w:rPr>
              <w:t>12</w:t>
            </w:r>
            <w:r w:rsidR="00823CF2">
              <w:rPr>
                <w:noProof/>
                <w:webHidden/>
              </w:rPr>
              <w:fldChar w:fldCharType="end"/>
            </w:r>
          </w:hyperlink>
        </w:p>
        <w:p w14:paraId="72269F4C" w14:textId="77777777" w:rsidR="00823CF2" w:rsidRDefault="0010547F">
          <w:pPr>
            <w:pStyle w:val="TOC3"/>
            <w:tabs>
              <w:tab w:val="right" w:leader="dot" w:pos="9016"/>
            </w:tabs>
            <w:rPr>
              <w:rFonts w:asciiTheme="minorHAnsi" w:eastAsiaTheme="minorEastAsia" w:hAnsiTheme="minorHAnsi" w:cstheme="minorBidi"/>
              <w:noProof/>
              <w:lang w:eastAsia="en-NZ"/>
            </w:rPr>
          </w:pPr>
          <w:hyperlink w:anchor="_Toc19715043" w:history="1">
            <w:r w:rsidR="00823CF2" w:rsidRPr="006467C0">
              <w:rPr>
                <w:rStyle w:val="Hyperlink"/>
                <w:rFonts w:ascii="Arial" w:hAnsi="Arial" w:cs="Arial"/>
                <w:noProof/>
              </w:rPr>
              <w:t>Estimating uncertainty</w:t>
            </w:r>
            <w:r w:rsidR="00823CF2">
              <w:rPr>
                <w:noProof/>
                <w:webHidden/>
              </w:rPr>
              <w:tab/>
            </w:r>
            <w:r w:rsidR="00823CF2">
              <w:rPr>
                <w:noProof/>
                <w:webHidden/>
              </w:rPr>
              <w:fldChar w:fldCharType="begin"/>
            </w:r>
            <w:r w:rsidR="00823CF2">
              <w:rPr>
                <w:noProof/>
                <w:webHidden/>
              </w:rPr>
              <w:instrText xml:space="preserve"> PAGEREF _Toc19715043 \h </w:instrText>
            </w:r>
            <w:r w:rsidR="00823CF2">
              <w:rPr>
                <w:noProof/>
                <w:webHidden/>
              </w:rPr>
            </w:r>
            <w:r w:rsidR="00823CF2">
              <w:rPr>
                <w:noProof/>
                <w:webHidden/>
              </w:rPr>
              <w:fldChar w:fldCharType="separate"/>
            </w:r>
            <w:r w:rsidR="00393154">
              <w:rPr>
                <w:noProof/>
                <w:webHidden/>
              </w:rPr>
              <w:t>13</w:t>
            </w:r>
            <w:r w:rsidR="00823CF2">
              <w:rPr>
                <w:noProof/>
                <w:webHidden/>
              </w:rPr>
              <w:fldChar w:fldCharType="end"/>
            </w:r>
          </w:hyperlink>
        </w:p>
        <w:p w14:paraId="4EBA192D" w14:textId="77777777" w:rsidR="00823CF2" w:rsidRDefault="0010547F">
          <w:pPr>
            <w:pStyle w:val="TOC1"/>
            <w:tabs>
              <w:tab w:val="right" w:leader="dot" w:pos="9016"/>
            </w:tabs>
            <w:rPr>
              <w:rFonts w:asciiTheme="minorHAnsi" w:eastAsiaTheme="minorEastAsia" w:hAnsiTheme="minorHAnsi" w:cstheme="minorBidi"/>
              <w:noProof/>
              <w:lang w:eastAsia="en-NZ"/>
            </w:rPr>
          </w:pPr>
          <w:hyperlink w:anchor="_Toc19715044" w:history="1">
            <w:r w:rsidR="00823CF2" w:rsidRPr="006467C0">
              <w:rPr>
                <w:rStyle w:val="Hyperlink"/>
                <w:rFonts w:ascii="Arial" w:hAnsi="Arial" w:cs="Arial"/>
                <w:noProof/>
              </w:rPr>
              <w:t>Results: Health outcomes</w:t>
            </w:r>
            <w:r w:rsidR="00823CF2">
              <w:rPr>
                <w:noProof/>
                <w:webHidden/>
              </w:rPr>
              <w:tab/>
            </w:r>
            <w:r w:rsidR="00823CF2">
              <w:rPr>
                <w:noProof/>
                <w:webHidden/>
              </w:rPr>
              <w:fldChar w:fldCharType="begin"/>
            </w:r>
            <w:r w:rsidR="00823CF2">
              <w:rPr>
                <w:noProof/>
                <w:webHidden/>
              </w:rPr>
              <w:instrText xml:space="preserve"> PAGEREF _Toc19715044 \h </w:instrText>
            </w:r>
            <w:r w:rsidR="00823CF2">
              <w:rPr>
                <w:noProof/>
                <w:webHidden/>
              </w:rPr>
            </w:r>
            <w:r w:rsidR="00823CF2">
              <w:rPr>
                <w:noProof/>
                <w:webHidden/>
              </w:rPr>
              <w:fldChar w:fldCharType="separate"/>
            </w:r>
            <w:r w:rsidR="00393154">
              <w:rPr>
                <w:noProof/>
                <w:webHidden/>
              </w:rPr>
              <w:t>13</w:t>
            </w:r>
            <w:r w:rsidR="00823CF2">
              <w:rPr>
                <w:noProof/>
                <w:webHidden/>
              </w:rPr>
              <w:fldChar w:fldCharType="end"/>
            </w:r>
          </w:hyperlink>
        </w:p>
        <w:p w14:paraId="5464A2D8" w14:textId="77777777" w:rsidR="00823CF2" w:rsidRDefault="0010547F">
          <w:pPr>
            <w:pStyle w:val="TOC2"/>
            <w:tabs>
              <w:tab w:val="right" w:leader="dot" w:pos="9016"/>
            </w:tabs>
            <w:rPr>
              <w:rFonts w:asciiTheme="minorHAnsi" w:eastAsiaTheme="minorEastAsia" w:hAnsiTheme="minorHAnsi" w:cstheme="minorBidi"/>
              <w:noProof/>
              <w:lang w:eastAsia="en-NZ"/>
            </w:rPr>
          </w:pPr>
          <w:hyperlink w:anchor="_Toc19715045" w:history="1">
            <w:r w:rsidR="00823CF2" w:rsidRPr="006467C0">
              <w:rPr>
                <w:rStyle w:val="Hyperlink"/>
                <w:rFonts w:ascii="Arial" w:hAnsi="Arial" w:cs="Arial"/>
                <w:noProof/>
              </w:rPr>
              <w:t>Hospitalisations</w:t>
            </w:r>
            <w:r w:rsidR="00823CF2">
              <w:rPr>
                <w:noProof/>
                <w:webHidden/>
              </w:rPr>
              <w:tab/>
            </w:r>
            <w:r w:rsidR="00823CF2">
              <w:rPr>
                <w:noProof/>
                <w:webHidden/>
              </w:rPr>
              <w:fldChar w:fldCharType="begin"/>
            </w:r>
            <w:r w:rsidR="00823CF2">
              <w:rPr>
                <w:noProof/>
                <w:webHidden/>
              </w:rPr>
              <w:instrText xml:space="preserve"> PAGEREF _Toc19715045 \h </w:instrText>
            </w:r>
            <w:r w:rsidR="00823CF2">
              <w:rPr>
                <w:noProof/>
                <w:webHidden/>
              </w:rPr>
            </w:r>
            <w:r w:rsidR="00823CF2">
              <w:rPr>
                <w:noProof/>
                <w:webHidden/>
              </w:rPr>
              <w:fldChar w:fldCharType="separate"/>
            </w:r>
            <w:r w:rsidR="00393154">
              <w:rPr>
                <w:noProof/>
                <w:webHidden/>
              </w:rPr>
              <w:t>13</w:t>
            </w:r>
            <w:r w:rsidR="00823CF2">
              <w:rPr>
                <w:noProof/>
                <w:webHidden/>
              </w:rPr>
              <w:fldChar w:fldCharType="end"/>
            </w:r>
          </w:hyperlink>
        </w:p>
        <w:p w14:paraId="33C82DF5" w14:textId="77777777" w:rsidR="00823CF2" w:rsidRDefault="0010547F">
          <w:pPr>
            <w:pStyle w:val="TOC2"/>
            <w:tabs>
              <w:tab w:val="right" w:leader="dot" w:pos="9016"/>
            </w:tabs>
            <w:rPr>
              <w:rFonts w:asciiTheme="minorHAnsi" w:eastAsiaTheme="minorEastAsia" w:hAnsiTheme="minorHAnsi" w:cstheme="minorBidi"/>
              <w:noProof/>
              <w:lang w:eastAsia="en-NZ"/>
            </w:rPr>
          </w:pPr>
          <w:hyperlink w:anchor="_Toc19715046" w:history="1">
            <w:r w:rsidR="00823CF2" w:rsidRPr="006467C0">
              <w:rPr>
                <w:rStyle w:val="Hyperlink"/>
                <w:rFonts w:ascii="Arial" w:hAnsi="Arial" w:cs="Arial"/>
                <w:noProof/>
              </w:rPr>
              <w:t>GP Visits</w:t>
            </w:r>
            <w:r w:rsidR="00823CF2">
              <w:rPr>
                <w:noProof/>
                <w:webHidden/>
              </w:rPr>
              <w:tab/>
            </w:r>
            <w:r w:rsidR="00823CF2">
              <w:rPr>
                <w:noProof/>
                <w:webHidden/>
              </w:rPr>
              <w:fldChar w:fldCharType="begin"/>
            </w:r>
            <w:r w:rsidR="00823CF2">
              <w:rPr>
                <w:noProof/>
                <w:webHidden/>
              </w:rPr>
              <w:instrText xml:space="preserve"> PAGEREF _Toc19715046 \h </w:instrText>
            </w:r>
            <w:r w:rsidR="00823CF2">
              <w:rPr>
                <w:noProof/>
                <w:webHidden/>
              </w:rPr>
            </w:r>
            <w:r w:rsidR="00823CF2">
              <w:rPr>
                <w:noProof/>
                <w:webHidden/>
              </w:rPr>
              <w:fldChar w:fldCharType="separate"/>
            </w:r>
            <w:r w:rsidR="00393154">
              <w:rPr>
                <w:noProof/>
                <w:webHidden/>
              </w:rPr>
              <w:t>16</w:t>
            </w:r>
            <w:r w:rsidR="00823CF2">
              <w:rPr>
                <w:noProof/>
                <w:webHidden/>
              </w:rPr>
              <w:fldChar w:fldCharType="end"/>
            </w:r>
          </w:hyperlink>
        </w:p>
        <w:p w14:paraId="2197E2A7" w14:textId="77777777" w:rsidR="00823CF2" w:rsidRDefault="0010547F">
          <w:pPr>
            <w:pStyle w:val="TOC2"/>
            <w:tabs>
              <w:tab w:val="right" w:leader="dot" w:pos="9016"/>
            </w:tabs>
            <w:rPr>
              <w:rFonts w:asciiTheme="minorHAnsi" w:eastAsiaTheme="minorEastAsia" w:hAnsiTheme="minorHAnsi" w:cstheme="minorBidi"/>
              <w:noProof/>
              <w:lang w:eastAsia="en-NZ"/>
            </w:rPr>
          </w:pPr>
          <w:hyperlink w:anchor="_Toc19715047" w:history="1">
            <w:r w:rsidR="00823CF2" w:rsidRPr="006467C0">
              <w:rPr>
                <w:rStyle w:val="Hyperlink"/>
                <w:rFonts w:ascii="Arial" w:hAnsi="Arial" w:cs="Arial"/>
                <w:noProof/>
              </w:rPr>
              <w:t>Pharmaceutical dispensings</w:t>
            </w:r>
            <w:r w:rsidR="00823CF2">
              <w:rPr>
                <w:noProof/>
                <w:webHidden/>
              </w:rPr>
              <w:tab/>
            </w:r>
            <w:r w:rsidR="00823CF2">
              <w:rPr>
                <w:noProof/>
                <w:webHidden/>
              </w:rPr>
              <w:fldChar w:fldCharType="begin"/>
            </w:r>
            <w:r w:rsidR="00823CF2">
              <w:rPr>
                <w:noProof/>
                <w:webHidden/>
              </w:rPr>
              <w:instrText xml:space="preserve"> PAGEREF _Toc19715047 \h </w:instrText>
            </w:r>
            <w:r w:rsidR="00823CF2">
              <w:rPr>
                <w:noProof/>
                <w:webHidden/>
              </w:rPr>
            </w:r>
            <w:r w:rsidR="00823CF2">
              <w:rPr>
                <w:noProof/>
                <w:webHidden/>
              </w:rPr>
              <w:fldChar w:fldCharType="separate"/>
            </w:r>
            <w:r w:rsidR="00393154">
              <w:rPr>
                <w:noProof/>
                <w:webHidden/>
              </w:rPr>
              <w:t>16</w:t>
            </w:r>
            <w:r w:rsidR="00823CF2">
              <w:rPr>
                <w:noProof/>
                <w:webHidden/>
              </w:rPr>
              <w:fldChar w:fldCharType="end"/>
            </w:r>
          </w:hyperlink>
        </w:p>
        <w:p w14:paraId="5ADEE18E" w14:textId="77777777" w:rsidR="00823CF2" w:rsidRDefault="0010547F">
          <w:pPr>
            <w:pStyle w:val="TOC1"/>
            <w:tabs>
              <w:tab w:val="right" w:leader="dot" w:pos="9016"/>
            </w:tabs>
            <w:rPr>
              <w:rFonts w:asciiTheme="minorHAnsi" w:eastAsiaTheme="minorEastAsia" w:hAnsiTheme="minorHAnsi" w:cstheme="minorBidi"/>
              <w:noProof/>
              <w:lang w:eastAsia="en-NZ"/>
            </w:rPr>
          </w:pPr>
          <w:hyperlink w:anchor="_Toc19715048" w:history="1">
            <w:r w:rsidR="00823CF2" w:rsidRPr="006467C0">
              <w:rPr>
                <w:rStyle w:val="Hyperlink"/>
                <w:rFonts w:ascii="Arial" w:hAnsi="Arial" w:cs="Arial"/>
                <w:noProof/>
              </w:rPr>
              <w:t>Results: Costs and Benefits</w:t>
            </w:r>
            <w:r w:rsidR="00823CF2">
              <w:rPr>
                <w:noProof/>
                <w:webHidden/>
              </w:rPr>
              <w:tab/>
            </w:r>
            <w:r w:rsidR="00823CF2">
              <w:rPr>
                <w:noProof/>
                <w:webHidden/>
              </w:rPr>
              <w:fldChar w:fldCharType="begin"/>
            </w:r>
            <w:r w:rsidR="00823CF2">
              <w:rPr>
                <w:noProof/>
                <w:webHidden/>
              </w:rPr>
              <w:instrText xml:space="preserve"> PAGEREF _Toc19715048 \h </w:instrText>
            </w:r>
            <w:r w:rsidR="00823CF2">
              <w:rPr>
                <w:noProof/>
                <w:webHidden/>
              </w:rPr>
            </w:r>
            <w:r w:rsidR="00823CF2">
              <w:rPr>
                <w:noProof/>
                <w:webHidden/>
              </w:rPr>
              <w:fldChar w:fldCharType="separate"/>
            </w:r>
            <w:r w:rsidR="00393154">
              <w:rPr>
                <w:noProof/>
                <w:webHidden/>
              </w:rPr>
              <w:t>17</w:t>
            </w:r>
            <w:r w:rsidR="00823CF2">
              <w:rPr>
                <w:noProof/>
                <w:webHidden/>
              </w:rPr>
              <w:fldChar w:fldCharType="end"/>
            </w:r>
          </w:hyperlink>
        </w:p>
        <w:p w14:paraId="337FE9F7" w14:textId="77777777" w:rsidR="00823CF2" w:rsidRDefault="0010547F">
          <w:pPr>
            <w:pStyle w:val="TOC1"/>
            <w:tabs>
              <w:tab w:val="right" w:leader="dot" w:pos="9016"/>
            </w:tabs>
            <w:rPr>
              <w:rFonts w:asciiTheme="minorHAnsi" w:eastAsiaTheme="minorEastAsia" w:hAnsiTheme="minorHAnsi" w:cstheme="minorBidi"/>
              <w:noProof/>
              <w:lang w:eastAsia="en-NZ"/>
            </w:rPr>
          </w:pPr>
          <w:hyperlink w:anchor="_Toc19715049" w:history="1">
            <w:r w:rsidR="00823CF2" w:rsidRPr="006467C0">
              <w:rPr>
                <w:rStyle w:val="Hyperlink"/>
                <w:rFonts w:ascii="Arial" w:hAnsi="Arial" w:cs="Arial"/>
                <w:noProof/>
              </w:rPr>
              <w:t>Discussion</w:t>
            </w:r>
            <w:r w:rsidR="00823CF2">
              <w:rPr>
                <w:noProof/>
                <w:webHidden/>
              </w:rPr>
              <w:tab/>
            </w:r>
            <w:r w:rsidR="00823CF2">
              <w:rPr>
                <w:noProof/>
                <w:webHidden/>
              </w:rPr>
              <w:fldChar w:fldCharType="begin"/>
            </w:r>
            <w:r w:rsidR="00823CF2">
              <w:rPr>
                <w:noProof/>
                <w:webHidden/>
              </w:rPr>
              <w:instrText xml:space="preserve"> PAGEREF _Toc19715049 \h </w:instrText>
            </w:r>
            <w:r w:rsidR="00823CF2">
              <w:rPr>
                <w:noProof/>
                <w:webHidden/>
              </w:rPr>
            </w:r>
            <w:r w:rsidR="00823CF2">
              <w:rPr>
                <w:noProof/>
                <w:webHidden/>
              </w:rPr>
              <w:fldChar w:fldCharType="separate"/>
            </w:r>
            <w:r w:rsidR="00393154">
              <w:rPr>
                <w:noProof/>
                <w:webHidden/>
              </w:rPr>
              <w:t>18</w:t>
            </w:r>
            <w:r w:rsidR="00823CF2">
              <w:rPr>
                <w:noProof/>
                <w:webHidden/>
              </w:rPr>
              <w:fldChar w:fldCharType="end"/>
            </w:r>
          </w:hyperlink>
        </w:p>
        <w:p w14:paraId="4D3F795A" w14:textId="77777777" w:rsidR="00823CF2" w:rsidRDefault="0010547F">
          <w:pPr>
            <w:pStyle w:val="TOC2"/>
            <w:tabs>
              <w:tab w:val="right" w:leader="dot" w:pos="9016"/>
            </w:tabs>
            <w:rPr>
              <w:rFonts w:asciiTheme="minorHAnsi" w:eastAsiaTheme="minorEastAsia" w:hAnsiTheme="minorHAnsi" w:cstheme="minorBidi"/>
              <w:noProof/>
              <w:lang w:eastAsia="en-NZ"/>
            </w:rPr>
          </w:pPr>
          <w:hyperlink w:anchor="_Toc19715050" w:history="1">
            <w:r w:rsidR="00823CF2" w:rsidRPr="006467C0">
              <w:rPr>
                <w:rStyle w:val="Hyperlink"/>
                <w:rFonts w:ascii="Arial" w:hAnsi="Arial" w:cs="Arial"/>
                <w:noProof/>
              </w:rPr>
              <w:t>Comparison with health effects as identified in other housing intervention studies</w:t>
            </w:r>
            <w:r w:rsidR="00823CF2">
              <w:rPr>
                <w:noProof/>
                <w:webHidden/>
              </w:rPr>
              <w:tab/>
            </w:r>
            <w:r w:rsidR="00823CF2">
              <w:rPr>
                <w:noProof/>
                <w:webHidden/>
              </w:rPr>
              <w:fldChar w:fldCharType="begin"/>
            </w:r>
            <w:r w:rsidR="00823CF2">
              <w:rPr>
                <w:noProof/>
                <w:webHidden/>
              </w:rPr>
              <w:instrText xml:space="preserve"> PAGEREF _Toc19715050 \h </w:instrText>
            </w:r>
            <w:r w:rsidR="00823CF2">
              <w:rPr>
                <w:noProof/>
                <w:webHidden/>
              </w:rPr>
            </w:r>
            <w:r w:rsidR="00823CF2">
              <w:rPr>
                <w:noProof/>
                <w:webHidden/>
              </w:rPr>
              <w:fldChar w:fldCharType="separate"/>
            </w:r>
            <w:r w:rsidR="00393154">
              <w:rPr>
                <w:noProof/>
                <w:webHidden/>
              </w:rPr>
              <w:t>19</w:t>
            </w:r>
            <w:r w:rsidR="00823CF2">
              <w:rPr>
                <w:noProof/>
                <w:webHidden/>
              </w:rPr>
              <w:fldChar w:fldCharType="end"/>
            </w:r>
          </w:hyperlink>
        </w:p>
        <w:p w14:paraId="171F5C9F" w14:textId="77777777" w:rsidR="00823CF2" w:rsidRDefault="0010547F">
          <w:pPr>
            <w:pStyle w:val="TOC2"/>
            <w:tabs>
              <w:tab w:val="right" w:leader="dot" w:pos="9016"/>
            </w:tabs>
            <w:rPr>
              <w:rFonts w:asciiTheme="minorHAnsi" w:eastAsiaTheme="minorEastAsia" w:hAnsiTheme="minorHAnsi" w:cstheme="minorBidi"/>
              <w:noProof/>
              <w:lang w:eastAsia="en-NZ"/>
            </w:rPr>
          </w:pPr>
          <w:hyperlink w:anchor="_Toc19715051" w:history="1">
            <w:r w:rsidR="00823CF2" w:rsidRPr="006467C0">
              <w:rPr>
                <w:rStyle w:val="Hyperlink"/>
                <w:rFonts w:ascii="Arial" w:hAnsi="Arial" w:cs="Arial"/>
                <w:noProof/>
              </w:rPr>
              <w:t>Limitations of analysis</w:t>
            </w:r>
            <w:r w:rsidR="00823CF2">
              <w:rPr>
                <w:noProof/>
                <w:webHidden/>
              </w:rPr>
              <w:tab/>
            </w:r>
            <w:r w:rsidR="00823CF2">
              <w:rPr>
                <w:noProof/>
                <w:webHidden/>
              </w:rPr>
              <w:fldChar w:fldCharType="begin"/>
            </w:r>
            <w:r w:rsidR="00823CF2">
              <w:rPr>
                <w:noProof/>
                <w:webHidden/>
              </w:rPr>
              <w:instrText xml:space="preserve"> PAGEREF _Toc19715051 \h </w:instrText>
            </w:r>
            <w:r w:rsidR="00823CF2">
              <w:rPr>
                <w:noProof/>
                <w:webHidden/>
              </w:rPr>
            </w:r>
            <w:r w:rsidR="00823CF2">
              <w:rPr>
                <w:noProof/>
                <w:webHidden/>
              </w:rPr>
              <w:fldChar w:fldCharType="separate"/>
            </w:r>
            <w:r w:rsidR="00393154">
              <w:rPr>
                <w:noProof/>
                <w:webHidden/>
              </w:rPr>
              <w:t>19</w:t>
            </w:r>
            <w:r w:rsidR="00823CF2">
              <w:rPr>
                <w:noProof/>
                <w:webHidden/>
              </w:rPr>
              <w:fldChar w:fldCharType="end"/>
            </w:r>
          </w:hyperlink>
        </w:p>
        <w:p w14:paraId="2930FAF5" w14:textId="77777777" w:rsidR="00823CF2" w:rsidRDefault="0010547F">
          <w:pPr>
            <w:pStyle w:val="TOC3"/>
            <w:tabs>
              <w:tab w:val="right" w:leader="dot" w:pos="9016"/>
            </w:tabs>
            <w:rPr>
              <w:rFonts w:asciiTheme="minorHAnsi" w:eastAsiaTheme="minorEastAsia" w:hAnsiTheme="minorHAnsi" w:cstheme="minorBidi"/>
              <w:noProof/>
              <w:lang w:eastAsia="en-NZ"/>
            </w:rPr>
          </w:pPr>
          <w:hyperlink w:anchor="_Toc19715052" w:history="1">
            <w:r w:rsidR="00823CF2" w:rsidRPr="006467C0">
              <w:rPr>
                <w:rStyle w:val="Hyperlink"/>
                <w:rFonts w:ascii="Arial" w:hAnsi="Arial" w:cs="Arial"/>
                <w:noProof/>
              </w:rPr>
              <w:t>Age and selection bias effects</w:t>
            </w:r>
            <w:r w:rsidR="00823CF2">
              <w:rPr>
                <w:noProof/>
                <w:webHidden/>
              </w:rPr>
              <w:tab/>
            </w:r>
            <w:r w:rsidR="00823CF2">
              <w:rPr>
                <w:noProof/>
                <w:webHidden/>
              </w:rPr>
              <w:fldChar w:fldCharType="begin"/>
            </w:r>
            <w:r w:rsidR="00823CF2">
              <w:rPr>
                <w:noProof/>
                <w:webHidden/>
              </w:rPr>
              <w:instrText xml:space="preserve"> PAGEREF _Toc19715052 \h </w:instrText>
            </w:r>
            <w:r w:rsidR="00823CF2">
              <w:rPr>
                <w:noProof/>
                <w:webHidden/>
              </w:rPr>
            </w:r>
            <w:r w:rsidR="00823CF2">
              <w:rPr>
                <w:noProof/>
                <w:webHidden/>
              </w:rPr>
              <w:fldChar w:fldCharType="separate"/>
            </w:r>
            <w:r w:rsidR="00393154">
              <w:rPr>
                <w:noProof/>
                <w:webHidden/>
              </w:rPr>
              <w:t>19</w:t>
            </w:r>
            <w:r w:rsidR="00823CF2">
              <w:rPr>
                <w:noProof/>
                <w:webHidden/>
              </w:rPr>
              <w:fldChar w:fldCharType="end"/>
            </w:r>
          </w:hyperlink>
        </w:p>
        <w:p w14:paraId="57184F83" w14:textId="77777777" w:rsidR="00823CF2" w:rsidRDefault="0010547F">
          <w:pPr>
            <w:pStyle w:val="TOC3"/>
            <w:tabs>
              <w:tab w:val="right" w:leader="dot" w:pos="9016"/>
            </w:tabs>
            <w:rPr>
              <w:rFonts w:asciiTheme="minorHAnsi" w:eastAsiaTheme="minorEastAsia" w:hAnsiTheme="minorHAnsi" w:cstheme="minorBidi"/>
              <w:noProof/>
              <w:lang w:eastAsia="en-NZ"/>
            </w:rPr>
          </w:pPr>
          <w:hyperlink w:anchor="_Toc19715053" w:history="1">
            <w:r w:rsidR="00823CF2" w:rsidRPr="006467C0">
              <w:rPr>
                <w:rStyle w:val="Hyperlink"/>
                <w:rFonts w:ascii="Arial" w:hAnsi="Arial" w:cs="Arial"/>
                <w:noProof/>
              </w:rPr>
              <w:t>Observation period</w:t>
            </w:r>
            <w:r w:rsidR="00823CF2">
              <w:rPr>
                <w:noProof/>
                <w:webHidden/>
              </w:rPr>
              <w:tab/>
            </w:r>
            <w:r w:rsidR="00823CF2">
              <w:rPr>
                <w:noProof/>
                <w:webHidden/>
              </w:rPr>
              <w:fldChar w:fldCharType="begin"/>
            </w:r>
            <w:r w:rsidR="00823CF2">
              <w:rPr>
                <w:noProof/>
                <w:webHidden/>
              </w:rPr>
              <w:instrText xml:space="preserve"> PAGEREF _Toc19715053 \h </w:instrText>
            </w:r>
            <w:r w:rsidR="00823CF2">
              <w:rPr>
                <w:noProof/>
                <w:webHidden/>
              </w:rPr>
            </w:r>
            <w:r w:rsidR="00823CF2">
              <w:rPr>
                <w:noProof/>
                <w:webHidden/>
              </w:rPr>
              <w:fldChar w:fldCharType="separate"/>
            </w:r>
            <w:r w:rsidR="00393154">
              <w:rPr>
                <w:noProof/>
                <w:webHidden/>
              </w:rPr>
              <w:t>20</w:t>
            </w:r>
            <w:r w:rsidR="00823CF2">
              <w:rPr>
                <w:noProof/>
                <w:webHidden/>
              </w:rPr>
              <w:fldChar w:fldCharType="end"/>
            </w:r>
          </w:hyperlink>
        </w:p>
        <w:p w14:paraId="5AAF2B81" w14:textId="77777777" w:rsidR="00823CF2" w:rsidRDefault="0010547F">
          <w:pPr>
            <w:pStyle w:val="TOC3"/>
            <w:tabs>
              <w:tab w:val="right" w:leader="dot" w:pos="9016"/>
            </w:tabs>
            <w:rPr>
              <w:rFonts w:asciiTheme="minorHAnsi" w:eastAsiaTheme="minorEastAsia" w:hAnsiTheme="minorHAnsi" w:cstheme="minorBidi"/>
              <w:noProof/>
              <w:lang w:eastAsia="en-NZ"/>
            </w:rPr>
          </w:pPr>
          <w:hyperlink w:anchor="_Toc19715054" w:history="1">
            <w:r w:rsidR="00823CF2" w:rsidRPr="006467C0">
              <w:rPr>
                <w:rStyle w:val="Hyperlink"/>
                <w:rFonts w:ascii="Arial" w:hAnsi="Arial" w:cs="Arial"/>
                <w:noProof/>
              </w:rPr>
              <w:t>Costs and benefits of the programme</w:t>
            </w:r>
            <w:r w:rsidR="00823CF2">
              <w:rPr>
                <w:noProof/>
                <w:webHidden/>
              </w:rPr>
              <w:tab/>
            </w:r>
            <w:r w:rsidR="00823CF2">
              <w:rPr>
                <w:noProof/>
                <w:webHidden/>
              </w:rPr>
              <w:fldChar w:fldCharType="begin"/>
            </w:r>
            <w:r w:rsidR="00823CF2">
              <w:rPr>
                <w:noProof/>
                <w:webHidden/>
              </w:rPr>
              <w:instrText xml:space="preserve"> PAGEREF _Toc19715054 \h </w:instrText>
            </w:r>
            <w:r w:rsidR="00823CF2">
              <w:rPr>
                <w:noProof/>
                <w:webHidden/>
              </w:rPr>
            </w:r>
            <w:r w:rsidR="00823CF2">
              <w:rPr>
                <w:noProof/>
                <w:webHidden/>
              </w:rPr>
              <w:fldChar w:fldCharType="separate"/>
            </w:r>
            <w:r w:rsidR="00393154">
              <w:rPr>
                <w:noProof/>
                <w:webHidden/>
              </w:rPr>
              <w:t>20</w:t>
            </w:r>
            <w:r w:rsidR="00823CF2">
              <w:rPr>
                <w:noProof/>
                <w:webHidden/>
              </w:rPr>
              <w:fldChar w:fldCharType="end"/>
            </w:r>
          </w:hyperlink>
        </w:p>
        <w:p w14:paraId="0D24E8AE" w14:textId="77777777" w:rsidR="00823CF2" w:rsidRDefault="0010547F">
          <w:pPr>
            <w:pStyle w:val="TOC2"/>
            <w:tabs>
              <w:tab w:val="right" w:leader="dot" w:pos="9016"/>
            </w:tabs>
            <w:rPr>
              <w:rFonts w:asciiTheme="minorHAnsi" w:eastAsiaTheme="minorEastAsia" w:hAnsiTheme="minorHAnsi" w:cstheme="minorBidi"/>
              <w:noProof/>
              <w:lang w:eastAsia="en-NZ"/>
            </w:rPr>
          </w:pPr>
          <w:hyperlink w:anchor="_Toc19715055" w:history="1">
            <w:r w:rsidR="00823CF2" w:rsidRPr="006467C0">
              <w:rPr>
                <w:rStyle w:val="Hyperlink"/>
                <w:rFonts w:ascii="Arial" w:hAnsi="Arial" w:cs="Arial"/>
                <w:noProof/>
              </w:rPr>
              <w:t>Conclusion and future research</w:t>
            </w:r>
            <w:r w:rsidR="00823CF2">
              <w:rPr>
                <w:noProof/>
                <w:webHidden/>
              </w:rPr>
              <w:tab/>
            </w:r>
            <w:r w:rsidR="00823CF2">
              <w:rPr>
                <w:noProof/>
                <w:webHidden/>
              </w:rPr>
              <w:fldChar w:fldCharType="begin"/>
            </w:r>
            <w:r w:rsidR="00823CF2">
              <w:rPr>
                <w:noProof/>
                <w:webHidden/>
              </w:rPr>
              <w:instrText xml:space="preserve"> PAGEREF _Toc19715055 \h </w:instrText>
            </w:r>
            <w:r w:rsidR="00823CF2">
              <w:rPr>
                <w:noProof/>
                <w:webHidden/>
              </w:rPr>
            </w:r>
            <w:r w:rsidR="00823CF2">
              <w:rPr>
                <w:noProof/>
                <w:webHidden/>
              </w:rPr>
              <w:fldChar w:fldCharType="separate"/>
            </w:r>
            <w:r w:rsidR="00393154">
              <w:rPr>
                <w:noProof/>
                <w:webHidden/>
              </w:rPr>
              <w:t>20</w:t>
            </w:r>
            <w:r w:rsidR="00823CF2">
              <w:rPr>
                <w:noProof/>
                <w:webHidden/>
              </w:rPr>
              <w:fldChar w:fldCharType="end"/>
            </w:r>
          </w:hyperlink>
        </w:p>
        <w:p w14:paraId="0EF1C82A" w14:textId="1B0E4244" w:rsidR="00A51C70" w:rsidRPr="00D979E7" w:rsidRDefault="00823CF2" w:rsidP="00271FB7">
          <w:pPr>
            <w:spacing w:before="120" w:after="120" w:line="240" w:lineRule="auto"/>
            <w:rPr>
              <w:rFonts w:ascii="Arial" w:hAnsi="Arial" w:cs="Arial"/>
            </w:rPr>
          </w:pPr>
          <w:r>
            <w:rPr>
              <w:rFonts w:ascii="Arial" w:hAnsi="Arial" w:cs="Arial"/>
            </w:rPr>
            <w:fldChar w:fldCharType="end"/>
          </w:r>
        </w:p>
      </w:sdtContent>
    </w:sdt>
    <w:p w14:paraId="7E01C1B5" w14:textId="0309F081" w:rsidR="002320B1" w:rsidRPr="00D979E7" w:rsidRDefault="00E87FE5" w:rsidP="008D2DF2">
      <w:pPr>
        <w:pStyle w:val="Heading1"/>
        <w:rPr>
          <w:rFonts w:ascii="Arial" w:hAnsi="Arial" w:cs="Arial"/>
          <w:color w:val="auto"/>
        </w:rPr>
      </w:pPr>
      <w:r w:rsidRPr="00D979E7">
        <w:rPr>
          <w:rFonts w:ascii="Arial" w:hAnsi="Arial" w:cs="Arial"/>
          <w:b/>
        </w:rPr>
        <w:br w:type="page"/>
      </w:r>
    </w:p>
    <w:p w14:paraId="1CC7AEC5" w14:textId="644D2142" w:rsidR="002323E5" w:rsidRPr="00D979E7" w:rsidRDefault="002323E5" w:rsidP="00271FB7">
      <w:pPr>
        <w:pStyle w:val="Heading1"/>
        <w:spacing w:before="120" w:after="120" w:line="240" w:lineRule="auto"/>
        <w:rPr>
          <w:rFonts w:ascii="Arial" w:hAnsi="Arial" w:cs="Arial"/>
        </w:rPr>
      </w:pPr>
      <w:bookmarkStart w:id="1" w:name="_Toc19715029"/>
      <w:r w:rsidRPr="00D979E7">
        <w:rPr>
          <w:rFonts w:ascii="Arial" w:hAnsi="Arial" w:cs="Arial"/>
        </w:rPr>
        <w:lastRenderedPageBreak/>
        <w:t>Executive Summary</w:t>
      </w:r>
      <w:bookmarkEnd w:id="1"/>
    </w:p>
    <w:p w14:paraId="3388866C" w14:textId="77777777" w:rsidR="002323E5" w:rsidRPr="00D979E7" w:rsidRDefault="002323E5" w:rsidP="00271FB7">
      <w:pPr>
        <w:pStyle w:val="NoSpacing"/>
        <w:spacing w:before="120" w:after="120"/>
        <w:rPr>
          <w:rFonts w:ascii="Arial" w:hAnsi="Arial" w:cs="Arial"/>
          <w:b/>
        </w:rPr>
      </w:pPr>
      <w:bookmarkStart w:id="2" w:name="_Toc13747782"/>
      <w:r w:rsidRPr="00D979E7">
        <w:rPr>
          <w:rFonts w:ascii="Arial" w:hAnsi="Arial" w:cs="Arial"/>
          <w:b/>
        </w:rPr>
        <w:t>Introduction</w:t>
      </w:r>
      <w:bookmarkEnd w:id="2"/>
    </w:p>
    <w:p w14:paraId="1799A252" w14:textId="77777777" w:rsidR="002323E5" w:rsidRPr="00D979E7" w:rsidRDefault="002323E5" w:rsidP="00271FB7">
      <w:pPr>
        <w:pStyle w:val="NoSpacing"/>
        <w:spacing w:before="120" w:after="120"/>
        <w:rPr>
          <w:rFonts w:ascii="Arial" w:hAnsi="Arial" w:cs="Arial"/>
        </w:rPr>
      </w:pPr>
      <w:r w:rsidRPr="00D979E7">
        <w:rPr>
          <w:rFonts w:ascii="Arial" w:hAnsi="Arial" w:cs="Arial"/>
        </w:rPr>
        <w:t xml:space="preserve">The purpose of this evaluation is to determine whether the Healthy Homes Initiative (HHI) programme has improved health and social outcomes for families who have taken part, and if it offers value for money. </w:t>
      </w:r>
    </w:p>
    <w:p w14:paraId="7BF4E965" w14:textId="7EF13454" w:rsidR="002323E5" w:rsidRPr="00D979E7" w:rsidRDefault="002323E5" w:rsidP="00271FB7">
      <w:pPr>
        <w:pStyle w:val="NoSpacing"/>
        <w:spacing w:before="120" w:after="120"/>
        <w:rPr>
          <w:rFonts w:ascii="Arial" w:hAnsi="Arial" w:cs="Arial"/>
        </w:rPr>
      </w:pPr>
      <w:r w:rsidRPr="00D979E7">
        <w:rPr>
          <w:rFonts w:ascii="Arial" w:hAnsi="Arial" w:cs="Arial"/>
        </w:rPr>
        <w:t>The aim of the HHIs is to increase the number of children living in warm, dry and healthy homes and to reduce avoidable hospitalisations and ill health due to housing-related conditions. The HHIs were established between December 2013 and March 2015 and cover 11 District Health Boards. Initially, the HHIs targeted low-income families with children at risk of rheumatic fever living in crowded households. The programme was expanded in 2016 to focus on warm, dry and healthy housing for low-income families with 0 to 5 year</w:t>
      </w:r>
      <w:r w:rsidR="002A34CC" w:rsidRPr="00D979E7">
        <w:rPr>
          <w:rFonts w:ascii="Arial" w:hAnsi="Arial" w:cs="Arial"/>
        </w:rPr>
        <w:t xml:space="preserve"> </w:t>
      </w:r>
      <w:r w:rsidRPr="00D979E7">
        <w:rPr>
          <w:rFonts w:ascii="Arial" w:hAnsi="Arial" w:cs="Arial"/>
        </w:rPr>
        <w:t xml:space="preserve">old children and pregnant women. </w:t>
      </w:r>
    </w:p>
    <w:p w14:paraId="16B15E11" w14:textId="16D343CD" w:rsidR="0081177D" w:rsidRPr="00D979E7" w:rsidRDefault="0081177D" w:rsidP="00271FB7">
      <w:pPr>
        <w:pStyle w:val="NoSpacing"/>
        <w:spacing w:before="120" w:after="120"/>
        <w:rPr>
          <w:rFonts w:ascii="Arial" w:hAnsi="Arial" w:cs="Arial"/>
        </w:rPr>
      </w:pPr>
      <w:r w:rsidRPr="00D979E7">
        <w:rPr>
          <w:rFonts w:ascii="Arial" w:hAnsi="Arial" w:cs="Arial"/>
        </w:rPr>
        <w:t>Th</w:t>
      </w:r>
      <w:r w:rsidR="002A34CC" w:rsidRPr="00D979E7">
        <w:rPr>
          <w:rFonts w:ascii="Arial" w:hAnsi="Arial" w:cs="Arial"/>
        </w:rPr>
        <w:t>e analysis detailed in this interim report of the HHI Outcomes E</w:t>
      </w:r>
      <w:r w:rsidRPr="00D979E7">
        <w:rPr>
          <w:rFonts w:ascii="Arial" w:hAnsi="Arial" w:cs="Arial"/>
        </w:rPr>
        <w:t>valuation only includes a one-year follow-up period for the referred child after the HHI referral and after all interventions have been completed. The next phase will use more detailed data</w:t>
      </w:r>
      <w:r w:rsidR="002A34CC" w:rsidRPr="00D979E7">
        <w:rPr>
          <w:rFonts w:ascii="Arial" w:hAnsi="Arial" w:cs="Arial"/>
        </w:rPr>
        <w:t xml:space="preserve"> including controlling for specific interventions received by each referral</w:t>
      </w:r>
      <w:r w:rsidRPr="00D979E7">
        <w:rPr>
          <w:rFonts w:ascii="Arial" w:hAnsi="Arial" w:cs="Arial"/>
        </w:rPr>
        <w:t xml:space="preserve">, a bigger sample size of referrals, additional methodologies to capture benefits for the four target populations and other household members, </w:t>
      </w:r>
      <w:r w:rsidR="002A34CC" w:rsidRPr="00D979E7">
        <w:rPr>
          <w:rFonts w:ascii="Arial" w:hAnsi="Arial" w:cs="Arial"/>
        </w:rPr>
        <w:t>as well as</w:t>
      </w:r>
      <w:r w:rsidRPr="00D979E7">
        <w:rPr>
          <w:rFonts w:ascii="Arial" w:hAnsi="Arial" w:cs="Arial"/>
        </w:rPr>
        <w:t xml:space="preserve"> longer follow-up periods. </w:t>
      </w:r>
    </w:p>
    <w:p w14:paraId="7DAABE13" w14:textId="77777777" w:rsidR="002323E5" w:rsidRPr="00D979E7" w:rsidRDefault="002323E5" w:rsidP="00271FB7">
      <w:pPr>
        <w:pStyle w:val="NoSpacing"/>
        <w:spacing w:before="120" w:after="120"/>
        <w:rPr>
          <w:rFonts w:ascii="Arial" w:hAnsi="Arial" w:cs="Arial"/>
          <w:b/>
        </w:rPr>
      </w:pPr>
      <w:bookmarkStart w:id="3" w:name="_Toc13747784"/>
      <w:r w:rsidRPr="00D979E7">
        <w:rPr>
          <w:rFonts w:ascii="Arial" w:hAnsi="Arial" w:cs="Arial"/>
          <w:b/>
        </w:rPr>
        <w:t>Methodology</w:t>
      </w:r>
      <w:bookmarkEnd w:id="3"/>
    </w:p>
    <w:p w14:paraId="45526113" w14:textId="7819710B" w:rsidR="002323E5" w:rsidRPr="00D979E7" w:rsidRDefault="002323E5" w:rsidP="00271FB7">
      <w:pPr>
        <w:pStyle w:val="NoSpacing"/>
        <w:spacing w:before="120" w:after="120"/>
        <w:rPr>
          <w:rFonts w:ascii="Arial" w:hAnsi="Arial" w:cs="Arial"/>
        </w:rPr>
      </w:pPr>
      <w:r w:rsidRPr="00D979E7">
        <w:rPr>
          <w:rFonts w:ascii="Arial" w:hAnsi="Arial" w:cs="Arial"/>
        </w:rPr>
        <w:t xml:space="preserve">4,093 referrals with a primary client identified in each case </w:t>
      </w:r>
      <w:r w:rsidR="00C21E60" w:rsidRPr="00D979E7">
        <w:rPr>
          <w:rFonts w:ascii="Arial" w:hAnsi="Arial" w:cs="Arial"/>
        </w:rPr>
        <w:t>met initial eligibility criteria</w:t>
      </w:r>
      <w:r w:rsidR="00A17139" w:rsidRPr="00D979E7">
        <w:rPr>
          <w:rFonts w:ascii="Arial" w:hAnsi="Arial" w:cs="Arial"/>
        </w:rPr>
        <w:t xml:space="preserve"> for this interim analysis</w:t>
      </w:r>
      <w:r w:rsidR="00C21E60" w:rsidRPr="00D979E7">
        <w:rPr>
          <w:rFonts w:ascii="Arial" w:hAnsi="Arial" w:cs="Arial"/>
        </w:rPr>
        <w:t xml:space="preserve"> and </w:t>
      </w:r>
      <w:r w:rsidRPr="00D979E7">
        <w:rPr>
          <w:rFonts w:ascii="Arial" w:hAnsi="Arial" w:cs="Arial"/>
        </w:rPr>
        <w:t xml:space="preserve">were provided for this </w:t>
      </w:r>
      <w:r w:rsidR="00A17139" w:rsidRPr="00D979E7">
        <w:rPr>
          <w:rFonts w:ascii="Arial" w:hAnsi="Arial" w:cs="Arial"/>
        </w:rPr>
        <w:t>analysis</w:t>
      </w:r>
      <w:r w:rsidRPr="00D979E7">
        <w:rPr>
          <w:rFonts w:ascii="Arial" w:hAnsi="Arial" w:cs="Arial"/>
        </w:rPr>
        <w:t xml:space="preserve"> by HHI</w:t>
      </w:r>
      <w:r w:rsidR="00C21E60" w:rsidRPr="00D979E7">
        <w:rPr>
          <w:rFonts w:ascii="Arial" w:hAnsi="Arial" w:cs="Arial"/>
        </w:rPr>
        <w:t xml:space="preserve"> providers</w:t>
      </w:r>
      <w:r w:rsidRPr="00D979E7">
        <w:rPr>
          <w:rFonts w:ascii="Arial" w:hAnsi="Arial" w:cs="Arial"/>
        </w:rPr>
        <w:t>. Figure 1 demonstrates how the smaller evaluation sample population of 1,608 referrals was selected from these for this interim analysis.</w:t>
      </w:r>
      <w:r w:rsidR="005929AC" w:rsidRPr="00D979E7">
        <w:rPr>
          <w:rFonts w:ascii="Arial" w:hAnsi="Arial" w:cs="Arial"/>
        </w:rPr>
        <w:t xml:space="preserve"> </w:t>
      </w:r>
    </w:p>
    <w:p w14:paraId="0462E063" w14:textId="1DD8D726" w:rsidR="002323E5" w:rsidRPr="00D979E7" w:rsidRDefault="002323E5" w:rsidP="00271FB7">
      <w:pPr>
        <w:pStyle w:val="NoSpacing"/>
        <w:spacing w:before="120" w:after="120"/>
        <w:rPr>
          <w:rFonts w:ascii="Arial" w:hAnsi="Arial" w:cs="Arial"/>
        </w:rPr>
      </w:pPr>
      <w:r w:rsidRPr="00D979E7">
        <w:rPr>
          <w:rFonts w:ascii="Arial" w:hAnsi="Arial" w:cs="Arial"/>
        </w:rPr>
        <w:t>Figure 1: Evaluation sample population</w:t>
      </w:r>
    </w:p>
    <w:p w14:paraId="6046D835" w14:textId="03826DAC" w:rsidR="002323E5" w:rsidRPr="00D979E7" w:rsidRDefault="00CD51B3" w:rsidP="00271FB7">
      <w:pPr>
        <w:pStyle w:val="NoSpacing"/>
        <w:spacing w:before="120" w:after="120"/>
        <w:rPr>
          <w:rFonts w:ascii="Arial" w:hAnsi="Arial" w:cs="Arial"/>
        </w:rPr>
      </w:pPr>
      <w:r w:rsidRPr="00D979E7">
        <w:rPr>
          <w:rFonts w:ascii="Arial" w:hAnsi="Arial" w:cs="Arial"/>
          <w:noProof/>
          <w:lang w:eastAsia="en-NZ"/>
        </w:rPr>
        <w:drawing>
          <wp:inline distT="0" distB="0" distL="0" distR="0" wp14:anchorId="3DB60AF1" wp14:editId="12BD086F">
            <wp:extent cx="5731510" cy="850900"/>
            <wp:effectExtent l="0" t="0" r="2540" b="6350"/>
            <wp:docPr id="1" name="Picture 1" descr="The figure shows that of the 4093 total referrals, the pool went down to 3996 after eliminating those with invalid NHIs, 3935 after eliminating date discrepencies, 1917 after eliminating cases outside the age range of 2 to 16, and to the final group of 1608 after eliminating cases that ended after 2017." title="Figure showing the makeup of the evaluation sample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850900"/>
                    </a:xfrm>
                    <a:prstGeom prst="rect">
                      <a:avLst/>
                    </a:prstGeom>
                  </pic:spPr>
                </pic:pic>
              </a:graphicData>
            </a:graphic>
          </wp:inline>
        </w:drawing>
      </w:r>
    </w:p>
    <w:p w14:paraId="18E14378" w14:textId="77777777" w:rsidR="002323E5" w:rsidRPr="00D979E7" w:rsidRDefault="002323E5" w:rsidP="00271FB7">
      <w:pPr>
        <w:pStyle w:val="NoSpacing"/>
        <w:spacing w:before="120" w:after="120"/>
        <w:rPr>
          <w:rFonts w:ascii="Arial" w:hAnsi="Arial" w:cs="Arial"/>
        </w:rPr>
      </w:pPr>
      <w:r w:rsidRPr="00D979E7">
        <w:rPr>
          <w:rFonts w:ascii="Arial" w:hAnsi="Arial" w:cs="Arial"/>
        </w:rPr>
        <w:t xml:space="preserve">For each referral, data were used from the two years either side of when the </w:t>
      </w:r>
      <w:proofErr w:type="spellStart"/>
      <w:r w:rsidRPr="00D979E7">
        <w:rPr>
          <w:rFonts w:ascii="Arial" w:hAnsi="Arial" w:cs="Arial"/>
        </w:rPr>
        <w:t>whānau</w:t>
      </w:r>
      <w:proofErr w:type="spellEnd"/>
      <w:r w:rsidRPr="00D979E7">
        <w:rPr>
          <w:rFonts w:ascii="Arial" w:hAnsi="Arial" w:cs="Arial"/>
        </w:rPr>
        <w:t xml:space="preserve"> engaged with an HHI provider to improve their home environment. Any events for the referred child within the ‘intervention’ period (between earliest and latest intervention dates) were excluded. Hence, the results are based on comparing health outcomes for the referred child in the one-year follow-up period to health outcomes in the year prior to the intervention.</w:t>
      </w:r>
    </w:p>
    <w:p w14:paraId="14E620BF" w14:textId="5B3AEE53" w:rsidR="002323E5" w:rsidRPr="00D979E7" w:rsidRDefault="005929AC" w:rsidP="00271FB7">
      <w:pPr>
        <w:pStyle w:val="NoSpacing"/>
        <w:spacing w:before="120" w:after="120"/>
        <w:rPr>
          <w:rFonts w:ascii="Arial" w:hAnsi="Arial" w:cs="Arial"/>
        </w:rPr>
      </w:pPr>
      <w:r w:rsidRPr="00D979E7">
        <w:rPr>
          <w:rFonts w:ascii="Arial" w:hAnsi="Arial" w:cs="Arial"/>
        </w:rPr>
        <w:t>The evaluation methodology</w:t>
      </w:r>
      <w:r w:rsidR="002323E5" w:rsidRPr="00D979E7">
        <w:rPr>
          <w:rFonts w:ascii="Arial" w:hAnsi="Arial" w:cs="Arial"/>
        </w:rPr>
        <w:t xml:space="preserve"> </w:t>
      </w:r>
      <w:r w:rsidRPr="00D979E7">
        <w:rPr>
          <w:rFonts w:ascii="Arial" w:hAnsi="Arial" w:cs="Arial"/>
        </w:rPr>
        <w:t xml:space="preserve">has taken </w:t>
      </w:r>
      <w:r w:rsidR="002323E5" w:rsidRPr="00D979E7">
        <w:rPr>
          <w:rFonts w:ascii="Arial" w:hAnsi="Arial" w:cs="Arial"/>
        </w:rPr>
        <w:t>into account the way that children tend to need fewer medical interventions as they age, as well as the fact the hospitalisations observed for the evaluation sample prior to the HHI intervention are likely to be higher than would otherwise be expected</w:t>
      </w:r>
      <w:r w:rsidRPr="00D979E7">
        <w:rPr>
          <w:rFonts w:ascii="Arial" w:hAnsi="Arial" w:cs="Arial"/>
        </w:rPr>
        <w:t xml:space="preserve"> because a</w:t>
      </w:r>
      <w:r w:rsidR="002323E5" w:rsidRPr="00D979E7">
        <w:rPr>
          <w:rFonts w:ascii="Arial" w:hAnsi="Arial" w:cs="Arial"/>
        </w:rPr>
        <w:t xml:space="preserve">n eligibility criteria for referrals for two of the HHI target populations is a prior hospitalisation for a housing sensitive hospitalisation. This effect (selection bias) has been accounted for in these estimations.  </w:t>
      </w:r>
    </w:p>
    <w:p w14:paraId="4C43DC15" w14:textId="7ED5CB99" w:rsidR="002323E5" w:rsidRPr="00D979E7" w:rsidRDefault="002323E5" w:rsidP="00271FB7">
      <w:pPr>
        <w:pStyle w:val="NoSpacing"/>
        <w:spacing w:before="120" w:after="120"/>
        <w:rPr>
          <w:rFonts w:ascii="Arial" w:hAnsi="Arial" w:cs="Arial"/>
          <w:b/>
        </w:rPr>
      </w:pPr>
      <w:r w:rsidRPr="00D979E7">
        <w:rPr>
          <w:rFonts w:ascii="Arial" w:hAnsi="Arial" w:cs="Arial"/>
          <w:b/>
        </w:rPr>
        <w:t xml:space="preserve">Evaluation </w:t>
      </w:r>
      <w:r w:rsidR="0081177D" w:rsidRPr="00D979E7">
        <w:rPr>
          <w:rFonts w:ascii="Arial" w:hAnsi="Arial" w:cs="Arial"/>
          <w:b/>
        </w:rPr>
        <w:t>s</w:t>
      </w:r>
      <w:r w:rsidRPr="00D979E7">
        <w:rPr>
          <w:rFonts w:ascii="Arial" w:hAnsi="Arial" w:cs="Arial"/>
          <w:b/>
        </w:rPr>
        <w:t>ample population</w:t>
      </w:r>
    </w:p>
    <w:p w14:paraId="625EF223" w14:textId="77777777" w:rsidR="002323E5" w:rsidRPr="00D979E7" w:rsidRDefault="002323E5" w:rsidP="00271FB7">
      <w:pPr>
        <w:pStyle w:val="NoSpacing"/>
        <w:spacing w:before="120" w:after="120"/>
        <w:rPr>
          <w:rFonts w:ascii="Arial" w:hAnsi="Arial" w:cs="Arial"/>
        </w:rPr>
      </w:pPr>
      <w:r w:rsidRPr="00D979E7">
        <w:rPr>
          <w:rFonts w:ascii="Arial" w:hAnsi="Arial" w:cs="Arial"/>
        </w:rPr>
        <w:t xml:space="preserve">The evaluation sample population was young, with over 40% of the children aged 2 to 5. They were more likely to be Māori (55.2%) or Pacific (36.6%) than the general population. Nearly half of the households lived in Housing New Zealand homes and 38% lived in private rentals. </w:t>
      </w:r>
    </w:p>
    <w:p w14:paraId="6B6BF60E" w14:textId="77777777" w:rsidR="00A42FBD" w:rsidRPr="00D979E7" w:rsidRDefault="00A42FBD" w:rsidP="00271FB7">
      <w:pPr>
        <w:pStyle w:val="NoSpacing"/>
        <w:spacing w:before="120" w:after="120"/>
        <w:rPr>
          <w:rFonts w:ascii="Arial" w:hAnsi="Arial" w:cs="Arial"/>
          <w:b/>
        </w:rPr>
      </w:pPr>
      <w:bookmarkStart w:id="4" w:name="_Toc13747797"/>
    </w:p>
    <w:p w14:paraId="39D28992" w14:textId="77777777" w:rsidR="005E3150" w:rsidRPr="00D979E7" w:rsidRDefault="005E3150" w:rsidP="00271FB7">
      <w:pPr>
        <w:pStyle w:val="NoSpacing"/>
        <w:spacing w:before="120" w:after="120"/>
        <w:rPr>
          <w:rFonts w:ascii="Arial" w:hAnsi="Arial" w:cs="Arial"/>
          <w:b/>
        </w:rPr>
      </w:pPr>
    </w:p>
    <w:p w14:paraId="6F7C00C1" w14:textId="68630563" w:rsidR="002323E5" w:rsidRPr="00D979E7" w:rsidRDefault="002323E5" w:rsidP="00271FB7">
      <w:pPr>
        <w:pStyle w:val="NoSpacing"/>
        <w:spacing w:before="120" w:after="120"/>
        <w:rPr>
          <w:rFonts w:ascii="Arial" w:hAnsi="Arial" w:cs="Arial"/>
          <w:b/>
        </w:rPr>
      </w:pPr>
      <w:r w:rsidRPr="00D979E7">
        <w:rPr>
          <w:rFonts w:ascii="Arial" w:hAnsi="Arial" w:cs="Arial"/>
          <w:b/>
        </w:rPr>
        <w:lastRenderedPageBreak/>
        <w:t>Results: Hospitalisations</w:t>
      </w:r>
      <w:bookmarkEnd w:id="4"/>
      <w:r w:rsidRPr="00D979E7">
        <w:rPr>
          <w:rFonts w:ascii="Arial" w:hAnsi="Arial" w:cs="Arial"/>
          <w:b/>
        </w:rPr>
        <w:t xml:space="preserve"> </w:t>
      </w:r>
    </w:p>
    <w:p w14:paraId="0335D65E" w14:textId="5F7FE2DE" w:rsidR="002323E5" w:rsidRPr="00D979E7" w:rsidRDefault="002323E5" w:rsidP="00271FB7">
      <w:pPr>
        <w:pStyle w:val="NoSpacing"/>
        <w:spacing w:before="120" w:after="120"/>
        <w:rPr>
          <w:rFonts w:ascii="Arial" w:hAnsi="Arial" w:cs="Arial"/>
        </w:rPr>
      </w:pPr>
      <w:r w:rsidRPr="00D979E7">
        <w:rPr>
          <w:rFonts w:ascii="Arial" w:hAnsi="Arial" w:cs="Arial"/>
        </w:rPr>
        <w:t>Based on this analysis, it is estimated that there were 160.78 fewer hospitalisations in the sample population using only the year imme</w:t>
      </w:r>
      <w:r w:rsidR="00271FB7" w:rsidRPr="00D979E7">
        <w:rPr>
          <w:rFonts w:ascii="Arial" w:hAnsi="Arial" w:cs="Arial"/>
        </w:rPr>
        <w:t>diately following each referral</w:t>
      </w:r>
      <w:r w:rsidRPr="00D979E7">
        <w:rPr>
          <w:rFonts w:ascii="Arial" w:hAnsi="Arial" w:cs="Arial"/>
        </w:rPr>
        <w:t>s intervention period. Extrapolating to all of those involved in HHI, there were 1,533 prevented hospitalisations directly attributable to the programme.</w:t>
      </w:r>
    </w:p>
    <w:p w14:paraId="436D7724" w14:textId="77777777" w:rsidR="002323E5" w:rsidRPr="00D979E7" w:rsidRDefault="002323E5" w:rsidP="00271FB7">
      <w:pPr>
        <w:pStyle w:val="NoSpacing"/>
        <w:spacing w:before="120" w:after="120"/>
        <w:rPr>
          <w:rFonts w:ascii="Arial" w:hAnsi="Arial" w:cs="Arial"/>
        </w:rPr>
      </w:pPr>
      <w:bookmarkStart w:id="5" w:name="_Toc13747798"/>
      <w:r w:rsidRPr="00D979E7">
        <w:rPr>
          <w:rFonts w:ascii="Arial" w:hAnsi="Arial" w:cs="Arial"/>
        </w:rPr>
        <w:t xml:space="preserve">On average, hospitalisations in the year after the intervention were less costly and shorter in duration than those prior. After adjusting for age and selection bias, the average hospitalisation post-intervention was 0.69 nights shorter and $541 less costly. </w:t>
      </w:r>
    </w:p>
    <w:p w14:paraId="59807340" w14:textId="77777777" w:rsidR="002323E5" w:rsidRPr="00D979E7" w:rsidRDefault="002323E5" w:rsidP="00271FB7">
      <w:pPr>
        <w:pStyle w:val="NoSpacing"/>
        <w:spacing w:before="120" w:after="120"/>
        <w:rPr>
          <w:rFonts w:ascii="Arial" w:hAnsi="Arial" w:cs="Arial"/>
          <w:b/>
        </w:rPr>
      </w:pPr>
      <w:r w:rsidRPr="00D979E7">
        <w:rPr>
          <w:rFonts w:ascii="Arial" w:hAnsi="Arial" w:cs="Arial"/>
          <w:b/>
        </w:rPr>
        <w:t>Results: GP Visits</w:t>
      </w:r>
      <w:bookmarkEnd w:id="5"/>
      <w:r w:rsidRPr="00D979E7">
        <w:rPr>
          <w:rFonts w:ascii="Arial" w:hAnsi="Arial" w:cs="Arial"/>
          <w:b/>
        </w:rPr>
        <w:t xml:space="preserve"> and </w:t>
      </w:r>
      <w:bookmarkStart w:id="6" w:name="_Toc13747799"/>
      <w:r w:rsidRPr="00D979E7">
        <w:rPr>
          <w:rFonts w:ascii="Arial" w:hAnsi="Arial" w:cs="Arial"/>
          <w:b/>
        </w:rPr>
        <w:t xml:space="preserve">pharmaceutical </w:t>
      </w:r>
      <w:proofErr w:type="spellStart"/>
      <w:r w:rsidRPr="00D979E7">
        <w:rPr>
          <w:rFonts w:ascii="Arial" w:hAnsi="Arial" w:cs="Arial"/>
          <w:b/>
        </w:rPr>
        <w:t>dispensings</w:t>
      </w:r>
      <w:bookmarkEnd w:id="6"/>
      <w:proofErr w:type="spellEnd"/>
    </w:p>
    <w:p w14:paraId="2FD2408F" w14:textId="77777777" w:rsidR="002323E5" w:rsidRPr="00D979E7" w:rsidRDefault="002323E5" w:rsidP="00271FB7">
      <w:pPr>
        <w:pStyle w:val="NoSpacing"/>
        <w:spacing w:before="120" w:after="120"/>
        <w:rPr>
          <w:rFonts w:ascii="Arial" w:hAnsi="Arial" w:cs="Arial"/>
        </w:rPr>
      </w:pPr>
      <w:r w:rsidRPr="00D979E7">
        <w:rPr>
          <w:rFonts w:ascii="Arial" w:hAnsi="Arial" w:cs="Arial"/>
        </w:rPr>
        <w:t>After controlling for age, it is estimated that there were 990.17 fewer GP visits in the sample population and 9,443.28 prevented GP visits directly attributable to the programme.</w:t>
      </w:r>
    </w:p>
    <w:p w14:paraId="30036D6A" w14:textId="77777777" w:rsidR="002323E5" w:rsidRPr="00D979E7" w:rsidRDefault="002323E5" w:rsidP="00271FB7">
      <w:pPr>
        <w:pStyle w:val="NoSpacing"/>
        <w:spacing w:before="120" w:after="120"/>
        <w:rPr>
          <w:rFonts w:ascii="Arial" w:hAnsi="Arial" w:cs="Arial"/>
          <w:b/>
        </w:rPr>
      </w:pPr>
      <w:r w:rsidRPr="00D979E7">
        <w:rPr>
          <w:rFonts w:ascii="Arial" w:hAnsi="Arial" w:cs="Arial"/>
        </w:rPr>
        <w:t xml:space="preserve">It is also estimated that there were 921.17 fewer pharmaceutical </w:t>
      </w:r>
      <w:proofErr w:type="spellStart"/>
      <w:r w:rsidRPr="00D979E7">
        <w:rPr>
          <w:rFonts w:ascii="Arial" w:hAnsi="Arial" w:cs="Arial"/>
        </w:rPr>
        <w:t>dispensings</w:t>
      </w:r>
      <w:proofErr w:type="spellEnd"/>
      <w:r w:rsidRPr="00D979E7">
        <w:rPr>
          <w:rFonts w:ascii="Arial" w:hAnsi="Arial" w:cs="Arial"/>
        </w:rPr>
        <w:t xml:space="preserve"> in the sample population and 8,784.09 fewer </w:t>
      </w:r>
      <w:proofErr w:type="spellStart"/>
      <w:r w:rsidRPr="00D979E7">
        <w:rPr>
          <w:rFonts w:ascii="Arial" w:hAnsi="Arial" w:cs="Arial"/>
        </w:rPr>
        <w:t>dispensings</w:t>
      </w:r>
      <w:proofErr w:type="spellEnd"/>
      <w:r w:rsidRPr="00D979E7">
        <w:rPr>
          <w:rFonts w:ascii="Arial" w:hAnsi="Arial" w:cs="Arial"/>
        </w:rPr>
        <w:t xml:space="preserve"> directly attributable to the programme after controlling for age. The age effect in this analysis was considerable.</w:t>
      </w:r>
      <w:bookmarkStart w:id="7" w:name="_Toc13747800"/>
      <w:r w:rsidRPr="00D979E7">
        <w:rPr>
          <w:rFonts w:ascii="Arial" w:hAnsi="Arial" w:cs="Arial"/>
          <w:b/>
        </w:rPr>
        <w:t xml:space="preserve"> </w:t>
      </w:r>
    </w:p>
    <w:p w14:paraId="0E894F95" w14:textId="77777777" w:rsidR="002323E5" w:rsidRPr="00D979E7" w:rsidRDefault="002323E5" w:rsidP="00271FB7">
      <w:pPr>
        <w:pStyle w:val="NoSpacing"/>
        <w:spacing w:before="120" w:after="120"/>
        <w:rPr>
          <w:rFonts w:ascii="Arial" w:hAnsi="Arial" w:cs="Arial"/>
          <w:b/>
        </w:rPr>
      </w:pPr>
      <w:r w:rsidRPr="00D979E7">
        <w:rPr>
          <w:rFonts w:ascii="Arial" w:hAnsi="Arial" w:cs="Arial"/>
          <w:b/>
        </w:rPr>
        <w:t>Results: Costs and Benefits</w:t>
      </w:r>
      <w:bookmarkEnd w:id="7"/>
    </w:p>
    <w:p w14:paraId="44BEB2F6" w14:textId="6AF0976D" w:rsidR="002323E5" w:rsidRPr="00D979E7" w:rsidRDefault="002323E5" w:rsidP="00271FB7">
      <w:pPr>
        <w:pStyle w:val="NoSpacing"/>
        <w:spacing w:before="120" w:after="120"/>
        <w:rPr>
          <w:rFonts w:ascii="Arial" w:hAnsi="Arial" w:cs="Arial"/>
        </w:rPr>
      </w:pPr>
      <w:r w:rsidRPr="00D979E7">
        <w:rPr>
          <w:rFonts w:ascii="Arial" w:hAnsi="Arial" w:cs="Arial"/>
        </w:rPr>
        <w:t xml:space="preserve">The costs for this initial analysis are primarily related to staffing costs for delivering the programme. These costs are estimated by the Ministry of Health at $1205 per family. </w:t>
      </w:r>
      <w:r w:rsidRPr="00D979E7">
        <w:rPr>
          <w:rFonts w:ascii="Arial" w:eastAsia="Times New Roman" w:hAnsi="Arial" w:cs="Arial"/>
          <w:shd w:val="clear" w:color="auto" w:fill="FFFFFF"/>
          <w:lang w:val="en-AU" w:eastAsia="en-AU"/>
        </w:rPr>
        <w:t>As at 30 Dec 2018 - there were 15,330 eligible referrals received, and 10,326 families had been assessed and completed a housing intervention plan.</w:t>
      </w:r>
      <w:r w:rsidRPr="00D979E7" w:rsidDel="00ED6345">
        <w:rPr>
          <w:rFonts w:ascii="Arial" w:hAnsi="Arial" w:cs="Arial"/>
        </w:rPr>
        <w:t xml:space="preserve"> </w:t>
      </w:r>
      <w:r w:rsidRPr="00D979E7">
        <w:rPr>
          <w:rFonts w:ascii="Arial" w:hAnsi="Arial" w:cs="Arial"/>
        </w:rPr>
        <w:t xml:space="preserve">The total </w:t>
      </w:r>
      <w:r w:rsidR="005929AC" w:rsidRPr="00D979E7">
        <w:rPr>
          <w:rFonts w:ascii="Arial" w:hAnsi="Arial" w:cs="Arial"/>
        </w:rPr>
        <w:t xml:space="preserve">estimated </w:t>
      </w:r>
      <w:r w:rsidRPr="00D979E7">
        <w:rPr>
          <w:rFonts w:ascii="Arial" w:hAnsi="Arial" w:cs="Arial"/>
        </w:rPr>
        <w:t>programme cost</w:t>
      </w:r>
      <w:r w:rsidR="005929AC" w:rsidRPr="00D979E7">
        <w:rPr>
          <w:rFonts w:ascii="Arial" w:hAnsi="Arial" w:cs="Arial"/>
        </w:rPr>
        <w:t xml:space="preserve"> to the Ministry of Health</w:t>
      </w:r>
      <w:r w:rsidRPr="00D979E7">
        <w:rPr>
          <w:rFonts w:ascii="Arial" w:hAnsi="Arial" w:cs="Arial"/>
        </w:rPr>
        <w:t xml:space="preserve"> was </w:t>
      </w:r>
      <w:r w:rsidR="005929AC" w:rsidRPr="00D979E7">
        <w:rPr>
          <w:rFonts w:ascii="Arial" w:hAnsi="Arial" w:cs="Arial"/>
        </w:rPr>
        <w:t xml:space="preserve">therefore </w:t>
      </w:r>
      <w:r w:rsidRPr="00D979E7">
        <w:rPr>
          <w:rFonts w:ascii="Arial" w:hAnsi="Arial" w:cs="Arial"/>
        </w:rPr>
        <w:t xml:space="preserve">$19,173,581. </w:t>
      </w:r>
    </w:p>
    <w:p w14:paraId="1DDC2378" w14:textId="2AEE31B3" w:rsidR="0081177D" w:rsidRPr="00D979E7" w:rsidRDefault="002323E5" w:rsidP="00271FB7">
      <w:pPr>
        <w:pStyle w:val="NoSpacing"/>
        <w:spacing w:before="120" w:after="120"/>
        <w:rPr>
          <w:rFonts w:ascii="Arial" w:hAnsi="Arial" w:cs="Arial"/>
        </w:rPr>
      </w:pPr>
      <w:r w:rsidRPr="00D979E7">
        <w:rPr>
          <w:rFonts w:ascii="Arial" w:hAnsi="Arial" w:cs="Arial"/>
        </w:rPr>
        <w:t>Using the average cost of a hospitalisation at the time, the 1,533 hospitalisations prevented in the year after the HHIs would have cost approximately $6.3 million. Moreover, the reduction in severity of the hospitalisation is estimated to avert costs of $3.3 million in the earliest year post-intervention. The total averted hospitalisation costs attributable to the HHI is therefore $9.9 million.</w:t>
      </w:r>
      <w:r w:rsidR="0081177D" w:rsidRPr="00D979E7">
        <w:rPr>
          <w:rFonts w:ascii="Arial" w:hAnsi="Arial" w:cs="Arial"/>
        </w:rPr>
        <w:t xml:space="preserve"> </w:t>
      </w:r>
      <w:r w:rsidRPr="00D979E7">
        <w:rPr>
          <w:rFonts w:ascii="Arial" w:hAnsi="Arial" w:cs="Arial"/>
        </w:rPr>
        <w:t xml:space="preserve">Using the cost per visit from Treasury’s </w:t>
      </w:r>
      <w:proofErr w:type="spellStart"/>
      <w:r w:rsidRPr="00D979E7">
        <w:rPr>
          <w:rFonts w:ascii="Arial" w:hAnsi="Arial" w:cs="Arial"/>
        </w:rPr>
        <w:t>CBAx</w:t>
      </w:r>
      <w:proofErr w:type="spellEnd"/>
      <w:r w:rsidRPr="00D979E7">
        <w:rPr>
          <w:rFonts w:ascii="Arial" w:hAnsi="Arial" w:cs="Arial"/>
        </w:rPr>
        <w:t xml:space="preserve"> Tool of $80, the expected costs averted is $755,440 for the 9,443 GP visits prevented by the programme. For </w:t>
      </w:r>
      <w:r w:rsidR="00247D97" w:rsidRPr="00D979E7">
        <w:rPr>
          <w:rFonts w:ascii="Arial" w:hAnsi="Arial" w:cs="Arial"/>
        </w:rPr>
        <w:t>pharm</w:t>
      </w:r>
      <w:r w:rsidR="0081177D" w:rsidRPr="00D979E7">
        <w:rPr>
          <w:rFonts w:ascii="Arial" w:hAnsi="Arial" w:cs="Arial"/>
        </w:rPr>
        <w:t>a</w:t>
      </w:r>
      <w:r w:rsidR="00247D97" w:rsidRPr="00D979E7">
        <w:rPr>
          <w:rFonts w:ascii="Arial" w:hAnsi="Arial" w:cs="Arial"/>
        </w:rPr>
        <w:t>c</w:t>
      </w:r>
      <w:r w:rsidR="0081177D" w:rsidRPr="00D979E7">
        <w:rPr>
          <w:rFonts w:ascii="Arial" w:hAnsi="Arial" w:cs="Arial"/>
        </w:rPr>
        <w:t xml:space="preserve">eutical </w:t>
      </w:r>
      <w:proofErr w:type="spellStart"/>
      <w:r w:rsidRPr="00D979E7">
        <w:rPr>
          <w:rFonts w:ascii="Arial" w:hAnsi="Arial" w:cs="Arial"/>
        </w:rPr>
        <w:t>dispensings</w:t>
      </w:r>
      <w:proofErr w:type="spellEnd"/>
      <w:r w:rsidRPr="00D979E7">
        <w:rPr>
          <w:rFonts w:ascii="Arial" w:hAnsi="Arial" w:cs="Arial"/>
        </w:rPr>
        <w:t>, the costs averted are estimated</w:t>
      </w:r>
      <w:r w:rsidRPr="00D979E7">
        <w:rPr>
          <w:rStyle w:val="FootnoteReference"/>
          <w:rFonts w:ascii="Arial" w:hAnsi="Arial" w:cs="Arial"/>
        </w:rPr>
        <w:footnoteReference w:id="1"/>
      </w:r>
      <w:r w:rsidRPr="00D979E7">
        <w:rPr>
          <w:rFonts w:ascii="Arial" w:hAnsi="Arial" w:cs="Arial"/>
        </w:rPr>
        <w:t xml:space="preserve"> at $8.45, which amounts to costs averted of approximately $74,225 in the earliest year post-intervention. </w:t>
      </w:r>
    </w:p>
    <w:p w14:paraId="01E934C2" w14:textId="77777777" w:rsidR="002323E5" w:rsidRPr="00D979E7" w:rsidRDefault="002323E5" w:rsidP="00271FB7">
      <w:pPr>
        <w:spacing w:before="120" w:after="120" w:line="240" w:lineRule="auto"/>
        <w:rPr>
          <w:rFonts w:ascii="Arial" w:hAnsi="Arial" w:cs="Arial"/>
        </w:rPr>
      </w:pPr>
      <w:r w:rsidRPr="00D979E7">
        <w:rPr>
          <w:rFonts w:ascii="Arial" w:hAnsi="Arial" w:cs="Arial"/>
          <w:b/>
        </w:rPr>
        <w:t>Table 1:</w:t>
      </w:r>
      <w:r w:rsidRPr="00D979E7">
        <w:rPr>
          <w:rFonts w:ascii="Arial" w:hAnsi="Arial" w:cs="Arial"/>
        </w:rPr>
        <w:t xml:space="preserve"> Health Care Costs Averted by the Healthy Homes Initiative</w:t>
      </w: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851"/>
        <w:gridCol w:w="850"/>
        <w:gridCol w:w="1418"/>
        <w:gridCol w:w="1134"/>
        <w:gridCol w:w="1275"/>
        <w:gridCol w:w="1349"/>
      </w:tblGrid>
      <w:tr w:rsidR="002323E5" w:rsidRPr="00D979E7" w14:paraId="063F5B7D" w14:textId="77777777" w:rsidTr="00271FB7">
        <w:trPr>
          <w:trHeight w:val="447"/>
        </w:trPr>
        <w:tc>
          <w:tcPr>
            <w:tcW w:w="1838" w:type="dxa"/>
            <w:vMerge w:val="restart"/>
            <w:shd w:val="clear" w:color="auto" w:fill="auto"/>
            <w:vAlign w:val="bottom"/>
          </w:tcPr>
          <w:p w14:paraId="6A99A1DC" w14:textId="77777777" w:rsidR="002323E5" w:rsidRPr="00D979E7" w:rsidRDefault="002323E5" w:rsidP="002320B1">
            <w:pPr>
              <w:pStyle w:val="NoSpacing"/>
              <w:spacing w:before="120"/>
              <w:rPr>
                <w:rFonts w:ascii="Arial" w:eastAsia="Times New Roman" w:hAnsi="Arial" w:cs="Arial"/>
                <w:bCs/>
                <w:color w:val="000000"/>
                <w:sz w:val="20"/>
                <w:lang w:eastAsia="en-NZ"/>
              </w:rPr>
            </w:pPr>
            <w:r w:rsidRPr="00D979E7">
              <w:rPr>
                <w:rFonts w:ascii="Arial" w:eastAsia="Times New Roman" w:hAnsi="Arial" w:cs="Arial"/>
                <w:bCs/>
                <w:color w:val="000000"/>
                <w:sz w:val="20"/>
                <w:lang w:eastAsia="en-NZ"/>
              </w:rPr>
              <w:t>Types of Costs Averted</w:t>
            </w:r>
          </w:p>
        </w:tc>
        <w:tc>
          <w:tcPr>
            <w:tcW w:w="851" w:type="dxa"/>
            <w:vMerge w:val="restart"/>
            <w:shd w:val="clear" w:color="auto" w:fill="auto"/>
            <w:noWrap/>
            <w:vAlign w:val="bottom"/>
          </w:tcPr>
          <w:p w14:paraId="22E35549" w14:textId="77777777" w:rsidR="002323E5" w:rsidRPr="00D979E7" w:rsidRDefault="002323E5" w:rsidP="002320B1">
            <w:pPr>
              <w:pStyle w:val="NoSpacing"/>
              <w:spacing w:before="120"/>
              <w:rPr>
                <w:rFonts w:ascii="Arial" w:eastAsia="Times New Roman" w:hAnsi="Arial" w:cs="Arial"/>
                <w:bCs/>
                <w:color w:val="000000"/>
                <w:sz w:val="20"/>
                <w:lang w:eastAsia="en-NZ"/>
              </w:rPr>
            </w:pPr>
            <w:r w:rsidRPr="00D979E7">
              <w:rPr>
                <w:rFonts w:ascii="Arial" w:eastAsia="Times New Roman" w:hAnsi="Arial" w:cs="Arial"/>
                <w:bCs/>
                <w:color w:val="000000"/>
                <w:sz w:val="20"/>
                <w:lang w:eastAsia="en-NZ"/>
              </w:rPr>
              <w:t>#</w:t>
            </w:r>
          </w:p>
        </w:tc>
        <w:tc>
          <w:tcPr>
            <w:tcW w:w="850" w:type="dxa"/>
            <w:vMerge w:val="restart"/>
            <w:shd w:val="clear" w:color="auto" w:fill="auto"/>
            <w:vAlign w:val="bottom"/>
          </w:tcPr>
          <w:p w14:paraId="064B8C44" w14:textId="77777777" w:rsidR="002323E5" w:rsidRPr="00D979E7" w:rsidRDefault="002323E5" w:rsidP="002320B1">
            <w:pPr>
              <w:pStyle w:val="NoSpacing"/>
              <w:spacing w:before="120"/>
              <w:rPr>
                <w:rFonts w:ascii="Arial" w:eastAsia="Times New Roman" w:hAnsi="Arial" w:cs="Arial"/>
                <w:bCs/>
                <w:color w:val="000000"/>
                <w:sz w:val="20"/>
                <w:lang w:eastAsia="en-NZ"/>
              </w:rPr>
            </w:pPr>
            <w:r w:rsidRPr="00D979E7">
              <w:rPr>
                <w:rFonts w:ascii="Arial" w:eastAsia="Times New Roman" w:hAnsi="Arial" w:cs="Arial"/>
                <w:bCs/>
                <w:color w:val="000000"/>
                <w:sz w:val="20"/>
                <w:lang w:eastAsia="en-NZ"/>
              </w:rPr>
              <w:t>Cost per Unit</w:t>
            </w:r>
          </w:p>
        </w:tc>
        <w:tc>
          <w:tcPr>
            <w:tcW w:w="5176" w:type="dxa"/>
            <w:gridSpan w:val="4"/>
            <w:shd w:val="clear" w:color="auto" w:fill="auto"/>
            <w:noWrap/>
            <w:vAlign w:val="bottom"/>
          </w:tcPr>
          <w:p w14:paraId="1B50CFC4" w14:textId="77777777" w:rsidR="002323E5" w:rsidRPr="00D979E7" w:rsidRDefault="002323E5" w:rsidP="002320B1">
            <w:pPr>
              <w:pStyle w:val="NoSpacing"/>
              <w:spacing w:before="120"/>
              <w:rPr>
                <w:rFonts w:ascii="Arial" w:hAnsi="Arial" w:cs="Arial"/>
                <w:bCs/>
                <w:color w:val="000000"/>
                <w:sz w:val="20"/>
              </w:rPr>
            </w:pPr>
            <w:r w:rsidRPr="00D979E7">
              <w:rPr>
                <w:rFonts w:ascii="Arial" w:eastAsia="Times New Roman" w:hAnsi="Arial" w:cs="Arial"/>
                <w:bCs/>
                <w:color w:val="000000"/>
                <w:sz w:val="20"/>
                <w:lang w:eastAsia="en-NZ"/>
              </w:rPr>
              <w:t>Years Post-Intervention</w:t>
            </w:r>
          </w:p>
        </w:tc>
      </w:tr>
      <w:tr w:rsidR="002323E5" w:rsidRPr="00D979E7" w14:paraId="3BB79E19" w14:textId="77777777" w:rsidTr="00271FB7">
        <w:trPr>
          <w:trHeight w:val="425"/>
        </w:trPr>
        <w:tc>
          <w:tcPr>
            <w:tcW w:w="1838" w:type="dxa"/>
            <w:vMerge/>
            <w:shd w:val="clear" w:color="auto" w:fill="auto"/>
            <w:vAlign w:val="bottom"/>
            <w:hideMark/>
          </w:tcPr>
          <w:p w14:paraId="47A57040" w14:textId="77777777" w:rsidR="002323E5" w:rsidRPr="00D979E7" w:rsidRDefault="002323E5" w:rsidP="002320B1">
            <w:pPr>
              <w:pStyle w:val="NoSpacing"/>
              <w:spacing w:before="120"/>
              <w:rPr>
                <w:rFonts w:ascii="Arial" w:eastAsia="Times New Roman" w:hAnsi="Arial" w:cs="Arial"/>
                <w:bCs/>
                <w:color w:val="000000"/>
                <w:sz w:val="20"/>
                <w:lang w:eastAsia="en-NZ"/>
              </w:rPr>
            </w:pPr>
          </w:p>
        </w:tc>
        <w:tc>
          <w:tcPr>
            <w:tcW w:w="851" w:type="dxa"/>
            <w:vMerge/>
            <w:shd w:val="clear" w:color="auto" w:fill="auto"/>
            <w:noWrap/>
            <w:vAlign w:val="bottom"/>
            <w:hideMark/>
          </w:tcPr>
          <w:p w14:paraId="30D016AD" w14:textId="77777777" w:rsidR="002323E5" w:rsidRPr="00D979E7" w:rsidRDefault="002323E5" w:rsidP="002320B1">
            <w:pPr>
              <w:pStyle w:val="NoSpacing"/>
              <w:spacing w:before="120"/>
              <w:rPr>
                <w:rFonts w:ascii="Arial" w:eastAsia="Times New Roman" w:hAnsi="Arial" w:cs="Arial"/>
                <w:bCs/>
                <w:color w:val="000000"/>
                <w:sz w:val="20"/>
                <w:lang w:eastAsia="en-NZ"/>
              </w:rPr>
            </w:pPr>
          </w:p>
        </w:tc>
        <w:tc>
          <w:tcPr>
            <w:tcW w:w="850" w:type="dxa"/>
            <w:vMerge/>
            <w:shd w:val="clear" w:color="auto" w:fill="auto"/>
            <w:vAlign w:val="bottom"/>
            <w:hideMark/>
          </w:tcPr>
          <w:p w14:paraId="3A02B301" w14:textId="77777777" w:rsidR="002323E5" w:rsidRPr="00D979E7" w:rsidRDefault="002323E5" w:rsidP="002320B1">
            <w:pPr>
              <w:pStyle w:val="NoSpacing"/>
              <w:spacing w:before="120"/>
              <w:rPr>
                <w:rFonts w:ascii="Arial" w:eastAsia="Times New Roman" w:hAnsi="Arial" w:cs="Arial"/>
                <w:bCs/>
                <w:color w:val="000000"/>
                <w:sz w:val="20"/>
                <w:lang w:eastAsia="en-NZ"/>
              </w:rPr>
            </w:pPr>
          </w:p>
        </w:tc>
        <w:tc>
          <w:tcPr>
            <w:tcW w:w="1418" w:type="dxa"/>
            <w:shd w:val="clear" w:color="auto" w:fill="auto"/>
            <w:noWrap/>
            <w:vAlign w:val="bottom"/>
            <w:hideMark/>
          </w:tcPr>
          <w:p w14:paraId="149A0422" w14:textId="77777777" w:rsidR="002323E5" w:rsidRPr="00D979E7" w:rsidRDefault="002323E5" w:rsidP="002320B1">
            <w:pPr>
              <w:pStyle w:val="NoSpacing"/>
              <w:spacing w:before="120"/>
              <w:rPr>
                <w:rFonts w:ascii="Arial" w:eastAsia="Times New Roman" w:hAnsi="Arial" w:cs="Arial"/>
                <w:bCs/>
                <w:color w:val="000000"/>
                <w:sz w:val="20"/>
                <w:lang w:eastAsia="en-NZ"/>
              </w:rPr>
            </w:pPr>
            <w:r w:rsidRPr="00D979E7">
              <w:rPr>
                <w:rFonts w:ascii="Arial" w:eastAsia="Times New Roman" w:hAnsi="Arial" w:cs="Arial"/>
                <w:bCs/>
                <w:color w:val="000000"/>
                <w:sz w:val="20"/>
                <w:lang w:eastAsia="en-NZ"/>
              </w:rPr>
              <w:t>Year 1</w:t>
            </w:r>
          </w:p>
        </w:tc>
        <w:tc>
          <w:tcPr>
            <w:tcW w:w="1134" w:type="dxa"/>
            <w:shd w:val="clear" w:color="auto" w:fill="auto"/>
            <w:noWrap/>
            <w:vAlign w:val="bottom"/>
            <w:hideMark/>
          </w:tcPr>
          <w:p w14:paraId="739D4CDD" w14:textId="77777777" w:rsidR="002323E5" w:rsidRPr="00D979E7" w:rsidRDefault="002323E5" w:rsidP="002320B1">
            <w:pPr>
              <w:pStyle w:val="NoSpacing"/>
              <w:spacing w:before="120"/>
              <w:rPr>
                <w:rFonts w:ascii="Arial" w:eastAsia="Times New Roman" w:hAnsi="Arial" w:cs="Arial"/>
                <w:bCs/>
                <w:i/>
                <w:iCs/>
                <w:color w:val="000000"/>
                <w:sz w:val="20"/>
                <w:lang w:eastAsia="en-NZ"/>
              </w:rPr>
            </w:pPr>
            <w:r w:rsidRPr="00D979E7">
              <w:rPr>
                <w:rFonts w:ascii="Arial" w:eastAsia="Times New Roman" w:hAnsi="Arial" w:cs="Arial"/>
                <w:bCs/>
                <w:i/>
                <w:iCs/>
                <w:color w:val="000000"/>
                <w:sz w:val="20"/>
                <w:lang w:eastAsia="en-NZ"/>
              </w:rPr>
              <w:t>Year 2</w:t>
            </w:r>
          </w:p>
        </w:tc>
        <w:tc>
          <w:tcPr>
            <w:tcW w:w="1275" w:type="dxa"/>
            <w:shd w:val="clear" w:color="auto" w:fill="auto"/>
            <w:noWrap/>
            <w:vAlign w:val="bottom"/>
            <w:hideMark/>
          </w:tcPr>
          <w:p w14:paraId="749AA32F" w14:textId="77777777" w:rsidR="002323E5" w:rsidRPr="00D979E7" w:rsidRDefault="002323E5" w:rsidP="002320B1">
            <w:pPr>
              <w:pStyle w:val="NoSpacing"/>
              <w:spacing w:before="120"/>
              <w:rPr>
                <w:rFonts w:ascii="Arial" w:eastAsia="Times New Roman" w:hAnsi="Arial" w:cs="Arial"/>
                <w:bCs/>
                <w:i/>
                <w:iCs/>
                <w:color w:val="000000"/>
                <w:sz w:val="20"/>
                <w:lang w:eastAsia="en-NZ"/>
              </w:rPr>
            </w:pPr>
            <w:r w:rsidRPr="00D979E7">
              <w:rPr>
                <w:rFonts w:ascii="Arial" w:eastAsia="Times New Roman" w:hAnsi="Arial" w:cs="Arial"/>
                <w:bCs/>
                <w:i/>
                <w:iCs/>
                <w:color w:val="000000"/>
                <w:sz w:val="20"/>
                <w:lang w:eastAsia="en-NZ"/>
              </w:rPr>
              <w:t>Year 3</w:t>
            </w:r>
          </w:p>
        </w:tc>
        <w:tc>
          <w:tcPr>
            <w:tcW w:w="1349" w:type="dxa"/>
            <w:vAlign w:val="bottom"/>
          </w:tcPr>
          <w:p w14:paraId="6B73274D" w14:textId="77777777" w:rsidR="002323E5" w:rsidRPr="00D979E7" w:rsidRDefault="002323E5" w:rsidP="002320B1">
            <w:pPr>
              <w:pStyle w:val="NoSpacing"/>
              <w:spacing w:before="120"/>
              <w:rPr>
                <w:rFonts w:ascii="Arial" w:eastAsia="Times New Roman" w:hAnsi="Arial" w:cs="Arial"/>
                <w:bCs/>
                <w:i/>
                <w:iCs/>
                <w:color w:val="000000"/>
                <w:sz w:val="20"/>
                <w:lang w:eastAsia="en-NZ"/>
              </w:rPr>
            </w:pPr>
            <w:r w:rsidRPr="00D979E7">
              <w:rPr>
                <w:rFonts w:ascii="Arial" w:hAnsi="Arial" w:cs="Arial"/>
                <w:bCs/>
                <w:color w:val="000000"/>
                <w:sz w:val="20"/>
              </w:rPr>
              <w:t>Total Years 1-3</w:t>
            </w:r>
          </w:p>
        </w:tc>
      </w:tr>
      <w:tr w:rsidR="002323E5" w:rsidRPr="00D979E7" w14:paraId="6861E0FD" w14:textId="77777777" w:rsidTr="00271FB7">
        <w:trPr>
          <w:trHeight w:val="315"/>
        </w:trPr>
        <w:tc>
          <w:tcPr>
            <w:tcW w:w="1838" w:type="dxa"/>
            <w:shd w:val="clear" w:color="auto" w:fill="auto"/>
            <w:noWrap/>
            <w:vAlign w:val="bottom"/>
            <w:hideMark/>
          </w:tcPr>
          <w:p w14:paraId="0E38F8EE" w14:textId="77777777" w:rsidR="002323E5" w:rsidRPr="00D979E7" w:rsidRDefault="002323E5" w:rsidP="002320B1">
            <w:pPr>
              <w:pStyle w:val="NoSpacing"/>
              <w:spacing w:before="120"/>
              <w:rPr>
                <w:rFonts w:ascii="Arial" w:eastAsia="Times New Roman" w:hAnsi="Arial" w:cs="Arial"/>
                <w:color w:val="000000"/>
                <w:sz w:val="20"/>
                <w:lang w:eastAsia="en-NZ"/>
              </w:rPr>
            </w:pPr>
            <w:r w:rsidRPr="00D979E7">
              <w:rPr>
                <w:rFonts w:ascii="Arial" w:eastAsia="Times New Roman" w:hAnsi="Arial" w:cs="Arial"/>
                <w:color w:val="000000"/>
                <w:sz w:val="20"/>
                <w:lang w:eastAsia="en-NZ"/>
              </w:rPr>
              <w:t>Hospitalisations</w:t>
            </w:r>
          </w:p>
        </w:tc>
        <w:tc>
          <w:tcPr>
            <w:tcW w:w="851" w:type="dxa"/>
            <w:shd w:val="clear" w:color="auto" w:fill="auto"/>
            <w:noWrap/>
            <w:vAlign w:val="bottom"/>
          </w:tcPr>
          <w:p w14:paraId="3AB27FC1" w14:textId="77777777" w:rsidR="002323E5" w:rsidRPr="00D979E7" w:rsidRDefault="002323E5" w:rsidP="002320B1">
            <w:pPr>
              <w:pStyle w:val="NoSpacing"/>
              <w:spacing w:before="120"/>
              <w:rPr>
                <w:rFonts w:ascii="Arial" w:eastAsia="Times New Roman" w:hAnsi="Arial" w:cs="Arial"/>
                <w:color w:val="000000"/>
                <w:sz w:val="20"/>
                <w:lang w:eastAsia="en-NZ"/>
              </w:rPr>
            </w:pPr>
            <w:r w:rsidRPr="00D979E7">
              <w:rPr>
                <w:rFonts w:ascii="Arial" w:hAnsi="Arial" w:cs="Arial"/>
                <w:color w:val="000000"/>
                <w:sz w:val="20"/>
              </w:rPr>
              <w:t>1,533</w:t>
            </w:r>
          </w:p>
        </w:tc>
        <w:tc>
          <w:tcPr>
            <w:tcW w:w="850" w:type="dxa"/>
            <w:shd w:val="clear" w:color="auto" w:fill="auto"/>
            <w:noWrap/>
            <w:vAlign w:val="bottom"/>
          </w:tcPr>
          <w:p w14:paraId="6CDBD8EA" w14:textId="77777777" w:rsidR="002323E5" w:rsidRPr="00D979E7" w:rsidRDefault="002323E5" w:rsidP="002320B1">
            <w:pPr>
              <w:pStyle w:val="NoSpacing"/>
              <w:spacing w:before="120"/>
              <w:rPr>
                <w:rFonts w:ascii="Arial" w:eastAsia="Times New Roman" w:hAnsi="Arial" w:cs="Arial"/>
                <w:color w:val="000000"/>
                <w:sz w:val="20"/>
                <w:lang w:eastAsia="en-NZ"/>
              </w:rPr>
            </w:pPr>
            <w:r w:rsidRPr="00D979E7">
              <w:rPr>
                <w:rFonts w:ascii="Arial" w:hAnsi="Arial" w:cs="Arial"/>
                <w:color w:val="000000"/>
                <w:sz w:val="20"/>
              </w:rPr>
              <w:t>4,090</w:t>
            </w:r>
          </w:p>
        </w:tc>
        <w:tc>
          <w:tcPr>
            <w:tcW w:w="1418" w:type="dxa"/>
            <w:shd w:val="clear" w:color="auto" w:fill="auto"/>
            <w:noWrap/>
            <w:vAlign w:val="bottom"/>
          </w:tcPr>
          <w:p w14:paraId="491D85FD" w14:textId="77777777" w:rsidR="002323E5" w:rsidRPr="00D979E7" w:rsidRDefault="002323E5" w:rsidP="002320B1">
            <w:pPr>
              <w:pStyle w:val="NoSpacing"/>
              <w:spacing w:before="120"/>
              <w:rPr>
                <w:rFonts w:ascii="Arial" w:eastAsia="Times New Roman" w:hAnsi="Arial" w:cs="Arial"/>
                <w:color w:val="000000"/>
                <w:sz w:val="20"/>
                <w:lang w:eastAsia="en-NZ"/>
              </w:rPr>
            </w:pPr>
            <w:r w:rsidRPr="00D979E7">
              <w:rPr>
                <w:rFonts w:ascii="Arial" w:hAnsi="Arial" w:cs="Arial"/>
                <w:color w:val="000000"/>
                <w:sz w:val="20"/>
              </w:rPr>
              <w:t>6,269,579</w:t>
            </w:r>
          </w:p>
        </w:tc>
        <w:tc>
          <w:tcPr>
            <w:tcW w:w="1134" w:type="dxa"/>
            <w:shd w:val="clear" w:color="auto" w:fill="auto"/>
            <w:noWrap/>
            <w:vAlign w:val="bottom"/>
          </w:tcPr>
          <w:p w14:paraId="0CAA13DA" w14:textId="77777777" w:rsidR="002323E5" w:rsidRPr="00D979E7" w:rsidRDefault="002323E5" w:rsidP="002320B1">
            <w:pPr>
              <w:pStyle w:val="NoSpacing"/>
              <w:spacing w:before="120"/>
              <w:rPr>
                <w:rFonts w:ascii="Arial" w:eastAsia="Times New Roman" w:hAnsi="Arial" w:cs="Arial"/>
                <w:i/>
                <w:iCs/>
                <w:color w:val="000000"/>
                <w:sz w:val="20"/>
                <w:lang w:eastAsia="en-NZ"/>
              </w:rPr>
            </w:pPr>
            <w:r w:rsidRPr="00D979E7">
              <w:rPr>
                <w:rFonts w:ascii="Arial" w:hAnsi="Arial" w:cs="Arial"/>
                <w:i/>
                <w:iCs/>
                <w:color w:val="000000"/>
                <w:sz w:val="20"/>
              </w:rPr>
              <w:t>5,914,697</w:t>
            </w:r>
          </w:p>
        </w:tc>
        <w:tc>
          <w:tcPr>
            <w:tcW w:w="1275" w:type="dxa"/>
            <w:shd w:val="clear" w:color="auto" w:fill="auto"/>
            <w:noWrap/>
            <w:vAlign w:val="bottom"/>
          </w:tcPr>
          <w:p w14:paraId="73C85CF9" w14:textId="77777777" w:rsidR="002323E5" w:rsidRPr="00D979E7" w:rsidRDefault="002323E5" w:rsidP="002320B1">
            <w:pPr>
              <w:pStyle w:val="NoSpacing"/>
              <w:spacing w:before="120"/>
              <w:rPr>
                <w:rFonts w:ascii="Arial" w:eastAsia="Times New Roman" w:hAnsi="Arial" w:cs="Arial"/>
                <w:i/>
                <w:iCs/>
                <w:color w:val="000000"/>
                <w:sz w:val="20"/>
                <w:lang w:eastAsia="en-NZ"/>
              </w:rPr>
            </w:pPr>
            <w:r w:rsidRPr="00D979E7">
              <w:rPr>
                <w:rFonts w:ascii="Arial" w:hAnsi="Arial" w:cs="Arial"/>
                <w:i/>
                <w:iCs/>
                <w:color w:val="000000"/>
                <w:sz w:val="20"/>
              </w:rPr>
              <w:t>5,579,903</w:t>
            </w:r>
          </w:p>
        </w:tc>
        <w:tc>
          <w:tcPr>
            <w:tcW w:w="1349" w:type="dxa"/>
            <w:vAlign w:val="bottom"/>
          </w:tcPr>
          <w:p w14:paraId="68A3A0EF" w14:textId="77777777" w:rsidR="002323E5" w:rsidRPr="00D979E7" w:rsidRDefault="002323E5" w:rsidP="002320B1">
            <w:pPr>
              <w:pStyle w:val="NoSpacing"/>
              <w:spacing w:before="120"/>
              <w:rPr>
                <w:rFonts w:ascii="Arial" w:eastAsia="Times New Roman" w:hAnsi="Arial" w:cs="Arial"/>
                <w:i/>
                <w:iCs/>
                <w:color w:val="000000"/>
                <w:sz w:val="20"/>
                <w:lang w:eastAsia="en-NZ"/>
              </w:rPr>
            </w:pPr>
            <w:r w:rsidRPr="00D979E7">
              <w:rPr>
                <w:rFonts w:ascii="Arial" w:hAnsi="Arial" w:cs="Arial"/>
                <w:color w:val="000000"/>
                <w:sz w:val="20"/>
              </w:rPr>
              <w:t>17,764,178</w:t>
            </w:r>
          </w:p>
        </w:tc>
      </w:tr>
      <w:tr w:rsidR="002323E5" w:rsidRPr="00D979E7" w14:paraId="013A67EC" w14:textId="77777777" w:rsidTr="00271FB7">
        <w:trPr>
          <w:trHeight w:val="600"/>
        </w:trPr>
        <w:tc>
          <w:tcPr>
            <w:tcW w:w="1838" w:type="dxa"/>
            <w:shd w:val="clear" w:color="auto" w:fill="auto"/>
            <w:vAlign w:val="bottom"/>
            <w:hideMark/>
          </w:tcPr>
          <w:p w14:paraId="0E0146E5" w14:textId="77777777" w:rsidR="002323E5" w:rsidRPr="00D979E7" w:rsidRDefault="002323E5" w:rsidP="002320B1">
            <w:pPr>
              <w:pStyle w:val="NoSpacing"/>
              <w:spacing w:before="120"/>
              <w:rPr>
                <w:rFonts w:ascii="Arial" w:eastAsia="Times New Roman" w:hAnsi="Arial" w:cs="Arial"/>
                <w:color w:val="000000"/>
                <w:sz w:val="20"/>
                <w:lang w:eastAsia="en-NZ"/>
              </w:rPr>
            </w:pPr>
            <w:r w:rsidRPr="00D979E7">
              <w:rPr>
                <w:rFonts w:ascii="Arial" w:eastAsia="Times New Roman" w:hAnsi="Arial" w:cs="Arial"/>
                <w:color w:val="000000"/>
                <w:sz w:val="20"/>
                <w:lang w:eastAsia="en-NZ"/>
              </w:rPr>
              <w:t>Hospitalisations -- Reduced Severity</w:t>
            </w:r>
          </w:p>
        </w:tc>
        <w:tc>
          <w:tcPr>
            <w:tcW w:w="851" w:type="dxa"/>
            <w:shd w:val="clear" w:color="auto" w:fill="auto"/>
            <w:noWrap/>
            <w:vAlign w:val="bottom"/>
          </w:tcPr>
          <w:p w14:paraId="620971C4" w14:textId="77777777" w:rsidR="002323E5" w:rsidRPr="00D979E7" w:rsidRDefault="002323E5" w:rsidP="002320B1">
            <w:pPr>
              <w:pStyle w:val="NoSpacing"/>
              <w:spacing w:before="120"/>
              <w:rPr>
                <w:rFonts w:ascii="Arial" w:eastAsia="Times New Roman" w:hAnsi="Arial" w:cs="Arial"/>
                <w:color w:val="000000"/>
                <w:sz w:val="20"/>
                <w:lang w:eastAsia="en-NZ"/>
              </w:rPr>
            </w:pPr>
            <w:r w:rsidRPr="00D979E7">
              <w:rPr>
                <w:rFonts w:ascii="Arial" w:hAnsi="Arial" w:cs="Arial"/>
                <w:color w:val="000000"/>
                <w:sz w:val="20"/>
              </w:rPr>
              <w:t>6,101</w:t>
            </w:r>
          </w:p>
        </w:tc>
        <w:tc>
          <w:tcPr>
            <w:tcW w:w="850" w:type="dxa"/>
            <w:shd w:val="clear" w:color="auto" w:fill="auto"/>
            <w:noWrap/>
            <w:vAlign w:val="bottom"/>
          </w:tcPr>
          <w:p w14:paraId="1F5E5D59" w14:textId="77777777" w:rsidR="002323E5" w:rsidRPr="00D979E7" w:rsidRDefault="002323E5" w:rsidP="002320B1">
            <w:pPr>
              <w:pStyle w:val="NoSpacing"/>
              <w:spacing w:before="120"/>
              <w:rPr>
                <w:rFonts w:ascii="Arial" w:eastAsia="Times New Roman" w:hAnsi="Arial" w:cs="Arial"/>
                <w:color w:val="000000"/>
                <w:sz w:val="20"/>
                <w:lang w:eastAsia="en-NZ"/>
              </w:rPr>
            </w:pPr>
            <w:r w:rsidRPr="00D979E7">
              <w:rPr>
                <w:rFonts w:ascii="Arial" w:hAnsi="Arial" w:cs="Arial"/>
                <w:color w:val="000000"/>
                <w:sz w:val="20"/>
              </w:rPr>
              <w:t>541</w:t>
            </w:r>
          </w:p>
        </w:tc>
        <w:tc>
          <w:tcPr>
            <w:tcW w:w="1418" w:type="dxa"/>
            <w:shd w:val="clear" w:color="auto" w:fill="auto"/>
            <w:noWrap/>
            <w:vAlign w:val="bottom"/>
          </w:tcPr>
          <w:p w14:paraId="022FDD74" w14:textId="77777777" w:rsidR="002323E5" w:rsidRPr="00D979E7" w:rsidRDefault="002323E5" w:rsidP="002320B1">
            <w:pPr>
              <w:pStyle w:val="NoSpacing"/>
              <w:spacing w:before="120"/>
              <w:rPr>
                <w:rFonts w:ascii="Arial" w:eastAsia="Times New Roman" w:hAnsi="Arial" w:cs="Arial"/>
                <w:color w:val="000000"/>
                <w:sz w:val="20"/>
                <w:lang w:eastAsia="en-NZ"/>
              </w:rPr>
            </w:pPr>
            <w:r w:rsidRPr="00D979E7">
              <w:rPr>
                <w:rFonts w:ascii="Arial" w:hAnsi="Arial" w:cs="Arial"/>
                <w:color w:val="000000"/>
                <w:sz w:val="20"/>
              </w:rPr>
              <w:t>3,302,906</w:t>
            </w:r>
          </w:p>
        </w:tc>
        <w:tc>
          <w:tcPr>
            <w:tcW w:w="1134" w:type="dxa"/>
            <w:shd w:val="clear" w:color="auto" w:fill="auto"/>
            <w:noWrap/>
            <w:vAlign w:val="bottom"/>
          </w:tcPr>
          <w:p w14:paraId="014F4E83" w14:textId="77777777" w:rsidR="002323E5" w:rsidRPr="00D979E7" w:rsidRDefault="002323E5" w:rsidP="002320B1">
            <w:pPr>
              <w:pStyle w:val="NoSpacing"/>
              <w:spacing w:before="120"/>
              <w:rPr>
                <w:rFonts w:ascii="Arial" w:eastAsia="Times New Roman" w:hAnsi="Arial" w:cs="Arial"/>
                <w:i/>
                <w:iCs/>
                <w:color w:val="000000"/>
                <w:sz w:val="20"/>
                <w:lang w:eastAsia="en-NZ"/>
              </w:rPr>
            </w:pPr>
            <w:r w:rsidRPr="00D979E7">
              <w:rPr>
                <w:rFonts w:ascii="Arial" w:hAnsi="Arial" w:cs="Arial"/>
                <w:i/>
                <w:iCs/>
                <w:color w:val="000000"/>
                <w:sz w:val="20"/>
              </w:rPr>
              <w:t>3,115,949</w:t>
            </w:r>
          </w:p>
        </w:tc>
        <w:tc>
          <w:tcPr>
            <w:tcW w:w="1275" w:type="dxa"/>
            <w:shd w:val="clear" w:color="auto" w:fill="auto"/>
            <w:noWrap/>
            <w:vAlign w:val="bottom"/>
          </w:tcPr>
          <w:p w14:paraId="5A83A0E0" w14:textId="77777777" w:rsidR="002323E5" w:rsidRPr="00D979E7" w:rsidRDefault="002323E5" w:rsidP="002320B1">
            <w:pPr>
              <w:pStyle w:val="NoSpacing"/>
              <w:spacing w:before="120"/>
              <w:rPr>
                <w:rFonts w:ascii="Arial" w:eastAsia="Times New Roman" w:hAnsi="Arial" w:cs="Arial"/>
                <w:i/>
                <w:iCs/>
                <w:color w:val="000000"/>
                <w:sz w:val="20"/>
                <w:lang w:eastAsia="en-NZ"/>
              </w:rPr>
            </w:pPr>
            <w:r w:rsidRPr="00D979E7">
              <w:rPr>
                <w:rFonts w:ascii="Arial" w:hAnsi="Arial" w:cs="Arial"/>
                <w:i/>
                <w:iCs/>
                <w:color w:val="000000"/>
                <w:sz w:val="20"/>
              </w:rPr>
              <w:t>2,939,575</w:t>
            </w:r>
          </w:p>
        </w:tc>
        <w:tc>
          <w:tcPr>
            <w:tcW w:w="1349" w:type="dxa"/>
            <w:vAlign w:val="bottom"/>
          </w:tcPr>
          <w:p w14:paraId="06BFA570" w14:textId="77777777" w:rsidR="002323E5" w:rsidRPr="00D979E7" w:rsidRDefault="002323E5" w:rsidP="002320B1">
            <w:pPr>
              <w:pStyle w:val="NoSpacing"/>
              <w:spacing w:before="120"/>
              <w:rPr>
                <w:rFonts w:ascii="Arial" w:eastAsia="Times New Roman" w:hAnsi="Arial" w:cs="Arial"/>
                <w:i/>
                <w:iCs/>
                <w:color w:val="000000"/>
                <w:sz w:val="20"/>
                <w:lang w:eastAsia="en-NZ"/>
              </w:rPr>
            </w:pPr>
            <w:r w:rsidRPr="00D979E7">
              <w:rPr>
                <w:rFonts w:ascii="Arial" w:hAnsi="Arial" w:cs="Arial"/>
                <w:color w:val="000000"/>
                <w:sz w:val="20"/>
              </w:rPr>
              <w:t>9,358,431</w:t>
            </w:r>
          </w:p>
        </w:tc>
      </w:tr>
      <w:tr w:rsidR="002323E5" w:rsidRPr="00D979E7" w14:paraId="137C6C92" w14:textId="77777777" w:rsidTr="00271FB7">
        <w:trPr>
          <w:trHeight w:val="300"/>
        </w:trPr>
        <w:tc>
          <w:tcPr>
            <w:tcW w:w="1838" w:type="dxa"/>
            <w:shd w:val="clear" w:color="auto" w:fill="auto"/>
            <w:noWrap/>
            <w:vAlign w:val="bottom"/>
            <w:hideMark/>
          </w:tcPr>
          <w:p w14:paraId="38B17EFC" w14:textId="77777777" w:rsidR="002323E5" w:rsidRPr="00D979E7" w:rsidRDefault="002323E5" w:rsidP="002320B1">
            <w:pPr>
              <w:pStyle w:val="NoSpacing"/>
              <w:spacing w:before="120"/>
              <w:rPr>
                <w:rFonts w:ascii="Arial" w:eastAsia="Times New Roman" w:hAnsi="Arial" w:cs="Arial"/>
                <w:color w:val="000000"/>
                <w:sz w:val="20"/>
                <w:lang w:eastAsia="en-NZ"/>
              </w:rPr>
            </w:pPr>
            <w:r w:rsidRPr="00D979E7">
              <w:rPr>
                <w:rFonts w:ascii="Arial" w:eastAsia="Times New Roman" w:hAnsi="Arial" w:cs="Arial"/>
                <w:color w:val="000000"/>
                <w:sz w:val="20"/>
                <w:lang w:eastAsia="en-NZ"/>
              </w:rPr>
              <w:t>GP Visits</w:t>
            </w:r>
          </w:p>
        </w:tc>
        <w:tc>
          <w:tcPr>
            <w:tcW w:w="851" w:type="dxa"/>
            <w:shd w:val="clear" w:color="auto" w:fill="auto"/>
            <w:noWrap/>
            <w:vAlign w:val="bottom"/>
          </w:tcPr>
          <w:p w14:paraId="0C615082" w14:textId="77777777" w:rsidR="002323E5" w:rsidRPr="00D979E7" w:rsidRDefault="002323E5" w:rsidP="002320B1">
            <w:pPr>
              <w:pStyle w:val="NoSpacing"/>
              <w:spacing w:before="120"/>
              <w:rPr>
                <w:rFonts w:ascii="Arial" w:eastAsia="Times New Roman" w:hAnsi="Arial" w:cs="Arial"/>
                <w:color w:val="000000"/>
                <w:sz w:val="20"/>
                <w:lang w:eastAsia="en-NZ"/>
              </w:rPr>
            </w:pPr>
            <w:r w:rsidRPr="00D979E7">
              <w:rPr>
                <w:rFonts w:ascii="Arial" w:hAnsi="Arial" w:cs="Arial"/>
                <w:color w:val="000000"/>
                <w:sz w:val="20"/>
              </w:rPr>
              <w:t>9,443</w:t>
            </w:r>
          </w:p>
        </w:tc>
        <w:tc>
          <w:tcPr>
            <w:tcW w:w="850" w:type="dxa"/>
            <w:shd w:val="clear" w:color="auto" w:fill="auto"/>
            <w:noWrap/>
            <w:vAlign w:val="bottom"/>
          </w:tcPr>
          <w:p w14:paraId="0C5A4AB2" w14:textId="77777777" w:rsidR="002323E5" w:rsidRPr="00D979E7" w:rsidRDefault="002323E5" w:rsidP="002320B1">
            <w:pPr>
              <w:pStyle w:val="NoSpacing"/>
              <w:spacing w:before="120"/>
              <w:rPr>
                <w:rFonts w:ascii="Arial" w:eastAsia="Times New Roman" w:hAnsi="Arial" w:cs="Arial"/>
                <w:color w:val="000000"/>
                <w:sz w:val="20"/>
                <w:lang w:eastAsia="en-NZ"/>
              </w:rPr>
            </w:pPr>
            <w:r w:rsidRPr="00D979E7">
              <w:rPr>
                <w:rFonts w:ascii="Arial" w:hAnsi="Arial" w:cs="Arial"/>
                <w:color w:val="000000"/>
                <w:sz w:val="20"/>
              </w:rPr>
              <w:t>80</w:t>
            </w:r>
          </w:p>
        </w:tc>
        <w:tc>
          <w:tcPr>
            <w:tcW w:w="1418" w:type="dxa"/>
            <w:shd w:val="clear" w:color="auto" w:fill="auto"/>
            <w:noWrap/>
            <w:vAlign w:val="bottom"/>
          </w:tcPr>
          <w:p w14:paraId="7EF03C5E" w14:textId="77777777" w:rsidR="002323E5" w:rsidRPr="00D979E7" w:rsidRDefault="002323E5" w:rsidP="002320B1">
            <w:pPr>
              <w:pStyle w:val="NoSpacing"/>
              <w:spacing w:before="120"/>
              <w:rPr>
                <w:rFonts w:ascii="Arial" w:eastAsia="Times New Roman" w:hAnsi="Arial" w:cs="Arial"/>
                <w:color w:val="000000"/>
                <w:sz w:val="20"/>
                <w:lang w:eastAsia="en-NZ"/>
              </w:rPr>
            </w:pPr>
            <w:r w:rsidRPr="00D979E7">
              <w:rPr>
                <w:rFonts w:ascii="Arial" w:hAnsi="Arial" w:cs="Arial"/>
                <w:color w:val="000000"/>
                <w:sz w:val="20"/>
              </w:rPr>
              <w:t>755,440</w:t>
            </w:r>
          </w:p>
        </w:tc>
        <w:tc>
          <w:tcPr>
            <w:tcW w:w="1134" w:type="dxa"/>
            <w:shd w:val="clear" w:color="auto" w:fill="auto"/>
            <w:noWrap/>
            <w:vAlign w:val="bottom"/>
          </w:tcPr>
          <w:p w14:paraId="6148DAB5" w14:textId="77777777" w:rsidR="002323E5" w:rsidRPr="00D979E7" w:rsidRDefault="002323E5" w:rsidP="002320B1">
            <w:pPr>
              <w:pStyle w:val="NoSpacing"/>
              <w:spacing w:before="120"/>
              <w:rPr>
                <w:rFonts w:ascii="Arial" w:eastAsia="Times New Roman" w:hAnsi="Arial" w:cs="Arial"/>
                <w:i/>
                <w:iCs/>
                <w:color w:val="000000"/>
                <w:sz w:val="20"/>
                <w:lang w:eastAsia="en-NZ"/>
              </w:rPr>
            </w:pPr>
            <w:r w:rsidRPr="00D979E7">
              <w:rPr>
                <w:rFonts w:ascii="Arial" w:hAnsi="Arial" w:cs="Arial"/>
                <w:i/>
                <w:iCs/>
                <w:color w:val="000000"/>
                <w:sz w:val="20"/>
              </w:rPr>
              <w:t>712,679</w:t>
            </w:r>
          </w:p>
        </w:tc>
        <w:tc>
          <w:tcPr>
            <w:tcW w:w="1275" w:type="dxa"/>
            <w:shd w:val="clear" w:color="auto" w:fill="auto"/>
            <w:noWrap/>
            <w:vAlign w:val="bottom"/>
          </w:tcPr>
          <w:p w14:paraId="42FB35A2" w14:textId="77777777" w:rsidR="002323E5" w:rsidRPr="00D979E7" w:rsidRDefault="002323E5" w:rsidP="002320B1">
            <w:pPr>
              <w:pStyle w:val="NoSpacing"/>
              <w:spacing w:before="120"/>
              <w:rPr>
                <w:rFonts w:ascii="Arial" w:eastAsia="Times New Roman" w:hAnsi="Arial" w:cs="Arial"/>
                <w:i/>
                <w:iCs/>
                <w:color w:val="000000"/>
                <w:sz w:val="20"/>
                <w:lang w:eastAsia="en-NZ"/>
              </w:rPr>
            </w:pPr>
            <w:r w:rsidRPr="00D979E7">
              <w:rPr>
                <w:rFonts w:ascii="Arial" w:hAnsi="Arial" w:cs="Arial"/>
                <w:i/>
                <w:iCs/>
                <w:color w:val="000000"/>
                <w:sz w:val="20"/>
              </w:rPr>
              <w:t>672,339</w:t>
            </w:r>
          </w:p>
        </w:tc>
        <w:tc>
          <w:tcPr>
            <w:tcW w:w="1349" w:type="dxa"/>
            <w:vAlign w:val="bottom"/>
          </w:tcPr>
          <w:p w14:paraId="3A456690" w14:textId="77777777" w:rsidR="002323E5" w:rsidRPr="00D979E7" w:rsidRDefault="002323E5" w:rsidP="002320B1">
            <w:pPr>
              <w:pStyle w:val="NoSpacing"/>
              <w:spacing w:before="120"/>
              <w:rPr>
                <w:rFonts w:ascii="Arial" w:eastAsia="Times New Roman" w:hAnsi="Arial" w:cs="Arial"/>
                <w:i/>
                <w:iCs/>
                <w:color w:val="000000"/>
                <w:sz w:val="20"/>
                <w:lang w:eastAsia="en-NZ"/>
              </w:rPr>
            </w:pPr>
            <w:r w:rsidRPr="00D979E7">
              <w:rPr>
                <w:rFonts w:ascii="Arial" w:hAnsi="Arial" w:cs="Arial"/>
                <w:color w:val="000000"/>
                <w:sz w:val="20"/>
              </w:rPr>
              <w:t>2,140,458</w:t>
            </w:r>
          </w:p>
        </w:tc>
      </w:tr>
      <w:tr w:rsidR="002323E5" w:rsidRPr="00D979E7" w14:paraId="40BCC519" w14:textId="77777777" w:rsidTr="00271FB7">
        <w:trPr>
          <w:trHeight w:val="315"/>
        </w:trPr>
        <w:tc>
          <w:tcPr>
            <w:tcW w:w="1838" w:type="dxa"/>
            <w:shd w:val="clear" w:color="auto" w:fill="auto"/>
            <w:noWrap/>
            <w:vAlign w:val="bottom"/>
            <w:hideMark/>
          </w:tcPr>
          <w:p w14:paraId="275DD0BE" w14:textId="0EF578AC" w:rsidR="002323E5" w:rsidRPr="00D979E7" w:rsidRDefault="002323E5" w:rsidP="002320B1">
            <w:pPr>
              <w:pStyle w:val="NoSpacing"/>
              <w:spacing w:before="120"/>
              <w:rPr>
                <w:rFonts w:ascii="Arial" w:eastAsia="Times New Roman" w:hAnsi="Arial" w:cs="Arial"/>
                <w:color w:val="000000"/>
                <w:sz w:val="20"/>
                <w:lang w:eastAsia="en-NZ"/>
              </w:rPr>
            </w:pPr>
            <w:r w:rsidRPr="00D979E7">
              <w:rPr>
                <w:rFonts w:ascii="Arial" w:eastAsia="Times New Roman" w:hAnsi="Arial" w:cs="Arial"/>
                <w:color w:val="000000"/>
                <w:sz w:val="20"/>
                <w:lang w:eastAsia="en-NZ"/>
              </w:rPr>
              <w:t xml:space="preserve">Pharmaceutical </w:t>
            </w:r>
            <w:proofErr w:type="spellStart"/>
            <w:r w:rsidRPr="00D979E7">
              <w:rPr>
                <w:rFonts w:ascii="Arial" w:eastAsia="Times New Roman" w:hAnsi="Arial" w:cs="Arial"/>
                <w:color w:val="000000"/>
                <w:sz w:val="20"/>
                <w:lang w:eastAsia="en-NZ"/>
              </w:rPr>
              <w:t>Dispensings</w:t>
            </w:r>
            <w:proofErr w:type="spellEnd"/>
          </w:p>
        </w:tc>
        <w:tc>
          <w:tcPr>
            <w:tcW w:w="851" w:type="dxa"/>
            <w:shd w:val="clear" w:color="auto" w:fill="auto"/>
            <w:noWrap/>
            <w:vAlign w:val="bottom"/>
          </w:tcPr>
          <w:p w14:paraId="551DC93C" w14:textId="77777777" w:rsidR="002323E5" w:rsidRPr="00D979E7" w:rsidRDefault="002323E5" w:rsidP="002320B1">
            <w:pPr>
              <w:pStyle w:val="NoSpacing"/>
              <w:spacing w:before="120"/>
              <w:rPr>
                <w:rFonts w:ascii="Arial" w:eastAsia="Times New Roman" w:hAnsi="Arial" w:cs="Arial"/>
                <w:color w:val="000000"/>
                <w:sz w:val="20"/>
                <w:lang w:eastAsia="en-NZ"/>
              </w:rPr>
            </w:pPr>
            <w:r w:rsidRPr="00D979E7">
              <w:rPr>
                <w:rFonts w:ascii="Arial" w:hAnsi="Arial" w:cs="Arial"/>
                <w:color w:val="000000"/>
                <w:sz w:val="20"/>
              </w:rPr>
              <w:t>8,784</w:t>
            </w:r>
          </w:p>
        </w:tc>
        <w:tc>
          <w:tcPr>
            <w:tcW w:w="850" w:type="dxa"/>
            <w:shd w:val="clear" w:color="auto" w:fill="auto"/>
            <w:noWrap/>
            <w:vAlign w:val="bottom"/>
          </w:tcPr>
          <w:p w14:paraId="72BDF62F" w14:textId="77777777" w:rsidR="002323E5" w:rsidRPr="00D979E7" w:rsidRDefault="002323E5" w:rsidP="002320B1">
            <w:pPr>
              <w:pStyle w:val="NoSpacing"/>
              <w:spacing w:before="120"/>
              <w:rPr>
                <w:rFonts w:ascii="Arial" w:eastAsia="Times New Roman" w:hAnsi="Arial" w:cs="Arial"/>
                <w:color w:val="000000"/>
                <w:sz w:val="20"/>
                <w:lang w:eastAsia="en-NZ"/>
              </w:rPr>
            </w:pPr>
            <w:r w:rsidRPr="00D979E7">
              <w:rPr>
                <w:rFonts w:ascii="Arial" w:hAnsi="Arial" w:cs="Arial"/>
                <w:color w:val="000000"/>
                <w:sz w:val="20"/>
              </w:rPr>
              <w:t>8</w:t>
            </w:r>
          </w:p>
        </w:tc>
        <w:tc>
          <w:tcPr>
            <w:tcW w:w="1418" w:type="dxa"/>
            <w:shd w:val="clear" w:color="auto" w:fill="auto"/>
            <w:noWrap/>
            <w:vAlign w:val="bottom"/>
          </w:tcPr>
          <w:p w14:paraId="7C9A5EC8" w14:textId="77777777" w:rsidR="002323E5" w:rsidRPr="00D979E7" w:rsidRDefault="002323E5" w:rsidP="002320B1">
            <w:pPr>
              <w:pStyle w:val="NoSpacing"/>
              <w:spacing w:before="120"/>
              <w:rPr>
                <w:rFonts w:ascii="Arial" w:eastAsia="Times New Roman" w:hAnsi="Arial" w:cs="Arial"/>
                <w:color w:val="000000"/>
                <w:sz w:val="20"/>
                <w:lang w:eastAsia="en-NZ"/>
              </w:rPr>
            </w:pPr>
            <w:r w:rsidRPr="00D979E7">
              <w:rPr>
                <w:rFonts w:ascii="Arial" w:hAnsi="Arial" w:cs="Arial"/>
                <w:color w:val="000000"/>
                <w:sz w:val="20"/>
              </w:rPr>
              <w:t>74,225</w:t>
            </w:r>
          </w:p>
        </w:tc>
        <w:tc>
          <w:tcPr>
            <w:tcW w:w="1134" w:type="dxa"/>
            <w:shd w:val="clear" w:color="auto" w:fill="auto"/>
            <w:noWrap/>
            <w:vAlign w:val="bottom"/>
          </w:tcPr>
          <w:p w14:paraId="49332CA5" w14:textId="77777777" w:rsidR="002323E5" w:rsidRPr="00D979E7" w:rsidRDefault="002323E5" w:rsidP="002320B1">
            <w:pPr>
              <w:pStyle w:val="NoSpacing"/>
              <w:spacing w:before="120"/>
              <w:rPr>
                <w:rFonts w:ascii="Arial" w:eastAsia="Times New Roman" w:hAnsi="Arial" w:cs="Arial"/>
                <w:i/>
                <w:iCs/>
                <w:color w:val="000000"/>
                <w:sz w:val="20"/>
                <w:lang w:eastAsia="en-NZ"/>
              </w:rPr>
            </w:pPr>
            <w:r w:rsidRPr="00D979E7">
              <w:rPr>
                <w:rFonts w:ascii="Arial" w:hAnsi="Arial" w:cs="Arial"/>
                <w:i/>
                <w:iCs/>
                <w:color w:val="000000"/>
                <w:sz w:val="20"/>
              </w:rPr>
              <w:t>70,023</w:t>
            </w:r>
          </w:p>
        </w:tc>
        <w:tc>
          <w:tcPr>
            <w:tcW w:w="1275" w:type="dxa"/>
            <w:shd w:val="clear" w:color="auto" w:fill="auto"/>
            <w:noWrap/>
            <w:vAlign w:val="bottom"/>
          </w:tcPr>
          <w:p w14:paraId="4B4497DF" w14:textId="77777777" w:rsidR="002323E5" w:rsidRPr="00D979E7" w:rsidRDefault="002323E5" w:rsidP="002320B1">
            <w:pPr>
              <w:pStyle w:val="NoSpacing"/>
              <w:spacing w:before="120"/>
              <w:rPr>
                <w:rFonts w:ascii="Arial" w:eastAsia="Times New Roman" w:hAnsi="Arial" w:cs="Arial"/>
                <w:i/>
                <w:iCs/>
                <w:color w:val="000000"/>
                <w:sz w:val="20"/>
                <w:lang w:eastAsia="en-NZ"/>
              </w:rPr>
            </w:pPr>
            <w:r w:rsidRPr="00D979E7">
              <w:rPr>
                <w:rFonts w:ascii="Arial" w:hAnsi="Arial" w:cs="Arial"/>
                <w:i/>
                <w:iCs/>
                <w:color w:val="000000"/>
                <w:sz w:val="20"/>
              </w:rPr>
              <w:t>66,060</w:t>
            </w:r>
          </w:p>
        </w:tc>
        <w:tc>
          <w:tcPr>
            <w:tcW w:w="1349" w:type="dxa"/>
            <w:vAlign w:val="bottom"/>
          </w:tcPr>
          <w:p w14:paraId="21832F5D" w14:textId="77777777" w:rsidR="002323E5" w:rsidRPr="00D979E7" w:rsidRDefault="002323E5" w:rsidP="002320B1">
            <w:pPr>
              <w:pStyle w:val="NoSpacing"/>
              <w:spacing w:before="120"/>
              <w:rPr>
                <w:rFonts w:ascii="Arial" w:eastAsia="Times New Roman" w:hAnsi="Arial" w:cs="Arial"/>
                <w:i/>
                <w:iCs/>
                <w:color w:val="000000"/>
                <w:sz w:val="20"/>
                <w:lang w:eastAsia="en-NZ"/>
              </w:rPr>
            </w:pPr>
            <w:r w:rsidRPr="00D979E7">
              <w:rPr>
                <w:rFonts w:ascii="Arial" w:hAnsi="Arial" w:cs="Arial"/>
                <w:color w:val="000000"/>
                <w:sz w:val="20"/>
              </w:rPr>
              <w:t>210,308</w:t>
            </w:r>
          </w:p>
        </w:tc>
      </w:tr>
      <w:tr w:rsidR="002323E5" w:rsidRPr="00D979E7" w14:paraId="33F2F8BC" w14:textId="77777777" w:rsidTr="00271FB7">
        <w:trPr>
          <w:trHeight w:val="300"/>
        </w:trPr>
        <w:tc>
          <w:tcPr>
            <w:tcW w:w="1838" w:type="dxa"/>
            <w:shd w:val="clear" w:color="auto" w:fill="D0CECE" w:themeFill="background2" w:themeFillShade="E6"/>
            <w:noWrap/>
            <w:vAlign w:val="bottom"/>
            <w:hideMark/>
          </w:tcPr>
          <w:p w14:paraId="24E22068" w14:textId="77777777" w:rsidR="002323E5" w:rsidRPr="00D979E7" w:rsidRDefault="002323E5" w:rsidP="002320B1">
            <w:pPr>
              <w:pStyle w:val="NoSpacing"/>
              <w:spacing w:before="120"/>
              <w:rPr>
                <w:rFonts w:ascii="Arial" w:eastAsia="Times New Roman" w:hAnsi="Arial" w:cs="Arial"/>
                <w:color w:val="000000"/>
                <w:sz w:val="20"/>
                <w:lang w:eastAsia="en-NZ"/>
              </w:rPr>
            </w:pPr>
            <w:r w:rsidRPr="00D979E7">
              <w:rPr>
                <w:rFonts w:ascii="Arial" w:eastAsia="Times New Roman" w:hAnsi="Arial" w:cs="Arial"/>
                <w:color w:val="000000"/>
                <w:sz w:val="20"/>
                <w:lang w:eastAsia="en-NZ"/>
              </w:rPr>
              <w:t>Total</w:t>
            </w:r>
          </w:p>
        </w:tc>
        <w:tc>
          <w:tcPr>
            <w:tcW w:w="851" w:type="dxa"/>
            <w:shd w:val="clear" w:color="auto" w:fill="D0CECE" w:themeFill="background2" w:themeFillShade="E6"/>
            <w:noWrap/>
            <w:vAlign w:val="bottom"/>
          </w:tcPr>
          <w:p w14:paraId="120204D5" w14:textId="77777777" w:rsidR="002323E5" w:rsidRPr="00D979E7" w:rsidRDefault="002323E5" w:rsidP="002320B1">
            <w:pPr>
              <w:pStyle w:val="NoSpacing"/>
              <w:spacing w:before="120"/>
              <w:rPr>
                <w:rFonts w:ascii="Arial" w:eastAsia="Times New Roman" w:hAnsi="Arial" w:cs="Arial"/>
                <w:color w:val="000000"/>
                <w:sz w:val="20"/>
                <w:lang w:eastAsia="en-NZ"/>
              </w:rPr>
            </w:pPr>
            <w:r w:rsidRPr="00D979E7">
              <w:rPr>
                <w:rFonts w:ascii="Arial" w:hAnsi="Arial" w:cs="Arial"/>
                <w:color w:val="000000"/>
                <w:sz w:val="20"/>
              </w:rPr>
              <w:t> </w:t>
            </w:r>
          </w:p>
        </w:tc>
        <w:tc>
          <w:tcPr>
            <w:tcW w:w="850" w:type="dxa"/>
            <w:shd w:val="clear" w:color="auto" w:fill="D0CECE" w:themeFill="background2" w:themeFillShade="E6"/>
            <w:noWrap/>
            <w:vAlign w:val="bottom"/>
          </w:tcPr>
          <w:p w14:paraId="72802B0E" w14:textId="77777777" w:rsidR="002323E5" w:rsidRPr="00D979E7" w:rsidRDefault="002323E5" w:rsidP="002320B1">
            <w:pPr>
              <w:pStyle w:val="NoSpacing"/>
              <w:spacing w:before="120"/>
              <w:rPr>
                <w:rFonts w:ascii="Arial" w:eastAsia="Times New Roman" w:hAnsi="Arial" w:cs="Arial"/>
                <w:color w:val="000000"/>
                <w:sz w:val="20"/>
                <w:lang w:eastAsia="en-NZ"/>
              </w:rPr>
            </w:pPr>
            <w:r w:rsidRPr="00D979E7">
              <w:rPr>
                <w:rFonts w:ascii="Arial" w:hAnsi="Arial" w:cs="Arial"/>
                <w:color w:val="000000"/>
                <w:sz w:val="20"/>
              </w:rPr>
              <w:t> </w:t>
            </w:r>
          </w:p>
        </w:tc>
        <w:tc>
          <w:tcPr>
            <w:tcW w:w="1418" w:type="dxa"/>
            <w:shd w:val="clear" w:color="auto" w:fill="D0CECE" w:themeFill="background2" w:themeFillShade="E6"/>
            <w:noWrap/>
            <w:vAlign w:val="bottom"/>
          </w:tcPr>
          <w:p w14:paraId="3A00A375" w14:textId="77777777" w:rsidR="002323E5" w:rsidRPr="00D979E7" w:rsidRDefault="002323E5" w:rsidP="002320B1">
            <w:pPr>
              <w:pStyle w:val="NoSpacing"/>
              <w:spacing w:before="120"/>
              <w:rPr>
                <w:rFonts w:ascii="Arial" w:eastAsia="Times New Roman" w:hAnsi="Arial" w:cs="Arial"/>
                <w:color w:val="000000"/>
                <w:sz w:val="20"/>
                <w:lang w:eastAsia="en-NZ"/>
              </w:rPr>
            </w:pPr>
            <w:r w:rsidRPr="00D979E7">
              <w:rPr>
                <w:rFonts w:ascii="Arial" w:hAnsi="Arial" w:cs="Arial"/>
                <w:color w:val="000000"/>
                <w:sz w:val="20"/>
              </w:rPr>
              <w:t>10,402,150</w:t>
            </w:r>
          </w:p>
        </w:tc>
        <w:tc>
          <w:tcPr>
            <w:tcW w:w="1134" w:type="dxa"/>
            <w:shd w:val="clear" w:color="auto" w:fill="D0CECE" w:themeFill="background2" w:themeFillShade="E6"/>
            <w:noWrap/>
            <w:vAlign w:val="bottom"/>
          </w:tcPr>
          <w:p w14:paraId="458BA495" w14:textId="77777777" w:rsidR="002323E5" w:rsidRPr="00D979E7" w:rsidRDefault="002323E5" w:rsidP="002320B1">
            <w:pPr>
              <w:pStyle w:val="NoSpacing"/>
              <w:spacing w:before="120"/>
              <w:rPr>
                <w:rFonts w:ascii="Arial" w:eastAsia="Times New Roman" w:hAnsi="Arial" w:cs="Arial"/>
                <w:i/>
                <w:iCs/>
                <w:color w:val="000000"/>
                <w:sz w:val="20"/>
                <w:lang w:eastAsia="en-NZ"/>
              </w:rPr>
            </w:pPr>
            <w:r w:rsidRPr="00D979E7">
              <w:rPr>
                <w:rFonts w:ascii="Arial" w:hAnsi="Arial" w:cs="Arial"/>
                <w:i/>
                <w:iCs/>
                <w:color w:val="000000"/>
                <w:sz w:val="20"/>
              </w:rPr>
              <w:t>9,813,349</w:t>
            </w:r>
          </w:p>
        </w:tc>
        <w:tc>
          <w:tcPr>
            <w:tcW w:w="1275" w:type="dxa"/>
            <w:shd w:val="clear" w:color="auto" w:fill="D0CECE" w:themeFill="background2" w:themeFillShade="E6"/>
            <w:noWrap/>
            <w:vAlign w:val="bottom"/>
          </w:tcPr>
          <w:p w14:paraId="1935C33F" w14:textId="77777777" w:rsidR="002323E5" w:rsidRPr="00D979E7" w:rsidRDefault="002323E5" w:rsidP="002320B1">
            <w:pPr>
              <w:pStyle w:val="NoSpacing"/>
              <w:spacing w:before="120"/>
              <w:rPr>
                <w:rFonts w:ascii="Arial" w:eastAsia="Times New Roman" w:hAnsi="Arial" w:cs="Arial"/>
                <w:i/>
                <w:iCs/>
                <w:color w:val="000000"/>
                <w:sz w:val="20"/>
                <w:lang w:eastAsia="en-NZ"/>
              </w:rPr>
            </w:pPr>
            <w:r w:rsidRPr="00D979E7">
              <w:rPr>
                <w:rFonts w:ascii="Arial" w:hAnsi="Arial" w:cs="Arial"/>
                <w:i/>
                <w:iCs/>
                <w:color w:val="000000"/>
                <w:sz w:val="20"/>
              </w:rPr>
              <w:t>9,257,876</w:t>
            </w:r>
          </w:p>
        </w:tc>
        <w:tc>
          <w:tcPr>
            <w:tcW w:w="1349" w:type="dxa"/>
            <w:shd w:val="clear" w:color="auto" w:fill="D0CECE" w:themeFill="background2" w:themeFillShade="E6"/>
            <w:vAlign w:val="bottom"/>
          </w:tcPr>
          <w:p w14:paraId="3E8FF691" w14:textId="77777777" w:rsidR="002323E5" w:rsidRPr="00D979E7" w:rsidRDefault="002323E5" w:rsidP="002320B1">
            <w:pPr>
              <w:pStyle w:val="NoSpacing"/>
              <w:spacing w:before="120"/>
              <w:rPr>
                <w:rFonts w:ascii="Arial" w:eastAsia="Times New Roman" w:hAnsi="Arial" w:cs="Arial"/>
                <w:i/>
                <w:iCs/>
                <w:color w:val="000000"/>
                <w:sz w:val="20"/>
                <w:lang w:eastAsia="en-NZ"/>
              </w:rPr>
            </w:pPr>
            <w:r w:rsidRPr="00D979E7">
              <w:rPr>
                <w:rFonts w:ascii="Arial" w:hAnsi="Arial" w:cs="Arial"/>
                <w:color w:val="000000"/>
                <w:sz w:val="20"/>
              </w:rPr>
              <w:t>29,473,374</w:t>
            </w:r>
          </w:p>
        </w:tc>
      </w:tr>
    </w:tbl>
    <w:p w14:paraId="0B3D18E5" w14:textId="77777777" w:rsidR="002323E5" w:rsidRPr="00D979E7" w:rsidRDefault="002323E5" w:rsidP="00271FB7">
      <w:pPr>
        <w:pStyle w:val="NoSpacing"/>
        <w:spacing w:before="120" w:after="120"/>
        <w:rPr>
          <w:rFonts w:ascii="Arial" w:hAnsi="Arial" w:cs="Arial"/>
          <w:i/>
          <w:sz w:val="18"/>
          <w:szCs w:val="18"/>
        </w:rPr>
      </w:pPr>
      <w:r w:rsidRPr="00D979E7">
        <w:rPr>
          <w:rFonts w:ascii="Arial" w:hAnsi="Arial" w:cs="Arial"/>
          <w:i/>
          <w:sz w:val="18"/>
          <w:szCs w:val="18"/>
        </w:rPr>
        <w:t>Note: All costs are extrapolated out using prevented healthcare events in a single year after intervention.</w:t>
      </w:r>
    </w:p>
    <w:p w14:paraId="41F0BF71" w14:textId="77777777" w:rsidR="002323E5" w:rsidRPr="00D979E7" w:rsidRDefault="002323E5" w:rsidP="00271FB7">
      <w:pPr>
        <w:pStyle w:val="NoSpacing"/>
        <w:spacing w:before="120" w:after="120"/>
        <w:rPr>
          <w:rFonts w:ascii="Arial" w:hAnsi="Arial" w:cs="Arial"/>
        </w:rPr>
      </w:pPr>
      <w:r w:rsidRPr="00D979E7">
        <w:rPr>
          <w:rFonts w:ascii="Arial" w:hAnsi="Arial" w:cs="Arial"/>
        </w:rPr>
        <w:lastRenderedPageBreak/>
        <w:t xml:space="preserve">In total, the HHI programme is expected to avert approximately $30 million in costs over a 3-year period. Using the programme cost of approximately $18.5 million, the expected return on investment would be realised in Year 2 of the programme. </w:t>
      </w:r>
    </w:p>
    <w:p w14:paraId="4BED1902" w14:textId="77777777" w:rsidR="002323E5" w:rsidRPr="00D979E7" w:rsidRDefault="002323E5" w:rsidP="00271FB7">
      <w:pPr>
        <w:pStyle w:val="NoSpacing"/>
        <w:spacing w:before="120" w:after="120"/>
        <w:rPr>
          <w:rFonts w:ascii="Arial" w:hAnsi="Arial" w:cs="Arial"/>
        </w:rPr>
      </w:pPr>
      <w:r w:rsidRPr="00D979E7">
        <w:rPr>
          <w:rFonts w:ascii="Arial" w:hAnsi="Arial" w:cs="Arial"/>
        </w:rPr>
        <w:t>This analysis only includes the direct medical costs averted for the referral child and does not include other potential benefits. For example, it is expected that these children would be absent from school less often and that their parents would also be absent from work less often.</w:t>
      </w:r>
    </w:p>
    <w:p w14:paraId="61E53C17" w14:textId="77777777" w:rsidR="002323E5" w:rsidRPr="00D979E7" w:rsidRDefault="002323E5" w:rsidP="00271FB7">
      <w:pPr>
        <w:pStyle w:val="NoSpacing"/>
        <w:spacing w:before="120" w:after="120"/>
        <w:rPr>
          <w:rFonts w:ascii="Arial" w:hAnsi="Arial" w:cs="Arial"/>
          <w:b/>
        </w:rPr>
      </w:pPr>
      <w:bookmarkStart w:id="8" w:name="_Toc13747807"/>
      <w:r w:rsidRPr="00D979E7">
        <w:rPr>
          <w:rFonts w:ascii="Arial" w:hAnsi="Arial" w:cs="Arial"/>
          <w:b/>
        </w:rPr>
        <w:t>Future research</w:t>
      </w:r>
      <w:bookmarkEnd w:id="8"/>
    </w:p>
    <w:p w14:paraId="730845F8" w14:textId="2BB1E074" w:rsidR="002A34CC" w:rsidRPr="00D979E7" w:rsidRDefault="002A34CC" w:rsidP="00271FB7">
      <w:pPr>
        <w:pStyle w:val="NoSpacing"/>
        <w:spacing w:before="120" w:after="120"/>
        <w:rPr>
          <w:rFonts w:ascii="Arial" w:hAnsi="Arial" w:cs="Arial"/>
        </w:rPr>
      </w:pPr>
      <w:r w:rsidRPr="00D979E7">
        <w:rPr>
          <w:rFonts w:ascii="Arial" w:hAnsi="Arial" w:cs="Arial"/>
        </w:rPr>
        <w:t xml:space="preserve">The more detailed extension to this evaluation of the HHIs will capture a broader range of outcomes across a more representative sample of referrals that will inform future developments in the delivery of housing and health interventions. </w:t>
      </w:r>
    </w:p>
    <w:p w14:paraId="323F1A72" w14:textId="39EDB320" w:rsidR="002323E5" w:rsidRPr="00D979E7" w:rsidRDefault="002323E5" w:rsidP="00271FB7">
      <w:pPr>
        <w:pStyle w:val="NoSpacing"/>
        <w:spacing w:before="120" w:after="120"/>
        <w:rPr>
          <w:rFonts w:ascii="Arial" w:hAnsi="Arial" w:cs="Arial"/>
        </w:rPr>
      </w:pPr>
      <w:r w:rsidRPr="00D979E7">
        <w:rPr>
          <w:rFonts w:ascii="Arial" w:hAnsi="Arial" w:cs="Arial"/>
        </w:rPr>
        <w:t xml:space="preserve">For the second phase of this HHI Outcomes Evaluation, </w:t>
      </w:r>
      <w:r w:rsidR="005E15DF" w:rsidRPr="00D979E7">
        <w:rPr>
          <w:rFonts w:ascii="Arial" w:hAnsi="Arial" w:cs="Arial"/>
        </w:rPr>
        <w:t xml:space="preserve">a larger number of HHI referrals will be able to be included in the evaluation as </w:t>
      </w:r>
      <w:r w:rsidRPr="00D979E7">
        <w:rPr>
          <w:rFonts w:ascii="Arial" w:hAnsi="Arial" w:cs="Arial"/>
        </w:rPr>
        <w:t xml:space="preserve">the analysis will control for specific interventions received by individual referrals. This data will be placed in the Integrated Data Infrastructure (IDI), which will also enable a broader range of outcomes (social, as well as health) to be captured for the primary child referred, as well as other household members. </w:t>
      </w:r>
    </w:p>
    <w:p w14:paraId="39E643F5" w14:textId="2754B738" w:rsidR="002323E5" w:rsidRPr="00D979E7" w:rsidRDefault="002323E5" w:rsidP="00271FB7">
      <w:pPr>
        <w:pStyle w:val="NoSpacing"/>
        <w:spacing w:before="120" w:after="120"/>
        <w:rPr>
          <w:rFonts w:ascii="Arial" w:hAnsi="Arial" w:cs="Arial"/>
        </w:rPr>
      </w:pPr>
      <w:r w:rsidRPr="00D979E7">
        <w:rPr>
          <w:rFonts w:ascii="Arial" w:hAnsi="Arial" w:cs="Arial"/>
        </w:rPr>
        <w:t>Use of the IDI will allow a control population</w:t>
      </w:r>
      <w:r w:rsidR="0081177D" w:rsidRPr="00D979E7">
        <w:rPr>
          <w:rFonts w:ascii="Arial" w:hAnsi="Arial" w:cs="Arial"/>
        </w:rPr>
        <w:t xml:space="preserve"> to be identified, which</w:t>
      </w:r>
      <w:r w:rsidRPr="00D979E7">
        <w:rPr>
          <w:rFonts w:ascii="Arial" w:hAnsi="Arial" w:cs="Arial"/>
        </w:rPr>
        <w:t xml:space="preserve"> will ensure that a wider range of HHI referrals </w:t>
      </w:r>
      <w:r w:rsidR="0081177D" w:rsidRPr="00D979E7">
        <w:rPr>
          <w:rFonts w:ascii="Arial" w:hAnsi="Arial" w:cs="Arial"/>
        </w:rPr>
        <w:t xml:space="preserve">across different target populations </w:t>
      </w:r>
      <w:r w:rsidRPr="00D979E7">
        <w:rPr>
          <w:rFonts w:ascii="Arial" w:hAnsi="Arial" w:cs="Arial"/>
        </w:rPr>
        <w:t>(including 0-2 year olds) can be included in the evaluation</w:t>
      </w:r>
      <w:r w:rsidR="0081177D" w:rsidRPr="00D979E7">
        <w:rPr>
          <w:rFonts w:ascii="Arial" w:hAnsi="Arial" w:cs="Arial"/>
        </w:rPr>
        <w:t>. This will also ensure that</w:t>
      </w:r>
      <w:r w:rsidRPr="00D979E7">
        <w:rPr>
          <w:rFonts w:ascii="Arial" w:hAnsi="Arial" w:cs="Arial"/>
        </w:rPr>
        <w:t xml:space="preserve"> appropriate adjustments for effects such as age and selection bias</w:t>
      </w:r>
      <w:r w:rsidR="0081177D" w:rsidRPr="00D979E7">
        <w:rPr>
          <w:rFonts w:ascii="Arial" w:hAnsi="Arial" w:cs="Arial"/>
        </w:rPr>
        <w:t xml:space="preserve"> are made</w:t>
      </w:r>
      <w:r w:rsidRPr="00D979E7">
        <w:rPr>
          <w:rFonts w:ascii="Arial" w:hAnsi="Arial" w:cs="Arial"/>
        </w:rPr>
        <w:t xml:space="preserve"> once again. </w:t>
      </w:r>
    </w:p>
    <w:p w14:paraId="51C9DEDA" w14:textId="77777777" w:rsidR="002323E5" w:rsidRPr="00D979E7" w:rsidRDefault="002323E5" w:rsidP="00271FB7">
      <w:pPr>
        <w:pStyle w:val="NoSpacing"/>
        <w:spacing w:before="120" w:after="120"/>
        <w:rPr>
          <w:rFonts w:ascii="Arial" w:hAnsi="Arial" w:cs="Arial"/>
          <w:b/>
        </w:rPr>
      </w:pPr>
      <w:r w:rsidRPr="00D979E7">
        <w:rPr>
          <w:rFonts w:ascii="Arial" w:hAnsi="Arial" w:cs="Arial"/>
          <w:b/>
        </w:rPr>
        <w:t>Conclusion</w:t>
      </w:r>
    </w:p>
    <w:p w14:paraId="48772AA9" w14:textId="77777777" w:rsidR="002323E5" w:rsidRPr="00D979E7" w:rsidRDefault="002323E5" w:rsidP="00271FB7">
      <w:pPr>
        <w:pStyle w:val="NoSpacing"/>
        <w:spacing w:before="120" w:after="120"/>
        <w:rPr>
          <w:rFonts w:ascii="Arial" w:hAnsi="Arial" w:cs="Arial"/>
        </w:rPr>
      </w:pPr>
      <w:r w:rsidRPr="00D979E7">
        <w:rPr>
          <w:rFonts w:ascii="Arial" w:hAnsi="Arial" w:cs="Arial"/>
        </w:rPr>
        <w:t xml:space="preserve">As at December 2018, the Healthy Homes Initiative (HHI) programme has received 15,330 eligible referrals and delivered over 40,000 interventions to low-income households. These are estimated to have resulted in 1,533 fewer hospitalisations, 9,443 fewer GP visits and 8,784 fewer filled prescriptions in the first year after the programme’s intervention. </w:t>
      </w:r>
    </w:p>
    <w:p w14:paraId="1EAC6A97" w14:textId="77777777" w:rsidR="002323E5" w:rsidRPr="00D979E7" w:rsidRDefault="002323E5" w:rsidP="00271FB7">
      <w:pPr>
        <w:pStyle w:val="NoSpacing"/>
        <w:spacing w:before="120" w:after="120"/>
        <w:rPr>
          <w:rFonts w:ascii="Arial" w:hAnsi="Arial" w:cs="Arial"/>
        </w:rPr>
      </w:pPr>
      <w:r w:rsidRPr="00D979E7">
        <w:rPr>
          <w:rFonts w:ascii="Arial" w:hAnsi="Arial" w:cs="Arial"/>
        </w:rPr>
        <w:t xml:space="preserve">The savings to the health care system due to these reductions are estimated to be approximately $10.4 million. In total, the HHI programme is expected to avert approximately $30 million in health care costs over a 3-year period. The return on investment is expected to be less than two years. </w:t>
      </w:r>
    </w:p>
    <w:p w14:paraId="5781EA7C" w14:textId="77777777" w:rsidR="002323E5" w:rsidRPr="00D979E7" w:rsidRDefault="002323E5" w:rsidP="00271FB7">
      <w:pPr>
        <w:pStyle w:val="NoSpacing"/>
        <w:spacing w:before="120" w:after="120"/>
        <w:rPr>
          <w:rFonts w:ascii="Arial" w:hAnsi="Arial" w:cs="Arial"/>
        </w:rPr>
      </w:pPr>
      <w:r w:rsidRPr="00D979E7">
        <w:rPr>
          <w:rFonts w:ascii="Arial" w:hAnsi="Arial" w:cs="Arial"/>
        </w:rPr>
        <w:t xml:space="preserve">This initial analysis is based only on outcomes from the first year after intervention and only for the referred child. In reality, the benefits will be realised by all household members, and are likely to be long term. Restricting ourselves to just the major health effects for one child per household underestimates the effects of the HHIs. </w:t>
      </w:r>
    </w:p>
    <w:p w14:paraId="26992DCE" w14:textId="77777777" w:rsidR="00823CF2" w:rsidRDefault="00823CF2">
      <w:pPr>
        <w:spacing w:after="160" w:line="259" w:lineRule="auto"/>
        <w:rPr>
          <w:rFonts w:ascii="Arial" w:eastAsiaTheme="majorEastAsia" w:hAnsi="Arial" w:cs="Arial"/>
          <w:color w:val="2E74B5" w:themeColor="accent1" w:themeShade="BF"/>
          <w:sz w:val="32"/>
          <w:szCs w:val="32"/>
        </w:rPr>
      </w:pPr>
      <w:bookmarkStart w:id="9" w:name="_Toc19715030"/>
      <w:r>
        <w:rPr>
          <w:rFonts w:ascii="Arial" w:hAnsi="Arial" w:cs="Arial"/>
        </w:rPr>
        <w:br w:type="page"/>
      </w:r>
    </w:p>
    <w:p w14:paraId="1F64AE2F" w14:textId="1F875A20" w:rsidR="0080115B" w:rsidRPr="00D979E7" w:rsidRDefault="0080115B" w:rsidP="00271FB7">
      <w:pPr>
        <w:pStyle w:val="Heading1"/>
        <w:spacing w:before="120" w:after="120" w:line="240" w:lineRule="auto"/>
        <w:rPr>
          <w:rFonts w:ascii="Arial" w:hAnsi="Arial" w:cs="Arial"/>
        </w:rPr>
      </w:pPr>
      <w:r w:rsidRPr="00D979E7">
        <w:rPr>
          <w:rFonts w:ascii="Arial" w:hAnsi="Arial" w:cs="Arial"/>
        </w:rPr>
        <w:lastRenderedPageBreak/>
        <w:t>Introduction</w:t>
      </w:r>
      <w:r w:rsidR="00B472E3" w:rsidRPr="00D979E7">
        <w:rPr>
          <w:rFonts w:ascii="Arial" w:hAnsi="Arial" w:cs="Arial"/>
        </w:rPr>
        <w:t xml:space="preserve"> to the </w:t>
      </w:r>
      <w:r w:rsidR="00313E50" w:rsidRPr="00D979E7">
        <w:rPr>
          <w:rFonts w:ascii="Arial" w:hAnsi="Arial" w:cs="Arial"/>
        </w:rPr>
        <w:t>HHI Outcome</w:t>
      </w:r>
      <w:r w:rsidR="003D2EA1" w:rsidRPr="00D979E7">
        <w:rPr>
          <w:rFonts w:ascii="Arial" w:hAnsi="Arial" w:cs="Arial"/>
        </w:rPr>
        <w:t>s</w:t>
      </w:r>
      <w:r w:rsidR="00313E50" w:rsidRPr="00D979E7">
        <w:rPr>
          <w:rFonts w:ascii="Arial" w:hAnsi="Arial" w:cs="Arial"/>
        </w:rPr>
        <w:t xml:space="preserve"> Evaluation</w:t>
      </w:r>
      <w:bookmarkEnd w:id="9"/>
    </w:p>
    <w:p w14:paraId="001013BF" w14:textId="7684BBF4" w:rsidR="00754055" w:rsidRPr="00D979E7" w:rsidRDefault="00754055" w:rsidP="00271FB7">
      <w:pPr>
        <w:spacing w:before="120" w:after="120" w:line="240" w:lineRule="auto"/>
        <w:rPr>
          <w:rFonts w:ascii="Arial" w:hAnsi="Arial" w:cs="Arial"/>
        </w:rPr>
      </w:pPr>
      <w:r w:rsidRPr="00D979E7">
        <w:rPr>
          <w:rFonts w:ascii="Arial" w:hAnsi="Arial" w:cs="Arial"/>
        </w:rPr>
        <w:t xml:space="preserve">The </w:t>
      </w:r>
      <w:r w:rsidR="00353AC1" w:rsidRPr="00D979E7">
        <w:rPr>
          <w:rFonts w:ascii="Arial" w:hAnsi="Arial" w:cs="Arial"/>
        </w:rPr>
        <w:t xml:space="preserve">purpose of the </w:t>
      </w:r>
      <w:r w:rsidRPr="00D979E7">
        <w:rPr>
          <w:rFonts w:ascii="Arial" w:hAnsi="Arial" w:cs="Arial"/>
        </w:rPr>
        <w:t xml:space="preserve">Healthy Homes Initiative (HHI) Outcomes Evaluation </w:t>
      </w:r>
      <w:r w:rsidR="00353AC1" w:rsidRPr="00D979E7">
        <w:rPr>
          <w:rFonts w:ascii="Arial" w:hAnsi="Arial" w:cs="Arial"/>
        </w:rPr>
        <w:t>is to</w:t>
      </w:r>
      <w:r w:rsidRPr="00D979E7">
        <w:rPr>
          <w:rFonts w:ascii="Arial" w:hAnsi="Arial" w:cs="Arial"/>
        </w:rPr>
        <w:t xml:space="preserve"> determine whether the HHIs have improved health and social outcomes for families who have taken part, and whether the programme offers value for money.  </w:t>
      </w:r>
    </w:p>
    <w:p w14:paraId="03D2446E" w14:textId="0487020F" w:rsidR="00754055" w:rsidRPr="00D979E7" w:rsidRDefault="00754055" w:rsidP="00271FB7">
      <w:pPr>
        <w:spacing w:before="120" w:after="120" w:line="240" w:lineRule="auto"/>
        <w:rPr>
          <w:rFonts w:ascii="Arial" w:hAnsi="Arial" w:cs="Arial"/>
        </w:rPr>
      </w:pPr>
      <w:r w:rsidRPr="00D979E7">
        <w:rPr>
          <w:rFonts w:ascii="Arial" w:hAnsi="Arial" w:cs="Arial"/>
        </w:rPr>
        <w:t xml:space="preserve">The </w:t>
      </w:r>
      <w:r w:rsidR="00353AC1" w:rsidRPr="00D979E7">
        <w:rPr>
          <w:rFonts w:ascii="Arial" w:hAnsi="Arial" w:cs="Arial"/>
        </w:rPr>
        <w:t>evaluation is</w:t>
      </w:r>
      <w:r w:rsidRPr="00D979E7">
        <w:rPr>
          <w:rFonts w:ascii="Arial" w:hAnsi="Arial" w:cs="Arial"/>
        </w:rPr>
        <w:t xml:space="preserve"> co-funded by the Ministry of Health, Housing New Zealand (HNZ) and the Ministry of </w:t>
      </w:r>
      <w:r w:rsidR="00353AC1" w:rsidRPr="00D979E7">
        <w:rPr>
          <w:rFonts w:ascii="Arial" w:hAnsi="Arial" w:cs="Arial"/>
        </w:rPr>
        <w:t xml:space="preserve">Housing and Urban Development </w:t>
      </w:r>
      <w:r w:rsidRPr="00D979E7">
        <w:rPr>
          <w:rFonts w:ascii="Arial" w:hAnsi="Arial" w:cs="Arial"/>
        </w:rPr>
        <w:t>(M</w:t>
      </w:r>
      <w:r w:rsidR="00353AC1" w:rsidRPr="00D979E7">
        <w:rPr>
          <w:rFonts w:ascii="Arial" w:hAnsi="Arial" w:cs="Arial"/>
        </w:rPr>
        <w:t>HUD</w:t>
      </w:r>
      <w:r w:rsidRPr="00D979E7">
        <w:rPr>
          <w:rFonts w:ascii="Arial" w:hAnsi="Arial" w:cs="Arial"/>
        </w:rPr>
        <w:t>)</w:t>
      </w:r>
      <w:r w:rsidR="00353AC1" w:rsidRPr="00D979E7">
        <w:rPr>
          <w:rFonts w:ascii="Arial" w:hAnsi="Arial" w:cs="Arial"/>
        </w:rPr>
        <w:t>. The findings from this evaluation will inform and enable cross agency efficiencies in the HHI process to support health, social and wellbeing outcomes.</w:t>
      </w:r>
    </w:p>
    <w:p w14:paraId="6C5F61D7" w14:textId="56F7284A" w:rsidR="008B0CEA" w:rsidRPr="00D979E7" w:rsidRDefault="002323E5" w:rsidP="00271FB7">
      <w:pPr>
        <w:pStyle w:val="NoSpacing"/>
        <w:spacing w:before="120" w:after="120"/>
        <w:rPr>
          <w:rFonts w:ascii="Arial" w:hAnsi="Arial" w:cs="Arial"/>
        </w:rPr>
      </w:pPr>
      <w:r w:rsidRPr="00D979E7">
        <w:rPr>
          <w:rFonts w:ascii="Arial" w:hAnsi="Arial" w:cs="Arial"/>
        </w:rPr>
        <w:t xml:space="preserve">The HHI providers identify eligible families, undertake a housing assessment and then work across agencies to facilitate access to a range of interventions to create warmer, drier, healthier homes. At 30 December 2018, 15,330 referrals have been made to the HHIs and over 40,000 interventions have been provided to families. </w:t>
      </w:r>
      <w:r w:rsidR="00494DD3" w:rsidRPr="00D979E7">
        <w:rPr>
          <w:rFonts w:ascii="Arial" w:hAnsi="Arial" w:cs="Arial"/>
        </w:rPr>
        <w:t xml:space="preserve">A process evaluation of the HHIs was completed in May 2018.  Overall, the evaluation found that the HHIs are exceeding or meeting expectations in all key areas and a number of opportunities across agencies were identified to strengthen the model’s effectiveness.   </w:t>
      </w:r>
    </w:p>
    <w:p w14:paraId="2331F32B" w14:textId="77777777" w:rsidR="00AC1BF4" w:rsidRPr="00D979E7" w:rsidRDefault="00E50B8B" w:rsidP="00271FB7">
      <w:pPr>
        <w:spacing w:before="120" w:after="120" w:line="240" w:lineRule="auto"/>
        <w:rPr>
          <w:rFonts w:ascii="Arial" w:hAnsi="Arial" w:cs="Arial"/>
          <w:szCs w:val="20"/>
        </w:rPr>
      </w:pPr>
      <w:r w:rsidRPr="00D979E7">
        <w:rPr>
          <w:rFonts w:ascii="Arial" w:hAnsi="Arial" w:cs="Arial"/>
        </w:rPr>
        <w:t>This is a staged</w:t>
      </w:r>
      <w:r w:rsidRPr="00D979E7">
        <w:rPr>
          <w:rFonts w:ascii="Arial" w:hAnsi="Arial" w:cs="Arial"/>
          <w:szCs w:val="20"/>
        </w:rPr>
        <w:t xml:space="preserve"> evaluation, with this report </w:t>
      </w:r>
      <w:r w:rsidR="00494DD3" w:rsidRPr="00D979E7">
        <w:rPr>
          <w:rFonts w:ascii="Arial" w:hAnsi="Arial" w:cs="Arial"/>
          <w:szCs w:val="20"/>
        </w:rPr>
        <w:t xml:space="preserve">on an interim analysis </w:t>
      </w:r>
      <w:r w:rsidRPr="00D979E7">
        <w:rPr>
          <w:rFonts w:ascii="Arial" w:hAnsi="Arial" w:cs="Arial"/>
          <w:szCs w:val="20"/>
        </w:rPr>
        <w:t xml:space="preserve">including an overview of health outcomes and indicative savings to the health sector in the </w:t>
      </w:r>
      <w:r w:rsidR="008B6BD1" w:rsidRPr="00D979E7">
        <w:rPr>
          <w:rFonts w:ascii="Arial" w:hAnsi="Arial" w:cs="Arial"/>
          <w:szCs w:val="20"/>
        </w:rPr>
        <w:t>first</w:t>
      </w:r>
      <w:r w:rsidRPr="00D979E7">
        <w:rPr>
          <w:rFonts w:ascii="Arial" w:hAnsi="Arial" w:cs="Arial"/>
          <w:szCs w:val="20"/>
        </w:rPr>
        <w:t xml:space="preserve"> year </w:t>
      </w:r>
      <w:r w:rsidR="008B6BD1" w:rsidRPr="00D979E7">
        <w:rPr>
          <w:rFonts w:ascii="Arial" w:hAnsi="Arial" w:cs="Arial"/>
          <w:szCs w:val="20"/>
        </w:rPr>
        <w:t xml:space="preserve">after HHI </w:t>
      </w:r>
      <w:r w:rsidR="0053159C" w:rsidRPr="00D979E7">
        <w:rPr>
          <w:rFonts w:ascii="Arial" w:hAnsi="Arial" w:cs="Arial"/>
          <w:szCs w:val="20"/>
        </w:rPr>
        <w:t xml:space="preserve">service for the </w:t>
      </w:r>
      <w:r w:rsidR="008B6BD1" w:rsidRPr="00D979E7">
        <w:rPr>
          <w:rFonts w:ascii="Arial" w:hAnsi="Arial" w:cs="Arial"/>
          <w:szCs w:val="20"/>
        </w:rPr>
        <w:t>referr</w:t>
      </w:r>
      <w:r w:rsidR="0053159C" w:rsidRPr="00D979E7">
        <w:rPr>
          <w:rFonts w:ascii="Arial" w:hAnsi="Arial" w:cs="Arial"/>
          <w:szCs w:val="20"/>
        </w:rPr>
        <w:t>ed child only</w:t>
      </w:r>
      <w:r w:rsidRPr="00D979E7">
        <w:rPr>
          <w:rFonts w:ascii="Arial" w:hAnsi="Arial" w:cs="Arial"/>
          <w:szCs w:val="20"/>
        </w:rPr>
        <w:t xml:space="preserve">. </w:t>
      </w:r>
    </w:p>
    <w:p w14:paraId="4203A056" w14:textId="75E6D5B3" w:rsidR="00E117B6" w:rsidRPr="00D979E7" w:rsidRDefault="00E50B8B" w:rsidP="007B2451">
      <w:pPr>
        <w:spacing w:before="120" w:after="120" w:line="240" w:lineRule="auto"/>
        <w:rPr>
          <w:rFonts w:ascii="Arial" w:hAnsi="Arial" w:cs="Arial"/>
        </w:rPr>
      </w:pPr>
      <w:r w:rsidRPr="00D979E7">
        <w:rPr>
          <w:rFonts w:ascii="Arial" w:hAnsi="Arial" w:cs="Arial"/>
          <w:szCs w:val="20"/>
        </w:rPr>
        <w:t>The next phase will</w:t>
      </w:r>
      <w:r w:rsidR="00494DD3" w:rsidRPr="00D979E7">
        <w:rPr>
          <w:rFonts w:ascii="Arial" w:hAnsi="Arial" w:cs="Arial"/>
          <w:szCs w:val="20"/>
        </w:rPr>
        <w:t xml:space="preserve"> extend this evaluation of outcomes to also include social benefits in addition to health benefits. That evaluation will build on this interim analysis in a number of ways: it will</w:t>
      </w:r>
      <w:r w:rsidRPr="00D979E7">
        <w:rPr>
          <w:rFonts w:ascii="Arial" w:hAnsi="Arial" w:cs="Arial"/>
        </w:rPr>
        <w:t xml:space="preserve"> use a bigger sample size</w:t>
      </w:r>
      <w:r w:rsidR="00946336" w:rsidRPr="00D979E7">
        <w:rPr>
          <w:rFonts w:ascii="Arial" w:hAnsi="Arial" w:cs="Arial"/>
        </w:rPr>
        <w:t xml:space="preserve"> of referrals to HHI providers</w:t>
      </w:r>
      <w:r w:rsidRPr="00D979E7">
        <w:rPr>
          <w:rFonts w:ascii="Arial" w:hAnsi="Arial" w:cs="Arial"/>
        </w:rPr>
        <w:t xml:space="preserve"> additional methodologies that </w:t>
      </w:r>
      <w:r w:rsidR="00946336" w:rsidRPr="00D979E7">
        <w:rPr>
          <w:rFonts w:ascii="Arial" w:hAnsi="Arial" w:cs="Arial"/>
        </w:rPr>
        <w:t xml:space="preserve">will use controls to allow benefits across each of the four </w:t>
      </w:r>
      <w:r w:rsidR="00494DD3" w:rsidRPr="00D979E7">
        <w:rPr>
          <w:rFonts w:ascii="Arial" w:hAnsi="Arial" w:cs="Arial"/>
        </w:rPr>
        <w:t xml:space="preserve">HHI </w:t>
      </w:r>
      <w:r w:rsidR="00946336" w:rsidRPr="00D979E7">
        <w:rPr>
          <w:rFonts w:ascii="Arial" w:hAnsi="Arial" w:cs="Arial"/>
        </w:rPr>
        <w:t>target populations to be captured, and</w:t>
      </w:r>
      <w:r w:rsidRPr="00D979E7">
        <w:rPr>
          <w:rFonts w:ascii="Arial" w:hAnsi="Arial" w:cs="Arial"/>
        </w:rPr>
        <w:t xml:space="preserve"> longer follow-up periods</w:t>
      </w:r>
      <w:r w:rsidR="00494DD3" w:rsidRPr="00D979E7">
        <w:rPr>
          <w:rFonts w:ascii="Arial" w:hAnsi="Arial" w:cs="Arial"/>
        </w:rPr>
        <w:t xml:space="preserve"> for the primary child referred, as </w:t>
      </w:r>
      <w:r w:rsidR="00DC2E10" w:rsidRPr="00D979E7">
        <w:rPr>
          <w:rFonts w:ascii="Arial" w:hAnsi="Arial" w:cs="Arial"/>
        </w:rPr>
        <w:t xml:space="preserve">capturing benefits for </w:t>
      </w:r>
      <w:r w:rsidR="00494DD3" w:rsidRPr="00D979E7">
        <w:rPr>
          <w:rFonts w:ascii="Arial" w:hAnsi="Arial" w:cs="Arial"/>
        </w:rPr>
        <w:t>other household members</w:t>
      </w:r>
      <w:r w:rsidR="00DC2E10" w:rsidRPr="00D979E7">
        <w:rPr>
          <w:rFonts w:ascii="Arial" w:hAnsi="Arial" w:cs="Arial"/>
        </w:rPr>
        <w:t xml:space="preserve"> that are not currently included</w:t>
      </w:r>
      <w:r w:rsidR="00946336" w:rsidRPr="00D979E7">
        <w:rPr>
          <w:rFonts w:ascii="Arial" w:hAnsi="Arial" w:cs="Arial"/>
        </w:rPr>
        <w:t>. More detailed data from providers on specific interventions that have been received by each intervention will also allow the evaluation to include an investigation of the relative impacts of different interventions. Bringing this data into the IDI will ensure the evaluation can consider</w:t>
      </w:r>
      <w:r w:rsidRPr="00D979E7">
        <w:rPr>
          <w:rFonts w:ascii="Arial" w:hAnsi="Arial" w:cs="Arial"/>
        </w:rPr>
        <w:t xml:space="preserve"> a wider range of health, wellbeing, and social outcomes</w:t>
      </w:r>
      <w:r w:rsidR="00946336" w:rsidRPr="00D979E7">
        <w:rPr>
          <w:rFonts w:ascii="Arial" w:hAnsi="Arial" w:cs="Arial"/>
        </w:rPr>
        <w:t xml:space="preserve"> that the multifaceted approach of the HHIs is designed to support.</w:t>
      </w:r>
    </w:p>
    <w:p w14:paraId="116B583C" w14:textId="798BCC14" w:rsidR="00313E50" w:rsidRPr="00D979E7" w:rsidRDefault="00313E50" w:rsidP="00271FB7">
      <w:pPr>
        <w:pStyle w:val="Heading1"/>
        <w:spacing w:before="120" w:after="120" w:line="240" w:lineRule="auto"/>
        <w:rPr>
          <w:rFonts w:ascii="Arial" w:hAnsi="Arial" w:cs="Arial"/>
        </w:rPr>
      </w:pPr>
      <w:bookmarkStart w:id="10" w:name="_Toc19715031"/>
      <w:r w:rsidRPr="00D979E7">
        <w:rPr>
          <w:rFonts w:ascii="Arial" w:hAnsi="Arial" w:cs="Arial"/>
        </w:rPr>
        <w:t>Background to the HHIs</w:t>
      </w:r>
      <w:bookmarkEnd w:id="10"/>
    </w:p>
    <w:p w14:paraId="747AF43F" w14:textId="5253A873" w:rsidR="0080115B" w:rsidRPr="00D979E7" w:rsidRDefault="0080115B" w:rsidP="00271FB7">
      <w:pPr>
        <w:spacing w:before="120" w:after="120" w:line="240" w:lineRule="auto"/>
        <w:rPr>
          <w:rFonts w:ascii="Arial" w:hAnsi="Arial" w:cs="Arial"/>
        </w:rPr>
      </w:pPr>
      <w:r w:rsidRPr="00D979E7">
        <w:rPr>
          <w:rFonts w:ascii="Arial" w:hAnsi="Arial" w:cs="Arial"/>
        </w:rPr>
        <w:t xml:space="preserve">The aim of the HHIs </w:t>
      </w:r>
      <w:r w:rsidR="00DB1F2F" w:rsidRPr="00D979E7">
        <w:rPr>
          <w:rFonts w:ascii="Arial" w:hAnsi="Arial" w:cs="Arial"/>
        </w:rPr>
        <w:t xml:space="preserve">is </w:t>
      </w:r>
      <w:r w:rsidRPr="00D979E7">
        <w:rPr>
          <w:rFonts w:ascii="Arial" w:hAnsi="Arial" w:cs="Arial"/>
        </w:rPr>
        <w:t>to increase the number of children living in warm, dry and healthy homes and to reduce avoidable hospitalisations</w:t>
      </w:r>
      <w:r w:rsidR="000C2AAE" w:rsidRPr="00D979E7">
        <w:rPr>
          <w:rFonts w:ascii="Arial" w:hAnsi="Arial" w:cs="Arial"/>
        </w:rPr>
        <w:t xml:space="preserve"> and ill health</w:t>
      </w:r>
      <w:r w:rsidR="00DB1F2F" w:rsidRPr="00D979E7">
        <w:rPr>
          <w:rFonts w:ascii="Arial" w:hAnsi="Arial" w:cs="Arial"/>
        </w:rPr>
        <w:t xml:space="preserve"> </w:t>
      </w:r>
      <w:r w:rsidRPr="00D979E7">
        <w:rPr>
          <w:rFonts w:ascii="Arial" w:hAnsi="Arial" w:cs="Arial"/>
        </w:rPr>
        <w:t xml:space="preserve">due to housing-related conditions.   </w:t>
      </w:r>
    </w:p>
    <w:p w14:paraId="2BF9176A" w14:textId="223CF4F8" w:rsidR="0080115B" w:rsidRPr="00D979E7" w:rsidRDefault="0080115B" w:rsidP="00271FB7">
      <w:pPr>
        <w:spacing w:before="120" w:after="120" w:line="240" w:lineRule="auto"/>
        <w:rPr>
          <w:rFonts w:ascii="Arial" w:hAnsi="Arial" w:cs="Arial"/>
        </w:rPr>
      </w:pPr>
      <w:r w:rsidRPr="00D979E7">
        <w:rPr>
          <w:rFonts w:ascii="Arial" w:hAnsi="Arial" w:cs="Arial"/>
        </w:rPr>
        <w:t xml:space="preserve">The HHIs were established between December 2013 and March 2015 and cover 11 District Health Boards (DHBs) with high incidence of rheumatic fever (including Auckland, </w:t>
      </w:r>
      <w:proofErr w:type="spellStart"/>
      <w:r w:rsidRPr="00D979E7">
        <w:rPr>
          <w:rFonts w:ascii="Arial" w:hAnsi="Arial" w:cs="Arial"/>
        </w:rPr>
        <w:t>Waitemat</w:t>
      </w:r>
      <w:r w:rsidR="00711DD7" w:rsidRPr="00D979E7">
        <w:rPr>
          <w:rFonts w:ascii="Arial" w:hAnsi="Arial" w:cs="Arial"/>
        </w:rPr>
        <w:t>ā</w:t>
      </w:r>
      <w:proofErr w:type="spellEnd"/>
      <w:r w:rsidRPr="00D979E7">
        <w:rPr>
          <w:rFonts w:ascii="Arial" w:hAnsi="Arial" w:cs="Arial"/>
        </w:rPr>
        <w:t xml:space="preserve">, Counties Manukau, Northland, Waikato, Hutt Valley, Capital &amp; Coast, Lakes, Bay of Plenty, Hawke’s Bay and </w:t>
      </w:r>
      <w:proofErr w:type="spellStart"/>
      <w:r w:rsidRPr="00D979E7">
        <w:rPr>
          <w:rFonts w:ascii="Arial" w:hAnsi="Arial" w:cs="Arial"/>
        </w:rPr>
        <w:t>Tair</w:t>
      </w:r>
      <w:r w:rsidR="00B472E3" w:rsidRPr="00D979E7">
        <w:rPr>
          <w:rFonts w:ascii="Arial" w:hAnsi="Arial" w:cs="Arial"/>
        </w:rPr>
        <w:t>ā</w:t>
      </w:r>
      <w:r w:rsidRPr="00D979E7">
        <w:rPr>
          <w:rFonts w:ascii="Arial" w:hAnsi="Arial" w:cs="Arial"/>
        </w:rPr>
        <w:t>whiti</w:t>
      </w:r>
      <w:proofErr w:type="spellEnd"/>
      <w:r w:rsidRPr="00D979E7">
        <w:rPr>
          <w:rFonts w:ascii="Arial" w:hAnsi="Arial" w:cs="Arial"/>
        </w:rPr>
        <w:t>). Initially, the HHIs targeted low-income families with children at risk of rheumatic fever who were living in crowded households. The breadth of the programme was expanded in 2016 to focus more broadly on warm, dry and healthy housing for low-income families with 0 to 5 year-old children and pregnant women</w:t>
      </w:r>
      <w:r w:rsidR="00DB1F2F" w:rsidRPr="00D979E7">
        <w:rPr>
          <w:rFonts w:ascii="Arial" w:hAnsi="Arial" w:cs="Arial"/>
        </w:rPr>
        <w:t>. T</w:t>
      </w:r>
      <w:r w:rsidR="006C1CBF" w:rsidRPr="00D979E7">
        <w:rPr>
          <w:rFonts w:ascii="Arial" w:hAnsi="Arial" w:cs="Arial"/>
        </w:rPr>
        <w:t xml:space="preserve">he </w:t>
      </w:r>
      <w:r w:rsidRPr="00D979E7">
        <w:rPr>
          <w:rFonts w:ascii="Arial" w:hAnsi="Arial" w:cs="Arial"/>
        </w:rPr>
        <w:t xml:space="preserve">expanded eligibility criteria include: 0-5 year olds hospitalised with a specified housing-related indicator condition; families with children aged 0-5 years old </w:t>
      </w:r>
      <w:r w:rsidR="000A793A" w:rsidRPr="00D979E7">
        <w:rPr>
          <w:rFonts w:ascii="Arial" w:hAnsi="Arial" w:cs="Arial"/>
        </w:rPr>
        <w:t xml:space="preserve">with at </w:t>
      </w:r>
      <w:r w:rsidRPr="00D979E7">
        <w:rPr>
          <w:rFonts w:ascii="Arial" w:hAnsi="Arial" w:cs="Arial"/>
        </w:rPr>
        <w:t xml:space="preserve">least two of the social investment risk-factors; or pregnant women and </w:t>
      </w:r>
      <w:proofErr w:type="spellStart"/>
      <w:r w:rsidRPr="00D979E7">
        <w:rPr>
          <w:rFonts w:ascii="Arial" w:hAnsi="Arial" w:cs="Arial"/>
        </w:rPr>
        <w:t>newborn</w:t>
      </w:r>
      <w:proofErr w:type="spellEnd"/>
      <w:r w:rsidRPr="00D979E7">
        <w:rPr>
          <w:rFonts w:ascii="Arial" w:hAnsi="Arial" w:cs="Arial"/>
        </w:rPr>
        <w:t xml:space="preserve"> babies. </w:t>
      </w:r>
    </w:p>
    <w:p w14:paraId="258306F5" w14:textId="1E38AB90" w:rsidR="00FA4002" w:rsidRPr="00D979E7" w:rsidRDefault="0080115B" w:rsidP="00271FB7">
      <w:pPr>
        <w:spacing w:before="120" w:after="120" w:line="240" w:lineRule="auto"/>
        <w:rPr>
          <w:rFonts w:ascii="Arial" w:hAnsi="Arial" w:cs="Arial"/>
        </w:rPr>
      </w:pPr>
      <w:r w:rsidRPr="00D979E7">
        <w:rPr>
          <w:rFonts w:ascii="Arial" w:hAnsi="Arial" w:cs="Arial"/>
        </w:rPr>
        <w:t>The HHI</w:t>
      </w:r>
      <w:r w:rsidR="00B91A17" w:rsidRPr="00D979E7">
        <w:rPr>
          <w:rFonts w:ascii="Arial" w:hAnsi="Arial" w:cs="Arial"/>
        </w:rPr>
        <w:t xml:space="preserve"> provider</w:t>
      </w:r>
      <w:r w:rsidRPr="00D979E7">
        <w:rPr>
          <w:rFonts w:ascii="Arial" w:hAnsi="Arial" w:cs="Arial"/>
        </w:rPr>
        <w:t xml:space="preserve">s identify eligible families, undertake a housing assessment and then work </w:t>
      </w:r>
      <w:r w:rsidR="00DC228D" w:rsidRPr="00D979E7">
        <w:rPr>
          <w:rFonts w:ascii="Arial" w:hAnsi="Arial" w:cs="Arial"/>
        </w:rPr>
        <w:t xml:space="preserve">with </w:t>
      </w:r>
      <w:r w:rsidRPr="00D979E7">
        <w:rPr>
          <w:rFonts w:ascii="Arial" w:hAnsi="Arial" w:cs="Arial"/>
        </w:rPr>
        <w:t xml:space="preserve">agencies </w:t>
      </w:r>
      <w:r w:rsidR="00DC228D" w:rsidRPr="00D979E7">
        <w:rPr>
          <w:rFonts w:ascii="Arial" w:hAnsi="Arial" w:cs="Arial"/>
        </w:rPr>
        <w:t xml:space="preserve">and other partners </w:t>
      </w:r>
      <w:r w:rsidRPr="00D979E7">
        <w:rPr>
          <w:rFonts w:ascii="Arial" w:hAnsi="Arial" w:cs="Arial"/>
        </w:rPr>
        <w:t>to facilitate access to a range of interventions to create warmer, drier, healthier homes</w:t>
      </w:r>
      <w:r w:rsidR="001E7AF1" w:rsidRPr="00D979E7">
        <w:rPr>
          <w:rFonts w:ascii="Arial" w:hAnsi="Arial" w:cs="Arial"/>
        </w:rPr>
        <w:t>. These interventions include</w:t>
      </w:r>
      <w:r w:rsidRPr="00D979E7">
        <w:rPr>
          <w:rFonts w:ascii="Arial" w:hAnsi="Arial" w:cs="Arial"/>
        </w:rPr>
        <w:t xml:space="preserve"> insulation, curtains,</w:t>
      </w:r>
      <w:r w:rsidR="00DB1F2F" w:rsidRPr="00D979E7">
        <w:rPr>
          <w:rFonts w:ascii="Arial" w:hAnsi="Arial" w:cs="Arial"/>
        </w:rPr>
        <w:t xml:space="preserve"> heating sources,</w:t>
      </w:r>
      <w:r w:rsidRPr="00D979E7">
        <w:rPr>
          <w:rFonts w:ascii="Arial" w:hAnsi="Arial" w:cs="Arial"/>
        </w:rPr>
        <w:t xml:space="preserve"> </w:t>
      </w:r>
      <w:r w:rsidR="00DB1F2F" w:rsidRPr="00D979E7">
        <w:rPr>
          <w:rFonts w:ascii="Arial" w:hAnsi="Arial" w:cs="Arial"/>
        </w:rPr>
        <w:t xml:space="preserve">minor repairs </w:t>
      </w:r>
      <w:r w:rsidRPr="00D979E7">
        <w:rPr>
          <w:rFonts w:ascii="Arial" w:hAnsi="Arial" w:cs="Arial"/>
        </w:rPr>
        <w:t xml:space="preserve">and </w:t>
      </w:r>
      <w:r w:rsidR="003B03CF" w:rsidRPr="00D979E7">
        <w:rPr>
          <w:rFonts w:ascii="Arial" w:hAnsi="Arial" w:cs="Arial"/>
        </w:rPr>
        <w:t xml:space="preserve">support with </w:t>
      </w:r>
      <w:r w:rsidRPr="00D979E7">
        <w:rPr>
          <w:rFonts w:ascii="Arial" w:hAnsi="Arial" w:cs="Arial"/>
        </w:rPr>
        <w:t xml:space="preserve">private/community/social </w:t>
      </w:r>
      <w:r w:rsidR="00DB1F2F" w:rsidRPr="00D979E7">
        <w:rPr>
          <w:rFonts w:ascii="Arial" w:hAnsi="Arial" w:cs="Arial"/>
        </w:rPr>
        <w:t xml:space="preserve">housing </w:t>
      </w:r>
      <w:r w:rsidRPr="00D979E7">
        <w:rPr>
          <w:rFonts w:ascii="Arial" w:hAnsi="Arial" w:cs="Arial"/>
        </w:rPr>
        <w:t>relocation</w:t>
      </w:r>
      <w:r w:rsidR="003B03CF" w:rsidRPr="00D979E7">
        <w:rPr>
          <w:rFonts w:ascii="Arial" w:hAnsi="Arial" w:cs="Arial"/>
        </w:rPr>
        <w:t xml:space="preserve">s, as well as a wide range of other housing-related interventions or other referrals on to health and </w:t>
      </w:r>
      <w:r w:rsidR="003B03CF" w:rsidRPr="00D979E7">
        <w:rPr>
          <w:rFonts w:ascii="Arial" w:hAnsi="Arial" w:cs="Arial"/>
        </w:rPr>
        <w:lastRenderedPageBreak/>
        <w:t>social agencies</w:t>
      </w:r>
      <w:r w:rsidR="00EF3A1E" w:rsidRPr="00D979E7">
        <w:rPr>
          <w:rFonts w:ascii="Arial" w:hAnsi="Arial" w:cs="Arial"/>
        </w:rPr>
        <w:t>.</w:t>
      </w:r>
      <w:r w:rsidR="00FA4002" w:rsidRPr="00D979E7">
        <w:rPr>
          <w:rFonts w:ascii="Arial" w:hAnsi="Arial" w:cs="Arial"/>
        </w:rPr>
        <w:t xml:space="preserve"> They also </w:t>
      </w:r>
      <w:r w:rsidR="00DA3A41" w:rsidRPr="00D979E7">
        <w:rPr>
          <w:rFonts w:ascii="Arial" w:hAnsi="Arial" w:cs="Arial"/>
        </w:rPr>
        <w:t>provide</w:t>
      </w:r>
      <w:r w:rsidR="00FA4002" w:rsidRPr="00D979E7">
        <w:rPr>
          <w:rFonts w:ascii="Arial" w:hAnsi="Arial" w:cs="Arial"/>
        </w:rPr>
        <w:t xml:space="preserve"> information</w:t>
      </w:r>
      <w:r w:rsidR="00DA3A41" w:rsidRPr="00D979E7">
        <w:rPr>
          <w:rFonts w:ascii="Arial" w:hAnsi="Arial" w:cs="Arial"/>
        </w:rPr>
        <w:t xml:space="preserve"> to families</w:t>
      </w:r>
      <w:r w:rsidR="00FA4002" w:rsidRPr="00D979E7">
        <w:rPr>
          <w:rFonts w:ascii="Arial" w:hAnsi="Arial" w:cs="Arial"/>
        </w:rPr>
        <w:t xml:space="preserve"> about practices to help keep a house warm and dry, and to reduce risks associated with household crowding.</w:t>
      </w:r>
    </w:p>
    <w:p w14:paraId="0344271F" w14:textId="7F1A86DB" w:rsidR="0080115B" w:rsidRPr="00D979E7" w:rsidRDefault="0080115B" w:rsidP="00271FB7">
      <w:pPr>
        <w:spacing w:before="120" w:after="120" w:line="240" w:lineRule="auto"/>
        <w:rPr>
          <w:rFonts w:ascii="Arial" w:hAnsi="Arial" w:cs="Arial"/>
        </w:rPr>
      </w:pPr>
      <w:r w:rsidRPr="00D979E7">
        <w:rPr>
          <w:rFonts w:ascii="Arial" w:hAnsi="Arial" w:cs="Arial"/>
        </w:rPr>
        <w:t xml:space="preserve">Since </w:t>
      </w:r>
      <w:r w:rsidR="0063483D" w:rsidRPr="00D979E7">
        <w:rPr>
          <w:rFonts w:ascii="Arial" w:hAnsi="Arial" w:cs="Arial"/>
        </w:rPr>
        <w:t xml:space="preserve">the </w:t>
      </w:r>
      <w:r w:rsidRPr="00D979E7">
        <w:rPr>
          <w:rFonts w:ascii="Arial" w:hAnsi="Arial" w:cs="Arial"/>
        </w:rPr>
        <w:t xml:space="preserve">inception of the HHIs, the Ministry has worked closely with key government agencies, such as HNZ, </w:t>
      </w:r>
      <w:r w:rsidR="0063483D" w:rsidRPr="00D979E7">
        <w:rPr>
          <w:rFonts w:ascii="Arial" w:hAnsi="Arial" w:cs="Arial"/>
        </w:rPr>
        <w:t xml:space="preserve">the </w:t>
      </w:r>
      <w:r w:rsidRPr="00D979E7">
        <w:rPr>
          <w:rFonts w:ascii="Arial" w:hAnsi="Arial" w:cs="Arial"/>
        </w:rPr>
        <w:t>Ministry of Social Development (MSD), the Energy Efficiency and Conservation Authority (EECA)</w:t>
      </w:r>
      <w:r w:rsidR="00B91A17" w:rsidRPr="00D979E7">
        <w:rPr>
          <w:rFonts w:ascii="Arial" w:hAnsi="Arial" w:cs="Arial"/>
        </w:rPr>
        <w:t>,</w:t>
      </w:r>
      <w:r w:rsidRPr="00D979E7">
        <w:rPr>
          <w:rFonts w:ascii="Arial" w:hAnsi="Arial" w:cs="Arial"/>
        </w:rPr>
        <w:t xml:space="preserve"> the Ministry of Business, Innovation and Employment (MBIE)</w:t>
      </w:r>
      <w:r w:rsidR="00B91A17" w:rsidRPr="00D979E7">
        <w:rPr>
          <w:rFonts w:ascii="Arial" w:hAnsi="Arial" w:cs="Arial"/>
        </w:rPr>
        <w:t xml:space="preserve"> and the Ministry of Housing and Urban Development (MHUD)</w:t>
      </w:r>
      <w:r w:rsidRPr="00D979E7">
        <w:rPr>
          <w:rFonts w:ascii="Arial" w:hAnsi="Arial" w:cs="Arial"/>
        </w:rPr>
        <w:t>, to improve and streamline processes (or to develop new ones) for families most in need.</w:t>
      </w:r>
      <w:r w:rsidR="00B037CD" w:rsidRPr="00D979E7">
        <w:rPr>
          <w:rFonts w:ascii="Arial" w:hAnsi="Arial" w:cs="Arial"/>
        </w:rPr>
        <w:t xml:space="preserve"> </w:t>
      </w:r>
      <w:r w:rsidRPr="00D979E7">
        <w:rPr>
          <w:rFonts w:ascii="Arial" w:hAnsi="Arial" w:cs="Arial"/>
        </w:rPr>
        <w:t xml:space="preserve">As at 30 </w:t>
      </w:r>
      <w:r w:rsidR="00AF6D1D" w:rsidRPr="00D979E7">
        <w:rPr>
          <w:rFonts w:ascii="Arial" w:hAnsi="Arial" w:cs="Arial"/>
        </w:rPr>
        <w:t>December</w:t>
      </w:r>
      <w:r w:rsidRPr="00D979E7">
        <w:rPr>
          <w:rFonts w:ascii="Arial" w:hAnsi="Arial" w:cs="Arial"/>
        </w:rPr>
        <w:t xml:space="preserve"> 2018, </w:t>
      </w:r>
      <w:r w:rsidR="00AF6D1D" w:rsidRPr="00D979E7">
        <w:rPr>
          <w:rFonts w:ascii="Arial" w:hAnsi="Arial" w:cs="Arial"/>
        </w:rPr>
        <w:t>15,330</w:t>
      </w:r>
      <w:r w:rsidRPr="00D979E7">
        <w:rPr>
          <w:rFonts w:ascii="Arial" w:hAnsi="Arial" w:cs="Arial"/>
        </w:rPr>
        <w:t xml:space="preserve"> </w:t>
      </w:r>
      <w:r w:rsidR="00AF6D1D" w:rsidRPr="00D979E7">
        <w:rPr>
          <w:rFonts w:ascii="Arial" w:hAnsi="Arial" w:cs="Arial"/>
        </w:rPr>
        <w:t>referrals have been made to the HHIs and over 40,000</w:t>
      </w:r>
      <w:r w:rsidRPr="00D979E7">
        <w:rPr>
          <w:rFonts w:ascii="Arial" w:hAnsi="Arial" w:cs="Arial"/>
        </w:rPr>
        <w:t xml:space="preserve"> interventions have been provided</w:t>
      </w:r>
      <w:r w:rsidR="00AF6D1D" w:rsidRPr="00D979E7">
        <w:rPr>
          <w:rFonts w:ascii="Arial" w:hAnsi="Arial" w:cs="Arial"/>
        </w:rPr>
        <w:t xml:space="preserve"> to families</w:t>
      </w:r>
      <w:r w:rsidRPr="00D979E7">
        <w:rPr>
          <w:rFonts w:ascii="Arial" w:hAnsi="Arial" w:cs="Arial"/>
        </w:rPr>
        <w:t xml:space="preserve">. </w:t>
      </w:r>
    </w:p>
    <w:p w14:paraId="1DE2EA98" w14:textId="34999848" w:rsidR="00BE587A" w:rsidRPr="00D979E7" w:rsidRDefault="00BE587A" w:rsidP="00271FB7">
      <w:pPr>
        <w:pStyle w:val="Heading1"/>
        <w:spacing w:before="120" w:after="120" w:line="240" w:lineRule="auto"/>
        <w:rPr>
          <w:rFonts w:ascii="Arial" w:hAnsi="Arial" w:cs="Arial"/>
        </w:rPr>
      </w:pPr>
      <w:bookmarkStart w:id="11" w:name="_Toc19715032"/>
      <w:r w:rsidRPr="00D979E7">
        <w:rPr>
          <w:rFonts w:ascii="Arial" w:hAnsi="Arial" w:cs="Arial"/>
        </w:rPr>
        <w:t>Method</w:t>
      </w:r>
      <w:r w:rsidR="00271320" w:rsidRPr="00D979E7">
        <w:rPr>
          <w:rFonts w:ascii="Arial" w:hAnsi="Arial" w:cs="Arial"/>
        </w:rPr>
        <w:t>ology</w:t>
      </w:r>
      <w:bookmarkEnd w:id="11"/>
    </w:p>
    <w:p w14:paraId="52382F4D" w14:textId="7523A32D" w:rsidR="00271320" w:rsidRPr="00D979E7" w:rsidRDefault="00271320" w:rsidP="00271FB7">
      <w:pPr>
        <w:pStyle w:val="Heading2"/>
        <w:spacing w:before="120" w:after="120" w:line="240" w:lineRule="auto"/>
        <w:rPr>
          <w:rFonts w:ascii="Arial" w:hAnsi="Arial" w:cs="Arial"/>
        </w:rPr>
      </w:pPr>
      <w:bookmarkStart w:id="12" w:name="_Toc19715033"/>
      <w:r w:rsidRPr="00D979E7">
        <w:rPr>
          <w:rFonts w:ascii="Arial" w:hAnsi="Arial" w:cs="Arial"/>
        </w:rPr>
        <w:t>Data sources</w:t>
      </w:r>
      <w:bookmarkEnd w:id="12"/>
    </w:p>
    <w:p w14:paraId="7337F2DA" w14:textId="08770B1C" w:rsidR="009C5B7E" w:rsidRPr="00D979E7" w:rsidRDefault="009C5B7E" w:rsidP="00271FB7">
      <w:pPr>
        <w:pStyle w:val="Heading3"/>
        <w:spacing w:before="120" w:after="120" w:line="240" w:lineRule="auto"/>
        <w:rPr>
          <w:rFonts w:ascii="Arial" w:hAnsi="Arial" w:cs="Arial"/>
        </w:rPr>
      </w:pPr>
      <w:bookmarkStart w:id="13" w:name="_Toc19715034"/>
      <w:r w:rsidRPr="00D979E7">
        <w:rPr>
          <w:rFonts w:ascii="Arial" w:hAnsi="Arial" w:cs="Arial"/>
        </w:rPr>
        <w:t>Referral data</w:t>
      </w:r>
      <w:bookmarkEnd w:id="13"/>
      <w:r w:rsidRPr="00D979E7">
        <w:rPr>
          <w:rFonts w:ascii="Arial" w:hAnsi="Arial" w:cs="Arial"/>
        </w:rPr>
        <w:t xml:space="preserve"> </w:t>
      </w:r>
    </w:p>
    <w:p w14:paraId="23160C10" w14:textId="5F10B967" w:rsidR="00937B5C" w:rsidRPr="00D979E7" w:rsidRDefault="00937B5C" w:rsidP="00271FB7">
      <w:pPr>
        <w:spacing w:before="120" w:after="120" w:line="240" w:lineRule="auto"/>
        <w:rPr>
          <w:rFonts w:ascii="Arial" w:hAnsi="Arial" w:cs="Arial"/>
        </w:rPr>
      </w:pPr>
      <w:r w:rsidRPr="00D979E7">
        <w:rPr>
          <w:rFonts w:ascii="Arial" w:hAnsi="Arial" w:cs="Arial"/>
        </w:rPr>
        <w:t xml:space="preserve">HHIs provided data to the evaluation team for </w:t>
      </w:r>
      <w:r w:rsidR="0023488A" w:rsidRPr="00D979E7">
        <w:rPr>
          <w:rFonts w:ascii="Arial" w:hAnsi="Arial" w:cs="Arial"/>
        </w:rPr>
        <w:t xml:space="preserve">HHI </w:t>
      </w:r>
      <w:r w:rsidRPr="00D979E7">
        <w:rPr>
          <w:rFonts w:ascii="Arial" w:hAnsi="Arial" w:cs="Arial"/>
        </w:rPr>
        <w:t>referrals</w:t>
      </w:r>
      <w:r w:rsidR="0023488A" w:rsidRPr="00D979E7">
        <w:rPr>
          <w:rFonts w:ascii="Arial" w:hAnsi="Arial" w:cs="Arial"/>
        </w:rPr>
        <w:t xml:space="preserve"> to their service</w:t>
      </w:r>
      <w:r w:rsidRPr="00D979E7">
        <w:rPr>
          <w:rFonts w:ascii="Arial" w:hAnsi="Arial" w:cs="Arial"/>
        </w:rPr>
        <w:t xml:space="preserve"> tha</w:t>
      </w:r>
      <w:r w:rsidR="0023488A" w:rsidRPr="00D979E7">
        <w:rPr>
          <w:rFonts w:ascii="Arial" w:hAnsi="Arial" w:cs="Arial"/>
        </w:rPr>
        <w:t>t met the criteria outlined in T</w:t>
      </w:r>
      <w:r w:rsidRPr="00D979E7">
        <w:rPr>
          <w:rFonts w:ascii="Arial" w:hAnsi="Arial" w:cs="Arial"/>
        </w:rPr>
        <w:t>able 1.</w:t>
      </w:r>
    </w:p>
    <w:p w14:paraId="3A41EADC" w14:textId="77C3157F" w:rsidR="00937B5C" w:rsidRPr="00D979E7" w:rsidRDefault="00937B5C" w:rsidP="00271FB7">
      <w:pPr>
        <w:spacing w:before="120" w:after="120" w:line="240" w:lineRule="auto"/>
        <w:rPr>
          <w:rFonts w:ascii="Arial" w:hAnsi="Arial" w:cs="Arial"/>
          <w:i/>
          <w:lang w:val="mi-NZ"/>
        </w:rPr>
      </w:pPr>
      <w:r w:rsidRPr="00D979E7">
        <w:rPr>
          <w:rFonts w:ascii="Arial" w:hAnsi="Arial" w:cs="Arial"/>
          <w:b/>
          <w:i/>
          <w:lang w:val="mi-NZ"/>
        </w:rPr>
        <w:t>Table 1:</w:t>
      </w:r>
      <w:r w:rsidR="00271FB7" w:rsidRPr="00D979E7">
        <w:rPr>
          <w:rFonts w:ascii="Arial" w:hAnsi="Arial" w:cs="Arial"/>
          <w:i/>
          <w:lang w:val="mi-NZ"/>
        </w:rPr>
        <w:t xml:space="preserve"> Referral criteria</w:t>
      </w:r>
    </w:p>
    <w:tbl>
      <w:tblPr>
        <w:tblStyle w:val="TableGrid"/>
        <w:tblW w:w="0" w:type="auto"/>
        <w:tblInd w:w="5" w:type="dxa"/>
        <w:tblLook w:val="04A0" w:firstRow="1" w:lastRow="0" w:firstColumn="1" w:lastColumn="0" w:noHBand="0" w:noVBand="1"/>
      </w:tblPr>
      <w:tblGrid>
        <w:gridCol w:w="9011"/>
      </w:tblGrid>
      <w:tr w:rsidR="00937B5C" w:rsidRPr="00D979E7" w14:paraId="4612891B" w14:textId="77777777" w:rsidTr="00BC2510">
        <w:trPr>
          <w:trHeight w:val="290"/>
        </w:trPr>
        <w:tc>
          <w:tcPr>
            <w:tcW w:w="0" w:type="auto"/>
          </w:tcPr>
          <w:p w14:paraId="0DDBD8A2" w14:textId="77777777" w:rsidR="00937B5C" w:rsidRPr="00D979E7" w:rsidRDefault="00937B5C" w:rsidP="002320B1">
            <w:pPr>
              <w:spacing w:before="120" w:after="0" w:line="240" w:lineRule="auto"/>
              <w:rPr>
                <w:rFonts w:ascii="Arial" w:hAnsi="Arial" w:cs="Arial"/>
                <w:lang w:val="mi-NZ"/>
              </w:rPr>
            </w:pPr>
            <w:r w:rsidRPr="00D979E7">
              <w:rPr>
                <w:rFonts w:ascii="Arial" w:hAnsi="Arial" w:cs="Arial"/>
                <w:lang w:val="mi-NZ"/>
              </w:rPr>
              <w:t>Include whānau if:</w:t>
            </w:r>
          </w:p>
        </w:tc>
      </w:tr>
      <w:tr w:rsidR="00937B5C" w:rsidRPr="00D979E7" w14:paraId="5D021396" w14:textId="77777777" w:rsidTr="00BC2510">
        <w:tc>
          <w:tcPr>
            <w:tcW w:w="0" w:type="auto"/>
          </w:tcPr>
          <w:p w14:paraId="5022AADF" w14:textId="1B743D46" w:rsidR="00937B5C" w:rsidRPr="00D979E7" w:rsidRDefault="00937B5C" w:rsidP="002320B1">
            <w:pPr>
              <w:pStyle w:val="ListParagraph"/>
              <w:numPr>
                <w:ilvl w:val="0"/>
                <w:numId w:val="4"/>
              </w:numPr>
              <w:spacing w:before="120" w:after="0" w:line="240" w:lineRule="auto"/>
              <w:rPr>
                <w:rFonts w:ascii="Arial" w:hAnsi="Arial" w:cs="Arial"/>
                <w:lang w:val="mi-NZ"/>
              </w:rPr>
            </w:pPr>
            <w:r w:rsidRPr="00D979E7">
              <w:rPr>
                <w:rFonts w:ascii="Arial" w:hAnsi="Arial" w:cs="Arial"/>
                <w:lang w:val="mi-NZ"/>
              </w:rPr>
              <w:t xml:space="preserve">You </w:t>
            </w:r>
            <w:r w:rsidRPr="00D979E7">
              <w:rPr>
                <w:rFonts w:ascii="Arial" w:hAnsi="Arial" w:cs="Arial"/>
                <w:b/>
                <w:lang w:val="mi-NZ"/>
              </w:rPr>
              <w:t>have</w:t>
            </w:r>
            <w:r w:rsidRPr="00D979E7">
              <w:rPr>
                <w:rFonts w:ascii="Arial" w:hAnsi="Arial" w:cs="Arial"/>
                <w:lang w:val="mi-NZ"/>
              </w:rPr>
              <w:t xml:space="preserve"> the </w:t>
            </w:r>
            <w:r w:rsidRPr="00D979E7">
              <w:rPr>
                <w:rFonts w:ascii="Arial" w:hAnsi="Arial" w:cs="Arial"/>
                <w:u w:val="single"/>
                <w:lang w:val="mi-NZ"/>
              </w:rPr>
              <w:t>N</w:t>
            </w:r>
            <w:r w:rsidR="003B03CF" w:rsidRPr="00D979E7">
              <w:rPr>
                <w:rFonts w:ascii="Arial" w:hAnsi="Arial" w:cs="Arial"/>
                <w:u w:val="single"/>
                <w:lang w:val="mi-NZ"/>
              </w:rPr>
              <w:t xml:space="preserve">ational </w:t>
            </w:r>
            <w:r w:rsidRPr="00D979E7">
              <w:rPr>
                <w:rFonts w:ascii="Arial" w:hAnsi="Arial" w:cs="Arial"/>
                <w:u w:val="single"/>
                <w:lang w:val="mi-NZ"/>
              </w:rPr>
              <w:t>H</w:t>
            </w:r>
            <w:r w:rsidR="003B03CF" w:rsidRPr="00D979E7">
              <w:rPr>
                <w:rFonts w:ascii="Arial" w:hAnsi="Arial" w:cs="Arial"/>
                <w:u w:val="single"/>
                <w:lang w:val="mi-NZ"/>
              </w:rPr>
              <w:t>ealth Index (NHI) number</w:t>
            </w:r>
            <w:r w:rsidRPr="00D979E7">
              <w:rPr>
                <w:rFonts w:ascii="Arial" w:hAnsi="Arial" w:cs="Arial"/>
                <w:lang w:val="mi-NZ"/>
              </w:rPr>
              <w:t xml:space="preserve"> of referred client and/or the NHI of others in the household. </w:t>
            </w:r>
          </w:p>
        </w:tc>
      </w:tr>
      <w:tr w:rsidR="00937B5C" w:rsidRPr="00D979E7" w14:paraId="74E33173" w14:textId="77777777" w:rsidTr="00BC2510">
        <w:tc>
          <w:tcPr>
            <w:tcW w:w="0" w:type="auto"/>
          </w:tcPr>
          <w:p w14:paraId="33B654E2" w14:textId="77777777" w:rsidR="00937B5C" w:rsidRPr="00D979E7" w:rsidRDefault="00937B5C" w:rsidP="002320B1">
            <w:pPr>
              <w:pStyle w:val="ListParagraph"/>
              <w:numPr>
                <w:ilvl w:val="0"/>
                <w:numId w:val="4"/>
              </w:numPr>
              <w:spacing w:before="120" w:after="0" w:line="240" w:lineRule="auto"/>
              <w:rPr>
                <w:rFonts w:ascii="Arial" w:hAnsi="Arial" w:cs="Arial"/>
                <w:lang w:val="mi-NZ"/>
              </w:rPr>
            </w:pPr>
            <w:r w:rsidRPr="00D979E7">
              <w:rPr>
                <w:rFonts w:ascii="Arial" w:hAnsi="Arial" w:cs="Arial"/>
                <w:lang w:val="mi-NZ"/>
              </w:rPr>
              <w:t xml:space="preserve">You </w:t>
            </w:r>
            <w:r w:rsidRPr="00D979E7">
              <w:rPr>
                <w:rFonts w:ascii="Arial" w:hAnsi="Arial" w:cs="Arial"/>
                <w:b/>
                <w:lang w:val="mi-NZ"/>
              </w:rPr>
              <w:t>know</w:t>
            </w:r>
            <w:r w:rsidRPr="00D979E7">
              <w:rPr>
                <w:rFonts w:ascii="Arial" w:hAnsi="Arial" w:cs="Arial"/>
                <w:lang w:val="mi-NZ"/>
              </w:rPr>
              <w:t xml:space="preserve"> the earliest and latest </w:t>
            </w:r>
            <w:r w:rsidRPr="00D979E7">
              <w:rPr>
                <w:rFonts w:ascii="Arial" w:hAnsi="Arial" w:cs="Arial"/>
                <w:u w:val="single"/>
                <w:lang w:val="mi-NZ"/>
              </w:rPr>
              <w:t>date(s)</w:t>
            </w:r>
            <w:r w:rsidRPr="00D979E7">
              <w:rPr>
                <w:rFonts w:ascii="Arial" w:hAnsi="Arial" w:cs="Arial"/>
                <w:lang w:val="mi-NZ"/>
              </w:rPr>
              <w:t xml:space="preserve"> of the intervention(s) being received. If this isn’t available, you have the date of the housing assessment or the date that the referral was sent to you.</w:t>
            </w:r>
          </w:p>
        </w:tc>
      </w:tr>
      <w:tr w:rsidR="00937B5C" w:rsidRPr="00D979E7" w14:paraId="7ECCA18D" w14:textId="77777777" w:rsidTr="00BC2510">
        <w:tc>
          <w:tcPr>
            <w:tcW w:w="0" w:type="auto"/>
          </w:tcPr>
          <w:p w14:paraId="4AECF054" w14:textId="77777777" w:rsidR="00937B5C" w:rsidRPr="00D979E7" w:rsidRDefault="00937B5C" w:rsidP="002320B1">
            <w:pPr>
              <w:pStyle w:val="ListParagraph"/>
              <w:numPr>
                <w:ilvl w:val="0"/>
                <w:numId w:val="4"/>
              </w:numPr>
              <w:spacing w:before="120" w:after="0" w:line="240" w:lineRule="auto"/>
              <w:rPr>
                <w:rFonts w:ascii="Arial" w:hAnsi="Arial" w:cs="Arial"/>
                <w:lang w:val="mi-NZ"/>
              </w:rPr>
            </w:pPr>
            <w:r w:rsidRPr="00D979E7">
              <w:rPr>
                <w:rFonts w:ascii="Arial" w:hAnsi="Arial" w:cs="Arial"/>
                <w:lang w:val="mi-NZ"/>
              </w:rPr>
              <w:t xml:space="preserve">You are </w:t>
            </w:r>
            <w:r w:rsidRPr="00D979E7">
              <w:rPr>
                <w:rFonts w:ascii="Arial" w:hAnsi="Arial" w:cs="Arial"/>
                <w:b/>
                <w:lang w:val="mi-NZ"/>
              </w:rPr>
              <w:t>confident</w:t>
            </w:r>
            <w:r w:rsidRPr="00D979E7">
              <w:rPr>
                <w:rFonts w:ascii="Arial" w:hAnsi="Arial" w:cs="Arial"/>
                <w:lang w:val="mi-NZ"/>
              </w:rPr>
              <w:t xml:space="preserve"> this whānau has moved through the HHI process (including interventions) in a way that you’re happy with, and this whānau has successfully received at </w:t>
            </w:r>
            <w:r w:rsidRPr="00D979E7">
              <w:rPr>
                <w:rFonts w:ascii="Arial" w:hAnsi="Arial" w:cs="Arial"/>
                <w:i/>
                <w:lang w:val="mi-NZ"/>
              </w:rPr>
              <w:t>least</w:t>
            </w:r>
            <w:r w:rsidRPr="00D979E7">
              <w:rPr>
                <w:rFonts w:ascii="Arial" w:hAnsi="Arial" w:cs="Arial"/>
                <w:lang w:val="mi-NZ"/>
              </w:rPr>
              <w:t xml:space="preserve"> one intervention. </w:t>
            </w:r>
          </w:p>
        </w:tc>
      </w:tr>
      <w:tr w:rsidR="00937B5C" w:rsidRPr="00D979E7" w14:paraId="462D41B9" w14:textId="77777777" w:rsidTr="00BC2510">
        <w:tc>
          <w:tcPr>
            <w:tcW w:w="0" w:type="auto"/>
          </w:tcPr>
          <w:p w14:paraId="0B5E92AA" w14:textId="77777777" w:rsidR="00937B5C" w:rsidRPr="00D979E7" w:rsidRDefault="00937B5C" w:rsidP="002320B1">
            <w:pPr>
              <w:pStyle w:val="ListParagraph"/>
              <w:numPr>
                <w:ilvl w:val="0"/>
                <w:numId w:val="4"/>
              </w:numPr>
              <w:spacing w:before="120" w:after="0" w:line="240" w:lineRule="auto"/>
              <w:rPr>
                <w:rFonts w:ascii="Arial" w:hAnsi="Arial" w:cs="Arial"/>
                <w:lang w:val="mi-NZ"/>
              </w:rPr>
            </w:pPr>
            <w:r w:rsidRPr="00D979E7">
              <w:rPr>
                <w:rFonts w:ascii="Arial" w:hAnsi="Arial" w:cs="Arial"/>
                <w:lang w:val="mi-NZ"/>
              </w:rPr>
              <w:t>The</w:t>
            </w:r>
            <w:r w:rsidRPr="00D979E7">
              <w:rPr>
                <w:rFonts w:ascii="Arial" w:hAnsi="Arial" w:cs="Arial"/>
                <w:b/>
                <w:lang w:val="mi-NZ"/>
              </w:rPr>
              <w:t xml:space="preserve"> whānau received interventions </w:t>
            </w:r>
            <w:r w:rsidRPr="00D979E7">
              <w:rPr>
                <w:rFonts w:ascii="Arial" w:hAnsi="Arial" w:cs="Arial"/>
                <w:lang w:val="mi-NZ"/>
              </w:rPr>
              <w:t xml:space="preserve">at any point during </w:t>
            </w:r>
            <w:r w:rsidRPr="00D979E7">
              <w:rPr>
                <w:rFonts w:ascii="Arial" w:hAnsi="Arial" w:cs="Arial"/>
                <w:b/>
                <w:lang w:val="mi-NZ"/>
              </w:rPr>
              <w:t>2015 and 2017.</w:t>
            </w:r>
            <w:r w:rsidRPr="00D979E7">
              <w:rPr>
                <w:rFonts w:ascii="Arial" w:hAnsi="Arial" w:cs="Arial"/>
                <w:lang w:val="mi-NZ"/>
              </w:rPr>
              <w:t xml:space="preserve"> </w:t>
            </w:r>
          </w:p>
        </w:tc>
      </w:tr>
    </w:tbl>
    <w:p w14:paraId="05D20B98" w14:textId="184F2105" w:rsidR="00946336" w:rsidRPr="00D979E7" w:rsidRDefault="00937B5C" w:rsidP="00271FB7">
      <w:pPr>
        <w:spacing w:before="120" w:after="120" w:line="240" w:lineRule="auto"/>
        <w:rPr>
          <w:rFonts w:ascii="Arial" w:hAnsi="Arial" w:cs="Arial"/>
        </w:rPr>
      </w:pPr>
      <w:r w:rsidRPr="00D979E7">
        <w:rPr>
          <w:rFonts w:ascii="Arial" w:hAnsi="Arial" w:cs="Arial"/>
        </w:rPr>
        <w:t xml:space="preserve">The HHI providers supplied the </w:t>
      </w:r>
      <w:r w:rsidR="00BE587A" w:rsidRPr="00D979E7">
        <w:rPr>
          <w:rFonts w:ascii="Arial" w:hAnsi="Arial" w:cs="Arial"/>
        </w:rPr>
        <w:t>NHIs</w:t>
      </w:r>
      <w:r w:rsidR="008632FD" w:rsidRPr="00D979E7">
        <w:rPr>
          <w:rFonts w:ascii="Arial" w:hAnsi="Arial" w:cs="Arial"/>
        </w:rPr>
        <w:t xml:space="preserve"> (of both </w:t>
      </w:r>
      <w:r w:rsidR="007D760C" w:rsidRPr="00D979E7">
        <w:rPr>
          <w:rFonts w:ascii="Arial" w:hAnsi="Arial" w:cs="Arial"/>
        </w:rPr>
        <w:t xml:space="preserve">the </w:t>
      </w:r>
      <w:r w:rsidR="008632FD" w:rsidRPr="00D979E7">
        <w:rPr>
          <w:rFonts w:ascii="Arial" w:hAnsi="Arial" w:cs="Arial"/>
        </w:rPr>
        <w:t>primary client and household members, where available)</w:t>
      </w:r>
      <w:r w:rsidR="00BE587A" w:rsidRPr="00D979E7">
        <w:rPr>
          <w:rFonts w:ascii="Arial" w:hAnsi="Arial" w:cs="Arial"/>
        </w:rPr>
        <w:t xml:space="preserve">, </w:t>
      </w:r>
      <w:r w:rsidR="008632FD" w:rsidRPr="00D979E7">
        <w:rPr>
          <w:rFonts w:ascii="Arial" w:hAnsi="Arial" w:cs="Arial"/>
        </w:rPr>
        <w:t xml:space="preserve">earliest </w:t>
      </w:r>
      <w:r w:rsidR="00BE587A" w:rsidRPr="00D979E7">
        <w:rPr>
          <w:rFonts w:ascii="Arial" w:hAnsi="Arial" w:cs="Arial"/>
        </w:rPr>
        <w:t xml:space="preserve">date of </w:t>
      </w:r>
      <w:r w:rsidR="003401C3" w:rsidRPr="00D979E7">
        <w:rPr>
          <w:rFonts w:ascii="Arial" w:hAnsi="Arial" w:cs="Arial"/>
        </w:rPr>
        <w:t>earliest</w:t>
      </w:r>
      <w:r w:rsidR="00BE587A" w:rsidRPr="00D979E7">
        <w:rPr>
          <w:rFonts w:ascii="Arial" w:hAnsi="Arial" w:cs="Arial"/>
        </w:rPr>
        <w:t xml:space="preserve"> intervention and </w:t>
      </w:r>
      <w:r w:rsidR="008632FD" w:rsidRPr="00D979E7">
        <w:rPr>
          <w:rFonts w:ascii="Arial" w:hAnsi="Arial" w:cs="Arial"/>
        </w:rPr>
        <w:t xml:space="preserve">the </w:t>
      </w:r>
      <w:r w:rsidR="00BE587A" w:rsidRPr="00D979E7">
        <w:rPr>
          <w:rFonts w:ascii="Arial" w:hAnsi="Arial" w:cs="Arial"/>
        </w:rPr>
        <w:t xml:space="preserve">date of </w:t>
      </w:r>
      <w:r w:rsidR="003401C3" w:rsidRPr="00D979E7">
        <w:rPr>
          <w:rFonts w:ascii="Arial" w:hAnsi="Arial" w:cs="Arial"/>
        </w:rPr>
        <w:t>latest</w:t>
      </w:r>
      <w:r w:rsidR="00BE587A" w:rsidRPr="00D979E7">
        <w:rPr>
          <w:rFonts w:ascii="Arial" w:hAnsi="Arial" w:cs="Arial"/>
        </w:rPr>
        <w:t xml:space="preserve"> intervention</w:t>
      </w:r>
      <w:r w:rsidR="008632FD" w:rsidRPr="00D979E7">
        <w:rPr>
          <w:rFonts w:ascii="Arial" w:hAnsi="Arial" w:cs="Arial"/>
        </w:rPr>
        <w:t>.</w:t>
      </w:r>
      <w:r w:rsidR="00174113" w:rsidRPr="00D979E7">
        <w:rPr>
          <w:rFonts w:ascii="Arial" w:hAnsi="Arial" w:cs="Arial"/>
        </w:rPr>
        <w:t xml:space="preserve"> </w:t>
      </w:r>
      <w:r w:rsidR="00946336" w:rsidRPr="00D979E7">
        <w:rPr>
          <w:rFonts w:ascii="Arial" w:hAnsi="Arial" w:cs="Arial"/>
        </w:rPr>
        <w:t>Additional information requested was the tenure of the property assessed and whether the referral met the rheumatic fever or 0-5 eligibility criteria.</w:t>
      </w:r>
    </w:p>
    <w:p w14:paraId="1EE919E5" w14:textId="0193C118" w:rsidR="00174113" w:rsidRPr="00D979E7" w:rsidRDefault="00F67D23" w:rsidP="00271FB7">
      <w:pPr>
        <w:spacing w:before="120" w:after="120" w:line="240" w:lineRule="auto"/>
        <w:rPr>
          <w:rFonts w:ascii="Arial" w:hAnsi="Arial" w:cs="Arial"/>
        </w:rPr>
      </w:pPr>
      <w:r w:rsidRPr="00D979E7">
        <w:rPr>
          <w:rFonts w:ascii="Arial" w:hAnsi="Arial" w:cs="Arial"/>
        </w:rPr>
        <w:t xml:space="preserve">The earliest intervention date </w:t>
      </w:r>
      <w:r w:rsidR="00DC228D" w:rsidRPr="00D979E7">
        <w:rPr>
          <w:rFonts w:ascii="Arial" w:hAnsi="Arial" w:cs="Arial"/>
        </w:rPr>
        <w:t xml:space="preserve">refers to </w:t>
      </w:r>
      <w:r w:rsidRPr="00D979E7">
        <w:rPr>
          <w:rFonts w:ascii="Arial" w:hAnsi="Arial" w:cs="Arial"/>
        </w:rPr>
        <w:t xml:space="preserve">the earliest date that any intervention was delivered to a </w:t>
      </w:r>
      <w:proofErr w:type="spellStart"/>
      <w:r w:rsidRPr="00D979E7">
        <w:rPr>
          <w:rFonts w:ascii="Arial" w:hAnsi="Arial" w:cs="Arial"/>
        </w:rPr>
        <w:t>whānau</w:t>
      </w:r>
      <w:proofErr w:type="spellEnd"/>
      <w:r w:rsidRPr="00D979E7">
        <w:rPr>
          <w:rFonts w:ascii="Arial" w:hAnsi="Arial" w:cs="Arial"/>
        </w:rPr>
        <w:t xml:space="preserve">. The date of housing assessment </w:t>
      </w:r>
      <w:r w:rsidR="00957793" w:rsidRPr="00D979E7">
        <w:rPr>
          <w:rFonts w:ascii="Arial" w:hAnsi="Arial" w:cs="Arial"/>
        </w:rPr>
        <w:t>i</w:t>
      </w:r>
      <w:r w:rsidRPr="00D979E7">
        <w:rPr>
          <w:rFonts w:ascii="Arial" w:hAnsi="Arial" w:cs="Arial"/>
        </w:rPr>
        <w:t xml:space="preserve">s </w:t>
      </w:r>
      <w:r w:rsidR="00957793" w:rsidRPr="00D979E7">
        <w:rPr>
          <w:rFonts w:ascii="Arial" w:hAnsi="Arial" w:cs="Arial"/>
        </w:rPr>
        <w:t>when</w:t>
      </w:r>
      <w:r w:rsidRPr="00D979E7">
        <w:rPr>
          <w:rFonts w:ascii="Arial" w:hAnsi="Arial" w:cs="Arial"/>
        </w:rPr>
        <w:t xml:space="preserve"> assessors provide the household with key messages for healthy homes behaviour and/or a mould kit. The latest date of intervention </w:t>
      </w:r>
      <w:r w:rsidR="00957793" w:rsidRPr="00D979E7">
        <w:rPr>
          <w:rFonts w:ascii="Arial" w:hAnsi="Arial" w:cs="Arial"/>
        </w:rPr>
        <w:t>i</w:t>
      </w:r>
      <w:r w:rsidRPr="00D979E7">
        <w:rPr>
          <w:rFonts w:ascii="Arial" w:hAnsi="Arial" w:cs="Arial"/>
        </w:rPr>
        <w:t xml:space="preserve">s the date after which there was no substantial engagement with the </w:t>
      </w:r>
      <w:proofErr w:type="spellStart"/>
      <w:r w:rsidRPr="00D979E7">
        <w:rPr>
          <w:rFonts w:ascii="Arial" w:hAnsi="Arial" w:cs="Arial"/>
        </w:rPr>
        <w:t>whānau</w:t>
      </w:r>
      <w:proofErr w:type="spellEnd"/>
      <w:r w:rsidRPr="00D979E7">
        <w:rPr>
          <w:rFonts w:ascii="Arial" w:hAnsi="Arial" w:cs="Arial"/>
        </w:rPr>
        <w:t xml:space="preserve"> in terms of delivering any further interventions. </w:t>
      </w:r>
      <w:r w:rsidR="000B4846" w:rsidRPr="00D979E7">
        <w:rPr>
          <w:rFonts w:ascii="Arial" w:hAnsi="Arial" w:cs="Arial"/>
        </w:rPr>
        <w:t>Many providers continue to keep clients on their books in an attempt to get needed interventions no matter the time delay.</w:t>
      </w:r>
      <w:r w:rsidR="003B03CF" w:rsidRPr="00D979E7">
        <w:rPr>
          <w:rFonts w:ascii="Arial" w:hAnsi="Arial" w:cs="Arial"/>
        </w:rPr>
        <w:t xml:space="preserve"> </w:t>
      </w:r>
      <w:r w:rsidR="00957793" w:rsidRPr="00D979E7">
        <w:rPr>
          <w:rFonts w:ascii="Arial" w:hAnsi="Arial" w:cs="Arial"/>
        </w:rPr>
        <w:t>F</w:t>
      </w:r>
      <w:r w:rsidR="000B4846" w:rsidRPr="00D979E7">
        <w:rPr>
          <w:rFonts w:ascii="Arial" w:hAnsi="Arial" w:cs="Arial"/>
        </w:rPr>
        <w:t>or th</w:t>
      </w:r>
      <w:r w:rsidR="00957793" w:rsidRPr="00D979E7">
        <w:rPr>
          <w:rFonts w:ascii="Arial" w:hAnsi="Arial" w:cs="Arial"/>
        </w:rPr>
        <w:t>e</w:t>
      </w:r>
      <w:r w:rsidR="000B4846" w:rsidRPr="00D979E7">
        <w:rPr>
          <w:rFonts w:ascii="Arial" w:hAnsi="Arial" w:cs="Arial"/>
        </w:rPr>
        <w:t xml:space="preserve"> analysis </w:t>
      </w:r>
      <w:r w:rsidR="00957793" w:rsidRPr="00D979E7">
        <w:rPr>
          <w:rFonts w:ascii="Arial" w:hAnsi="Arial" w:cs="Arial"/>
        </w:rPr>
        <w:t xml:space="preserve">it has been </w:t>
      </w:r>
      <w:r w:rsidR="000B4846" w:rsidRPr="00D979E7">
        <w:rPr>
          <w:rFonts w:ascii="Arial" w:hAnsi="Arial" w:cs="Arial"/>
        </w:rPr>
        <w:t xml:space="preserve">assumed that the latest date provided for each referral represented the end of substantial HHI engagement of a </w:t>
      </w:r>
      <w:proofErr w:type="spellStart"/>
      <w:r w:rsidR="000B4846" w:rsidRPr="00D979E7">
        <w:rPr>
          <w:rFonts w:ascii="Arial" w:hAnsi="Arial" w:cs="Arial"/>
        </w:rPr>
        <w:t>whānau</w:t>
      </w:r>
      <w:proofErr w:type="spellEnd"/>
      <w:r w:rsidR="000B4846" w:rsidRPr="00D979E7">
        <w:rPr>
          <w:rFonts w:ascii="Arial" w:hAnsi="Arial" w:cs="Arial"/>
        </w:rPr>
        <w:t xml:space="preserve"> for a given referral. </w:t>
      </w:r>
    </w:p>
    <w:p w14:paraId="4897BCE5" w14:textId="7C8FD8C6" w:rsidR="00BE587A" w:rsidRPr="00D979E7" w:rsidRDefault="008632FD" w:rsidP="00271FB7">
      <w:pPr>
        <w:spacing w:before="120" w:after="120" w:line="240" w:lineRule="auto"/>
        <w:rPr>
          <w:rFonts w:ascii="Arial" w:hAnsi="Arial" w:cs="Arial"/>
        </w:rPr>
      </w:pPr>
      <w:r w:rsidRPr="00D979E7">
        <w:rPr>
          <w:rFonts w:ascii="Arial" w:hAnsi="Arial" w:cs="Arial"/>
        </w:rPr>
        <w:t xml:space="preserve">By the end of January 2018, all information had been supplied </w:t>
      </w:r>
      <w:r w:rsidR="00174113" w:rsidRPr="00D979E7">
        <w:rPr>
          <w:rFonts w:ascii="Arial" w:hAnsi="Arial" w:cs="Arial"/>
        </w:rPr>
        <w:t xml:space="preserve">by </w:t>
      </w:r>
      <w:r w:rsidR="00946336" w:rsidRPr="00D979E7">
        <w:rPr>
          <w:rFonts w:ascii="Arial" w:hAnsi="Arial" w:cs="Arial"/>
        </w:rPr>
        <w:t xml:space="preserve">providers in </w:t>
      </w:r>
      <w:r w:rsidR="00174113" w:rsidRPr="00D979E7">
        <w:rPr>
          <w:rFonts w:ascii="Arial" w:hAnsi="Arial" w:cs="Arial"/>
        </w:rPr>
        <w:t xml:space="preserve">eight of the nine </w:t>
      </w:r>
      <w:r w:rsidR="00946336" w:rsidRPr="00D979E7">
        <w:rPr>
          <w:rFonts w:ascii="Arial" w:hAnsi="Arial" w:cs="Arial"/>
        </w:rPr>
        <w:t>regions</w:t>
      </w:r>
      <w:r w:rsidR="00271320" w:rsidRPr="00D979E7">
        <w:rPr>
          <w:rFonts w:ascii="Arial" w:hAnsi="Arial" w:cs="Arial"/>
        </w:rPr>
        <w:t xml:space="preserve"> </w:t>
      </w:r>
      <w:r w:rsidR="00B47B17" w:rsidRPr="00D979E7">
        <w:rPr>
          <w:rFonts w:ascii="Arial" w:hAnsi="Arial" w:cs="Arial"/>
        </w:rPr>
        <w:t xml:space="preserve">to an independent statistician. This </w:t>
      </w:r>
      <w:r w:rsidR="00271320" w:rsidRPr="00D979E7">
        <w:rPr>
          <w:rFonts w:ascii="Arial" w:hAnsi="Arial" w:cs="Arial"/>
        </w:rPr>
        <w:t>ensure</w:t>
      </w:r>
      <w:r w:rsidR="00B47B17" w:rsidRPr="00D979E7">
        <w:rPr>
          <w:rFonts w:ascii="Arial" w:hAnsi="Arial" w:cs="Arial"/>
        </w:rPr>
        <w:t>d</w:t>
      </w:r>
      <w:r w:rsidR="00271320" w:rsidRPr="00D979E7">
        <w:rPr>
          <w:rFonts w:ascii="Arial" w:hAnsi="Arial" w:cs="Arial"/>
        </w:rPr>
        <w:t xml:space="preserve"> the</w:t>
      </w:r>
      <w:r w:rsidR="00174113" w:rsidRPr="00D979E7">
        <w:rPr>
          <w:rFonts w:ascii="Arial" w:hAnsi="Arial" w:cs="Arial"/>
        </w:rPr>
        <w:t xml:space="preserve"> study statisticians did not see any unencrypted NHIs, in accordance with the granted HDEC ethics</w:t>
      </w:r>
      <w:r w:rsidR="00AA5BB8" w:rsidRPr="00D979E7">
        <w:rPr>
          <w:rStyle w:val="FootnoteReference"/>
          <w:rFonts w:ascii="Arial" w:hAnsi="Arial" w:cs="Arial"/>
        </w:rPr>
        <w:footnoteReference w:id="2"/>
      </w:r>
      <w:r w:rsidR="00174113" w:rsidRPr="00D979E7">
        <w:rPr>
          <w:rFonts w:ascii="Arial" w:hAnsi="Arial" w:cs="Arial"/>
        </w:rPr>
        <w:t xml:space="preserve">. </w:t>
      </w:r>
      <w:r w:rsidRPr="00D979E7">
        <w:rPr>
          <w:rFonts w:ascii="Arial" w:hAnsi="Arial" w:cs="Arial"/>
        </w:rPr>
        <w:t xml:space="preserve"> </w:t>
      </w:r>
      <w:r w:rsidR="009C5B7E" w:rsidRPr="00D979E7">
        <w:rPr>
          <w:rFonts w:ascii="Arial" w:hAnsi="Arial" w:cs="Arial"/>
        </w:rPr>
        <w:t xml:space="preserve">The data was checked for validity of NHIs and made more complete where possible in </w:t>
      </w:r>
      <w:r w:rsidR="00B47B17" w:rsidRPr="00D979E7">
        <w:rPr>
          <w:rFonts w:ascii="Arial" w:hAnsi="Arial" w:cs="Arial"/>
        </w:rPr>
        <w:t xml:space="preserve">direct </w:t>
      </w:r>
      <w:r w:rsidR="009C5B7E" w:rsidRPr="00D979E7">
        <w:rPr>
          <w:rFonts w:ascii="Arial" w:hAnsi="Arial" w:cs="Arial"/>
        </w:rPr>
        <w:t>consultation with providers.</w:t>
      </w:r>
    </w:p>
    <w:p w14:paraId="5AE3D53C" w14:textId="083902DB" w:rsidR="009C5B7E" w:rsidRPr="00D979E7" w:rsidRDefault="009C5B7E" w:rsidP="00271FB7">
      <w:pPr>
        <w:pStyle w:val="Heading3"/>
        <w:spacing w:before="120" w:after="120" w:line="240" w:lineRule="auto"/>
        <w:rPr>
          <w:rFonts w:ascii="Arial" w:hAnsi="Arial" w:cs="Arial"/>
        </w:rPr>
      </w:pPr>
      <w:bookmarkStart w:id="14" w:name="_Toc19715035"/>
      <w:r w:rsidRPr="00D979E7">
        <w:rPr>
          <w:rFonts w:ascii="Arial" w:hAnsi="Arial" w:cs="Arial"/>
        </w:rPr>
        <w:lastRenderedPageBreak/>
        <w:t>National collections data on health outcomes</w:t>
      </w:r>
      <w:bookmarkEnd w:id="14"/>
      <w:r w:rsidRPr="00D979E7">
        <w:rPr>
          <w:rFonts w:ascii="Arial" w:hAnsi="Arial" w:cs="Arial"/>
        </w:rPr>
        <w:t xml:space="preserve"> </w:t>
      </w:r>
    </w:p>
    <w:p w14:paraId="651E007A" w14:textId="232349C4" w:rsidR="00D9700E" w:rsidRPr="00D979E7" w:rsidRDefault="009C5B7E" w:rsidP="00271FB7">
      <w:pPr>
        <w:spacing w:before="120" w:after="120" w:line="240" w:lineRule="auto"/>
        <w:rPr>
          <w:rFonts w:ascii="Arial" w:hAnsi="Arial" w:cs="Arial"/>
        </w:rPr>
      </w:pPr>
      <w:r w:rsidRPr="00D979E7">
        <w:rPr>
          <w:rFonts w:ascii="Arial" w:hAnsi="Arial" w:cs="Arial"/>
        </w:rPr>
        <w:t>All NHIs were then</w:t>
      </w:r>
      <w:r w:rsidR="00DB1F2F" w:rsidRPr="00D979E7">
        <w:rPr>
          <w:rFonts w:ascii="Arial" w:hAnsi="Arial" w:cs="Arial"/>
        </w:rPr>
        <w:t xml:space="preserve"> </w:t>
      </w:r>
      <w:r w:rsidR="00BE2A11" w:rsidRPr="00D979E7">
        <w:rPr>
          <w:rFonts w:ascii="Arial" w:hAnsi="Arial" w:cs="Arial"/>
        </w:rPr>
        <w:t>encrypt</w:t>
      </w:r>
      <w:r w:rsidR="00DB1F2F" w:rsidRPr="00D979E7">
        <w:rPr>
          <w:rFonts w:ascii="Arial" w:hAnsi="Arial" w:cs="Arial"/>
        </w:rPr>
        <w:t>ed</w:t>
      </w:r>
      <w:r w:rsidR="00BE2A11" w:rsidRPr="00D979E7">
        <w:rPr>
          <w:rFonts w:ascii="Arial" w:hAnsi="Arial" w:cs="Arial"/>
        </w:rPr>
        <w:t xml:space="preserve"> </w:t>
      </w:r>
      <w:r w:rsidR="0018416B" w:rsidRPr="00D979E7">
        <w:rPr>
          <w:rFonts w:ascii="Arial" w:hAnsi="Arial" w:cs="Arial"/>
        </w:rPr>
        <w:t xml:space="preserve">by the New Zealand Health Information Systems (NZHIS) </w:t>
      </w:r>
      <w:r w:rsidR="00BE2A11" w:rsidRPr="00D979E7">
        <w:rPr>
          <w:rFonts w:ascii="Arial" w:hAnsi="Arial" w:cs="Arial"/>
        </w:rPr>
        <w:t>and match</w:t>
      </w:r>
      <w:r w:rsidR="00DB1F2F" w:rsidRPr="00D979E7">
        <w:rPr>
          <w:rFonts w:ascii="Arial" w:hAnsi="Arial" w:cs="Arial"/>
        </w:rPr>
        <w:t>ed</w:t>
      </w:r>
      <w:r w:rsidR="00BE2A11" w:rsidRPr="00D979E7">
        <w:rPr>
          <w:rFonts w:ascii="Arial" w:hAnsi="Arial" w:cs="Arial"/>
        </w:rPr>
        <w:t xml:space="preserve"> with the N</w:t>
      </w:r>
      <w:r w:rsidR="00DB1F2F" w:rsidRPr="00D979E7">
        <w:rPr>
          <w:rFonts w:ascii="Arial" w:hAnsi="Arial" w:cs="Arial"/>
        </w:rPr>
        <w:t>ational Minimum Dataset (N</w:t>
      </w:r>
      <w:r w:rsidR="00BE2A11" w:rsidRPr="00D979E7">
        <w:rPr>
          <w:rFonts w:ascii="Arial" w:hAnsi="Arial" w:cs="Arial"/>
        </w:rPr>
        <w:t>MDS</w:t>
      </w:r>
      <w:r w:rsidR="00DB1F2F" w:rsidRPr="00D979E7">
        <w:rPr>
          <w:rFonts w:ascii="Arial" w:hAnsi="Arial" w:cs="Arial"/>
        </w:rPr>
        <w:t>)</w:t>
      </w:r>
      <w:r w:rsidR="00BE2A11" w:rsidRPr="00D979E7">
        <w:rPr>
          <w:rFonts w:ascii="Arial" w:hAnsi="Arial" w:cs="Arial"/>
        </w:rPr>
        <w:t xml:space="preserve"> </w:t>
      </w:r>
      <w:r w:rsidR="00DB1F2F" w:rsidRPr="00D979E7">
        <w:rPr>
          <w:rFonts w:ascii="Arial" w:hAnsi="Arial" w:cs="Arial"/>
        </w:rPr>
        <w:t xml:space="preserve">of publicly funded hospital discharges </w:t>
      </w:r>
      <w:r w:rsidR="00BE2A11" w:rsidRPr="00D979E7">
        <w:rPr>
          <w:rFonts w:ascii="Arial" w:hAnsi="Arial" w:cs="Arial"/>
        </w:rPr>
        <w:t>and Pharm</w:t>
      </w:r>
      <w:r w:rsidR="008632FD" w:rsidRPr="00D979E7">
        <w:rPr>
          <w:rFonts w:ascii="Arial" w:hAnsi="Arial" w:cs="Arial"/>
        </w:rPr>
        <w:t>aceutical Collection</w:t>
      </w:r>
      <w:r w:rsidR="002B09A9" w:rsidRPr="00D979E7">
        <w:rPr>
          <w:rFonts w:ascii="Arial" w:hAnsi="Arial" w:cs="Arial"/>
        </w:rPr>
        <w:t xml:space="preserve"> of all community pharmaceutical</w:t>
      </w:r>
      <w:r w:rsidR="00DB1F2F" w:rsidRPr="00D979E7">
        <w:rPr>
          <w:rFonts w:ascii="Arial" w:hAnsi="Arial" w:cs="Arial"/>
        </w:rPr>
        <w:t xml:space="preserve"> </w:t>
      </w:r>
      <w:proofErr w:type="spellStart"/>
      <w:r w:rsidR="00DB1F2F" w:rsidRPr="00D979E7">
        <w:rPr>
          <w:rFonts w:ascii="Arial" w:hAnsi="Arial" w:cs="Arial"/>
        </w:rPr>
        <w:t>dispensings</w:t>
      </w:r>
      <w:proofErr w:type="spellEnd"/>
      <w:r w:rsidR="00957793" w:rsidRPr="00D979E7">
        <w:rPr>
          <w:rFonts w:ascii="Arial" w:hAnsi="Arial" w:cs="Arial"/>
        </w:rPr>
        <w:t>.</w:t>
      </w:r>
      <w:r w:rsidR="003D2EA1" w:rsidRPr="00D979E7">
        <w:rPr>
          <w:rFonts w:ascii="Arial" w:hAnsi="Arial" w:cs="Arial"/>
        </w:rPr>
        <w:t xml:space="preserve"> </w:t>
      </w:r>
      <w:r w:rsidR="008632FD" w:rsidRPr="00D979E7">
        <w:rPr>
          <w:rFonts w:ascii="Arial" w:hAnsi="Arial" w:cs="Arial"/>
        </w:rPr>
        <w:t>The h</w:t>
      </w:r>
      <w:r w:rsidR="006E45EE" w:rsidRPr="00D979E7">
        <w:rPr>
          <w:rFonts w:ascii="Arial" w:hAnsi="Arial" w:cs="Arial"/>
        </w:rPr>
        <w:t>ospitalisation</w:t>
      </w:r>
      <w:r w:rsidR="0018416B" w:rsidRPr="00D979E7">
        <w:rPr>
          <w:rFonts w:ascii="Arial" w:hAnsi="Arial" w:cs="Arial"/>
        </w:rPr>
        <w:t>s</w:t>
      </w:r>
      <w:r w:rsidR="006E45EE" w:rsidRPr="00D979E7">
        <w:rPr>
          <w:rFonts w:ascii="Arial" w:hAnsi="Arial" w:cs="Arial"/>
        </w:rPr>
        <w:t xml:space="preserve"> </w:t>
      </w:r>
      <w:r w:rsidR="008632FD" w:rsidRPr="00D979E7">
        <w:rPr>
          <w:rFonts w:ascii="Arial" w:hAnsi="Arial" w:cs="Arial"/>
        </w:rPr>
        <w:t xml:space="preserve">and </w:t>
      </w:r>
      <w:r w:rsidR="006E45EE" w:rsidRPr="00D979E7">
        <w:rPr>
          <w:rFonts w:ascii="Arial" w:hAnsi="Arial" w:cs="Arial"/>
        </w:rPr>
        <w:t xml:space="preserve">pharmaceutical </w:t>
      </w:r>
      <w:proofErr w:type="spellStart"/>
      <w:r w:rsidR="0018416B" w:rsidRPr="00D979E7">
        <w:rPr>
          <w:rFonts w:ascii="Arial" w:hAnsi="Arial" w:cs="Arial"/>
        </w:rPr>
        <w:t>dispensings</w:t>
      </w:r>
      <w:proofErr w:type="spellEnd"/>
      <w:r w:rsidR="0018416B" w:rsidRPr="00D979E7">
        <w:rPr>
          <w:rFonts w:ascii="Arial" w:hAnsi="Arial" w:cs="Arial"/>
        </w:rPr>
        <w:t xml:space="preserve"> </w:t>
      </w:r>
      <w:r w:rsidR="006E45EE" w:rsidRPr="00D979E7">
        <w:rPr>
          <w:rFonts w:ascii="Arial" w:hAnsi="Arial" w:cs="Arial"/>
        </w:rPr>
        <w:t>data covered the period 2012 to 2018</w:t>
      </w:r>
      <w:r w:rsidR="00BE05CE" w:rsidRPr="00D979E7">
        <w:rPr>
          <w:rFonts w:ascii="Arial" w:hAnsi="Arial" w:cs="Arial"/>
        </w:rPr>
        <w:t>. Records were restricted to all those</w:t>
      </w:r>
      <w:r w:rsidR="006E45EE" w:rsidRPr="00D979E7">
        <w:rPr>
          <w:rFonts w:ascii="Arial" w:hAnsi="Arial" w:cs="Arial"/>
        </w:rPr>
        <w:t xml:space="preserve"> </w:t>
      </w:r>
      <w:r w:rsidR="008632FD" w:rsidRPr="00D979E7">
        <w:rPr>
          <w:rFonts w:ascii="Arial" w:hAnsi="Arial" w:cs="Arial"/>
        </w:rPr>
        <w:t xml:space="preserve">valid </w:t>
      </w:r>
      <w:r w:rsidR="009602C0" w:rsidRPr="00D979E7">
        <w:rPr>
          <w:rFonts w:ascii="Arial" w:hAnsi="Arial" w:cs="Arial"/>
        </w:rPr>
        <w:t>NHIs</w:t>
      </w:r>
      <w:r w:rsidR="006E45EE" w:rsidRPr="00D979E7">
        <w:rPr>
          <w:rFonts w:ascii="Arial" w:hAnsi="Arial" w:cs="Arial"/>
        </w:rPr>
        <w:t xml:space="preserve"> </w:t>
      </w:r>
      <w:r w:rsidR="008717A1" w:rsidRPr="00D979E7">
        <w:rPr>
          <w:rFonts w:ascii="Arial" w:hAnsi="Arial" w:cs="Arial"/>
        </w:rPr>
        <w:t>received from providers as either the primary client or as a household member</w:t>
      </w:r>
      <w:r w:rsidR="0018416B" w:rsidRPr="00D979E7">
        <w:rPr>
          <w:rFonts w:ascii="Arial" w:hAnsi="Arial" w:cs="Arial"/>
        </w:rPr>
        <w:t>.</w:t>
      </w:r>
    </w:p>
    <w:p w14:paraId="7185BD7D" w14:textId="47D28F85" w:rsidR="009C5B7E" w:rsidRPr="00D979E7" w:rsidRDefault="009C5B7E" w:rsidP="00271FB7">
      <w:pPr>
        <w:pStyle w:val="Heading3"/>
        <w:spacing w:before="120" w:after="120" w:line="240" w:lineRule="auto"/>
        <w:rPr>
          <w:rFonts w:ascii="Arial" w:hAnsi="Arial" w:cs="Arial"/>
        </w:rPr>
      </w:pPr>
      <w:bookmarkStart w:id="15" w:name="_Toc19715036"/>
      <w:r w:rsidRPr="00D979E7">
        <w:rPr>
          <w:rFonts w:ascii="Arial" w:hAnsi="Arial" w:cs="Arial"/>
        </w:rPr>
        <w:t>Programme cost data</w:t>
      </w:r>
      <w:bookmarkEnd w:id="15"/>
      <w:r w:rsidRPr="00D979E7">
        <w:rPr>
          <w:rFonts w:ascii="Arial" w:hAnsi="Arial" w:cs="Arial"/>
        </w:rPr>
        <w:t xml:space="preserve"> </w:t>
      </w:r>
    </w:p>
    <w:p w14:paraId="26647210" w14:textId="303A7652" w:rsidR="009D74B8" w:rsidRPr="00D979E7" w:rsidRDefault="009D74B8" w:rsidP="00271FB7">
      <w:pPr>
        <w:spacing w:before="120" w:after="120" w:line="240" w:lineRule="auto"/>
        <w:rPr>
          <w:rFonts w:ascii="Arial" w:hAnsi="Arial" w:cs="Arial"/>
        </w:rPr>
      </w:pPr>
      <w:r w:rsidRPr="00D979E7">
        <w:rPr>
          <w:rFonts w:ascii="Arial" w:hAnsi="Arial" w:cs="Arial"/>
        </w:rPr>
        <w:t xml:space="preserve">The </w:t>
      </w:r>
      <w:r w:rsidR="005F194B" w:rsidRPr="00D979E7">
        <w:rPr>
          <w:rFonts w:ascii="Arial" w:hAnsi="Arial" w:cs="Arial"/>
        </w:rPr>
        <w:t xml:space="preserve">indicative </w:t>
      </w:r>
      <w:r w:rsidRPr="00D979E7">
        <w:rPr>
          <w:rFonts w:ascii="Arial" w:hAnsi="Arial" w:cs="Arial"/>
        </w:rPr>
        <w:t xml:space="preserve">programme cost </w:t>
      </w:r>
      <w:r w:rsidR="0055059D" w:rsidRPr="00D979E7">
        <w:rPr>
          <w:rFonts w:ascii="Arial" w:hAnsi="Arial" w:cs="Arial"/>
        </w:rPr>
        <w:t xml:space="preserve">data </w:t>
      </w:r>
      <w:r w:rsidR="005F194B" w:rsidRPr="00D979E7">
        <w:rPr>
          <w:rFonts w:ascii="Arial" w:hAnsi="Arial" w:cs="Arial"/>
        </w:rPr>
        <w:t>(based on the Funding Model Review completed in 2018</w:t>
      </w:r>
      <w:r w:rsidR="00AA5BB8" w:rsidRPr="00D979E7">
        <w:rPr>
          <w:rStyle w:val="FootnoteReference"/>
          <w:rFonts w:ascii="Arial" w:hAnsi="Arial" w:cs="Arial"/>
        </w:rPr>
        <w:t xml:space="preserve"> </w:t>
      </w:r>
      <w:r w:rsidR="00AA5BB8" w:rsidRPr="00D979E7">
        <w:rPr>
          <w:rStyle w:val="FootnoteReference"/>
          <w:rFonts w:ascii="Arial" w:hAnsi="Arial" w:cs="Arial"/>
        </w:rPr>
        <w:footnoteReference w:id="3"/>
      </w:r>
      <w:r w:rsidR="005F194B" w:rsidRPr="00D979E7">
        <w:rPr>
          <w:rFonts w:ascii="Arial" w:hAnsi="Arial" w:cs="Arial"/>
        </w:rPr>
        <w:t xml:space="preserve">) </w:t>
      </w:r>
      <w:r w:rsidR="00AA5BB8" w:rsidRPr="00D979E7">
        <w:rPr>
          <w:rFonts w:ascii="Arial" w:hAnsi="Arial" w:cs="Arial"/>
        </w:rPr>
        <w:t xml:space="preserve">of $1205 per family </w:t>
      </w:r>
      <w:r w:rsidR="0055059D" w:rsidRPr="00D979E7">
        <w:rPr>
          <w:rFonts w:ascii="Arial" w:hAnsi="Arial" w:cs="Arial"/>
        </w:rPr>
        <w:t>was provided</w:t>
      </w:r>
      <w:r w:rsidR="00C20303" w:rsidRPr="00D979E7">
        <w:rPr>
          <w:rFonts w:ascii="Arial" w:hAnsi="Arial" w:cs="Arial"/>
        </w:rPr>
        <w:t xml:space="preserve"> by</w:t>
      </w:r>
      <w:r w:rsidR="0055059D" w:rsidRPr="00D979E7">
        <w:rPr>
          <w:rFonts w:ascii="Arial" w:hAnsi="Arial" w:cs="Arial"/>
        </w:rPr>
        <w:t xml:space="preserve"> the Ministry of Health</w:t>
      </w:r>
      <w:r w:rsidR="00C20303" w:rsidRPr="00D979E7">
        <w:rPr>
          <w:rFonts w:ascii="Arial" w:hAnsi="Arial" w:cs="Arial"/>
        </w:rPr>
        <w:t>,</w:t>
      </w:r>
      <w:r w:rsidR="00AA5BB8" w:rsidRPr="00D979E7">
        <w:rPr>
          <w:rFonts w:ascii="Arial" w:hAnsi="Arial" w:cs="Arial"/>
        </w:rPr>
        <w:t xml:space="preserve"> and this has been used to inform the</w:t>
      </w:r>
      <w:r w:rsidR="00681E4A" w:rsidRPr="00D979E7">
        <w:rPr>
          <w:rFonts w:ascii="Arial" w:hAnsi="Arial" w:cs="Arial"/>
        </w:rPr>
        <w:t xml:space="preserve"> </w:t>
      </w:r>
      <w:r w:rsidR="00AA5BB8" w:rsidRPr="00D979E7">
        <w:rPr>
          <w:rFonts w:ascii="Arial" w:hAnsi="Arial" w:cs="Arial"/>
        </w:rPr>
        <w:t>analysis</w:t>
      </w:r>
      <w:r w:rsidR="00681E4A" w:rsidRPr="00D979E7">
        <w:rPr>
          <w:rFonts w:ascii="Arial" w:hAnsi="Arial" w:cs="Arial"/>
        </w:rPr>
        <w:t xml:space="preserve"> of costs and benefits</w:t>
      </w:r>
      <w:r w:rsidR="00AA5BB8" w:rsidRPr="00D979E7">
        <w:rPr>
          <w:rFonts w:ascii="Arial" w:hAnsi="Arial" w:cs="Arial"/>
        </w:rPr>
        <w:t xml:space="preserve">. </w:t>
      </w:r>
      <w:r w:rsidR="0055059D" w:rsidRPr="00D979E7">
        <w:rPr>
          <w:rFonts w:ascii="Arial" w:hAnsi="Arial" w:cs="Arial"/>
        </w:rPr>
        <w:t>It is important to note that this does not include the costs associated with provision of some of the interventions</w:t>
      </w:r>
      <w:r w:rsidR="005D4FE4" w:rsidRPr="00D979E7">
        <w:rPr>
          <w:rFonts w:ascii="Arial" w:hAnsi="Arial" w:cs="Arial"/>
        </w:rPr>
        <w:t>.</w:t>
      </w:r>
      <w:r w:rsidR="00B44BB8" w:rsidRPr="00D979E7">
        <w:rPr>
          <w:rFonts w:ascii="Arial" w:hAnsi="Arial" w:cs="Arial"/>
        </w:rPr>
        <w:t xml:space="preserve"> </w:t>
      </w:r>
      <w:r w:rsidR="0055059D" w:rsidRPr="00D979E7">
        <w:rPr>
          <w:rFonts w:ascii="Arial" w:hAnsi="Arial" w:cs="Arial"/>
        </w:rPr>
        <w:t xml:space="preserve">These costs are </w:t>
      </w:r>
      <w:r w:rsidR="00AA5BB8" w:rsidRPr="00D979E7">
        <w:rPr>
          <w:rFonts w:ascii="Arial" w:hAnsi="Arial" w:cs="Arial"/>
        </w:rPr>
        <w:t xml:space="preserve">more </w:t>
      </w:r>
      <w:r w:rsidR="005D4FE4" w:rsidRPr="00D979E7">
        <w:rPr>
          <w:rFonts w:ascii="Arial" w:hAnsi="Arial" w:cs="Arial"/>
        </w:rPr>
        <w:t>often met</w:t>
      </w:r>
      <w:r w:rsidR="0055059D" w:rsidRPr="00D979E7">
        <w:rPr>
          <w:rFonts w:ascii="Arial" w:hAnsi="Arial" w:cs="Arial"/>
        </w:rPr>
        <w:t xml:space="preserve"> through donations of funds or time</w:t>
      </w:r>
      <w:r w:rsidR="005D4FE4" w:rsidRPr="00D979E7">
        <w:rPr>
          <w:rFonts w:ascii="Arial" w:hAnsi="Arial" w:cs="Arial"/>
        </w:rPr>
        <w:t>, or other programmes.</w:t>
      </w:r>
      <w:r w:rsidR="0055059D" w:rsidRPr="00D979E7">
        <w:rPr>
          <w:rFonts w:ascii="Arial" w:hAnsi="Arial" w:cs="Arial"/>
        </w:rPr>
        <w:t xml:space="preserve">  </w:t>
      </w:r>
    </w:p>
    <w:p w14:paraId="61F09BA1" w14:textId="35852DD9" w:rsidR="003C0E0F" w:rsidRPr="00D979E7" w:rsidRDefault="00E03067" w:rsidP="00271FB7">
      <w:pPr>
        <w:pStyle w:val="Heading2"/>
        <w:spacing w:before="120" w:after="120" w:line="240" w:lineRule="auto"/>
        <w:rPr>
          <w:rFonts w:ascii="Arial" w:hAnsi="Arial" w:cs="Arial"/>
        </w:rPr>
      </w:pPr>
      <w:bookmarkStart w:id="16" w:name="_Toc19715037"/>
      <w:r w:rsidRPr="00D979E7">
        <w:rPr>
          <w:rFonts w:ascii="Arial" w:hAnsi="Arial" w:cs="Arial"/>
        </w:rPr>
        <w:t>Sample description</w:t>
      </w:r>
      <w:bookmarkEnd w:id="16"/>
    </w:p>
    <w:p w14:paraId="71DC8FCB" w14:textId="2525F260" w:rsidR="00247D97" w:rsidRPr="00D979E7" w:rsidRDefault="00247D97" w:rsidP="00271FB7">
      <w:pPr>
        <w:pStyle w:val="NoSpacing"/>
        <w:spacing w:before="120" w:after="120"/>
        <w:rPr>
          <w:rFonts w:ascii="Arial" w:hAnsi="Arial" w:cs="Arial"/>
        </w:rPr>
      </w:pPr>
      <w:r w:rsidRPr="00D979E7">
        <w:rPr>
          <w:rFonts w:ascii="Arial" w:hAnsi="Arial" w:cs="Arial"/>
        </w:rPr>
        <w:t xml:space="preserve">In total, 4,093 referrals with a primary client identified in each case met initial eligibility criteria for this interim analysis and were provided for this analysis by HHI providers. </w:t>
      </w:r>
      <w:r w:rsidR="00295A45" w:rsidRPr="00D979E7">
        <w:rPr>
          <w:rFonts w:ascii="Arial" w:hAnsi="Arial" w:cs="Arial"/>
        </w:rPr>
        <w:t xml:space="preserve">A number of referrals also had at least one associated household member’s NHI; these other household members were not included in the sample for this evaluation of health gains because this level of data collection was relatively uncommon. </w:t>
      </w:r>
    </w:p>
    <w:p w14:paraId="473B722A" w14:textId="138617AA" w:rsidR="00793429" w:rsidRPr="00D979E7" w:rsidRDefault="00793429" w:rsidP="00271FB7">
      <w:pPr>
        <w:spacing w:before="120" w:after="120" w:line="240" w:lineRule="auto"/>
        <w:rPr>
          <w:rFonts w:ascii="Arial" w:hAnsi="Arial" w:cs="Arial"/>
        </w:rPr>
      </w:pPr>
      <w:r w:rsidRPr="00D979E7">
        <w:rPr>
          <w:rFonts w:ascii="Arial" w:hAnsi="Arial" w:cs="Arial"/>
        </w:rPr>
        <w:t>Referrals were then selected where the primary client referred could be linked to health records, had dates provided for both the beginning and end of their HHI referral</w:t>
      </w:r>
      <w:r w:rsidR="000B4846" w:rsidRPr="00D979E7">
        <w:rPr>
          <w:rFonts w:ascii="Arial" w:hAnsi="Arial" w:cs="Arial"/>
        </w:rPr>
        <w:t xml:space="preserve"> engagement (i.e. receiving interventions)</w:t>
      </w:r>
      <w:r w:rsidRPr="00D979E7">
        <w:rPr>
          <w:rFonts w:ascii="Arial" w:hAnsi="Arial" w:cs="Arial"/>
        </w:rPr>
        <w:t>, had a full year before and after intervention start and end dates to evaluate health records across, and were within a suitable age range.</w:t>
      </w:r>
      <w:r w:rsidR="000B4846" w:rsidRPr="00D979E7">
        <w:rPr>
          <w:rFonts w:ascii="Arial" w:hAnsi="Arial" w:cs="Arial"/>
        </w:rPr>
        <w:t xml:space="preserve"> </w:t>
      </w:r>
    </w:p>
    <w:p w14:paraId="422F66F8" w14:textId="59D73AA0" w:rsidR="00E03067" w:rsidRPr="00D979E7" w:rsidRDefault="00E03067" w:rsidP="00271FB7">
      <w:pPr>
        <w:spacing w:before="120" w:after="120" w:line="240" w:lineRule="auto"/>
        <w:rPr>
          <w:rFonts w:ascii="Arial" w:hAnsi="Arial" w:cs="Arial"/>
        </w:rPr>
      </w:pPr>
      <w:r w:rsidRPr="00D979E7">
        <w:rPr>
          <w:rFonts w:ascii="Arial" w:hAnsi="Arial" w:cs="Arial"/>
        </w:rPr>
        <w:t xml:space="preserve">For this </w:t>
      </w:r>
      <w:r w:rsidR="00793429" w:rsidRPr="00D979E7">
        <w:rPr>
          <w:rFonts w:ascii="Arial" w:hAnsi="Arial" w:cs="Arial"/>
        </w:rPr>
        <w:t xml:space="preserve">analysis, </w:t>
      </w:r>
      <w:r w:rsidRPr="00D979E7">
        <w:rPr>
          <w:rFonts w:ascii="Arial" w:hAnsi="Arial" w:cs="Arial"/>
        </w:rPr>
        <w:t xml:space="preserve">the data was </w:t>
      </w:r>
      <w:r w:rsidR="00793429" w:rsidRPr="00D979E7">
        <w:rPr>
          <w:rFonts w:ascii="Arial" w:hAnsi="Arial" w:cs="Arial"/>
        </w:rPr>
        <w:t xml:space="preserve">therefore </w:t>
      </w:r>
      <w:r w:rsidRPr="00D979E7">
        <w:rPr>
          <w:rFonts w:ascii="Arial" w:hAnsi="Arial" w:cs="Arial"/>
        </w:rPr>
        <w:t>specifically restricted to:</w:t>
      </w:r>
    </w:p>
    <w:p w14:paraId="2F8E0C17" w14:textId="680EAD34" w:rsidR="00E03067" w:rsidRPr="00D979E7" w:rsidRDefault="00E03067" w:rsidP="00271FB7">
      <w:pPr>
        <w:pStyle w:val="ListParagraph"/>
        <w:numPr>
          <w:ilvl w:val="0"/>
          <w:numId w:val="2"/>
        </w:numPr>
        <w:spacing w:before="120" w:after="120" w:line="240" w:lineRule="auto"/>
        <w:rPr>
          <w:rFonts w:ascii="Arial" w:hAnsi="Arial" w:cs="Arial"/>
        </w:rPr>
      </w:pPr>
      <w:r w:rsidRPr="00D979E7">
        <w:rPr>
          <w:rFonts w:ascii="Arial" w:hAnsi="Arial" w:cs="Arial"/>
        </w:rPr>
        <w:t>Referrals whose interventions had b</w:t>
      </w:r>
      <w:r w:rsidR="00F96333" w:rsidRPr="00D979E7">
        <w:rPr>
          <w:rFonts w:ascii="Arial" w:hAnsi="Arial" w:cs="Arial"/>
        </w:rPr>
        <w:t>een finished by the end of 2017 (i.e. intervention end date no later than 31</w:t>
      </w:r>
      <w:r w:rsidR="00F96333" w:rsidRPr="00D979E7">
        <w:rPr>
          <w:rFonts w:ascii="Arial" w:hAnsi="Arial" w:cs="Arial"/>
          <w:vertAlign w:val="superscript"/>
        </w:rPr>
        <w:t>st</w:t>
      </w:r>
      <w:r w:rsidR="00F96333" w:rsidRPr="00D979E7">
        <w:rPr>
          <w:rFonts w:ascii="Arial" w:hAnsi="Arial" w:cs="Arial"/>
        </w:rPr>
        <w:t xml:space="preserve"> December 2017). This was </w:t>
      </w:r>
      <w:r w:rsidRPr="00D979E7">
        <w:rPr>
          <w:rFonts w:ascii="Arial" w:hAnsi="Arial" w:cs="Arial"/>
        </w:rPr>
        <w:t>in orde</w:t>
      </w:r>
      <w:r w:rsidR="00F96333" w:rsidRPr="00D979E7">
        <w:rPr>
          <w:rFonts w:ascii="Arial" w:hAnsi="Arial" w:cs="Arial"/>
        </w:rPr>
        <w:t>r to allow for a full year post-</w:t>
      </w:r>
      <w:r w:rsidRPr="00D979E7">
        <w:rPr>
          <w:rFonts w:ascii="Arial" w:hAnsi="Arial" w:cs="Arial"/>
        </w:rPr>
        <w:t>intervention to be observed with available health data</w:t>
      </w:r>
      <w:r w:rsidR="00F96333" w:rsidRPr="00D979E7">
        <w:rPr>
          <w:rFonts w:ascii="Arial" w:hAnsi="Arial" w:cs="Arial"/>
        </w:rPr>
        <w:t>, which was available for records only up until 31</w:t>
      </w:r>
      <w:r w:rsidR="00F96333" w:rsidRPr="00D979E7">
        <w:rPr>
          <w:rFonts w:ascii="Arial" w:hAnsi="Arial" w:cs="Arial"/>
          <w:vertAlign w:val="superscript"/>
        </w:rPr>
        <w:t>st</w:t>
      </w:r>
      <w:r w:rsidR="00F96333" w:rsidRPr="00D979E7">
        <w:rPr>
          <w:rFonts w:ascii="Arial" w:hAnsi="Arial" w:cs="Arial"/>
        </w:rPr>
        <w:t xml:space="preserve"> December 2018</w:t>
      </w:r>
      <w:r w:rsidRPr="00D979E7">
        <w:rPr>
          <w:rFonts w:ascii="Arial" w:hAnsi="Arial" w:cs="Arial"/>
        </w:rPr>
        <w:t>.</w:t>
      </w:r>
    </w:p>
    <w:p w14:paraId="77729995" w14:textId="3E47190B" w:rsidR="00E03067" w:rsidRPr="00D979E7" w:rsidRDefault="00E03067" w:rsidP="00271FB7">
      <w:pPr>
        <w:pStyle w:val="ListParagraph"/>
        <w:numPr>
          <w:ilvl w:val="0"/>
          <w:numId w:val="2"/>
        </w:numPr>
        <w:spacing w:before="120" w:after="120" w:line="240" w:lineRule="auto"/>
        <w:rPr>
          <w:rFonts w:ascii="Arial" w:hAnsi="Arial" w:cs="Arial"/>
        </w:rPr>
      </w:pPr>
      <w:r w:rsidRPr="00D979E7">
        <w:rPr>
          <w:rFonts w:ascii="Arial" w:hAnsi="Arial" w:cs="Arial"/>
        </w:rPr>
        <w:t xml:space="preserve">Referrals where the primary client referred was aged between 2 and 15 years </w:t>
      </w:r>
      <w:r w:rsidR="007200F4" w:rsidRPr="00D979E7">
        <w:rPr>
          <w:rFonts w:ascii="Arial" w:hAnsi="Arial" w:cs="Arial"/>
        </w:rPr>
        <w:t xml:space="preserve">old at the time of </w:t>
      </w:r>
      <w:r w:rsidR="00793429" w:rsidRPr="00D979E7">
        <w:rPr>
          <w:rFonts w:ascii="Arial" w:hAnsi="Arial" w:cs="Arial"/>
        </w:rPr>
        <w:t xml:space="preserve">the earliest </w:t>
      </w:r>
      <w:r w:rsidR="007200F4" w:rsidRPr="00D979E7">
        <w:rPr>
          <w:rFonts w:ascii="Arial" w:hAnsi="Arial" w:cs="Arial"/>
        </w:rPr>
        <w:t>intervention.</w:t>
      </w:r>
      <w:r w:rsidR="00271FB7" w:rsidRPr="00D979E7">
        <w:rPr>
          <w:rFonts w:ascii="Arial" w:hAnsi="Arial" w:cs="Arial"/>
        </w:rPr>
        <w:t xml:space="preserve"> </w:t>
      </w:r>
      <w:r w:rsidR="007200F4" w:rsidRPr="00D979E7">
        <w:rPr>
          <w:rFonts w:ascii="Arial" w:hAnsi="Arial" w:cs="Arial"/>
        </w:rPr>
        <w:t xml:space="preserve">This was </w:t>
      </w:r>
      <w:r w:rsidRPr="00D979E7">
        <w:rPr>
          <w:rFonts w:ascii="Arial" w:hAnsi="Arial" w:cs="Arial"/>
        </w:rPr>
        <w:t>in order to exclude birth and early-life related hospitalisations in those aged 0-1 in the year before</w:t>
      </w:r>
      <w:r w:rsidR="00793429" w:rsidRPr="00D979E7">
        <w:rPr>
          <w:rFonts w:ascii="Arial" w:hAnsi="Arial" w:cs="Arial"/>
        </w:rPr>
        <w:t xml:space="preserve"> HHI</w:t>
      </w:r>
      <w:r w:rsidRPr="00D979E7">
        <w:rPr>
          <w:rFonts w:ascii="Arial" w:hAnsi="Arial" w:cs="Arial"/>
        </w:rPr>
        <w:t xml:space="preserve"> intervention. </w:t>
      </w:r>
    </w:p>
    <w:p w14:paraId="668F67BF" w14:textId="3BD022D1" w:rsidR="00BC4E5F" w:rsidRPr="00D979E7" w:rsidRDefault="005D4FE4" w:rsidP="00271FB7">
      <w:pPr>
        <w:spacing w:before="120" w:after="120" w:line="240" w:lineRule="auto"/>
        <w:rPr>
          <w:rFonts w:ascii="Arial" w:hAnsi="Arial" w:cs="Arial"/>
        </w:rPr>
      </w:pPr>
      <w:r w:rsidRPr="00D979E7">
        <w:rPr>
          <w:rFonts w:ascii="Arial" w:hAnsi="Arial" w:cs="Arial"/>
        </w:rPr>
        <w:t xml:space="preserve">The flowchart below (Figure 1) demonstrates how the </w:t>
      </w:r>
      <w:r w:rsidR="00E03067" w:rsidRPr="00D979E7">
        <w:rPr>
          <w:rFonts w:ascii="Arial" w:hAnsi="Arial" w:cs="Arial"/>
        </w:rPr>
        <w:t>evaluation sample</w:t>
      </w:r>
      <w:r w:rsidRPr="00D979E7">
        <w:rPr>
          <w:rFonts w:ascii="Arial" w:hAnsi="Arial" w:cs="Arial"/>
        </w:rPr>
        <w:t xml:space="preserve"> </w:t>
      </w:r>
      <w:r w:rsidR="002323E5" w:rsidRPr="00D979E7">
        <w:rPr>
          <w:rFonts w:ascii="Arial" w:hAnsi="Arial" w:cs="Arial"/>
        </w:rPr>
        <w:t xml:space="preserve">population </w:t>
      </w:r>
      <w:r w:rsidRPr="00D979E7">
        <w:rPr>
          <w:rFonts w:ascii="Arial" w:hAnsi="Arial" w:cs="Arial"/>
        </w:rPr>
        <w:t>of 1,608 referrals was selected from th</w:t>
      </w:r>
      <w:r w:rsidR="00247D97" w:rsidRPr="00D979E7">
        <w:rPr>
          <w:rFonts w:ascii="Arial" w:hAnsi="Arial" w:cs="Arial"/>
        </w:rPr>
        <w:t>e initial group of 4,093 referrals supplied by the HHI providers</w:t>
      </w:r>
      <w:r w:rsidRPr="00D979E7">
        <w:rPr>
          <w:rFonts w:ascii="Arial" w:hAnsi="Arial" w:cs="Arial"/>
        </w:rPr>
        <w:t xml:space="preserve">. </w:t>
      </w:r>
    </w:p>
    <w:p w14:paraId="023619F4" w14:textId="7EA6FF7D" w:rsidR="00E03067" w:rsidRPr="00D979E7" w:rsidRDefault="00524FF8" w:rsidP="00271FB7">
      <w:pPr>
        <w:spacing w:before="120" w:after="120" w:line="240" w:lineRule="auto"/>
        <w:rPr>
          <w:rFonts w:ascii="Arial" w:hAnsi="Arial" w:cs="Arial"/>
        </w:rPr>
      </w:pPr>
      <w:r w:rsidRPr="00D979E7">
        <w:rPr>
          <w:rFonts w:ascii="Arial" w:hAnsi="Arial" w:cs="Arial"/>
          <w:b/>
        </w:rPr>
        <w:t xml:space="preserve">Figure 1: </w:t>
      </w:r>
      <w:r w:rsidR="00E03067" w:rsidRPr="00D979E7">
        <w:rPr>
          <w:rFonts w:ascii="Arial" w:hAnsi="Arial" w:cs="Arial"/>
        </w:rPr>
        <w:t>Evaluation sample</w:t>
      </w:r>
      <w:r w:rsidR="002323E5" w:rsidRPr="00D979E7">
        <w:rPr>
          <w:rFonts w:ascii="Arial" w:hAnsi="Arial" w:cs="Arial"/>
        </w:rPr>
        <w:t xml:space="preserve"> population</w:t>
      </w:r>
    </w:p>
    <w:p w14:paraId="34BE88B9" w14:textId="06A630C5" w:rsidR="00E03067" w:rsidRPr="00D979E7" w:rsidRDefault="00CD51B3" w:rsidP="00271FB7">
      <w:pPr>
        <w:spacing w:before="120" w:after="120" w:line="240" w:lineRule="auto"/>
        <w:rPr>
          <w:rFonts w:ascii="Arial" w:hAnsi="Arial" w:cs="Arial"/>
          <w:b/>
        </w:rPr>
      </w:pPr>
      <w:r w:rsidRPr="00D979E7">
        <w:rPr>
          <w:rFonts w:ascii="Arial" w:hAnsi="Arial" w:cs="Arial"/>
          <w:noProof/>
          <w:lang w:eastAsia="en-NZ"/>
        </w:rPr>
        <w:drawing>
          <wp:inline distT="0" distB="0" distL="0" distR="0" wp14:anchorId="0BF5567E" wp14:editId="0CFB50B1">
            <wp:extent cx="5731510" cy="850900"/>
            <wp:effectExtent l="0" t="0" r="2540" b="6350"/>
            <wp:docPr id="3" name="Picture 3" descr="The figure shows that of the 4093 total referrals, the pool went down to 3996 after eliminating those with invalid NHIs, 3935 after eliminating date discrepencies, 1917 after eliminating cases outside the age range of 2 to 16, and to the final group of 1608 after eliminating cases that ended after 2017." title="Figure showing the makeup of the evaluation sample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850900"/>
                    </a:xfrm>
                    <a:prstGeom prst="rect">
                      <a:avLst/>
                    </a:prstGeom>
                  </pic:spPr>
                </pic:pic>
              </a:graphicData>
            </a:graphic>
          </wp:inline>
        </w:drawing>
      </w:r>
    </w:p>
    <w:p w14:paraId="06D8C14F" w14:textId="322CF9B1" w:rsidR="00E03067" w:rsidRPr="00D979E7" w:rsidRDefault="00E03067" w:rsidP="00271FB7">
      <w:pPr>
        <w:pStyle w:val="Heading2"/>
        <w:spacing w:before="120" w:after="120" w:line="240" w:lineRule="auto"/>
        <w:rPr>
          <w:rFonts w:ascii="Arial" w:hAnsi="Arial" w:cs="Arial"/>
        </w:rPr>
      </w:pPr>
      <w:bookmarkStart w:id="17" w:name="_Toc19715038"/>
      <w:r w:rsidRPr="00D979E7">
        <w:rPr>
          <w:rFonts w:ascii="Arial" w:hAnsi="Arial" w:cs="Arial"/>
        </w:rPr>
        <w:t>Methods</w:t>
      </w:r>
      <w:bookmarkEnd w:id="17"/>
    </w:p>
    <w:p w14:paraId="0DD14BB6" w14:textId="77777777" w:rsidR="009854B9" w:rsidRPr="00D979E7" w:rsidRDefault="009854B9" w:rsidP="00271FB7">
      <w:pPr>
        <w:pStyle w:val="Heading3"/>
        <w:spacing w:before="120" w:after="120" w:line="240" w:lineRule="auto"/>
        <w:rPr>
          <w:rFonts w:ascii="Arial" w:hAnsi="Arial" w:cs="Arial"/>
        </w:rPr>
      </w:pPr>
      <w:bookmarkStart w:id="18" w:name="_Toc19715039"/>
      <w:r w:rsidRPr="00D979E7">
        <w:rPr>
          <w:rFonts w:ascii="Arial" w:hAnsi="Arial" w:cs="Arial"/>
        </w:rPr>
        <w:t>Event definitions</w:t>
      </w:r>
      <w:bookmarkEnd w:id="18"/>
    </w:p>
    <w:p w14:paraId="7436C17A" w14:textId="77777777" w:rsidR="00F67D23" w:rsidRPr="00D979E7" w:rsidRDefault="00C6714C" w:rsidP="00271FB7">
      <w:pPr>
        <w:pStyle w:val="ListParagraph"/>
        <w:numPr>
          <w:ilvl w:val="0"/>
          <w:numId w:val="3"/>
        </w:numPr>
        <w:spacing w:before="120" w:after="120" w:line="240" w:lineRule="auto"/>
        <w:rPr>
          <w:rFonts w:ascii="Arial" w:hAnsi="Arial" w:cs="Arial"/>
        </w:rPr>
      </w:pPr>
      <w:r w:rsidRPr="00D979E7">
        <w:rPr>
          <w:rFonts w:ascii="Arial" w:hAnsi="Arial" w:cs="Arial"/>
          <w:b/>
        </w:rPr>
        <w:t>Hospitalisation</w:t>
      </w:r>
      <w:r w:rsidRPr="00D979E7">
        <w:rPr>
          <w:rFonts w:ascii="Arial" w:hAnsi="Arial" w:cs="Arial"/>
        </w:rPr>
        <w:t xml:space="preserve">: </w:t>
      </w:r>
      <w:r w:rsidR="000558E9" w:rsidRPr="00D979E7">
        <w:rPr>
          <w:rFonts w:ascii="Arial" w:hAnsi="Arial" w:cs="Arial"/>
        </w:rPr>
        <w:t xml:space="preserve">Each line entry in the hospitalisation database </w:t>
      </w:r>
      <w:r w:rsidR="00220EA6" w:rsidRPr="00D979E7">
        <w:rPr>
          <w:rFonts w:ascii="Arial" w:hAnsi="Arial" w:cs="Arial"/>
        </w:rPr>
        <w:t>i</w:t>
      </w:r>
      <w:r w:rsidR="000558E9" w:rsidRPr="00D979E7">
        <w:rPr>
          <w:rFonts w:ascii="Arial" w:hAnsi="Arial" w:cs="Arial"/>
        </w:rPr>
        <w:t>s taken as</w:t>
      </w:r>
      <w:r w:rsidR="00220EA6" w:rsidRPr="00D979E7">
        <w:rPr>
          <w:rFonts w:ascii="Arial" w:hAnsi="Arial" w:cs="Arial"/>
        </w:rPr>
        <w:t xml:space="preserve"> an</w:t>
      </w:r>
      <w:r w:rsidR="000558E9" w:rsidRPr="00D979E7">
        <w:rPr>
          <w:rFonts w:ascii="Arial" w:hAnsi="Arial" w:cs="Arial"/>
        </w:rPr>
        <w:t xml:space="preserve"> individual hospitalisation</w:t>
      </w:r>
      <w:r w:rsidRPr="00D979E7">
        <w:rPr>
          <w:rFonts w:ascii="Arial" w:hAnsi="Arial" w:cs="Arial"/>
        </w:rPr>
        <w:t>. T</w:t>
      </w:r>
      <w:r w:rsidR="000558E9" w:rsidRPr="00D979E7">
        <w:rPr>
          <w:rFonts w:ascii="Arial" w:hAnsi="Arial" w:cs="Arial"/>
        </w:rPr>
        <w:t xml:space="preserve">his means </w:t>
      </w:r>
      <w:r w:rsidRPr="00D979E7">
        <w:rPr>
          <w:rFonts w:ascii="Arial" w:hAnsi="Arial" w:cs="Arial"/>
        </w:rPr>
        <w:t xml:space="preserve">that </w:t>
      </w:r>
      <w:r w:rsidR="000558E9" w:rsidRPr="00D979E7">
        <w:rPr>
          <w:rFonts w:ascii="Arial" w:hAnsi="Arial" w:cs="Arial"/>
        </w:rPr>
        <w:t xml:space="preserve">transfers between hospitals </w:t>
      </w:r>
      <w:r w:rsidRPr="00D979E7">
        <w:rPr>
          <w:rFonts w:ascii="Arial" w:hAnsi="Arial" w:cs="Arial"/>
        </w:rPr>
        <w:t>(or</w:t>
      </w:r>
      <w:r w:rsidR="00220EA6" w:rsidRPr="00D979E7">
        <w:rPr>
          <w:rFonts w:ascii="Arial" w:hAnsi="Arial" w:cs="Arial"/>
        </w:rPr>
        <w:t xml:space="preserve"> </w:t>
      </w:r>
      <w:r w:rsidRPr="00D979E7">
        <w:rPr>
          <w:rFonts w:ascii="Arial" w:hAnsi="Arial" w:cs="Arial"/>
        </w:rPr>
        <w:lastRenderedPageBreak/>
        <w:t xml:space="preserve">occasionally, wards) as well as </w:t>
      </w:r>
      <w:r w:rsidR="000558E9" w:rsidRPr="00D979E7">
        <w:rPr>
          <w:rFonts w:ascii="Arial" w:hAnsi="Arial" w:cs="Arial"/>
        </w:rPr>
        <w:t>discharge and same</w:t>
      </w:r>
      <w:r w:rsidRPr="00D979E7">
        <w:rPr>
          <w:rFonts w:ascii="Arial" w:hAnsi="Arial" w:cs="Arial"/>
        </w:rPr>
        <w:t>-</w:t>
      </w:r>
      <w:r w:rsidR="000558E9" w:rsidRPr="00D979E7">
        <w:rPr>
          <w:rFonts w:ascii="Arial" w:hAnsi="Arial" w:cs="Arial"/>
        </w:rPr>
        <w:t>day readmission as separate hospi</w:t>
      </w:r>
      <w:r w:rsidR="009854B9" w:rsidRPr="00D979E7">
        <w:rPr>
          <w:rFonts w:ascii="Arial" w:hAnsi="Arial" w:cs="Arial"/>
        </w:rPr>
        <w:t>talisations</w:t>
      </w:r>
      <w:r w:rsidR="00096A55" w:rsidRPr="00D979E7">
        <w:rPr>
          <w:rFonts w:ascii="Arial" w:hAnsi="Arial" w:cs="Arial"/>
        </w:rPr>
        <w:t xml:space="preserve"> have been counted separately</w:t>
      </w:r>
      <w:r w:rsidR="009854B9" w:rsidRPr="00D979E7">
        <w:rPr>
          <w:rFonts w:ascii="Arial" w:hAnsi="Arial" w:cs="Arial"/>
        </w:rPr>
        <w:t xml:space="preserve">. </w:t>
      </w:r>
      <w:r w:rsidRPr="00D979E7">
        <w:rPr>
          <w:rFonts w:ascii="Arial" w:hAnsi="Arial" w:cs="Arial"/>
        </w:rPr>
        <w:t>These events are rare.</w:t>
      </w:r>
      <w:r w:rsidR="00F67D23" w:rsidRPr="00D979E7">
        <w:rPr>
          <w:rFonts w:ascii="Arial" w:hAnsi="Arial" w:cs="Arial"/>
        </w:rPr>
        <w:t xml:space="preserve"> </w:t>
      </w:r>
    </w:p>
    <w:p w14:paraId="218BC59C" w14:textId="3E2A34C2" w:rsidR="00C6714C" w:rsidRPr="00D979E7" w:rsidRDefault="00096A55" w:rsidP="00271FB7">
      <w:pPr>
        <w:pStyle w:val="ListParagraph"/>
        <w:numPr>
          <w:ilvl w:val="1"/>
          <w:numId w:val="3"/>
        </w:numPr>
        <w:spacing w:before="120" w:after="120" w:line="240" w:lineRule="auto"/>
        <w:rPr>
          <w:rFonts w:ascii="Arial" w:hAnsi="Arial" w:cs="Arial"/>
        </w:rPr>
      </w:pPr>
      <w:r w:rsidRPr="00D979E7">
        <w:rPr>
          <w:rFonts w:ascii="Arial" w:hAnsi="Arial" w:cs="Arial"/>
        </w:rPr>
        <w:t xml:space="preserve">The </w:t>
      </w:r>
      <w:r w:rsidR="00130322" w:rsidRPr="00D979E7">
        <w:rPr>
          <w:rFonts w:ascii="Arial" w:hAnsi="Arial" w:cs="Arial"/>
        </w:rPr>
        <w:t>cost weights</w:t>
      </w:r>
      <w:r w:rsidRPr="00D979E7">
        <w:rPr>
          <w:rFonts w:ascii="Arial" w:hAnsi="Arial" w:cs="Arial"/>
        </w:rPr>
        <w:t xml:space="preserve"> were used</w:t>
      </w:r>
      <w:r w:rsidR="00130322" w:rsidRPr="00D979E7">
        <w:rPr>
          <w:rFonts w:ascii="Arial" w:hAnsi="Arial" w:cs="Arial"/>
        </w:rPr>
        <w:t xml:space="preserve"> to estimate the cost of hospitalisations and the length of stay to estimate the number of nights spent in hospital.</w:t>
      </w:r>
    </w:p>
    <w:p w14:paraId="042BD6A7" w14:textId="77777777" w:rsidR="00F67D23" w:rsidRPr="00D979E7" w:rsidRDefault="00C6714C" w:rsidP="00271FB7">
      <w:pPr>
        <w:pStyle w:val="ListParagraph"/>
        <w:numPr>
          <w:ilvl w:val="0"/>
          <w:numId w:val="3"/>
        </w:numPr>
        <w:spacing w:before="120" w:after="120" w:line="240" w:lineRule="auto"/>
        <w:rPr>
          <w:rFonts w:ascii="Arial" w:hAnsi="Arial" w:cs="Arial"/>
        </w:rPr>
      </w:pPr>
      <w:r w:rsidRPr="00D979E7">
        <w:rPr>
          <w:rFonts w:ascii="Arial" w:hAnsi="Arial" w:cs="Arial"/>
          <w:b/>
        </w:rPr>
        <w:t>GP visit</w:t>
      </w:r>
      <w:r w:rsidRPr="00D979E7">
        <w:rPr>
          <w:rFonts w:ascii="Arial" w:hAnsi="Arial" w:cs="Arial"/>
        </w:rPr>
        <w:t xml:space="preserve">: </w:t>
      </w:r>
      <w:r w:rsidR="00096A55" w:rsidRPr="00D979E7">
        <w:rPr>
          <w:rFonts w:ascii="Arial" w:hAnsi="Arial" w:cs="Arial"/>
        </w:rPr>
        <w:t>R</w:t>
      </w:r>
      <w:r w:rsidRPr="00D979E7">
        <w:rPr>
          <w:rFonts w:ascii="Arial" w:hAnsi="Arial" w:cs="Arial"/>
        </w:rPr>
        <w:t xml:space="preserve">ecords from the Pharmaceutical Collection </w:t>
      </w:r>
      <w:r w:rsidR="00096A55" w:rsidRPr="00D979E7">
        <w:rPr>
          <w:rFonts w:ascii="Arial" w:hAnsi="Arial" w:cs="Arial"/>
        </w:rPr>
        <w:t xml:space="preserve">were used </w:t>
      </w:r>
      <w:r w:rsidRPr="00D979E7">
        <w:rPr>
          <w:rFonts w:ascii="Arial" w:hAnsi="Arial" w:cs="Arial"/>
        </w:rPr>
        <w:t xml:space="preserve">as a proxy for </w:t>
      </w:r>
      <w:r w:rsidR="009854B9" w:rsidRPr="00D979E7">
        <w:rPr>
          <w:rFonts w:ascii="Arial" w:hAnsi="Arial" w:cs="Arial"/>
        </w:rPr>
        <w:t xml:space="preserve">GP </w:t>
      </w:r>
      <w:r w:rsidRPr="00D979E7">
        <w:rPr>
          <w:rFonts w:ascii="Arial" w:hAnsi="Arial" w:cs="Arial"/>
        </w:rPr>
        <w:t xml:space="preserve">visits. A visit to a family doctor for a child is assumed to have </w:t>
      </w:r>
      <w:r w:rsidR="009854B9" w:rsidRPr="00D979E7">
        <w:rPr>
          <w:rFonts w:ascii="Arial" w:hAnsi="Arial" w:cs="Arial"/>
        </w:rPr>
        <w:t xml:space="preserve">occurred </w:t>
      </w:r>
      <w:r w:rsidRPr="00D979E7">
        <w:rPr>
          <w:rFonts w:ascii="Arial" w:hAnsi="Arial" w:cs="Arial"/>
        </w:rPr>
        <w:t xml:space="preserve">with </w:t>
      </w:r>
      <w:r w:rsidR="009854B9" w:rsidRPr="00D979E7">
        <w:rPr>
          <w:rFonts w:ascii="Arial" w:hAnsi="Arial" w:cs="Arial"/>
        </w:rPr>
        <w:t xml:space="preserve">each </w:t>
      </w:r>
      <w:r w:rsidRPr="00D979E7">
        <w:rPr>
          <w:rFonts w:ascii="Arial" w:hAnsi="Arial" w:cs="Arial"/>
        </w:rPr>
        <w:t xml:space="preserve">unique day a non-repeat dispensing is recorded. </w:t>
      </w:r>
      <w:r w:rsidR="0059590A" w:rsidRPr="00D979E7">
        <w:rPr>
          <w:rFonts w:ascii="Arial" w:hAnsi="Arial" w:cs="Arial"/>
        </w:rPr>
        <w:t>Hence</w:t>
      </w:r>
      <w:r w:rsidR="00923CD6" w:rsidRPr="00D979E7">
        <w:rPr>
          <w:rFonts w:ascii="Arial" w:hAnsi="Arial" w:cs="Arial"/>
        </w:rPr>
        <w:t>,</w:t>
      </w:r>
      <w:r w:rsidR="0059590A" w:rsidRPr="00D979E7">
        <w:rPr>
          <w:rFonts w:ascii="Arial" w:hAnsi="Arial" w:cs="Arial"/>
        </w:rPr>
        <w:t xml:space="preserve"> each child is limited to one GP visit per day.</w:t>
      </w:r>
      <w:r w:rsidR="006A0121" w:rsidRPr="00D979E7">
        <w:rPr>
          <w:rFonts w:ascii="Arial" w:hAnsi="Arial" w:cs="Arial"/>
        </w:rPr>
        <w:t xml:space="preserve"> </w:t>
      </w:r>
    </w:p>
    <w:p w14:paraId="09B10AD0" w14:textId="284BEF66" w:rsidR="00C6714C" w:rsidRPr="00D979E7" w:rsidRDefault="00096A55" w:rsidP="00271FB7">
      <w:pPr>
        <w:pStyle w:val="ListParagraph"/>
        <w:numPr>
          <w:ilvl w:val="1"/>
          <w:numId w:val="3"/>
        </w:numPr>
        <w:spacing w:before="120" w:after="120" w:line="240" w:lineRule="auto"/>
        <w:rPr>
          <w:rFonts w:ascii="Arial" w:hAnsi="Arial" w:cs="Arial"/>
        </w:rPr>
      </w:pPr>
      <w:r w:rsidRPr="00D979E7">
        <w:rPr>
          <w:rFonts w:ascii="Arial" w:hAnsi="Arial" w:cs="Arial"/>
        </w:rPr>
        <w:t xml:space="preserve">The </w:t>
      </w:r>
      <w:r w:rsidR="006A0121" w:rsidRPr="00D979E7">
        <w:rPr>
          <w:rFonts w:ascii="Arial" w:hAnsi="Arial" w:cs="Arial"/>
        </w:rPr>
        <w:t>cost of a GP visit</w:t>
      </w:r>
      <w:r w:rsidR="00DD4E20" w:rsidRPr="00D979E7">
        <w:rPr>
          <w:rFonts w:ascii="Arial" w:hAnsi="Arial" w:cs="Arial"/>
        </w:rPr>
        <w:t xml:space="preserve"> to the Government</w:t>
      </w:r>
      <w:r w:rsidR="006A0121" w:rsidRPr="00D979E7">
        <w:rPr>
          <w:rFonts w:ascii="Arial" w:hAnsi="Arial" w:cs="Arial"/>
        </w:rPr>
        <w:t xml:space="preserve"> </w:t>
      </w:r>
      <w:r w:rsidRPr="00D979E7">
        <w:rPr>
          <w:rFonts w:ascii="Arial" w:hAnsi="Arial" w:cs="Arial"/>
        </w:rPr>
        <w:t xml:space="preserve">was estimated </w:t>
      </w:r>
      <w:r w:rsidR="006A0121" w:rsidRPr="00D979E7">
        <w:rPr>
          <w:rFonts w:ascii="Arial" w:hAnsi="Arial" w:cs="Arial"/>
        </w:rPr>
        <w:t xml:space="preserve">using from the Treasury </w:t>
      </w:r>
      <w:proofErr w:type="spellStart"/>
      <w:r w:rsidR="006A0121" w:rsidRPr="00D979E7">
        <w:rPr>
          <w:rFonts w:ascii="Arial" w:hAnsi="Arial" w:cs="Arial"/>
        </w:rPr>
        <w:t>CBAx</w:t>
      </w:r>
      <w:proofErr w:type="spellEnd"/>
      <w:r w:rsidR="006A0121" w:rsidRPr="00D979E7">
        <w:rPr>
          <w:rFonts w:ascii="Arial" w:hAnsi="Arial" w:cs="Arial"/>
        </w:rPr>
        <w:t xml:space="preserve"> Tool.  </w:t>
      </w:r>
    </w:p>
    <w:p w14:paraId="6E8D8D00" w14:textId="58D5056E" w:rsidR="00F67D23" w:rsidRPr="00D979E7" w:rsidRDefault="006D7A63" w:rsidP="00271FB7">
      <w:pPr>
        <w:pStyle w:val="ListParagraph"/>
        <w:numPr>
          <w:ilvl w:val="0"/>
          <w:numId w:val="3"/>
        </w:numPr>
        <w:spacing w:before="120" w:after="120" w:line="240" w:lineRule="auto"/>
        <w:rPr>
          <w:rFonts w:ascii="Arial" w:hAnsi="Arial" w:cs="Arial"/>
        </w:rPr>
      </w:pPr>
      <w:r w:rsidRPr="00D979E7">
        <w:rPr>
          <w:rFonts w:ascii="Arial" w:hAnsi="Arial" w:cs="Arial"/>
          <w:b/>
        </w:rPr>
        <w:t>Pharm</w:t>
      </w:r>
      <w:r w:rsidR="00247D97" w:rsidRPr="00D979E7">
        <w:rPr>
          <w:rFonts w:ascii="Arial" w:hAnsi="Arial" w:cs="Arial"/>
          <w:b/>
        </w:rPr>
        <w:t>a</w:t>
      </w:r>
      <w:r w:rsidRPr="00D979E7">
        <w:rPr>
          <w:rFonts w:ascii="Arial" w:hAnsi="Arial" w:cs="Arial"/>
          <w:b/>
        </w:rPr>
        <w:t>ceutical d</w:t>
      </w:r>
      <w:r w:rsidR="00C6714C" w:rsidRPr="00D979E7">
        <w:rPr>
          <w:rFonts w:ascii="Arial" w:hAnsi="Arial" w:cs="Arial"/>
          <w:b/>
        </w:rPr>
        <w:t>ispensing</w:t>
      </w:r>
      <w:r w:rsidR="00C6714C" w:rsidRPr="00D979E7">
        <w:rPr>
          <w:rFonts w:ascii="Arial" w:hAnsi="Arial" w:cs="Arial"/>
        </w:rPr>
        <w:t xml:space="preserve">: </w:t>
      </w:r>
      <w:r w:rsidR="009854B9" w:rsidRPr="00D979E7">
        <w:rPr>
          <w:rFonts w:ascii="Arial" w:hAnsi="Arial" w:cs="Arial"/>
        </w:rPr>
        <w:t xml:space="preserve">Pharmaceutical items dispensed </w:t>
      </w:r>
      <w:r w:rsidR="00C6714C" w:rsidRPr="00D979E7">
        <w:rPr>
          <w:rFonts w:ascii="Arial" w:hAnsi="Arial" w:cs="Arial"/>
        </w:rPr>
        <w:t xml:space="preserve">is a count of the number of </w:t>
      </w:r>
      <w:proofErr w:type="spellStart"/>
      <w:r w:rsidR="008C4690" w:rsidRPr="00D979E7">
        <w:rPr>
          <w:rFonts w:ascii="Arial" w:hAnsi="Arial" w:cs="Arial"/>
        </w:rPr>
        <w:t>dispensing</w:t>
      </w:r>
      <w:r w:rsidR="00096A55" w:rsidRPr="00D979E7">
        <w:rPr>
          <w:rFonts w:ascii="Arial" w:hAnsi="Arial" w:cs="Arial"/>
        </w:rPr>
        <w:t>s</w:t>
      </w:r>
      <w:proofErr w:type="spellEnd"/>
      <w:r w:rsidR="00C6714C" w:rsidRPr="00D979E7">
        <w:rPr>
          <w:rFonts w:ascii="Arial" w:hAnsi="Arial" w:cs="Arial"/>
        </w:rPr>
        <w:t xml:space="preserve"> (type of item) from a script filled at community pharmacists. This </w:t>
      </w:r>
      <w:r w:rsidR="009854B9" w:rsidRPr="00D979E7">
        <w:rPr>
          <w:rFonts w:ascii="Arial" w:hAnsi="Arial" w:cs="Arial"/>
        </w:rPr>
        <w:t>includes repeat prescriptions.</w:t>
      </w:r>
      <w:r w:rsidR="00DD4E20" w:rsidRPr="00D979E7">
        <w:rPr>
          <w:rFonts w:ascii="Arial" w:hAnsi="Arial" w:cs="Arial"/>
        </w:rPr>
        <w:t xml:space="preserve">  </w:t>
      </w:r>
    </w:p>
    <w:p w14:paraId="09FB755A" w14:textId="01EDEDF5" w:rsidR="009854B9" w:rsidRPr="00D979E7" w:rsidRDefault="00096A55" w:rsidP="00271FB7">
      <w:pPr>
        <w:pStyle w:val="ListParagraph"/>
        <w:numPr>
          <w:ilvl w:val="1"/>
          <w:numId w:val="3"/>
        </w:numPr>
        <w:spacing w:before="120" w:after="120" w:line="240" w:lineRule="auto"/>
        <w:rPr>
          <w:rFonts w:ascii="Arial" w:hAnsi="Arial" w:cs="Arial"/>
        </w:rPr>
      </w:pPr>
      <w:r w:rsidRPr="00D979E7">
        <w:rPr>
          <w:rFonts w:ascii="Arial" w:hAnsi="Arial" w:cs="Arial"/>
        </w:rPr>
        <w:t xml:space="preserve">The </w:t>
      </w:r>
      <w:r w:rsidR="00DD4E20" w:rsidRPr="00D979E7">
        <w:rPr>
          <w:rFonts w:ascii="Arial" w:hAnsi="Arial" w:cs="Arial"/>
        </w:rPr>
        <w:t>average cost of a prescription</w:t>
      </w:r>
      <w:r w:rsidR="00DC2BFE" w:rsidRPr="00D979E7">
        <w:rPr>
          <w:rFonts w:ascii="Arial" w:hAnsi="Arial" w:cs="Arial"/>
        </w:rPr>
        <w:t xml:space="preserve"> </w:t>
      </w:r>
      <w:r w:rsidRPr="00D979E7">
        <w:rPr>
          <w:rFonts w:ascii="Arial" w:hAnsi="Arial" w:cs="Arial"/>
        </w:rPr>
        <w:t xml:space="preserve">was estimated </w:t>
      </w:r>
      <w:r w:rsidR="00DC2BFE" w:rsidRPr="00D979E7">
        <w:rPr>
          <w:rFonts w:ascii="Arial" w:hAnsi="Arial" w:cs="Arial"/>
        </w:rPr>
        <w:t xml:space="preserve">using the average 2017 cost of a pharmaceutical </w:t>
      </w:r>
      <w:r w:rsidR="005846F7" w:rsidRPr="00D979E7">
        <w:rPr>
          <w:rFonts w:ascii="Arial" w:hAnsi="Arial" w:cs="Arial"/>
        </w:rPr>
        <w:t>pre</w:t>
      </w:r>
      <w:r w:rsidR="00DC2BFE" w:rsidRPr="00D979E7">
        <w:rPr>
          <w:rFonts w:ascii="Arial" w:hAnsi="Arial" w:cs="Arial"/>
        </w:rPr>
        <w:t>script</w:t>
      </w:r>
      <w:r w:rsidR="005846F7" w:rsidRPr="00D979E7">
        <w:rPr>
          <w:rFonts w:ascii="Arial" w:hAnsi="Arial" w:cs="Arial"/>
        </w:rPr>
        <w:t>ion</w:t>
      </w:r>
      <w:r w:rsidR="00DC2BFE" w:rsidRPr="00D979E7">
        <w:rPr>
          <w:rFonts w:ascii="Arial" w:hAnsi="Arial" w:cs="Arial"/>
        </w:rPr>
        <w:t xml:space="preserve"> for housing-related conditions for </w:t>
      </w:r>
      <w:r w:rsidR="0092079A" w:rsidRPr="00D979E7">
        <w:rPr>
          <w:rFonts w:ascii="Arial" w:hAnsi="Arial" w:cs="Arial"/>
        </w:rPr>
        <w:t xml:space="preserve">all </w:t>
      </w:r>
      <w:r w:rsidR="00DC2BFE" w:rsidRPr="00D979E7">
        <w:rPr>
          <w:rFonts w:ascii="Arial" w:hAnsi="Arial" w:cs="Arial"/>
        </w:rPr>
        <w:t>children</w:t>
      </w:r>
      <w:r w:rsidR="0092079A" w:rsidRPr="00D979E7">
        <w:rPr>
          <w:rFonts w:ascii="Arial" w:hAnsi="Arial" w:cs="Arial"/>
        </w:rPr>
        <w:t xml:space="preserve"> in New Zealand</w:t>
      </w:r>
      <w:r w:rsidR="00DC2BFE" w:rsidRPr="00D979E7">
        <w:rPr>
          <w:rFonts w:ascii="Arial" w:hAnsi="Arial" w:cs="Arial"/>
        </w:rPr>
        <w:t xml:space="preserve"> less than 15 years</w:t>
      </w:r>
      <w:r w:rsidR="0092079A" w:rsidRPr="00D979E7">
        <w:rPr>
          <w:rStyle w:val="FootnoteReference"/>
          <w:rFonts w:ascii="Arial" w:hAnsi="Arial" w:cs="Arial"/>
        </w:rPr>
        <w:footnoteReference w:id="4"/>
      </w:r>
      <w:r w:rsidR="00DC2BFE" w:rsidRPr="00D979E7">
        <w:rPr>
          <w:rFonts w:ascii="Arial" w:hAnsi="Arial" w:cs="Arial"/>
        </w:rPr>
        <w:t>.</w:t>
      </w:r>
    </w:p>
    <w:p w14:paraId="3ABF11BA" w14:textId="6B43697C" w:rsidR="003C7B92" w:rsidRPr="00D979E7" w:rsidRDefault="003C7B92" w:rsidP="00271FB7">
      <w:pPr>
        <w:spacing w:before="120" w:after="120" w:line="240" w:lineRule="auto"/>
        <w:rPr>
          <w:rFonts w:ascii="Arial" w:hAnsi="Arial" w:cs="Arial"/>
        </w:rPr>
      </w:pPr>
      <w:r w:rsidRPr="00D979E7">
        <w:rPr>
          <w:rFonts w:ascii="Arial" w:hAnsi="Arial" w:cs="Arial"/>
        </w:rPr>
        <w:t xml:space="preserve">There are four types of hospitalisation events that are discussed in the remainder of this document. </w:t>
      </w:r>
    </w:p>
    <w:p w14:paraId="39BD33BF" w14:textId="04F73DF2" w:rsidR="003C7B92" w:rsidRPr="00D979E7" w:rsidRDefault="003C7B92" w:rsidP="00271FB7">
      <w:pPr>
        <w:pStyle w:val="ListParagraph"/>
        <w:numPr>
          <w:ilvl w:val="0"/>
          <w:numId w:val="16"/>
        </w:numPr>
        <w:spacing w:before="120" w:after="120" w:line="240" w:lineRule="auto"/>
        <w:rPr>
          <w:rFonts w:ascii="Arial" w:hAnsi="Arial" w:cs="Arial"/>
        </w:rPr>
      </w:pPr>
      <w:r w:rsidRPr="00D979E7">
        <w:rPr>
          <w:rFonts w:ascii="Arial" w:hAnsi="Arial" w:cs="Arial"/>
        </w:rPr>
        <w:t>Ho</w:t>
      </w:r>
      <w:r w:rsidR="002775BD" w:rsidRPr="00D979E7">
        <w:rPr>
          <w:rFonts w:ascii="Arial" w:hAnsi="Arial" w:cs="Arial"/>
        </w:rPr>
        <w:t>spitalisation</w:t>
      </w:r>
      <w:r w:rsidRPr="00D979E7">
        <w:rPr>
          <w:rFonts w:ascii="Arial" w:hAnsi="Arial" w:cs="Arial"/>
        </w:rPr>
        <w:t>: all-cause hospitalisations, for any condition. The total number of hospitalisations averted is used for the final estimates of hospitalisations prevented that can be attributed to the HHIs.</w:t>
      </w:r>
    </w:p>
    <w:p w14:paraId="6BF9FFA5" w14:textId="09E579BE" w:rsidR="003C7B92" w:rsidRPr="00D979E7" w:rsidRDefault="003C7B92" w:rsidP="00271FB7">
      <w:pPr>
        <w:pStyle w:val="ListParagraph"/>
        <w:numPr>
          <w:ilvl w:val="0"/>
          <w:numId w:val="16"/>
        </w:numPr>
        <w:spacing w:before="120" w:after="120" w:line="240" w:lineRule="auto"/>
        <w:rPr>
          <w:rFonts w:ascii="Arial" w:hAnsi="Arial" w:cs="Arial"/>
        </w:rPr>
      </w:pPr>
      <w:r w:rsidRPr="00D979E7">
        <w:rPr>
          <w:rFonts w:ascii="Arial" w:hAnsi="Arial" w:cs="Arial"/>
        </w:rPr>
        <w:t>Ho</w:t>
      </w:r>
      <w:r w:rsidR="002775BD" w:rsidRPr="00D979E7">
        <w:rPr>
          <w:rFonts w:ascii="Arial" w:hAnsi="Arial" w:cs="Arial"/>
        </w:rPr>
        <w:t>using-sensitive hospitalisation</w:t>
      </w:r>
      <w:r w:rsidRPr="00D979E7">
        <w:rPr>
          <w:rFonts w:ascii="Arial" w:hAnsi="Arial" w:cs="Arial"/>
        </w:rPr>
        <w:t xml:space="preserve"> (HSH):</w:t>
      </w:r>
      <w:r w:rsidR="00013FD8" w:rsidRPr="00D979E7">
        <w:rPr>
          <w:rFonts w:ascii="Arial" w:hAnsi="Arial" w:cs="Arial"/>
        </w:rPr>
        <w:t xml:space="preserve"> these are also referred to as the ‘indicator’ conditions in the eligibility criteria for two out of the four target groups for HHI referrals. </w:t>
      </w:r>
    </w:p>
    <w:p w14:paraId="1432A19A" w14:textId="09EC62BD" w:rsidR="003C7B92" w:rsidRPr="00D979E7" w:rsidRDefault="003C7B92" w:rsidP="00271FB7">
      <w:pPr>
        <w:pStyle w:val="ListParagraph"/>
        <w:numPr>
          <w:ilvl w:val="0"/>
          <w:numId w:val="16"/>
        </w:numPr>
        <w:spacing w:before="120" w:after="120" w:line="240" w:lineRule="auto"/>
        <w:rPr>
          <w:rFonts w:ascii="Arial" w:hAnsi="Arial" w:cs="Arial"/>
        </w:rPr>
      </w:pPr>
      <w:r w:rsidRPr="00D979E7">
        <w:rPr>
          <w:rFonts w:ascii="Arial" w:hAnsi="Arial" w:cs="Arial"/>
        </w:rPr>
        <w:t>Potentially attributable to the home environment (PAHHE)</w:t>
      </w:r>
      <w:r w:rsidR="002775BD" w:rsidRPr="00D979E7">
        <w:rPr>
          <w:rFonts w:ascii="Arial" w:hAnsi="Arial" w:cs="Arial"/>
        </w:rPr>
        <w:t xml:space="preserve"> hospitalisation</w:t>
      </w:r>
      <w:r w:rsidRPr="00D979E7">
        <w:rPr>
          <w:rFonts w:ascii="Arial" w:hAnsi="Arial" w:cs="Arial"/>
        </w:rPr>
        <w:t xml:space="preserve">:  </w:t>
      </w:r>
      <w:r w:rsidR="00404F82" w:rsidRPr="00D979E7">
        <w:rPr>
          <w:rFonts w:ascii="Arial" w:hAnsi="Arial" w:cs="Arial"/>
        </w:rPr>
        <w:t xml:space="preserve">This is a broader range of conditions identified as being related to the home environment. </w:t>
      </w:r>
    </w:p>
    <w:p w14:paraId="71B3553C" w14:textId="6C44215F" w:rsidR="007A7F79" w:rsidRPr="00D979E7" w:rsidRDefault="007A7F79" w:rsidP="00271FB7">
      <w:pPr>
        <w:spacing w:before="120" w:after="120" w:line="240" w:lineRule="auto"/>
        <w:rPr>
          <w:rFonts w:ascii="Arial" w:hAnsi="Arial" w:cs="Arial"/>
        </w:rPr>
      </w:pPr>
      <w:r w:rsidRPr="00D979E7">
        <w:rPr>
          <w:rFonts w:ascii="Arial" w:hAnsi="Arial" w:cs="Arial"/>
        </w:rPr>
        <w:t>Events that are PAHHE but that are not considered HSH have been used in the process of estimating selection bias for the analysis of hospitalisations averted in the year post-intervention across all referrals that can reasonably be attributed to the HHIs.</w:t>
      </w:r>
    </w:p>
    <w:p w14:paraId="1E2CD406" w14:textId="17D588AF" w:rsidR="00F67D23" w:rsidRPr="00D979E7" w:rsidRDefault="00F67D23" w:rsidP="00271FB7">
      <w:pPr>
        <w:pStyle w:val="Heading3"/>
        <w:spacing w:before="120" w:after="120" w:line="240" w:lineRule="auto"/>
        <w:rPr>
          <w:rFonts w:ascii="Arial" w:hAnsi="Arial" w:cs="Arial"/>
        </w:rPr>
      </w:pPr>
      <w:bookmarkStart w:id="19" w:name="_Toc19715040"/>
      <w:r w:rsidRPr="00D979E7">
        <w:rPr>
          <w:rFonts w:ascii="Arial" w:hAnsi="Arial" w:cs="Arial"/>
        </w:rPr>
        <w:t>Unit of analysis</w:t>
      </w:r>
      <w:bookmarkEnd w:id="19"/>
    </w:p>
    <w:p w14:paraId="38CE9D35" w14:textId="77777777" w:rsidR="00F67D23" w:rsidRPr="00D979E7" w:rsidRDefault="00F67D23" w:rsidP="00271FB7">
      <w:pPr>
        <w:spacing w:before="120" w:after="120" w:line="240" w:lineRule="auto"/>
        <w:rPr>
          <w:rFonts w:ascii="Arial" w:hAnsi="Arial" w:cs="Arial"/>
        </w:rPr>
      </w:pPr>
      <w:r w:rsidRPr="00D979E7">
        <w:rPr>
          <w:rFonts w:ascii="Arial" w:hAnsi="Arial" w:cs="Arial"/>
        </w:rPr>
        <w:t xml:space="preserve">The unit of analysis is the HHI referral. Most children were referred to an HHI provider only once. However, in rare cases (generally when the family moved), there would have been multiple HHI referrals for the same child. All referrals were included and counted as separate units in the analysis in these cases because of the different timeframes relevant for each referral. These timeframes, or ‘observation periods’ are explained further below.  </w:t>
      </w:r>
    </w:p>
    <w:p w14:paraId="1FCE7A0B" w14:textId="7555C726" w:rsidR="00F67D23" w:rsidRPr="00D979E7" w:rsidRDefault="00F67D23" w:rsidP="00271FB7">
      <w:pPr>
        <w:spacing w:before="120" w:after="120" w:line="240" w:lineRule="auto"/>
        <w:rPr>
          <w:rFonts w:ascii="Arial" w:hAnsi="Arial" w:cs="Arial"/>
        </w:rPr>
      </w:pPr>
      <w:r w:rsidRPr="00D979E7">
        <w:rPr>
          <w:rFonts w:ascii="Arial" w:hAnsi="Arial" w:cs="Arial"/>
        </w:rPr>
        <w:t xml:space="preserve">For each referral, the time between </w:t>
      </w:r>
      <w:r w:rsidR="00A6542B" w:rsidRPr="00D979E7">
        <w:rPr>
          <w:rFonts w:ascii="Arial" w:hAnsi="Arial" w:cs="Arial"/>
        </w:rPr>
        <w:t>that referral’s</w:t>
      </w:r>
      <w:r w:rsidRPr="00D979E7">
        <w:rPr>
          <w:rFonts w:ascii="Arial" w:hAnsi="Arial" w:cs="Arial"/>
        </w:rPr>
        <w:t xml:space="preserve"> earliest intervention date and latest intervention date was considered the intervention period, or ‘intervention’</w:t>
      </w:r>
      <w:r w:rsidR="00A6542B" w:rsidRPr="00D979E7">
        <w:rPr>
          <w:rFonts w:ascii="Arial" w:hAnsi="Arial" w:cs="Arial"/>
        </w:rPr>
        <w:t>.</w:t>
      </w:r>
      <w:r w:rsidRPr="00D979E7">
        <w:rPr>
          <w:rFonts w:ascii="Arial" w:hAnsi="Arial" w:cs="Arial"/>
        </w:rPr>
        <w:t xml:space="preserve"> On average across all 1,608 HHI referrals in the evaluation sample</w:t>
      </w:r>
      <w:r w:rsidR="00C8187E" w:rsidRPr="00D979E7">
        <w:rPr>
          <w:rFonts w:ascii="Arial" w:hAnsi="Arial" w:cs="Arial"/>
        </w:rPr>
        <w:t xml:space="preserve"> population</w:t>
      </w:r>
      <w:r w:rsidRPr="00D979E7">
        <w:rPr>
          <w:rFonts w:ascii="Arial" w:hAnsi="Arial" w:cs="Arial"/>
        </w:rPr>
        <w:t xml:space="preserve">, the latest intervention was 0.4 years (or almost 5 months) after the earliest intervention. </w:t>
      </w:r>
    </w:p>
    <w:p w14:paraId="0ED1B226" w14:textId="4FCBB72C" w:rsidR="009854B9" w:rsidRPr="00D979E7" w:rsidRDefault="00613DF0" w:rsidP="00271FB7">
      <w:pPr>
        <w:pStyle w:val="Heading3"/>
        <w:spacing w:before="120" w:after="120" w:line="240" w:lineRule="auto"/>
        <w:rPr>
          <w:rFonts w:ascii="Arial" w:hAnsi="Arial" w:cs="Arial"/>
        </w:rPr>
      </w:pPr>
      <w:bookmarkStart w:id="20" w:name="_Toc19715041"/>
      <w:r w:rsidRPr="00D979E7">
        <w:rPr>
          <w:rFonts w:ascii="Arial" w:hAnsi="Arial" w:cs="Arial"/>
        </w:rPr>
        <w:t>Analytical approach</w:t>
      </w:r>
      <w:bookmarkEnd w:id="20"/>
      <w:r w:rsidRPr="00D979E7">
        <w:rPr>
          <w:rFonts w:ascii="Arial" w:hAnsi="Arial" w:cs="Arial"/>
        </w:rPr>
        <w:t xml:space="preserve"> </w:t>
      </w:r>
    </w:p>
    <w:p w14:paraId="7709D470" w14:textId="2BD6C58F" w:rsidR="00185C30" w:rsidRPr="00D979E7" w:rsidRDefault="004A3341" w:rsidP="00271FB7">
      <w:pPr>
        <w:spacing w:before="120" w:after="120" w:line="240" w:lineRule="auto"/>
        <w:rPr>
          <w:rFonts w:ascii="Arial" w:hAnsi="Arial" w:cs="Arial"/>
        </w:rPr>
      </w:pPr>
      <w:r w:rsidRPr="00D979E7">
        <w:rPr>
          <w:rFonts w:ascii="Arial" w:hAnsi="Arial" w:cs="Arial"/>
        </w:rPr>
        <w:t xml:space="preserve">For each referral, we therefore had data from two periods either side of when the </w:t>
      </w:r>
      <w:proofErr w:type="spellStart"/>
      <w:r w:rsidRPr="00D979E7">
        <w:rPr>
          <w:rFonts w:ascii="Arial" w:hAnsi="Arial" w:cs="Arial"/>
        </w:rPr>
        <w:t>whānau</w:t>
      </w:r>
      <w:proofErr w:type="spellEnd"/>
      <w:r w:rsidRPr="00D979E7">
        <w:rPr>
          <w:rFonts w:ascii="Arial" w:hAnsi="Arial" w:cs="Arial"/>
        </w:rPr>
        <w:t xml:space="preserve"> of that referred child were engaged with an HHI provider to receive interventions to</w:t>
      </w:r>
      <w:r w:rsidR="00081C4E" w:rsidRPr="00D979E7">
        <w:rPr>
          <w:rFonts w:ascii="Arial" w:hAnsi="Arial" w:cs="Arial"/>
        </w:rPr>
        <w:t xml:space="preserve"> improve their home environment.</w:t>
      </w:r>
      <w:r w:rsidRPr="00D979E7">
        <w:rPr>
          <w:rFonts w:ascii="Arial" w:hAnsi="Arial" w:cs="Arial"/>
        </w:rPr>
        <w:t xml:space="preserve"> This is pre-post </w:t>
      </w:r>
      <w:r w:rsidR="00EF46A2" w:rsidRPr="00D979E7">
        <w:rPr>
          <w:rFonts w:ascii="Arial" w:hAnsi="Arial" w:cs="Arial"/>
        </w:rPr>
        <w:t>data and is treated accordingly: t</w:t>
      </w:r>
      <w:r w:rsidR="000B4846" w:rsidRPr="00D979E7">
        <w:rPr>
          <w:rFonts w:ascii="Arial" w:hAnsi="Arial" w:cs="Arial"/>
        </w:rPr>
        <w:t>he number of events happening in the year either side of this ‘intervention’ period were used to obtain counts of both ‘pre</w:t>
      </w:r>
      <w:r w:rsidR="00D37F8D" w:rsidRPr="00D979E7">
        <w:rPr>
          <w:rFonts w:ascii="Arial" w:hAnsi="Arial" w:cs="Arial"/>
        </w:rPr>
        <w:t xml:space="preserve">-intervention’ </w:t>
      </w:r>
      <w:r w:rsidR="000B4846" w:rsidRPr="00D979E7">
        <w:rPr>
          <w:rFonts w:ascii="Arial" w:hAnsi="Arial" w:cs="Arial"/>
        </w:rPr>
        <w:t>and ‘post-</w:t>
      </w:r>
      <w:r w:rsidR="00D37F8D" w:rsidRPr="00D979E7">
        <w:rPr>
          <w:rFonts w:ascii="Arial" w:hAnsi="Arial" w:cs="Arial"/>
        </w:rPr>
        <w:t>intervention’</w:t>
      </w:r>
      <w:r w:rsidR="000B4846" w:rsidRPr="00D979E7">
        <w:rPr>
          <w:rFonts w:ascii="Arial" w:hAnsi="Arial" w:cs="Arial"/>
        </w:rPr>
        <w:t xml:space="preserve"> health </w:t>
      </w:r>
      <w:r w:rsidR="00613DF0" w:rsidRPr="00D979E7">
        <w:rPr>
          <w:rFonts w:ascii="Arial" w:hAnsi="Arial" w:cs="Arial"/>
        </w:rPr>
        <w:t>events</w:t>
      </w:r>
      <w:r w:rsidR="00EF46A2" w:rsidRPr="00D979E7">
        <w:rPr>
          <w:rFonts w:ascii="Arial" w:hAnsi="Arial" w:cs="Arial"/>
        </w:rPr>
        <w:t xml:space="preserve"> on a referral-by-referral basis</w:t>
      </w:r>
      <w:r w:rsidR="000B4846" w:rsidRPr="00D979E7">
        <w:rPr>
          <w:rFonts w:ascii="Arial" w:hAnsi="Arial" w:cs="Arial"/>
        </w:rPr>
        <w:t xml:space="preserve">. </w:t>
      </w:r>
    </w:p>
    <w:p w14:paraId="68493AB4" w14:textId="069150D8" w:rsidR="007A7F79" w:rsidRPr="00D979E7" w:rsidRDefault="00185C30" w:rsidP="00271FB7">
      <w:pPr>
        <w:spacing w:before="120" w:after="120" w:line="240" w:lineRule="auto"/>
        <w:rPr>
          <w:rFonts w:ascii="Arial" w:hAnsi="Arial" w:cs="Arial"/>
        </w:rPr>
      </w:pPr>
      <w:r w:rsidRPr="00D979E7">
        <w:rPr>
          <w:rFonts w:ascii="Arial" w:hAnsi="Arial" w:cs="Arial"/>
        </w:rPr>
        <w:lastRenderedPageBreak/>
        <w:t xml:space="preserve">The </w:t>
      </w:r>
      <w:r w:rsidR="00E5086C" w:rsidRPr="00D979E7">
        <w:rPr>
          <w:rFonts w:ascii="Arial" w:hAnsi="Arial" w:cs="Arial"/>
        </w:rPr>
        <w:t>‘</w:t>
      </w:r>
      <w:r w:rsidRPr="00D979E7">
        <w:rPr>
          <w:rFonts w:ascii="Arial" w:hAnsi="Arial" w:cs="Arial"/>
        </w:rPr>
        <w:t>pre</w:t>
      </w:r>
      <w:r w:rsidR="00803E82" w:rsidRPr="00D979E7">
        <w:rPr>
          <w:rFonts w:ascii="Arial" w:hAnsi="Arial" w:cs="Arial"/>
        </w:rPr>
        <w:t>-intervention</w:t>
      </w:r>
      <w:r w:rsidRPr="00D979E7">
        <w:rPr>
          <w:rFonts w:ascii="Arial" w:hAnsi="Arial" w:cs="Arial"/>
        </w:rPr>
        <w:t xml:space="preserve">’ period was considered as the year immediately before each referral’s ‘intervention start’ date. </w:t>
      </w:r>
      <w:r w:rsidR="00803E82" w:rsidRPr="00D979E7">
        <w:rPr>
          <w:rFonts w:ascii="Arial" w:hAnsi="Arial" w:cs="Arial"/>
        </w:rPr>
        <w:t xml:space="preserve">The ‘post-intervention’ period was the year immediately after the </w:t>
      </w:r>
      <w:r w:rsidR="003401C3" w:rsidRPr="00D979E7">
        <w:rPr>
          <w:rFonts w:ascii="Arial" w:hAnsi="Arial" w:cs="Arial"/>
        </w:rPr>
        <w:t>latest</w:t>
      </w:r>
      <w:r w:rsidR="00803E82" w:rsidRPr="00D979E7">
        <w:rPr>
          <w:rFonts w:ascii="Arial" w:hAnsi="Arial" w:cs="Arial"/>
        </w:rPr>
        <w:t xml:space="preserve"> intervention date provided for each referral. </w:t>
      </w:r>
      <w:r w:rsidR="0096562C" w:rsidRPr="00D979E7">
        <w:rPr>
          <w:rFonts w:ascii="Arial" w:hAnsi="Arial" w:cs="Arial"/>
        </w:rPr>
        <w:t xml:space="preserve">Figure </w:t>
      </w:r>
      <w:r w:rsidR="00247D97" w:rsidRPr="00D979E7">
        <w:rPr>
          <w:rFonts w:ascii="Arial" w:hAnsi="Arial" w:cs="Arial"/>
        </w:rPr>
        <w:t>2</w:t>
      </w:r>
      <w:r w:rsidR="0096562C" w:rsidRPr="00D979E7">
        <w:rPr>
          <w:rFonts w:ascii="Arial" w:hAnsi="Arial" w:cs="Arial"/>
        </w:rPr>
        <w:t xml:space="preserve"> details these observation periods to obtain the necessary pre-/post-intervention counts </w:t>
      </w:r>
      <w:r w:rsidR="007A7F79" w:rsidRPr="00D979E7">
        <w:rPr>
          <w:rFonts w:ascii="Arial" w:hAnsi="Arial" w:cs="Arial"/>
        </w:rPr>
        <w:t xml:space="preserve">for three hypothetical HHI referrals </w:t>
      </w:r>
      <w:r w:rsidR="0096562C" w:rsidRPr="00D979E7">
        <w:rPr>
          <w:rFonts w:ascii="Arial" w:hAnsi="Arial" w:cs="Arial"/>
        </w:rPr>
        <w:t>that we might expect in the</w:t>
      </w:r>
      <w:r w:rsidR="007A7F79" w:rsidRPr="00D979E7">
        <w:rPr>
          <w:rFonts w:ascii="Arial" w:hAnsi="Arial" w:cs="Arial"/>
        </w:rPr>
        <w:t xml:space="preserve"> </w:t>
      </w:r>
      <w:r w:rsidR="00081C4E" w:rsidRPr="00D979E7">
        <w:rPr>
          <w:rFonts w:ascii="Arial" w:hAnsi="Arial" w:cs="Arial"/>
        </w:rPr>
        <w:t xml:space="preserve">evaluation </w:t>
      </w:r>
      <w:r w:rsidR="007A7F79" w:rsidRPr="00D979E7">
        <w:rPr>
          <w:rFonts w:ascii="Arial" w:hAnsi="Arial" w:cs="Arial"/>
        </w:rPr>
        <w:t>sample population of 1</w:t>
      </w:r>
      <w:r w:rsidR="00B02100" w:rsidRPr="00D979E7">
        <w:rPr>
          <w:rFonts w:ascii="Arial" w:hAnsi="Arial" w:cs="Arial"/>
        </w:rPr>
        <w:t>,</w:t>
      </w:r>
      <w:r w:rsidR="007A7F79" w:rsidRPr="00D979E7">
        <w:rPr>
          <w:rFonts w:ascii="Arial" w:hAnsi="Arial" w:cs="Arial"/>
        </w:rPr>
        <w:t xml:space="preserve">608. </w:t>
      </w:r>
    </w:p>
    <w:p w14:paraId="48989B5B" w14:textId="23B8EEEC" w:rsidR="00271FB7" w:rsidRPr="00D979E7" w:rsidRDefault="006628A2" w:rsidP="00271FB7">
      <w:pPr>
        <w:spacing w:before="120" w:after="120" w:line="240" w:lineRule="auto"/>
        <w:rPr>
          <w:rFonts w:ascii="Arial" w:hAnsi="Arial" w:cs="Arial"/>
        </w:rPr>
      </w:pPr>
      <w:r w:rsidRPr="00D979E7">
        <w:rPr>
          <w:rFonts w:ascii="Arial" w:hAnsi="Arial" w:cs="Arial"/>
          <w:b/>
        </w:rPr>
        <w:t xml:space="preserve">Figure </w:t>
      </w:r>
      <w:r w:rsidR="00247D97" w:rsidRPr="00D979E7">
        <w:rPr>
          <w:rFonts w:ascii="Arial" w:hAnsi="Arial" w:cs="Arial"/>
          <w:b/>
        </w:rPr>
        <w:t>2</w:t>
      </w:r>
      <w:r w:rsidRPr="00D979E7">
        <w:rPr>
          <w:rFonts w:ascii="Arial" w:hAnsi="Arial" w:cs="Arial"/>
          <w:b/>
        </w:rPr>
        <w:t>:</w:t>
      </w:r>
      <w:r w:rsidRPr="00D979E7">
        <w:rPr>
          <w:rFonts w:ascii="Arial" w:hAnsi="Arial" w:cs="Arial"/>
        </w:rPr>
        <w:t xml:space="preserve"> Example of analytical approach for three hypothetical HHI referrals over time period of available health outcomes data (2012-2018). </w:t>
      </w:r>
    </w:p>
    <w:p w14:paraId="35AAC74A" w14:textId="03DA7826" w:rsidR="006628A2" w:rsidRPr="00D979E7" w:rsidRDefault="006628A2" w:rsidP="00271FB7">
      <w:pPr>
        <w:spacing w:before="120" w:after="120" w:line="240" w:lineRule="auto"/>
        <w:rPr>
          <w:rFonts w:ascii="Arial" w:hAnsi="Arial" w:cs="Arial"/>
        </w:rPr>
      </w:pPr>
      <w:r w:rsidRPr="00D979E7">
        <w:rPr>
          <w:rFonts w:ascii="Arial" w:hAnsi="Arial" w:cs="Arial"/>
        </w:rPr>
        <w:t>Referral 1:</w:t>
      </w:r>
    </w:p>
    <w:p w14:paraId="6B093403" w14:textId="351879F1" w:rsidR="005C2379" w:rsidRPr="00D979E7" w:rsidRDefault="000319C7" w:rsidP="00271FB7">
      <w:pPr>
        <w:spacing w:before="120" w:after="120" w:line="240" w:lineRule="auto"/>
        <w:rPr>
          <w:rFonts w:ascii="Arial" w:hAnsi="Arial" w:cs="Arial"/>
        </w:rPr>
      </w:pPr>
      <w:r w:rsidRPr="00D979E7">
        <w:rPr>
          <w:rFonts w:ascii="Arial" w:hAnsi="Arial" w:cs="Arial"/>
          <w:noProof/>
          <w:lang w:eastAsia="en-NZ"/>
        </w:rPr>
        <w:drawing>
          <wp:inline distT="0" distB="0" distL="0" distR="0" wp14:anchorId="070AEA73" wp14:editId="635E69B5">
            <wp:extent cx="5731510" cy="1185799"/>
            <wp:effectExtent l="0" t="0" r="2540" b="0"/>
            <wp:docPr id="7" name="Picture 7" descr="The first referral example is a timeline from 1/1/2012 to 31/12/2018, showing two Health Homes Initiative interventions in the middle, with lines to show the beginning of the year before the first intervention and the end of the year after the second intervention." title="Referral examp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5353"/>
                    <a:stretch/>
                  </pic:blipFill>
                  <pic:spPr bwMode="auto">
                    <a:xfrm>
                      <a:off x="0" y="0"/>
                      <a:ext cx="5731510" cy="1185799"/>
                    </a:xfrm>
                    <a:prstGeom prst="rect">
                      <a:avLst/>
                    </a:prstGeom>
                    <a:ln>
                      <a:noFill/>
                    </a:ln>
                    <a:extLst>
                      <a:ext uri="{53640926-AAD7-44D8-BBD7-CCE9431645EC}">
                        <a14:shadowObscured xmlns:a14="http://schemas.microsoft.com/office/drawing/2010/main"/>
                      </a:ext>
                    </a:extLst>
                  </pic:spPr>
                </pic:pic>
              </a:graphicData>
            </a:graphic>
          </wp:inline>
        </w:drawing>
      </w:r>
    </w:p>
    <w:p w14:paraId="4166F17E" w14:textId="13B5DF5C" w:rsidR="006628A2" w:rsidRPr="00D979E7" w:rsidRDefault="006628A2" w:rsidP="00271FB7">
      <w:pPr>
        <w:spacing w:before="120" w:after="120" w:line="240" w:lineRule="auto"/>
        <w:rPr>
          <w:rFonts w:ascii="Arial" w:hAnsi="Arial" w:cs="Arial"/>
        </w:rPr>
      </w:pPr>
      <w:r w:rsidRPr="00D979E7">
        <w:rPr>
          <w:rFonts w:ascii="Arial" w:hAnsi="Arial" w:cs="Arial"/>
        </w:rPr>
        <w:t>Referral 2:</w:t>
      </w:r>
    </w:p>
    <w:p w14:paraId="43467A0E" w14:textId="521900F1" w:rsidR="006628A2" w:rsidRPr="00D979E7" w:rsidRDefault="000319C7" w:rsidP="00271FB7">
      <w:pPr>
        <w:spacing w:before="120" w:after="120" w:line="240" w:lineRule="auto"/>
        <w:rPr>
          <w:rFonts w:ascii="Arial" w:hAnsi="Arial" w:cs="Arial"/>
        </w:rPr>
      </w:pPr>
      <w:r w:rsidRPr="00D979E7">
        <w:rPr>
          <w:rFonts w:ascii="Arial" w:hAnsi="Arial" w:cs="Arial"/>
          <w:noProof/>
          <w:lang w:eastAsia="en-NZ"/>
        </w:rPr>
        <w:drawing>
          <wp:inline distT="0" distB="0" distL="0" distR="0" wp14:anchorId="24460062" wp14:editId="7B15D2EB">
            <wp:extent cx="5731510" cy="1132332"/>
            <wp:effectExtent l="0" t="0" r="2540" b="0"/>
            <wp:docPr id="9" name="Picture 9" descr="The second referral example is a timeline from 1/1/2012 to 31/12/2018, showing 5 Health Homes Initiative interventions just over halfway through the timeline, with lines to show the beginning of the year before the first intervention and the end of the year after the final intervention." title="Example referr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8834"/>
                    <a:stretch/>
                  </pic:blipFill>
                  <pic:spPr bwMode="auto">
                    <a:xfrm>
                      <a:off x="0" y="0"/>
                      <a:ext cx="5731510" cy="1132332"/>
                    </a:xfrm>
                    <a:prstGeom prst="rect">
                      <a:avLst/>
                    </a:prstGeom>
                    <a:ln>
                      <a:noFill/>
                    </a:ln>
                    <a:extLst>
                      <a:ext uri="{53640926-AAD7-44D8-BBD7-CCE9431645EC}">
                        <a14:shadowObscured xmlns:a14="http://schemas.microsoft.com/office/drawing/2010/main"/>
                      </a:ext>
                    </a:extLst>
                  </pic:spPr>
                </pic:pic>
              </a:graphicData>
            </a:graphic>
          </wp:inline>
        </w:drawing>
      </w:r>
    </w:p>
    <w:p w14:paraId="1192A266" w14:textId="5BF0FF04" w:rsidR="006628A2" w:rsidRPr="00D979E7" w:rsidRDefault="006628A2" w:rsidP="00271FB7">
      <w:pPr>
        <w:spacing w:before="120" w:after="120" w:line="240" w:lineRule="auto"/>
        <w:rPr>
          <w:rFonts w:ascii="Arial" w:hAnsi="Arial" w:cs="Arial"/>
        </w:rPr>
      </w:pPr>
      <w:r w:rsidRPr="00D979E7">
        <w:rPr>
          <w:rFonts w:ascii="Arial" w:hAnsi="Arial" w:cs="Arial"/>
        </w:rPr>
        <w:t>Referral 3:</w:t>
      </w:r>
    </w:p>
    <w:p w14:paraId="47742E0B" w14:textId="1A7DE7AD" w:rsidR="000319C7" w:rsidRPr="00D979E7" w:rsidRDefault="000319C7" w:rsidP="00271FB7">
      <w:pPr>
        <w:spacing w:before="120" w:after="120" w:line="240" w:lineRule="auto"/>
        <w:rPr>
          <w:rFonts w:ascii="Arial" w:hAnsi="Arial" w:cs="Arial"/>
        </w:rPr>
      </w:pPr>
      <w:r w:rsidRPr="00D979E7">
        <w:rPr>
          <w:rFonts w:ascii="Arial" w:hAnsi="Arial" w:cs="Arial"/>
          <w:noProof/>
          <w:lang w:eastAsia="en-NZ"/>
        </w:rPr>
        <w:drawing>
          <wp:inline distT="0" distB="0" distL="0" distR="0" wp14:anchorId="6B2D8DCB" wp14:editId="0EE91996">
            <wp:extent cx="5731510" cy="1114425"/>
            <wp:effectExtent l="0" t="0" r="2540" b="9525"/>
            <wp:docPr id="10" name="Picture 10" descr="The third referral example is a timeline from 1/1/2012 to 31/12/2018, showing three Health Homes Initiative interventions just before halfway through the timeline, with lines to show the beginning of the year before the first intervention and the end of the year after the final intervention." title="Example referral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9861"/>
                    <a:stretch/>
                  </pic:blipFill>
                  <pic:spPr bwMode="auto">
                    <a:xfrm>
                      <a:off x="0" y="0"/>
                      <a:ext cx="5731510" cy="1114425"/>
                    </a:xfrm>
                    <a:prstGeom prst="rect">
                      <a:avLst/>
                    </a:prstGeom>
                    <a:ln>
                      <a:noFill/>
                    </a:ln>
                    <a:extLst>
                      <a:ext uri="{53640926-AAD7-44D8-BBD7-CCE9431645EC}">
                        <a14:shadowObscured xmlns:a14="http://schemas.microsoft.com/office/drawing/2010/main"/>
                      </a:ext>
                    </a:extLst>
                  </pic:spPr>
                </pic:pic>
              </a:graphicData>
            </a:graphic>
          </wp:inline>
        </w:drawing>
      </w:r>
    </w:p>
    <w:p w14:paraId="43828CFF" w14:textId="1F920D03" w:rsidR="006D7A63" w:rsidRPr="00D979E7" w:rsidRDefault="00212084" w:rsidP="00271FB7">
      <w:pPr>
        <w:spacing w:before="120" w:after="120" w:line="240" w:lineRule="auto"/>
        <w:rPr>
          <w:rFonts w:ascii="Arial" w:hAnsi="Arial" w:cs="Arial"/>
        </w:rPr>
      </w:pPr>
      <w:r w:rsidRPr="00D979E7">
        <w:rPr>
          <w:rFonts w:ascii="Arial" w:hAnsi="Arial" w:cs="Arial"/>
        </w:rPr>
        <w:t xml:space="preserve">For each analysis of the three health events (hospitalisations, GP visits and pharmaceutical </w:t>
      </w:r>
      <w:proofErr w:type="spellStart"/>
      <w:r w:rsidRPr="00D979E7">
        <w:rPr>
          <w:rFonts w:ascii="Arial" w:hAnsi="Arial" w:cs="Arial"/>
        </w:rPr>
        <w:t>dispensings</w:t>
      </w:r>
      <w:proofErr w:type="spellEnd"/>
      <w:r w:rsidRPr="00D979E7">
        <w:rPr>
          <w:rFonts w:ascii="Arial" w:hAnsi="Arial" w:cs="Arial"/>
        </w:rPr>
        <w:t>) the</w:t>
      </w:r>
      <w:r w:rsidR="00803E82" w:rsidRPr="00D979E7">
        <w:rPr>
          <w:rFonts w:ascii="Arial" w:hAnsi="Arial" w:cs="Arial"/>
        </w:rPr>
        <w:t xml:space="preserve"> difference between </w:t>
      </w:r>
      <w:r w:rsidR="00A57535" w:rsidRPr="00D979E7">
        <w:rPr>
          <w:rFonts w:ascii="Arial" w:hAnsi="Arial" w:cs="Arial"/>
        </w:rPr>
        <w:t>the number of events happening in</w:t>
      </w:r>
      <w:r w:rsidR="00B26797" w:rsidRPr="00D979E7">
        <w:rPr>
          <w:rFonts w:ascii="Arial" w:hAnsi="Arial" w:cs="Arial"/>
        </w:rPr>
        <w:t xml:space="preserve"> the post-intervention period </w:t>
      </w:r>
      <w:r w:rsidR="002F7800" w:rsidRPr="00D979E7">
        <w:rPr>
          <w:rFonts w:ascii="Arial" w:hAnsi="Arial" w:cs="Arial"/>
        </w:rPr>
        <w:t>with regards</w:t>
      </w:r>
      <w:r w:rsidR="00B26797" w:rsidRPr="00D979E7">
        <w:rPr>
          <w:rFonts w:ascii="Arial" w:hAnsi="Arial" w:cs="Arial"/>
        </w:rPr>
        <w:t xml:space="preserve"> to the pre-intervention period </w:t>
      </w:r>
      <w:r w:rsidRPr="00D979E7">
        <w:rPr>
          <w:rFonts w:ascii="Arial" w:hAnsi="Arial" w:cs="Arial"/>
        </w:rPr>
        <w:t>was found on a referral-by-referral basis</w:t>
      </w:r>
      <w:r w:rsidR="00CF0665" w:rsidRPr="00D979E7">
        <w:rPr>
          <w:rFonts w:ascii="Arial" w:hAnsi="Arial" w:cs="Arial"/>
        </w:rPr>
        <w:t xml:space="preserve">. </w:t>
      </w:r>
      <w:r w:rsidR="006D7A63" w:rsidRPr="00D979E7">
        <w:rPr>
          <w:rFonts w:ascii="Arial" w:hAnsi="Arial" w:cs="Arial"/>
        </w:rPr>
        <w:t>Any e</w:t>
      </w:r>
      <w:r w:rsidR="00B26797" w:rsidRPr="00D979E7">
        <w:rPr>
          <w:rFonts w:ascii="Arial" w:hAnsi="Arial" w:cs="Arial"/>
        </w:rPr>
        <w:t xml:space="preserve">vents that happened for the referred child </w:t>
      </w:r>
      <w:r w:rsidR="006D7A63" w:rsidRPr="00D979E7">
        <w:rPr>
          <w:rFonts w:ascii="Arial" w:hAnsi="Arial" w:cs="Arial"/>
        </w:rPr>
        <w:t xml:space="preserve">between the earliest and latest intervention dates </w:t>
      </w:r>
      <w:r w:rsidR="00B26797" w:rsidRPr="00D979E7">
        <w:rPr>
          <w:rFonts w:ascii="Arial" w:hAnsi="Arial" w:cs="Arial"/>
        </w:rPr>
        <w:t>of their referral</w:t>
      </w:r>
      <w:r w:rsidR="006D7A63" w:rsidRPr="00D979E7">
        <w:rPr>
          <w:rFonts w:ascii="Arial" w:hAnsi="Arial" w:cs="Arial"/>
        </w:rPr>
        <w:t xml:space="preserve"> (i.e. within the ‘intervention’ period of the HHI referral) </w:t>
      </w:r>
      <w:r w:rsidR="00D40AE8" w:rsidRPr="00D979E7">
        <w:rPr>
          <w:rFonts w:ascii="Arial" w:hAnsi="Arial" w:cs="Arial"/>
        </w:rPr>
        <w:t>were excluded</w:t>
      </w:r>
      <w:r w:rsidR="006D7A63" w:rsidRPr="00D979E7">
        <w:rPr>
          <w:rFonts w:ascii="Arial" w:hAnsi="Arial" w:cs="Arial"/>
        </w:rPr>
        <w:t xml:space="preserve">. </w:t>
      </w:r>
    </w:p>
    <w:p w14:paraId="1882E9B8" w14:textId="4D76E205" w:rsidR="00212084" w:rsidRPr="00D979E7" w:rsidRDefault="00212084" w:rsidP="00271FB7">
      <w:pPr>
        <w:spacing w:before="120" w:after="120" w:line="240" w:lineRule="auto"/>
        <w:rPr>
          <w:rFonts w:ascii="Arial" w:hAnsi="Arial" w:cs="Arial"/>
        </w:rPr>
      </w:pPr>
      <w:r w:rsidRPr="00D979E7">
        <w:rPr>
          <w:rFonts w:ascii="Arial" w:hAnsi="Arial" w:cs="Arial"/>
        </w:rPr>
        <w:t>This comparison of the number of events that occurred for each referral in the ‘year post-intervention’ compared to the ‘year pre-intervention’ allowed for estimation of what reduction in the number of events (hospitalisations, GP visits,</w:t>
      </w:r>
      <w:r w:rsidR="002A4147" w:rsidRPr="00D979E7">
        <w:rPr>
          <w:rFonts w:ascii="Arial" w:hAnsi="Arial" w:cs="Arial"/>
        </w:rPr>
        <w:t xml:space="preserve"> pharmaceutical </w:t>
      </w:r>
      <w:proofErr w:type="spellStart"/>
      <w:r w:rsidR="002A4147" w:rsidRPr="00D979E7">
        <w:rPr>
          <w:rFonts w:ascii="Arial" w:hAnsi="Arial" w:cs="Arial"/>
        </w:rPr>
        <w:t>dispensings</w:t>
      </w:r>
      <w:proofErr w:type="spellEnd"/>
      <w:r w:rsidR="002A4147" w:rsidRPr="00D979E7">
        <w:rPr>
          <w:rFonts w:ascii="Arial" w:hAnsi="Arial" w:cs="Arial"/>
        </w:rPr>
        <w:t xml:space="preserve">) was </w:t>
      </w:r>
      <w:r w:rsidRPr="00D979E7">
        <w:rPr>
          <w:rFonts w:ascii="Arial" w:hAnsi="Arial" w:cs="Arial"/>
        </w:rPr>
        <w:t>attributa</w:t>
      </w:r>
      <w:r w:rsidR="005D0E4E" w:rsidRPr="00D979E7">
        <w:rPr>
          <w:rFonts w:ascii="Arial" w:hAnsi="Arial" w:cs="Arial"/>
        </w:rPr>
        <w:t xml:space="preserve">ble to the HHI programme. This was found first for </w:t>
      </w:r>
      <w:r w:rsidRPr="00D979E7">
        <w:rPr>
          <w:rFonts w:ascii="Arial" w:hAnsi="Arial" w:cs="Arial"/>
        </w:rPr>
        <w:t xml:space="preserve">all referrals in the evaluation sample population, </w:t>
      </w:r>
      <w:r w:rsidR="005D0E4E" w:rsidRPr="00D979E7">
        <w:rPr>
          <w:rFonts w:ascii="Arial" w:hAnsi="Arial" w:cs="Arial"/>
        </w:rPr>
        <w:t>and the estimated number of events averted per referral were then used to obtain estimates of health gains across</w:t>
      </w:r>
      <w:r w:rsidRPr="00D979E7">
        <w:rPr>
          <w:rFonts w:ascii="Arial" w:hAnsi="Arial" w:cs="Arial"/>
        </w:rPr>
        <w:t xml:space="preserve"> the wider population of HHI referrals</w:t>
      </w:r>
      <w:r w:rsidR="00247D97" w:rsidRPr="00D979E7">
        <w:rPr>
          <w:rFonts w:ascii="Arial" w:hAnsi="Arial" w:cs="Arial"/>
        </w:rPr>
        <w:t xml:space="preserve"> received across all providers</w:t>
      </w:r>
      <w:r w:rsidRPr="00D979E7">
        <w:rPr>
          <w:rFonts w:ascii="Arial" w:hAnsi="Arial" w:cs="Arial"/>
        </w:rPr>
        <w:t>. These are referred to as ‘averted’ or ‘prevented’ events throughout the remainder of this document.</w:t>
      </w:r>
    </w:p>
    <w:p w14:paraId="11DB00F3" w14:textId="41BAC162" w:rsidR="00E5086C" w:rsidRPr="00D979E7" w:rsidRDefault="00803E82" w:rsidP="00271FB7">
      <w:pPr>
        <w:spacing w:before="120" w:after="120" w:line="240" w:lineRule="auto"/>
        <w:rPr>
          <w:rFonts w:ascii="Arial" w:hAnsi="Arial" w:cs="Arial"/>
        </w:rPr>
      </w:pPr>
      <w:r w:rsidRPr="00D979E7">
        <w:rPr>
          <w:rFonts w:ascii="Arial" w:hAnsi="Arial" w:cs="Arial"/>
        </w:rPr>
        <w:t>Adjustments for known effects that might led to overestimation of this difference (age effect, and selection bias in the ‘pre-intervention’ counts for hospitalisations) were adjusted w</w:t>
      </w:r>
      <w:r w:rsidR="00900410" w:rsidRPr="00D979E7">
        <w:rPr>
          <w:rFonts w:ascii="Arial" w:hAnsi="Arial" w:cs="Arial"/>
        </w:rPr>
        <w:t>h</w:t>
      </w:r>
      <w:r w:rsidRPr="00D979E7">
        <w:rPr>
          <w:rFonts w:ascii="Arial" w:hAnsi="Arial" w:cs="Arial"/>
        </w:rPr>
        <w:t>ere appropriate</w:t>
      </w:r>
      <w:r w:rsidR="00E5086C" w:rsidRPr="00D979E7">
        <w:rPr>
          <w:rFonts w:ascii="Arial" w:hAnsi="Arial" w:cs="Arial"/>
        </w:rPr>
        <w:t xml:space="preserve"> to obtain estimates of a</w:t>
      </w:r>
      <w:r w:rsidR="00271FB7" w:rsidRPr="00D979E7">
        <w:rPr>
          <w:rFonts w:ascii="Arial" w:hAnsi="Arial" w:cs="Arial"/>
        </w:rPr>
        <w:t xml:space="preserve"> </w:t>
      </w:r>
      <w:r w:rsidR="00E5086C" w:rsidRPr="00D979E7">
        <w:rPr>
          <w:rFonts w:ascii="Arial" w:hAnsi="Arial" w:cs="Arial"/>
        </w:rPr>
        <w:t xml:space="preserve">health effect likely attributable to the HHI across each of the three key health outcomes: hospitalisations, GP visits, pharmaceutical </w:t>
      </w:r>
      <w:proofErr w:type="spellStart"/>
      <w:r w:rsidR="00E5086C" w:rsidRPr="00D979E7">
        <w:rPr>
          <w:rFonts w:ascii="Arial" w:hAnsi="Arial" w:cs="Arial"/>
        </w:rPr>
        <w:t>dispensings</w:t>
      </w:r>
      <w:proofErr w:type="spellEnd"/>
      <w:r w:rsidR="00900410" w:rsidRPr="00D979E7">
        <w:rPr>
          <w:rFonts w:ascii="Arial" w:hAnsi="Arial" w:cs="Arial"/>
        </w:rPr>
        <w:t xml:space="preserve">. These </w:t>
      </w:r>
      <w:r w:rsidR="00E5086C" w:rsidRPr="00D979E7">
        <w:rPr>
          <w:rFonts w:ascii="Arial" w:hAnsi="Arial" w:cs="Arial"/>
        </w:rPr>
        <w:t xml:space="preserve">adjustments </w:t>
      </w:r>
      <w:r w:rsidR="00900410" w:rsidRPr="00D979E7">
        <w:rPr>
          <w:rFonts w:ascii="Arial" w:hAnsi="Arial" w:cs="Arial"/>
        </w:rPr>
        <w:t>are described below.</w:t>
      </w:r>
      <w:r w:rsidRPr="00D979E7">
        <w:rPr>
          <w:rFonts w:ascii="Arial" w:hAnsi="Arial" w:cs="Arial"/>
        </w:rPr>
        <w:t xml:space="preserve"> </w:t>
      </w:r>
    </w:p>
    <w:p w14:paraId="4979977E" w14:textId="048BF227" w:rsidR="00BB41D8" w:rsidRPr="00D979E7" w:rsidRDefault="00E5086C" w:rsidP="00271FB7">
      <w:pPr>
        <w:pStyle w:val="Heading3"/>
        <w:spacing w:before="120" w:after="120" w:line="240" w:lineRule="auto"/>
        <w:rPr>
          <w:rFonts w:ascii="Arial" w:hAnsi="Arial" w:cs="Arial"/>
        </w:rPr>
      </w:pPr>
      <w:bookmarkStart w:id="21" w:name="_Toc19715042"/>
      <w:r w:rsidRPr="00D979E7">
        <w:rPr>
          <w:rFonts w:ascii="Arial" w:hAnsi="Arial" w:cs="Arial"/>
        </w:rPr>
        <w:lastRenderedPageBreak/>
        <w:t>Corrective adjustments</w:t>
      </w:r>
      <w:bookmarkEnd w:id="21"/>
    </w:p>
    <w:p w14:paraId="08DB0D5C" w14:textId="4ACF0A1A" w:rsidR="00F715F8" w:rsidRPr="00D979E7" w:rsidRDefault="006E2649" w:rsidP="00271FB7">
      <w:pPr>
        <w:spacing w:before="120" w:after="120" w:line="240" w:lineRule="auto"/>
        <w:rPr>
          <w:rFonts w:ascii="Arial" w:hAnsi="Arial" w:cs="Arial"/>
        </w:rPr>
      </w:pPr>
      <w:r w:rsidRPr="00D979E7">
        <w:rPr>
          <w:rFonts w:ascii="Arial" w:hAnsi="Arial" w:cs="Arial"/>
        </w:rPr>
        <w:t>To improve the reliability of estimates of any differences in the post-</w:t>
      </w:r>
      <w:r w:rsidR="00F90446" w:rsidRPr="00D979E7">
        <w:rPr>
          <w:rFonts w:ascii="Arial" w:hAnsi="Arial" w:cs="Arial"/>
        </w:rPr>
        <w:t xml:space="preserve">intervention </w:t>
      </w:r>
      <w:r w:rsidRPr="00D979E7">
        <w:rPr>
          <w:rFonts w:ascii="Arial" w:hAnsi="Arial" w:cs="Arial"/>
        </w:rPr>
        <w:t>periods compared to the pre-</w:t>
      </w:r>
      <w:r w:rsidR="00F90446" w:rsidRPr="00D979E7">
        <w:rPr>
          <w:rFonts w:ascii="Arial" w:hAnsi="Arial" w:cs="Arial"/>
        </w:rPr>
        <w:t xml:space="preserve">intervention </w:t>
      </w:r>
      <w:r w:rsidRPr="00D979E7">
        <w:rPr>
          <w:rFonts w:ascii="Arial" w:hAnsi="Arial" w:cs="Arial"/>
        </w:rPr>
        <w:t>per</w:t>
      </w:r>
      <w:r w:rsidR="0016688E" w:rsidRPr="00D979E7">
        <w:rPr>
          <w:rFonts w:ascii="Arial" w:hAnsi="Arial" w:cs="Arial"/>
        </w:rPr>
        <w:t xml:space="preserve">iods attributable to the HHI, </w:t>
      </w:r>
      <w:r w:rsidRPr="00D979E7">
        <w:rPr>
          <w:rFonts w:ascii="Arial" w:hAnsi="Arial" w:cs="Arial"/>
        </w:rPr>
        <w:t xml:space="preserve">methods </w:t>
      </w:r>
      <w:r w:rsidR="0016688E" w:rsidRPr="00D979E7">
        <w:rPr>
          <w:rFonts w:ascii="Arial" w:hAnsi="Arial" w:cs="Arial"/>
        </w:rPr>
        <w:t>were established to control</w:t>
      </w:r>
      <w:r w:rsidRPr="00D979E7">
        <w:rPr>
          <w:rFonts w:ascii="Arial" w:hAnsi="Arial" w:cs="Arial"/>
        </w:rPr>
        <w:t xml:space="preserve"> for known biases </w:t>
      </w:r>
      <w:r w:rsidR="00D03DC7" w:rsidRPr="00D979E7">
        <w:rPr>
          <w:rFonts w:ascii="Arial" w:hAnsi="Arial" w:cs="Arial"/>
        </w:rPr>
        <w:t xml:space="preserve">present in </w:t>
      </w:r>
      <w:r w:rsidR="00081A80" w:rsidRPr="00D979E7">
        <w:rPr>
          <w:rFonts w:ascii="Arial" w:hAnsi="Arial" w:cs="Arial"/>
        </w:rPr>
        <w:t>Before-After</w:t>
      </w:r>
      <w:r w:rsidR="00F90446" w:rsidRPr="00D979E7">
        <w:rPr>
          <w:rFonts w:ascii="Arial" w:hAnsi="Arial" w:cs="Arial"/>
        </w:rPr>
        <w:t xml:space="preserve"> analyses of this kind.</w:t>
      </w:r>
      <w:r w:rsidR="00B72CB6" w:rsidRPr="00D979E7">
        <w:rPr>
          <w:rFonts w:ascii="Arial" w:hAnsi="Arial" w:cs="Arial"/>
        </w:rPr>
        <w:t xml:space="preserve"> </w:t>
      </w:r>
      <w:r w:rsidRPr="00D979E7">
        <w:rPr>
          <w:rFonts w:ascii="Arial" w:hAnsi="Arial" w:cs="Arial"/>
        </w:rPr>
        <w:t xml:space="preserve">An explanation of these effects </w:t>
      </w:r>
      <w:r w:rsidR="00F5446C" w:rsidRPr="00D979E7">
        <w:rPr>
          <w:rFonts w:ascii="Arial" w:hAnsi="Arial" w:cs="Arial"/>
        </w:rPr>
        <w:t xml:space="preserve">and rationale for addressing them </w:t>
      </w:r>
      <w:r w:rsidRPr="00D979E7">
        <w:rPr>
          <w:rFonts w:ascii="Arial" w:hAnsi="Arial" w:cs="Arial"/>
        </w:rPr>
        <w:t>are explained below.</w:t>
      </w:r>
      <w:r w:rsidR="00F715F8" w:rsidRPr="00D979E7">
        <w:rPr>
          <w:rFonts w:ascii="Arial" w:hAnsi="Arial" w:cs="Arial"/>
        </w:rPr>
        <w:t xml:space="preserve"> </w:t>
      </w:r>
    </w:p>
    <w:p w14:paraId="09FB175A" w14:textId="2737DA23" w:rsidR="00364161" w:rsidRPr="00D979E7" w:rsidRDefault="00F715F8" w:rsidP="00271FB7">
      <w:pPr>
        <w:spacing w:before="120" w:after="120" w:line="240" w:lineRule="auto"/>
        <w:rPr>
          <w:rFonts w:ascii="Arial" w:hAnsi="Arial" w:cs="Arial"/>
        </w:rPr>
      </w:pPr>
      <w:r w:rsidRPr="00D979E7">
        <w:rPr>
          <w:rFonts w:ascii="Arial" w:hAnsi="Arial" w:cs="Arial"/>
        </w:rPr>
        <w:t>Aside from the HHI programme effect, age effect</w:t>
      </w:r>
      <w:r w:rsidR="00827DCB" w:rsidRPr="00D979E7">
        <w:rPr>
          <w:rFonts w:ascii="Arial" w:hAnsi="Arial" w:cs="Arial"/>
        </w:rPr>
        <w:t>,</w:t>
      </w:r>
      <w:r w:rsidRPr="00D979E7">
        <w:rPr>
          <w:rFonts w:ascii="Arial" w:hAnsi="Arial" w:cs="Arial"/>
        </w:rPr>
        <w:t xml:space="preserve"> and the selection bias operating in the pre-intervention observed counts there are unlikely to be any other systematic effects in the before and after comparison for hospitalisations. Therefore, we can estimate a programme-attributable change in hospitalisations by adjusting the </w:t>
      </w:r>
      <w:r w:rsidR="00827DCB" w:rsidRPr="00D979E7">
        <w:rPr>
          <w:rFonts w:ascii="Arial" w:hAnsi="Arial" w:cs="Arial"/>
        </w:rPr>
        <w:t xml:space="preserve">necessary </w:t>
      </w:r>
      <w:r w:rsidRPr="00D979E7">
        <w:rPr>
          <w:rFonts w:ascii="Arial" w:hAnsi="Arial" w:cs="Arial"/>
        </w:rPr>
        <w:t xml:space="preserve">pre-intervention/post-intervention counts for the estimated age and selection bias effects. </w:t>
      </w:r>
      <w:r w:rsidR="00672BDA" w:rsidRPr="00D979E7">
        <w:rPr>
          <w:rFonts w:ascii="Arial" w:hAnsi="Arial" w:cs="Arial"/>
        </w:rPr>
        <w:t xml:space="preserve">For hospitalisations, each of these effects was adjusted for. For </w:t>
      </w:r>
      <w:r w:rsidRPr="00D979E7">
        <w:rPr>
          <w:rFonts w:ascii="Arial" w:hAnsi="Arial" w:cs="Arial"/>
        </w:rPr>
        <w:t xml:space="preserve">GP visits and pharmaceutical </w:t>
      </w:r>
      <w:proofErr w:type="spellStart"/>
      <w:r w:rsidRPr="00D979E7">
        <w:rPr>
          <w:rFonts w:ascii="Arial" w:hAnsi="Arial" w:cs="Arial"/>
        </w:rPr>
        <w:t>dispensings</w:t>
      </w:r>
      <w:proofErr w:type="spellEnd"/>
      <w:r w:rsidRPr="00D979E7">
        <w:rPr>
          <w:rFonts w:ascii="Arial" w:hAnsi="Arial" w:cs="Arial"/>
        </w:rPr>
        <w:t xml:space="preserve">, </w:t>
      </w:r>
      <w:r w:rsidR="00672BDA" w:rsidRPr="00D979E7">
        <w:rPr>
          <w:rFonts w:ascii="Arial" w:hAnsi="Arial" w:cs="Arial"/>
        </w:rPr>
        <w:t xml:space="preserve">the only corrective adjustment done was for </w:t>
      </w:r>
      <w:r w:rsidRPr="00D979E7">
        <w:rPr>
          <w:rFonts w:ascii="Arial" w:hAnsi="Arial" w:cs="Arial"/>
        </w:rPr>
        <w:t>the estimated age effect</w:t>
      </w:r>
      <w:r w:rsidR="007E7BC7" w:rsidRPr="00D979E7">
        <w:rPr>
          <w:rFonts w:ascii="Arial" w:hAnsi="Arial" w:cs="Arial"/>
        </w:rPr>
        <w:t xml:space="preserve">; it was </w:t>
      </w:r>
      <w:r w:rsidRPr="00D979E7">
        <w:rPr>
          <w:rFonts w:ascii="Arial" w:hAnsi="Arial" w:cs="Arial"/>
        </w:rPr>
        <w:t>assumed there was no selection bias operating</w:t>
      </w:r>
      <w:r w:rsidR="007E7BC7" w:rsidRPr="00D979E7">
        <w:rPr>
          <w:rFonts w:ascii="Arial" w:hAnsi="Arial" w:cs="Arial"/>
        </w:rPr>
        <w:t xml:space="preserve"> across these events</w:t>
      </w:r>
      <w:r w:rsidR="007E3271" w:rsidRPr="00D979E7">
        <w:rPr>
          <w:rFonts w:ascii="Arial" w:hAnsi="Arial" w:cs="Arial"/>
        </w:rPr>
        <w:t xml:space="preserve"> </w:t>
      </w:r>
      <w:r w:rsidRPr="00D979E7">
        <w:rPr>
          <w:rFonts w:ascii="Arial" w:hAnsi="Arial" w:cs="Arial"/>
        </w:rPr>
        <w:t xml:space="preserve">because </w:t>
      </w:r>
      <w:r w:rsidR="007E3271" w:rsidRPr="00D979E7">
        <w:rPr>
          <w:rFonts w:ascii="Arial" w:hAnsi="Arial" w:cs="Arial"/>
        </w:rPr>
        <w:t xml:space="preserve">they </w:t>
      </w:r>
      <w:r w:rsidRPr="00D979E7">
        <w:rPr>
          <w:rFonts w:ascii="Arial" w:hAnsi="Arial" w:cs="Arial"/>
        </w:rPr>
        <w:t xml:space="preserve">were </w:t>
      </w:r>
      <w:r w:rsidR="007E3271" w:rsidRPr="00D979E7">
        <w:rPr>
          <w:rFonts w:ascii="Arial" w:hAnsi="Arial" w:cs="Arial"/>
        </w:rPr>
        <w:t>not entry criteria into the HHI</w:t>
      </w:r>
      <w:r w:rsidRPr="00D979E7">
        <w:rPr>
          <w:rFonts w:ascii="Arial" w:hAnsi="Arial" w:cs="Arial"/>
        </w:rPr>
        <w:t xml:space="preserve">. This meant that any difference between the post-intervention and pre-intervention observation periods </w:t>
      </w:r>
      <w:r w:rsidR="00FD0413" w:rsidRPr="00D979E7">
        <w:rPr>
          <w:rFonts w:ascii="Arial" w:hAnsi="Arial" w:cs="Arial"/>
        </w:rPr>
        <w:t xml:space="preserve">for these events was considered </w:t>
      </w:r>
      <w:r w:rsidR="00247D97" w:rsidRPr="00D979E7">
        <w:rPr>
          <w:rFonts w:ascii="Arial" w:hAnsi="Arial" w:cs="Arial"/>
        </w:rPr>
        <w:t xml:space="preserve">entirely </w:t>
      </w:r>
      <w:r w:rsidRPr="00D979E7">
        <w:rPr>
          <w:rFonts w:ascii="Arial" w:hAnsi="Arial" w:cs="Arial"/>
        </w:rPr>
        <w:t>attributable to the HHI.</w:t>
      </w:r>
    </w:p>
    <w:p w14:paraId="41A25E11" w14:textId="599457B0" w:rsidR="00102F23" w:rsidRPr="00D979E7" w:rsidRDefault="007131EC" w:rsidP="00271FB7">
      <w:pPr>
        <w:spacing w:before="120" w:after="120" w:line="240" w:lineRule="auto"/>
        <w:rPr>
          <w:rFonts w:ascii="Arial" w:hAnsi="Arial" w:cs="Arial"/>
        </w:rPr>
      </w:pPr>
      <w:r w:rsidRPr="00D979E7">
        <w:rPr>
          <w:rStyle w:val="Heading4Char"/>
          <w:rFonts w:ascii="Arial" w:hAnsi="Arial" w:cs="Arial"/>
        </w:rPr>
        <w:t>Age effect:</w:t>
      </w:r>
      <w:r w:rsidRPr="00D979E7">
        <w:rPr>
          <w:rFonts w:ascii="Arial" w:hAnsi="Arial" w:cs="Arial"/>
        </w:rPr>
        <w:t xml:space="preserve"> </w:t>
      </w:r>
      <w:r w:rsidR="00364161" w:rsidRPr="00D979E7">
        <w:rPr>
          <w:rFonts w:ascii="Arial" w:hAnsi="Arial" w:cs="Arial"/>
        </w:rPr>
        <w:t>e</w:t>
      </w:r>
      <w:r w:rsidRPr="00D979E7">
        <w:rPr>
          <w:rFonts w:ascii="Arial" w:hAnsi="Arial" w:cs="Arial"/>
        </w:rPr>
        <w:t xml:space="preserve">ach </w:t>
      </w:r>
      <w:r w:rsidR="00D03DC7" w:rsidRPr="00D979E7">
        <w:rPr>
          <w:rFonts w:ascii="Arial" w:hAnsi="Arial" w:cs="Arial"/>
        </w:rPr>
        <w:t>child</w:t>
      </w:r>
      <w:r w:rsidRPr="00D979E7">
        <w:rPr>
          <w:rFonts w:ascii="Arial" w:hAnsi="Arial" w:cs="Arial"/>
        </w:rPr>
        <w:t xml:space="preserve"> in the </w:t>
      </w:r>
      <w:r w:rsidR="00491CCC" w:rsidRPr="00D979E7">
        <w:rPr>
          <w:rFonts w:ascii="Arial" w:hAnsi="Arial" w:cs="Arial"/>
        </w:rPr>
        <w:t>evaluation sample</w:t>
      </w:r>
      <w:r w:rsidRPr="00D979E7">
        <w:rPr>
          <w:rFonts w:ascii="Arial" w:hAnsi="Arial" w:cs="Arial"/>
        </w:rPr>
        <w:t xml:space="preserve"> population </w:t>
      </w:r>
      <w:r w:rsidR="00D03DC7" w:rsidRPr="00D979E7">
        <w:rPr>
          <w:rFonts w:ascii="Arial" w:hAnsi="Arial" w:cs="Arial"/>
        </w:rPr>
        <w:t>will be systematically older in the post</w:t>
      </w:r>
      <w:r w:rsidR="00144CE8" w:rsidRPr="00D979E7">
        <w:rPr>
          <w:rFonts w:ascii="Arial" w:hAnsi="Arial" w:cs="Arial"/>
        </w:rPr>
        <w:t>-</w:t>
      </w:r>
      <w:r w:rsidR="00740067" w:rsidRPr="00D979E7">
        <w:rPr>
          <w:rFonts w:ascii="Arial" w:hAnsi="Arial" w:cs="Arial"/>
        </w:rPr>
        <w:t xml:space="preserve">intervention </w:t>
      </w:r>
      <w:r w:rsidR="00D03DC7" w:rsidRPr="00D979E7">
        <w:rPr>
          <w:rFonts w:ascii="Arial" w:hAnsi="Arial" w:cs="Arial"/>
        </w:rPr>
        <w:t>period</w:t>
      </w:r>
      <w:r w:rsidRPr="00D979E7">
        <w:rPr>
          <w:rFonts w:ascii="Arial" w:hAnsi="Arial" w:cs="Arial"/>
        </w:rPr>
        <w:t xml:space="preserve"> compared to the</w:t>
      </w:r>
      <w:r w:rsidR="00491CCC" w:rsidRPr="00D979E7">
        <w:rPr>
          <w:rFonts w:ascii="Arial" w:hAnsi="Arial" w:cs="Arial"/>
        </w:rPr>
        <w:t>ir</w:t>
      </w:r>
      <w:r w:rsidRPr="00D979E7">
        <w:rPr>
          <w:rFonts w:ascii="Arial" w:hAnsi="Arial" w:cs="Arial"/>
        </w:rPr>
        <w:t xml:space="preserve"> pre-intervention period</w:t>
      </w:r>
      <w:r w:rsidR="008625DE" w:rsidRPr="00D979E7">
        <w:rPr>
          <w:rFonts w:ascii="Arial" w:hAnsi="Arial" w:cs="Arial"/>
        </w:rPr>
        <w:t>. This aging is</w:t>
      </w:r>
      <w:r w:rsidR="0059590A" w:rsidRPr="00D979E7">
        <w:rPr>
          <w:rFonts w:ascii="Arial" w:hAnsi="Arial" w:cs="Arial"/>
        </w:rPr>
        <w:t xml:space="preserve"> </w:t>
      </w:r>
      <w:r w:rsidR="00740067" w:rsidRPr="00D979E7">
        <w:rPr>
          <w:rFonts w:ascii="Arial" w:hAnsi="Arial" w:cs="Arial"/>
        </w:rPr>
        <w:t xml:space="preserve">by one year plus the </w:t>
      </w:r>
      <w:r w:rsidRPr="00D979E7">
        <w:rPr>
          <w:rFonts w:ascii="Arial" w:hAnsi="Arial" w:cs="Arial"/>
        </w:rPr>
        <w:t xml:space="preserve">time </w:t>
      </w:r>
      <w:r w:rsidR="00740067" w:rsidRPr="00D979E7">
        <w:rPr>
          <w:rFonts w:ascii="Arial" w:hAnsi="Arial" w:cs="Arial"/>
        </w:rPr>
        <w:t>difference between the</w:t>
      </w:r>
      <w:r w:rsidRPr="00D979E7">
        <w:rPr>
          <w:rFonts w:ascii="Arial" w:hAnsi="Arial" w:cs="Arial"/>
        </w:rPr>
        <w:t>ir</w:t>
      </w:r>
      <w:r w:rsidR="00740067" w:rsidRPr="00D979E7">
        <w:rPr>
          <w:rFonts w:ascii="Arial" w:hAnsi="Arial" w:cs="Arial"/>
        </w:rPr>
        <w:t xml:space="preserve"> </w:t>
      </w:r>
      <w:r w:rsidR="003401C3" w:rsidRPr="00D979E7">
        <w:rPr>
          <w:rFonts w:ascii="Arial" w:hAnsi="Arial" w:cs="Arial"/>
        </w:rPr>
        <w:t>earliest</w:t>
      </w:r>
      <w:r w:rsidR="00740067" w:rsidRPr="00D979E7">
        <w:rPr>
          <w:rFonts w:ascii="Arial" w:hAnsi="Arial" w:cs="Arial"/>
        </w:rPr>
        <w:t xml:space="preserve"> and </w:t>
      </w:r>
      <w:r w:rsidR="003401C3" w:rsidRPr="00D979E7">
        <w:rPr>
          <w:rFonts w:ascii="Arial" w:hAnsi="Arial" w:cs="Arial"/>
        </w:rPr>
        <w:t>latest</w:t>
      </w:r>
      <w:r w:rsidR="00740067" w:rsidRPr="00D979E7">
        <w:rPr>
          <w:rFonts w:ascii="Arial" w:hAnsi="Arial" w:cs="Arial"/>
        </w:rPr>
        <w:t xml:space="preserve"> intervention</w:t>
      </w:r>
      <w:r w:rsidR="008D57C2" w:rsidRPr="00D979E7">
        <w:rPr>
          <w:rFonts w:ascii="Arial" w:hAnsi="Arial" w:cs="Arial"/>
        </w:rPr>
        <w:t xml:space="preserve"> and </w:t>
      </w:r>
      <w:r w:rsidR="00491CCC" w:rsidRPr="00D979E7">
        <w:rPr>
          <w:rFonts w:ascii="Arial" w:hAnsi="Arial" w:cs="Arial"/>
        </w:rPr>
        <w:t xml:space="preserve">it </w:t>
      </w:r>
      <w:r w:rsidR="005B4E1D" w:rsidRPr="00D979E7">
        <w:rPr>
          <w:rFonts w:ascii="Arial" w:hAnsi="Arial" w:cs="Arial"/>
        </w:rPr>
        <w:t xml:space="preserve">has the effect of naturally decreasing the number of hospitalisations that a child has, </w:t>
      </w:r>
      <w:r w:rsidR="00816567" w:rsidRPr="00D979E7">
        <w:rPr>
          <w:rFonts w:ascii="Arial" w:hAnsi="Arial" w:cs="Arial"/>
        </w:rPr>
        <w:t xml:space="preserve">independent of any potential </w:t>
      </w:r>
      <w:r w:rsidR="005B4E1D" w:rsidRPr="00D979E7">
        <w:rPr>
          <w:rFonts w:ascii="Arial" w:hAnsi="Arial" w:cs="Arial"/>
        </w:rPr>
        <w:t>effect</w:t>
      </w:r>
      <w:r w:rsidR="00816567" w:rsidRPr="00D979E7">
        <w:rPr>
          <w:rFonts w:ascii="Arial" w:hAnsi="Arial" w:cs="Arial"/>
        </w:rPr>
        <w:t xml:space="preserve"> of the HHI</w:t>
      </w:r>
      <w:r w:rsidR="005B4E1D" w:rsidRPr="00D979E7">
        <w:rPr>
          <w:rFonts w:ascii="Arial" w:hAnsi="Arial" w:cs="Arial"/>
        </w:rPr>
        <w:t>.</w:t>
      </w:r>
      <w:r w:rsidR="008D57C2" w:rsidRPr="00D979E7">
        <w:rPr>
          <w:rFonts w:ascii="Arial" w:hAnsi="Arial" w:cs="Arial"/>
        </w:rPr>
        <w:t xml:space="preserve"> </w:t>
      </w:r>
    </w:p>
    <w:p w14:paraId="58B59064" w14:textId="03C354ED" w:rsidR="00740067" w:rsidRPr="00D979E7" w:rsidRDefault="00E9143D" w:rsidP="00271FB7">
      <w:pPr>
        <w:spacing w:before="120" w:after="120" w:line="240" w:lineRule="auto"/>
        <w:rPr>
          <w:rFonts w:ascii="Arial" w:hAnsi="Arial" w:cs="Arial"/>
        </w:rPr>
      </w:pPr>
      <w:r w:rsidRPr="00D979E7">
        <w:rPr>
          <w:rFonts w:ascii="Arial" w:hAnsi="Arial" w:cs="Arial"/>
        </w:rPr>
        <w:t>The</w:t>
      </w:r>
      <w:r w:rsidR="00740067" w:rsidRPr="00D979E7">
        <w:rPr>
          <w:rFonts w:ascii="Arial" w:hAnsi="Arial" w:cs="Arial"/>
        </w:rPr>
        <w:t xml:space="preserve"> size of this effect</w:t>
      </w:r>
      <w:r w:rsidRPr="00D979E7">
        <w:rPr>
          <w:rFonts w:ascii="Arial" w:hAnsi="Arial" w:cs="Arial"/>
        </w:rPr>
        <w:t xml:space="preserve"> was estimated</w:t>
      </w:r>
      <w:r w:rsidR="00740067" w:rsidRPr="00D979E7">
        <w:rPr>
          <w:rFonts w:ascii="Arial" w:hAnsi="Arial" w:cs="Arial"/>
        </w:rPr>
        <w:t xml:space="preserve"> from a linear model </w:t>
      </w:r>
      <w:r w:rsidR="00157CBB" w:rsidRPr="00D979E7">
        <w:rPr>
          <w:rFonts w:ascii="Arial" w:hAnsi="Arial" w:cs="Arial"/>
        </w:rPr>
        <w:t>by regressing</w:t>
      </w:r>
      <w:r w:rsidR="00740067" w:rsidRPr="00D979E7">
        <w:rPr>
          <w:rFonts w:ascii="Arial" w:hAnsi="Arial" w:cs="Arial"/>
        </w:rPr>
        <w:t xml:space="preserve"> age </w:t>
      </w:r>
      <w:r w:rsidR="00157CBB" w:rsidRPr="00D979E7">
        <w:rPr>
          <w:rFonts w:ascii="Arial" w:hAnsi="Arial" w:cs="Arial"/>
        </w:rPr>
        <w:t>at</w:t>
      </w:r>
      <w:r w:rsidR="00065EC1" w:rsidRPr="00D979E7">
        <w:rPr>
          <w:rFonts w:ascii="Arial" w:hAnsi="Arial" w:cs="Arial"/>
        </w:rPr>
        <w:t xml:space="preserve"> the start of </w:t>
      </w:r>
      <w:r w:rsidR="00672499" w:rsidRPr="00D979E7">
        <w:rPr>
          <w:rFonts w:ascii="Arial" w:hAnsi="Arial" w:cs="Arial"/>
        </w:rPr>
        <w:t xml:space="preserve">each observation </w:t>
      </w:r>
      <w:r w:rsidR="00065EC1" w:rsidRPr="00D979E7">
        <w:rPr>
          <w:rFonts w:ascii="Arial" w:hAnsi="Arial" w:cs="Arial"/>
        </w:rPr>
        <w:t>period</w:t>
      </w:r>
      <w:r w:rsidR="001B153A" w:rsidRPr="00D979E7">
        <w:rPr>
          <w:rFonts w:ascii="Arial" w:hAnsi="Arial" w:cs="Arial"/>
        </w:rPr>
        <w:t xml:space="preserve"> </w:t>
      </w:r>
      <w:r w:rsidR="00672499" w:rsidRPr="00D979E7">
        <w:rPr>
          <w:rFonts w:ascii="Arial" w:hAnsi="Arial" w:cs="Arial"/>
        </w:rPr>
        <w:t>(year pre-intervention, year post-intervention) and whether</w:t>
      </w:r>
      <w:r w:rsidR="00065EC1" w:rsidRPr="00D979E7">
        <w:rPr>
          <w:rFonts w:ascii="Arial" w:hAnsi="Arial" w:cs="Arial"/>
        </w:rPr>
        <w:t xml:space="preserve"> </w:t>
      </w:r>
      <w:r w:rsidR="00672499" w:rsidRPr="00D979E7">
        <w:rPr>
          <w:rFonts w:ascii="Arial" w:hAnsi="Arial" w:cs="Arial"/>
        </w:rPr>
        <w:t xml:space="preserve">this observation </w:t>
      </w:r>
      <w:r w:rsidR="00065EC1" w:rsidRPr="00D979E7">
        <w:rPr>
          <w:rFonts w:ascii="Arial" w:hAnsi="Arial" w:cs="Arial"/>
        </w:rPr>
        <w:t xml:space="preserve">period was </w:t>
      </w:r>
      <w:r w:rsidR="0071258C" w:rsidRPr="00D979E7">
        <w:rPr>
          <w:rFonts w:ascii="Arial" w:hAnsi="Arial" w:cs="Arial"/>
        </w:rPr>
        <w:t>pre-post</w:t>
      </w:r>
      <w:r w:rsidR="00065EC1" w:rsidRPr="00D979E7">
        <w:rPr>
          <w:rFonts w:ascii="Arial" w:hAnsi="Arial" w:cs="Arial"/>
        </w:rPr>
        <w:t xml:space="preserve"> against the number of hospitalisations</w:t>
      </w:r>
      <w:r w:rsidR="00672499" w:rsidRPr="00D979E7">
        <w:rPr>
          <w:rFonts w:ascii="Arial" w:hAnsi="Arial" w:cs="Arial"/>
        </w:rPr>
        <w:t xml:space="preserve"> observed</w:t>
      </w:r>
      <w:r w:rsidR="00065EC1" w:rsidRPr="00D979E7">
        <w:rPr>
          <w:rFonts w:ascii="Arial" w:hAnsi="Arial" w:cs="Arial"/>
        </w:rPr>
        <w:t xml:space="preserve"> in </w:t>
      </w:r>
      <w:r w:rsidR="003756B8" w:rsidRPr="00D979E7">
        <w:rPr>
          <w:rFonts w:ascii="Arial" w:hAnsi="Arial" w:cs="Arial"/>
        </w:rPr>
        <w:t>the period</w:t>
      </w:r>
      <w:r w:rsidR="00F12D64" w:rsidRPr="00D979E7">
        <w:rPr>
          <w:rFonts w:ascii="Arial" w:hAnsi="Arial" w:cs="Arial"/>
        </w:rPr>
        <w:t>.</w:t>
      </w:r>
      <w:r w:rsidR="00740067" w:rsidRPr="00D979E7">
        <w:rPr>
          <w:rFonts w:ascii="Arial" w:hAnsi="Arial" w:cs="Arial"/>
        </w:rPr>
        <w:t xml:space="preserve"> </w:t>
      </w:r>
      <w:r w:rsidR="006D0F2B" w:rsidRPr="00D979E7">
        <w:rPr>
          <w:rFonts w:ascii="Arial" w:hAnsi="Arial" w:cs="Arial"/>
        </w:rPr>
        <w:t xml:space="preserve">This was done for each of the health outcome analyses (hospitalisations, GP visits, and pharmaceutical </w:t>
      </w:r>
      <w:proofErr w:type="spellStart"/>
      <w:r w:rsidR="006D0F2B" w:rsidRPr="00D979E7">
        <w:rPr>
          <w:rFonts w:ascii="Arial" w:hAnsi="Arial" w:cs="Arial"/>
        </w:rPr>
        <w:t>dispensings</w:t>
      </w:r>
      <w:proofErr w:type="spellEnd"/>
      <w:r w:rsidR="006D0F2B" w:rsidRPr="00D979E7">
        <w:rPr>
          <w:rFonts w:ascii="Arial" w:hAnsi="Arial" w:cs="Arial"/>
        </w:rPr>
        <w:t xml:space="preserve">). </w:t>
      </w:r>
    </w:p>
    <w:p w14:paraId="71346523" w14:textId="6E252B5D" w:rsidR="00102F23" w:rsidRPr="00D979E7" w:rsidRDefault="006E208A" w:rsidP="00271FB7">
      <w:pPr>
        <w:spacing w:before="120" w:after="120" w:line="240" w:lineRule="auto"/>
        <w:rPr>
          <w:rFonts w:ascii="Arial" w:hAnsi="Arial" w:cs="Arial"/>
        </w:rPr>
      </w:pPr>
      <w:r w:rsidRPr="00D979E7">
        <w:rPr>
          <w:rStyle w:val="Heading4Char"/>
          <w:rFonts w:ascii="Arial" w:hAnsi="Arial" w:cs="Arial"/>
        </w:rPr>
        <w:t>Selection bias:</w:t>
      </w:r>
      <w:r w:rsidRPr="00D979E7">
        <w:rPr>
          <w:rFonts w:ascii="Arial" w:hAnsi="Arial" w:cs="Arial"/>
        </w:rPr>
        <w:t xml:space="preserve"> </w:t>
      </w:r>
      <w:r w:rsidR="00917EDE" w:rsidRPr="00D979E7">
        <w:rPr>
          <w:rFonts w:ascii="Arial" w:hAnsi="Arial" w:cs="Arial"/>
        </w:rPr>
        <w:t>O</w:t>
      </w:r>
      <w:r w:rsidR="00904AD1" w:rsidRPr="00D979E7">
        <w:rPr>
          <w:rFonts w:ascii="Arial" w:hAnsi="Arial" w:cs="Arial"/>
        </w:rPr>
        <w:t>ne of the eligibility criteria for two out of the four HHI target groups</w:t>
      </w:r>
      <w:r w:rsidR="00904AD1" w:rsidRPr="00D979E7">
        <w:rPr>
          <w:rStyle w:val="FootnoteReference"/>
          <w:rFonts w:ascii="Arial" w:hAnsi="Arial" w:cs="Arial"/>
        </w:rPr>
        <w:footnoteReference w:id="5"/>
      </w:r>
      <w:r w:rsidR="00917EDE" w:rsidRPr="00D979E7">
        <w:rPr>
          <w:rFonts w:ascii="Arial" w:hAnsi="Arial" w:cs="Arial"/>
        </w:rPr>
        <w:t xml:space="preserve"> is hospitalisation because of an </w:t>
      </w:r>
      <w:r w:rsidR="007E177F" w:rsidRPr="00D979E7">
        <w:rPr>
          <w:rFonts w:ascii="Arial" w:hAnsi="Arial" w:cs="Arial"/>
        </w:rPr>
        <w:t xml:space="preserve">HSH </w:t>
      </w:r>
      <w:r w:rsidR="00917EDE" w:rsidRPr="00D979E7">
        <w:rPr>
          <w:rFonts w:ascii="Arial" w:hAnsi="Arial" w:cs="Arial"/>
        </w:rPr>
        <w:t>indicator condition</w:t>
      </w:r>
      <w:r w:rsidR="00904AD1" w:rsidRPr="00D979E7">
        <w:rPr>
          <w:rFonts w:ascii="Arial" w:hAnsi="Arial" w:cs="Arial"/>
        </w:rPr>
        <w:t xml:space="preserve">. </w:t>
      </w:r>
      <w:r w:rsidR="0071258C" w:rsidRPr="00D979E7">
        <w:rPr>
          <w:rFonts w:ascii="Arial" w:hAnsi="Arial" w:cs="Arial"/>
        </w:rPr>
        <w:t xml:space="preserve">As a result of this eligibility criteria having the effect of selecting children into the evaluation sample population, </w:t>
      </w:r>
      <w:r w:rsidR="007E177F" w:rsidRPr="00D979E7">
        <w:rPr>
          <w:rFonts w:ascii="Arial" w:hAnsi="Arial" w:cs="Arial"/>
        </w:rPr>
        <w:t xml:space="preserve">decreases in the </w:t>
      </w:r>
      <w:r w:rsidR="0032721F" w:rsidRPr="00D979E7">
        <w:rPr>
          <w:rFonts w:ascii="Arial" w:hAnsi="Arial" w:cs="Arial"/>
        </w:rPr>
        <w:t xml:space="preserve">pre-post </w:t>
      </w:r>
      <w:r w:rsidR="007E177F" w:rsidRPr="00D979E7">
        <w:rPr>
          <w:rFonts w:ascii="Arial" w:hAnsi="Arial" w:cs="Arial"/>
        </w:rPr>
        <w:t xml:space="preserve">number of hospitalisations </w:t>
      </w:r>
      <w:r w:rsidR="00D54B87" w:rsidRPr="00D979E7">
        <w:rPr>
          <w:rFonts w:ascii="Arial" w:hAnsi="Arial" w:cs="Arial"/>
        </w:rPr>
        <w:t xml:space="preserve">in the evaluation sample population </w:t>
      </w:r>
      <w:r w:rsidR="007E177F" w:rsidRPr="00D979E7">
        <w:rPr>
          <w:rFonts w:ascii="Arial" w:hAnsi="Arial" w:cs="Arial"/>
        </w:rPr>
        <w:t>look more pronounced than what can actually be reasonably attributed to the effect of the HHI</w:t>
      </w:r>
      <w:r w:rsidR="0032721F" w:rsidRPr="00D979E7">
        <w:rPr>
          <w:rFonts w:ascii="Arial" w:hAnsi="Arial" w:cs="Arial"/>
        </w:rPr>
        <w:t xml:space="preserve"> </w:t>
      </w:r>
      <w:r w:rsidR="00247D97" w:rsidRPr="00D979E7">
        <w:rPr>
          <w:rFonts w:ascii="Arial" w:hAnsi="Arial" w:cs="Arial"/>
        </w:rPr>
        <w:t>because</w:t>
      </w:r>
      <w:r w:rsidR="00D54B87" w:rsidRPr="00D979E7">
        <w:rPr>
          <w:rFonts w:ascii="Arial" w:hAnsi="Arial" w:cs="Arial"/>
        </w:rPr>
        <w:t xml:space="preserve"> </w:t>
      </w:r>
      <w:r w:rsidR="00247D97" w:rsidRPr="00D979E7">
        <w:rPr>
          <w:rFonts w:ascii="Arial" w:hAnsi="Arial" w:cs="Arial"/>
        </w:rPr>
        <w:t xml:space="preserve">the evaluation sample population has an elevated level of HSH (and hospitalisations, more generally) compared to what we would </w:t>
      </w:r>
      <w:r w:rsidR="0032721F" w:rsidRPr="00D979E7">
        <w:rPr>
          <w:rFonts w:ascii="Arial" w:hAnsi="Arial" w:cs="Arial"/>
        </w:rPr>
        <w:t xml:space="preserve">otherwise </w:t>
      </w:r>
      <w:r w:rsidR="00247D97" w:rsidRPr="00D979E7">
        <w:rPr>
          <w:rFonts w:ascii="Arial" w:hAnsi="Arial" w:cs="Arial"/>
        </w:rPr>
        <w:t xml:space="preserve">expect in </w:t>
      </w:r>
      <w:r w:rsidR="0032721F" w:rsidRPr="00D979E7">
        <w:rPr>
          <w:rFonts w:ascii="Arial" w:hAnsi="Arial" w:cs="Arial"/>
        </w:rPr>
        <w:t>an</w:t>
      </w:r>
      <w:r w:rsidR="00247D97" w:rsidRPr="00D979E7">
        <w:rPr>
          <w:rFonts w:ascii="Arial" w:hAnsi="Arial" w:cs="Arial"/>
        </w:rPr>
        <w:t xml:space="preserve"> underlying population of children of interest</w:t>
      </w:r>
      <w:r w:rsidR="0071258C" w:rsidRPr="00D979E7">
        <w:rPr>
          <w:rFonts w:ascii="Arial" w:hAnsi="Arial" w:cs="Arial"/>
        </w:rPr>
        <w:t>.</w:t>
      </w:r>
      <w:r w:rsidR="0032721F" w:rsidRPr="00D979E7">
        <w:rPr>
          <w:rFonts w:ascii="Arial" w:hAnsi="Arial" w:cs="Arial"/>
        </w:rPr>
        <w:t xml:space="preserve"> </w:t>
      </w:r>
      <w:r w:rsidR="00D54B87" w:rsidRPr="00D979E7">
        <w:rPr>
          <w:rFonts w:ascii="Arial" w:hAnsi="Arial" w:cs="Arial"/>
        </w:rPr>
        <w:t>It is important to adjust for this effect so as to not overestimate the potential effect of the HHI in preventing hospitalisations.</w:t>
      </w:r>
    </w:p>
    <w:p w14:paraId="440BFDF3" w14:textId="728EC6A9" w:rsidR="000C2AAE" w:rsidRPr="00D979E7" w:rsidRDefault="000C2AAE" w:rsidP="00271FB7">
      <w:pPr>
        <w:spacing w:before="120" w:after="120" w:line="240" w:lineRule="auto"/>
        <w:rPr>
          <w:rFonts w:ascii="Arial" w:hAnsi="Arial" w:cs="Arial"/>
        </w:rPr>
      </w:pPr>
      <w:r w:rsidRPr="00D979E7">
        <w:rPr>
          <w:rFonts w:ascii="Arial" w:hAnsi="Arial" w:cs="Arial"/>
        </w:rPr>
        <w:t xml:space="preserve">In order to estimate the </w:t>
      </w:r>
      <w:r w:rsidR="009775B1" w:rsidRPr="00D979E7">
        <w:rPr>
          <w:rFonts w:ascii="Arial" w:hAnsi="Arial" w:cs="Arial"/>
        </w:rPr>
        <w:t>amount of selection bias</w:t>
      </w:r>
      <w:r w:rsidR="00827DCB" w:rsidRPr="00D979E7">
        <w:rPr>
          <w:rFonts w:ascii="Arial" w:hAnsi="Arial" w:cs="Arial"/>
        </w:rPr>
        <w:t xml:space="preserve"> </w:t>
      </w:r>
      <w:r w:rsidR="0071258C" w:rsidRPr="00D979E7">
        <w:rPr>
          <w:rFonts w:ascii="Arial" w:hAnsi="Arial" w:cs="Arial"/>
        </w:rPr>
        <w:t>pre-post</w:t>
      </w:r>
      <w:r w:rsidR="00827DCB" w:rsidRPr="00D979E7">
        <w:rPr>
          <w:rFonts w:ascii="Arial" w:hAnsi="Arial" w:cs="Arial"/>
        </w:rPr>
        <w:t xml:space="preserve"> comparisons of hospitalisations</w:t>
      </w:r>
      <w:r w:rsidR="00672499" w:rsidRPr="00D979E7">
        <w:rPr>
          <w:rFonts w:ascii="Arial" w:hAnsi="Arial" w:cs="Arial"/>
        </w:rPr>
        <w:t>,</w:t>
      </w:r>
      <w:r w:rsidR="009775B1" w:rsidRPr="00D979E7">
        <w:rPr>
          <w:rFonts w:ascii="Arial" w:hAnsi="Arial" w:cs="Arial"/>
        </w:rPr>
        <w:t xml:space="preserve"> </w:t>
      </w:r>
      <w:r w:rsidR="00827DCB" w:rsidRPr="00D979E7">
        <w:rPr>
          <w:rFonts w:ascii="Arial" w:hAnsi="Arial" w:cs="Arial"/>
        </w:rPr>
        <w:t xml:space="preserve">a staged analysis was done </w:t>
      </w:r>
      <w:r w:rsidR="00EA239A" w:rsidRPr="00D979E7">
        <w:rPr>
          <w:rFonts w:ascii="Arial" w:hAnsi="Arial" w:cs="Arial"/>
        </w:rPr>
        <w:t>that found</w:t>
      </w:r>
      <w:r w:rsidR="00827DCB" w:rsidRPr="00D979E7">
        <w:rPr>
          <w:rFonts w:ascii="Arial" w:hAnsi="Arial" w:cs="Arial"/>
        </w:rPr>
        <w:t xml:space="preserve"> pre</w:t>
      </w:r>
      <w:r w:rsidR="0071258C" w:rsidRPr="00D979E7">
        <w:rPr>
          <w:rFonts w:ascii="Arial" w:hAnsi="Arial" w:cs="Arial"/>
        </w:rPr>
        <w:t>-</w:t>
      </w:r>
      <w:r w:rsidR="00827DCB" w:rsidRPr="00D979E7">
        <w:rPr>
          <w:rFonts w:ascii="Arial" w:hAnsi="Arial" w:cs="Arial"/>
        </w:rPr>
        <w:t xml:space="preserve">post estimates across different types of hospitalisation events. </w:t>
      </w:r>
      <w:r w:rsidR="00E67801" w:rsidRPr="00D979E7">
        <w:rPr>
          <w:rFonts w:ascii="Arial" w:hAnsi="Arial" w:cs="Arial"/>
        </w:rPr>
        <w:t>T</w:t>
      </w:r>
      <w:r w:rsidR="00827DCB" w:rsidRPr="00D979E7">
        <w:rPr>
          <w:rFonts w:ascii="Arial" w:hAnsi="Arial" w:cs="Arial"/>
        </w:rPr>
        <w:t xml:space="preserve">he </w:t>
      </w:r>
      <w:r w:rsidR="009775B1" w:rsidRPr="00D979E7">
        <w:rPr>
          <w:rFonts w:ascii="Arial" w:hAnsi="Arial" w:cs="Arial"/>
        </w:rPr>
        <w:t xml:space="preserve">effect of the </w:t>
      </w:r>
      <w:r w:rsidR="00827DCB" w:rsidRPr="00D979E7">
        <w:rPr>
          <w:rFonts w:ascii="Arial" w:hAnsi="Arial" w:cs="Arial"/>
        </w:rPr>
        <w:t xml:space="preserve">HHI was </w:t>
      </w:r>
      <w:r w:rsidR="00E67801" w:rsidRPr="00D979E7">
        <w:rPr>
          <w:rFonts w:ascii="Arial" w:hAnsi="Arial" w:cs="Arial"/>
        </w:rPr>
        <w:t xml:space="preserve">first </w:t>
      </w:r>
      <w:r w:rsidR="00827DCB" w:rsidRPr="00D979E7">
        <w:rPr>
          <w:rFonts w:ascii="Arial" w:hAnsi="Arial" w:cs="Arial"/>
        </w:rPr>
        <w:t xml:space="preserve">estimated </w:t>
      </w:r>
      <w:r w:rsidR="009775B1" w:rsidRPr="00D979E7">
        <w:rPr>
          <w:rFonts w:ascii="Arial" w:hAnsi="Arial" w:cs="Arial"/>
        </w:rPr>
        <w:t xml:space="preserve">in preventing </w:t>
      </w:r>
      <w:r w:rsidR="004437F4" w:rsidRPr="00D979E7">
        <w:rPr>
          <w:rFonts w:ascii="Arial" w:hAnsi="Arial" w:cs="Arial"/>
        </w:rPr>
        <w:t xml:space="preserve">hospitalisations </w:t>
      </w:r>
      <w:r w:rsidR="00827DCB" w:rsidRPr="00D979E7">
        <w:rPr>
          <w:rFonts w:ascii="Arial" w:hAnsi="Arial" w:cs="Arial"/>
        </w:rPr>
        <w:t>that were PAHHE hospitalisations but not also HSH. S</w:t>
      </w:r>
      <w:r w:rsidR="008F2DA2" w:rsidRPr="00D979E7">
        <w:rPr>
          <w:rFonts w:ascii="Arial" w:hAnsi="Arial" w:cs="Arial"/>
        </w:rPr>
        <w:t xml:space="preserve">election bias </w:t>
      </w:r>
      <w:r w:rsidR="00827DCB" w:rsidRPr="00D979E7">
        <w:rPr>
          <w:rFonts w:ascii="Arial" w:hAnsi="Arial" w:cs="Arial"/>
        </w:rPr>
        <w:t xml:space="preserve">was not considered to be </w:t>
      </w:r>
      <w:r w:rsidR="008F2DA2" w:rsidRPr="00D979E7">
        <w:rPr>
          <w:rFonts w:ascii="Arial" w:hAnsi="Arial" w:cs="Arial"/>
        </w:rPr>
        <w:t>operating in this group</w:t>
      </w:r>
      <w:r w:rsidR="004437F4" w:rsidRPr="00D979E7">
        <w:rPr>
          <w:rFonts w:ascii="Arial" w:hAnsi="Arial" w:cs="Arial"/>
        </w:rPr>
        <w:t xml:space="preserve"> of hospitalisations</w:t>
      </w:r>
      <w:r w:rsidR="008F2DA2" w:rsidRPr="00D979E7">
        <w:rPr>
          <w:rFonts w:ascii="Arial" w:hAnsi="Arial" w:cs="Arial"/>
        </w:rPr>
        <w:t xml:space="preserve"> in any substantial way</w:t>
      </w:r>
      <w:r w:rsidR="00EE7B56" w:rsidRPr="00D979E7">
        <w:rPr>
          <w:rFonts w:ascii="Arial" w:hAnsi="Arial" w:cs="Arial"/>
        </w:rPr>
        <w:t xml:space="preserve"> </w:t>
      </w:r>
      <w:r w:rsidR="00E67801" w:rsidRPr="00D979E7">
        <w:rPr>
          <w:rFonts w:ascii="Arial" w:hAnsi="Arial" w:cs="Arial"/>
        </w:rPr>
        <w:t>because although they are housing-related conditions,</w:t>
      </w:r>
      <w:r w:rsidR="00827DCB" w:rsidRPr="00D979E7">
        <w:rPr>
          <w:rFonts w:ascii="Arial" w:hAnsi="Arial" w:cs="Arial"/>
        </w:rPr>
        <w:t xml:space="preserve"> </w:t>
      </w:r>
      <w:r w:rsidR="00E67801" w:rsidRPr="00D979E7">
        <w:rPr>
          <w:rFonts w:ascii="Arial" w:hAnsi="Arial" w:cs="Arial"/>
        </w:rPr>
        <w:t>PAHHE hospitalisations</w:t>
      </w:r>
      <w:r w:rsidR="00827DCB" w:rsidRPr="00D979E7">
        <w:rPr>
          <w:rFonts w:ascii="Arial" w:hAnsi="Arial" w:cs="Arial"/>
        </w:rPr>
        <w:t xml:space="preserve"> are not indicator conditions for any of the HHI eligibility criteria</w:t>
      </w:r>
      <w:r w:rsidR="008F2DA2" w:rsidRPr="00D979E7">
        <w:rPr>
          <w:rFonts w:ascii="Arial" w:hAnsi="Arial" w:cs="Arial"/>
        </w:rPr>
        <w:t xml:space="preserve">. </w:t>
      </w:r>
      <w:r w:rsidR="00827DCB" w:rsidRPr="00D979E7">
        <w:rPr>
          <w:rFonts w:ascii="Arial" w:hAnsi="Arial" w:cs="Arial"/>
        </w:rPr>
        <w:t>A</w:t>
      </w:r>
      <w:r w:rsidR="00D51B44" w:rsidRPr="00D979E7">
        <w:rPr>
          <w:rFonts w:ascii="Arial" w:hAnsi="Arial" w:cs="Arial"/>
        </w:rPr>
        <w:t xml:space="preserve">ny effect </w:t>
      </w:r>
      <w:r w:rsidR="00E67801" w:rsidRPr="00D979E7">
        <w:rPr>
          <w:rFonts w:ascii="Arial" w:hAnsi="Arial" w:cs="Arial"/>
        </w:rPr>
        <w:t xml:space="preserve">then </w:t>
      </w:r>
      <w:r w:rsidR="008F2DA2" w:rsidRPr="00D979E7">
        <w:rPr>
          <w:rFonts w:ascii="Arial" w:hAnsi="Arial" w:cs="Arial"/>
        </w:rPr>
        <w:t xml:space="preserve">observed </w:t>
      </w:r>
      <w:r w:rsidR="00D51B44" w:rsidRPr="00D979E7">
        <w:rPr>
          <w:rFonts w:ascii="Arial" w:hAnsi="Arial" w:cs="Arial"/>
        </w:rPr>
        <w:t xml:space="preserve">in the </w:t>
      </w:r>
      <w:r w:rsidR="008F2DA2" w:rsidRPr="00D979E7">
        <w:rPr>
          <w:rFonts w:ascii="Arial" w:hAnsi="Arial" w:cs="Arial"/>
        </w:rPr>
        <w:t xml:space="preserve">analysis of </w:t>
      </w:r>
      <w:r w:rsidR="00D51B44" w:rsidRPr="00D979E7">
        <w:rPr>
          <w:rFonts w:ascii="Arial" w:hAnsi="Arial" w:cs="Arial"/>
        </w:rPr>
        <w:t>HSH</w:t>
      </w:r>
      <w:r w:rsidR="004437F4" w:rsidRPr="00D979E7">
        <w:rPr>
          <w:rFonts w:ascii="Arial" w:hAnsi="Arial" w:cs="Arial"/>
        </w:rPr>
        <w:t>-</w:t>
      </w:r>
      <w:r w:rsidR="008F2DA2" w:rsidRPr="00D979E7">
        <w:rPr>
          <w:rFonts w:ascii="Arial" w:hAnsi="Arial" w:cs="Arial"/>
        </w:rPr>
        <w:t>only</w:t>
      </w:r>
      <w:r w:rsidR="004437F4" w:rsidRPr="00D979E7">
        <w:rPr>
          <w:rFonts w:ascii="Arial" w:hAnsi="Arial" w:cs="Arial"/>
        </w:rPr>
        <w:t xml:space="preserve"> hospitalisations</w:t>
      </w:r>
      <w:r w:rsidR="008F2DA2" w:rsidRPr="00D979E7">
        <w:rPr>
          <w:rFonts w:ascii="Arial" w:hAnsi="Arial" w:cs="Arial"/>
        </w:rPr>
        <w:t xml:space="preserve"> that was </w:t>
      </w:r>
      <w:r w:rsidR="00D51B44" w:rsidRPr="00D979E7">
        <w:rPr>
          <w:rFonts w:ascii="Arial" w:hAnsi="Arial" w:cs="Arial"/>
        </w:rPr>
        <w:t xml:space="preserve">in excess </w:t>
      </w:r>
      <w:r w:rsidR="00827DCB" w:rsidRPr="00D979E7">
        <w:rPr>
          <w:rFonts w:ascii="Arial" w:hAnsi="Arial" w:cs="Arial"/>
        </w:rPr>
        <w:t xml:space="preserve">of the </w:t>
      </w:r>
      <w:r w:rsidR="00EE7B56" w:rsidRPr="00D979E7">
        <w:rPr>
          <w:rFonts w:ascii="Arial" w:hAnsi="Arial" w:cs="Arial"/>
        </w:rPr>
        <w:t>HHI</w:t>
      </w:r>
      <w:r w:rsidR="00827DCB" w:rsidRPr="00D979E7">
        <w:rPr>
          <w:rFonts w:ascii="Arial" w:hAnsi="Arial" w:cs="Arial"/>
        </w:rPr>
        <w:t xml:space="preserve"> effect estimated initially</w:t>
      </w:r>
      <w:r w:rsidR="00D51B44" w:rsidRPr="00D979E7">
        <w:rPr>
          <w:rFonts w:ascii="Arial" w:hAnsi="Arial" w:cs="Arial"/>
        </w:rPr>
        <w:t xml:space="preserve"> was </w:t>
      </w:r>
      <w:r w:rsidR="00827DCB" w:rsidRPr="00D979E7">
        <w:rPr>
          <w:rFonts w:ascii="Arial" w:hAnsi="Arial" w:cs="Arial"/>
        </w:rPr>
        <w:t xml:space="preserve">therefore believed to be </w:t>
      </w:r>
      <w:r w:rsidR="00D51B44" w:rsidRPr="00D979E7">
        <w:rPr>
          <w:rFonts w:ascii="Arial" w:hAnsi="Arial" w:cs="Arial"/>
        </w:rPr>
        <w:t xml:space="preserve">due entirely to selection bias. </w:t>
      </w:r>
      <w:r w:rsidR="008F2DA2" w:rsidRPr="00D979E7">
        <w:rPr>
          <w:rFonts w:ascii="Arial" w:hAnsi="Arial" w:cs="Arial"/>
        </w:rPr>
        <w:t xml:space="preserve">This estimation of bias </w:t>
      </w:r>
      <w:r w:rsidR="00E67801" w:rsidRPr="00D979E7">
        <w:rPr>
          <w:rFonts w:ascii="Arial" w:hAnsi="Arial" w:cs="Arial"/>
        </w:rPr>
        <w:t xml:space="preserve">in pre-intervention counts of HSH </w:t>
      </w:r>
      <w:r w:rsidR="008F2DA2" w:rsidRPr="00D979E7">
        <w:rPr>
          <w:rFonts w:ascii="Arial" w:hAnsi="Arial" w:cs="Arial"/>
        </w:rPr>
        <w:t>was</w:t>
      </w:r>
      <w:r w:rsidR="00E67801" w:rsidRPr="00D979E7">
        <w:rPr>
          <w:rFonts w:ascii="Arial" w:hAnsi="Arial" w:cs="Arial"/>
        </w:rPr>
        <w:t xml:space="preserve"> finally</w:t>
      </w:r>
      <w:r w:rsidR="008F2DA2" w:rsidRPr="00D979E7">
        <w:rPr>
          <w:rFonts w:ascii="Arial" w:hAnsi="Arial" w:cs="Arial"/>
        </w:rPr>
        <w:t xml:space="preserve"> used to adjust the observed count</w:t>
      </w:r>
      <w:r w:rsidR="00827DCB" w:rsidRPr="00D979E7">
        <w:rPr>
          <w:rFonts w:ascii="Arial" w:hAnsi="Arial" w:cs="Arial"/>
        </w:rPr>
        <w:t xml:space="preserve"> of pre-intervention hospitalisations</w:t>
      </w:r>
      <w:r w:rsidR="00E67801" w:rsidRPr="00D979E7">
        <w:rPr>
          <w:rFonts w:ascii="Arial" w:hAnsi="Arial" w:cs="Arial"/>
        </w:rPr>
        <w:t xml:space="preserve"> </w:t>
      </w:r>
      <w:r w:rsidR="008F2DA2" w:rsidRPr="00D979E7">
        <w:rPr>
          <w:rFonts w:ascii="Arial" w:hAnsi="Arial" w:cs="Arial"/>
        </w:rPr>
        <w:t xml:space="preserve">(see Tables 2-4). </w:t>
      </w:r>
    </w:p>
    <w:p w14:paraId="2140EDF1" w14:textId="77777777" w:rsidR="00185C30" w:rsidRPr="00D979E7" w:rsidRDefault="00185C30" w:rsidP="00271FB7">
      <w:pPr>
        <w:pStyle w:val="Heading3"/>
        <w:spacing w:before="120" w:after="120" w:line="240" w:lineRule="auto"/>
        <w:rPr>
          <w:rFonts w:ascii="Arial" w:hAnsi="Arial" w:cs="Arial"/>
        </w:rPr>
      </w:pPr>
      <w:bookmarkStart w:id="22" w:name="_Toc19715043"/>
      <w:r w:rsidRPr="00D979E7">
        <w:rPr>
          <w:rFonts w:ascii="Arial" w:hAnsi="Arial" w:cs="Arial"/>
        </w:rPr>
        <w:lastRenderedPageBreak/>
        <w:t>Estimating uncertainty</w:t>
      </w:r>
      <w:bookmarkEnd w:id="22"/>
    </w:p>
    <w:p w14:paraId="202AD8D0" w14:textId="1F9EFF5C" w:rsidR="00E117B6" w:rsidRPr="00D979E7" w:rsidRDefault="008924B3" w:rsidP="007B2451">
      <w:pPr>
        <w:spacing w:before="120" w:after="120" w:line="240" w:lineRule="auto"/>
        <w:rPr>
          <w:rFonts w:ascii="Arial" w:hAnsi="Arial" w:cs="Arial"/>
        </w:rPr>
      </w:pPr>
      <w:r w:rsidRPr="00D979E7">
        <w:rPr>
          <w:rFonts w:ascii="Arial" w:hAnsi="Arial" w:cs="Arial"/>
        </w:rPr>
        <w:t xml:space="preserve">In order to measure how uncertain our estimates were, we used a repeated sampling method (bootstrap sampling). </w:t>
      </w:r>
      <w:r w:rsidR="00957793" w:rsidRPr="00D979E7">
        <w:rPr>
          <w:rFonts w:ascii="Arial" w:hAnsi="Arial" w:cs="Arial"/>
        </w:rPr>
        <w:t>Bootstrap sampling is generally useful for estimating the distribution of a statistic (e.g. mean, variance) without using normal theory (e.g. z-statistic, t-statistic). Bootstrap comes in handy when there is no analytical form on normal theory to help estimate the distribution of the statistics of interest, since bootstrap methods can apply to most random quantities, e.g. the ratio of variance and mean.</w:t>
      </w:r>
    </w:p>
    <w:p w14:paraId="3BC525E0" w14:textId="0242ABFE" w:rsidR="00BF2639" w:rsidRPr="00D979E7" w:rsidRDefault="00BF2639" w:rsidP="00271FB7">
      <w:pPr>
        <w:pStyle w:val="Heading1"/>
        <w:spacing w:before="120" w:after="120" w:line="240" w:lineRule="auto"/>
        <w:rPr>
          <w:rFonts w:ascii="Arial" w:hAnsi="Arial" w:cs="Arial"/>
        </w:rPr>
      </w:pPr>
      <w:bookmarkStart w:id="23" w:name="_Toc19715044"/>
      <w:r w:rsidRPr="00D979E7">
        <w:rPr>
          <w:rFonts w:ascii="Arial" w:hAnsi="Arial" w:cs="Arial"/>
        </w:rPr>
        <w:t>Results</w:t>
      </w:r>
      <w:r w:rsidR="00B44BB8" w:rsidRPr="00D979E7">
        <w:rPr>
          <w:rFonts w:ascii="Arial" w:hAnsi="Arial" w:cs="Arial"/>
        </w:rPr>
        <w:t>: Health outcomes</w:t>
      </w:r>
      <w:bookmarkEnd w:id="23"/>
    </w:p>
    <w:p w14:paraId="0238780E" w14:textId="1CAF9870" w:rsidR="00A15F7E" w:rsidRPr="00D979E7" w:rsidRDefault="00957793" w:rsidP="00271FB7">
      <w:pPr>
        <w:spacing w:before="120" w:after="120" w:line="240" w:lineRule="auto"/>
        <w:rPr>
          <w:rFonts w:ascii="Arial" w:hAnsi="Arial" w:cs="Arial"/>
        </w:rPr>
      </w:pPr>
      <w:r w:rsidRPr="00D979E7">
        <w:rPr>
          <w:rFonts w:ascii="Arial" w:hAnsi="Arial" w:cs="Arial"/>
        </w:rPr>
        <w:t xml:space="preserve">The </w:t>
      </w:r>
      <w:r w:rsidR="002A4355" w:rsidRPr="00D979E7">
        <w:rPr>
          <w:rFonts w:ascii="Arial" w:hAnsi="Arial" w:cs="Arial"/>
        </w:rPr>
        <w:t>evaluation sample</w:t>
      </w:r>
      <w:r w:rsidR="00AB27DA" w:rsidRPr="00D979E7">
        <w:rPr>
          <w:rFonts w:ascii="Arial" w:hAnsi="Arial" w:cs="Arial"/>
        </w:rPr>
        <w:t xml:space="preserve"> population was young with over 40% of the children aged 2 to 5. They were more likely to be Māor</w:t>
      </w:r>
      <w:r w:rsidR="00C56E9F" w:rsidRPr="00D979E7">
        <w:rPr>
          <w:rFonts w:ascii="Arial" w:hAnsi="Arial" w:cs="Arial"/>
        </w:rPr>
        <w:t>i (55.2%) or Pacific (36.6%) tha</w:t>
      </w:r>
      <w:r w:rsidR="00AB27DA" w:rsidRPr="00D979E7">
        <w:rPr>
          <w:rFonts w:ascii="Arial" w:hAnsi="Arial" w:cs="Arial"/>
        </w:rPr>
        <w:t>n the general population. Nearly half of the households lived in HNZ homes an</w:t>
      </w:r>
      <w:r w:rsidR="00C56E9F" w:rsidRPr="00D979E7">
        <w:rPr>
          <w:rFonts w:ascii="Arial" w:hAnsi="Arial" w:cs="Arial"/>
        </w:rPr>
        <w:t>d 38% in private rentals; owner-</w:t>
      </w:r>
      <w:r w:rsidR="00AB27DA" w:rsidRPr="00D979E7">
        <w:rPr>
          <w:rFonts w:ascii="Arial" w:hAnsi="Arial" w:cs="Arial"/>
        </w:rPr>
        <w:t>occupied housing</w:t>
      </w:r>
      <w:r w:rsidR="004F7E64" w:rsidRPr="00D979E7">
        <w:rPr>
          <w:rStyle w:val="FootnoteReference"/>
          <w:rFonts w:ascii="Arial" w:hAnsi="Arial" w:cs="Arial"/>
        </w:rPr>
        <w:footnoteReference w:id="6"/>
      </w:r>
      <w:r w:rsidR="00AB27DA" w:rsidRPr="00D979E7">
        <w:rPr>
          <w:rFonts w:ascii="Arial" w:hAnsi="Arial" w:cs="Arial"/>
        </w:rPr>
        <w:t xml:space="preserve"> </w:t>
      </w:r>
      <w:r w:rsidR="00C56E9F" w:rsidRPr="00D979E7">
        <w:rPr>
          <w:rFonts w:ascii="Arial" w:hAnsi="Arial" w:cs="Arial"/>
        </w:rPr>
        <w:t xml:space="preserve">amongst these referrals </w:t>
      </w:r>
      <w:r w:rsidR="00AB27DA" w:rsidRPr="00D979E7">
        <w:rPr>
          <w:rFonts w:ascii="Arial" w:hAnsi="Arial" w:cs="Arial"/>
        </w:rPr>
        <w:t>was relatively rare</w:t>
      </w:r>
      <w:r w:rsidR="00DD176A" w:rsidRPr="00D979E7">
        <w:rPr>
          <w:rFonts w:ascii="Arial" w:hAnsi="Arial" w:cs="Arial"/>
        </w:rPr>
        <w:t xml:space="preserve"> (10</w:t>
      </w:r>
      <w:r w:rsidR="00C56E9F" w:rsidRPr="00D979E7">
        <w:rPr>
          <w:rFonts w:ascii="Arial" w:hAnsi="Arial" w:cs="Arial"/>
        </w:rPr>
        <w:t>%)</w:t>
      </w:r>
      <w:r w:rsidR="00AB27DA" w:rsidRPr="00D979E7">
        <w:rPr>
          <w:rFonts w:ascii="Arial" w:hAnsi="Arial" w:cs="Arial"/>
        </w:rPr>
        <w:t>.</w:t>
      </w:r>
      <w:r w:rsidR="002A4355" w:rsidRPr="00D979E7">
        <w:rPr>
          <w:rFonts w:ascii="Arial" w:hAnsi="Arial" w:cs="Arial"/>
        </w:rPr>
        <w:t xml:space="preserve"> Table 1 summarises these results.</w:t>
      </w:r>
    </w:p>
    <w:p w14:paraId="4B6268C2" w14:textId="5F8F1496" w:rsidR="0080115B" w:rsidRPr="00D979E7" w:rsidRDefault="0080115B" w:rsidP="00271FB7">
      <w:pPr>
        <w:spacing w:before="120" w:after="120" w:line="240" w:lineRule="auto"/>
        <w:rPr>
          <w:rFonts w:ascii="Arial" w:hAnsi="Arial" w:cs="Arial"/>
          <w:b/>
        </w:rPr>
      </w:pPr>
      <w:r w:rsidRPr="00D979E7">
        <w:rPr>
          <w:rFonts w:ascii="Arial" w:hAnsi="Arial" w:cs="Arial"/>
          <w:b/>
        </w:rPr>
        <w:t>Table 1</w:t>
      </w:r>
      <w:r w:rsidR="008A00CD" w:rsidRPr="00D979E7">
        <w:rPr>
          <w:rFonts w:ascii="Arial" w:hAnsi="Arial" w:cs="Arial"/>
          <w:b/>
        </w:rPr>
        <w:t xml:space="preserve">: </w:t>
      </w:r>
      <w:r w:rsidR="002A4355" w:rsidRPr="00D979E7">
        <w:rPr>
          <w:rFonts w:ascii="Arial" w:hAnsi="Arial" w:cs="Arial"/>
        </w:rPr>
        <w:t>Characteristics of evaluation sample population.</w:t>
      </w:r>
      <w:r w:rsidR="008A00CD" w:rsidRPr="00D979E7">
        <w:rPr>
          <w:rFonts w:ascii="Arial" w:hAnsi="Arial" w:cs="Arial"/>
          <w:b/>
        </w:rPr>
        <w:t xml:space="preserve"> </w:t>
      </w:r>
    </w:p>
    <w:tbl>
      <w:tblPr>
        <w:tblStyle w:val="TableGrid"/>
        <w:tblW w:w="0" w:type="auto"/>
        <w:tblInd w:w="10" w:type="dxa"/>
        <w:tblLook w:val="04A0" w:firstRow="1" w:lastRow="0" w:firstColumn="1" w:lastColumn="0" w:noHBand="0" w:noVBand="1"/>
      </w:tblPr>
      <w:tblGrid>
        <w:gridCol w:w="3268"/>
        <w:gridCol w:w="2839"/>
        <w:gridCol w:w="2899"/>
      </w:tblGrid>
      <w:tr w:rsidR="00C17D00" w:rsidRPr="00D979E7" w14:paraId="0C7DB611" w14:textId="77777777" w:rsidTr="00375598">
        <w:tc>
          <w:tcPr>
            <w:tcW w:w="3268" w:type="dxa"/>
          </w:tcPr>
          <w:p w14:paraId="1959B2BF" w14:textId="77777777" w:rsidR="00C17D00" w:rsidRPr="00D979E7" w:rsidRDefault="00C17D00" w:rsidP="002320B1">
            <w:pPr>
              <w:spacing w:before="120" w:after="0" w:line="240" w:lineRule="auto"/>
              <w:rPr>
                <w:rFonts w:ascii="Arial" w:hAnsi="Arial" w:cs="Arial"/>
                <w:sz w:val="20"/>
              </w:rPr>
            </w:pPr>
            <w:r w:rsidRPr="00D979E7">
              <w:rPr>
                <w:rFonts w:ascii="Arial" w:hAnsi="Arial" w:cs="Arial"/>
                <w:sz w:val="20"/>
              </w:rPr>
              <w:t>Variable</w:t>
            </w:r>
          </w:p>
        </w:tc>
        <w:tc>
          <w:tcPr>
            <w:tcW w:w="2839" w:type="dxa"/>
          </w:tcPr>
          <w:p w14:paraId="348DE130" w14:textId="568FD02E" w:rsidR="00C17D00" w:rsidRPr="00D979E7" w:rsidRDefault="00C17D00" w:rsidP="002320B1">
            <w:pPr>
              <w:spacing w:before="120" w:after="0" w:line="240" w:lineRule="auto"/>
              <w:rPr>
                <w:rFonts w:ascii="Arial" w:hAnsi="Arial" w:cs="Arial"/>
                <w:sz w:val="20"/>
              </w:rPr>
            </w:pPr>
            <w:r w:rsidRPr="00D979E7">
              <w:rPr>
                <w:rFonts w:ascii="Arial" w:hAnsi="Arial" w:cs="Arial"/>
                <w:sz w:val="20"/>
              </w:rPr>
              <w:t>Count</w:t>
            </w:r>
          </w:p>
        </w:tc>
        <w:tc>
          <w:tcPr>
            <w:tcW w:w="2899" w:type="dxa"/>
          </w:tcPr>
          <w:p w14:paraId="212B12D2" w14:textId="3DEC6BEB" w:rsidR="00C17D00" w:rsidRPr="00D979E7" w:rsidRDefault="008A00CD" w:rsidP="002320B1">
            <w:pPr>
              <w:spacing w:before="120" w:after="0" w:line="240" w:lineRule="auto"/>
              <w:rPr>
                <w:rFonts w:ascii="Arial" w:hAnsi="Arial" w:cs="Arial"/>
                <w:sz w:val="20"/>
              </w:rPr>
            </w:pPr>
            <w:r w:rsidRPr="00D979E7">
              <w:rPr>
                <w:rFonts w:ascii="Arial" w:hAnsi="Arial" w:cs="Arial"/>
                <w:sz w:val="20"/>
              </w:rPr>
              <w:t>Relative percentage (</w:t>
            </w:r>
            <w:r w:rsidR="00C17D00" w:rsidRPr="00D979E7">
              <w:rPr>
                <w:rFonts w:ascii="Arial" w:hAnsi="Arial" w:cs="Arial"/>
                <w:sz w:val="20"/>
              </w:rPr>
              <w:t>%</w:t>
            </w:r>
            <w:r w:rsidRPr="00D979E7">
              <w:rPr>
                <w:rFonts w:ascii="Arial" w:hAnsi="Arial" w:cs="Arial"/>
                <w:sz w:val="20"/>
              </w:rPr>
              <w:t>)</w:t>
            </w:r>
          </w:p>
        </w:tc>
      </w:tr>
      <w:tr w:rsidR="006D0F2B" w:rsidRPr="00D979E7" w14:paraId="53016FD0" w14:textId="77777777" w:rsidTr="0036560B">
        <w:tc>
          <w:tcPr>
            <w:tcW w:w="9006" w:type="dxa"/>
            <w:gridSpan w:val="3"/>
          </w:tcPr>
          <w:p w14:paraId="7E1DA9A1" w14:textId="6F2415B7" w:rsidR="006D0F2B" w:rsidRPr="00D979E7" w:rsidRDefault="006D0F2B" w:rsidP="002320B1">
            <w:pPr>
              <w:spacing w:before="120" w:after="0" w:line="240" w:lineRule="auto"/>
              <w:rPr>
                <w:rFonts w:ascii="Arial" w:hAnsi="Arial" w:cs="Arial"/>
                <w:sz w:val="20"/>
              </w:rPr>
            </w:pPr>
            <w:r w:rsidRPr="00D979E7">
              <w:rPr>
                <w:rFonts w:ascii="Arial" w:hAnsi="Arial" w:cs="Arial"/>
                <w:b/>
                <w:sz w:val="20"/>
              </w:rPr>
              <w:t>Age</w:t>
            </w:r>
          </w:p>
        </w:tc>
      </w:tr>
      <w:tr w:rsidR="00C17D00" w:rsidRPr="00D979E7" w14:paraId="12F00928" w14:textId="77777777" w:rsidTr="00375598">
        <w:tc>
          <w:tcPr>
            <w:tcW w:w="3268" w:type="dxa"/>
          </w:tcPr>
          <w:p w14:paraId="7C1AED30" w14:textId="46EBF3BA" w:rsidR="00C17D00" w:rsidRPr="00D979E7" w:rsidRDefault="00C17D00" w:rsidP="002320B1">
            <w:pPr>
              <w:spacing w:before="120" w:after="0" w:line="240" w:lineRule="auto"/>
              <w:rPr>
                <w:rFonts w:ascii="Arial" w:hAnsi="Arial" w:cs="Arial"/>
                <w:sz w:val="20"/>
              </w:rPr>
            </w:pPr>
            <w:r w:rsidRPr="00D979E7">
              <w:rPr>
                <w:rFonts w:ascii="Arial" w:hAnsi="Arial" w:cs="Arial"/>
                <w:sz w:val="20"/>
              </w:rPr>
              <w:t xml:space="preserve">Age at </w:t>
            </w:r>
            <w:r w:rsidR="00CB58C0" w:rsidRPr="00D979E7">
              <w:rPr>
                <w:rFonts w:ascii="Arial" w:hAnsi="Arial" w:cs="Arial"/>
                <w:sz w:val="20"/>
              </w:rPr>
              <w:t xml:space="preserve">earliest </w:t>
            </w:r>
            <w:r w:rsidRPr="00D979E7">
              <w:rPr>
                <w:rFonts w:ascii="Arial" w:hAnsi="Arial" w:cs="Arial"/>
                <w:sz w:val="20"/>
              </w:rPr>
              <w:t>intervention 2 to 5 years</w:t>
            </w:r>
          </w:p>
        </w:tc>
        <w:tc>
          <w:tcPr>
            <w:tcW w:w="2839" w:type="dxa"/>
          </w:tcPr>
          <w:p w14:paraId="1A98A367" w14:textId="43576B78" w:rsidR="00C17D00" w:rsidRPr="00D979E7" w:rsidRDefault="00375598" w:rsidP="002320B1">
            <w:pPr>
              <w:spacing w:before="120" w:after="0" w:line="240" w:lineRule="auto"/>
              <w:rPr>
                <w:rFonts w:ascii="Arial" w:hAnsi="Arial" w:cs="Arial"/>
                <w:sz w:val="20"/>
              </w:rPr>
            </w:pPr>
            <w:r w:rsidRPr="00D979E7">
              <w:rPr>
                <w:rFonts w:ascii="Arial" w:hAnsi="Arial" w:cs="Arial"/>
                <w:sz w:val="20"/>
              </w:rPr>
              <w:t>656</w:t>
            </w:r>
          </w:p>
        </w:tc>
        <w:tc>
          <w:tcPr>
            <w:tcW w:w="2899" w:type="dxa"/>
          </w:tcPr>
          <w:p w14:paraId="300A3716" w14:textId="05ABF4BF" w:rsidR="00C17D00" w:rsidRPr="00D979E7" w:rsidRDefault="00375598" w:rsidP="002320B1">
            <w:pPr>
              <w:spacing w:before="120" w:after="0" w:line="240" w:lineRule="auto"/>
              <w:rPr>
                <w:rFonts w:ascii="Arial" w:hAnsi="Arial" w:cs="Arial"/>
                <w:sz w:val="20"/>
              </w:rPr>
            </w:pPr>
            <w:r w:rsidRPr="00D979E7">
              <w:rPr>
                <w:rFonts w:ascii="Arial" w:hAnsi="Arial" w:cs="Arial"/>
                <w:sz w:val="20"/>
              </w:rPr>
              <w:t>40.8</w:t>
            </w:r>
          </w:p>
        </w:tc>
      </w:tr>
      <w:tr w:rsidR="00C17D00" w:rsidRPr="00D979E7" w14:paraId="47E047B0" w14:textId="77777777" w:rsidTr="00375598">
        <w:tc>
          <w:tcPr>
            <w:tcW w:w="3268" w:type="dxa"/>
          </w:tcPr>
          <w:p w14:paraId="1D9C05EC" w14:textId="64F1FA0A" w:rsidR="00C17D00" w:rsidRPr="00D979E7" w:rsidRDefault="00C17D00" w:rsidP="002320B1">
            <w:pPr>
              <w:spacing w:before="120" w:after="0" w:line="240" w:lineRule="auto"/>
              <w:rPr>
                <w:rFonts w:ascii="Arial" w:hAnsi="Arial" w:cs="Arial"/>
                <w:sz w:val="20"/>
              </w:rPr>
            </w:pPr>
            <w:r w:rsidRPr="00D979E7">
              <w:rPr>
                <w:rFonts w:ascii="Arial" w:hAnsi="Arial" w:cs="Arial"/>
                <w:sz w:val="20"/>
              </w:rPr>
              <w:t xml:space="preserve">Age at </w:t>
            </w:r>
            <w:r w:rsidR="00CB58C0" w:rsidRPr="00D979E7">
              <w:rPr>
                <w:rFonts w:ascii="Arial" w:hAnsi="Arial" w:cs="Arial"/>
                <w:sz w:val="20"/>
              </w:rPr>
              <w:t xml:space="preserve">earliest </w:t>
            </w:r>
            <w:r w:rsidRPr="00D979E7">
              <w:rPr>
                <w:rFonts w:ascii="Arial" w:hAnsi="Arial" w:cs="Arial"/>
                <w:sz w:val="20"/>
              </w:rPr>
              <w:t>intervention 6 to 14 years</w:t>
            </w:r>
          </w:p>
        </w:tc>
        <w:tc>
          <w:tcPr>
            <w:tcW w:w="2839" w:type="dxa"/>
          </w:tcPr>
          <w:p w14:paraId="54AD494E" w14:textId="4F8A9608" w:rsidR="00C17D00" w:rsidRPr="00D979E7" w:rsidRDefault="00375598" w:rsidP="002320B1">
            <w:pPr>
              <w:spacing w:before="120" w:after="0" w:line="240" w:lineRule="auto"/>
              <w:rPr>
                <w:rFonts w:ascii="Arial" w:hAnsi="Arial" w:cs="Arial"/>
                <w:sz w:val="20"/>
              </w:rPr>
            </w:pPr>
            <w:r w:rsidRPr="00D979E7">
              <w:rPr>
                <w:rFonts w:ascii="Arial" w:hAnsi="Arial" w:cs="Arial"/>
                <w:sz w:val="20"/>
              </w:rPr>
              <w:t>952</w:t>
            </w:r>
          </w:p>
        </w:tc>
        <w:tc>
          <w:tcPr>
            <w:tcW w:w="2899" w:type="dxa"/>
          </w:tcPr>
          <w:p w14:paraId="059BDFAB" w14:textId="622F6A8B" w:rsidR="00C17D00" w:rsidRPr="00D979E7" w:rsidRDefault="00375598" w:rsidP="002320B1">
            <w:pPr>
              <w:spacing w:before="120" w:after="0" w:line="240" w:lineRule="auto"/>
              <w:rPr>
                <w:rFonts w:ascii="Arial" w:hAnsi="Arial" w:cs="Arial"/>
                <w:sz w:val="20"/>
              </w:rPr>
            </w:pPr>
            <w:r w:rsidRPr="00D979E7">
              <w:rPr>
                <w:rFonts w:ascii="Arial" w:hAnsi="Arial" w:cs="Arial"/>
                <w:sz w:val="20"/>
              </w:rPr>
              <w:t>59.2</w:t>
            </w:r>
          </w:p>
        </w:tc>
      </w:tr>
      <w:tr w:rsidR="006D0F2B" w:rsidRPr="00D979E7" w14:paraId="576B96C3" w14:textId="77777777" w:rsidTr="0036560B">
        <w:tc>
          <w:tcPr>
            <w:tcW w:w="9006" w:type="dxa"/>
            <w:gridSpan w:val="3"/>
          </w:tcPr>
          <w:p w14:paraId="30FC3AE1" w14:textId="6274019C" w:rsidR="006D0F2B" w:rsidRPr="00D979E7" w:rsidRDefault="006D0F2B" w:rsidP="002320B1">
            <w:pPr>
              <w:spacing w:before="120" w:after="0" w:line="240" w:lineRule="auto"/>
              <w:rPr>
                <w:rFonts w:ascii="Arial" w:hAnsi="Arial" w:cs="Arial"/>
                <w:sz w:val="20"/>
              </w:rPr>
            </w:pPr>
            <w:r w:rsidRPr="00D979E7">
              <w:rPr>
                <w:rFonts w:ascii="Arial" w:hAnsi="Arial" w:cs="Arial"/>
                <w:b/>
                <w:sz w:val="20"/>
              </w:rPr>
              <w:t xml:space="preserve">Ethnicity </w:t>
            </w:r>
          </w:p>
        </w:tc>
      </w:tr>
      <w:tr w:rsidR="00C17D00" w:rsidRPr="00D979E7" w14:paraId="71E74AC0" w14:textId="77777777" w:rsidTr="00375598">
        <w:tc>
          <w:tcPr>
            <w:tcW w:w="3268" w:type="dxa"/>
          </w:tcPr>
          <w:p w14:paraId="61EB3D2E" w14:textId="096DA46B" w:rsidR="00C17D00" w:rsidRPr="00D979E7" w:rsidRDefault="00C17D00" w:rsidP="002320B1">
            <w:pPr>
              <w:spacing w:before="120" w:after="0" w:line="240" w:lineRule="auto"/>
              <w:rPr>
                <w:rFonts w:ascii="Arial" w:hAnsi="Arial" w:cs="Arial"/>
                <w:sz w:val="20"/>
              </w:rPr>
            </w:pPr>
            <w:r w:rsidRPr="00D979E7">
              <w:rPr>
                <w:rFonts w:ascii="Arial" w:hAnsi="Arial" w:cs="Arial"/>
                <w:sz w:val="20"/>
              </w:rPr>
              <w:t xml:space="preserve">Māori </w:t>
            </w:r>
          </w:p>
        </w:tc>
        <w:tc>
          <w:tcPr>
            <w:tcW w:w="2839" w:type="dxa"/>
          </w:tcPr>
          <w:p w14:paraId="1F6D10CF" w14:textId="256E2D37" w:rsidR="00C17D00" w:rsidRPr="00D979E7" w:rsidRDefault="00375598" w:rsidP="002320B1">
            <w:pPr>
              <w:spacing w:before="120" w:after="0" w:line="240" w:lineRule="auto"/>
              <w:rPr>
                <w:rFonts w:ascii="Arial" w:hAnsi="Arial" w:cs="Arial"/>
                <w:sz w:val="20"/>
              </w:rPr>
            </w:pPr>
            <w:r w:rsidRPr="00D979E7">
              <w:rPr>
                <w:rFonts w:ascii="Arial" w:hAnsi="Arial" w:cs="Arial"/>
                <w:sz w:val="20"/>
              </w:rPr>
              <w:t>888</w:t>
            </w:r>
          </w:p>
        </w:tc>
        <w:tc>
          <w:tcPr>
            <w:tcW w:w="2899" w:type="dxa"/>
          </w:tcPr>
          <w:p w14:paraId="1896F2A4" w14:textId="1223D9FA" w:rsidR="00C17D00" w:rsidRPr="00D979E7" w:rsidRDefault="00375598" w:rsidP="002320B1">
            <w:pPr>
              <w:spacing w:before="120" w:after="0" w:line="240" w:lineRule="auto"/>
              <w:rPr>
                <w:rFonts w:ascii="Arial" w:hAnsi="Arial" w:cs="Arial"/>
                <w:sz w:val="20"/>
              </w:rPr>
            </w:pPr>
            <w:r w:rsidRPr="00D979E7">
              <w:rPr>
                <w:rFonts w:ascii="Arial" w:hAnsi="Arial" w:cs="Arial"/>
                <w:sz w:val="20"/>
              </w:rPr>
              <w:t>55.2</w:t>
            </w:r>
          </w:p>
        </w:tc>
      </w:tr>
      <w:tr w:rsidR="00C17D00" w:rsidRPr="00D979E7" w14:paraId="2FD0764B" w14:textId="77777777" w:rsidTr="00375598">
        <w:tc>
          <w:tcPr>
            <w:tcW w:w="3268" w:type="dxa"/>
          </w:tcPr>
          <w:p w14:paraId="512BAB66" w14:textId="4E49610F" w:rsidR="00C17D00" w:rsidRPr="00D979E7" w:rsidRDefault="00C17D00" w:rsidP="002320B1">
            <w:pPr>
              <w:spacing w:before="120" w:after="0" w:line="240" w:lineRule="auto"/>
              <w:rPr>
                <w:rFonts w:ascii="Arial" w:hAnsi="Arial" w:cs="Arial"/>
                <w:sz w:val="20"/>
              </w:rPr>
            </w:pPr>
            <w:r w:rsidRPr="00D979E7">
              <w:rPr>
                <w:rFonts w:ascii="Arial" w:hAnsi="Arial" w:cs="Arial"/>
                <w:sz w:val="20"/>
              </w:rPr>
              <w:t xml:space="preserve">Pacific </w:t>
            </w:r>
          </w:p>
        </w:tc>
        <w:tc>
          <w:tcPr>
            <w:tcW w:w="2839" w:type="dxa"/>
          </w:tcPr>
          <w:p w14:paraId="1D285437" w14:textId="52792EB0" w:rsidR="00C17D00" w:rsidRPr="00D979E7" w:rsidRDefault="00375598" w:rsidP="002320B1">
            <w:pPr>
              <w:spacing w:before="120" w:after="0" w:line="240" w:lineRule="auto"/>
              <w:rPr>
                <w:rFonts w:ascii="Arial" w:hAnsi="Arial" w:cs="Arial"/>
                <w:sz w:val="20"/>
              </w:rPr>
            </w:pPr>
            <w:r w:rsidRPr="00D979E7">
              <w:rPr>
                <w:rFonts w:ascii="Arial" w:hAnsi="Arial" w:cs="Arial"/>
                <w:sz w:val="20"/>
              </w:rPr>
              <w:t>588</w:t>
            </w:r>
          </w:p>
        </w:tc>
        <w:tc>
          <w:tcPr>
            <w:tcW w:w="2899" w:type="dxa"/>
          </w:tcPr>
          <w:p w14:paraId="135B4771" w14:textId="2560DC1F" w:rsidR="00C17D00" w:rsidRPr="00D979E7" w:rsidRDefault="00375598" w:rsidP="002320B1">
            <w:pPr>
              <w:spacing w:before="120" w:after="0" w:line="240" w:lineRule="auto"/>
              <w:rPr>
                <w:rFonts w:ascii="Arial" w:hAnsi="Arial" w:cs="Arial"/>
                <w:sz w:val="20"/>
              </w:rPr>
            </w:pPr>
            <w:r w:rsidRPr="00D979E7">
              <w:rPr>
                <w:rFonts w:ascii="Arial" w:hAnsi="Arial" w:cs="Arial"/>
                <w:sz w:val="20"/>
              </w:rPr>
              <w:t>36.6</w:t>
            </w:r>
          </w:p>
        </w:tc>
      </w:tr>
      <w:tr w:rsidR="00C17D00" w:rsidRPr="00D979E7" w14:paraId="36F67F1C" w14:textId="77777777" w:rsidTr="0036560B">
        <w:trPr>
          <w:trHeight w:val="92"/>
        </w:trPr>
        <w:tc>
          <w:tcPr>
            <w:tcW w:w="3268" w:type="dxa"/>
          </w:tcPr>
          <w:p w14:paraId="6B56F695" w14:textId="1E94251C" w:rsidR="00C17D00" w:rsidRPr="00D979E7" w:rsidRDefault="00C17D00" w:rsidP="002320B1">
            <w:pPr>
              <w:spacing w:before="120" w:after="0" w:line="240" w:lineRule="auto"/>
              <w:rPr>
                <w:rFonts w:ascii="Arial" w:hAnsi="Arial" w:cs="Arial"/>
                <w:sz w:val="20"/>
              </w:rPr>
            </w:pPr>
            <w:r w:rsidRPr="00D979E7">
              <w:rPr>
                <w:rFonts w:ascii="Arial" w:hAnsi="Arial" w:cs="Arial"/>
                <w:sz w:val="20"/>
              </w:rPr>
              <w:t>Non</w:t>
            </w:r>
            <w:r w:rsidR="003460A8" w:rsidRPr="00D979E7">
              <w:rPr>
                <w:rFonts w:ascii="Arial" w:hAnsi="Arial" w:cs="Arial"/>
                <w:sz w:val="20"/>
              </w:rPr>
              <w:t>-</w:t>
            </w:r>
            <w:r w:rsidRPr="00D979E7">
              <w:rPr>
                <w:rFonts w:ascii="Arial" w:hAnsi="Arial" w:cs="Arial"/>
                <w:sz w:val="20"/>
              </w:rPr>
              <w:t xml:space="preserve">Māori, </w:t>
            </w:r>
            <w:r w:rsidR="003460A8" w:rsidRPr="00D979E7">
              <w:rPr>
                <w:rFonts w:ascii="Arial" w:hAnsi="Arial" w:cs="Arial"/>
                <w:sz w:val="20"/>
              </w:rPr>
              <w:t>n</w:t>
            </w:r>
            <w:r w:rsidRPr="00D979E7">
              <w:rPr>
                <w:rFonts w:ascii="Arial" w:hAnsi="Arial" w:cs="Arial"/>
                <w:sz w:val="20"/>
              </w:rPr>
              <w:t>on</w:t>
            </w:r>
            <w:r w:rsidR="003460A8" w:rsidRPr="00D979E7">
              <w:rPr>
                <w:rFonts w:ascii="Arial" w:hAnsi="Arial" w:cs="Arial"/>
                <w:sz w:val="20"/>
              </w:rPr>
              <w:t>-</w:t>
            </w:r>
            <w:r w:rsidRPr="00D979E7">
              <w:rPr>
                <w:rFonts w:ascii="Arial" w:hAnsi="Arial" w:cs="Arial"/>
                <w:sz w:val="20"/>
              </w:rPr>
              <w:t xml:space="preserve">Pacific </w:t>
            </w:r>
          </w:p>
        </w:tc>
        <w:tc>
          <w:tcPr>
            <w:tcW w:w="2839" w:type="dxa"/>
          </w:tcPr>
          <w:p w14:paraId="6555EDDA" w14:textId="0487CFFB" w:rsidR="00C17D00" w:rsidRPr="00D979E7" w:rsidRDefault="00375598" w:rsidP="002320B1">
            <w:pPr>
              <w:spacing w:before="120" w:after="0" w:line="240" w:lineRule="auto"/>
              <w:rPr>
                <w:rFonts w:ascii="Arial" w:hAnsi="Arial" w:cs="Arial"/>
                <w:sz w:val="20"/>
              </w:rPr>
            </w:pPr>
            <w:r w:rsidRPr="00D979E7">
              <w:rPr>
                <w:rFonts w:ascii="Arial" w:hAnsi="Arial" w:cs="Arial"/>
                <w:sz w:val="20"/>
              </w:rPr>
              <w:t>132</w:t>
            </w:r>
          </w:p>
        </w:tc>
        <w:tc>
          <w:tcPr>
            <w:tcW w:w="2899" w:type="dxa"/>
          </w:tcPr>
          <w:p w14:paraId="023E9C15" w14:textId="50914BF1" w:rsidR="00C17D00" w:rsidRPr="00D979E7" w:rsidRDefault="00375598" w:rsidP="002320B1">
            <w:pPr>
              <w:spacing w:before="120" w:after="0" w:line="240" w:lineRule="auto"/>
              <w:rPr>
                <w:rFonts w:ascii="Arial" w:hAnsi="Arial" w:cs="Arial"/>
                <w:sz w:val="20"/>
              </w:rPr>
            </w:pPr>
            <w:r w:rsidRPr="00D979E7">
              <w:rPr>
                <w:rFonts w:ascii="Arial" w:hAnsi="Arial" w:cs="Arial"/>
                <w:sz w:val="20"/>
              </w:rPr>
              <w:t>8.2</w:t>
            </w:r>
          </w:p>
        </w:tc>
      </w:tr>
      <w:tr w:rsidR="006D0F2B" w:rsidRPr="00D979E7" w14:paraId="75D55533" w14:textId="77777777" w:rsidTr="0036560B">
        <w:tc>
          <w:tcPr>
            <w:tcW w:w="9006" w:type="dxa"/>
            <w:gridSpan w:val="3"/>
          </w:tcPr>
          <w:p w14:paraId="5DCBFDD2" w14:textId="2DA2D250" w:rsidR="006D0F2B" w:rsidRPr="00D979E7" w:rsidRDefault="006D0F2B" w:rsidP="002320B1">
            <w:pPr>
              <w:spacing w:before="120" w:after="0" w:line="240" w:lineRule="auto"/>
              <w:rPr>
                <w:rFonts w:ascii="Arial" w:hAnsi="Arial" w:cs="Arial"/>
                <w:sz w:val="20"/>
              </w:rPr>
            </w:pPr>
            <w:r w:rsidRPr="00D979E7">
              <w:rPr>
                <w:rFonts w:ascii="Arial" w:hAnsi="Arial" w:cs="Arial"/>
                <w:b/>
                <w:sz w:val="20"/>
              </w:rPr>
              <w:t>Gender</w:t>
            </w:r>
          </w:p>
        </w:tc>
      </w:tr>
      <w:tr w:rsidR="00375598" w:rsidRPr="00D979E7" w14:paraId="628DA1DA" w14:textId="77777777" w:rsidTr="00375598">
        <w:tc>
          <w:tcPr>
            <w:tcW w:w="3268" w:type="dxa"/>
          </w:tcPr>
          <w:p w14:paraId="63F93B87" w14:textId="07033929" w:rsidR="00375598" w:rsidRPr="00D979E7" w:rsidRDefault="00375598" w:rsidP="002320B1">
            <w:pPr>
              <w:spacing w:before="120" w:after="0" w:line="240" w:lineRule="auto"/>
              <w:rPr>
                <w:rFonts w:ascii="Arial" w:hAnsi="Arial" w:cs="Arial"/>
                <w:sz w:val="20"/>
              </w:rPr>
            </w:pPr>
            <w:r w:rsidRPr="00D979E7">
              <w:rPr>
                <w:rFonts w:ascii="Arial" w:hAnsi="Arial" w:cs="Arial"/>
                <w:sz w:val="20"/>
              </w:rPr>
              <w:t>Male</w:t>
            </w:r>
          </w:p>
        </w:tc>
        <w:tc>
          <w:tcPr>
            <w:tcW w:w="2839" w:type="dxa"/>
          </w:tcPr>
          <w:p w14:paraId="6B6D87A0" w14:textId="27982C84" w:rsidR="00375598" w:rsidRPr="00D979E7" w:rsidRDefault="00375598" w:rsidP="002320B1">
            <w:pPr>
              <w:spacing w:before="120" w:after="0" w:line="240" w:lineRule="auto"/>
              <w:rPr>
                <w:rFonts w:ascii="Arial" w:hAnsi="Arial" w:cs="Arial"/>
                <w:sz w:val="20"/>
              </w:rPr>
            </w:pPr>
            <w:r w:rsidRPr="00D979E7">
              <w:rPr>
                <w:rFonts w:ascii="Arial" w:hAnsi="Arial" w:cs="Arial"/>
                <w:sz w:val="20"/>
              </w:rPr>
              <w:t>901</w:t>
            </w:r>
          </w:p>
        </w:tc>
        <w:tc>
          <w:tcPr>
            <w:tcW w:w="2899" w:type="dxa"/>
          </w:tcPr>
          <w:p w14:paraId="63F9004E" w14:textId="24C43A7A" w:rsidR="00375598" w:rsidRPr="00D979E7" w:rsidRDefault="00375598" w:rsidP="002320B1">
            <w:pPr>
              <w:spacing w:before="120" w:after="0" w:line="240" w:lineRule="auto"/>
              <w:rPr>
                <w:rFonts w:ascii="Arial" w:hAnsi="Arial" w:cs="Arial"/>
                <w:sz w:val="20"/>
              </w:rPr>
            </w:pPr>
            <w:r w:rsidRPr="00D979E7">
              <w:rPr>
                <w:rFonts w:ascii="Arial" w:hAnsi="Arial" w:cs="Arial"/>
                <w:sz w:val="20"/>
              </w:rPr>
              <w:t>56.0</w:t>
            </w:r>
          </w:p>
        </w:tc>
      </w:tr>
      <w:tr w:rsidR="00375598" w:rsidRPr="00D979E7" w14:paraId="55F36E58" w14:textId="77777777" w:rsidTr="00375598">
        <w:tc>
          <w:tcPr>
            <w:tcW w:w="3268" w:type="dxa"/>
          </w:tcPr>
          <w:p w14:paraId="21A39B98" w14:textId="66C039CA" w:rsidR="00375598" w:rsidRPr="00D979E7" w:rsidRDefault="00375598" w:rsidP="002320B1">
            <w:pPr>
              <w:spacing w:before="120" w:after="0" w:line="240" w:lineRule="auto"/>
              <w:rPr>
                <w:rFonts w:ascii="Arial" w:hAnsi="Arial" w:cs="Arial"/>
                <w:sz w:val="20"/>
              </w:rPr>
            </w:pPr>
            <w:r w:rsidRPr="00D979E7">
              <w:rPr>
                <w:rFonts w:ascii="Arial" w:hAnsi="Arial" w:cs="Arial"/>
                <w:sz w:val="20"/>
              </w:rPr>
              <w:t>Female</w:t>
            </w:r>
          </w:p>
        </w:tc>
        <w:tc>
          <w:tcPr>
            <w:tcW w:w="2839" w:type="dxa"/>
          </w:tcPr>
          <w:p w14:paraId="1C94D9A8" w14:textId="5800944E" w:rsidR="00375598" w:rsidRPr="00D979E7" w:rsidRDefault="00375598" w:rsidP="002320B1">
            <w:pPr>
              <w:spacing w:before="120" w:after="0" w:line="240" w:lineRule="auto"/>
              <w:rPr>
                <w:rFonts w:ascii="Arial" w:hAnsi="Arial" w:cs="Arial"/>
                <w:sz w:val="20"/>
              </w:rPr>
            </w:pPr>
            <w:r w:rsidRPr="00D979E7">
              <w:rPr>
                <w:rFonts w:ascii="Arial" w:hAnsi="Arial" w:cs="Arial"/>
                <w:sz w:val="20"/>
              </w:rPr>
              <w:t>707</w:t>
            </w:r>
          </w:p>
        </w:tc>
        <w:tc>
          <w:tcPr>
            <w:tcW w:w="2899" w:type="dxa"/>
          </w:tcPr>
          <w:p w14:paraId="156EC7CB" w14:textId="569BD7AE" w:rsidR="00375598" w:rsidRPr="00D979E7" w:rsidRDefault="00375598" w:rsidP="002320B1">
            <w:pPr>
              <w:spacing w:before="120" w:after="0" w:line="240" w:lineRule="auto"/>
              <w:rPr>
                <w:rFonts w:ascii="Arial" w:hAnsi="Arial" w:cs="Arial"/>
                <w:sz w:val="20"/>
              </w:rPr>
            </w:pPr>
            <w:r w:rsidRPr="00D979E7">
              <w:rPr>
                <w:rFonts w:ascii="Arial" w:hAnsi="Arial" w:cs="Arial"/>
                <w:sz w:val="20"/>
              </w:rPr>
              <w:t>44.0</w:t>
            </w:r>
          </w:p>
        </w:tc>
      </w:tr>
      <w:tr w:rsidR="006D0F2B" w:rsidRPr="00D979E7" w14:paraId="3F971F0F" w14:textId="77777777" w:rsidTr="0036560B">
        <w:tc>
          <w:tcPr>
            <w:tcW w:w="9006" w:type="dxa"/>
            <w:gridSpan w:val="3"/>
          </w:tcPr>
          <w:p w14:paraId="433767D5" w14:textId="77AAA9A1" w:rsidR="006D0F2B" w:rsidRPr="00D979E7" w:rsidRDefault="006D0F2B" w:rsidP="002320B1">
            <w:pPr>
              <w:spacing w:before="120" w:after="0" w:line="240" w:lineRule="auto"/>
              <w:rPr>
                <w:rFonts w:ascii="Arial" w:hAnsi="Arial" w:cs="Arial"/>
                <w:sz w:val="20"/>
              </w:rPr>
            </w:pPr>
            <w:r w:rsidRPr="00D979E7">
              <w:rPr>
                <w:rFonts w:ascii="Arial" w:hAnsi="Arial" w:cs="Arial"/>
                <w:b/>
                <w:sz w:val="20"/>
              </w:rPr>
              <w:t>Tenure</w:t>
            </w:r>
          </w:p>
        </w:tc>
      </w:tr>
      <w:tr w:rsidR="00420CB7" w:rsidRPr="00D979E7" w14:paraId="2832BA9C" w14:textId="77777777" w:rsidTr="00375598">
        <w:tc>
          <w:tcPr>
            <w:tcW w:w="3268" w:type="dxa"/>
          </w:tcPr>
          <w:p w14:paraId="54488CEA" w14:textId="4D86C966" w:rsidR="00420CB7" w:rsidRPr="00D979E7" w:rsidRDefault="00420CB7" w:rsidP="002320B1">
            <w:pPr>
              <w:spacing w:before="120" w:after="0" w:line="240" w:lineRule="auto"/>
              <w:rPr>
                <w:rFonts w:ascii="Arial" w:hAnsi="Arial" w:cs="Arial"/>
                <w:sz w:val="20"/>
              </w:rPr>
            </w:pPr>
            <w:r w:rsidRPr="00D979E7">
              <w:rPr>
                <w:rFonts w:ascii="Arial" w:hAnsi="Arial" w:cs="Arial"/>
                <w:sz w:val="20"/>
              </w:rPr>
              <w:t>Owner occupied</w:t>
            </w:r>
          </w:p>
        </w:tc>
        <w:tc>
          <w:tcPr>
            <w:tcW w:w="2839" w:type="dxa"/>
          </w:tcPr>
          <w:p w14:paraId="7E52DF45" w14:textId="7F80E1F7" w:rsidR="00420CB7" w:rsidRPr="00D979E7" w:rsidRDefault="00DD176A" w:rsidP="002320B1">
            <w:pPr>
              <w:spacing w:before="120" w:after="0" w:line="240" w:lineRule="auto"/>
              <w:rPr>
                <w:rFonts w:ascii="Arial" w:hAnsi="Arial" w:cs="Arial"/>
                <w:sz w:val="20"/>
              </w:rPr>
            </w:pPr>
            <w:r w:rsidRPr="00D979E7">
              <w:rPr>
                <w:rFonts w:ascii="Arial" w:hAnsi="Arial" w:cs="Arial"/>
                <w:sz w:val="20"/>
              </w:rPr>
              <w:t>160</w:t>
            </w:r>
          </w:p>
        </w:tc>
        <w:tc>
          <w:tcPr>
            <w:tcW w:w="2899" w:type="dxa"/>
          </w:tcPr>
          <w:p w14:paraId="4C4C5A58" w14:textId="6D2710B4" w:rsidR="00420CB7" w:rsidRPr="00D979E7" w:rsidRDefault="00607F24" w:rsidP="002320B1">
            <w:pPr>
              <w:spacing w:before="120" w:after="0" w:line="240" w:lineRule="auto"/>
              <w:rPr>
                <w:rFonts w:ascii="Arial" w:hAnsi="Arial" w:cs="Arial"/>
                <w:sz w:val="20"/>
              </w:rPr>
            </w:pPr>
            <w:r w:rsidRPr="00D979E7">
              <w:rPr>
                <w:rFonts w:ascii="Arial" w:hAnsi="Arial" w:cs="Arial"/>
                <w:sz w:val="20"/>
              </w:rPr>
              <w:t>10</w:t>
            </w:r>
          </w:p>
        </w:tc>
      </w:tr>
      <w:tr w:rsidR="00420CB7" w:rsidRPr="00D979E7" w14:paraId="3AA275CA" w14:textId="77777777" w:rsidTr="00375598">
        <w:tc>
          <w:tcPr>
            <w:tcW w:w="3268" w:type="dxa"/>
          </w:tcPr>
          <w:p w14:paraId="3D2DC7F1" w14:textId="52BE95F3" w:rsidR="00420CB7" w:rsidRPr="00D979E7" w:rsidRDefault="00420CB7" w:rsidP="002320B1">
            <w:pPr>
              <w:spacing w:before="120" w:after="0" w:line="240" w:lineRule="auto"/>
              <w:rPr>
                <w:rFonts w:ascii="Arial" w:hAnsi="Arial" w:cs="Arial"/>
                <w:sz w:val="20"/>
              </w:rPr>
            </w:pPr>
            <w:r w:rsidRPr="00D979E7">
              <w:rPr>
                <w:rFonts w:ascii="Arial" w:hAnsi="Arial" w:cs="Arial"/>
                <w:sz w:val="20"/>
              </w:rPr>
              <w:t>HNZ</w:t>
            </w:r>
          </w:p>
        </w:tc>
        <w:tc>
          <w:tcPr>
            <w:tcW w:w="2839" w:type="dxa"/>
          </w:tcPr>
          <w:p w14:paraId="205C3727" w14:textId="67F84267" w:rsidR="00420CB7" w:rsidRPr="00D979E7" w:rsidRDefault="00375598" w:rsidP="002320B1">
            <w:pPr>
              <w:spacing w:before="120" w:after="0" w:line="240" w:lineRule="auto"/>
              <w:rPr>
                <w:rFonts w:ascii="Arial" w:hAnsi="Arial" w:cs="Arial"/>
                <w:sz w:val="20"/>
              </w:rPr>
            </w:pPr>
            <w:r w:rsidRPr="00D979E7">
              <w:rPr>
                <w:rFonts w:ascii="Arial" w:hAnsi="Arial" w:cs="Arial"/>
                <w:sz w:val="20"/>
              </w:rPr>
              <w:t>763</w:t>
            </w:r>
          </w:p>
        </w:tc>
        <w:tc>
          <w:tcPr>
            <w:tcW w:w="2899" w:type="dxa"/>
          </w:tcPr>
          <w:p w14:paraId="0CBC9B67" w14:textId="17F6BA11" w:rsidR="00420CB7" w:rsidRPr="00D979E7" w:rsidRDefault="00607F24" w:rsidP="002320B1">
            <w:pPr>
              <w:spacing w:before="120" w:after="0" w:line="240" w:lineRule="auto"/>
              <w:rPr>
                <w:rFonts w:ascii="Arial" w:hAnsi="Arial" w:cs="Arial"/>
                <w:sz w:val="20"/>
              </w:rPr>
            </w:pPr>
            <w:r w:rsidRPr="00D979E7">
              <w:rPr>
                <w:rFonts w:ascii="Arial" w:hAnsi="Arial" w:cs="Arial"/>
                <w:sz w:val="20"/>
              </w:rPr>
              <w:t>47.5</w:t>
            </w:r>
          </w:p>
        </w:tc>
      </w:tr>
      <w:tr w:rsidR="00420CB7" w:rsidRPr="00D979E7" w14:paraId="0AE2923C" w14:textId="77777777" w:rsidTr="00375598">
        <w:tc>
          <w:tcPr>
            <w:tcW w:w="3268" w:type="dxa"/>
          </w:tcPr>
          <w:p w14:paraId="64C67514" w14:textId="4F9CF8BF" w:rsidR="00420CB7" w:rsidRPr="00D979E7" w:rsidRDefault="00420CB7" w:rsidP="002320B1">
            <w:pPr>
              <w:spacing w:before="120" w:after="0" w:line="240" w:lineRule="auto"/>
              <w:rPr>
                <w:rFonts w:ascii="Arial" w:hAnsi="Arial" w:cs="Arial"/>
                <w:sz w:val="20"/>
              </w:rPr>
            </w:pPr>
            <w:r w:rsidRPr="00D979E7">
              <w:rPr>
                <w:rFonts w:ascii="Arial" w:hAnsi="Arial" w:cs="Arial"/>
                <w:sz w:val="20"/>
              </w:rPr>
              <w:t>Private market rental</w:t>
            </w:r>
          </w:p>
        </w:tc>
        <w:tc>
          <w:tcPr>
            <w:tcW w:w="2839" w:type="dxa"/>
          </w:tcPr>
          <w:p w14:paraId="2C867CF3" w14:textId="404CCFC6" w:rsidR="00420CB7" w:rsidRPr="00D979E7" w:rsidRDefault="00375598" w:rsidP="002320B1">
            <w:pPr>
              <w:spacing w:before="120" w:after="0" w:line="240" w:lineRule="auto"/>
              <w:rPr>
                <w:rFonts w:ascii="Arial" w:hAnsi="Arial" w:cs="Arial"/>
                <w:sz w:val="20"/>
              </w:rPr>
            </w:pPr>
            <w:r w:rsidRPr="00D979E7">
              <w:rPr>
                <w:rFonts w:ascii="Arial" w:hAnsi="Arial" w:cs="Arial"/>
                <w:sz w:val="20"/>
              </w:rPr>
              <w:t>610</w:t>
            </w:r>
          </w:p>
        </w:tc>
        <w:tc>
          <w:tcPr>
            <w:tcW w:w="2899" w:type="dxa"/>
          </w:tcPr>
          <w:p w14:paraId="3E743358" w14:textId="51F76FC1" w:rsidR="00420CB7" w:rsidRPr="00D979E7" w:rsidRDefault="00375598" w:rsidP="002320B1">
            <w:pPr>
              <w:spacing w:before="120" w:after="0" w:line="240" w:lineRule="auto"/>
              <w:rPr>
                <w:rFonts w:ascii="Arial" w:hAnsi="Arial" w:cs="Arial"/>
                <w:sz w:val="20"/>
              </w:rPr>
            </w:pPr>
            <w:r w:rsidRPr="00D979E7">
              <w:rPr>
                <w:rFonts w:ascii="Arial" w:hAnsi="Arial" w:cs="Arial"/>
                <w:sz w:val="20"/>
              </w:rPr>
              <w:t>37.9</w:t>
            </w:r>
          </w:p>
        </w:tc>
      </w:tr>
      <w:tr w:rsidR="00420CB7" w:rsidRPr="00D979E7" w14:paraId="4D2C1521" w14:textId="77777777" w:rsidTr="00375598">
        <w:tc>
          <w:tcPr>
            <w:tcW w:w="3268" w:type="dxa"/>
          </w:tcPr>
          <w:p w14:paraId="12DFCCC8" w14:textId="423642DA" w:rsidR="00420CB7" w:rsidRPr="00D979E7" w:rsidRDefault="00420CB7" w:rsidP="002320B1">
            <w:pPr>
              <w:spacing w:before="120" w:after="0" w:line="240" w:lineRule="auto"/>
              <w:rPr>
                <w:rFonts w:ascii="Arial" w:hAnsi="Arial" w:cs="Arial"/>
                <w:sz w:val="20"/>
              </w:rPr>
            </w:pPr>
            <w:r w:rsidRPr="00D979E7">
              <w:rPr>
                <w:rFonts w:ascii="Arial" w:hAnsi="Arial" w:cs="Arial"/>
                <w:sz w:val="20"/>
              </w:rPr>
              <w:t>Temporary/Other</w:t>
            </w:r>
          </w:p>
        </w:tc>
        <w:tc>
          <w:tcPr>
            <w:tcW w:w="2839" w:type="dxa"/>
          </w:tcPr>
          <w:p w14:paraId="2EBFDFBC" w14:textId="3A3E5EA0" w:rsidR="00420CB7" w:rsidRPr="00D979E7" w:rsidRDefault="00DD176A" w:rsidP="002320B1">
            <w:pPr>
              <w:spacing w:before="120" w:after="0" w:line="240" w:lineRule="auto"/>
              <w:rPr>
                <w:rFonts w:ascii="Arial" w:hAnsi="Arial" w:cs="Arial"/>
                <w:sz w:val="20"/>
              </w:rPr>
            </w:pPr>
            <w:r w:rsidRPr="00D979E7">
              <w:rPr>
                <w:rFonts w:ascii="Arial" w:hAnsi="Arial" w:cs="Arial"/>
                <w:sz w:val="20"/>
              </w:rPr>
              <w:t>75</w:t>
            </w:r>
          </w:p>
        </w:tc>
        <w:tc>
          <w:tcPr>
            <w:tcW w:w="2899" w:type="dxa"/>
          </w:tcPr>
          <w:p w14:paraId="11F7094A" w14:textId="6432BE84" w:rsidR="00420CB7" w:rsidRPr="00D979E7" w:rsidRDefault="00607F24" w:rsidP="002320B1">
            <w:pPr>
              <w:spacing w:before="120" w:after="0" w:line="240" w:lineRule="auto"/>
              <w:rPr>
                <w:rFonts w:ascii="Arial" w:hAnsi="Arial" w:cs="Arial"/>
                <w:sz w:val="20"/>
              </w:rPr>
            </w:pPr>
            <w:r w:rsidRPr="00D979E7">
              <w:rPr>
                <w:rFonts w:ascii="Arial" w:hAnsi="Arial" w:cs="Arial"/>
                <w:sz w:val="20"/>
              </w:rPr>
              <w:t>4.7</w:t>
            </w:r>
          </w:p>
        </w:tc>
      </w:tr>
    </w:tbl>
    <w:p w14:paraId="3C86695B" w14:textId="1A030CAE" w:rsidR="00171BCE" w:rsidRPr="00D979E7" w:rsidRDefault="0080115B" w:rsidP="00271FB7">
      <w:pPr>
        <w:spacing w:before="120" w:after="120" w:line="240" w:lineRule="auto"/>
        <w:rPr>
          <w:rFonts w:ascii="Arial" w:hAnsi="Arial" w:cs="Arial"/>
        </w:rPr>
      </w:pPr>
      <w:r w:rsidRPr="00D979E7">
        <w:rPr>
          <w:rFonts w:ascii="Arial" w:hAnsi="Arial" w:cs="Arial"/>
        </w:rPr>
        <w:t xml:space="preserve"> </w:t>
      </w:r>
    </w:p>
    <w:p w14:paraId="020A38DF" w14:textId="6A682E57" w:rsidR="00F67D23" w:rsidRPr="00D979E7" w:rsidRDefault="00F67D23" w:rsidP="00271FB7">
      <w:pPr>
        <w:spacing w:before="120" w:after="120" w:line="240" w:lineRule="auto"/>
        <w:rPr>
          <w:rFonts w:ascii="Arial" w:hAnsi="Arial" w:cs="Arial"/>
        </w:rPr>
      </w:pPr>
      <w:r w:rsidRPr="00D979E7">
        <w:rPr>
          <w:rFonts w:ascii="Arial" w:hAnsi="Arial" w:cs="Arial"/>
        </w:rPr>
        <w:t xml:space="preserve">The earliest intervention date </w:t>
      </w:r>
      <w:r w:rsidR="00081A80" w:rsidRPr="00D979E7">
        <w:rPr>
          <w:rFonts w:ascii="Arial" w:hAnsi="Arial" w:cs="Arial"/>
        </w:rPr>
        <w:t xml:space="preserve">across all referrals in the evaluation sample population </w:t>
      </w:r>
      <w:r w:rsidRPr="00D979E7">
        <w:rPr>
          <w:rFonts w:ascii="Arial" w:hAnsi="Arial" w:cs="Arial"/>
        </w:rPr>
        <w:t xml:space="preserve">was in January 2014, and the latest intervention date for referrals was December 2017. The median date of latest intervention was October 2016. </w:t>
      </w:r>
    </w:p>
    <w:p w14:paraId="32917758" w14:textId="23B5AFD6" w:rsidR="00555EE8" w:rsidRPr="00D979E7" w:rsidRDefault="00555EE8" w:rsidP="00271FB7">
      <w:pPr>
        <w:pStyle w:val="Heading2"/>
        <w:spacing w:before="120" w:after="120" w:line="240" w:lineRule="auto"/>
        <w:rPr>
          <w:rFonts w:ascii="Arial" w:hAnsi="Arial" w:cs="Arial"/>
        </w:rPr>
      </w:pPr>
      <w:bookmarkStart w:id="24" w:name="_Toc19715045"/>
      <w:r w:rsidRPr="00D979E7">
        <w:rPr>
          <w:rFonts w:ascii="Arial" w:hAnsi="Arial" w:cs="Arial"/>
        </w:rPr>
        <w:t>Hospitalisations</w:t>
      </w:r>
      <w:bookmarkEnd w:id="24"/>
      <w:r w:rsidRPr="00D979E7">
        <w:rPr>
          <w:rFonts w:ascii="Arial" w:hAnsi="Arial" w:cs="Arial"/>
        </w:rPr>
        <w:t xml:space="preserve"> </w:t>
      </w:r>
    </w:p>
    <w:p w14:paraId="0E3F4239" w14:textId="747EA619" w:rsidR="00FC7CEE" w:rsidRPr="00D979E7" w:rsidRDefault="00A4403D" w:rsidP="00271FB7">
      <w:pPr>
        <w:spacing w:before="120" w:after="120" w:line="240" w:lineRule="auto"/>
        <w:rPr>
          <w:rFonts w:ascii="Arial" w:hAnsi="Arial" w:cs="Arial"/>
        </w:rPr>
      </w:pPr>
      <w:r w:rsidRPr="00D979E7">
        <w:rPr>
          <w:rFonts w:ascii="Arial" w:hAnsi="Arial" w:cs="Arial"/>
        </w:rPr>
        <w:t xml:space="preserve">The HHI programme is expected to </w:t>
      </w:r>
      <w:r w:rsidR="00B6729B" w:rsidRPr="00D979E7">
        <w:rPr>
          <w:rFonts w:ascii="Arial" w:hAnsi="Arial" w:cs="Arial"/>
        </w:rPr>
        <w:t>make the biggest difference in disease</w:t>
      </w:r>
      <w:r w:rsidR="001439A7" w:rsidRPr="00D979E7">
        <w:rPr>
          <w:rFonts w:ascii="Arial" w:hAnsi="Arial" w:cs="Arial"/>
        </w:rPr>
        <w:t>s</w:t>
      </w:r>
      <w:r w:rsidR="00B6729B" w:rsidRPr="00D979E7">
        <w:rPr>
          <w:rFonts w:ascii="Arial" w:hAnsi="Arial" w:cs="Arial"/>
        </w:rPr>
        <w:t xml:space="preserve"> that are PAHHE</w:t>
      </w:r>
      <w:r w:rsidR="00E644B3" w:rsidRPr="00D979E7">
        <w:rPr>
          <w:rFonts w:ascii="Arial" w:hAnsi="Arial" w:cs="Arial"/>
        </w:rPr>
        <w:t xml:space="preserve">. </w:t>
      </w:r>
      <w:r w:rsidR="00BF2639" w:rsidRPr="00D979E7">
        <w:rPr>
          <w:rFonts w:ascii="Arial" w:hAnsi="Arial" w:cs="Arial"/>
        </w:rPr>
        <w:t>F</w:t>
      </w:r>
      <w:r w:rsidR="00B6729B" w:rsidRPr="00D979E7">
        <w:rPr>
          <w:rFonts w:ascii="Arial" w:hAnsi="Arial" w:cs="Arial"/>
        </w:rPr>
        <w:t xml:space="preserve">or the subset of these </w:t>
      </w:r>
      <w:r w:rsidR="00E644B3" w:rsidRPr="00D979E7">
        <w:rPr>
          <w:rFonts w:ascii="Arial" w:hAnsi="Arial" w:cs="Arial"/>
        </w:rPr>
        <w:t xml:space="preserve">conditions </w:t>
      </w:r>
      <w:r w:rsidR="00B6729B" w:rsidRPr="00D979E7">
        <w:rPr>
          <w:rFonts w:ascii="Arial" w:hAnsi="Arial" w:cs="Arial"/>
        </w:rPr>
        <w:t xml:space="preserve">that are not </w:t>
      </w:r>
      <w:r w:rsidR="00990436" w:rsidRPr="00D979E7">
        <w:rPr>
          <w:rFonts w:ascii="Arial" w:hAnsi="Arial" w:cs="Arial"/>
        </w:rPr>
        <w:t xml:space="preserve">also </w:t>
      </w:r>
      <w:r w:rsidR="004E16CB" w:rsidRPr="00D979E7">
        <w:rPr>
          <w:rFonts w:ascii="Arial" w:hAnsi="Arial" w:cs="Arial"/>
        </w:rPr>
        <w:t>HSH</w:t>
      </w:r>
      <w:r w:rsidR="00391F11" w:rsidRPr="00D979E7">
        <w:rPr>
          <w:rFonts w:ascii="Arial" w:hAnsi="Arial" w:cs="Arial"/>
        </w:rPr>
        <w:t>,</w:t>
      </w:r>
      <w:r w:rsidR="003429F3" w:rsidRPr="00D979E7">
        <w:rPr>
          <w:rFonts w:ascii="Arial" w:hAnsi="Arial" w:cs="Arial"/>
        </w:rPr>
        <w:t xml:space="preserve"> </w:t>
      </w:r>
      <w:r w:rsidR="00B6729B" w:rsidRPr="00D979E7">
        <w:rPr>
          <w:rFonts w:ascii="Arial" w:hAnsi="Arial" w:cs="Arial"/>
        </w:rPr>
        <w:t>there should be no selection bias</w:t>
      </w:r>
      <w:r w:rsidR="003429F3" w:rsidRPr="00D979E7">
        <w:rPr>
          <w:rFonts w:ascii="Arial" w:hAnsi="Arial" w:cs="Arial"/>
        </w:rPr>
        <w:t xml:space="preserve"> operating</w:t>
      </w:r>
      <w:r w:rsidR="00B6729B" w:rsidRPr="00D979E7">
        <w:rPr>
          <w:rFonts w:ascii="Arial" w:hAnsi="Arial" w:cs="Arial"/>
        </w:rPr>
        <w:t xml:space="preserve">. In </w:t>
      </w:r>
      <w:r w:rsidR="00E644B3" w:rsidRPr="00D979E7">
        <w:rPr>
          <w:rFonts w:ascii="Arial" w:hAnsi="Arial" w:cs="Arial"/>
        </w:rPr>
        <w:t>T</w:t>
      </w:r>
      <w:r w:rsidR="00B6729B" w:rsidRPr="00D979E7">
        <w:rPr>
          <w:rFonts w:ascii="Arial" w:hAnsi="Arial" w:cs="Arial"/>
        </w:rPr>
        <w:t>able 2</w:t>
      </w:r>
      <w:r w:rsidR="00391F11" w:rsidRPr="00D979E7">
        <w:rPr>
          <w:rFonts w:ascii="Arial" w:hAnsi="Arial" w:cs="Arial"/>
        </w:rPr>
        <w:t>,</w:t>
      </w:r>
      <w:r w:rsidRPr="00D979E7">
        <w:rPr>
          <w:rFonts w:ascii="Arial" w:hAnsi="Arial" w:cs="Arial"/>
        </w:rPr>
        <w:t xml:space="preserve"> the age</w:t>
      </w:r>
      <w:r w:rsidR="00391F11" w:rsidRPr="00D979E7">
        <w:rPr>
          <w:rFonts w:ascii="Arial" w:hAnsi="Arial" w:cs="Arial"/>
        </w:rPr>
        <w:t>-</w:t>
      </w:r>
      <w:r w:rsidR="00B6729B" w:rsidRPr="00D979E7">
        <w:rPr>
          <w:rFonts w:ascii="Arial" w:hAnsi="Arial" w:cs="Arial"/>
        </w:rPr>
        <w:t xml:space="preserve">adjusted ratio of </w:t>
      </w:r>
      <w:r w:rsidR="004E16CB" w:rsidRPr="00D979E7">
        <w:rPr>
          <w:rFonts w:ascii="Arial" w:hAnsi="Arial" w:cs="Arial"/>
        </w:rPr>
        <w:t>pre-intervention/post-intervention</w:t>
      </w:r>
      <w:r w:rsidR="00B6729B" w:rsidRPr="00D979E7">
        <w:rPr>
          <w:rFonts w:ascii="Arial" w:hAnsi="Arial" w:cs="Arial"/>
        </w:rPr>
        <w:t xml:space="preserve"> hospitalisation</w:t>
      </w:r>
      <w:r w:rsidRPr="00D979E7">
        <w:rPr>
          <w:rFonts w:ascii="Arial" w:hAnsi="Arial" w:cs="Arial"/>
        </w:rPr>
        <w:t>s</w:t>
      </w:r>
      <w:r w:rsidR="004E16CB" w:rsidRPr="00D979E7">
        <w:rPr>
          <w:rFonts w:ascii="Arial" w:hAnsi="Arial" w:cs="Arial"/>
        </w:rPr>
        <w:t xml:space="preserve"> is found</w:t>
      </w:r>
      <w:r w:rsidR="00B6729B" w:rsidRPr="00D979E7">
        <w:rPr>
          <w:rFonts w:ascii="Arial" w:hAnsi="Arial" w:cs="Arial"/>
        </w:rPr>
        <w:t xml:space="preserve"> </w:t>
      </w:r>
      <w:r w:rsidR="005C0CCB" w:rsidRPr="00D979E7">
        <w:rPr>
          <w:rFonts w:ascii="Arial" w:hAnsi="Arial" w:cs="Arial"/>
        </w:rPr>
        <w:t>for</w:t>
      </w:r>
      <w:r w:rsidR="00B6729B" w:rsidRPr="00D979E7">
        <w:rPr>
          <w:rFonts w:ascii="Arial" w:hAnsi="Arial" w:cs="Arial"/>
        </w:rPr>
        <w:t xml:space="preserve"> </w:t>
      </w:r>
      <w:r w:rsidR="00990436" w:rsidRPr="00D979E7">
        <w:rPr>
          <w:rFonts w:ascii="Arial" w:hAnsi="Arial" w:cs="Arial"/>
        </w:rPr>
        <w:t xml:space="preserve">only </w:t>
      </w:r>
      <w:r w:rsidR="00592D84" w:rsidRPr="00D979E7">
        <w:rPr>
          <w:rFonts w:ascii="Arial" w:hAnsi="Arial" w:cs="Arial"/>
        </w:rPr>
        <w:t xml:space="preserve">this group </w:t>
      </w:r>
      <w:r w:rsidR="004E16CB" w:rsidRPr="00D979E7">
        <w:rPr>
          <w:rFonts w:ascii="Arial" w:hAnsi="Arial" w:cs="Arial"/>
        </w:rPr>
        <w:t>of conditions</w:t>
      </w:r>
      <w:r w:rsidR="00592D84" w:rsidRPr="00D979E7">
        <w:rPr>
          <w:rFonts w:ascii="Arial" w:hAnsi="Arial" w:cs="Arial"/>
        </w:rPr>
        <w:t>.</w:t>
      </w:r>
      <w:r w:rsidR="00CC3294" w:rsidRPr="00D979E7">
        <w:rPr>
          <w:rFonts w:ascii="Arial" w:hAnsi="Arial" w:cs="Arial"/>
        </w:rPr>
        <w:t xml:space="preserve"> This ratio of </w:t>
      </w:r>
      <w:r w:rsidR="005C0CCB" w:rsidRPr="00D979E7">
        <w:rPr>
          <w:rFonts w:ascii="Arial" w:hAnsi="Arial" w:cs="Arial"/>
        </w:rPr>
        <w:t xml:space="preserve">1.48 is </w:t>
      </w:r>
      <w:r w:rsidR="005C0CCB" w:rsidRPr="00D979E7">
        <w:rPr>
          <w:rFonts w:ascii="Arial" w:hAnsi="Arial" w:cs="Arial"/>
        </w:rPr>
        <w:lastRenderedPageBreak/>
        <w:t>used in the calculation of selection bias</w:t>
      </w:r>
      <w:r w:rsidR="00CC3294" w:rsidRPr="00D979E7">
        <w:rPr>
          <w:rFonts w:ascii="Arial" w:hAnsi="Arial" w:cs="Arial"/>
        </w:rPr>
        <w:t xml:space="preserve"> (</w:t>
      </w:r>
      <w:r w:rsidR="00592D84" w:rsidRPr="00D979E7">
        <w:rPr>
          <w:rFonts w:ascii="Arial" w:hAnsi="Arial" w:cs="Arial"/>
        </w:rPr>
        <w:t>Table 3</w:t>
      </w:r>
      <w:r w:rsidR="00CC3294" w:rsidRPr="00D979E7">
        <w:rPr>
          <w:rFonts w:ascii="Arial" w:hAnsi="Arial" w:cs="Arial"/>
        </w:rPr>
        <w:t>)</w:t>
      </w:r>
      <w:r w:rsidR="00592D84" w:rsidRPr="00D979E7">
        <w:rPr>
          <w:rFonts w:ascii="Arial" w:hAnsi="Arial" w:cs="Arial"/>
        </w:rPr>
        <w:t xml:space="preserve"> to adjust the observed pre-intervention count </w:t>
      </w:r>
      <w:r w:rsidR="00CC3294" w:rsidRPr="00D979E7">
        <w:rPr>
          <w:rFonts w:ascii="Arial" w:hAnsi="Arial" w:cs="Arial"/>
        </w:rPr>
        <w:t xml:space="preserve">of all-cause hospitalisations </w:t>
      </w:r>
      <w:r w:rsidR="00592D84" w:rsidRPr="00D979E7">
        <w:rPr>
          <w:rFonts w:ascii="Arial" w:hAnsi="Arial" w:cs="Arial"/>
        </w:rPr>
        <w:t>for bias</w:t>
      </w:r>
      <w:r w:rsidR="00CC3294" w:rsidRPr="00D979E7">
        <w:rPr>
          <w:rFonts w:ascii="Arial" w:hAnsi="Arial" w:cs="Arial"/>
        </w:rPr>
        <w:t xml:space="preserve"> (Table 4)</w:t>
      </w:r>
      <w:r w:rsidR="004437F4" w:rsidRPr="00D979E7">
        <w:rPr>
          <w:rFonts w:ascii="Arial" w:hAnsi="Arial" w:cs="Arial"/>
        </w:rPr>
        <w:t>.</w:t>
      </w:r>
      <w:r w:rsidR="0089574D" w:rsidRPr="00D979E7">
        <w:rPr>
          <w:rFonts w:ascii="Arial" w:hAnsi="Arial" w:cs="Arial"/>
        </w:rPr>
        <w:t xml:space="preserve"> </w:t>
      </w:r>
    </w:p>
    <w:p w14:paraId="22B2307F" w14:textId="4D0E8DD2" w:rsidR="00D56A05" w:rsidRPr="00D979E7" w:rsidRDefault="00FC7CEE" w:rsidP="00271FB7">
      <w:pPr>
        <w:spacing w:before="120" w:after="120" w:line="240" w:lineRule="auto"/>
        <w:rPr>
          <w:rFonts w:ascii="Arial" w:hAnsi="Arial" w:cs="Arial"/>
        </w:rPr>
      </w:pPr>
      <w:r w:rsidRPr="00D979E7">
        <w:rPr>
          <w:rFonts w:ascii="Arial" w:hAnsi="Arial" w:cs="Arial"/>
          <w:b/>
        </w:rPr>
        <w:t>Table 2</w:t>
      </w:r>
      <w:r w:rsidR="005D383D" w:rsidRPr="00D979E7">
        <w:rPr>
          <w:rFonts w:ascii="Arial" w:hAnsi="Arial" w:cs="Arial"/>
          <w:b/>
        </w:rPr>
        <w:t>:</w:t>
      </w:r>
      <w:r w:rsidR="005D383D" w:rsidRPr="00D979E7">
        <w:rPr>
          <w:rFonts w:ascii="Arial" w:hAnsi="Arial" w:cs="Arial"/>
        </w:rPr>
        <w:t xml:space="preserve"> </w:t>
      </w:r>
      <w:r w:rsidR="00D2496C" w:rsidRPr="00D979E7">
        <w:rPr>
          <w:rFonts w:ascii="Arial" w:hAnsi="Arial" w:cs="Arial"/>
        </w:rPr>
        <w:t xml:space="preserve"> Estimating the effect of the HHIs on </w:t>
      </w:r>
      <w:r w:rsidR="004437F4" w:rsidRPr="00D979E7">
        <w:rPr>
          <w:rFonts w:ascii="Arial" w:hAnsi="Arial" w:cs="Arial"/>
        </w:rPr>
        <w:t xml:space="preserve">hospitalisations that are on the PAHHE list but not on the </w:t>
      </w:r>
      <w:r w:rsidR="003429F3" w:rsidRPr="00D979E7">
        <w:rPr>
          <w:rFonts w:ascii="Arial" w:hAnsi="Arial" w:cs="Arial"/>
        </w:rPr>
        <w:t>HSH</w:t>
      </w:r>
      <w:r w:rsidR="00D56A05" w:rsidRPr="00D979E7">
        <w:rPr>
          <w:rFonts w:ascii="Arial" w:hAnsi="Arial" w:cs="Arial"/>
        </w:rPr>
        <w:t xml:space="preserve"> list.</w:t>
      </w:r>
    </w:p>
    <w:tbl>
      <w:tblPr>
        <w:tblStyle w:val="TableGrid"/>
        <w:tblW w:w="8962" w:type="dxa"/>
        <w:jc w:val="right"/>
        <w:tblLook w:val="04A0" w:firstRow="1" w:lastRow="0" w:firstColumn="1" w:lastColumn="0" w:noHBand="0" w:noVBand="1"/>
      </w:tblPr>
      <w:tblGrid>
        <w:gridCol w:w="3987"/>
        <w:gridCol w:w="4975"/>
      </w:tblGrid>
      <w:tr w:rsidR="00D56A05" w:rsidRPr="00D979E7" w14:paraId="6A2B4D4A" w14:textId="77777777" w:rsidTr="00A55E5D">
        <w:trPr>
          <w:trHeight w:val="300"/>
          <w:jc w:val="right"/>
        </w:trPr>
        <w:tc>
          <w:tcPr>
            <w:tcW w:w="3987" w:type="dxa"/>
            <w:noWrap/>
            <w:hideMark/>
          </w:tcPr>
          <w:p w14:paraId="1CFAAB8E" w14:textId="0B32CF18" w:rsidR="00D56A05" w:rsidRPr="00D979E7" w:rsidRDefault="00FA7B1C" w:rsidP="002320B1">
            <w:pPr>
              <w:spacing w:before="120" w:after="0" w:line="240" w:lineRule="auto"/>
              <w:rPr>
                <w:rFonts w:ascii="Arial" w:eastAsia="Times New Roman" w:hAnsi="Arial" w:cs="Arial"/>
                <w:color w:val="000000"/>
                <w:sz w:val="20"/>
                <w:lang w:eastAsia="en-NZ"/>
              </w:rPr>
            </w:pPr>
            <w:r w:rsidRPr="00D979E7">
              <w:rPr>
                <w:rFonts w:ascii="Arial" w:eastAsia="Times New Roman" w:hAnsi="Arial" w:cs="Arial"/>
                <w:color w:val="000000"/>
                <w:sz w:val="20"/>
                <w:lang w:eastAsia="en-NZ"/>
              </w:rPr>
              <w:t xml:space="preserve">Evaluation Sample </w:t>
            </w:r>
            <w:r w:rsidR="00D56A05" w:rsidRPr="00D979E7">
              <w:rPr>
                <w:rFonts w:ascii="Arial" w:eastAsia="Times New Roman" w:hAnsi="Arial" w:cs="Arial"/>
                <w:color w:val="000000"/>
                <w:sz w:val="20"/>
                <w:lang w:eastAsia="en-NZ"/>
              </w:rPr>
              <w:t>Population</w:t>
            </w:r>
          </w:p>
        </w:tc>
        <w:tc>
          <w:tcPr>
            <w:tcW w:w="4975" w:type="dxa"/>
            <w:noWrap/>
            <w:hideMark/>
          </w:tcPr>
          <w:p w14:paraId="57942A65" w14:textId="77777777" w:rsidR="00D56A05" w:rsidRPr="00D979E7" w:rsidRDefault="00D56A05" w:rsidP="002320B1">
            <w:pPr>
              <w:spacing w:before="120" w:after="0" w:line="240" w:lineRule="auto"/>
              <w:jc w:val="right"/>
              <w:rPr>
                <w:rFonts w:ascii="Arial" w:eastAsia="Times New Roman" w:hAnsi="Arial" w:cs="Arial"/>
                <w:color w:val="000000"/>
                <w:sz w:val="20"/>
                <w:lang w:eastAsia="en-NZ"/>
              </w:rPr>
            </w:pPr>
            <w:r w:rsidRPr="00D979E7">
              <w:rPr>
                <w:rFonts w:ascii="Arial" w:eastAsia="Times New Roman" w:hAnsi="Arial" w:cs="Arial"/>
                <w:color w:val="000000"/>
                <w:sz w:val="20"/>
                <w:lang w:eastAsia="en-NZ"/>
              </w:rPr>
              <w:t>1608</w:t>
            </w:r>
          </w:p>
        </w:tc>
      </w:tr>
      <w:tr w:rsidR="00D56A05" w:rsidRPr="00D979E7" w14:paraId="25B16C34" w14:textId="77777777" w:rsidTr="00A55E5D">
        <w:trPr>
          <w:trHeight w:val="300"/>
          <w:jc w:val="right"/>
        </w:trPr>
        <w:tc>
          <w:tcPr>
            <w:tcW w:w="3987" w:type="dxa"/>
            <w:noWrap/>
            <w:hideMark/>
          </w:tcPr>
          <w:p w14:paraId="1A40FF9B" w14:textId="5E496BD6" w:rsidR="00D56A05" w:rsidRPr="00D979E7" w:rsidRDefault="00D56A05" w:rsidP="002320B1">
            <w:pPr>
              <w:spacing w:before="120" w:after="0" w:line="240" w:lineRule="auto"/>
              <w:rPr>
                <w:rFonts w:ascii="Arial" w:eastAsia="Times New Roman" w:hAnsi="Arial" w:cs="Arial"/>
                <w:color w:val="000000"/>
                <w:sz w:val="20"/>
                <w:lang w:eastAsia="en-NZ"/>
              </w:rPr>
            </w:pPr>
            <w:r w:rsidRPr="00D979E7">
              <w:rPr>
                <w:rFonts w:ascii="Arial" w:eastAsia="Times New Roman" w:hAnsi="Arial" w:cs="Arial"/>
                <w:color w:val="000000"/>
                <w:sz w:val="20"/>
                <w:lang w:eastAsia="en-NZ"/>
              </w:rPr>
              <w:t xml:space="preserve">Hospitalisation in 12 months </w:t>
            </w:r>
            <w:r w:rsidRPr="00D979E7">
              <w:rPr>
                <w:rFonts w:ascii="Arial" w:eastAsia="Times New Roman" w:hAnsi="Arial" w:cs="Arial"/>
                <w:i/>
                <w:color w:val="000000"/>
                <w:sz w:val="20"/>
                <w:lang w:eastAsia="en-NZ"/>
              </w:rPr>
              <w:t>before</w:t>
            </w:r>
            <w:r w:rsidRPr="00D979E7">
              <w:rPr>
                <w:rFonts w:ascii="Arial" w:eastAsia="Times New Roman" w:hAnsi="Arial" w:cs="Arial"/>
                <w:color w:val="000000"/>
                <w:sz w:val="20"/>
                <w:lang w:eastAsia="en-NZ"/>
              </w:rPr>
              <w:t xml:space="preserve"> intervention (PAHHE not HSH)</w:t>
            </w:r>
          </w:p>
        </w:tc>
        <w:tc>
          <w:tcPr>
            <w:tcW w:w="4975" w:type="dxa"/>
            <w:noWrap/>
            <w:hideMark/>
          </w:tcPr>
          <w:p w14:paraId="4A9A8A1E" w14:textId="77777777" w:rsidR="00D56A05" w:rsidRPr="00D979E7" w:rsidRDefault="00D56A05" w:rsidP="002320B1">
            <w:pPr>
              <w:spacing w:before="120" w:after="0" w:line="240" w:lineRule="auto"/>
              <w:jc w:val="right"/>
              <w:rPr>
                <w:rFonts w:ascii="Arial" w:eastAsia="Times New Roman" w:hAnsi="Arial" w:cs="Arial"/>
                <w:color w:val="000000"/>
                <w:sz w:val="20"/>
                <w:lang w:eastAsia="en-NZ"/>
              </w:rPr>
            </w:pPr>
            <w:r w:rsidRPr="00D979E7">
              <w:rPr>
                <w:rFonts w:ascii="Arial" w:eastAsia="Times New Roman" w:hAnsi="Arial" w:cs="Arial"/>
                <w:color w:val="000000"/>
                <w:sz w:val="20"/>
                <w:lang w:eastAsia="en-NZ"/>
              </w:rPr>
              <w:t>212</w:t>
            </w:r>
          </w:p>
        </w:tc>
      </w:tr>
      <w:tr w:rsidR="00D56A05" w:rsidRPr="00D979E7" w14:paraId="407A81F5" w14:textId="77777777" w:rsidTr="00A55E5D">
        <w:trPr>
          <w:trHeight w:val="300"/>
          <w:jc w:val="right"/>
        </w:trPr>
        <w:tc>
          <w:tcPr>
            <w:tcW w:w="3987" w:type="dxa"/>
            <w:noWrap/>
            <w:hideMark/>
          </w:tcPr>
          <w:p w14:paraId="2290CF6C" w14:textId="4263A068" w:rsidR="00D56A05" w:rsidRPr="00D979E7" w:rsidRDefault="00D56A05" w:rsidP="002320B1">
            <w:pPr>
              <w:spacing w:before="120" w:after="0" w:line="240" w:lineRule="auto"/>
              <w:rPr>
                <w:rFonts w:ascii="Arial" w:eastAsia="Times New Roman" w:hAnsi="Arial" w:cs="Arial"/>
                <w:color w:val="000000"/>
                <w:sz w:val="20"/>
                <w:lang w:eastAsia="en-NZ"/>
              </w:rPr>
            </w:pPr>
            <w:r w:rsidRPr="00D979E7">
              <w:rPr>
                <w:rFonts w:ascii="Arial" w:eastAsia="Times New Roman" w:hAnsi="Arial" w:cs="Arial"/>
                <w:color w:val="000000"/>
                <w:sz w:val="20"/>
                <w:lang w:eastAsia="en-NZ"/>
              </w:rPr>
              <w:t xml:space="preserve">Hospitalisation in 12 months </w:t>
            </w:r>
            <w:r w:rsidRPr="00D979E7">
              <w:rPr>
                <w:rFonts w:ascii="Arial" w:eastAsia="Times New Roman" w:hAnsi="Arial" w:cs="Arial"/>
                <w:i/>
                <w:color w:val="000000"/>
                <w:sz w:val="20"/>
                <w:lang w:eastAsia="en-NZ"/>
              </w:rPr>
              <w:t>after</w:t>
            </w:r>
            <w:r w:rsidRPr="00D979E7">
              <w:rPr>
                <w:rFonts w:ascii="Arial" w:eastAsia="Times New Roman" w:hAnsi="Arial" w:cs="Arial"/>
                <w:color w:val="000000"/>
                <w:sz w:val="20"/>
                <w:lang w:eastAsia="en-NZ"/>
              </w:rPr>
              <w:t xml:space="preserve"> intervention (PAHHE not HSH)</w:t>
            </w:r>
          </w:p>
        </w:tc>
        <w:tc>
          <w:tcPr>
            <w:tcW w:w="4975" w:type="dxa"/>
            <w:noWrap/>
            <w:hideMark/>
          </w:tcPr>
          <w:p w14:paraId="2872357B" w14:textId="77777777" w:rsidR="00D56A05" w:rsidRPr="00D979E7" w:rsidRDefault="00D56A05" w:rsidP="002320B1">
            <w:pPr>
              <w:spacing w:before="120" w:after="0" w:line="240" w:lineRule="auto"/>
              <w:jc w:val="right"/>
              <w:rPr>
                <w:rFonts w:ascii="Arial" w:eastAsia="Times New Roman" w:hAnsi="Arial" w:cs="Arial"/>
                <w:color w:val="000000"/>
                <w:sz w:val="20"/>
                <w:lang w:eastAsia="en-NZ"/>
              </w:rPr>
            </w:pPr>
            <w:r w:rsidRPr="00D979E7">
              <w:rPr>
                <w:rFonts w:ascii="Arial" w:eastAsia="Times New Roman" w:hAnsi="Arial" w:cs="Arial"/>
                <w:color w:val="000000"/>
                <w:sz w:val="20"/>
                <w:lang w:eastAsia="en-NZ"/>
              </w:rPr>
              <w:t>130</w:t>
            </w:r>
          </w:p>
        </w:tc>
      </w:tr>
      <w:tr w:rsidR="00D56A05" w:rsidRPr="00D979E7" w14:paraId="2858F6BD" w14:textId="77777777" w:rsidTr="00A55E5D">
        <w:trPr>
          <w:trHeight w:val="300"/>
          <w:jc w:val="right"/>
        </w:trPr>
        <w:tc>
          <w:tcPr>
            <w:tcW w:w="3987" w:type="dxa"/>
            <w:noWrap/>
            <w:hideMark/>
          </w:tcPr>
          <w:p w14:paraId="36D8586A" w14:textId="39C69DA4" w:rsidR="00D56A05" w:rsidRPr="00D979E7" w:rsidRDefault="003429F3" w:rsidP="002320B1">
            <w:pPr>
              <w:spacing w:before="120" w:after="0" w:line="240" w:lineRule="auto"/>
              <w:rPr>
                <w:rFonts w:ascii="Arial" w:eastAsia="Times New Roman" w:hAnsi="Arial" w:cs="Arial"/>
                <w:color w:val="000000"/>
                <w:sz w:val="20"/>
                <w:lang w:eastAsia="en-NZ"/>
              </w:rPr>
            </w:pPr>
            <w:r w:rsidRPr="00D979E7">
              <w:rPr>
                <w:rFonts w:ascii="Arial" w:eastAsia="Times New Roman" w:hAnsi="Arial" w:cs="Arial"/>
                <w:color w:val="000000"/>
                <w:sz w:val="20"/>
                <w:lang w:eastAsia="en-NZ"/>
              </w:rPr>
              <w:t>Difference (</w:t>
            </w:r>
            <w:r w:rsidR="00081A80" w:rsidRPr="00D979E7">
              <w:rPr>
                <w:rFonts w:ascii="Arial" w:eastAsia="Times New Roman" w:hAnsi="Arial" w:cs="Arial"/>
                <w:color w:val="000000"/>
                <w:sz w:val="20"/>
                <w:lang w:eastAsia="en-NZ"/>
              </w:rPr>
              <w:t>Before-After</w:t>
            </w:r>
            <w:r w:rsidRPr="00D979E7">
              <w:rPr>
                <w:rFonts w:ascii="Arial" w:eastAsia="Times New Roman" w:hAnsi="Arial" w:cs="Arial"/>
                <w:color w:val="000000"/>
                <w:sz w:val="20"/>
                <w:lang w:eastAsia="en-NZ"/>
              </w:rPr>
              <w:t>)</w:t>
            </w:r>
            <w:r w:rsidR="00D56A05" w:rsidRPr="00D979E7">
              <w:rPr>
                <w:rFonts w:ascii="Arial" w:eastAsia="Times New Roman" w:hAnsi="Arial" w:cs="Arial"/>
                <w:color w:val="000000"/>
                <w:sz w:val="20"/>
                <w:lang w:eastAsia="en-NZ"/>
              </w:rPr>
              <w:t xml:space="preserve"> </w:t>
            </w:r>
            <w:r w:rsidR="00592D84" w:rsidRPr="00D979E7">
              <w:rPr>
                <w:rFonts w:ascii="Arial" w:eastAsia="Times New Roman" w:hAnsi="Arial" w:cs="Arial"/>
                <w:color w:val="000000"/>
                <w:sz w:val="20"/>
                <w:lang w:eastAsia="en-NZ"/>
              </w:rPr>
              <w:t>in hospitalisations</w:t>
            </w:r>
            <w:r w:rsidR="00E622BD" w:rsidRPr="00D979E7">
              <w:rPr>
                <w:rFonts w:ascii="Arial" w:eastAsia="Times New Roman" w:hAnsi="Arial" w:cs="Arial"/>
                <w:color w:val="000000"/>
                <w:sz w:val="20"/>
                <w:lang w:eastAsia="en-NZ"/>
              </w:rPr>
              <w:t xml:space="preserve">, </w:t>
            </w:r>
            <w:r w:rsidR="00D56A05" w:rsidRPr="00D979E7">
              <w:rPr>
                <w:rFonts w:ascii="Arial" w:eastAsia="Times New Roman" w:hAnsi="Arial" w:cs="Arial"/>
                <w:i/>
                <w:color w:val="000000"/>
                <w:sz w:val="20"/>
                <w:lang w:eastAsia="en-NZ"/>
              </w:rPr>
              <w:t>not adjusted</w:t>
            </w:r>
            <w:r w:rsidR="00E622BD" w:rsidRPr="00D979E7">
              <w:rPr>
                <w:rFonts w:ascii="Arial" w:eastAsia="Times New Roman" w:hAnsi="Arial" w:cs="Arial"/>
                <w:i/>
                <w:color w:val="000000"/>
                <w:sz w:val="20"/>
                <w:lang w:eastAsia="en-NZ"/>
              </w:rPr>
              <w:t xml:space="preserve"> for age</w:t>
            </w:r>
          </w:p>
        </w:tc>
        <w:tc>
          <w:tcPr>
            <w:tcW w:w="4975" w:type="dxa"/>
            <w:noWrap/>
            <w:hideMark/>
          </w:tcPr>
          <w:p w14:paraId="24C4AE21" w14:textId="77777777" w:rsidR="00D56A05" w:rsidRPr="00D979E7" w:rsidRDefault="00D56A05" w:rsidP="002320B1">
            <w:pPr>
              <w:spacing w:before="120" w:after="0" w:line="240" w:lineRule="auto"/>
              <w:jc w:val="right"/>
              <w:rPr>
                <w:rFonts w:ascii="Arial" w:eastAsia="Times New Roman" w:hAnsi="Arial" w:cs="Arial"/>
                <w:color w:val="000000"/>
                <w:sz w:val="20"/>
                <w:lang w:eastAsia="en-NZ"/>
              </w:rPr>
            </w:pPr>
            <w:r w:rsidRPr="00D979E7">
              <w:rPr>
                <w:rFonts w:ascii="Arial" w:eastAsia="Times New Roman" w:hAnsi="Arial" w:cs="Arial"/>
                <w:color w:val="000000"/>
                <w:sz w:val="20"/>
                <w:lang w:eastAsia="en-NZ"/>
              </w:rPr>
              <w:t>82</w:t>
            </w:r>
          </w:p>
        </w:tc>
      </w:tr>
      <w:tr w:rsidR="00D56A05" w:rsidRPr="00D979E7" w14:paraId="6A2EE5E4" w14:textId="77777777" w:rsidTr="00A55E5D">
        <w:trPr>
          <w:trHeight w:val="300"/>
          <w:jc w:val="right"/>
        </w:trPr>
        <w:tc>
          <w:tcPr>
            <w:tcW w:w="3987" w:type="dxa"/>
            <w:noWrap/>
            <w:hideMark/>
          </w:tcPr>
          <w:p w14:paraId="23AAEEC0" w14:textId="139A74D9" w:rsidR="00D56A05" w:rsidRPr="00D979E7" w:rsidRDefault="003429F3" w:rsidP="002320B1">
            <w:pPr>
              <w:spacing w:before="120" w:after="0" w:line="240" w:lineRule="auto"/>
              <w:rPr>
                <w:rFonts w:ascii="Arial" w:eastAsia="Times New Roman" w:hAnsi="Arial" w:cs="Arial"/>
                <w:color w:val="000000"/>
                <w:sz w:val="20"/>
                <w:lang w:eastAsia="en-NZ"/>
              </w:rPr>
            </w:pPr>
            <w:r w:rsidRPr="00D979E7">
              <w:rPr>
                <w:rFonts w:ascii="Arial" w:eastAsia="Times New Roman" w:hAnsi="Arial" w:cs="Arial"/>
                <w:color w:val="000000"/>
                <w:sz w:val="20"/>
                <w:lang w:eastAsia="en-NZ"/>
              </w:rPr>
              <w:t>Difference (</w:t>
            </w:r>
            <w:r w:rsidR="00081A80" w:rsidRPr="00D979E7">
              <w:rPr>
                <w:rFonts w:ascii="Arial" w:eastAsia="Times New Roman" w:hAnsi="Arial" w:cs="Arial"/>
                <w:color w:val="000000"/>
                <w:sz w:val="20"/>
                <w:lang w:eastAsia="en-NZ"/>
              </w:rPr>
              <w:t>Before-After</w:t>
            </w:r>
            <w:r w:rsidRPr="00D979E7">
              <w:rPr>
                <w:rFonts w:ascii="Arial" w:eastAsia="Times New Roman" w:hAnsi="Arial" w:cs="Arial"/>
                <w:color w:val="000000"/>
                <w:sz w:val="20"/>
                <w:lang w:eastAsia="en-NZ"/>
              </w:rPr>
              <w:t>)</w:t>
            </w:r>
            <w:r w:rsidR="00592D84" w:rsidRPr="00D979E7">
              <w:rPr>
                <w:rFonts w:ascii="Arial" w:eastAsia="Times New Roman" w:hAnsi="Arial" w:cs="Arial"/>
                <w:color w:val="000000"/>
                <w:sz w:val="20"/>
                <w:lang w:eastAsia="en-NZ"/>
              </w:rPr>
              <w:t xml:space="preserve"> in hospitalisations as a</w:t>
            </w:r>
            <w:r w:rsidR="00D56A05" w:rsidRPr="00D979E7">
              <w:rPr>
                <w:rFonts w:ascii="Arial" w:eastAsia="Times New Roman" w:hAnsi="Arial" w:cs="Arial"/>
                <w:color w:val="000000"/>
                <w:sz w:val="20"/>
                <w:lang w:eastAsia="en-NZ"/>
              </w:rPr>
              <w:t xml:space="preserve"> rate</w:t>
            </w:r>
            <w:r w:rsidR="00E622BD" w:rsidRPr="00D979E7">
              <w:rPr>
                <w:rFonts w:ascii="Arial" w:eastAsia="Times New Roman" w:hAnsi="Arial" w:cs="Arial"/>
                <w:color w:val="000000"/>
                <w:sz w:val="20"/>
                <w:lang w:eastAsia="en-NZ"/>
              </w:rPr>
              <w:t xml:space="preserve">, </w:t>
            </w:r>
            <w:r w:rsidR="00D56A05" w:rsidRPr="00D979E7">
              <w:rPr>
                <w:rFonts w:ascii="Arial" w:eastAsia="Times New Roman" w:hAnsi="Arial" w:cs="Arial"/>
                <w:i/>
                <w:color w:val="000000"/>
                <w:sz w:val="20"/>
                <w:lang w:eastAsia="en-NZ"/>
              </w:rPr>
              <w:t>not adjusted</w:t>
            </w:r>
            <w:r w:rsidR="00E622BD" w:rsidRPr="00D979E7">
              <w:rPr>
                <w:rFonts w:ascii="Arial" w:eastAsia="Times New Roman" w:hAnsi="Arial" w:cs="Arial"/>
                <w:i/>
                <w:color w:val="000000"/>
                <w:sz w:val="20"/>
                <w:lang w:eastAsia="en-NZ"/>
              </w:rPr>
              <w:t xml:space="preserve"> for age</w:t>
            </w:r>
          </w:p>
        </w:tc>
        <w:tc>
          <w:tcPr>
            <w:tcW w:w="4975" w:type="dxa"/>
            <w:noWrap/>
            <w:hideMark/>
          </w:tcPr>
          <w:p w14:paraId="6F960AF2" w14:textId="77777777" w:rsidR="00D56A05" w:rsidRPr="00D979E7" w:rsidRDefault="00D56A05" w:rsidP="002320B1">
            <w:pPr>
              <w:spacing w:before="120" w:after="0" w:line="240" w:lineRule="auto"/>
              <w:jc w:val="right"/>
              <w:rPr>
                <w:rFonts w:ascii="Arial" w:eastAsia="Times New Roman" w:hAnsi="Arial" w:cs="Arial"/>
                <w:color w:val="000000"/>
                <w:sz w:val="20"/>
                <w:lang w:eastAsia="en-NZ"/>
              </w:rPr>
            </w:pPr>
            <w:r w:rsidRPr="00D979E7">
              <w:rPr>
                <w:rFonts w:ascii="Arial" w:eastAsia="Times New Roman" w:hAnsi="Arial" w:cs="Arial"/>
                <w:color w:val="000000"/>
                <w:sz w:val="20"/>
                <w:lang w:eastAsia="en-NZ"/>
              </w:rPr>
              <w:t>-0.051</w:t>
            </w:r>
          </w:p>
        </w:tc>
      </w:tr>
      <w:tr w:rsidR="008D57C2" w:rsidRPr="00D979E7" w14:paraId="7B1AC55F" w14:textId="77777777" w:rsidTr="0036560B">
        <w:trPr>
          <w:trHeight w:val="300"/>
          <w:jc w:val="right"/>
        </w:trPr>
        <w:tc>
          <w:tcPr>
            <w:tcW w:w="8962" w:type="dxa"/>
            <w:gridSpan w:val="2"/>
            <w:noWrap/>
          </w:tcPr>
          <w:p w14:paraId="143973C3" w14:textId="6683CAC7" w:rsidR="008D57C2" w:rsidRPr="00D979E7" w:rsidRDefault="00D21DFF" w:rsidP="002320B1">
            <w:pPr>
              <w:spacing w:before="120" w:after="0" w:line="240" w:lineRule="auto"/>
              <w:rPr>
                <w:rFonts w:ascii="Arial" w:eastAsia="Times New Roman" w:hAnsi="Arial" w:cs="Arial"/>
                <w:color w:val="000000"/>
                <w:sz w:val="20"/>
                <w:lang w:eastAsia="en-NZ"/>
              </w:rPr>
            </w:pPr>
            <w:r w:rsidRPr="00D979E7">
              <w:rPr>
                <w:rFonts w:ascii="Arial" w:eastAsia="Times New Roman" w:hAnsi="Arial" w:cs="Arial"/>
                <w:color w:val="000000"/>
                <w:sz w:val="20"/>
                <w:lang w:eastAsia="en-NZ"/>
              </w:rPr>
              <w:t xml:space="preserve">Adjusting for age </w:t>
            </w:r>
          </w:p>
        </w:tc>
      </w:tr>
      <w:tr w:rsidR="00D56A05" w:rsidRPr="00D979E7" w14:paraId="15B43995" w14:textId="77777777" w:rsidTr="00A55E5D">
        <w:trPr>
          <w:trHeight w:val="300"/>
          <w:jc w:val="right"/>
        </w:trPr>
        <w:tc>
          <w:tcPr>
            <w:tcW w:w="3987" w:type="dxa"/>
            <w:noWrap/>
            <w:hideMark/>
          </w:tcPr>
          <w:p w14:paraId="24363EF6" w14:textId="66B107CA" w:rsidR="00D56A05" w:rsidRPr="00D979E7" w:rsidRDefault="00592D84" w:rsidP="002320B1">
            <w:pPr>
              <w:spacing w:before="120" w:after="0" w:line="240" w:lineRule="auto"/>
              <w:rPr>
                <w:rFonts w:ascii="Arial" w:eastAsia="Times New Roman" w:hAnsi="Arial" w:cs="Arial"/>
                <w:color w:val="000000"/>
                <w:sz w:val="20"/>
                <w:lang w:eastAsia="en-NZ"/>
              </w:rPr>
            </w:pPr>
            <w:r w:rsidRPr="00D979E7">
              <w:rPr>
                <w:rFonts w:ascii="Arial" w:eastAsia="Times New Roman" w:hAnsi="Arial" w:cs="Arial"/>
                <w:color w:val="000000"/>
                <w:sz w:val="20"/>
                <w:lang w:eastAsia="en-NZ"/>
              </w:rPr>
              <w:t>Average c</w:t>
            </w:r>
            <w:r w:rsidR="00D56A05" w:rsidRPr="00D979E7">
              <w:rPr>
                <w:rFonts w:ascii="Arial" w:eastAsia="Times New Roman" w:hAnsi="Arial" w:cs="Arial"/>
                <w:color w:val="000000"/>
                <w:sz w:val="20"/>
                <w:lang w:eastAsia="en-NZ"/>
              </w:rPr>
              <w:t>hange in hospitalisation</w:t>
            </w:r>
            <w:r w:rsidRPr="00D979E7">
              <w:rPr>
                <w:rFonts w:ascii="Arial" w:eastAsia="Times New Roman" w:hAnsi="Arial" w:cs="Arial"/>
                <w:color w:val="000000"/>
                <w:sz w:val="20"/>
                <w:lang w:eastAsia="en-NZ"/>
              </w:rPr>
              <w:t>s</w:t>
            </w:r>
            <w:r w:rsidR="00D56A05" w:rsidRPr="00D979E7">
              <w:rPr>
                <w:rFonts w:ascii="Arial" w:eastAsia="Times New Roman" w:hAnsi="Arial" w:cs="Arial"/>
                <w:color w:val="000000"/>
                <w:sz w:val="20"/>
                <w:lang w:eastAsia="en-NZ"/>
              </w:rPr>
              <w:t xml:space="preserve"> (PAHHE not HSH) per year age</w:t>
            </w:r>
          </w:p>
        </w:tc>
        <w:tc>
          <w:tcPr>
            <w:tcW w:w="4975" w:type="dxa"/>
            <w:noWrap/>
            <w:hideMark/>
          </w:tcPr>
          <w:p w14:paraId="501A22C2" w14:textId="503DEA0D" w:rsidR="00D56A05" w:rsidRPr="00D979E7" w:rsidRDefault="00D56A05" w:rsidP="002320B1">
            <w:pPr>
              <w:spacing w:before="120" w:after="0" w:line="240" w:lineRule="auto"/>
              <w:jc w:val="right"/>
              <w:rPr>
                <w:rFonts w:ascii="Arial" w:eastAsia="Times New Roman" w:hAnsi="Arial" w:cs="Arial"/>
                <w:color w:val="000000"/>
                <w:sz w:val="20"/>
                <w:lang w:eastAsia="en-NZ"/>
              </w:rPr>
            </w:pPr>
            <w:r w:rsidRPr="00D979E7">
              <w:rPr>
                <w:rFonts w:ascii="Arial" w:eastAsia="Times New Roman" w:hAnsi="Arial" w:cs="Arial"/>
                <w:color w:val="000000"/>
                <w:sz w:val="20"/>
                <w:lang w:eastAsia="en-NZ"/>
              </w:rPr>
              <w:t>-0.00</w:t>
            </w:r>
            <w:r w:rsidR="00B6729B" w:rsidRPr="00D979E7">
              <w:rPr>
                <w:rFonts w:ascii="Arial" w:eastAsia="Times New Roman" w:hAnsi="Arial" w:cs="Arial"/>
                <w:color w:val="000000"/>
                <w:sz w:val="20"/>
                <w:lang w:eastAsia="en-NZ"/>
              </w:rPr>
              <w:t>9</w:t>
            </w:r>
          </w:p>
        </w:tc>
      </w:tr>
      <w:tr w:rsidR="00D56A05" w:rsidRPr="00D979E7" w14:paraId="29B7A0B7" w14:textId="77777777" w:rsidTr="00A55E5D">
        <w:trPr>
          <w:trHeight w:val="300"/>
          <w:jc w:val="right"/>
        </w:trPr>
        <w:tc>
          <w:tcPr>
            <w:tcW w:w="3987" w:type="dxa"/>
            <w:noWrap/>
            <w:hideMark/>
          </w:tcPr>
          <w:p w14:paraId="3E11B915" w14:textId="583B7FAC" w:rsidR="00D56A05" w:rsidRPr="00D979E7" w:rsidRDefault="00204041" w:rsidP="002320B1">
            <w:pPr>
              <w:spacing w:before="120" w:after="0" w:line="240" w:lineRule="auto"/>
              <w:rPr>
                <w:rFonts w:ascii="Arial" w:eastAsia="Times New Roman" w:hAnsi="Arial" w:cs="Arial"/>
                <w:color w:val="000000"/>
                <w:sz w:val="20"/>
                <w:lang w:eastAsia="en-NZ"/>
              </w:rPr>
            </w:pPr>
            <w:r w:rsidRPr="00D979E7">
              <w:rPr>
                <w:rFonts w:ascii="Arial" w:eastAsia="Times New Roman" w:hAnsi="Arial" w:cs="Arial"/>
                <w:color w:val="000000"/>
                <w:sz w:val="20"/>
                <w:lang w:eastAsia="en-NZ"/>
              </w:rPr>
              <w:t>Average d</w:t>
            </w:r>
            <w:r w:rsidR="00D56A05" w:rsidRPr="00D979E7">
              <w:rPr>
                <w:rFonts w:ascii="Arial" w:eastAsia="Times New Roman" w:hAnsi="Arial" w:cs="Arial"/>
                <w:color w:val="000000"/>
                <w:sz w:val="20"/>
                <w:lang w:eastAsia="en-NZ"/>
              </w:rPr>
              <w:t>ifference in age</w:t>
            </w:r>
            <w:r w:rsidR="003336BC" w:rsidRPr="00D979E7">
              <w:rPr>
                <w:rFonts w:ascii="Arial" w:eastAsia="Times New Roman" w:hAnsi="Arial" w:cs="Arial"/>
                <w:color w:val="000000"/>
                <w:sz w:val="20"/>
                <w:lang w:eastAsia="en-NZ"/>
              </w:rPr>
              <w:t xml:space="preserve"> </w:t>
            </w:r>
            <w:r w:rsidR="00C900B4" w:rsidRPr="00D979E7">
              <w:rPr>
                <w:rFonts w:ascii="Arial" w:eastAsia="Times New Roman" w:hAnsi="Arial" w:cs="Arial"/>
                <w:color w:val="000000"/>
                <w:sz w:val="20"/>
                <w:lang w:eastAsia="en-NZ"/>
              </w:rPr>
              <w:t xml:space="preserve">between start </w:t>
            </w:r>
            <w:r w:rsidR="00081A80" w:rsidRPr="00D979E7">
              <w:rPr>
                <w:rFonts w:ascii="Arial" w:eastAsia="Times New Roman" w:hAnsi="Arial" w:cs="Arial"/>
                <w:color w:val="000000"/>
                <w:sz w:val="20"/>
                <w:lang w:eastAsia="en-NZ"/>
              </w:rPr>
              <w:t xml:space="preserve">and end </w:t>
            </w:r>
            <w:r w:rsidR="00C900B4" w:rsidRPr="00D979E7">
              <w:rPr>
                <w:rFonts w:ascii="Arial" w:eastAsia="Times New Roman" w:hAnsi="Arial" w:cs="Arial"/>
                <w:color w:val="000000"/>
                <w:sz w:val="20"/>
                <w:lang w:eastAsia="en-NZ"/>
              </w:rPr>
              <w:t>of observation periods</w:t>
            </w:r>
          </w:p>
        </w:tc>
        <w:tc>
          <w:tcPr>
            <w:tcW w:w="4975" w:type="dxa"/>
            <w:noWrap/>
            <w:hideMark/>
          </w:tcPr>
          <w:p w14:paraId="48F63E0F" w14:textId="4E43301B" w:rsidR="00D56A05" w:rsidRPr="00D979E7" w:rsidRDefault="00D56A05" w:rsidP="002320B1">
            <w:pPr>
              <w:spacing w:before="120" w:after="0" w:line="240" w:lineRule="auto"/>
              <w:jc w:val="right"/>
              <w:rPr>
                <w:rFonts w:ascii="Arial" w:eastAsia="Times New Roman" w:hAnsi="Arial" w:cs="Arial"/>
                <w:color w:val="000000"/>
                <w:sz w:val="20"/>
                <w:lang w:eastAsia="en-NZ"/>
              </w:rPr>
            </w:pPr>
            <w:r w:rsidRPr="00D979E7">
              <w:rPr>
                <w:rFonts w:ascii="Arial" w:eastAsia="Times New Roman" w:hAnsi="Arial" w:cs="Arial"/>
                <w:color w:val="000000"/>
                <w:sz w:val="20"/>
                <w:lang w:eastAsia="en-NZ"/>
              </w:rPr>
              <w:t>1.</w:t>
            </w:r>
            <w:r w:rsidR="00B6729B" w:rsidRPr="00D979E7">
              <w:rPr>
                <w:rFonts w:ascii="Arial" w:eastAsia="Times New Roman" w:hAnsi="Arial" w:cs="Arial"/>
                <w:color w:val="000000"/>
                <w:sz w:val="20"/>
                <w:lang w:eastAsia="en-NZ"/>
              </w:rPr>
              <w:t>40</w:t>
            </w:r>
          </w:p>
        </w:tc>
      </w:tr>
      <w:tr w:rsidR="00D56A05" w:rsidRPr="00D979E7" w14:paraId="1BDD1BE7" w14:textId="77777777" w:rsidTr="00A55E5D">
        <w:trPr>
          <w:trHeight w:val="300"/>
          <w:jc w:val="right"/>
        </w:trPr>
        <w:tc>
          <w:tcPr>
            <w:tcW w:w="3987" w:type="dxa"/>
            <w:noWrap/>
            <w:hideMark/>
          </w:tcPr>
          <w:p w14:paraId="049D491A" w14:textId="0A03E741" w:rsidR="00D56A05" w:rsidRPr="00D979E7" w:rsidRDefault="00D56A05" w:rsidP="002320B1">
            <w:pPr>
              <w:spacing w:before="120" w:after="0" w:line="240" w:lineRule="auto"/>
              <w:rPr>
                <w:rFonts w:ascii="Arial" w:eastAsia="Times New Roman" w:hAnsi="Arial" w:cs="Arial"/>
                <w:color w:val="000000"/>
                <w:sz w:val="20"/>
                <w:lang w:eastAsia="en-NZ"/>
              </w:rPr>
            </w:pPr>
            <w:r w:rsidRPr="00D979E7">
              <w:rPr>
                <w:rFonts w:ascii="Arial" w:eastAsia="Times New Roman" w:hAnsi="Arial" w:cs="Arial"/>
                <w:color w:val="000000"/>
                <w:sz w:val="20"/>
                <w:lang w:eastAsia="en-NZ"/>
              </w:rPr>
              <w:t>Rate difference due to age</w:t>
            </w:r>
          </w:p>
        </w:tc>
        <w:tc>
          <w:tcPr>
            <w:tcW w:w="4975" w:type="dxa"/>
            <w:noWrap/>
            <w:hideMark/>
          </w:tcPr>
          <w:p w14:paraId="210A1BE6" w14:textId="55979295" w:rsidR="00D56A05" w:rsidRPr="00D979E7" w:rsidRDefault="00D56A05" w:rsidP="002320B1">
            <w:pPr>
              <w:spacing w:before="120" w:after="0" w:line="240" w:lineRule="auto"/>
              <w:jc w:val="right"/>
              <w:rPr>
                <w:rFonts w:ascii="Arial" w:eastAsia="Times New Roman" w:hAnsi="Arial" w:cs="Arial"/>
                <w:color w:val="000000"/>
                <w:sz w:val="20"/>
                <w:lang w:eastAsia="en-NZ"/>
              </w:rPr>
            </w:pPr>
            <w:r w:rsidRPr="00D979E7">
              <w:rPr>
                <w:rFonts w:ascii="Arial" w:eastAsia="Times New Roman" w:hAnsi="Arial" w:cs="Arial"/>
                <w:color w:val="000000"/>
                <w:sz w:val="20"/>
                <w:lang w:eastAsia="en-NZ"/>
              </w:rPr>
              <w:t>-0.01</w:t>
            </w:r>
            <w:r w:rsidR="00B6729B" w:rsidRPr="00D979E7">
              <w:rPr>
                <w:rFonts w:ascii="Arial" w:eastAsia="Times New Roman" w:hAnsi="Arial" w:cs="Arial"/>
                <w:color w:val="000000"/>
                <w:sz w:val="20"/>
                <w:lang w:eastAsia="en-NZ"/>
              </w:rPr>
              <w:t>3</w:t>
            </w:r>
          </w:p>
        </w:tc>
      </w:tr>
      <w:tr w:rsidR="00D56A05" w:rsidRPr="00D979E7" w14:paraId="4C29F968" w14:textId="77777777" w:rsidTr="00A55E5D">
        <w:trPr>
          <w:trHeight w:val="300"/>
          <w:jc w:val="right"/>
        </w:trPr>
        <w:tc>
          <w:tcPr>
            <w:tcW w:w="3987" w:type="dxa"/>
            <w:noWrap/>
            <w:hideMark/>
          </w:tcPr>
          <w:p w14:paraId="0C841C20" w14:textId="3C709FBC" w:rsidR="00D56A05" w:rsidRPr="00D979E7" w:rsidRDefault="00885BBB" w:rsidP="002320B1">
            <w:pPr>
              <w:spacing w:before="120" w:after="0" w:line="240" w:lineRule="auto"/>
              <w:rPr>
                <w:rFonts w:ascii="Arial" w:eastAsia="Times New Roman" w:hAnsi="Arial" w:cs="Arial"/>
                <w:color w:val="000000"/>
                <w:sz w:val="20"/>
                <w:lang w:eastAsia="en-NZ"/>
              </w:rPr>
            </w:pPr>
            <w:r w:rsidRPr="00D979E7">
              <w:rPr>
                <w:rFonts w:ascii="Arial" w:eastAsia="Times New Roman" w:hAnsi="Arial" w:cs="Arial"/>
                <w:color w:val="000000"/>
                <w:sz w:val="20"/>
                <w:lang w:eastAsia="en-NZ"/>
              </w:rPr>
              <w:t xml:space="preserve"># of </w:t>
            </w:r>
            <w:r w:rsidR="00FA3755" w:rsidRPr="00D979E7">
              <w:rPr>
                <w:rFonts w:ascii="Arial" w:eastAsia="Times New Roman" w:hAnsi="Arial" w:cs="Arial"/>
                <w:color w:val="000000"/>
                <w:sz w:val="20"/>
                <w:lang w:eastAsia="en-NZ"/>
              </w:rPr>
              <w:t>decreased</w:t>
            </w:r>
            <w:r w:rsidR="00C900B4" w:rsidRPr="00D979E7">
              <w:rPr>
                <w:rFonts w:ascii="Arial" w:eastAsia="Times New Roman" w:hAnsi="Arial" w:cs="Arial"/>
                <w:color w:val="000000"/>
                <w:sz w:val="20"/>
                <w:lang w:eastAsia="en-NZ"/>
              </w:rPr>
              <w:t xml:space="preserve"> h</w:t>
            </w:r>
            <w:r w:rsidRPr="00D979E7">
              <w:rPr>
                <w:rFonts w:ascii="Arial" w:eastAsia="Times New Roman" w:hAnsi="Arial" w:cs="Arial"/>
                <w:color w:val="000000"/>
                <w:sz w:val="20"/>
                <w:lang w:eastAsia="en-NZ"/>
              </w:rPr>
              <w:t>ospitalisations due to age</w:t>
            </w:r>
          </w:p>
        </w:tc>
        <w:tc>
          <w:tcPr>
            <w:tcW w:w="4975" w:type="dxa"/>
            <w:noWrap/>
            <w:hideMark/>
          </w:tcPr>
          <w:p w14:paraId="4337BBBC" w14:textId="41907AEA" w:rsidR="00D56A05" w:rsidRPr="00D979E7" w:rsidRDefault="00D56A05" w:rsidP="002320B1">
            <w:pPr>
              <w:spacing w:before="120" w:after="0" w:line="240" w:lineRule="auto"/>
              <w:jc w:val="right"/>
              <w:rPr>
                <w:rFonts w:ascii="Arial" w:eastAsia="Times New Roman" w:hAnsi="Arial" w:cs="Arial"/>
                <w:color w:val="000000"/>
                <w:sz w:val="20"/>
                <w:lang w:eastAsia="en-NZ"/>
              </w:rPr>
            </w:pPr>
            <w:r w:rsidRPr="00D979E7">
              <w:rPr>
                <w:rFonts w:ascii="Arial" w:eastAsia="Times New Roman" w:hAnsi="Arial" w:cs="Arial"/>
                <w:color w:val="000000"/>
                <w:sz w:val="20"/>
                <w:lang w:eastAsia="en-NZ"/>
              </w:rPr>
              <w:t>20.2</w:t>
            </w:r>
            <w:r w:rsidR="00B6729B" w:rsidRPr="00D979E7">
              <w:rPr>
                <w:rFonts w:ascii="Arial" w:eastAsia="Times New Roman" w:hAnsi="Arial" w:cs="Arial"/>
                <w:color w:val="000000"/>
                <w:sz w:val="20"/>
                <w:lang w:eastAsia="en-NZ"/>
              </w:rPr>
              <w:t>2</w:t>
            </w:r>
          </w:p>
        </w:tc>
      </w:tr>
      <w:tr w:rsidR="00D56A05" w:rsidRPr="00D979E7" w14:paraId="065938D9" w14:textId="77777777" w:rsidTr="00A55E5D">
        <w:trPr>
          <w:trHeight w:val="300"/>
          <w:jc w:val="right"/>
        </w:trPr>
        <w:tc>
          <w:tcPr>
            <w:tcW w:w="3987" w:type="dxa"/>
            <w:noWrap/>
            <w:hideMark/>
          </w:tcPr>
          <w:p w14:paraId="0151EA05" w14:textId="3B34261E" w:rsidR="00D56A05" w:rsidRPr="00D979E7" w:rsidRDefault="00256B84" w:rsidP="002320B1">
            <w:pPr>
              <w:spacing w:before="120" w:after="0" w:line="240" w:lineRule="auto"/>
              <w:rPr>
                <w:rFonts w:ascii="Arial" w:eastAsia="Times New Roman" w:hAnsi="Arial" w:cs="Arial"/>
                <w:color w:val="000000"/>
                <w:sz w:val="20"/>
                <w:lang w:eastAsia="en-NZ"/>
              </w:rPr>
            </w:pPr>
            <w:r w:rsidRPr="00D979E7">
              <w:rPr>
                <w:rFonts w:ascii="Arial" w:eastAsia="Times New Roman" w:hAnsi="Arial" w:cs="Arial"/>
                <w:color w:val="000000"/>
                <w:sz w:val="20"/>
                <w:lang w:eastAsia="en-NZ"/>
              </w:rPr>
              <w:t>‘</w:t>
            </w:r>
            <w:r w:rsidR="00885BBB" w:rsidRPr="00D979E7">
              <w:rPr>
                <w:rFonts w:ascii="Arial" w:eastAsia="Times New Roman" w:hAnsi="Arial" w:cs="Arial"/>
                <w:color w:val="000000"/>
                <w:sz w:val="20"/>
                <w:lang w:eastAsia="en-NZ"/>
              </w:rPr>
              <w:t>Before</w:t>
            </w:r>
            <w:r w:rsidRPr="00D979E7">
              <w:rPr>
                <w:rFonts w:ascii="Arial" w:eastAsia="Times New Roman" w:hAnsi="Arial" w:cs="Arial"/>
                <w:color w:val="000000"/>
                <w:sz w:val="20"/>
                <w:lang w:eastAsia="en-NZ"/>
              </w:rPr>
              <w:t>’</w:t>
            </w:r>
            <w:r w:rsidR="00885BBB" w:rsidRPr="00D979E7">
              <w:rPr>
                <w:rFonts w:ascii="Arial" w:eastAsia="Times New Roman" w:hAnsi="Arial" w:cs="Arial"/>
                <w:color w:val="000000"/>
                <w:sz w:val="20"/>
                <w:lang w:eastAsia="en-NZ"/>
              </w:rPr>
              <w:t xml:space="preserve"> hospitalisation</w:t>
            </w:r>
            <w:r w:rsidR="00C900B4" w:rsidRPr="00D979E7">
              <w:rPr>
                <w:rFonts w:ascii="Arial" w:eastAsia="Times New Roman" w:hAnsi="Arial" w:cs="Arial"/>
                <w:color w:val="000000"/>
                <w:sz w:val="20"/>
                <w:lang w:eastAsia="en-NZ"/>
              </w:rPr>
              <w:t xml:space="preserve"> count</w:t>
            </w:r>
            <w:r w:rsidRPr="00D979E7">
              <w:rPr>
                <w:rFonts w:ascii="Arial" w:eastAsia="Times New Roman" w:hAnsi="Arial" w:cs="Arial"/>
                <w:color w:val="000000"/>
                <w:sz w:val="20"/>
                <w:lang w:eastAsia="en-NZ"/>
              </w:rPr>
              <w:t xml:space="preserve"> estimate,</w:t>
            </w:r>
            <w:r w:rsidR="00885BBB" w:rsidRPr="00D979E7">
              <w:rPr>
                <w:rFonts w:ascii="Arial" w:eastAsia="Times New Roman" w:hAnsi="Arial" w:cs="Arial"/>
                <w:color w:val="000000"/>
                <w:sz w:val="20"/>
                <w:lang w:eastAsia="en-NZ"/>
              </w:rPr>
              <w:t xml:space="preserve"> </w:t>
            </w:r>
            <w:r w:rsidR="00885BBB" w:rsidRPr="00D979E7">
              <w:rPr>
                <w:rFonts w:ascii="Arial" w:eastAsia="Times New Roman" w:hAnsi="Arial" w:cs="Arial"/>
                <w:i/>
                <w:color w:val="000000"/>
                <w:sz w:val="20"/>
                <w:lang w:eastAsia="en-NZ"/>
              </w:rPr>
              <w:t>adjusted for age</w:t>
            </w:r>
          </w:p>
        </w:tc>
        <w:tc>
          <w:tcPr>
            <w:tcW w:w="4975" w:type="dxa"/>
            <w:noWrap/>
            <w:hideMark/>
          </w:tcPr>
          <w:p w14:paraId="3E8B701F" w14:textId="42C8C192" w:rsidR="00D56A05" w:rsidRPr="00D979E7" w:rsidRDefault="00B6729B" w:rsidP="002320B1">
            <w:pPr>
              <w:spacing w:before="120" w:after="0" w:line="240" w:lineRule="auto"/>
              <w:jc w:val="right"/>
              <w:rPr>
                <w:rFonts w:ascii="Arial" w:eastAsia="Times New Roman" w:hAnsi="Arial" w:cs="Arial"/>
                <w:color w:val="000000"/>
                <w:sz w:val="20"/>
                <w:lang w:eastAsia="en-NZ"/>
              </w:rPr>
            </w:pPr>
            <w:r w:rsidRPr="00D979E7">
              <w:rPr>
                <w:rFonts w:ascii="Arial" w:eastAsia="Times New Roman" w:hAnsi="Arial" w:cs="Arial"/>
                <w:color w:val="000000"/>
                <w:sz w:val="20"/>
                <w:lang w:eastAsia="en-NZ"/>
              </w:rPr>
              <w:t>191.78</w:t>
            </w:r>
          </w:p>
        </w:tc>
      </w:tr>
      <w:tr w:rsidR="00D56A05" w:rsidRPr="00D979E7" w14:paraId="41FB7ABD" w14:textId="77777777" w:rsidTr="00A55E5D">
        <w:trPr>
          <w:trHeight w:val="300"/>
          <w:jc w:val="right"/>
        </w:trPr>
        <w:tc>
          <w:tcPr>
            <w:tcW w:w="3987" w:type="dxa"/>
            <w:noWrap/>
            <w:hideMark/>
          </w:tcPr>
          <w:p w14:paraId="27E684C5" w14:textId="0C2C366B" w:rsidR="00D56A05" w:rsidRPr="00D979E7" w:rsidRDefault="00E622BD" w:rsidP="002320B1">
            <w:pPr>
              <w:spacing w:before="120" w:after="0" w:line="240" w:lineRule="auto"/>
              <w:rPr>
                <w:rFonts w:ascii="Arial" w:eastAsia="Times New Roman" w:hAnsi="Arial" w:cs="Arial"/>
                <w:color w:val="000000"/>
                <w:sz w:val="20"/>
                <w:lang w:eastAsia="en-NZ"/>
              </w:rPr>
            </w:pPr>
            <w:r w:rsidRPr="00D979E7">
              <w:rPr>
                <w:rFonts w:ascii="Arial" w:eastAsia="Times New Roman" w:hAnsi="Arial" w:cs="Arial"/>
                <w:color w:val="000000"/>
                <w:sz w:val="20"/>
                <w:lang w:eastAsia="en-NZ"/>
              </w:rPr>
              <w:t>Difference (</w:t>
            </w:r>
            <w:r w:rsidR="00885BBB" w:rsidRPr="00D979E7">
              <w:rPr>
                <w:rFonts w:ascii="Arial" w:eastAsia="Times New Roman" w:hAnsi="Arial" w:cs="Arial"/>
                <w:color w:val="000000"/>
                <w:sz w:val="20"/>
                <w:lang w:eastAsia="en-NZ"/>
              </w:rPr>
              <w:t>Before–After</w:t>
            </w:r>
            <w:r w:rsidRPr="00D979E7">
              <w:rPr>
                <w:rFonts w:ascii="Arial" w:eastAsia="Times New Roman" w:hAnsi="Arial" w:cs="Arial"/>
                <w:color w:val="000000"/>
                <w:sz w:val="20"/>
                <w:lang w:eastAsia="en-NZ"/>
              </w:rPr>
              <w:t>)</w:t>
            </w:r>
            <w:r w:rsidR="00885BBB" w:rsidRPr="00D979E7">
              <w:rPr>
                <w:rFonts w:ascii="Arial" w:eastAsia="Times New Roman" w:hAnsi="Arial" w:cs="Arial"/>
                <w:color w:val="000000"/>
                <w:sz w:val="20"/>
                <w:lang w:eastAsia="en-NZ"/>
              </w:rPr>
              <w:t xml:space="preserve"> </w:t>
            </w:r>
            <w:r w:rsidR="00885BBB" w:rsidRPr="00D979E7">
              <w:rPr>
                <w:rFonts w:ascii="Arial" w:eastAsia="Times New Roman" w:hAnsi="Arial" w:cs="Arial"/>
                <w:i/>
                <w:color w:val="000000"/>
                <w:sz w:val="20"/>
                <w:lang w:eastAsia="en-NZ"/>
              </w:rPr>
              <w:t>adjusted for age</w:t>
            </w:r>
          </w:p>
        </w:tc>
        <w:tc>
          <w:tcPr>
            <w:tcW w:w="4975" w:type="dxa"/>
            <w:noWrap/>
            <w:hideMark/>
          </w:tcPr>
          <w:p w14:paraId="51804C49" w14:textId="08B1805C" w:rsidR="00D56A05" w:rsidRPr="00D979E7" w:rsidRDefault="00D56A05" w:rsidP="002320B1">
            <w:pPr>
              <w:spacing w:before="120" w:after="0" w:line="240" w:lineRule="auto"/>
              <w:jc w:val="right"/>
              <w:rPr>
                <w:rFonts w:ascii="Arial" w:eastAsia="Times New Roman" w:hAnsi="Arial" w:cs="Arial"/>
                <w:color w:val="000000"/>
                <w:sz w:val="20"/>
                <w:lang w:eastAsia="en-NZ"/>
              </w:rPr>
            </w:pPr>
            <w:r w:rsidRPr="00D979E7">
              <w:rPr>
                <w:rFonts w:ascii="Arial" w:eastAsia="Times New Roman" w:hAnsi="Arial" w:cs="Arial"/>
                <w:color w:val="000000"/>
                <w:sz w:val="20"/>
                <w:lang w:eastAsia="en-NZ"/>
              </w:rPr>
              <w:t>61.78</w:t>
            </w:r>
          </w:p>
        </w:tc>
      </w:tr>
      <w:tr w:rsidR="00D56A05" w:rsidRPr="00D979E7" w14:paraId="36F7528D" w14:textId="77777777" w:rsidTr="00A55E5D">
        <w:trPr>
          <w:trHeight w:val="300"/>
          <w:jc w:val="right"/>
        </w:trPr>
        <w:tc>
          <w:tcPr>
            <w:tcW w:w="3987" w:type="dxa"/>
            <w:shd w:val="clear" w:color="auto" w:fill="FFFF00"/>
            <w:noWrap/>
            <w:hideMark/>
          </w:tcPr>
          <w:p w14:paraId="67A085EA" w14:textId="3DA38F6F" w:rsidR="00D56A05" w:rsidRPr="00D979E7" w:rsidRDefault="00885BBB" w:rsidP="002320B1">
            <w:pPr>
              <w:spacing w:before="120" w:after="0" w:line="240" w:lineRule="auto"/>
              <w:rPr>
                <w:rFonts w:ascii="Arial" w:eastAsia="Times New Roman" w:hAnsi="Arial" w:cs="Arial"/>
                <w:color w:val="000000"/>
                <w:sz w:val="20"/>
                <w:highlight w:val="yellow"/>
                <w:lang w:eastAsia="en-NZ"/>
              </w:rPr>
            </w:pPr>
            <w:r w:rsidRPr="00D979E7">
              <w:rPr>
                <w:rFonts w:ascii="Arial" w:eastAsia="Times New Roman" w:hAnsi="Arial" w:cs="Arial"/>
                <w:color w:val="000000"/>
                <w:sz w:val="20"/>
                <w:highlight w:val="yellow"/>
                <w:lang w:eastAsia="en-NZ"/>
              </w:rPr>
              <w:t xml:space="preserve">Ratio of age adjusted </w:t>
            </w:r>
            <w:r w:rsidR="00081A80" w:rsidRPr="00D979E7">
              <w:rPr>
                <w:rFonts w:ascii="Arial" w:eastAsia="Times New Roman" w:hAnsi="Arial" w:cs="Arial"/>
                <w:color w:val="000000"/>
                <w:sz w:val="20"/>
                <w:highlight w:val="yellow"/>
                <w:lang w:eastAsia="en-NZ"/>
              </w:rPr>
              <w:t>Before-After</w:t>
            </w:r>
            <w:r w:rsidRPr="00D979E7">
              <w:rPr>
                <w:rFonts w:ascii="Arial" w:eastAsia="Times New Roman" w:hAnsi="Arial" w:cs="Arial"/>
                <w:color w:val="000000"/>
                <w:sz w:val="20"/>
                <w:highlight w:val="yellow"/>
                <w:lang w:eastAsia="en-NZ"/>
              </w:rPr>
              <w:t xml:space="preserve"> hospitalisations</w:t>
            </w:r>
          </w:p>
        </w:tc>
        <w:tc>
          <w:tcPr>
            <w:tcW w:w="4975" w:type="dxa"/>
            <w:shd w:val="clear" w:color="auto" w:fill="FFFF00"/>
            <w:noWrap/>
            <w:hideMark/>
          </w:tcPr>
          <w:p w14:paraId="143E595F" w14:textId="77777777" w:rsidR="00D56A05" w:rsidRPr="00D979E7" w:rsidRDefault="00D56A05" w:rsidP="002320B1">
            <w:pPr>
              <w:spacing w:before="120" w:after="0" w:line="240" w:lineRule="auto"/>
              <w:jc w:val="right"/>
              <w:rPr>
                <w:rFonts w:ascii="Arial" w:eastAsia="Times New Roman" w:hAnsi="Arial" w:cs="Arial"/>
                <w:color w:val="000000"/>
                <w:sz w:val="20"/>
                <w:highlight w:val="yellow"/>
                <w:lang w:eastAsia="en-NZ"/>
              </w:rPr>
            </w:pPr>
            <w:r w:rsidRPr="00D979E7">
              <w:rPr>
                <w:rFonts w:ascii="Arial" w:eastAsia="Times New Roman" w:hAnsi="Arial" w:cs="Arial"/>
                <w:color w:val="000000"/>
                <w:sz w:val="20"/>
                <w:highlight w:val="yellow"/>
                <w:lang w:eastAsia="en-NZ"/>
              </w:rPr>
              <w:t>1.48</w:t>
            </w:r>
          </w:p>
        </w:tc>
      </w:tr>
      <w:tr w:rsidR="00E622BD" w:rsidRPr="00D979E7" w14:paraId="2462F13F" w14:textId="77777777" w:rsidTr="00A55E5D">
        <w:trPr>
          <w:trHeight w:val="300"/>
          <w:jc w:val="right"/>
        </w:trPr>
        <w:tc>
          <w:tcPr>
            <w:tcW w:w="8962" w:type="dxa"/>
            <w:gridSpan w:val="2"/>
            <w:shd w:val="clear" w:color="auto" w:fill="E7E6E6" w:themeFill="background2"/>
            <w:noWrap/>
          </w:tcPr>
          <w:p w14:paraId="6D745EBA" w14:textId="6E7D3516" w:rsidR="00E622BD" w:rsidRPr="00D979E7" w:rsidRDefault="002A2CAB" w:rsidP="002320B1">
            <w:pPr>
              <w:spacing w:before="120" w:after="0" w:line="240" w:lineRule="auto"/>
              <w:rPr>
                <w:rFonts w:ascii="Arial" w:eastAsia="Times New Roman" w:hAnsi="Arial" w:cs="Arial"/>
                <w:color w:val="000000"/>
                <w:sz w:val="20"/>
                <w:lang w:eastAsia="en-NZ"/>
              </w:rPr>
            </w:pPr>
            <w:r w:rsidRPr="00D979E7">
              <w:rPr>
                <w:rFonts w:ascii="Arial" w:eastAsia="Times New Roman" w:hAnsi="Arial" w:cs="Arial"/>
                <w:color w:val="000000"/>
                <w:sz w:val="20"/>
                <w:lang w:eastAsia="en-NZ"/>
              </w:rPr>
              <w:t xml:space="preserve">Summary of effect attributable to HHI </w:t>
            </w:r>
          </w:p>
        </w:tc>
      </w:tr>
      <w:tr w:rsidR="00885BBB" w:rsidRPr="00D979E7" w14:paraId="59699ACD" w14:textId="77777777" w:rsidTr="00A55E5D">
        <w:trPr>
          <w:trHeight w:val="300"/>
          <w:jc w:val="right"/>
        </w:trPr>
        <w:tc>
          <w:tcPr>
            <w:tcW w:w="3987" w:type="dxa"/>
            <w:noWrap/>
          </w:tcPr>
          <w:p w14:paraId="02CDB21E" w14:textId="3402B048" w:rsidR="00885BBB" w:rsidRPr="00D979E7" w:rsidRDefault="00885BBB" w:rsidP="002320B1">
            <w:pPr>
              <w:spacing w:before="120" w:after="0" w:line="240" w:lineRule="auto"/>
              <w:rPr>
                <w:rFonts w:ascii="Arial" w:eastAsia="Times New Roman" w:hAnsi="Arial" w:cs="Arial"/>
                <w:color w:val="000000"/>
                <w:sz w:val="20"/>
                <w:lang w:eastAsia="en-NZ"/>
              </w:rPr>
            </w:pPr>
            <w:r w:rsidRPr="00D979E7">
              <w:rPr>
                <w:rFonts w:ascii="Arial" w:eastAsia="Times New Roman" w:hAnsi="Arial" w:cs="Arial"/>
                <w:color w:val="000000"/>
                <w:sz w:val="20"/>
                <w:lang w:eastAsia="en-NZ"/>
              </w:rPr>
              <w:t xml:space="preserve">Prevented </w:t>
            </w:r>
            <w:r w:rsidR="005D4FE4" w:rsidRPr="00D979E7">
              <w:rPr>
                <w:rFonts w:ascii="Arial" w:eastAsia="Times New Roman" w:hAnsi="Arial" w:cs="Arial"/>
                <w:color w:val="000000"/>
                <w:sz w:val="20"/>
                <w:lang w:eastAsia="en-NZ"/>
              </w:rPr>
              <w:t>h</w:t>
            </w:r>
            <w:r w:rsidRPr="00D979E7">
              <w:rPr>
                <w:rFonts w:ascii="Arial" w:eastAsia="Times New Roman" w:hAnsi="Arial" w:cs="Arial"/>
                <w:color w:val="000000"/>
                <w:sz w:val="20"/>
                <w:lang w:eastAsia="en-NZ"/>
              </w:rPr>
              <w:t>ospitalisations in sample (PAHHE not HSH)</w:t>
            </w:r>
          </w:p>
        </w:tc>
        <w:tc>
          <w:tcPr>
            <w:tcW w:w="4975" w:type="dxa"/>
            <w:noWrap/>
          </w:tcPr>
          <w:p w14:paraId="2836CD2A" w14:textId="6EF0030A" w:rsidR="00885BBB" w:rsidRPr="00D979E7" w:rsidRDefault="00885BBB" w:rsidP="002320B1">
            <w:pPr>
              <w:spacing w:before="120" w:after="0" w:line="240" w:lineRule="auto"/>
              <w:jc w:val="right"/>
              <w:rPr>
                <w:rFonts w:ascii="Arial" w:eastAsia="Times New Roman" w:hAnsi="Arial" w:cs="Arial"/>
                <w:color w:val="000000"/>
                <w:sz w:val="20"/>
                <w:lang w:eastAsia="en-NZ"/>
              </w:rPr>
            </w:pPr>
            <w:r w:rsidRPr="00D979E7">
              <w:rPr>
                <w:rFonts w:ascii="Arial" w:eastAsia="Times New Roman" w:hAnsi="Arial" w:cs="Arial"/>
                <w:color w:val="000000"/>
                <w:sz w:val="20"/>
                <w:lang w:eastAsia="en-NZ"/>
              </w:rPr>
              <w:t>61.78</w:t>
            </w:r>
          </w:p>
        </w:tc>
      </w:tr>
      <w:tr w:rsidR="00885BBB" w:rsidRPr="00D979E7" w14:paraId="40AF0D9A" w14:textId="77777777" w:rsidTr="00A55E5D">
        <w:trPr>
          <w:trHeight w:val="300"/>
          <w:jc w:val="right"/>
        </w:trPr>
        <w:tc>
          <w:tcPr>
            <w:tcW w:w="3987" w:type="dxa"/>
            <w:noWrap/>
          </w:tcPr>
          <w:p w14:paraId="43649373" w14:textId="663196C4" w:rsidR="00885BBB" w:rsidRPr="00D979E7" w:rsidRDefault="00885BBB" w:rsidP="002320B1">
            <w:pPr>
              <w:spacing w:before="120" w:after="0" w:line="240" w:lineRule="auto"/>
              <w:rPr>
                <w:rFonts w:ascii="Arial" w:eastAsia="Times New Roman" w:hAnsi="Arial" w:cs="Arial"/>
                <w:color w:val="000000"/>
                <w:sz w:val="20"/>
                <w:lang w:eastAsia="en-NZ"/>
              </w:rPr>
            </w:pPr>
            <w:r w:rsidRPr="00D979E7">
              <w:rPr>
                <w:rFonts w:ascii="Arial" w:eastAsia="Times New Roman" w:hAnsi="Arial" w:cs="Arial"/>
                <w:color w:val="000000"/>
                <w:sz w:val="20"/>
                <w:lang w:eastAsia="en-NZ"/>
              </w:rPr>
              <w:t xml:space="preserve">Rate </w:t>
            </w:r>
            <w:r w:rsidR="00334D0E" w:rsidRPr="00D979E7">
              <w:rPr>
                <w:rFonts w:ascii="Arial" w:eastAsia="Times New Roman" w:hAnsi="Arial" w:cs="Arial"/>
                <w:color w:val="000000"/>
                <w:sz w:val="20"/>
                <w:lang w:eastAsia="en-NZ"/>
              </w:rPr>
              <w:t>of prevent</w:t>
            </w:r>
            <w:r w:rsidR="00204041" w:rsidRPr="00D979E7">
              <w:rPr>
                <w:rFonts w:ascii="Arial" w:eastAsia="Times New Roman" w:hAnsi="Arial" w:cs="Arial"/>
                <w:color w:val="000000"/>
                <w:sz w:val="20"/>
                <w:lang w:eastAsia="en-NZ"/>
              </w:rPr>
              <w:t>ed</w:t>
            </w:r>
            <w:r w:rsidR="00334D0E" w:rsidRPr="00D979E7">
              <w:rPr>
                <w:rFonts w:ascii="Arial" w:eastAsia="Times New Roman" w:hAnsi="Arial" w:cs="Arial"/>
                <w:color w:val="000000"/>
                <w:sz w:val="20"/>
                <w:lang w:eastAsia="en-NZ"/>
              </w:rPr>
              <w:t xml:space="preserve"> hospitalisations </w:t>
            </w:r>
            <w:r w:rsidRPr="00D979E7">
              <w:rPr>
                <w:rFonts w:ascii="Arial" w:eastAsia="Times New Roman" w:hAnsi="Arial" w:cs="Arial"/>
                <w:color w:val="000000"/>
                <w:sz w:val="20"/>
                <w:lang w:eastAsia="en-NZ"/>
              </w:rPr>
              <w:t>per referral</w:t>
            </w:r>
            <w:r w:rsidR="00D2496C" w:rsidRPr="00D979E7">
              <w:rPr>
                <w:rFonts w:ascii="Arial" w:eastAsia="Times New Roman" w:hAnsi="Arial" w:cs="Arial"/>
                <w:color w:val="000000"/>
                <w:sz w:val="20"/>
                <w:lang w:eastAsia="en-NZ"/>
              </w:rPr>
              <w:t xml:space="preserve"> (PAHHE not HSH)</w:t>
            </w:r>
          </w:p>
        </w:tc>
        <w:tc>
          <w:tcPr>
            <w:tcW w:w="4975" w:type="dxa"/>
            <w:noWrap/>
          </w:tcPr>
          <w:p w14:paraId="0479689D" w14:textId="1771CA87" w:rsidR="00885BBB" w:rsidRPr="00D979E7" w:rsidRDefault="00885BBB" w:rsidP="002320B1">
            <w:pPr>
              <w:spacing w:before="120" w:after="0" w:line="240" w:lineRule="auto"/>
              <w:jc w:val="right"/>
              <w:rPr>
                <w:rFonts w:ascii="Arial" w:eastAsia="Times New Roman" w:hAnsi="Arial" w:cs="Arial"/>
                <w:color w:val="000000"/>
                <w:sz w:val="20"/>
                <w:lang w:eastAsia="en-NZ"/>
              </w:rPr>
            </w:pPr>
            <w:r w:rsidRPr="00D979E7">
              <w:rPr>
                <w:rFonts w:ascii="Arial" w:eastAsia="Times New Roman" w:hAnsi="Arial" w:cs="Arial"/>
                <w:color w:val="000000"/>
                <w:sz w:val="20"/>
                <w:lang w:eastAsia="en-NZ"/>
              </w:rPr>
              <w:t>0.038</w:t>
            </w:r>
          </w:p>
        </w:tc>
      </w:tr>
      <w:tr w:rsidR="00885BBB" w:rsidRPr="00D979E7" w14:paraId="0A624A8D" w14:textId="77777777" w:rsidTr="00A55E5D">
        <w:trPr>
          <w:trHeight w:val="300"/>
          <w:jc w:val="right"/>
        </w:trPr>
        <w:tc>
          <w:tcPr>
            <w:tcW w:w="3987" w:type="dxa"/>
            <w:noWrap/>
          </w:tcPr>
          <w:p w14:paraId="15337471" w14:textId="0373510C" w:rsidR="00885BBB" w:rsidRPr="00D979E7" w:rsidRDefault="00885BBB" w:rsidP="002320B1">
            <w:pPr>
              <w:spacing w:before="120" w:after="0" w:line="240" w:lineRule="auto"/>
              <w:rPr>
                <w:rFonts w:ascii="Arial" w:eastAsia="Times New Roman" w:hAnsi="Arial" w:cs="Arial"/>
                <w:color w:val="000000"/>
                <w:sz w:val="20"/>
                <w:lang w:eastAsia="en-NZ"/>
              </w:rPr>
            </w:pPr>
            <w:r w:rsidRPr="00D979E7">
              <w:rPr>
                <w:rFonts w:ascii="Arial" w:eastAsia="Times New Roman" w:hAnsi="Arial" w:cs="Arial"/>
                <w:color w:val="000000"/>
                <w:sz w:val="20"/>
                <w:lang w:eastAsia="en-NZ"/>
              </w:rPr>
              <w:t xml:space="preserve">Prevented </w:t>
            </w:r>
            <w:r w:rsidR="005D4FE4" w:rsidRPr="00D979E7">
              <w:rPr>
                <w:rFonts w:ascii="Arial" w:eastAsia="Times New Roman" w:hAnsi="Arial" w:cs="Arial"/>
                <w:color w:val="000000"/>
                <w:sz w:val="20"/>
                <w:lang w:eastAsia="en-NZ"/>
              </w:rPr>
              <w:t>h</w:t>
            </w:r>
            <w:r w:rsidRPr="00D979E7">
              <w:rPr>
                <w:rFonts w:ascii="Arial" w:eastAsia="Times New Roman" w:hAnsi="Arial" w:cs="Arial"/>
                <w:color w:val="000000"/>
                <w:sz w:val="20"/>
                <w:lang w:eastAsia="en-NZ"/>
              </w:rPr>
              <w:t>ospitalisations in population (PAHHE not HSH)</w:t>
            </w:r>
          </w:p>
        </w:tc>
        <w:tc>
          <w:tcPr>
            <w:tcW w:w="4975" w:type="dxa"/>
            <w:noWrap/>
          </w:tcPr>
          <w:p w14:paraId="7206CFE4" w14:textId="730DAE98" w:rsidR="00885BBB" w:rsidRPr="00D979E7" w:rsidRDefault="00B6729B" w:rsidP="002320B1">
            <w:pPr>
              <w:spacing w:before="120" w:after="0" w:line="240" w:lineRule="auto"/>
              <w:jc w:val="right"/>
              <w:rPr>
                <w:rFonts w:ascii="Arial" w:eastAsia="Times New Roman" w:hAnsi="Arial" w:cs="Arial"/>
                <w:color w:val="000000"/>
                <w:sz w:val="20"/>
                <w:lang w:eastAsia="en-NZ"/>
              </w:rPr>
            </w:pPr>
            <w:r w:rsidRPr="00D979E7">
              <w:rPr>
                <w:rFonts w:ascii="Arial" w:eastAsia="Times New Roman" w:hAnsi="Arial" w:cs="Arial"/>
                <w:color w:val="000000"/>
                <w:sz w:val="20"/>
                <w:lang w:eastAsia="en-NZ"/>
              </w:rPr>
              <w:t>582.54</w:t>
            </w:r>
          </w:p>
        </w:tc>
      </w:tr>
    </w:tbl>
    <w:p w14:paraId="0244E64B" w14:textId="2342EF1D" w:rsidR="005D383D" w:rsidRPr="00D979E7" w:rsidRDefault="005D383D" w:rsidP="00271FB7">
      <w:pPr>
        <w:spacing w:before="120" w:after="120" w:line="240" w:lineRule="auto"/>
        <w:rPr>
          <w:rFonts w:ascii="Arial" w:hAnsi="Arial" w:cs="Arial"/>
        </w:rPr>
      </w:pPr>
    </w:p>
    <w:p w14:paraId="59DBE6A7" w14:textId="2141E98D" w:rsidR="005C0CCB" w:rsidRPr="00D979E7" w:rsidRDefault="005C0CCB" w:rsidP="00271FB7">
      <w:pPr>
        <w:spacing w:before="120" w:after="120" w:line="240" w:lineRule="auto"/>
        <w:rPr>
          <w:rFonts w:ascii="Arial" w:hAnsi="Arial" w:cs="Arial"/>
        </w:rPr>
      </w:pPr>
      <w:r w:rsidRPr="00D979E7">
        <w:rPr>
          <w:rFonts w:ascii="Arial" w:hAnsi="Arial" w:cs="Arial"/>
        </w:rPr>
        <w:t>Children hospitalised with HSH diseases were a key target group for the HHI and made</w:t>
      </w:r>
      <w:r w:rsidR="002404DC" w:rsidRPr="00D979E7">
        <w:rPr>
          <w:rFonts w:ascii="Arial" w:hAnsi="Arial" w:cs="Arial"/>
        </w:rPr>
        <w:t xml:space="preserve"> up</w:t>
      </w:r>
      <w:r w:rsidRPr="00D979E7">
        <w:rPr>
          <w:rFonts w:ascii="Arial" w:hAnsi="Arial" w:cs="Arial"/>
        </w:rPr>
        <w:t xml:space="preserve"> the majority of referrals. In </w:t>
      </w:r>
      <w:r w:rsidR="002404DC" w:rsidRPr="00D979E7">
        <w:rPr>
          <w:rFonts w:ascii="Arial" w:hAnsi="Arial" w:cs="Arial"/>
        </w:rPr>
        <w:t>Table 3</w:t>
      </w:r>
      <w:r w:rsidR="00E56ED7" w:rsidRPr="00D979E7">
        <w:rPr>
          <w:rFonts w:ascii="Arial" w:hAnsi="Arial" w:cs="Arial"/>
        </w:rPr>
        <w:t>,</w:t>
      </w:r>
      <w:r w:rsidR="002404DC" w:rsidRPr="00D979E7">
        <w:rPr>
          <w:rFonts w:ascii="Arial" w:hAnsi="Arial" w:cs="Arial"/>
        </w:rPr>
        <w:t xml:space="preserve"> </w:t>
      </w:r>
      <w:r w:rsidRPr="00D979E7">
        <w:rPr>
          <w:rFonts w:ascii="Arial" w:hAnsi="Arial" w:cs="Arial"/>
        </w:rPr>
        <w:t xml:space="preserve">we calculate how many excess HSH we had in the </w:t>
      </w:r>
      <w:r w:rsidR="002404DC" w:rsidRPr="00D979E7">
        <w:rPr>
          <w:rFonts w:ascii="Arial" w:hAnsi="Arial" w:cs="Arial"/>
        </w:rPr>
        <w:t xml:space="preserve">study </w:t>
      </w:r>
      <w:r w:rsidRPr="00D979E7">
        <w:rPr>
          <w:rFonts w:ascii="Arial" w:hAnsi="Arial" w:cs="Arial"/>
        </w:rPr>
        <w:t>population relative to the PAHHE not HSH group.</w:t>
      </w:r>
      <w:r w:rsidR="00D2496C" w:rsidRPr="00D979E7">
        <w:rPr>
          <w:rFonts w:ascii="Arial" w:hAnsi="Arial" w:cs="Arial"/>
        </w:rPr>
        <w:t xml:space="preserve"> These 228.96 hospitalisation</w:t>
      </w:r>
      <w:r w:rsidR="002404DC" w:rsidRPr="00D979E7">
        <w:rPr>
          <w:rFonts w:ascii="Arial" w:hAnsi="Arial" w:cs="Arial"/>
        </w:rPr>
        <w:t>s</w:t>
      </w:r>
      <w:r w:rsidR="00D2496C" w:rsidRPr="00D979E7">
        <w:rPr>
          <w:rFonts w:ascii="Arial" w:hAnsi="Arial" w:cs="Arial"/>
        </w:rPr>
        <w:t xml:space="preserve"> are our estimate of the selection bias</w:t>
      </w:r>
      <w:r w:rsidR="005D4FE4" w:rsidRPr="00D979E7">
        <w:rPr>
          <w:rFonts w:ascii="Arial" w:hAnsi="Arial" w:cs="Arial"/>
        </w:rPr>
        <w:t>. This</w:t>
      </w:r>
      <w:r w:rsidR="0036560B" w:rsidRPr="00D979E7">
        <w:rPr>
          <w:rFonts w:ascii="Arial" w:hAnsi="Arial" w:cs="Arial"/>
        </w:rPr>
        <w:t xml:space="preserve"> </w:t>
      </w:r>
      <w:r w:rsidR="002404DC" w:rsidRPr="00D979E7">
        <w:rPr>
          <w:rFonts w:ascii="Arial" w:hAnsi="Arial" w:cs="Arial"/>
        </w:rPr>
        <w:t>has been used to adjust calculations of the effect attributable to the programme across all hospitalisations in Table 4</w:t>
      </w:r>
      <w:r w:rsidR="005D4FE4" w:rsidRPr="00D979E7">
        <w:rPr>
          <w:rFonts w:ascii="Arial" w:hAnsi="Arial" w:cs="Arial"/>
        </w:rPr>
        <w:t xml:space="preserve"> to obtain the final estimate of reduction in hospitalisations in pre-post period attributable to the HHIs</w:t>
      </w:r>
      <w:r w:rsidR="0009144E" w:rsidRPr="00D979E7">
        <w:rPr>
          <w:rFonts w:ascii="Arial" w:hAnsi="Arial" w:cs="Arial"/>
        </w:rPr>
        <w:t>.</w:t>
      </w:r>
    </w:p>
    <w:p w14:paraId="07360351" w14:textId="36264D12" w:rsidR="005C0CCB" w:rsidRPr="00D979E7" w:rsidRDefault="005C0CCB" w:rsidP="00271FB7">
      <w:pPr>
        <w:spacing w:before="120" w:after="120" w:line="240" w:lineRule="auto"/>
        <w:rPr>
          <w:rFonts w:ascii="Arial" w:hAnsi="Arial" w:cs="Arial"/>
        </w:rPr>
      </w:pPr>
      <w:r w:rsidRPr="00D979E7">
        <w:rPr>
          <w:rFonts w:ascii="Arial" w:hAnsi="Arial" w:cs="Arial"/>
          <w:b/>
        </w:rPr>
        <w:t>Table 3:</w:t>
      </w:r>
      <w:r w:rsidRPr="00D979E7">
        <w:rPr>
          <w:rFonts w:ascii="Arial" w:hAnsi="Arial" w:cs="Arial"/>
        </w:rPr>
        <w:t xml:space="preserve"> </w:t>
      </w:r>
      <w:r w:rsidR="00D2496C" w:rsidRPr="00D979E7">
        <w:rPr>
          <w:rFonts w:ascii="Arial" w:hAnsi="Arial" w:cs="Arial"/>
        </w:rPr>
        <w:t>Estimating the bias in HSH</w:t>
      </w:r>
    </w:p>
    <w:tbl>
      <w:tblPr>
        <w:tblStyle w:val="TableGrid"/>
        <w:tblW w:w="0" w:type="auto"/>
        <w:tblInd w:w="-5" w:type="dxa"/>
        <w:tblLook w:val="04A0" w:firstRow="1" w:lastRow="0" w:firstColumn="1" w:lastColumn="0" w:noHBand="0" w:noVBand="1"/>
      </w:tblPr>
      <w:tblGrid>
        <w:gridCol w:w="6707"/>
        <w:gridCol w:w="2314"/>
      </w:tblGrid>
      <w:tr w:rsidR="005C0CCB" w:rsidRPr="00D979E7" w14:paraId="4971474E" w14:textId="77777777" w:rsidTr="0036560B">
        <w:trPr>
          <w:trHeight w:val="300"/>
        </w:trPr>
        <w:tc>
          <w:tcPr>
            <w:tcW w:w="0" w:type="auto"/>
            <w:noWrap/>
            <w:hideMark/>
          </w:tcPr>
          <w:p w14:paraId="01791F22" w14:textId="2E816417" w:rsidR="005C0CCB" w:rsidRPr="00D979E7" w:rsidRDefault="006D1D9D" w:rsidP="002320B1">
            <w:pPr>
              <w:spacing w:before="120" w:after="0" w:line="240" w:lineRule="auto"/>
              <w:rPr>
                <w:rFonts w:ascii="Arial" w:eastAsia="Times New Roman" w:hAnsi="Arial" w:cs="Arial"/>
                <w:color w:val="000000"/>
                <w:sz w:val="20"/>
                <w:lang w:eastAsia="en-NZ"/>
              </w:rPr>
            </w:pPr>
            <w:r w:rsidRPr="00D979E7">
              <w:rPr>
                <w:rFonts w:ascii="Arial" w:eastAsia="Times New Roman" w:hAnsi="Arial" w:cs="Arial"/>
                <w:color w:val="000000"/>
                <w:sz w:val="20"/>
                <w:lang w:eastAsia="en-NZ"/>
              </w:rPr>
              <w:t xml:space="preserve">Evaluation Sample </w:t>
            </w:r>
            <w:r w:rsidR="005C0CCB" w:rsidRPr="00D979E7">
              <w:rPr>
                <w:rFonts w:ascii="Arial" w:eastAsia="Times New Roman" w:hAnsi="Arial" w:cs="Arial"/>
                <w:color w:val="000000"/>
                <w:sz w:val="20"/>
                <w:lang w:eastAsia="en-NZ"/>
              </w:rPr>
              <w:t>Population</w:t>
            </w:r>
          </w:p>
        </w:tc>
        <w:tc>
          <w:tcPr>
            <w:tcW w:w="2347" w:type="dxa"/>
            <w:noWrap/>
            <w:hideMark/>
          </w:tcPr>
          <w:p w14:paraId="1EAC0CBC" w14:textId="77777777" w:rsidR="005C0CCB" w:rsidRPr="00D979E7" w:rsidRDefault="005C0CCB" w:rsidP="002320B1">
            <w:pPr>
              <w:spacing w:before="120" w:after="0" w:line="240" w:lineRule="auto"/>
              <w:jc w:val="right"/>
              <w:rPr>
                <w:rFonts w:ascii="Arial" w:eastAsia="Times New Roman" w:hAnsi="Arial" w:cs="Arial"/>
                <w:color w:val="000000"/>
                <w:sz w:val="20"/>
                <w:lang w:eastAsia="en-NZ"/>
              </w:rPr>
            </w:pPr>
            <w:r w:rsidRPr="00D979E7">
              <w:rPr>
                <w:rFonts w:ascii="Arial" w:eastAsia="Times New Roman" w:hAnsi="Arial" w:cs="Arial"/>
                <w:color w:val="000000"/>
                <w:sz w:val="20"/>
                <w:lang w:eastAsia="en-NZ"/>
              </w:rPr>
              <w:t>1608</w:t>
            </w:r>
          </w:p>
        </w:tc>
      </w:tr>
      <w:tr w:rsidR="005C0CCB" w:rsidRPr="00D979E7" w14:paraId="28174E8C" w14:textId="77777777" w:rsidTr="0036560B">
        <w:trPr>
          <w:trHeight w:val="300"/>
        </w:trPr>
        <w:tc>
          <w:tcPr>
            <w:tcW w:w="0" w:type="auto"/>
            <w:noWrap/>
            <w:hideMark/>
          </w:tcPr>
          <w:p w14:paraId="19C95F2E" w14:textId="4FD93F90" w:rsidR="005C0CCB" w:rsidRPr="00D979E7" w:rsidRDefault="005C0CCB" w:rsidP="002320B1">
            <w:pPr>
              <w:spacing w:before="120" w:after="0" w:line="240" w:lineRule="auto"/>
              <w:rPr>
                <w:rFonts w:ascii="Arial" w:eastAsia="Times New Roman" w:hAnsi="Arial" w:cs="Arial"/>
                <w:color w:val="000000"/>
                <w:sz w:val="20"/>
                <w:lang w:eastAsia="en-NZ"/>
              </w:rPr>
            </w:pPr>
            <w:r w:rsidRPr="00D979E7">
              <w:rPr>
                <w:rFonts w:ascii="Arial" w:eastAsia="Times New Roman" w:hAnsi="Arial" w:cs="Arial"/>
                <w:color w:val="000000"/>
                <w:sz w:val="20"/>
                <w:lang w:eastAsia="en-NZ"/>
              </w:rPr>
              <w:t xml:space="preserve">Hospitalisation in 12 months </w:t>
            </w:r>
            <w:r w:rsidRPr="00D979E7">
              <w:rPr>
                <w:rFonts w:ascii="Arial" w:eastAsia="Times New Roman" w:hAnsi="Arial" w:cs="Arial"/>
                <w:i/>
                <w:color w:val="000000"/>
                <w:sz w:val="20"/>
                <w:lang w:eastAsia="en-NZ"/>
              </w:rPr>
              <w:t>before</w:t>
            </w:r>
            <w:r w:rsidRPr="00D979E7">
              <w:rPr>
                <w:rFonts w:ascii="Arial" w:eastAsia="Times New Roman" w:hAnsi="Arial" w:cs="Arial"/>
                <w:color w:val="000000"/>
                <w:sz w:val="20"/>
                <w:lang w:eastAsia="en-NZ"/>
              </w:rPr>
              <w:t xml:space="preserve"> intervention (HSH)</w:t>
            </w:r>
          </w:p>
        </w:tc>
        <w:tc>
          <w:tcPr>
            <w:tcW w:w="2347" w:type="dxa"/>
            <w:noWrap/>
            <w:vAlign w:val="bottom"/>
            <w:hideMark/>
          </w:tcPr>
          <w:p w14:paraId="5D552FCA" w14:textId="2DB2E00A" w:rsidR="005C0CCB" w:rsidRPr="00D979E7" w:rsidRDefault="005C0CCB" w:rsidP="002320B1">
            <w:pPr>
              <w:spacing w:before="120" w:after="0" w:line="240" w:lineRule="auto"/>
              <w:jc w:val="right"/>
              <w:rPr>
                <w:rFonts w:ascii="Arial" w:eastAsia="Times New Roman" w:hAnsi="Arial" w:cs="Arial"/>
                <w:color w:val="000000"/>
                <w:sz w:val="20"/>
                <w:lang w:eastAsia="en-NZ"/>
              </w:rPr>
            </w:pPr>
            <w:r w:rsidRPr="00D979E7">
              <w:rPr>
                <w:rFonts w:ascii="Arial" w:hAnsi="Arial" w:cs="Arial"/>
                <w:color w:val="000000"/>
                <w:sz w:val="20"/>
              </w:rPr>
              <w:t>385</w:t>
            </w:r>
          </w:p>
        </w:tc>
      </w:tr>
      <w:tr w:rsidR="005C0CCB" w:rsidRPr="00D979E7" w14:paraId="2D872B5C" w14:textId="77777777" w:rsidTr="0036560B">
        <w:trPr>
          <w:trHeight w:val="300"/>
        </w:trPr>
        <w:tc>
          <w:tcPr>
            <w:tcW w:w="0" w:type="auto"/>
            <w:noWrap/>
            <w:hideMark/>
          </w:tcPr>
          <w:p w14:paraId="212D157F" w14:textId="658BB033" w:rsidR="005C0CCB" w:rsidRPr="00D979E7" w:rsidRDefault="005C0CCB" w:rsidP="002320B1">
            <w:pPr>
              <w:spacing w:before="120" w:after="0" w:line="240" w:lineRule="auto"/>
              <w:rPr>
                <w:rFonts w:ascii="Arial" w:eastAsia="Times New Roman" w:hAnsi="Arial" w:cs="Arial"/>
                <w:color w:val="000000"/>
                <w:sz w:val="20"/>
                <w:lang w:eastAsia="en-NZ"/>
              </w:rPr>
            </w:pPr>
            <w:r w:rsidRPr="00D979E7">
              <w:rPr>
                <w:rFonts w:ascii="Arial" w:eastAsia="Times New Roman" w:hAnsi="Arial" w:cs="Arial"/>
                <w:color w:val="000000"/>
                <w:sz w:val="20"/>
                <w:lang w:eastAsia="en-NZ"/>
              </w:rPr>
              <w:t xml:space="preserve">Hospitalisation in 12 months after </w:t>
            </w:r>
            <w:r w:rsidR="003401C3" w:rsidRPr="00D979E7">
              <w:rPr>
                <w:rFonts w:ascii="Arial" w:eastAsia="Times New Roman" w:hAnsi="Arial" w:cs="Arial"/>
                <w:color w:val="000000"/>
                <w:sz w:val="20"/>
                <w:lang w:eastAsia="en-NZ"/>
              </w:rPr>
              <w:t>latest</w:t>
            </w:r>
            <w:r w:rsidRPr="00D979E7">
              <w:rPr>
                <w:rFonts w:ascii="Arial" w:eastAsia="Times New Roman" w:hAnsi="Arial" w:cs="Arial"/>
                <w:color w:val="000000"/>
                <w:sz w:val="20"/>
                <w:lang w:eastAsia="en-NZ"/>
              </w:rPr>
              <w:t xml:space="preserve"> intervention (HSH)</w:t>
            </w:r>
          </w:p>
        </w:tc>
        <w:tc>
          <w:tcPr>
            <w:tcW w:w="2347" w:type="dxa"/>
            <w:noWrap/>
            <w:vAlign w:val="bottom"/>
            <w:hideMark/>
          </w:tcPr>
          <w:p w14:paraId="599E6B4C" w14:textId="20DEAE52" w:rsidR="005C0CCB" w:rsidRPr="00D979E7" w:rsidRDefault="005C0CCB" w:rsidP="002320B1">
            <w:pPr>
              <w:spacing w:before="120" w:after="0" w:line="240" w:lineRule="auto"/>
              <w:jc w:val="right"/>
              <w:rPr>
                <w:rFonts w:ascii="Arial" w:eastAsia="Times New Roman" w:hAnsi="Arial" w:cs="Arial"/>
                <w:color w:val="000000"/>
                <w:sz w:val="20"/>
                <w:lang w:eastAsia="en-NZ"/>
              </w:rPr>
            </w:pPr>
            <w:r w:rsidRPr="00D979E7">
              <w:rPr>
                <w:rFonts w:ascii="Arial" w:hAnsi="Arial" w:cs="Arial"/>
                <w:color w:val="000000"/>
                <w:sz w:val="20"/>
              </w:rPr>
              <w:t>91</w:t>
            </w:r>
          </w:p>
        </w:tc>
      </w:tr>
      <w:tr w:rsidR="005C0CCB" w:rsidRPr="00D979E7" w14:paraId="2F25FA33" w14:textId="77777777" w:rsidTr="0036560B">
        <w:trPr>
          <w:trHeight w:val="300"/>
        </w:trPr>
        <w:tc>
          <w:tcPr>
            <w:tcW w:w="0" w:type="auto"/>
            <w:noWrap/>
            <w:hideMark/>
          </w:tcPr>
          <w:p w14:paraId="35973FB7" w14:textId="46C25E4E" w:rsidR="005C0CCB" w:rsidRPr="00D979E7" w:rsidRDefault="005D4FE4" w:rsidP="002320B1">
            <w:pPr>
              <w:spacing w:before="120" w:after="0" w:line="240" w:lineRule="auto"/>
              <w:rPr>
                <w:rFonts w:ascii="Arial" w:eastAsia="Times New Roman" w:hAnsi="Arial" w:cs="Arial"/>
                <w:color w:val="000000"/>
                <w:sz w:val="20"/>
                <w:lang w:eastAsia="en-NZ"/>
              </w:rPr>
            </w:pPr>
            <w:r w:rsidRPr="00D979E7">
              <w:rPr>
                <w:rFonts w:ascii="Arial" w:eastAsia="Times New Roman" w:hAnsi="Arial" w:cs="Arial"/>
                <w:color w:val="000000"/>
                <w:sz w:val="20"/>
                <w:lang w:eastAsia="en-NZ"/>
              </w:rPr>
              <w:lastRenderedPageBreak/>
              <w:t>Difference (</w:t>
            </w:r>
            <w:r w:rsidR="00081A80" w:rsidRPr="00D979E7">
              <w:rPr>
                <w:rFonts w:ascii="Arial" w:eastAsia="Times New Roman" w:hAnsi="Arial" w:cs="Arial"/>
                <w:color w:val="000000"/>
                <w:sz w:val="20"/>
                <w:lang w:eastAsia="en-NZ"/>
              </w:rPr>
              <w:t>Before-After</w:t>
            </w:r>
            <w:r w:rsidRPr="00D979E7">
              <w:rPr>
                <w:rFonts w:ascii="Arial" w:eastAsia="Times New Roman" w:hAnsi="Arial" w:cs="Arial"/>
                <w:color w:val="000000"/>
                <w:sz w:val="20"/>
                <w:lang w:eastAsia="en-NZ"/>
              </w:rPr>
              <w:t xml:space="preserve">) in hospitalisations, </w:t>
            </w:r>
            <w:r w:rsidR="005C0CCB" w:rsidRPr="00D979E7">
              <w:rPr>
                <w:rFonts w:ascii="Arial" w:eastAsia="Times New Roman" w:hAnsi="Arial" w:cs="Arial"/>
                <w:i/>
                <w:color w:val="000000"/>
                <w:sz w:val="20"/>
                <w:lang w:eastAsia="en-NZ"/>
              </w:rPr>
              <w:t>not adjusted</w:t>
            </w:r>
            <w:r w:rsidRPr="00D979E7">
              <w:rPr>
                <w:rFonts w:ascii="Arial" w:eastAsia="Times New Roman" w:hAnsi="Arial" w:cs="Arial"/>
                <w:i/>
                <w:color w:val="000000"/>
                <w:sz w:val="20"/>
                <w:lang w:eastAsia="en-NZ"/>
              </w:rPr>
              <w:t xml:space="preserve"> for age</w:t>
            </w:r>
          </w:p>
        </w:tc>
        <w:tc>
          <w:tcPr>
            <w:tcW w:w="2347" w:type="dxa"/>
            <w:noWrap/>
            <w:hideMark/>
          </w:tcPr>
          <w:p w14:paraId="06741A6A" w14:textId="4D2AE5BC" w:rsidR="005C0CCB" w:rsidRPr="00D979E7" w:rsidRDefault="005C0CCB" w:rsidP="002320B1">
            <w:pPr>
              <w:spacing w:before="120" w:after="0" w:line="240" w:lineRule="auto"/>
              <w:jc w:val="right"/>
              <w:rPr>
                <w:rFonts w:ascii="Arial" w:eastAsia="Times New Roman" w:hAnsi="Arial" w:cs="Arial"/>
                <w:color w:val="000000"/>
                <w:sz w:val="20"/>
              </w:rPr>
            </w:pPr>
            <w:r w:rsidRPr="00D979E7">
              <w:rPr>
                <w:rFonts w:ascii="Arial" w:hAnsi="Arial" w:cs="Arial"/>
                <w:color w:val="000000"/>
                <w:sz w:val="20"/>
              </w:rPr>
              <w:t>294</w:t>
            </w:r>
          </w:p>
        </w:tc>
      </w:tr>
      <w:tr w:rsidR="005C0CCB" w:rsidRPr="00D979E7" w14:paraId="7E029E36" w14:textId="77777777" w:rsidTr="0036560B">
        <w:trPr>
          <w:trHeight w:val="300"/>
        </w:trPr>
        <w:tc>
          <w:tcPr>
            <w:tcW w:w="0" w:type="auto"/>
            <w:noWrap/>
            <w:hideMark/>
          </w:tcPr>
          <w:p w14:paraId="5EFC3803" w14:textId="29A8AD08" w:rsidR="005C0CCB" w:rsidRPr="00D979E7" w:rsidRDefault="00FA3755" w:rsidP="002320B1">
            <w:pPr>
              <w:spacing w:before="120" w:after="0" w:line="240" w:lineRule="auto"/>
              <w:rPr>
                <w:rFonts w:ascii="Arial" w:eastAsia="Times New Roman" w:hAnsi="Arial" w:cs="Arial"/>
                <w:color w:val="000000"/>
                <w:sz w:val="20"/>
                <w:lang w:eastAsia="en-NZ"/>
              </w:rPr>
            </w:pPr>
            <w:r w:rsidRPr="00D979E7">
              <w:rPr>
                <w:rFonts w:ascii="Arial" w:eastAsia="Times New Roman" w:hAnsi="Arial" w:cs="Arial"/>
                <w:color w:val="000000"/>
                <w:sz w:val="20"/>
                <w:lang w:eastAsia="en-NZ"/>
              </w:rPr>
              <w:t>Difference (</w:t>
            </w:r>
            <w:r w:rsidR="00081A80" w:rsidRPr="00D979E7">
              <w:rPr>
                <w:rFonts w:ascii="Arial" w:eastAsia="Times New Roman" w:hAnsi="Arial" w:cs="Arial"/>
                <w:color w:val="000000"/>
                <w:sz w:val="20"/>
                <w:lang w:eastAsia="en-NZ"/>
              </w:rPr>
              <w:t>Before-After</w:t>
            </w:r>
            <w:r w:rsidRPr="00D979E7">
              <w:rPr>
                <w:rFonts w:ascii="Arial" w:eastAsia="Times New Roman" w:hAnsi="Arial" w:cs="Arial"/>
                <w:color w:val="000000"/>
                <w:sz w:val="20"/>
                <w:lang w:eastAsia="en-NZ"/>
              </w:rPr>
              <w:t>) as a</w:t>
            </w:r>
            <w:r w:rsidR="005C0CCB" w:rsidRPr="00D979E7">
              <w:rPr>
                <w:rFonts w:ascii="Arial" w:eastAsia="Times New Roman" w:hAnsi="Arial" w:cs="Arial"/>
                <w:color w:val="000000"/>
                <w:sz w:val="20"/>
                <w:lang w:eastAsia="en-NZ"/>
              </w:rPr>
              <w:t xml:space="preserve"> rate</w:t>
            </w:r>
            <w:r w:rsidR="00741B95" w:rsidRPr="00D979E7">
              <w:rPr>
                <w:rFonts w:ascii="Arial" w:eastAsia="Times New Roman" w:hAnsi="Arial" w:cs="Arial"/>
                <w:color w:val="000000"/>
                <w:sz w:val="20"/>
                <w:lang w:eastAsia="en-NZ"/>
              </w:rPr>
              <w:t xml:space="preserve">, </w:t>
            </w:r>
            <w:r w:rsidR="00741B95" w:rsidRPr="00D979E7">
              <w:rPr>
                <w:rFonts w:ascii="Arial" w:eastAsia="Times New Roman" w:hAnsi="Arial" w:cs="Arial"/>
                <w:i/>
                <w:color w:val="000000"/>
                <w:sz w:val="20"/>
                <w:lang w:eastAsia="en-NZ"/>
              </w:rPr>
              <w:t>not adjusted for age</w:t>
            </w:r>
          </w:p>
        </w:tc>
        <w:tc>
          <w:tcPr>
            <w:tcW w:w="2347" w:type="dxa"/>
            <w:noWrap/>
            <w:hideMark/>
          </w:tcPr>
          <w:p w14:paraId="0CFDC1DB" w14:textId="43B30CF6" w:rsidR="005C0CCB" w:rsidRPr="00D979E7" w:rsidRDefault="00BC2FA6" w:rsidP="002320B1">
            <w:pPr>
              <w:spacing w:before="120" w:after="0" w:line="240" w:lineRule="auto"/>
              <w:jc w:val="right"/>
              <w:rPr>
                <w:rFonts w:ascii="Arial" w:eastAsia="Times New Roman" w:hAnsi="Arial" w:cs="Arial"/>
                <w:color w:val="000000"/>
                <w:sz w:val="20"/>
              </w:rPr>
            </w:pPr>
            <w:r w:rsidRPr="00D979E7">
              <w:rPr>
                <w:rFonts w:ascii="Arial" w:hAnsi="Arial" w:cs="Arial"/>
                <w:color w:val="000000"/>
                <w:sz w:val="20"/>
              </w:rPr>
              <w:t>-0.18</w:t>
            </w:r>
          </w:p>
        </w:tc>
      </w:tr>
      <w:tr w:rsidR="00D21DFF" w:rsidRPr="00D979E7" w14:paraId="404C8FB7" w14:textId="77777777" w:rsidTr="0036560B">
        <w:trPr>
          <w:trHeight w:val="300"/>
        </w:trPr>
        <w:tc>
          <w:tcPr>
            <w:tcW w:w="9021" w:type="dxa"/>
            <w:gridSpan w:val="2"/>
            <w:noWrap/>
          </w:tcPr>
          <w:p w14:paraId="41C1BBC0" w14:textId="4DC249DB" w:rsidR="00D21DFF" w:rsidRPr="00D979E7" w:rsidRDefault="00D21DFF" w:rsidP="002320B1">
            <w:pPr>
              <w:spacing w:before="120" w:after="0" w:line="240" w:lineRule="auto"/>
              <w:rPr>
                <w:rFonts w:ascii="Arial" w:hAnsi="Arial" w:cs="Arial"/>
                <w:color w:val="000000"/>
                <w:sz w:val="20"/>
              </w:rPr>
            </w:pPr>
            <w:r w:rsidRPr="00D979E7">
              <w:rPr>
                <w:rFonts w:ascii="Arial" w:eastAsia="Times New Roman" w:hAnsi="Arial" w:cs="Arial"/>
                <w:color w:val="000000"/>
                <w:sz w:val="20"/>
                <w:lang w:eastAsia="en-NZ"/>
              </w:rPr>
              <w:t xml:space="preserve">Adjusting for age  </w:t>
            </w:r>
          </w:p>
        </w:tc>
      </w:tr>
      <w:tr w:rsidR="005C0CCB" w:rsidRPr="00D979E7" w14:paraId="2C0B534F" w14:textId="77777777" w:rsidTr="0036560B">
        <w:trPr>
          <w:trHeight w:val="300"/>
        </w:trPr>
        <w:tc>
          <w:tcPr>
            <w:tcW w:w="0" w:type="auto"/>
            <w:noWrap/>
            <w:hideMark/>
          </w:tcPr>
          <w:p w14:paraId="457C6B89" w14:textId="46B534F2" w:rsidR="005C0CCB" w:rsidRPr="00D979E7" w:rsidRDefault="00FA3755" w:rsidP="002320B1">
            <w:pPr>
              <w:spacing w:before="120" w:after="0" w:line="240" w:lineRule="auto"/>
              <w:rPr>
                <w:rFonts w:ascii="Arial" w:eastAsia="Times New Roman" w:hAnsi="Arial" w:cs="Arial"/>
                <w:color w:val="000000"/>
                <w:sz w:val="20"/>
                <w:lang w:eastAsia="en-NZ"/>
              </w:rPr>
            </w:pPr>
            <w:r w:rsidRPr="00D979E7">
              <w:rPr>
                <w:rFonts w:ascii="Arial" w:eastAsia="Times New Roman" w:hAnsi="Arial" w:cs="Arial"/>
                <w:color w:val="000000"/>
                <w:sz w:val="20"/>
                <w:lang w:eastAsia="en-NZ"/>
              </w:rPr>
              <w:t xml:space="preserve">Average change </w:t>
            </w:r>
            <w:r w:rsidR="005C0CCB" w:rsidRPr="00D979E7">
              <w:rPr>
                <w:rFonts w:ascii="Arial" w:eastAsia="Times New Roman" w:hAnsi="Arial" w:cs="Arial"/>
                <w:color w:val="000000"/>
                <w:sz w:val="20"/>
                <w:lang w:eastAsia="en-NZ"/>
              </w:rPr>
              <w:t>in hospitalisation</w:t>
            </w:r>
            <w:r w:rsidRPr="00D979E7">
              <w:rPr>
                <w:rFonts w:ascii="Arial" w:eastAsia="Times New Roman" w:hAnsi="Arial" w:cs="Arial"/>
                <w:color w:val="000000"/>
                <w:sz w:val="20"/>
                <w:lang w:eastAsia="en-NZ"/>
              </w:rPr>
              <w:t>s</w:t>
            </w:r>
            <w:r w:rsidR="005C0CCB" w:rsidRPr="00D979E7">
              <w:rPr>
                <w:rFonts w:ascii="Arial" w:eastAsia="Times New Roman" w:hAnsi="Arial" w:cs="Arial"/>
                <w:color w:val="000000"/>
                <w:sz w:val="20"/>
                <w:lang w:eastAsia="en-NZ"/>
              </w:rPr>
              <w:t xml:space="preserve"> (HSH) per year age</w:t>
            </w:r>
          </w:p>
        </w:tc>
        <w:tc>
          <w:tcPr>
            <w:tcW w:w="2347" w:type="dxa"/>
            <w:noWrap/>
            <w:hideMark/>
          </w:tcPr>
          <w:p w14:paraId="51365297" w14:textId="27C1B54F" w:rsidR="005C0CCB" w:rsidRPr="00D979E7" w:rsidRDefault="005C0CCB" w:rsidP="002320B1">
            <w:pPr>
              <w:spacing w:before="120" w:after="0" w:line="240" w:lineRule="auto"/>
              <w:jc w:val="right"/>
              <w:rPr>
                <w:rFonts w:ascii="Arial" w:eastAsia="Times New Roman" w:hAnsi="Arial" w:cs="Arial"/>
                <w:color w:val="000000"/>
                <w:sz w:val="20"/>
                <w:lang w:eastAsia="en-NZ"/>
              </w:rPr>
            </w:pPr>
            <w:r w:rsidRPr="00D979E7">
              <w:rPr>
                <w:rFonts w:ascii="Arial" w:eastAsia="Times New Roman" w:hAnsi="Arial" w:cs="Arial"/>
                <w:color w:val="000000"/>
                <w:sz w:val="20"/>
                <w:lang w:eastAsia="en-NZ"/>
              </w:rPr>
              <w:t>-0.0</w:t>
            </w:r>
            <w:r w:rsidR="00BC2FA6" w:rsidRPr="00D979E7">
              <w:rPr>
                <w:rFonts w:ascii="Arial" w:eastAsia="Times New Roman" w:hAnsi="Arial" w:cs="Arial"/>
                <w:color w:val="000000"/>
                <w:sz w:val="20"/>
                <w:lang w:eastAsia="en-NZ"/>
              </w:rPr>
              <w:t>1</w:t>
            </w:r>
          </w:p>
        </w:tc>
      </w:tr>
      <w:tr w:rsidR="005C0CCB" w:rsidRPr="00D979E7" w14:paraId="79E7BA9D" w14:textId="77777777" w:rsidTr="0036560B">
        <w:trPr>
          <w:trHeight w:val="300"/>
        </w:trPr>
        <w:tc>
          <w:tcPr>
            <w:tcW w:w="0" w:type="auto"/>
            <w:noWrap/>
            <w:hideMark/>
          </w:tcPr>
          <w:p w14:paraId="4987B91E" w14:textId="653DC96D" w:rsidR="005C0CCB" w:rsidRPr="00D979E7" w:rsidRDefault="00FA3755" w:rsidP="002320B1">
            <w:pPr>
              <w:spacing w:before="120" w:after="0" w:line="240" w:lineRule="auto"/>
              <w:rPr>
                <w:rFonts w:ascii="Arial" w:eastAsia="Times New Roman" w:hAnsi="Arial" w:cs="Arial"/>
                <w:color w:val="000000"/>
                <w:sz w:val="20"/>
                <w:lang w:eastAsia="en-NZ"/>
              </w:rPr>
            </w:pPr>
            <w:r w:rsidRPr="00D979E7">
              <w:rPr>
                <w:rFonts w:ascii="Arial" w:eastAsia="Times New Roman" w:hAnsi="Arial" w:cs="Arial"/>
                <w:color w:val="000000"/>
                <w:sz w:val="20"/>
                <w:lang w:eastAsia="en-NZ"/>
              </w:rPr>
              <w:t xml:space="preserve">Average difference in age between start </w:t>
            </w:r>
            <w:r w:rsidR="00081A80" w:rsidRPr="00D979E7">
              <w:rPr>
                <w:rFonts w:ascii="Arial" w:eastAsia="Times New Roman" w:hAnsi="Arial" w:cs="Arial"/>
                <w:color w:val="000000"/>
                <w:sz w:val="20"/>
                <w:lang w:eastAsia="en-NZ"/>
              </w:rPr>
              <w:t xml:space="preserve">and end </w:t>
            </w:r>
            <w:r w:rsidRPr="00D979E7">
              <w:rPr>
                <w:rFonts w:ascii="Arial" w:eastAsia="Times New Roman" w:hAnsi="Arial" w:cs="Arial"/>
                <w:color w:val="000000"/>
                <w:sz w:val="20"/>
                <w:lang w:eastAsia="en-NZ"/>
              </w:rPr>
              <w:t>of observation periods</w:t>
            </w:r>
          </w:p>
        </w:tc>
        <w:tc>
          <w:tcPr>
            <w:tcW w:w="2347" w:type="dxa"/>
            <w:noWrap/>
            <w:hideMark/>
          </w:tcPr>
          <w:p w14:paraId="76D58F4F" w14:textId="77777777" w:rsidR="005C0CCB" w:rsidRPr="00D979E7" w:rsidRDefault="005C0CCB" w:rsidP="002320B1">
            <w:pPr>
              <w:spacing w:before="120" w:after="0" w:line="240" w:lineRule="auto"/>
              <w:jc w:val="right"/>
              <w:rPr>
                <w:rFonts w:ascii="Arial" w:eastAsia="Times New Roman" w:hAnsi="Arial" w:cs="Arial"/>
                <w:color w:val="000000"/>
                <w:sz w:val="20"/>
                <w:lang w:eastAsia="en-NZ"/>
              </w:rPr>
            </w:pPr>
            <w:r w:rsidRPr="00D979E7">
              <w:rPr>
                <w:rFonts w:ascii="Arial" w:eastAsia="Times New Roman" w:hAnsi="Arial" w:cs="Arial"/>
                <w:color w:val="000000"/>
                <w:sz w:val="20"/>
                <w:lang w:eastAsia="en-NZ"/>
              </w:rPr>
              <w:t>1.40</w:t>
            </w:r>
          </w:p>
        </w:tc>
      </w:tr>
      <w:tr w:rsidR="00072253" w:rsidRPr="00D979E7" w14:paraId="584F0582" w14:textId="77777777" w:rsidTr="0036560B">
        <w:trPr>
          <w:trHeight w:val="300"/>
        </w:trPr>
        <w:tc>
          <w:tcPr>
            <w:tcW w:w="0" w:type="auto"/>
            <w:noWrap/>
            <w:hideMark/>
          </w:tcPr>
          <w:p w14:paraId="49EF0F0C" w14:textId="77777777" w:rsidR="00072253" w:rsidRPr="00D979E7" w:rsidRDefault="00072253" w:rsidP="002320B1">
            <w:pPr>
              <w:spacing w:before="120" w:after="0" w:line="240" w:lineRule="auto"/>
              <w:rPr>
                <w:rFonts w:ascii="Arial" w:eastAsia="Times New Roman" w:hAnsi="Arial" w:cs="Arial"/>
                <w:color w:val="000000"/>
                <w:sz w:val="20"/>
                <w:lang w:eastAsia="en-NZ"/>
              </w:rPr>
            </w:pPr>
            <w:r w:rsidRPr="00D979E7">
              <w:rPr>
                <w:rFonts w:ascii="Arial" w:eastAsia="Times New Roman" w:hAnsi="Arial" w:cs="Arial"/>
                <w:color w:val="000000"/>
                <w:sz w:val="20"/>
                <w:lang w:eastAsia="en-NZ"/>
              </w:rPr>
              <w:t>Rate difference due to age</w:t>
            </w:r>
          </w:p>
        </w:tc>
        <w:tc>
          <w:tcPr>
            <w:tcW w:w="2347" w:type="dxa"/>
            <w:noWrap/>
            <w:vAlign w:val="bottom"/>
            <w:hideMark/>
          </w:tcPr>
          <w:p w14:paraId="73211C7E" w14:textId="5321A320" w:rsidR="00072253" w:rsidRPr="00D979E7" w:rsidRDefault="00072253" w:rsidP="002320B1">
            <w:pPr>
              <w:spacing w:before="120" w:after="0" w:line="240" w:lineRule="auto"/>
              <w:jc w:val="right"/>
              <w:rPr>
                <w:rFonts w:ascii="Arial" w:eastAsia="Times New Roman" w:hAnsi="Arial" w:cs="Arial"/>
                <w:color w:val="000000"/>
                <w:sz w:val="20"/>
                <w:lang w:eastAsia="en-NZ"/>
              </w:rPr>
            </w:pPr>
            <w:r w:rsidRPr="00D979E7">
              <w:rPr>
                <w:rFonts w:ascii="Arial" w:hAnsi="Arial" w:cs="Arial"/>
                <w:color w:val="000000"/>
                <w:sz w:val="20"/>
              </w:rPr>
              <w:t>-0.013</w:t>
            </w:r>
          </w:p>
        </w:tc>
      </w:tr>
      <w:tr w:rsidR="00072253" w:rsidRPr="00D979E7" w14:paraId="778F3E59" w14:textId="77777777" w:rsidTr="0036560B">
        <w:trPr>
          <w:trHeight w:val="300"/>
        </w:trPr>
        <w:tc>
          <w:tcPr>
            <w:tcW w:w="0" w:type="auto"/>
            <w:noWrap/>
            <w:hideMark/>
          </w:tcPr>
          <w:p w14:paraId="6A933041" w14:textId="5D9FFECB" w:rsidR="00072253" w:rsidRPr="00D979E7" w:rsidRDefault="00072253" w:rsidP="002320B1">
            <w:pPr>
              <w:spacing w:before="120" w:after="0" w:line="240" w:lineRule="auto"/>
              <w:rPr>
                <w:rFonts w:ascii="Arial" w:eastAsia="Times New Roman" w:hAnsi="Arial" w:cs="Arial"/>
                <w:color w:val="000000"/>
                <w:sz w:val="20"/>
                <w:lang w:eastAsia="en-NZ"/>
              </w:rPr>
            </w:pPr>
            <w:r w:rsidRPr="00D979E7">
              <w:rPr>
                <w:rFonts w:ascii="Arial" w:eastAsia="Times New Roman" w:hAnsi="Arial" w:cs="Arial"/>
                <w:color w:val="000000"/>
                <w:sz w:val="20"/>
                <w:lang w:eastAsia="en-NZ"/>
              </w:rPr>
              <w:t xml:space="preserve"># of </w:t>
            </w:r>
            <w:r w:rsidR="00FA3755" w:rsidRPr="00D979E7">
              <w:rPr>
                <w:rFonts w:ascii="Arial" w:eastAsia="Times New Roman" w:hAnsi="Arial" w:cs="Arial"/>
                <w:color w:val="000000"/>
                <w:sz w:val="20"/>
                <w:lang w:eastAsia="en-NZ"/>
              </w:rPr>
              <w:t>decreased h</w:t>
            </w:r>
            <w:r w:rsidRPr="00D979E7">
              <w:rPr>
                <w:rFonts w:ascii="Arial" w:eastAsia="Times New Roman" w:hAnsi="Arial" w:cs="Arial"/>
                <w:color w:val="000000"/>
                <w:sz w:val="20"/>
                <w:lang w:eastAsia="en-NZ"/>
              </w:rPr>
              <w:t>ospitalisations due to age</w:t>
            </w:r>
          </w:p>
        </w:tc>
        <w:tc>
          <w:tcPr>
            <w:tcW w:w="2347" w:type="dxa"/>
            <w:noWrap/>
            <w:vAlign w:val="bottom"/>
            <w:hideMark/>
          </w:tcPr>
          <w:p w14:paraId="2BAF1A43" w14:textId="182059F7" w:rsidR="00072253" w:rsidRPr="00D979E7" w:rsidRDefault="00072253" w:rsidP="002320B1">
            <w:pPr>
              <w:spacing w:before="120" w:after="0" w:line="240" w:lineRule="auto"/>
              <w:jc w:val="right"/>
              <w:rPr>
                <w:rFonts w:ascii="Arial" w:eastAsia="Times New Roman" w:hAnsi="Arial" w:cs="Arial"/>
                <w:color w:val="000000"/>
                <w:sz w:val="20"/>
                <w:lang w:eastAsia="en-NZ"/>
              </w:rPr>
            </w:pPr>
            <w:r w:rsidRPr="00D979E7">
              <w:rPr>
                <w:rFonts w:ascii="Arial" w:hAnsi="Arial" w:cs="Arial"/>
                <w:color w:val="000000"/>
                <w:sz w:val="20"/>
              </w:rPr>
              <w:t>21.36</w:t>
            </w:r>
          </w:p>
        </w:tc>
      </w:tr>
      <w:tr w:rsidR="005C0CCB" w:rsidRPr="00D979E7" w14:paraId="3E6C3A05" w14:textId="77777777" w:rsidTr="0036560B">
        <w:trPr>
          <w:trHeight w:val="300"/>
        </w:trPr>
        <w:tc>
          <w:tcPr>
            <w:tcW w:w="0" w:type="auto"/>
            <w:noWrap/>
            <w:hideMark/>
          </w:tcPr>
          <w:p w14:paraId="4D57DD82" w14:textId="36ADABF7" w:rsidR="005C0CCB" w:rsidRPr="00D979E7" w:rsidRDefault="00072253" w:rsidP="002320B1">
            <w:pPr>
              <w:spacing w:before="120" w:after="0" w:line="240" w:lineRule="auto"/>
              <w:rPr>
                <w:rFonts w:ascii="Arial" w:eastAsia="Times New Roman" w:hAnsi="Arial" w:cs="Arial"/>
                <w:color w:val="000000"/>
                <w:sz w:val="20"/>
                <w:lang w:eastAsia="en-NZ"/>
              </w:rPr>
            </w:pPr>
            <w:r w:rsidRPr="00D979E7">
              <w:rPr>
                <w:rFonts w:ascii="Arial" w:eastAsia="Times New Roman" w:hAnsi="Arial" w:cs="Arial"/>
                <w:color w:val="000000"/>
                <w:sz w:val="20"/>
                <w:lang w:eastAsia="en-NZ"/>
              </w:rPr>
              <w:t xml:space="preserve">Ratio of age adjusted </w:t>
            </w:r>
            <w:r w:rsidR="00081A80" w:rsidRPr="00D979E7">
              <w:rPr>
                <w:rFonts w:ascii="Arial" w:eastAsia="Times New Roman" w:hAnsi="Arial" w:cs="Arial"/>
                <w:color w:val="000000"/>
                <w:sz w:val="20"/>
                <w:lang w:eastAsia="en-NZ"/>
              </w:rPr>
              <w:t>Before-After</w:t>
            </w:r>
            <w:r w:rsidRPr="00D979E7">
              <w:rPr>
                <w:rFonts w:ascii="Arial" w:eastAsia="Times New Roman" w:hAnsi="Arial" w:cs="Arial"/>
                <w:color w:val="000000"/>
                <w:sz w:val="20"/>
                <w:lang w:eastAsia="en-NZ"/>
              </w:rPr>
              <w:t xml:space="preserve"> hospitalisations (</w:t>
            </w:r>
            <w:r w:rsidR="002056F5" w:rsidRPr="00D979E7">
              <w:rPr>
                <w:rFonts w:ascii="Arial" w:eastAsia="Times New Roman" w:hAnsi="Arial" w:cs="Arial"/>
                <w:color w:val="000000"/>
                <w:sz w:val="20"/>
                <w:lang w:eastAsia="en-NZ"/>
              </w:rPr>
              <w:t xml:space="preserve">from </w:t>
            </w:r>
            <w:r w:rsidRPr="00D979E7">
              <w:rPr>
                <w:rFonts w:ascii="Arial" w:eastAsia="Times New Roman" w:hAnsi="Arial" w:cs="Arial"/>
                <w:color w:val="000000"/>
                <w:sz w:val="20"/>
                <w:lang w:eastAsia="en-NZ"/>
              </w:rPr>
              <w:t>PAHHE not HSH)</w:t>
            </w:r>
          </w:p>
        </w:tc>
        <w:tc>
          <w:tcPr>
            <w:tcW w:w="2347" w:type="dxa"/>
            <w:noWrap/>
            <w:hideMark/>
          </w:tcPr>
          <w:p w14:paraId="3ED9A3C3" w14:textId="2381DF7A" w:rsidR="005C0CCB" w:rsidRPr="00D979E7" w:rsidRDefault="00072253" w:rsidP="002320B1">
            <w:pPr>
              <w:spacing w:before="120" w:after="0" w:line="240" w:lineRule="auto"/>
              <w:jc w:val="right"/>
              <w:rPr>
                <w:rFonts w:ascii="Arial" w:eastAsia="Times New Roman" w:hAnsi="Arial" w:cs="Arial"/>
                <w:color w:val="000000"/>
                <w:sz w:val="20"/>
                <w:lang w:eastAsia="en-NZ"/>
              </w:rPr>
            </w:pPr>
            <w:r w:rsidRPr="00D979E7">
              <w:rPr>
                <w:rFonts w:ascii="Arial" w:eastAsia="Times New Roman" w:hAnsi="Arial" w:cs="Arial"/>
                <w:color w:val="000000"/>
                <w:sz w:val="20"/>
                <w:lang w:eastAsia="en-NZ"/>
              </w:rPr>
              <w:t>1.48</w:t>
            </w:r>
          </w:p>
        </w:tc>
      </w:tr>
      <w:tr w:rsidR="005C0CCB" w:rsidRPr="00D979E7" w14:paraId="58F7219F" w14:textId="77777777" w:rsidTr="0036560B">
        <w:trPr>
          <w:trHeight w:val="300"/>
        </w:trPr>
        <w:tc>
          <w:tcPr>
            <w:tcW w:w="0" w:type="auto"/>
            <w:noWrap/>
          </w:tcPr>
          <w:p w14:paraId="58FAA4E9" w14:textId="006860BE" w:rsidR="005C0CCB" w:rsidRPr="00D979E7" w:rsidRDefault="00256B84" w:rsidP="002320B1">
            <w:pPr>
              <w:spacing w:before="120" w:after="0" w:line="240" w:lineRule="auto"/>
              <w:rPr>
                <w:rFonts w:ascii="Arial" w:eastAsia="Times New Roman" w:hAnsi="Arial" w:cs="Arial"/>
                <w:color w:val="000000"/>
                <w:sz w:val="20"/>
                <w:lang w:eastAsia="en-NZ"/>
              </w:rPr>
            </w:pPr>
            <w:r w:rsidRPr="00D979E7">
              <w:rPr>
                <w:rFonts w:ascii="Arial" w:eastAsia="Times New Roman" w:hAnsi="Arial" w:cs="Arial"/>
                <w:color w:val="000000"/>
                <w:sz w:val="20"/>
                <w:lang w:eastAsia="en-NZ"/>
              </w:rPr>
              <w:t xml:space="preserve">‘Before’ hospitalisation count estimate, </w:t>
            </w:r>
            <w:r w:rsidRPr="00D979E7">
              <w:rPr>
                <w:rFonts w:ascii="Arial" w:eastAsia="Times New Roman" w:hAnsi="Arial" w:cs="Arial"/>
                <w:i/>
                <w:color w:val="000000"/>
                <w:sz w:val="20"/>
                <w:lang w:eastAsia="en-NZ"/>
              </w:rPr>
              <w:t>adjusted for age and selection bias</w:t>
            </w:r>
          </w:p>
        </w:tc>
        <w:tc>
          <w:tcPr>
            <w:tcW w:w="2347" w:type="dxa"/>
            <w:noWrap/>
          </w:tcPr>
          <w:p w14:paraId="5680E97B" w14:textId="77777777" w:rsidR="00072253" w:rsidRPr="00D979E7" w:rsidRDefault="00072253" w:rsidP="002320B1">
            <w:pPr>
              <w:spacing w:before="120" w:after="0" w:line="240" w:lineRule="auto"/>
              <w:jc w:val="right"/>
              <w:rPr>
                <w:rFonts w:ascii="Arial" w:eastAsia="Times New Roman" w:hAnsi="Arial" w:cs="Arial"/>
                <w:color w:val="000000"/>
                <w:sz w:val="20"/>
              </w:rPr>
            </w:pPr>
            <w:r w:rsidRPr="00D979E7">
              <w:rPr>
                <w:rFonts w:ascii="Arial" w:hAnsi="Arial" w:cs="Arial"/>
                <w:color w:val="000000"/>
                <w:sz w:val="20"/>
              </w:rPr>
              <w:t>134.68</w:t>
            </w:r>
          </w:p>
          <w:p w14:paraId="22956958" w14:textId="4867102E" w:rsidR="005C0CCB" w:rsidRPr="00D979E7" w:rsidRDefault="005C0CCB" w:rsidP="002320B1">
            <w:pPr>
              <w:spacing w:before="120" w:after="0" w:line="240" w:lineRule="auto"/>
              <w:jc w:val="right"/>
              <w:rPr>
                <w:rFonts w:ascii="Arial" w:eastAsia="Times New Roman" w:hAnsi="Arial" w:cs="Arial"/>
                <w:color w:val="000000"/>
                <w:sz w:val="20"/>
                <w:lang w:eastAsia="en-NZ"/>
              </w:rPr>
            </w:pPr>
          </w:p>
        </w:tc>
      </w:tr>
      <w:tr w:rsidR="00D21DFF" w:rsidRPr="00D979E7" w14:paraId="06EB0559" w14:textId="77777777" w:rsidTr="0036560B">
        <w:trPr>
          <w:trHeight w:val="300"/>
        </w:trPr>
        <w:tc>
          <w:tcPr>
            <w:tcW w:w="9021" w:type="dxa"/>
            <w:gridSpan w:val="2"/>
            <w:shd w:val="clear" w:color="auto" w:fill="E7E6E6" w:themeFill="background2"/>
            <w:noWrap/>
          </w:tcPr>
          <w:p w14:paraId="4C12C3B6" w14:textId="3C404BF1" w:rsidR="00D21DFF" w:rsidRPr="00D979E7" w:rsidRDefault="00D21DFF" w:rsidP="002320B1">
            <w:pPr>
              <w:spacing w:before="120" w:after="0" w:line="240" w:lineRule="auto"/>
              <w:rPr>
                <w:rFonts w:ascii="Arial" w:hAnsi="Arial" w:cs="Arial"/>
                <w:color w:val="000000"/>
                <w:sz w:val="20"/>
                <w:highlight w:val="yellow"/>
              </w:rPr>
            </w:pPr>
            <w:r w:rsidRPr="00D979E7">
              <w:rPr>
                <w:rFonts w:ascii="Arial" w:eastAsia="Times New Roman" w:hAnsi="Arial" w:cs="Arial"/>
                <w:color w:val="000000"/>
                <w:sz w:val="20"/>
                <w:lang w:eastAsia="en-NZ"/>
              </w:rPr>
              <w:t xml:space="preserve">Adjusting for selection bias </w:t>
            </w:r>
          </w:p>
        </w:tc>
      </w:tr>
      <w:tr w:rsidR="005C0CCB" w:rsidRPr="00D979E7" w14:paraId="5945AF46" w14:textId="77777777" w:rsidTr="0036560B">
        <w:trPr>
          <w:trHeight w:val="300"/>
        </w:trPr>
        <w:tc>
          <w:tcPr>
            <w:tcW w:w="0" w:type="auto"/>
            <w:shd w:val="clear" w:color="auto" w:fill="FFFF00"/>
            <w:noWrap/>
          </w:tcPr>
          <w:p w14:paraId="50C2BDC0" w14:textId="2F1C5F96" w:rsidR="005C0CCB" w:rsidRPr="00D979E7" w:rsidRDefault="00072253" w:rsidP="002320B1">
            <w:pPr>
              <w:spacing w:before="120" w:after="0" w:line="240" w:lineRule="auto"/>
              <w:rPr>
                <w:rFonts w:ascii="Arial" w:eastAsia="Times New Roman" w:hAnsi="Arial" w:cs="Arial"/>
                <w:color w:val="000000"/>
                <w:sz w:val="20"/>
                <w:highlight w:val="yellow"/>
                <w:lang w:eastAsia="en-NZ"/>
              </w:rPr>
            </w:pPr>
            <w:r w:rsidRPr="00D979E7">
              <w:rPr>
                <w:rFonts w:ascii="Arial" w:eastAsia="Times New Roman" w:hAnsi="Arial" w:cs="Arial"/>
                <w:color w:val="000000"/>
                <w:sz w:val="20"/>
                <w:highlight w:val="yellow"/>
                <w:lang w:eastAsia="en-NZ"/>
              </w:rPr>
              <w:t>Implied selection bias</w:t>
            </w:r>
          </w:p>
        </w:tc>
        <w:tc>
          <w:tcPr>
            <w:tcW w:w="2347" w:type="dxa"/>
            <w:shd w:val="clear" w:color="auto" w:fill="FFFF00"/>
            <w:noWrap/>
          </w:tcPr>
          <w:p w14:paraId="59F64F1B" w14:textId="47AB87CF" w:rsidR="005C0CCB" w:rsidRPr="00D979E7" w:rsidRDefault="00072253" w:rsidP="002320B1">
            <w:pPr>
              <w:spacing w:before="120" w:after="0" w:line="240" w:lineRule="auto"/>
              <w:jc w:val="right"/>
              <w:rPr>
                <w:rFonts w:ascii="Arial" w:eastAsia="Times New Roman" w:hAnsi="Arial" w:cs="Arial"/>
                <w:color w:val="000000"/>
                <w:sz w:val="20"/>
                <w:highlight w:val="yellow"/>
                <w:lang w:eastAsia="en-NZ"/>
              </w:rPr>
            </w:pPr>
            <w:r w:rsidRPr="00D979E7">
              <w:rPr>
                <w:rFonts w:ascii="Arial" w:hAnsi="Arial" w:cs="Arial"/>
                <w:color w:val="000000"/>
                <w:sz w:val="20"/>
                <w:highlight w:val="yellow"/>
              </w:rPr>
              <w:t>228.96</w:t>
            </w:r>
          </w:p>
        </w:tc>
      </w:tr>
      <w:tr w:rsidR="002A2CAB" w:rsidRPr="00D979E7" w14:paraId="70A38413" w14:textId="77777777" w:rsidTr="0036560B">
        <w:trPr>
          <w:trHeight w:val="300"/>
        </w:trPr>
        <w:tc>
          <w:tcPr>
            <w:tcW w:w="9021" w:type="dxa"/>
            <w:gridSpan w:val="2"/>
            <w:shd w:val="clear" w:color="auto" w:fill="E7E6E6" w:themeFill="background2"/>
            <w:noWrap/>
          </w:tcPr>
          <w:p w14:paraId="0816E032" w14:textId="03CB11F5" w:rsidR="002A2CAB" w:rsidRPr="00D979E7" w:rsidRDefault="002A2CAB" w:rsidP="002320B1">
            <w:pPr>
              <w:spacing w:before="120" w:after="0" w:line="240" w:lineRule="auto"/>
              <w:rPr>
                <w:rFonts w:ascii="Arial" w:eastAsia="Times New Roman" w:hAnsi="Arial" w:cs="Arial"/>
                <w:color w:val="000000"/>
                <w:sz w:val="20"/>
                <w:lang w:eastAsia="en-NZ"/>
              </w:rPr>
            </w:pPr>
            <w:r w:rsidRPr="00D979E7">
              <w:rPr>
                <w:rFonts w:ascii="Arial" w:eastAsia="Times New Roman" w:hAnsi="Arial" w:cs="Arial"/>
                <w:color w:val="000000"/>
                <w:sz w:val="20"/>
                <w:lang w:eastAsia="en-NZ"/>
              </w:rPr>
              <w:t>Summary of effect attributable to HHI</w:t>
            </w:r>
          </w:p>
        </w:tc>
      </w:tr>
      <w:tr w:rsidR="00D2496C" w:rsidRPr="00D979E7" w14:paraId="38615EF9" w14:textId="77777777" w:rsidTr="0036560B">
        <w:trPr>
          <w:trHeight w:val="300"/>
        </w:trPr>
        <w:tc>
          <w:tcPr>
            <w:tcW w:w="0" w:type="auto"/>
            <w:noWrap/>
          </w:tcPr>
          <w:p w14:paraId="4C0EC9A8" w14:textId="376C3695" w:rsidR="00D2496C" w:rsidRPr="00D979E7" w:rsidRDefault="00D2496C" w:rsidP="002320B1">
            <w:pPr>
              <w:spacing w:before="120" w:after="0" w:line="240" w:lineRule="auto"/>
              <w:rPr>
                <w:rFonts w:ascii="Arial" w:eastAsia="Times New Roman" w:hAnsi="Arial" w:cs="Arial"/>
                <w:color w:val="000000"/>
                <w:sz w:val="20"/>
                <w:lang w:eastAsia="en-NZ"/>
              </w:rPr>
            </w:pPr>
            <w:r w:rsidRPr="00D979E7">
              <w:rPr>
                <w:rFonts w:ascii="Arial" w:eastAsia="Times New Roman" w:hAnsi="Arial" w:cs="Arial"/>
                <w:color w:val="000000"/>
                <w:sz w:val="20"/>
                <w:lang w:eastAsia="en-NZ"/>
              </w:rPr>
              <w:t xml:space="preserve">Prevented </w:t>
            </w:r>
            <w:r w:rsidR="002056F5" w:rsidRPr="00D979E7">
              <w:rPr>
                <w:rFonts w:ascii="Arial" w:eastAsia="Times New Roman" w:hAnsi="Arial" w:cs="Arial"/>
                <w:color w:val="000000"/>
                <w:sz w:val="20"/>
                <w:lang w:eastAsia="en-NZ"/>
              </w:rPr>
              <w:t>h</w:t>
            </w:r>
            <w:r w:rsidRPr="00D979E7">
              <w:rPr>
                <w:rFonts w:ascii="Arial" w:eastAsia="Times New Roman" w:hAnsi="Arial" w:cs="Arial"/>
                <w:color w:val="000000"/>
                <w:sz w:val="20"/>
                <w:lang w:eastAsia="en-NZ"/>
              </w:rPr>
              <w:t>ospitalisations in sample (HSH)</w:t>
            </w:r>
          </w:p>
        </w:tc>
        <w:tc>
          <w:tcPr>
            <w:tcW w:w="2347" w:type="dxa"/>
            <w:noWrap/>
            <w:vAlign w:val="bottom"/>
          </w:tcPr>
          <w:p w14:paraId="6E5B1C80" w14:textId="16C3D7EF" w:rsidR="00D2496C" w:rsidRPr="00D979E7" w:rsidRDefault="00D2496C" w:rsidP="002320B1">
            <w:pPr>
              <w:spacing w:before="120" w:after="0" w:line="240" w:lineRule="auto"/>
              <w:jc w:val="right"/>
              <w:rPr>
                <w:rFonts w:ascii="Arial" w:eastAsia="Times New Roman" w:hAnsi="Arial" w:cs="Arial"/>
                <w:color w:val="000000"/>
                <w:sz w:val="20"/>
                <w:lang w:eastAsia="en-NZ"/>
              </w:rPr>
            </w:pPr>
            <w:r w:rsidRPr="00D979E7">
              <w:rPr>
                <w:rFonts w:ascii="Arial" w:hAnsi="Arial" w:cs="Arial"/>
                <w:color w:val="000000"/>
                <w:sz w:val="20"/>
              </w:rPr>
              <w:t>43.68</w:t>
            </w:r>
          </w:p>
        </w:tc>
      </w:tr>
      <w:tr w:rsidR="00D2496C" w:rsidRPr="00D979E7" w14:paraId="6D4A7CAC" w14:textId="77777777" w:rsidTr="0036560B">
        <w:trPr>
          <w:trHeight w:val="300"/>
        </w:trPr>
        <w:tc>
          <w:tcPr>
            <w:tcW w:w="0" w:type="auto"/>
            <w:noWrap/>
          </w:tcPr>
          <w:p w14:paraId="0A8555B2" w14:textId="505C99A4" w:rsidR="00D2496C" w:rsidRPr="00D979E7" w:rsidRDefault="00D2496C" w:rsidP="002320B1">
            <w:pPr>
              <w:spacing w:before="120" w:after="0" w:line="240" w:lineRule="auto"/>
              <w:rPr>
                <w:rFonts w:ascii="Arial" w:eastAsia="Times New Roman" w:hAnsi="Arial" w:cs="Arial"/>
                <w:color w:val="000000"/>
                <w:sz w:val="20"/>
                <w:lang w:eastAsia="en-NZ"/>
              </w:rPr>
            </w:pPr>
            <w:r w:rsidRPr="00D979E7">
              <w:rPr>
                <w:rFonts w:ascii="Arial" w:eastAsia="Times New Roman" w:hAnsi="Arial" w:cs="Arial"/>
                <w:color w:val="000000"/>
                <w:sz w:val="20"/>
                <w:lang w:eastAsia="en-NZ"/>
              </w:rPr>
              <w:t>Rate</w:t>
            </w:r>
            <w:r w:rsidR="00334D0E" w:rsidRPr="00D979E7">
              <w:rPr>
                <w:rFonts w:ascii="Arial" w:eastAsia="Times New Roman" w:hAnsi="Arial" w:cs="Arial"/>
                <w:color w:val="000000"/>
                <w:sz w:val="20"/>
                <w:lang w:eastAsia="en-NZ"/>
              </w:rPr>
              <w:t xml:space="preserve"> of prevented hospitalisations</w:t>
            </w:r>
            <w:r w:rsidRPr="00D979E7">
              <w:rPr>
                <w:rFonts w:ascii="Arial" w:eastAsia="Times New Roman" w:hAnsi="Arial" w:cs="Arial"/>
                <w:color w:val="000000"/>
                <w:sz w:val="20"/>
                <w:lang w:eastAsia="en-NZ"/>
              </w:rPr>
              <w:t xml:space="preserve"> per referral (HSH)</w:t>
            </w:r>
          </w:p>
        </w:tc>
        <w:tc>
          <w:tcPr>
            <w:tcW w:w="2347" w:type="dxa"/>
            <w:noWrap/>
            <w:vAlign w:val="bottom"/>
          </w:tcPr>
          <w:p w14:paraId="38353BF8" w14:textId="723FAAE9" w:rsidR="00D2496C" w:rsidRPr="00D979E7" w:rsidRDefault="00D2496C" w:rsidP="002320B1">
            <w:pPr>
              <w:spacing w:before="120" w:after="0" w:line="240" w:lineRule="auto"/>
              <w:jc w:val="right"/>
              <w:rPr>
                <w:rFonts w:ascii="Arial" w:eastAsia="Times New Roman" w:hAnsi="Arial" w:cs="Arial"/>
                <w:color w:val="000000"/>
                <w:sz w:val="20"/>
                <w:lang w:eastAsia="en-NZ"/>
              </w:rPr>
            </w:pPr>
            <w:r w:rsidRPr="00D979E7">
              <w:rPr>
                <w:rFonts w:ascii="Arial" w:hAnsi="Arial" w:cs="Arial"/>
                <w:color w:val="000000"/>
                <w:sz w:val="20"/>
              </w:rPr>
              <w:t>0.027</w:t>
            </w:r>
          </w:p>
        </w:tc>
      </w:tr>
      <w:tr w:rsidR="00D2496C" w:rsidRPr="00D979E7" w14:paraId="09A0D7D7" w14:textId="77777777" w:rsidTr="0036560B">
        <w:trPr>
          <w:trHeight w:val="300"/>
        </w:trPr>
        <w:tc>
          <w:tcPr>
            <w:tcW w:w="0" w:type="auto"/>
            <w:noWrap/>
          </w:tcPr>
          <w:p w14:paraId="11C1B94D" w14:textId="1E24F17E" w:rsidR="00D2496C" w:rsidRPr="00D979E7" w:rsidRDefault="00D2496C" w:rsidP="002320B1">
            <w:pPr>
              <w:spacing w:before="120" w:after="0" w:line="240" w:lineRule="auto"/>
              <w:rPr>
                <w:rFonts w:ascii="Arial" w:eastAsia="Times New Roman" w:hAnsi="Arial" w:cs="Arial"/>
                <w:color w:val="000000"/>
                <w:sz w:val="20"/>
                <w:lang w:eastAsia="en-NZ"/>
              </w:rPr>
            </w:pPr>
            <w:r w:rsidRPr="00D979E7">
              <w:rPr>
                <w:rFonts w:ascii="Arial" w:eastAsia="Times New Roman" w:hAnsi="Arial" w:cs="Arial"/>
                <w:color w:val="000000"/>
                <w:sz w:val="20"/>
                <w:lang w:eastAsia="en-NZ"/>
              </w:rPr>
              <w:t xml:space="preserve">Prevented </w:t>
            </w:r>
            <w:r w:rsidR="0036560B" w:rsidRPr="00D979E7">
              <w:rPr>
                <w:rFonts w:ascii="Arial" w:eastAsia="Times New Roman" w:hAnsi="Arial" w:cs="Arial"/>
                <w:color w:val="000000"/>
                <w:sz w:val="20"/>
                <w:lang w:eastAsia="en-NZ"/>
              </w:rPr>
              <w:t>h</w:t>
            </w:r>
            <w:r w:rsidRPr="00D979E7">
              <w:rPr>
                <w:rFonts w:ascii="Arial" w:eastAsia="Times New Roman" w:hAnsi="Arial" w:cs="Arial"/>
                <w:color w:val="000000"/>
                <w:sz w:val="20"/>
                <w:lang w:eastAsia="en-NZ"/>
              </w:rPr>
              <w:t>ospitalisations in population (HSH)</w:t>
            </w:r>
          </w:p>
        </w:tc>
        <w:tc>
          <w:tcPr>
            <w:tcW w:w="2347" w:type="dxa"/>
            <w:noWrap/>
            <w:vAlign w:val="bottom"/>
          </w:tcPr>
          <w:p w14:paraId="4FEE7239" w14:textId="0F8CAA9A" w:rsidR="00D2496C" w:rsidRPr="00D979E7" w:rsidRDefault="00D2496C" w:rsidP="002320B1">
            <w:pPr>
              <w:spacing w:before="120" w:after="0" w:line="240" w:lineRule="auto"/>
              <w:jc w:val="right"/>
              <w:rPr>
                <w:rFonts w:ascii="Arial" w:eastAsia="Times New Roman" w:hAnsi="Arial" w:cs="Arial"/>
                <w:color w:val="000000"/>
                <w:sz w:val="20"/>
                <w:lang w:eastAsia="en-NZ"/>
              </w:rPr>
            </w:pPr>
            <w:r w:rsidRPr="00D979E7">
              <w:rPr>
                <w:rFonts w:ascii="Arial" w:hAnsi="Arial" w:cs="Arial"/>
                <w:color w:val="000000"/>
                <w:sz w:val="20"/>
              </w:rPr>
              <w:t>413.91</w:t>
            </w:r>
          </w:p>
        </w:tc>
      </w:tr>
    </w:tbl>
    <w:p w14:paraId="193D52C2" w14:textId="08024567" w:rsidR="0009144E" w:rsidRPr="00D979E7" w:rsidRDefault="0009144E" w:rsidP="00271FB7">
      <w:pPr>
        <w:spacing w:before="120" w:after="120" w:line="240" w:lineRule="auto"/>
        <w:rPr>
          <w:rFonts w:ascii="Arial" w:hAnsi="Arial" w:cs="Arial"/>
        </w:rPr>
      </w:pPr>
      <w:r w:rsidRPr="00D979E7">
        <w:rPr>
          <w:rFonts w:ascii="Arial" w:hAnsi="Arial" w:cs="Arial"/>
        </w:rPr>
        <w:t xml:space="preserve">We use the effect of age and </w:t>
      </w:r>
      <w:r w:rsidR="00AC3C90" w:rsidRPr="00D979E7">
        <w:rPr>
          <w:rFonts w:ascii="Arial" w:hAnsi="Arial" w:cs="Arial"/>
        </w:rPr>
        <w:t xml:space="preserve">the </w:t>
      </w:r>
      <w:r w:rsidRPr="00D979E7">
        <w:rPr>
          <w:rFonts w:ascii="Arial" w:hAnsi="Arial" w:cs="Arial"/>
        </w:rPr>
        <w:t xml:space="preserve">selection bias </w:t>
      </w:r>
      <w:r w:rsidR="00AC3C90" w:rsidRPr="00D979E7">
        <w:rPr>
          <w:rFonts w:ascii="Arial" w:hAnsi="Arial" w:cs="Arial"/>
        </w:rPr>
        <w:t xml:space="preserve">calculated above </w:t>
      </w:r>
      <w:r w:rsidRPr="00D979E7">
        <w:rPr>
          <w:rFonts w:ascii="Arial" w:hAnsi="Arial" w:cs="Arial"/>
        </w:rPr>
        <w:t xml:space="preserve">(228.96) to adjust the observed before </w:t>
      </w:r>
      <w:r w:rsidR="00AC3C90" w:rsidRPr="00D979E7">
        <w:rPr>
          <w:rFonts w:ascii="Arial" w:hAnsi="Arial" w:cs="Arial"/>
        </w:rPr>
        <w:t xml:space="preserve">number of </w:t>
      </w:r>
      <w:r w:rsidRPr="00D979E7">
        <w:rPr>
          <w:rFonts w:ascii="Arial" w:hAnsi="Arial" w:cs="Arial"/>
        </w:rPr>
        <w:t>hospitalisations</w:t>
      </w:r>
      <w:r w:rsidR="00AC3C90" w:rsidRPr="00D979E7">
        <w:rPr>
          <w:rFonts w:ascii="Arial" w:hAnsi="Arial" w:cs="Arial"/>
        </w:rPr>
        <w:t xml:space="preserve"> and calculate the average difference in the year following the intervention across all referrals</w:t>
      </w:r>
      <w:r w:rsidRPr="00D979E7">
        <w:rPr>
          <w:rFonts w:ascii="Arial" w:hAnsi="Arial" w:cs="Arial"/>
        </w:rPr>
        <w:t>. This allows us to estimate the number of</w:t>
      </w:r>
      <w:r w:rsidR="003F5BBB" w:rsidRPr="00D979E7">
        <w:rPr>
          <w:rFonts w:ascii="Arial" w:hAnsi="Arial" w:cs="Arial"/>
        </w:rPr>
        <w:t xml:space="preserve"> prevented</w:t>
      </w:r>
      <w:r w:rsidRPr="00D979E7">
        <w:rPr>
          <w:rFonts w:ascii="Arial" w:hAnsi="Arial" w:cs="Arial"/>
        </w:rPr>
        <w:t xml:space="preserve"> hospitalisations </w:t>
      </w:r>
      <w:r w:rsidR="00F15D50" w:rsidRPr="00D979E7">
        <w:rPr>
          <w:rFonts w:ascii="Arial" w:hAnsi="Arial" w:cs="Arial"/>
        </w:rPr>
        <w:t xml:space="preserve">attributable to </w:t>
      </w:r>
      <w:r w:rsidRPr="00D979E7">
        <w:rPr>
          <w:rFonts w:ascii="Arial" w:hAnsi="Arial" w:cs="Arial"/>
        </w:rPr>
        <w:t>the programme in the 12</w:t>
      </w:r>
      <w:r w:rsidR="003F5BBB" w:rsidRPr="00D979E7">
        <w:rPr>
          <w:rFonts w:ascii="Arial" w:hAnsi="Arial" w:cs="Arial"/>
        </w:rPr>
        <w:t xml:space="preserve"> months following the intervention</w:t>
      </w:r>
      <w:r w:rsidRPr="00D979E7">
        <w:rPr>
          <w:rFonts w:ascii="Arial" w:hAnsi="Arial" w:cs="Arial"/>
        </w:rPr>
        <w:t xml:space="preserve"> in the sample </w:t>
      </w:r>
      <w:r w:rsidR="00AC3C90" w:rsidRPr="00D979E7">
        <w:rPr>
          <w:rFonts w:ascii="Arial" w:hAnsi="Arial" w:cs="Arial"/>
        </w:rPr>
        <w:t>(</w:t>
      </w:r>
      <w:r w:rsidRPr="00D979E7">
        <w:rPr>
          <w:rFonts w:ascii="Arial" w:hAnsi="Arial" w:cs="Arial"/>
        </w:rPr>
        <w:t>160.78</w:t>
      </w:r>
      <w:r w:rsidR="00AC3C90" w:rsidRPr="00D979E7">
        <w:rPr>
          <w:rFonts w:ascii="Arial" w:hAnsi="Arial" w:cs="Arial"/>
        </w:rPr>
        <w:t>)</w:t>
      </w:r>
      <w:r w:rsidRPr="00D979E7">
        <w:rPr>
          <w:rFonts w:ascii="Arial" w:hAnsi="Arial" w:cs="Arial"/>
        </w:rPr>
        <w:t xml:space="preserve"> and hence in the wider population</w:t>
      </w:r>
      <w:r w:rsidR="00F15D50" w:rsidRPr="00D979E7">
        <w:rPr>
          <w:rFonts w:ascii="Arial" w:hAnsi="Arial" w:cs="Arial"/>
        </w:rPr>
        <w:t xml:space="preserve"> of all referrals received by HHI providers</w:t>
      </w:r>
      <w:r w:rsidR="003F5BBB" w:rsidRPr="00D979E7">
        <w:rPr>
          <w:rFonts w:ascii="Arial" w:hAnsi="Arial" w:cs="Arial"/>
        </w:rPr>
        <w:t xml:space="preserve"> </w:t>
      </w:r>
      <w:r w:rsidR="00AC3C90" w:rsidRPr="00D979E7">
        <w:rPr>
          <w:rFonts w:ascii="Arial" w:hAnsi="Arial" w:cs="Arial"/>
        </w:rPr>
        <w:t>(</w:t>
      </w:r>
      <w:r w:rsidR="003F5BBB" w:rsidRPr="00D979E7">
        <w:rPr>
          <w:rFonts w:ascii="Arial" w:hAnsi="Arial" w:cs="Arial"/>
        </w:rPr>
        <w:t>1</w:t>
      </w:r>
      <w:r w:rsidR="00F15D50" w:rsidRPr="00D979E7">
        <w:rPr>
          <w:rFonts w:ascii="Arial" w:hAnsi="Arial" w:cs="Arial"/>
        </w:rPr>
        <w:t>,</w:t>
      </w:r>
      <w:r w:rsidR="003F5BBB" w:rsidRPr="00D979E7">
        <w:rPr>
          <w:rFonts w:ascii="Arial" w:hAnsi="Arial" w:cs="Arial"/>
        </w:rPr>
        <w:t>533</w:t>
      </w:r>
      <w:r w:rsidR="00AC3C90" w:rsidRPr="00D979E7">
        <w:rPr>
          <w:rFonts w:ascii="Arial" w:hAnsi="Arial" w:cs="Arial"/>
        </w:rPr>
        <w:t>)</w:t>
      </w:r>
      <w:r w:rsidR="003F5BBB" w:rsidRPr="00D979E7">
        <w:rPr>
          <w:rFonts w:ascii="Arial" w:hAnsi="Arial" w:cs="Arial"/>
        </w:rPr>
        <w:t>.</w:t>
      </w:r>
    </w:p>
    <w:p w14:paraId="5763F924" w14:textId="23516CDA" w:rsidR="00D2496C" w:rsidRPr="00D979E7" w:rsidRDefault="00D2496C" w:rsidP="00271FB7">
      <w:pPr>
        <w:spacing w:before="120" w:after="120" w:line="240" w:lineRule="auto"/>
        <w:rPr>
          <w:rFonts w:ascii="Arial" w:hAnsi="Arial" w:cs="Arial"/>
        </w:rPr>
      </w:pPr>
      <w:r w:rsidRPr="00D979E7">
        <w:rPr>
          <w:rFonts w:ascii="Arial" w:hAnsi="Arial" w:cs="Arial"/>
          <w:b/>
        </w:rPr>
        <w:t>Table 4:</w:t>
      </w:r>
      <w:r w:rsidRPr="00D979E7">
        <w:rPr>
          <w:rFonts w:ascii="Arial" w:hAnsi="Arial" w:cs="Arial"/>
        </w:rPr>
        <w:t xml:space="preserve"> Estimating the effect of the HHI on all cause hospitalisation</w:t>
      </w:r>
      <w:r w:rsidR="00524FF8" w:rsidRPr="00D979E7">
        <w:rPr>
          <w:rFonts w:ascii="Arial" w:hAnsi="Arial" w:cs="Arial"/>
        </w:rPr>
        <w:t>s</w:t>
      </w:r>
      <w:r w:rsidRPr="00D979E7">
        <w:rPr>
          <w:rFonts w:ascii="Arial" w:hAnsi="Arial" w:cs="Arial"/>
        </w:rPr>
        <w:t xml:space="preserve"> </w:t>
      </w:r>
    </w:p>
    <w:tbl>
      <w:tblPr>
        <w:tblStyle w:val="TableGrid"/>
        <w:tblW w:w="0" w:type="auto"/>
        <w:tblInd w:w="-5" w:type="dxa"/>
        <w:tblLook w:val="04A0" w:firstRow="1" w:lastRow="0" w:firstColumn="1" w:lastColumn="0" w:noHBand="0" w:noVBand="1"/>
      </w:tblPr>
      <w:tblGrid>
        <w:gridCol w:w="6028"/>
        <w:gridCol w:w="2993"/>
      </w:tblGrid>
      <w:tr w:rsidR="003A1CCC" w:rsidRPr="00D979E7" w14:paraId="7BEAB71C" w14:textId="77777777" w:rsidTr="00CE5794">
        <w:trPr>
          <w:trHeight w:val="300"/>
        </w:trPr>
        <w:tc>
          <w:tcPr>
            <w:tcW w:w="0" w:type="auto"/>
            <w:noWrap/>
            <w:hideMark/>
          </w:tcPr>
          <w:p w14:paraId="7529ED7F" w14:textId="11F0D056" w:rsidR="00D2496C" w:rsidRPr="00D979E7" w:rsidRDefault="006D1D9D" w:rsidP="002320B1">
            <w:pPr>
              <w:spacing w:before="120" w:after="0" w:line="240" w:lineRule="auto"/>
              <w:rPr>
                <w:rFonts w:ascii="Arial" w:eastAsia="Times New Roman" w:hAnsi="Arial" w:cs="Arial"/>
                <w:color w:val="000000"/>
                <w:sz w:val="20"/>
                <w:lang w:eastAsia="en-NZ"/>
              </w:rPr>
            </w:pPr>
            <w:r w:rsidRPr="00D979E7">
              <w:rPr>
                <w:rFonts w:ascii="Arial" w:eastAsia="Times New Roman" w:hAnsi="Arial" w:cs="Arial"/>
                <w:color w:val="000000"/>
                <w:sz w:val="20"/>
                <w:lang w:eastAsia="en-NZ"/>
              </w:rPr>
              <w:t xml:space="preserve">Evaluation Sample </w:t>
            </w:r>
            <w:r w:rsidR="00D2496C" w:rsidRPr="00D979E7">
              <w:rPr>
                <w:rFonts w:ascii="Arial" w:eastAsia="Times New Roman" w:hAnsi="Arial" w:cs="Arial"/>
                <w:color w:val="000000"/>
                <w:sz w:val="20"/>
                <w:lang w:eastAsia="en-NZ"/>
              </w:rPr>
              <w:t>Population</w:t>
            </w:r>
          </w:p>
        </w:tc>
        <w:tc>
          <w:tcPr>
            <w:tcW w:w="3807" w:type="dxa"/>
            <w:noWrap/>
            <w:vAlign w:val="bottom"/>
            <w:hideMark/>
          </w:tcPr>
          <w:p w14:paraId="64892203" w14:textId="2C0A5DF0" w:rsidR="00D2496C" w:rsidRPr="00D979E7" w:rsidRDefault="00D2496C" w:rsidP="002320B1">
            <w:pPr>
              <w:spacing w:before="120" w:after="0" w:line="240" w:lineRule="auto"/>
              <w:jc w:val="right"/>
              <w:rPr>
                <w:rFonts w:ascii="Arial" w:eastAsia="Times New Roman" w:hAnsi="Arial" w:cs="Arial"/>
                <w:color w:val="000000"/>
                <w:sz w:val="20"/>
                <w:lang w:eastAsia="en-NZ"/>
              </w:rPr>
            </w:pPr>
            <w:r w:rsidRPr="00D979E7">
              <w:rPr>
                <w:rFonts w:ascii="Arial" w:hAnsi="Arial" w:cs="Arial"/>
                <w:color w:val="000000"/>
                <w:sz w:val="20"/>
              </w:rPr>
              <w:t>1608</w:t>
            </w:r>
          </w:p>
        </w:tc>
      </w:tr>
      <w:tr w:rsidR="003A1CCC" w:rsidRPr="00D979E7" w14:paraId="1ABFD9DD" w14:textId="77777777" w:rsidTr="00CE5794">
        <w:trPr>
          <w:trHeight w:val="300"/>
        </w:trPr>
        <w:tc>
          <w:tcPr>
            <w:tcW w:w="0" w:type="auto"/>
            <w:noWrap/>
            <w:hideMark/>
          </w:tcPr>
          <w:p w14:paraId="767FAE32" w14:textId="6A1A6747" w:rsidR="00D2496C" w:rsidRPr="00D979E7" w:rsidRDefault="00D2496C" w:rsidP="002320B1">
            <w:pPr>
              <w:spacing w:before="120" w:after="0" w:line="240" w:lineRule="auto"/>
              <w:rPr>
                <w:rFonts w:ascii="Arial" w:eastAsia="Times New Roman" w:hAnsi="Arial" w:cs="Arial"/>
                <w:color w:val="000000"/>
                <w:sz w:val="20"/>
                <w:lang w:eastAsia="en-NZ"/>
              </w:rPr>
            </w:pPr>
            <w:r w:rsidRPr="00D979E7">
              <w:rPr>
                <w:rFonts w:ascii="Arial" w:eastAsia="Times New Roman" w:hAnsi="Arial" w:cs="Arial"/>
                <w:color w:val="000000"/>
                <w:sz w:val="20"/>
                <w:lang w:eastAsia="en-NZ"/>
              </w:rPr>
              <w:t xml:space="preserve">Hospitalisation in 12 months </w:t>
            </w:r>
            <w:r w:rsidRPr="00D979E7">
              <w:rPr>
                <w:rFonts w:ascii="Arial" w:eastAsia="Times New Roman" w:hAnsi="Arial" w:cs="Arial"/>
                <w:i/>
                <w:color w:val="000000"/>
                <w:sz w:val="20"/>
                <w:lang w:eastAsia="en-NZ"/>
              </w:rPr>
              <w:t>before</w:t>
            </w:r>
            <w:r w:rsidRPr="00D979E7">
              <w:rPr>
                <w:rFonts w:ascii="Arial" w:eastAsia="Times New Roman" w:hAnsi="Arial" w:cs="Arial"/>
                <w:color w:val="000000"/>
                <w:sz w:val="20"/>
                <w:lang w:eastAsia="en-NZ"/>
              </w:rPr>
              <w:t xml:space="preserve"> intervention </w:t>
            </w:r>
          </w:p>
        </w:tc>
        <w:tc>
          <w:tcPr>
            <w:tcW w:w="3807" w:type="dxa"/>
            <w:noWrap/>
            <w:vAlign w:val="bottom"/>
            <w:hideMark/>
          </w:tcPr>
          <w:p w14:paraId="1B4AAC47" w14:textId="5699475D" w:rsidR="00D2496C" w:rsidRPr="00D979E7" w:rsidRDefault="00D2496C" w:rsidP="002320B1">
            <w:pPr>
              <w:spacing w:before="120" w:after="0" w:line="240" w:lineRule="auto"/>
              <w:jc w:val="right"/>
              <w:rPr>
                <w:rFonts w:ascii="Arial" w:eastAsia="Times New Roman" w:hAnsi="Arial" w:cs="Arial"/>
                <w:color w:val="000000"/>
                <w:sz w:val="20"/>
                <w:lang w:eastAsia="en-NZ"/>
              </w:rPr>
            </w:pPr>
            <w:r w:rsidRPr="00D979E7">
              <w:rPr>
                <w:rFonts w:ascii="Arial" w:hAnsi="Arial" w:cs="Arial"/>
                <w:color w:val="000000"/>
                <w:sz w:val="20"/>
              </w:rPr>
              <w:t>1137</w:t>
            </w:r>
          </w:p>
        </w:tc>
      </w:tr>
      <w:tr w:rsidR="003A1CCC" w:rsidRPr="00D979E7" w14:paraId="3914D5CB" w14:textId="77777777" w:rsidTr="00CE5794">
        <w:trPr>
          <w:trHeight w:val="300"/>
        </w:trPr>
        <w:tc>
          <w:tcPr>
            <w:tcW w:w="0" w:type="auto"/>
            <w:noWrap/>
            <w:hideMark/>
          </w:tcPr>
          <w:p w14:paraId="4D15C45B" w14:textId="38E0052D" w:rsidR="00D2496C" w:rsidRPr="00D979E7" w:rsidRDefault="00D2496C" w:rsidP="002320B1">
            <w:pPr>
              <w:spacing w:before="120" w:after="0" w:line="240" w:lineRule="auto"/>
              <w:rPr>
                <w:rFonts w:ascii="Arial" w:eastAsia="Times New Roman" w:hAnsi="Arial" w:cs="Arial"/>
                <w:color w:val="000000"/>
                <w:sz w:val="20"/>
                <w:lang w:eastAsia="en-NZ"/>
              </w:rPr>
            </w:pPr>
            <w:r w:rsidRPr="00D979E7">
              <w:rPr>
                <w:rFonts w:ascii="Arial" w:eastAsia="Times New Roman" w:hAnsi="Arial" w:cs="Arial"/>
                <w:color w:val="000000"/>
                <w:sz w:val="20"/>
                <w:lang w:eastAsia="en-NZ"/>
              </w:rPr>
              <w:t xml:space="preserve">Hospitalisation in 12 months </w:t>
            </w:r>
            <w:r w:rsidRPr="00D979E7">
              <w:rPr>
                <w:rFonts w:ascii="Arial" w:eastAsia="Times New Roman" w:hAnsi="Arial" w:cs="Arial"/>
                <w:i/>
                <w:color w:val="000000"/>
                <w:sz w:val="20"/>
                <w:lang w:eastAsia="en-NZ"/>
              </w:rPr>
              <w:t>after</w:t>
            </w:r>
            <w:r w:rsidRPr="00D979E7">
              <w:rPr>
                <w:rFonts w:ascii="Arial" w:eastAsia="Times New Roman" w:hAnsi="Arial" w:cs="Arial"/>
                <w:color w:val="000000"/>
                <w:sz w:val="20"/>
                <w:lang w:eastAsia="en-NZ"/>
              </w:rPr>
              <w:t xml:space="preserve"> intervention </w:t>
            </w:r>
          </w:p>
        </w:tc>
        <w:tc>
          <w:tcPr>
            <w:tcW w:w="3807" w:type="dxa"/>
            <w:noWrap/>
            <w:vAlign w:val="bottom"/>
            <w:hideMark/>
          </w:tcPr>
          <w:p w14:paraId="571AC56D" w14:textId="0FB8A172" w:rsidR="00D2496C" w:rsidRPr="00D979E7" w:rsidRDefault="00D2496C" w:rsidP="002320B1">
            <w:pPr>
              <w:spacing w:before="120" w:after="0" w:line="240" w:lineRule="auto"/>
              <w:jc w:val="right"/>
              <w:rPr>
                <w:rFonts w:ascii="Arial" w:eastAsia="Times New Roman" w:hAnsi="Arial" w:cs="Arial"/>
                <w:color w:val="000000"/>
                <w:sz w:val="20"/>
                <w:lang w:eastAsia="en-NZ"/>
              </w:rPr>
            </w:pPr>
            <w:r w:rsidRPr="00D979E7">
              <w:rPr>
                <w:rFonts w:ascii="Arial" w:hAnsi="Arial" w:cs="Arial"/>
                <w:color w:val="000000"/>
                <w:sz w:val="20"/>
              </w:rPr>
              <w:t>640</w:t>
            </w:r>
          </w:p>
        </w:tc>
      </w:tr>
      <w:tr w:rsidR="003A1CCC" w:rsidRPr="00D979E7" w14:paraId="3231C7BA" w14:textId="77777777" w:rsidTr="00CE5794">
        <w:trPr>
          <w:trHeight w:val="300"/>
        </w:trPr>
        <w:tc>
          <w:tcPr>
            <w:tcW w:w="0" w:type="auto"/>
            <w:noWrap/>
            <w:hideMark/>
          </w:tcPr>
          <w:p w14:paraId="6F5A9580" w14:textId="3FAAE8F0" w:rsidR="00D2496C" w:rsidRPr="00D979E7" w:rsidRDefault="00CE5794" w:rsidP="002320B1">
            <w:pPr>
              <w:spacing w:before="120" w:after="0" w:line="240" w:lineRule="auto"/>
              <w:rPr>
                <w:rFonts w:ascii="Arial" w:eastAsia="Times New Roman" w:hAnsi="Arial" w:cs="Arial"/>
                <w:color w:val="000000"/>
                <w:sz w:val="20"/>
                <w:lang w:eastAsia="en-NZ"/>
              </w:rPr>
            </w:pPr>
            <w:r w:rsidRPr="00D979E7">
              <w:rPr>
                <w:rFonts w:ascii="Arial" w:eastAsia="Times New Roman" w:hAnsi="Arial" w:cs="Arial"/>
                <w:color w:val="000000"/>
                <w:sz w:val="20"/>
                <w:lang w:eastAsia="en-NZ"/>
              </w:rPr>
              <w:t>Difference (</w:t>
            </w:r>
            <w:r w:rsidR="00081A80" w:rsidRPr="00D979E7">
              <w:rPr>
                <w:rFonts w:ascii="Arial" w:eastAsia="Times New Roman" w:hAnsi="Arial" w:cs="Arial"/>
                <w:color w:val="000000"/>
                <w:sz w:val="20"/>
                <w:lang w:eastAsia="en-NZ"/>
              </w:rPr>
              <w:t>Before-After</w:t>
            </w:r>
            <w:r w:rsidRPr="00D979E7">
              <w:rPr>
                <w:rFonts w:ascii="Arial" w:eastAsia="Times New Roman" w:hAnsi="Arial" w:cs="Arial"/>
                <w:color w:val="000000"/>
                <w:sz w:val="20"/>
                <w:lang w:eastAsia="en-NZ"/>
              </w:rPr>
              <w:t xml:space="preserve">), </w:t>
            </w:r>
            <w:r w:rsidRPr="00D979E7">
              <w:rPr>
                <w:rFonts w:ascii="Arial" w:eastAsia="Times New Roman" w:hAnsi="Arial" w:cs="Arial"/>
                <w:i/>
                <w:color w:val="000000"/>
                <w:sz w:val="20"/>
                <w:lang w:eastAsia="en-NZ"/>
              </w:rPr>
              <w:t>not adjusted for age</w:t>
            </w:r>
            <w:r w:rsidR="00D2496C" w:rsidRPr="00D979E7">
              <w:rPr>
                <w:rFonts w:ascii="Arial" w:eastAsia="Times New Roman" w:hAnsi="Arial" w:cs="Arial"/>
                <w:color w:val="000000"/>
                <w:sz w:val="20"/>
                <w:lang w:eastAsia="en-NZ"/>
              </w:rPr>
              <w:t xml:space="preserve"> </w:t>
            </w:r>
          </w:p>
        </w:tc>
        <w:tc>
          <w:tcPr>
            <w:tcW w:w="3807" w:type="dxa"/>
            <w:noWrap/>
            <w:vAlign w:val="bottom"/>
            <w:hideMark/>
          </w:tcPr>
          <w:p w14:paraId="012637A8" w14:textId="26E2E93C" w:rsidR="00D2496C" w:rsidRPr="00D979E7" w:rsidRDefault="00D2496C" w:rsidP="002320B1">
            <w:pPr>
              <w:spacing w:before="120" w:after="0" w:line="240" w:lineRule="auto"/>
              <w:jc w:val="right"/>
              <w:rPr>
                <w:rFonts w:ascii="Arial" w:eastAsia="Times New Roman" w:hAnsi="Arial" w:cs="Arial"/>
                <w:color w:val="000000"/>
                <w:sz w:val="20"/>
              </w:rPr>
            </w:pPr>
            <w:r w:rsidRPr="00D979E7">
              <w:rPr>
                <w:rFonts w:ascii="Arial" w:hAnsi="Arial" w:cs="Arial"/>
                <w:color w:val="000000"/>
                <w:sz w:val="20"/>
              </w:rPr>
              <w:t>497</w:t>
            </w:r>
          </w:p>
        </w:tc>
      </w:tr>
      <w:tr w:rsidR="00D21DFF" w:rsidRPr="00D979E7" w14:paraId="04288278" w14:textId="77777777" w:rsidTr="0036560B">
        <w:trPr>
          <w:trHeight w:val="300"/>
        </w:trPr>
        <w:tc>
          <w:tcPr>
            <w:tcW w:w="9021" w:type="dxa"/>
            <w:gridSpan w:val="2"/>
            <w:noWrap/>
          </w:tcPr>
          <w:p w14:paraId="7A50ADCD" w14:textId="7F49AF2C" w:rsidR="00D21DFF" w:rsidRPr="00D979E7" w:rsidRDefault="00D21DFF" w:rsidP="002320B1">
            <w:pPr>
              <w:spacing w:before="120" w:after="0" w:line="240" w:lineRule="auto"/>
              <w:rPr>
                <w:rFonts w:ascii="Arial" w:eastAsia="Times New Roman" w:hAnsi="Arial" w:cs="Arial"/>
                <w:color w:val="000000"/>
                <w:sz w:val="20"/>
              </w:rPr>
            </w:pPr>
            <w:r w:rsidRPr="00D979E7">
              <w:rPr>
                <w:rFonts w:ascii="Arial" w:eastAsia="Times New Roman" w:hAnsi="Arial" w:cs="Arial"/>
                <w:color w:val="000000"/>
                <w:sz w:val="20"/>
              </w:rPr>
              <w:t xml:space="preserve">Adjusting for age </w:t>
            </w:r>
          </w:p>
        </w:tc>
      </w:tr>
      <w:tr w:rsidR="003A1CCC" w:rsidRPr="00D979E7" w14:paraId="05463A69" w14:textId="77777777" w:rsidTr="00CE5794">
        <w:trPr>
          <w:trHeight w:val="300"/>
        </w:trPr>
        <w:tc>
          <w:tcPr>
            <w:tcW w:w="0" w:type="auto"/>
            <w:noWrap/>
            <w:hideMark/>
          </w:tcPr>
          <w:p w14:paraId="54F5A691" w14:textId="194B995D" w:rsidR="00D2496C" w:rsidRPr="00D979E7" w:rsidRDefault="003A1CCC" w:rsidP="002320B1">
            <w:pPr>
              <w:spacing w:before="120" w:after="0" w:line="240" w:lineRule="auto"/>
              <w:rPr>
                <w:rFonts w:ascii="Arial" w:eastAsia="Times New Roman" w:hAnsi="Arial" w:cs="Arial"/>
                <w:color w:val="000000"/>
                <w:sz w:val="20"/>
                <w:lang w:eastAsia="en-NZ"/>
              </w:rPr>
            </w:pPr>
            <w:r w:rsidRPr="00D979E7">
              <w:rPr>
                <w:rFonts w:ascii="Arial" w:eastAsia="Times New Roman" w:hAnsi="Arial" w:cs="Arial"/>
                <w:color w:val="000000"/>
                <w:sz w:val="20"/>
                <w:lang w:eastAsia="en-NZ"/>
              </w:rPr>
              <w:t>Average c</w:t>
            </w:r>
            <w:r w:rsidR="00D2496C" w:rsidRPr="00D979E7">
              <w:rPr>
                <w:rFonts w:ascii="Arial" w:eastAsia="Times New Roman" w:hAnsi="Arial" w:cs="Arial"/>
                <w:color w:val="000000"/>
                <w:sz w:val="20"/>
                <w:lang w:eastAsia="en-NZ"/>
              </w:rPr>
              <w:t>hange in hospitalisation</w:t>
            </w:r>
            <w:r w:rsidRPr="00D979E7">
              <w:rPr>
                <w:rFonts w:ascii="Arial" w:eastAsia="Times New Roman" w:hAnsi="Arial" w:cs="Arial"/>
                <w:color w:val="000000"/>
                <w:sz w:val="20"/>
                <w:lang w:eastAsia="en-NZ"/>
              </w:rPr>
              <w:t>s</w:t>
            </w:r>
            <w:r w:rsidR="00D2496C" w:rsidRPr="00D979E7">
              <w:rPr>
                <w:rFonts w:ascii="Arial" w:eastAsia="Times New Roman" w:hAnsi="Arial" w:cs="Arial"/>
                <w:color w:val="000000"/>
                <w:sz w:val="20"/>
                <w:lang w:eastAsia="en-NZ"/>
              </w:rPr>
              <w:t xml:space="preserve"> per year age</w:t>
            </w:r>
          </w:p>
        </w:tc>
        <w:tc>
          <w:tcPr>
            <w:tcW w:w="3807" w:type="dxa"/>
            <w:noWrap/>
            <w:hideMark/>
          </w:tcPr>
          <w:p w14:paraId="6F03F120" w14:textId="116C4711" w:rsidR="00D2496C" w:rsidRPr="00D979E7" w:rsidRDefault="001A6B9B" w:rsidP="002320B1">
            <w:pPr>
              <w:spacing w:before="120" w:after="0" w:line="240" w:lineRule="auto"/>
              <w:jc w:val="right"/>
              <w:rPr>
                <w:rFonts w:ascii="Arial" w:eastAsia="Times New Roman" w:hAnsi="Arial" w:cs="Arial"/>
                <w:color w:val="000000"/>
                <w:sz w:val="20"/>
              </w:rPr>
            </w:pPr>
            <w:r w:rsidRPr="00D979E7">
              <w:rPr>
                <w:rFonts w:ascii="Arial" w:hAnsi="Arial" w:cs="Arial"/>
                <w:color w:val="000000"/>
                <w:sz w:val="20"/>
              </w:rPr>
              <w:t>-0.048</w:t>
            </w:r>
          </w:p>
        </w:tc>
      </w:tr>
      <w:tr w:rsidR="003A1CCC" w:rsidRPr="00D979E7" w14:paraId="3FEDCF4F" w14:textId="77777777" w:rsidTr="00CE5794">
        <w:trPr>
          <w:trHeight w:val="300"/>
        </w:trPr>
        <w:tc>
          <w:tcPr>
            <w:tcW w:w="0" w:type="auto"/>
            <w:noWrap/>
            <w:hideMark/>
          </w:tcPr>
          <w:p w14:paraId="723B8344" w14:textId="0E653869" w:rsidR="00D2496C" w:rsidRPr="00D979E7" w:rsidRDefault="003A1CCC" w:rsidP="002320B1">
            <w:pPr>
              <w:spacing w:before="120" w:after="0" w:line="240" w:lineRule="auto"/>
              <w:rPr>
                <w:rFonts w:ascii="Arial" w:eastAsia="Times New Roman" w:hAnsi="Arial" w:cs="Arial"/>
                <w:color w:val="000000"/>
                <w:sz w:val="20"/>
                <w:lang w:eastAsia="en-NZ"/>
              </w:rPr>
            </w:pPr>
            <w:r w:rsidRPr="00D979E7">
              <w:rPr>
                <w:rFonts w:ascii="Arial" w:eastAsia="Times New Roman" w:hAnsi="Arial" w:cs="Arial"/>
                <w:color w:val="000000"/>
                <w:sz w:val="20"/>
                <w:lang w:eastAsia="en-NZ"/>
              </w:rPr>
              <w:t xml:space="preserve">Average difference in age between start </w:t>
            </w:r>
            <w:r w:rsidR="00081A80" w:rsidRPr="00D979E7">
              <w:rPr>
                <w:rFonts w:ascii="Arial" w:eastAsia="Times New Roman" w:hAnsi="Arial" w:cs="Arial"/>
                <w:color w:val="000000"/>
                <w:sz w:val="20"/>
                <w:lang w:eastAsia="en-NZ"/>
              </w:rPr>
              <w:t xml:space="preserve">and end </w:t>
            </w:r>
            <w:r w:rsidRPr="00D979E7">
              <w:rPr>
                <w:rFonts w:ascii="Arial" w:eastAsia="Times New Roman" w:hAnsi="Arial" w:cs="Arial"/>
                <w:color w:val="000000"/>
                <w:sz w:val="20"/>
                <w:lang w:eastAsia="en-NZ"/>
              </w:rPr>
              <w:t>of observation periods</w:t>
            </w:r>
          </w:p>
        </w:tc>
        <w:tc>
          <w:tcPr>
            <w:tcW w:w="3807" w:type="dxa"/>
            <w:noWrap/>
            <w:hideMark/>
          </w:tcPr>
          <w:p w14:paraId="7027BF96" w14:textId="77777777" w:rsidR="00D2496C" w:rsidRPr="00D979E7" w:rsidRDefault="00D2496C" w:rsidP="002320B1">
            <w:pPr>
              <w:spacing w:before="120" w:after="0" w:line="240" w:lineRule="auto"/>
              <w:jc w:val="right"/>
              <w:rPr>
                <w:rFonts w:ascii="Arial" w:eastAsia="Times New Roman" w:hAnsi="Arial" w:cs="Arial"/>
                <w:color w:val="000000"/>
                <w:sz w:val="20"/>
                <w:lang w:eastAsia="en-NZ"/>
              </w:rPr>
            </w:pPr>
            <w:r w:rsidRPr="00D979E7">
              <w:rPr>
                <w:rFonts w:ascii="Arial" w:eastAsia="Times New Roman" w:hAnsi="Arial" w:cs="Arial"/>
                <w:color w:val="000000"/>
                <w:sz w:val="20"/>
                <w:lang w:eastAsia="en-NZ"/>
              </w:rPr>
              <w:t>1.40</w:t>
            </w:r>
          </w:p>
        </w:tc>
      </w:tr>
      <w:tr w:rsidR="003A1CCC" w:rsidRPr="00D979E7" w14:paraId="71C5E309" w14:textId="77777777" w:rsidTr="00CE5794">
        <w:trPr>
          <w:trHeight w:val="300"/>
        </w:trPr>
        <w:tc>
          <w:tcPr>
            <w:tcW w:w="0" w:type="auto"/>
            <w:noWrap/>
            <w:hideMark/>
          </w:tcPr>
          <w:p w14:paraId="2136E03E" w14:textId="77777777" w:rsidR="00D2496C" w:rsidRPr="00D979E7" w:rsidRDefault="00D2496C" w:rsidP="002320B1">
            <w:pPr>
              <w:spacing w:before="120" w:after="0" w:line="240" w:lineRule="auto"/>
              <w:rPr>
                <w:rFonts w:ascii="Arial" w:eastAsia="Times New Roman" w:hAnsi="Arial" w:cs="Arial"/>
                <w:color w:val="000000"/>
                <w:sz w:val="20"/>
                <w:lang w:eastAsia="en-NZ"/>
              </w:rPr>
            </w:pPr>
            <w:r w:rsidRPr="00D979E7">
              <w:rPr>
                <w:rFonts w:ascii="Arial" w:eastAsia="Times New Roman" w:hAnsi="Arial" w:cs="Arial"/>
                <w:color w:val="000000"/>
                <w:sz w:val="20"/>
                <w:lang w:eastAsia="en-NZ"/>
              </w:rPr>
              <w:t>Rate difference due to age</w:t>
            </w:r>
          </w:p>
        </w:tc>
        <w:tc>
          <w:tcPr>
            <w:tcW w:w="3807" w:type="dxa"/>
            <w:noWrap/>
            <w:vAlign w:val="bottom"/>
            <w:hideMark/>
          </w:tcPr>
          <w:p w14:paraId="51457C7F" w14:textId="4E7549F8" w:rsidR="00D2496C" w:rsidRPr="00D979E7" w:rsidRDefault="001A6B9B" w:rsidP="002320B1">
            <w:pPr>
              <w:spacing w:before="120" w:after="0" w:line="240" w:lineRule="auto"/>
              <w:jc w:val="right"/>
              <w:rPr>
                <w:rFonts w:ascii="Arial" w:eastAsia="Times New Roman" w:hAnsi="Arial" w:cs="Arial"/>
                <w:color w:val="000000"/>
                <w:sz w:val="20"/>
              </w:rPr>
            </w:pPr>
            <w:r w:rsidRPr="00D979E7">
              <w:rPr>
                <w:rFonts w:ascii="Arial" w:hAnsi="Arial" w:cs="Arial"/>
                <w:color w:val="000000"/>
                <w:sz w:val="20"/>
              </w:rPr>
              <w:t>-0.067</w:t>
            </w:r>
          </w:p>
        </w:tc>
      </w:tr>
      <w:tr w:rsidR="003A1CCC" w:rsidRPr="00D979E7" w14:paraId="5CCBD069" w14:textId="77777777" w:rsidTr="00CE5794">
        <w:trPr>
          <w:trHeight w:val="300"/>
        </w:trPr>
        <w:tc>
          <w:tcPr>
            <w:tcW w:w="0" w:type="auto"/>
            <w:noWrap/>
            <w:vAlign w:val="bottom"/>
          </w:tcPr>
          <w:p w14:paraId="06E021E1" w14:textId="35D546C2" w:rsidR="001A6B9B" w:rsidRPr="00D979E7" w:rsidRDefault="003A1CCC" w:rsidP="002320B1">
            <w:pPr>
              <w:spacing w:before="120" w:after="0" w:line="240" w:lineRule="auto"/>
              <w:rPr>
                <w:rFonts w:ascii="Arial" w:eastAsia="Times New Roman" w:hAnsi="Arial" w:cs="Arial"/>
                <w:color w:val="000000"/>
                <w:sz w:val="20"/>
                <w:lang w:eastAsia="en-NZ"/>
              </w:rPr>
            </w:pPr>
            <w:r w:rsidRPr="00D979E7">
              <w:rPr>
                <w:rFonts w:ascii="Arial" w:eastAsia="Times New Roman" w:hAnsi="Arial" w:cs="Arial"/>
                <w:color w:val="000000"/>
                <w:sz w:val="20"/>
                <w:lang w:eastAsia="en-NZ"/>
              </w:rPr>
              <w:t xml:space="preserve">Hospitalisation in 12 months </w:t>
            </w:r>
            <w:r w:rsidRPr="00D979E7">
              <w:rPr>
                <w:rFonts w:ascii="Arial" w:eastAsia="Times New Roman" w:hAnsi="Arial" w:cs="Arial"/>
                <w:i/>
                <w:color w:val="000000"/>
                <w:sz w:val="20"/>
                <w:lang w:eastAsia="en-NZ"/>
              </w:rPr>
              <w:t>before</w:t>
            </w:r>
            <w:r w:rsidRPr="00D979E7">
              <w:rPr>
                <w:rFonts w:ascii="Arial" w:eastAsia="Times New Roman" w:hAnsi="Arial" w:cs="Arial"/>
                <w:color w:val="000000"/>
                <w:sz w:val="20"/>
                <w:lang w:eastAsia="en-NZ"/>
              </w:rPr>
              <w:t xml:space="preserve"> intervention</w:t>
            </w:r>
          </w:p>
        </w:tc>
        <w:tc>
          <w:tcPr>
            <w:tcW w:w="3807" w:type="dxa"/>
            <w:noWrap/>
            <w:vAlign w:val="bottom"/>
          </w:tcPr>
          <w:p w14:paraId="5F806C69" w14:textId="729C052C" w:rsidR="001A6B9B" w:rsidRPr="00D979E7" w:rsidRDefault="001A6B9B" w:rsidP="002320B1">
            <w:pPr>
              <w:spacing w:before="120" w:after="0" w:line="240" w:lineRule="auto"/>
              <w:jc w:val="right"/>
              <w:rPr>
                <w:rFonts w:ascii="Arial" w:eastAsia="Times New Roman" w:hAnsi="Arial" w:cs="Arial"/>
                <w:color w:val="000000"/>
                <w:sz w:val="20"/>
              </w:rPr>
            </w:pPr>
            <w:r w:rsidRPr="00D979E7">
              <w:rPr>
                <w:rFonts w:ascii="Arial" w:hAnsi="Arial" w:cs="Arial"/>
                <w:color w:val="000000"/>
                <w:sz w:val="20"/>
              </w:rPr>
              <w:t>1137</w:t>
            </w:r>
          </w:p>
        </w:tc>
      </w:tr>
      <w:tr w:rsidR="003A1CCC" w:rsidRPr="00D979E7" w14:paraId="428ECF1C" w14:textId="77777777" w:rsidTr="00CE5794">
        <w:trPr>
          <w:trHeight w:val="300"/>
        </w:trPr>
        <w:tc>
          <w:tcPr>
            <w:tcW w:w="0" w:type="auto"/>
            <w:noWrap/>
            <w:vAlign w:val="bottom"/>
            <w:hideMark/>
          </w:tcPr>
          <w:p w14:paraId="0A3059EE" w14:textId="52086268" w:rsidR="001A6B9B" w:rsidRPr="00D979E7" w:rsidRDefault="003A1CCC" w:rsidP="002320B1">
            <w:pPr>
              <w:spacing w:before="120" w:after="0" w:line="240" w:lineRule="auto"/>
              <w:rPr>
                <w:rFonts w:ascii="Arial" w:eastAsia="Times New Roman" w:hAnsi="Arial" w:cs="Arial"/>
                <w:color w:val="000000"/>
                <w:sz w:val="20"/>
                <w:lang w:eastAsia="en-NZ"/>
              </w:rPr>
            </w:pPr>
            <w:r w:rsidRPr="00D979E7">
              <w:rPr>
                <w:rFonts w:ascii="Arial" w:hAnsi="Arial" w:cs="Arial"/>
                <w:color w:val="000000"/>
                <w:sz w:val="20"/>
              </w:rPr>
              <w:t xml:space="preserve"># of decreased hospitalisations due to age </w:t>
            </w:r>
          </w:p>
        </w:tc>
        <w:tc>
          <w:tcPr>
            <w:tcW w:w="3807" w:type="dxa"/>
            <w:noWrap/>
            <w:vAlign w:val="bottom"/>
            <w:hideMark/>
          </w:tcPr>
          <w:p w14:paraId="7BF6B51B" w14:textId="33776A00" w:rsidR="001A6B9B" w:rsidRPr="00D979E7" w:rsidRDefault="001A6B9B" w:rsidP="002320B1">
            <w:pPr>
              <w:spacing w:before="120" w:after="0" w:line="240" w:lineRule="auto"/>
              <w:jc w:val="right"/>
              <w:rPr>
                <w:rFonts w:ascii="Arial" w:eastAsia="Times New Roman" w:hAnsi="Arial" w:cs="Arial"/>
                <w:color w:val="000000"/>
                <w:sz w:val="20"/>
                <w:lang w:eastAsia="en-NZ"/>
              </w:rPr>
            </w:pPr>
            <w:r w:rsidRPr="00D979E7">
              <w:rPr>
                <w:rFonts w:ascii="Arial" w:hAnsi="Arial" w:cs="Arial"/>
                <w:color w:val="000000"/>
                <w:sz w:val="20"/>
              </w:rPr>
              <w:t>107.26</w:t>
            </w:r>
          </w:p>
        </w:tc>
      </w:tr>
      <w:tr w:rsidR="00D21DFF" w:rsidRPr="00D979E7" w14:paraId="7992B3B2" w14:textId="77777777" w:rsidTr="0036560B">
        <w:trPr>
          <w:trHeight w:val="300"/>
        </w:trPr>
        <w:tc>
          <w:tcPr>
            <w:tcW w:w="9021" w:type="dxa"/>
            <w:gridSpan w:val="2"/>
            <w:shd w:val="clear" w:color="auto" w:fill="E7E6E6" w:themeFill="background2"/>
            <w:noWrap/>
            <w:vAlign w:val="bottom"/>
          </w:tcPr>
          <w:p w14:paraId="22FA5B71" w14:textId="616C0413" w:rsidR="00D21DFF" w:rsidRPr="00D979E7" w:rsidRDefault="00D21DFF" w:rsidP="002320B1">
            <w:pPr>
              <w:spacing w:before="120" w:after="0" w:line="240" w:lineRule="auto"/>
              <w:rPr>
                <w:rFonts w:ascii="Arial" w:hAnsi="Arial" w:cs="Arial"/>
                <w:color w:val="000000"/>
                <w:sz w:val="20"/>
              </w:rPr>
            </w:pPr>
            <w:r w:rsidRPr="00D979E7">
              <w:rPr>
                <w:rFonts w:ascii="Arial" w:hAnsi="Arial" w:cs="Arial"/>
                <w:color w:val="000000"/>
                <w:sz w:val="20"/>
              </w:rPr>
              <w:t>Adjusting for selection bias</w:t>
            </w:r>
          </w:p>
        </w:tc>
      </w:tr>
      <w:tr w:rsidR="003A1CCC" w:rsidRPr="00D979E7" w14:paraId="122F816D" w14:textId="77777777" w:rsidTr="00CE5794">
        <w:trPr>
          <w:trHeight w:val="300"/>
        </w:trPr>
        <w:tc>
          <w:tcPr>
            <w:tcW w:w="0" w:type="auto"/>
            <w:noWrap/>
            <w:vAlign w:val="bottom"/>
          </w:tcPr>
          <w:p w14:paraId="7BAC3A36" w14:textId="26B41922" w:rsidR="001A6B9B" w:rsidRPr="00D979E7" w:rsidRDefault="003A1CCC" w:rsidP="002320B1">
            <w:pPr>
              <w:spacing w:before="120" w:after="0" w:line="240" w:lineRule="auto"/>
              <w:rPr>
                <w:rFonts w:ascii="Arial" w:eastAsia="Times New Roman" w:hAnsi="Arial" w:cs="Arial"/>
                <w:color w:val="000000"/>
                <w:sz w:val="20"/>
                <w:lang w:eastAsia="en-NZ"/>
              </w:rPr>
            </w:pPr>
            <w:r w:rsidRPr="00D979E7">
              <w:rPr>
                <w:rFonts w:ascii="Arial" w:hAnsi="Arial" w:cs="Arial"/>
                <w:color w:val="000000"/>
                <w:sz w:val="20"/>
              </w:rPr>
              <w:t>Selection b</w:t>
            </w:r>
            <w:r w:rsidR="001A6B9B" w:rsidRPr="00D979E7">
              <w:rPr>
                <w:rFonts w:ascii="Arial" w:hAnsi="Arial" w:cs="Arial"/>
                <w:color w:val="000000"/>
                <w:sz w:val="20"/>
              </w:rPr>
              <w:t>ias</w:t>
            </w:r>
          </w:p>
        </w:tc>
        <w:tc>
          <w:tcPr>
            <w:tcW w:w="3807" w:type="dxa"/>
            <w:noWrap/>
            <w:vAlign w:val="bottom"/>
          </w:tcPr>
          <w:p w14:paraId="1B39C461" w14:textId="7CCD72E6" w:rsidR="001A6B9B" w:rsidRPr="00D979E7" w:rsidRDefault="001A6B9B" w:rsidP="002320B1">
            <w:pPr>
              <w:spacing w:before="120" w:after="0" w:line="240" w:lineRule="auto"/>
              <w:jc w:val="right"/>
              <w:rPr>
                <w:rFonts w:ascii="Arial" w:eastAsia="Times New Roman" w:hAnsi="Arial" w:cs="Arial"/>
                <w:color w:val="000000"/>
                <w:sz w:val="20"/>
                <w:lang w:eastAsia="en-NZ"/>
              </w:rPr>
            </w:pPr>
            <w:r w:rsidRPr="00D979E7">
              <w:rPr>
                <w:rFonts w:ascii="Arial" w:hAnsi="Arial" w:cs="Arial"/>
                <w:color w:val="000000"/>
                <w:sz w:val="20"/>
              </w:rPr>
              <w:t>228.96</w:t>
            </w:r>
          </w:p>
        </w:tc>
      </w:tr>
      <w:tr w:rsidR="003A1CCC" w:rsidRPr="00D979E7" w14:paraId="1B784465" w14:textId="77777777" w:rsidTr="00CE5794">
        <w:trPr>
          <w:trHeight w:val="300"/>
        </w:trPr>
        <w:tc>
          <w:tcPr>
            <w:tcW w:w="0" w:type="auto"/>
            <w:noWrap/>
            <w:vAlign w:val="bottom"/>
          </w:tcPr>
          <w:p w14:paraId="4384F150" w14:textId="1AB72099" w:rsidR="001A6B9B" w:rsidRPr="00D979E7" w:rsidRDefault="003A1CCC" w:rsidP="002320B1">
            <w:pPr>
              <w:spacing w:before="120" w:after="0" w:line="240" w:lineRule="auto"/>
              <w:rPr>
                <w:rFonts w:ascii="Arial" w:eastAsia="Times New Roman" w:hAnsi="Arial" w:cs="Arial"/>
                <w:i/>
                <w:color w:val="000000"/>
                <w:sz w:val="20"/>
                <w:lang w:eastAsia="en-NZ"/>
              </w:rPr>
            </w:pPr>
            <w:r w:rsidRPr="00D979E7">
              <w:rPr>
                <w:rFonts w:ascii="Arial" w:hAnsi="Arial" w:cs="Arial"/>
                <w:color w:val="000000"/>
                <w:sz w:val="20"/>
              </w:rPr>
              <w:t>Hospitalisations</w:t>
            </w:r>
            <w:r w:rsidR="001A6B9B" w:rsidRPr="00D979E7">
              <w:rPr>
                <w:rFonts w:ascii="Arial" w:hAnsi="Arial" w:cs="Arial"/>
                <w:color w:val="000000"/>
                <w:sz w:val="20"/>
              </w:rPr>
              <w:t xml:space="preserve"> </w:t>
            </w:r>
            <w:r w:rsidRPr="00D979E7">
              <w:rPr>
                <w:rFonts w:ascii="Arial" w:hAnsi="Arial" w:cs="Arial"/>
                <w:color w:val="000000"/>
                <w:sz w:val="20"/>
              </w:rPr>
              <w:t xml:space="preserve">in 12 months </w:t>
            </w:r>
            <w:r w:rsidRPr="00D979E7">
              <w:rPr>
                <w:rFonts w:ascii="Arial" w:hAnsi="Arial" w:cs="Arial"/>
                <w:i/>
                <w:color w:val="000000"/>
                <w:sz w:val="20"/>
              </w:rPr>
              <w:t xml:space="preserve">before </w:t>
            </w:r>
            <w:r w:rsidRPr="00D979E7">
              <w:rPr>
                <w:rFonts w:ascii="Arial" w:hAnsi="Arial" w:cs="Arial"/>
                <w:color w:val="000000"/>
                <w:sz w:val="20"/>
              </w:rPr>
              <w:t xml:space="preserve">intervention, </w:t>
            </w:r>
            <w:r w:rsidRPr="00D979E7">
              <w:rPr>
                <w:rFonts w:ascii="Arial" w:hAnsi="Arial" w:cs="Arial"/>
                <w:i/>
                <w:color w:val="000000"/>
                <w:sz w:val="20"/>
              </w:rPr>
              <w:t>adjusted for age and selection bias</w:t>
            </w:r>
          </w:p>
        </w:tc>
        <w:tc>
          <w:tcPr>
            <w:tcW w:w="3807" w:type="dxa"/>
            <w:noWrap/>
            <w:vAlign w:val="bottom"/>
          </w:tcPr>
          <w:p w14:paraId="5E2A652C" w14:textId="70BDD5C4" w:rsidR="001A6B9B" w:rsidRPr="00D979E7" w:rsidRDefault="001A6B9B" w:rsidP="002320B1">
            <w:pPr>
              <w:spacing w:before="120" w:after="0" w:line="240" w:lineRule="auto"/>
              <w:jc w:val="right"/>
              <w:rPr>
                <w:rFonts w:ascii="Arial" w:eastAsia="Times New Roman" w:hAnsi="Arial" w:cs="Arial"/>
                <w:color w:val="000000"/>
                <w:sz w:val="20"/>
                <w:lang w:eastAsia="en-NZ"/>
              </w:rPr>
            </w:pPr>
            <w:r w:rsidRPr="00D979E7">
              <w:rPr>
                <w:rFonts w:ascii="Arial" w:hAnsi="Arial" w:cs="Arial"/>
                <w:color w:val="000000"/>
                <w:sz w:val="20"/>
              </w:rPr>
              <w:t>800.78</w:t>
            </w:r>
          </w:p>
        </w:tc>
      </w:tr>
      <w:tr w:rsidR="003A1CCC" w:rsidRPr="00D979E7" w14:paraId="18301CA3" w14:textId="77777777" w:rsidTr="00CE5794">
        <w:trPr>
          <w:trHeight w:val="300"/>
        </w:trPr>
        <w:tc>
          <w:tcPr>
            <w:tcW w:w="0" w:type="auto"/>
            <w:noWrap/>
            <w:vAlign w:val="bottom"/>
          </w:tcPr>
          <w:p w14:paraId="6FE49062" w14:textId="5CDBBAD6" w:rsidR="001A6B9B" w:rsidRPr="00D979E7" w:rsidRDefault="003A1CCC" w:rsidP="002320B1">
            <w:pPr>
              <w:spacing w:before="120" w:after="0" w:line="240" w:lineRule="auto"/>
              <w:rPr>
                <w:rFonts w:ascii="Arial" w:eastAsia="Times New Roman" w:hAnsi="Arial" w:cs="Arial"/>
                <w:color w:val="000000"/>
                <w:sz w:val="20"/>
                <w:highlight w:val="yellow"/>
                <w:lang w:eastAsia="en-NZ"/>
              </w:rPr>
            </w:pPr>
            <w:r w:rsidRPr="00D979E7">
              <w:rPr>
                <w:rFonts w:ascii="Arial" w:eastAsia="Times New Roman" w:hAnsi="Arial" w:cs="Arial"/>
                <w:color w:val="000000"/>
                <w:sz w:val="20"/>
                <w:lang w:eastAsia="en-NZ"/>
              </w:rPr>
              <w:t xml:space="preserve">Hospitalisation in 12 months </w:t>
            </w:r>
            <w:r w:rsidRPr="00D979E7">
              <w:rPr>
                <w:rFonts w:ascii="Arial" w:eastAsia="Times New Roman" w:hAnsi="Arial" w:cs="Arial"/>
                <w:i/>
                <w:color w:val="000000"/>
                <w:sz w:val="20"/>
                <w:lang w:eastAsia="en-NZ"/>
              </w:rPr>
              <w:t>after</w:t>
            </w:r>
            <w:r w:rsidRPr="00D979E7">
              <w:rPr>
                <w:rFonts w:ascii="Arial" w:eastAsia="Times New Roman" w:hAnsi="Arial" w:cs="Arial"/>
                <w:color w:val="000000"/>
                <w:sz w:val="20"/>
                <w:lang w:eastAsia="en-NZ"/>
              </w:rPr>
              <w:t xml:space="preserve"> intervention</w:t>
            </w:r>
          </w:p>
        </w:tc>
        <w:tc>
          <w:tcPr>
            <w:tcW w:w="3807" w:type="dxa"/>
            <w:noWrap/>
            <w:vAlign w:val="bottom"/>
          </w:tcPr>
          <w:p w14:paraId="2E83FA8F" w14:textId="7211E47C" w:rsidR="001A6B9B" w:rsidRPr="00D979E7" w:rsidRDefault="001A6B9B" w:rsidP="002320B1">
            <w:pPr>
              <w:spacing w:before="120" w:after="0" w:line="240" w:lineRule="auto"/>
              <w:jc w:val="right"/>
              <w:rPr>
                <w:rFonts w:ascii="Arial" w:eastAsia="Times New Roman" w:hAnsi="Arial" w:cs="Arial"/>
                <w:color w:val="000000"/>
                <w:sz w:val="20"/>
                <w:highlight w:val="yellow"/>
                <w:lang w:eastAsia="en-NZ"/>
              </w:rPr>
            </w:pPr>
            <w:r w:rsidRPr="00D979E7">
              <w:rPr>
                <w:rFonts w:ascii="Arial" w:hAnsi="Arial" w:cs="Arial"/>
                <w:color w:val="000000"/>
                <w:sz w:val="20"/>
              </w:rPr>
              <w:t>640</w:t>
            </w:r>
          </w:p>
        </w:tc>
      </w:tr>
      <w:tr w:rsidR="00AC3C90" w:rsidRPr="00D979E7" w14:paraId="1A157441" w14:textId="77777777" w:rsidTr="0036560B">
        <w:trPr>
          <w:trHeight w:val="300"/>
        </w:trPr>
        <w:tc>
          <w:tcPr>
            <w:tcW w:w="9021" w:type="dxa"/>
            <w:gridSpan w:val="2"/>
            <w:shd w:val="clear" w:color="auto" w:fill="E7E6E6" w:themeFill="background2"/>
            <w:noWrap/>
          </w:tcPr>
          <w:p w14:paraId="64CCA652" w14:textId="1BCA6BC7" w:rsidR="00AC3C90" w:rsidRPr="00D979E7" w:rsidRDefault="00AC3C90" w:rsidP="002320B1">
            <w:pPr>
              <w:spacing w:before="120" w:after="0" w:line="240" w:lineRule="auto"/>
              <w:rPr>
                <w:rFonts w:ascii="Arial" w:eastAsia="Times New Roman" w:hAnsi="Arial" w:cs="Arial"/>
                <w:color w:val="000000"/>
                <w:sz w:val="20"/>
                <w:lang w:eastAsia="en-NZ"/>
              </w:rPr>
            </w:pPr>
            <w:r w:rsidRPr="00D979E7">
              <w:rPr>
                <w:rFonts w:ascii="Arial" w:eastAsia="Times New Roman" w:hAnsi="Arial" w:cs="Arial"/>
                <w:color w:val="000000"/>
                <w:sz w:val="20"/>
                <w:lang w:eastAsia="en-NZ"/>
              </w:rPr>
              <w:lastRenderedPageBreak/>
              <w:t>Summary of effect attributable to HHI</w:t>
            </w:r>
          </w:p>
        </w:tc>
      </w:tr>
      <w:tr w:rsidR="003A1CCC" w:rsidRPr="00D979E7" w14:paraId="408032D7" w14:textId="77777777" w:rsidTr="00CE5794">
        <w:trPr>
          <w:trHeight w:val="300"/>
        </w:trPr>
        <w:tc>
          <w:tcPr>
            <w:tcW w:w="0" w:type="auto"/>
            <w:noWrap/>
          </w:tcPr>
          <w:p w14:paraId="44199AA2" w14:textId="749B88D1" w:rsidR="00AC3C90" w:rsidRPr="00D979E7" w:rsidRDefault="00AC3C90" w:rsidP="002320B1">
            <w:pPr>
              <w:spacing w:before="120" w:after="0" w:line="240" w:lineRule="auto"/>
              <w:rPr>
                <w:rFonts w:ascii="Arial" w:eastAsia="Times New Roman" w:hAnsi="Arial" w:cs="Arial"/>
                <w:color w:val="000000"/>
                <w:sz w:val="20"/>
                <w:lang w:eastAsia="en-NZ"/>
              </w:rPr>
            </w:pPr>
            <w:r w:rsidRPr="00D979E7">
              <w:rPr>
                <w:rFonts w:ascii="Arial" w:eastAsia="Times New Roman" w:hAnsi="Arial" w:cs="Arial"/>
                <w:color w:val="000000"/>
                <w:sz w:val="20"/>
                <w:lang w:eastAsia="en-NZ"/>
              </w:rPr>
              <w:t xml:space="preserve">Prevented </w:t>
            </w:r>
            <w:r w:rsidR="003A1CCC" w:rsidRPr="00D979E7">
              <w:rPr>
                <w:rFonts w:ascii="Arial" w:eastAsia="Times New Roman" w:hAnsi="Arial" w:cs="Arial"/>
                <w:color w:val="000000"/>
                <w:sz w:val="20"/>
                <w:lang w:eastAsia="en-NZ"/>
              </w:rPr>
              <w:t>h</w:t>
            </w:r>
            <w:r w:rsidRPr="00D979E7">
              <w:rPr>
                <w:rFonts w:ascii="Arial" w:eastAsia="Times New Roman" w:hAnsi="Arial" w:cs="Arial"/>
                <w:color w:val="000000"/>
                <w:sz w:val="20"/>
                <w:lang w:eastAsia="en-NZ"/>
              </w:rPr>
              <w:t xml:space="preserve">ospitalisations in sample </w:t>
            </w:r>
          </w:p>
        </w:tc>
        <w:tc>
          <w:tcPr>
            <w:tcW w:w="3807" w:type="dxa"/>
            <w:noWrap/>
            <w:vAlign w:val="bottom"/>
          </w:tcPr>
          <w:p w14:paraId="254E1B76" w14:textId="5B2E5C50" w:rsidR="00AC3C90" w:rsidRPr="00D979E7" w:rsidRDefault="00AC3C90" w:rsidP="002320B1">
            <w:pPr>
              <w:spacing w:before="120" w:after="0" w:line="240" w:lineRule="auto"/>
              <w:jc w:val="right"/>
              <w:rPr>
                <w:rFonts w:ascii="Arial" w:eastAsia="Times New Roman" w:hAnsi="Arial" w:cs="Arial"/>
                <w:color w:val="000000"/>
                <w:sz w:val="20"/>
                <w:lang w:eastAsia="en-NZ"/>
              </w:rPr>
            </w:pPr>
            <w:r w:rsidRPr="00D979E7">
              <w:rPr>
                <w:rFonts w:ascii="Arial" w:hAnsi="Arial" w:cs="Arial"/>
                <w:color w:val="000000"/>
                <w:sz w:val="20"/>
              </w:rPr>
              <w:t>160.78</w:t>
            </w:r>
          </w:p>
        </w:tc>
      </w:tr>
      <w:tr w:rsidR="003A1CCC" w:rsidRPr="00D979E7" w14:paraId="4CB93660" w14:textId="77777777" w:rsidTr="00CE5794">
        <w:trPr>
          <w:trHeight w:val="300"/>
        </w:trPr>
        <w:tc>
          <w:tcPr>
            <w:tcW w:w="0" w:type="auto"/>
            <w:noWrap/>
          </w:tcPr>
          <w:p w14:paraId="112B4C0F" w14:textId="0DDCBB68" w:rsidR="00AC3C90" w:rsidRPr="00D979E7" w:rsidRDefault="00AC3C90" w:rsidP="002320B1">
            <w:pPr>
              <w:spacing w:before="120" w:after="0" w:line="240" w:lineRule="auto"/>
              <w:rPr>
                <w:rFonts w:ascii="Arial" w:eastAsia="Times New Roman" w:hAnsi="Arial" w:cs="Arial"/>
                <w:color w:val="000000"/>
                <w:sz w:val="20"/>
                <w:lang w:eastAsia="en-NZ"/>
              </w:rPr>
            </w:pPr>
            <w:r w:rsidRPr="00D979E7">
              <w:rPr>
                <w:rFonts w:ascii="Arial" w:eastAsia="Times New Roman" w:hAnsi="Arial" w:cs="Arial"/>
                <w:color w:val="000000"/>
                <w:sz w:val="20"/>
                <w:lang w:eastAsia="en-NZ"/>
              </w:rPr>
              <w:t xml:space="preserve">Rate of prevented </w:t>
            </w:r>
            <w:r w:rsidR="003A1CCC" w:rsidRPr="00D979E7">
              <w:rPr>
                <w:rFonts w:ascii="Arial" w:eastAsia="Times New Roman" w:hAnsi="Arial" w:cs="Arial"/>
                <w:color w:val="000000"/>
                <w:sz w:val="20"/>
                <w:lang w:eastAsia="en-NZ"/>
              </w:rPr>
              <w:t>h</w:t>
            </w:r>
            <w:r w:rsidRPr="00D979E7">
              <w:rPr>
                <w:rFonts w:ascii="Arial" w:eastAsia="Times New Roman" w:hAnsi="Arial" w:cs="Arial"/>
                <w:color w:val="000000"/>
                <w:sz w:val="20"/>
                <w:lang w:eastAsia="en-NZ"/>
              </w:rPr>
              <w:t xml:space="preserve">ospitalisations per referral </w:t>
            </w:r>
          </w:p>
        </w:tc>
        <w:tc>
          <w:tcPr>
            <w:tcW w:w="3807" w:type="dxa"/>
            <w:noWrap/>
            <w:vAlign w:val="bottom"/>
          </w:tcPr>
          <w:p w14:paraId="451188C8" w14:textId="1C52EE34" w:rsidR="00AC3C90" w:rsidRPr="00D979E7" w:rsidRDefault="00AC3C90" w:rsidP="002320B1">
            <w:pPr>
              <w:spacing w:before="120" w:after="0" w:line="240" w:lineRule="auto"/>
              <w:jc w:val="right"/>
              <w:rPr>
                <w:rFonts w:ascii="Arial" w:eastAsia="Times New Roman" w:hAnsi="Arial" w:cs="Arial"/>
                <w:color w:val="000000"/>
                <w:sz w:val="20"/>
                <w:lang w:eastAsia="en-NZ"/>
              </w:rPr>
            </w:pPr>
            <w:r w:rsidRPr="00D979E7">
              <w:rPr>
                <w:rFonts w:ascii="Arial" w:hAnsi="Arial" w:cs="Arial"/>
                <w:color w:val="000000"/>
                <w:sz w:val="20"/>
              </w:rPr>
              <w:t>0.1</w:t>
            </w:r>
            <w:r w:rsidR="00524FF8" w:rsidRPr="00D979E7">
              <w:rPr>
                <w:rFonts w:ascii="Arial" w:hAnsi="Arial" w:cs="Arial"/>
                <w:color w:val="000000"/>
                <w:sz w:val="20"/>
              </w:rPr>
              <w:t>00 (0.00498, 0.184)</w:t>
            </w:r>
          </w:p>
        </w:tc>
      </w:tr>
      <w:tr w:rsidR="003A1CCC" w:rsidRPr="00D979E7" w14:paraId="00C65D15" w14:textId="77777777" w:rsidTr="00CE5794">
        <w:trPr>
          <w:trHeight w:val="300"/>
        </w:trPr>
        <w:tc>
          <w:tcPr>
            <w:tcW w:w="0" w:type="auto"/>
            <w:noWrap/>
          </w:tcPr>
          <w:p w14:paraId="7867D2EB" w14:textId="680E3376" w:rsidR="00AC3C90" w:rsidRPr="00D979E7" w:rsidRDefault="00AC3C90" w:rsidP="002320B1">
            <w:pPr>
              <w:spacing w:before="120" w:after="0" w:line="240" w:lineRule="auto"/>
              <w:rPr>
                <w:rFonts w:ascii="Arial" w:eastAsia="Times New Roman" w:hAnsi="Arial" w:cs="Arial"/>
                <w:b/>
                <w:color w:val="FF0000"/>
                <w:sz w:val="20"/>
                <w:lang w:eastAsia="en-NZ"/>
              </w:rPr>
            </w:pPr>
            <w:r w:rsidRPr="00D979E7">
              <w:rPr>
                <w:rFonts w:ascii="Arial" w:eastAsia="Times New Roman" w:hAnsi="Arial" w:cs="Arial"/>
                <w:b/>
                <w:color w:val="FF0000"/>
                <w:sz w:val="20"/>
                <w:lang w:eastAsia="en-NZ"/>
              </w:rPr>
              <w:t xml:space="preserve">Prevented </w:t>
            </w:r>
            <w:r w:rsidR="002804B6" w:rsidRPr="00D979E7">
              <w:rPr>
                <w:rFonts w:ascii="Arial" w:eastAsia="Times New Roman" w:hAnsi="Arial" w:cs="Arial"/>
                <w:b/>
                <w:color w:val="FF0000"/>
                <w:sz w:val="20"/>
                <w:lang w:eastAsia="en-NZ"/>
              </w:rPr>
              <w:t>h</w:t>
            </w:r>
            <w:r w:rsidRPr="00D979E7">
              <w:rPr>
                <w:rFonts w:ascii="Arial" w:eastAsia="Times New Roman" w:hAnsi="Arial" w:cs="Arial"/>
                <w:b/>
                <w:color w:val="FF0000"/>
                <w:sz w:val="20"/>
                <w:lang w:eastAsia="en-NZ"/>
              </w:rPr>
              <w:t xml:space="preserve">ospitalisations in population </w:t>
            </w:r>
          </w:p>
        </w:tc>
        <w:tc>
          <w:tcPr>
            <w:tcW w:w="3807" w:type="dxa"/>
            <w:noWrap/>
            <w:vAlign w:val="bottom"/>
          </w:tcPr>
          <w:p w14:paraId="42137D9A" w14:textId="5EB9F4D9" w:rsidR="00AC3C90" w:rsidRPr="00D979E7" w:rsidRDefault="00AC3C90" w:rsidP="002320B1">
            <w:pPr>
              <w:spacing w:before="120" w:after="0" w:line="240" w:lineRule="auto"/>
              <w:jc w:val="right"/>
              <w:rPr>
                <w:rFonts w:ascii="Arial" w:eastAsia="Times New Roman" w:hAnsi="Arial" w:cs="Arial"/>
                <w:b/>
                <w:color w:val="FF0000"/>
                <w:sz w:val="20"/>
                <w:lang w:eastAsia="en-NZ"/>
              </w:rPr>
            </w:pPr>
            <w:r w:rsidRPr="00D979E7">
              <w:rPr>
                <w:rFonts w:ascii="Arial" w:hAnsi="Arial" w:cs="Arial"/>
                <w:b/>
                <w:color w:val="FF0000"/>
                <w:sz w:val="20"/>
              </w:rPr>
              <w:t>1533</w:t>
            </w:r>
            <w:r w:rsidR="00524FF8" w:rsidRPr="00D979E7">
              <w:rPr>
                <w:rFonts w:ascii="Arial" w:hAnsi="Arial" w:cs="Arial"/>
                <w:b/>
                <w:color w:val="FF0000"/>
                <w:sz w:val="20"/>
              </w:rPr>
              <w:t xml:space="preserve"> (76, 2820)</w:t>
            </w:r>
          </w:p>
        </w:tc>
      </w:tr>
    </w:tbl>
    <w:p w14:paraId="1FAAC3E5" w14:textId="77777777" w:rsidR="00D2496C" w:rsidRPr="00D979E7" w:rsidRDefault="00D2496C" w:rsidP="00271FB7">
      <w:pPr>
        <w:spacing w:before="120" w:after="120" w:line="240" w:lineRule="auto"/>
        <w:rPr>
          <w:rFonts w:ascii="Arial" w:hAnsi="Arial" w:cs="Arial"/>
        </w:rPr>
      </w:pPr>
    </w:p>
    <w:p w14:paraId="102294D9" w14:textId="7DCB09DD" w:rsidR="003F5BBB" w:rsidRPr="00D979E7" w:rsidRDefault="00555EE8" w:rsidP="00271FB7">
      <w:pPr>
        <w:pStyle w:val="Heading2"/>
        <w:spacing w:before="120" w:after="120" w:line="240" w:lineRule="auto"/>
        <w:rPr>
          <w:rFonts w:ascii="Arial" w:hAnsi="Arial" w:cs="Arial"/>
        </w:rPr>
      </w:pPr>
      <w:bookmarkStart w:id="25" w:name="_Toc19715046"/>
      <w:r w:rsidRPr="00D979E7">
        <w:rPr>
          <w:rFonts w:ascii="Arial" w:hAnsi="Arial" w:cs="Arial"/>
        </w:rPr>
        <w:t>GP Visits</w:t>
      </w:r>
      <w:bookmarkEnd w:id="25"/>
      <w:r w:rsidRPr="00D979E7">
        <w:rPr>
          <w:rFonts w:ascii="Arial" w:hAnsi="Arial" w:cs="Arial"/>
        </w:rPr>
        <w:t xml:space="preserve"> </w:t>
      </w:r>
    </w:p>
    <w:p w14:paraId="462EC285" w14:textId="346F010B" w:rsidR="00A44F9F" w:rsidRPr="00D979E7" w:rsidRDefault="003F5BBB" w:rsidP="00271FB7">
      <w:pPr>
        <w:spacing w:before="120" w:after="120" w:line="240" w:lineRule="auto"/>
        <w:rPr>
          <w:rFonts w:ascii="Arial" w:hAnsi="Arial" w:cs="Arial"/>
          <w:b/>
        </w:rPr>
      </w:pPr>
      <w:r w:rsidRPr="00D979E7">
        <w:rPr>
          <w:rFonts w:ascii="Arial" w:hAnsi="Arial" w:cs="Arial"/>
        </w:rPr>
        <w:t xml:space="preserve">Table 5 estimates the number of GP visits avoided in the 12 months following the intervention in the sample </w:t>
      </w:r>
      <w:r w:rsidR="005359A6" w:rsidRPr="00D979E7">
        <w:rPr>
          <w:rFonts w:ascii="Arial" w:hAnsi="Arial" w:cs="Arial"/>
        </w:rPr>
        <w:t>(</w:t>
      </w:r>
      <w:r w:rsidRPr="00D979E7">
        <w:rPr>
          <w:rFonts w:ascii="Arial" w:hAnsi="Arial" w:cs="Arial"/>
        </w:rPr>
        <w:t>990.17</w:t>
      </w:r>
      <w:r w:rsidR="005359A6" w:rsidRPr="00D979E7">
        <w:rPr>
          <w:rFonts w:ascii="Arial" w:hAnsi="Arial" w:cs="Arial"/>
        </w:rPr>
        <w:t>)</w:t>
      </w:r>
      <w:r w:rsidRPr="00D979E7">
        <w:rPr>
          <w:rFonts w:ascii="Arial" w:hAnsi="Arial" w:cs="Arial"/>
        </w:rPr>
        <w:t xml:space="preserve"> and </w:t>
      </w:r>
      <w:r w:rsidR="005359A6" w:rsidRPr="00D979E7">
        <w:rPr>
          <w:rFonts w:ascii="Arial" w:hAnsi="Arial" w:cs="Arial"/>
        </w:rPr>
        <w:t xml:space="preserve">the total number in the wider population of HHI referrals when </w:t>
      </w:r>
      <w:r w:rsidRPr="00D979E7">
        <w:rPr>
          <w:rFonts w:ascii="Arial" w:hAnsi="Arial" w:cs="Arial"/>
        </w:rPr>
        <w:t>extrapolate</w:t>
      </w:r>
      <w:r w:rsidR="005359A6" w:rsidRPr="00D979E7">
        <w:rPr>
          <w:rFonts w:ascii="Arial" w:hAnsi="Arial" w:cs="Arial"/>
        </w:rPr>
        <w:t>d</w:t>
      </w:r>
      <w:r w:rsidRPr="00D979E7">
        <w:rPr>
          <w:rFonts w:ascii="Arial" w:hAnsi="Arial" w:cs="Arial"/>
        </w:rPr>
        <w:t xml:space="preserve"> </w:t>
      </w:r>
      <w:r w:rsidR="005359A6" w:rsidRPr="00D979E7">
        <w:rPr>
          <w:rFonts w:ascii="Arial" w:hAnsi="Arial" w:cs="Arial"/>
        </w:rPr>
        <w:t>out (</w:t>
      </w:r>
      <w:r w:rsidRPr="00D979E7">
        <w:rPr>
          <w:rFonts w:ascii="Arial" w:hAnsi="Arial" w:cs="Arial"/>
        </w:rPr>
        <w:t>9443.28</w:t>
      </w:r>
      <w:r w:rsidR="00E06F70" w:rsidRPr="00D979E7">
        <w:rPr>
          <w:rFonts w:ascii="Arial" w:hAnsi="Arial" w:cs="Arial"/>
        </w:rPr>
        <w:t>)</w:t>
      </w:r>
      <w:r w:rsidRPr="00D979E7">
        <w:rPr>
          <w:rFonts w:ascii="Arial" w:hAnsi="Arial" w:cs="Arial"/>
        </w:rPr>
        <w:t>.</w:t>
      </w:r>
    </w:p>
    <w:p w14:paraId="1E09AC18" w14:textId="6B520FA3" w:rsidR="002F141B" w:rsidRPr="00D979E7" w:rsidRDefault="005D383D" w:rsidP="00271FB7">
      <w:pPr>
        <w:spacing w:before="120" w:after="120" w:line="240" w:lineRule="auto"/>
        <w:rPr>
          <w:rFonts w:ascii="Arial" w:hAnsi="Arial" w:cs="Arial"/>
        </w:rPr>
      </w:pPr>
      <w:r w:rsidRPr="00D979E7">
        <w:rPr>
          <w:rFonts w:ascii="Arial" w:hAnsi="Arial" w:cs="Arial"/>
          <w:b/>
        </w:rPr>
        <w:t xml:space="preserve">Table </w:t>
      </w:r>
      <w:r w:rsidR="002F141B" w:rsidRPr="00D979E7">
        <w:rPr>
          <w:rFonts w:ascii="Arial" w:hAnsi="Arial" w:cs="Arial"/>
          <w:b/>
        </w:rPr>
        <w:t>5</w:t>
      </w:r>
      <w:r w:rsidRPr="00D979E7">
        <w:rPr>
          <w:rFonts w:ascii="Arial" w:hAnsi="Arial" w:cs="Arial"/>
          <w:b/>
        </w:rPr>
        <w:t>:</w:t>
      </w:r>
      <w:r w:rsidRPr="00D979E7">
        <w:rPr>
          <w:rFonts w:ascii="Arial" w:hAnsi="Arial" w:cs="Arial"/>
        </w:rPr>
        <w:t xml:space="preserve"> GP Visits</w:t>
      </w:r>
      <w:r w:rsidR="002F141B" w:rsidRPr="00D979E7">
        <w:rPr>
          <w:rFonts w:ascii="Arial" w:hAnsi="Arial" w:cs="Arial"/>
        </w:rPr>
        <w:fldChar w:fldCharType="begin"/>
      </w:r>
      <w:r w:rsidR="002F141B" w:rsidRPr="00D979E7">
        <w:rPr>
          <w:rFonts w:ascii="Arial" w:hAnsi="Arial" w:cs="Arial"/>
        </w:rPr>
        <w:instrText xml:space="preserve"> LINK Excel.Sheet.12 "C:\\Users\\nepiers\\AppData\\Local\\Microsoft\\Windows\\INetCache\\Content.Outlook\\8MZXVN1K\\Analysis - pharmaceuticals.xlsx" "Sheet1!R21C1:R37C2" \a \f 5 \h  \* MERGEFORMAT </w:instrText>
      </w:r>
      <w:r w:rsidR="002F141B" w:rsidRPr="00D979E7">
        <w:rPr>
          <w:rFonts w:ascii="Arial" w:hAnsi="Arial" w:cs="Arial"/>
        </w:rPr>
        <w:fldChar w:fldCharType="separate"/>
      </w:r>
    </w:p>
    <w:tbl>
      <w:tblPr>
        <w:tblStyle w:val="TableGrid"/>
        <w:tblW w:w="8926" w:type="dxa"/>
        <w:tblLook w:val="04A0" w:firstRow="1" w:lastRow="0" w:firstColumn="1" w:lastColumn="0" w:noHBand="0" w:noVBand="1"/>
      </w:tblPr>
      <w:tblGrid>
        <w:gridCol w:w="4700"/>
        <w:gridCol w:w="4226"/>
      </w:tblGrid>
      <w:tr w:rsidR="002F141B" w:rsidRPr="00D979E7" w14:paraId="59895E2B" w14:textId="77777777" w:rsidTr="0036560B">
        <w:trPr>
          <w:trHeight w:val="300"/>
        </w:trPr>
        <w:tc>
          <w:tcPr>
            <w:tcW w:w="4700" w:type="dxa"/>
            <w:noWrap/>
            <w:hideMark/>
          </w:tcPr>
          <w:p w14:paraId="2EE80A29" w14:textId="4FBCEE1E" w:rsidR="002F141B" w:rsidRPr="00D979E7" w:rsidRDefault="006D1D9D" w:rsidP="002320B1">
            <w:pPr>
              <w:spacing w:before="120" w:after="0" w:line="240" w:lineRule="auto"/>
              <w:rPr>
                <w:rFonts w:ascii="Arial" w:hAnsi="Arial" w:cs="Arial"/>
                <w:sz w:val="20"/>
              </w:rPr>
            </w:pPr>
            <w:r w:rsidRPr="00D979E7">
              <w:rPr>
                <w:rFonts w:ascii="Arial" w:hAnsi="Arial" w:cs="Arial"/>
                <w:sz w:val="20"/>
              </w:rPr>
              <w:t xml:space="preserve">Evaluation </w:t>
            </w:r>
            <w:r w:rsidR="002F141B" w:rsidRPr="00D979E7">
              <w:rPr>
                <w:rFonts w:ascii="Arial" w:hAnsi="Arial" w:cs="Arial"/>
                <w:sz w:val="20"/>
              </w:rPr>
              <w:t>Sample Population</w:t>
            </w:r>
          </w:p>
        </w:tc>
        <w:tc>
          <w:tcPr>
            <w:tcW w:w="4226" w:type="dxa"/>
            <w:noWrap/>
            <w:hideMark/>
          </w:tcPr>
          <w:p w14:paraId="16DA8E14" w14:textId="77777777" w:rsidR="002F141B" w:rsidRPr="00D979E7" w:rsidRDefault="002F141B" w:rsidP="002320B1">
            <w:pPr>
              <w:spacing w:before="120" w:after="0" w:line="240" w:lineRule="auto"/>
              <w:rPr>
                <w:rFonts w:ascii="Arial" w:hAnsi="Arial" w:cs="Arial"/>
                <w:sz w:val="20"/>
              </w:rPr>
            </w:pPr>
            <w:r w:rsidRPr="00D979E7">
              <w:rPr>
                <w:rFonts w:ascii="Arial" w:hAnsi="Arial" w:cs="Arial"/>
                <w:sz w:val="20"/>
              </w:rPr>
              <w:t>1608</w:t>
            </w:r>
          </w:p>
        </w:tc>
      </w:tr>
      <w:tr w:rsidR="002F141B" w:rsidRPr="00D979E7" w14:paraId="628BB14D" w14:textId="77777777" w:rsidTr="0036560B">
        <w:trPr>
          <w:trHeight w:val="300"/>
        </w:trPr>
        <w:tc>
          <w:tcPr>
            <w:tcW w:w="4700" w:type="dxa"/>
            <w:noWrap/>
            <w:hideMark/>
          </w:tcPr>
          <w:p w14:paraId="05EE8DB6" w14:textId="03D915EE" w:rsidR="002F141B" w:rsidRPr="00D979E7" w:rsidRDefault="002F141B" w:rsidP="002320B1">
            <w:pPr>
              <w:spacing w:before="120" w:after="0" w:line="240" w:lineRule="auto"/>
              <w:rPr>
                <w:rFonts w:ascii="Arial" w:hAnsi="Arial" w:cs="Arial"/>
                <w:sz w:val="20"/>
              </w:rPr>
            </w:pPr>
            <w:r w:rsidRPr="00D979E7">
              <w:rPr>
                <w:rFonts w:ascii="Arial" w:hAnsi="Arial" w:cs="Arial"/>
                <w:sz w:val="20"/>
              </w:rPr>
              <w:t xml:space="preserve">GP Visits </w:t>
            </w:r>
            <w:r w:rsidR="003A1CCC" w:rsidRPr="00D979E7">
              <w:rPr>
                <w:rFonts w:ascii="Arial" w:eastAsia="Times New Roman" w:hAnsi="Arial" w:cs="Arial"/>
                <w:color w:val="000000"/>
                <w:sz w:val="20"/>
                <w:lang w:eastAsia="en-NZ"/>
              </w:rPr>
              <w:t xml:space="preserve">in 12 months </w:t>
            </w:r>
            <w:r w:rsidR="003A1CCC" w:rsidRPr="00D979E7">
              <w:rPr>
                <w:rFonts w:ascii="Arial" w:eastAsia="Times New Roman" w:hAnsi="Arial" w:cs="Arial"/>
                <w:i/>
                <w:color w:val="000000"/>
                <w:sz w:val="20"/>
                <w:lang w:eastAsia="en-NZ"/>
              </w:rPr>
              <w:t>before</w:t>
            </w:r>
            <w:r w:rsidR="003A1CCC" w:rsidRPr="00D979E7">
              <w:rPr>
                <w:rFonts w:ascii="Arial" w:eastAsia="Times New Roman" w:hAnsi="Arial" w:cs="Arial"/>
                <w:color w:val="000000"/>
                <w:sz w:val="20"/>
                <w:lang w:eastAsia="en-NZ"/>
              </w:rPr>
              <w:t xml:space="preserve"> intervention</w:t>
            </w:r>
          </w:p>
        </w:tc>
        <w:tc>
          <w:tcPr>
            <w:tcW w:w="4226" w:type="dxa"/>
            <w:noWrap/>
            <w:hideMark/>
          </w:tcPr>
          <w:p w14:paraId="2BBF3CC9" w14:textId="77777777" w:rsidR="002F141B" w:rsidRPr="00D979E7" w:rsidRDefault="002F141B" w:rsidP="002320B1">
            <w:pPr>
              <w:spacing w:before="120" w:after="0" w:line="240" w:lineRule="auto"/>
              <w:rPr>
                <w:rFonts w:ascii="Arial" w:hAnsi="Arial" w:cs="Arial"/>
                <w:sz w:val="20"/>
              </w:rPr>
            </w:pPr>
            <w:r w:rsidRPr="00D979E7">
              <w:rPr>
                <w:rFonts w:ascii="Arial" w:hAnsi="Arial" w:cs="Arial"/>
                <w:sz w:val="20"/>
              </w:rPr>
              <w:t>7097</w:t>
            </w:r>
          </w:p>
        </w:tc>
      </w:tr>
      <w:tr w:rsidR="002F141B" w:rsidRPr="00D979E7" w14:paraId="293A2EFA" w14:textId="77777777" w:rsidTr="0036560B">
        <w:trPr>
          <w:trHeight w:val="300"/>
        </w:trPr>
        <w:tc>
          <w:tcPr>
            <w:tcW w:w="4700" w:type="dxa"/>
            <w:noWrap/>
            <w:hideMark/>
          </w:tcPr>
          <w:p w14:paraId="241DBF5A" w14:textId="3A2AF9B1" w:rsidR="002F141B" w:rsidRPr="00D979E7" w:rsidRDefault="002F141B" w:rsidP="002320B1">
            <w:pPr>
              <w:spacing w:before="120" w:after="0" w:line="240" w:lineRule="auto"/>
              <w:rPr>
                <w:rFonts w:ascii="Arial" w:hAnsi="Arial" w:cs="Arial"/>
                <w:sz w:val="20"/>
              </w:rPr>
            </w:pPr>
            <w:r w:rsidRPr="00D979E7">
              <w:rPr>
                <w:rFonts w:ascii="Arial" w:hAnsi="Arial" w:cs="Arial"/>
                <w:sz w:val="20"/>
              </w:rPr>
              <w:t xml:space="preserve">GP Visits </w:t>
            </w:r>
            <w:r w:rsidR="003A1CCC" w:rsidRPr="00D979E7">
              <w:rPr>
                <w:rFonts w:ascii="Arial" w:eastAsia="Times New Roman" w:hAnsi="Arial" w:cs="Arial"/>
                <w:color w:val="000000"/>
                <w:sz w:val="20"/>
                <w:lang w:eastAsia="en-NZ"/>
              </w:rPr>
              <w:t xml:space="preserve">in 12 months </w:t>
            </w:r>
            <w:r w:rsidR="003A1CCC" w:rsidRPr="00D979E7">
              <w:rPr>
                <w:rFonts w:ascii="Arial" w:eastAsia="Times New Roman" w:hAnsi="Arial" w:cs="Arial"/>
                <w:i/>
                <w:color w:val="000000"/>
                <w:sz w:val="20"/>
                <w:lang w:eastAsia="en-NZ"/>
              </w:rPr>
              <w:t>after</w:t>
            </w:r>
            <w:r w:rsidR="003A1CCC" w:rsidRPr="00D979E7">
              <w:rPr>
                <w:rFonts w:ascii="Arial" w:eastAsia="Times New Roman" w:hAnsi="Arial" w:cs="Arial"/>
                <w:color w:val="000000"/>
                <w:sz w:val="20"/>
                <w:lang w:eastAsia="en-NZ"/>
              </w:rPr>
              <w:t xml:space="preserve"> intervention</w:t>
            </w:r>
          </w:p>
        </w:tc>
        <w:tc>
          <w:tcPr>
            <w:tcW w:w="4226" w:type="dxa"/>
            <w:noWrap/>
            <w:hideMark/>
          </w:tcPr>
          <w:p w14:paraId="24429426" w14:textId="77777777" w:rsidR="002F141B" w:rsidRPr="00D979E7" w:rsidRDefault="002F141B" w:rsidP="002320B1">
            <w:pPr>
              <w:spacing w:before="120" w:after="0" w:line="240" w:lineRule="auto"/>
              <w:rPr>
                <w:rFonts w:ascii="Arial" w:hAnsi="Arial" w:cs="Arial"/>
                <w:sz w:val="20"/>
              </w:rPr>
            </w:pPr>
            <w:r w:rsidRPr="00D979E7">
              <w:rPr>
                <w:rFonts w:ascii="Arial" w:hAnsi="Arial" w:cs="Arial"/>
                <w:sz w:val="20"/>
              </w:rPr>
              <w:t>5407</w:t>
            </w:r>
          </w:p>
        </w:tc>
      </w:tr>
      <w:tr w:rsidR="002F141B" w:rsidRPr="00D979E7" w14:paraId="7590196A" w14:textId="77777777" w:rsidTr="0036560B">
        <w:trPr>
          <w:trHeight w:val="300"/>
        </w:trPr>
        <w:tc>
          <w:tcPr>
            <w:tcW w:w="4700" w:type="dxa"/>
            <w:noWrap/>
            <w:hideMark/>
          </w:tcPr>
          <w:p w14:paraId="3828F700" w14:textId="7E6A4626" w:rsidR="002F141B" w:rsidRPr="00D979E7" w:rsidRDefault="003A1CCC" w:rsidP="002320B1">
            <w:pPr>
              <w:spacing w:before="120" w:after="0" w:line="240" w:lineRule="auto"/>
              <w:rPr>
                <w:rFonts w:ascii="Arial" w:hAnsi="Arial" w:cs="Arial"/>
                <w:sz w:val="20"/>
              </w:rPr>
            </w:pPr>
            <w:r w:rsidRPr="00D979E7">
              <w:rPr>
                <w:rFonts w:ascii="Arial" w:eastAsia="Times New Roman" w:hAnsi="Arial" w:cs="Arial"/>
                <w:color w:val="000000"/>
                <w:sz w:val="20"/>
                <w:lang w:eastAsia="en-NZ"/>
              </w:rPr>
              <w:t>Difference (</w:t>
            </w:r>
            <w:r w:rsidR="00081A80" w:rsidRPr="00D979E7">
              <w:rPr>
                <w:rFonts w:ascii="Arial" w:eastAsia="Times New Roman" w:hAnsi="Arial" w:cs="Arial"/>
                <w:color w:val="000000"/>
                <w:sz w:val="20"/>
                <w:lang w:eastAsia="en-NZ"/>
              </w:rPr>
              <w:t>Before-After</w:t>
            </w:r>
            <w:r w:rsidRPr="00D979E7">
              <w:rPr>
                <w:rFonts w:ascii="Arial" w:eastAsia="Times New Roman" w:hAnsi="Arial" w:cs="Arial"/>
                <w:color w:val="000000"/>
                <w:sz w:val="20"/>
                <w:lang w:eastAsia="en-NZ"/>
              </w:rPr>
              <w:t xml:space="preserve">), </w:t>
            </w:r>
            <w:r w:rsidRPr="00D979E7">
              <w:rPr>
                <w:rFonts w:ascii="Arial" w:eastAsia="Times New Roman" w:hAnsi="Arial" w:cs="Arial"/>
                <w:i/>
                <w:color w:val="000000"/>
                <w:sz w:val="20"/>
                <w:lang w:eastAsia="en-NZ"/>
              </w:rPr>
              <w:t>not adjusted for age</w:t>
            </w:r>
          </w:p>
        </w:tc>
        <w:tc>
          <w:tcPr>
            <w:tcW w:w="4226" w:type="dxa"/>
            <w:noWrap/>
            <w:hideMark/>
          </w:tcPr>
          <w:p w14:paraId="16988E19" w14:textId="77777777" w:rsidR="002F141B" w:rsidRPr="00D979E7" w:rsidRDefault="002F141B" w:rsidP="002320B1">
            <w:pPr>
              <w:spacing w:before="120" w:after="0" w:line="240" w:lineRule="auto"/>
              <w:rPr>
                <w:rFonts w:ascii="Arial" w:hAnsi="Arial" w:cs="Arial"/>
                <w:sz w:val="20"/>
              </w:rPr>
            </w:pPr>
            <w:r w:rsidRPr="00D979E7">
              <w:rPr>
                <w:rFonts w:ascii="Arial" w:hAnsi="Arial" w:cs="Arial"/>
                <w:sz w:val="20"/>
              </w:rPr>
              <w:t>1690</w:t>
            </w:r>
          </w:p>
        </w:tc>
      </w:tr>
      <w:tr w:rsidR="00D21DFF" w:rsidRPr="00D979E7" w14:paraId="7FFD3D44" w14:textId="77777777" w:rsidTr="0036560B">
        <w:trPr>
          <w:trHeight w:val="300"/>
        </w:trPr>
        <w:tc>
          <w:tcPr>
            <w:tcW w:w="8926" w:type="dxa"/>
            <w:gridSpan w:val="2"/>
            <w:noWrap/>
          </w:tcPr>
          <w:p w14:paraId="345A1C52" w14:textId="4CE70425" w:rsidR="00D21DFF" w:rsidRPr="00D979E7" w:rsidRDefault="00D21DFF" w:rsidP="002320B1">
            <w:pPr>
              <w:spacing w:before="120" w:after="0" w:line="240" w:lineRule="auto"/>
              <w:rPr>
                <w:rFonts w:ascii="Arial" w:hAnsi="Arial" w:cs="Arial"/>
                <w:sz w:val="20"/>
              </w:rPr>
            </w:pPr>
            <w:r w:rsidRPr="00D979E7">
              <w:rPr>
                <w:rFonts w:ascii="Arial" w:hAnsi="Arial" w:cs="Arial"/>
                <w:sz w:val="20"/>
              </w:rPr>
              <w:t xml:space="preserve">Adjusting for age </w:t>
            </w:r>
          </w:p>
        </w:tc>
      </w:tr>
      <w:tr w:rsidR="002F141B" w:rsidRPr="00D979E7" w14:paraId="1D2833D3" w14:textId="77777777" w:rsidTr="0036560B">
        <w:trPr>
          <w:trHeight w:val="300"/>
        </w:trPr>
        <w:tc>
          <w:tcPr>
            <w:tcW w:w="4700" w:type="dxa"/>
            <w:noWrap/>
            <w:hideMark/>
          </w:tcPr>
          <w:p w14:paraId="273CAAAC" w14:textId="70061CF4" w:rsidR="002F141B" w:rsidRPr="00D979E7" w:rsidRDefault="003A1CCC" w:rsidP="002320B1">
            <w:pPr>
              <w:spacing w:before="120" w:after="0" w:line="240" w:lineRule="auto"/>
              <w:rPr>
                <w:rFonts w:ascii="Arial" w:hAnsi="Arial" w:cs="Arial"/>
                <w:sz w:val="20"/>
              </w:rPr>
            </w:pPr>
            <w:r w:rsidRPr="00D979E7">
              <w:rPr>
                <w:rFonts w:ascii="Arial" w:hAnsi="Arial" w:cs="Arial"/>
                <w:sz w:val="20"/>
              </w:rPr>
              <w:t>Average change in GP visits per year age</w:t>
            </w:r>
          </w:p>
        </w:tc>
        <w:tc>
          <w:tcPr>
            <w:tcW w:w="4226" w:type="dxa"/>
            <w:noWrap/>
            <w:hideMark/>
          </w:tcPr>
          <w:p w14:paraId="5D6C41E1" w14:textId="0C7225E3" w:rsidR="002F141B" w:rsidRPr="00D979E7" w:rsidRDefault="002F141B" w:rsidP="002320B1">
            <w:pPr>
              <w:spacing w:before="120" w:after="0" w:line="240" w:lineRule="auto"/>
              <w:rPr>
                <w:rFonts w:ascii="Arial" w:hAnsi="Arial" w:cs="Arial"/>
                <w:sz w:val="20"/>
              </w:rPr>
            </w:pPr>
            <w:r w:rsidRPr="00D979E7">
              <w:rPr>
                <w:rFonts w:ascii="Arial" w:hAnsi="Arial" w:cs="Arial"/>
                <w:sz w:val="20"/>
              </w:rPr>
              <w:t>-0.31</w:t>
            </w:r>
          </w:p>
        </w:tc>
      </w:tr>
      <w:tr w:rsidR="002F141B" w:rsidRPr="00D979E7" w14:paraId="0733B2B0" w14:textId="77777777" w:rsidTr="0036560B">
        <w:trPr>
          <w:trHeight w:val="300"/>
        </w:trPr>
        <w:tc>
          <w:tcPr>
            <w:tcW w:w="4700" w:type="dxa"/>
            <w:noWrap/>
            <w:hideMark/>
          </w:tcPr>
          <w:p w14:paraId="2A58EC63" w14:textId="5C31D781" w:rsidR="002F141B" w:rsidRPr="00D979E7" w:rsidRDefault="002804B6" w:rsidP="002320B1">
            <w:pPr>
              <w:spacing w:before="120" w:after="0" w:line="240" w:lineRule="auto"/>
              <w:rPr>
                <w:rFonts w:ascii="Arial" w:hAnsi="Arial" w:cs="Arial"/>
                <w:sz w:val="20"/>
              </w:rPr>
            </w:pPr>
            <w:r w:rsidRPr="00D979E7">
              <w:rPr>
                <w:rFonts w:ascii="Arial" w:eastAsia="Times New Roman" w:hAnsi="Arial" w:cs="Arial"/>
                <w:color w:val="000000"/>
                <w:sz w:val="20"/>
                <w:lang w:eastAsia="en-NZ"/>
              </w:rPr>
              <w:t xml:space="preserve">Average difference in age between start </w:t>
            </w:r>
            <w:r w:rsidR="00081A80" w:rsidRPr="00D979E7">
              <w:rPr>
                <w:rFonts w:ascii="Arial" w:eastAsia="Times New Roman" w:hAnsi="Arial" w:cs="Arial"/>
                <w:color w:val="000000"/>
                <w:sz w:val="20"/>
                <w:lang w:eastAsia="en-NZ"/>
              </w:rPr>
              <w:t xml:space="preserve">and end </w:t>
            </w:r>
            <w:r w:rsidRPr="00D979E7">
              <w:rPr>
                <w:rFonts w:ascii="Arial" w:eastAsia="Times New Roman" w:hAnsi="Arial" w:cs="Arial"/>
                <w:color w:val="000000"/>
                <w:sz w:val="20"/>
                <w:lang w:eastAsia="en-NZ"/>
              </w:rPr>
              <w:t>of observation periods</w:t>
            </w:r>
          </w:p>
        </w:tc>
        <w:tc>
          <w:tcPr>
            <w:tcW w:w="4226" w:type="dxa"/>
            <w:noWrap/>
            <w:hideMark/>
          </w:tcPr>
          <w:p w14:paraId="3071576D" w14:textId="0B5403F6" w:rsidR="002F141B" w:rsidRPr="00D979E7" w:rsidRDefault="003F5BBB" w:rsidP="002320B1">
            <w:pPr>
              <w:spacing w:before="120" w:after="0" w:line="240" w:lineRule="auto"/>
              <w:rPr>
                <w:rFonts w:ascii="Arial" w:hAnsi="Arial" w:cs="Arial"/>
                <w:sz w:val="20"/>
              </w:rPr>
            </w:pPr>
            <w:r w:rsidRPr="00D979E7">
              <w:rPr>
                <w:rFonts w:ascii="Arial" w:hAnsi="Arial" w:cs="Arial"/>
                <w:sz w:val="20"/>
              </w:rPr>
              <w:t>1.40</w:t>
            </w:r>
          </w:p>
        </w:tc>
      </w:tr>
      <w:tr w:rsidR="002F141B" w:rsidRPr="00D979E7" w14:paraId="75285F82" w14:textId="77777777" w:rsidTr="0036560B">
        <w:trPr>
          <w:trHeight w:val="300"/>
        </w:trPr>
        <w:tc>
          <w:tcPr>
            <w:tcW w:w="4700" w:type="dxa"/>
            <w:noWrap/>
            <w:hideMark/>
          </w:tcPr>
          <w:p w14:paraId="655AC55B" w14:textId="6EA18556" w:rsidR="002F141B" w:rsidRPr="00D979E7" w:rsidRDefault="002F141B" w:rsidP="002320B1">
            <w:pPr>
              <w:spacing w:before="120" w:after="0" w:line="240" w:lineRule="auto"/>
              <w:rPr>
                <w:rFonts w:ascii="Arial" w:hAnsi="Arial" w:cs="Arial"/>
                <w:sz w:val="20"/>
              </w:rPr>
            </w:pPr>
            <w:r w:rsidRPr="00D979E7">
              <w:rPr>
                <w:rFonts w:ascii="Arial" w:eastAsia="Times New Roman" w:hAnsi="Arial" w:cs="Arial"/>
                <w:color w:val="000000"/>
                <w:sz w:val="20"/>
                <w:lang w:eastAsia="en-NZ"/>
              </w:rPr>
              <w:t>Rate difference due to age</w:t>
            </w:r>
          </w:p>
        </w:tc>
        <w:tc>
          <w:tcPr>
            <w:tcW w:w="4226" w:type="dxa"/>
            <w:noWrap/>
            <w:hideMark/>
          </w:tcPr>
          <w:p w14:paraId="66520F78" w14:textId="77777777" w:rsidR="002F141B" w:rsidRPr="00D979E7" w:rsidRDefault="002F141B" w:rsidP="002320B1">
            <w:pPr>
              <w:spacing w:before="120" w:after="0" w:line="240" w:lineRule="auto"/>
              <w:rPr>
                <w:rFonts w:ascii="Arial" w:hAnsi="Arial" w:cs="Arial"/>
                <w:sz w:val="20"/>
              </w:rPr>
            </w:pPr>
            <w:r w:rsidRPr="00D979E7">
              <w:rPr>
                <w:rFonts w:ascii="Arial" w:hAnsi="Arial" w:cs="Arial"/>
                <w:sz w:val="20"/>
              </w:rPr>
              <w:t>-0.43522</w:t>
            </w:r>
          </w:p>
        </w:tc>
      </w:tr>
      <w:tr w:rsidR="002F141B" w:rsidRPr="00D979E7" w14:paraId="77E09BF5" w14:textId="77777777" w:rsidTr="0036560B">
        <w:trPr>
          <w:trHeight w:val="300"/>
        </w:trPr>
        <w:tc>
          <w:tcPr>
            <w:tcW w:w="4700" w:type="dxa"/>
            <w:noWrap/>
          </w:tcPr>
          <w:p w14:paraId="28E4F42A" w14:textId="67228773" w:rsidR="002F141B" w:rsidRPr="00D979E7" w:rsidRDefault="002804B6" w:rsidP="002320B1">
            <w:pPr>
              <w:spacing w:before="120" w:after="0" w:line="240" w:lineRule="auto"/>
              <w:rPr>
                <w:rFonts w:ascii="Arial" w:hAnsi="Arial" w:cs="Arial"/>
                <w:sz w:val="20"/>
              </w:rPr>
            </w:pPr>
            <w:r w:rsidRPr="00D979E7">
              <w:rPr>
                <w:rFonts w:ascii="Arial" w:hAnsi="Arial" w:cs="Arial"/>
                <w:sz w:val="20"/>
              </w:rPr>
              <w:t xml:space="preserve"># of decreased GP visits </w:t>
            </w:r>
            <w:r w:rsidR="002F141B" w:rsidRPr="00D979E7">
              <w:rPr>
                <w:rFonts w:ascii="Arial" w:hAnsi="Arial" w:cs="Arial"/>
                <w:sz w:val="20"/>
              </w:rPr>
              <w:t>due to age</w:t>
            </w:r>
          </w:p>
        </w:tc>
        <w:tc>
          <w:tcPr>
            <w:tcW w:w="4226" w:type="dxa"/>
            <w:noWrap/>
          </w:tcPr>
          <w:p w14:paraId="7277C57F" w14:textId="0B74D7CE" w:rsidR="002F141B" w:rsidRPr="00D979E7" w:rsidRDefault="002F141B" w:rsidP="002320B1">
            <w:pPr>
              <w:spacing w:before="120" w:after="0" w:line="240" w:lineRule="auto"/>
              <w:rPr>
                <w:rFonts w:ascii="Arial" w:hAnsi="Arial" w:cs="Arial"/>
                <w:sz w:val="20"/>
              </w:rPr>
            </w:pPr>
            <w:r w:rsidRPr="00D979E7">
              <w:rPr>
                <w:rFonts w:ascii="Arial" w:hAnsi="Arial" w:cs="Arial"/>
                <w:sz w:val="20"/>
              </w:rPr>
              <w:t>699.83</w:t>
            </w:r>
          </w:p>
        </w:tc>
      </w:tr>
      <w:tr w:rsidR="00D22580" w:rsidRPr="00D979E7" w14:paraId="353F8A21" w14:textId="77777777" w:rsidTr="006E6090">
        <w:trPr>
          <w:trHeight w:val="339"/>
        </w:trPr>
        <w:tc>
          <w:tcPr>
            <w:tcW w:w="8926" w:type="dxa"/>
            <w:gridSpan w:val="2"/>
            <w:shd w:val="clear" w:color="auto" w:fill="E7E6E6" w:themeFill="background2"/>
            <w:noWrap/>
          </w:tcPr>
          <w:p w14:paraId="66CF2EB4" w14:textId="03FB22A4" w:rsidR="00D22580" w:rsidRPr="00D979E7" w:rsidRDefault="00D22580" w:rsidP="002320B1">
            <w:pPr>
              <w:spacing w:before="120" w:after="0" w:line="240" w:lineRule="auto"/>
              <w:rPr>
                <w:rFonts w:ascii="Arial" w:hAnsi="Arial" w:cs="Arial"/>
                <w:sz w:val="20"/>
              </w:rPr>
            </w:pPr>
            <w:r w:rsidRPr="00D979E7">
              <w:rPr>
                <w:rFonts w:ascii="Arial" w:eastAsia="Times New Roman" w:hAnsi="Arial" w:cs="Arial"/>
                <w:color w:val="000000"/>
                <w:sz w:val="20"/>
                <w:lang w:eastAsia="en-NZ"/>
              </w:rPr>
              <w:t>Summary of effect attributable to HHI</w:t>
            </w:r>
          </w:p>
        </w:tc>
      </w:tr>
      <w:tr w:rsidR="002F141B" w:rsidRPr="00D979E7" w14:paraId="76F3BA23" w14:textId="77777777" w:rsidTr="0036560B">
        <w:trPr>
          <w:trHeight w:val="300"/>
        </w:trPr>
        <w:tc>
          <w:tcPr>
            <w:tcW w:w="4700" w:type="dxa"/>
            <w:noWrap/>
            <w:hideMark/>
          </w:tcPr>
          <w:p w14:paraId="4734BEE0" w14:textId="32B3287C" w:rsidR="002F141B" w:rsidRPr="00D979E7" w:rsidRDefault="002F141B" w:rsidP="002320B1">
            <w:pPr>
              <w:spacing w:before="120" w:after="0" w:line="240" w:lineRule="auto"/>
              <w:rPr>
                <w:rFonts w:ascii="Arial" w:hAnsi="Arial" w:cs="Arial"/>
                <w:sz w:val="20"/>
              </w:rPr>
            </w:pPr>
            <w:r w:rsidRPr="00D979E7">
              <w:rPr>
                <w:rFonts w:ascii="Arial" w:hAnsi="Arial" w:cs="Arial"/>
                <w:sz w:val="20"/>
              </w:rPr>
              <w:t xml:space="preserve">Prevented GP visits </w:t>
            </w:r>
            <w:r w:rsidR="002804B6" w:rsidRPr="00D979E7">
              <w:rPr>
                <w:rFonts w:ascii="Arial" w:hAnsi="Arial" w:cs="Arial"/>
                <w:sz w:val="20"/>
              </w:rPr>
              <w:t>in sample</w:t>
            </w:r>
          </w:p>
        </w:tc>
        <w:tc>
          <w:tcPr>
            <w:tcW w:w="4226" w:type="dxa"/>
            <w:noWrap/>
            <w:hideMark/>
          </w:tcPr>
          <w:p w14:paraId="4D8B6021" w14:textId="3011BB33" w:rsidR="002F141B" w:rsidRPr="00D979E7" w:rsidRDefault="002F141B" w:rsidP="002320B1">
            <w:pPr>
              <w:spacing w:before="120" w:after="0" w:line="240" w:lineRule="auto"/>
              <w:rPr>
                <w:rFonts w:ascii="Arial" w:hAnsi="Arial" w:cs="Arial"/>
                <w:sz w:val="20"/>
              </w:rPr>
            </w:pPr>
            <w:r w:rsidRPr="00D979E7">
              <w:rPr>
                <w:rFonts w:ascii="Arial" w:hAnsi="Arial" w:cs="Arial"/>
                <w:sz w:val="20"/>
              </w:rPr>
              <w:t>990.1</w:t>
            </w:r>
            <w:r w:rsidR="003F5BBB" w:rsidRPr="00D979E7">
              <w:rPr>
                <w:rFonts w:ascii="Arial" w:hAnsi="Arial" w:cs="Arial"/>
                <w:sz w:val="20"/>
              </w:rPr>
              <w:t>7</w:t>
            </w:r>
          </w:p>
        </w:tc>
      </w:tr>
      <w:tr w:rsidR="002F141B" w:rsidRPr="00D979E7" w14:paraId="0CDBED6B" w14:textId="77777777" w:rsidTr="0036560B">
        <w:trPr>
          <w:trHeight w:val="300"/>
        </w:trPr>
        <w:tc>
          <w:tcPr>
            <w:tcW w:w="4700" w:type="dxa"/>
            <w:noWrap/>
            <w:hideMark/>
          </w:tcPr>
          <w:p w14:paraId="7F38BCFC" w14:textId="10AF1B45" w:rsidR="002F141B" w:rsidRPr="00D979E7" w:rsidRDefault="0009144E" w:rsidP="002320B1">
            <w:pPr>
              <w:spacing w:before="120" w:after="0" w:line="240" w:lineRule="auto"/>
              <w:rPr>
                <w:rFonts w:ascii="Arial" w:hAnsi="Arial" w:cs="Arial"/>
                <w:sz w:val="20"/>
              </w:rPr>
            </w:pPr>
            <w:r w:rsidRPr="00D979E7">
              <w:rPr>
                <w:rFonts w:ascii="Arial" w:hAnsi="Arial" w:cs="Arial"/>
                <w:sz w:val="20"/>
              </w:rPr>
              <w:t xml:space="preserve">Rate of prevented GP visits </w:t>
            </w:r>
            <w:r w:rsidR="00334D0E" w:rsidRPr="00D979E7">
              <w:rPr>
                <w:rFonts w:ascii="Arial" w:hAnsi="Arial" w:cs="Arial"/>
                <w:sz w:val="20"/>
              </w:rPr>
              <w:t>per referral</w:t>
            </w:r>
          </w:p>
        </w:tc>
        <w:tc>
          <w:tcPr>
            <w:tcW w:w="4226" w:type="dxa"/>
            <w:noWrap/>
            <w:hideMark/>
          </w:tcPr>
          <w:p w14:paraId="3EB6FB85" w14:textId="3195F7B2" w:rsidR="002F141B" w:rsidRPr="00D979E7" w:rsidRDefault="002F141B" w:rsidP="002320B1">
            <w:pPr>
              <w:spacing w:before="120" w:after="0" w:line="240" w:lineRule="auto"/>
              <w:rPr>
                <w:rFonts w:ascii="Arial" w:hAnsi="Arial" w:cs="Arial"/>
                <w:sz w:val="20"/>
              </w:rPr>
            </w:pPr>
            <w:r w:rsidRPr="00D979E7">
              <w:rPr>
                <w:rFonts w:ascii="Arial" w:hAnsi="Arial" w:cs="Arial"/>
                <w:sz w:val="20"/>
              </w:rPr>
              <w:t>0.616</w:t>
            </w:r>
            <w:r w:rsidR="00524FF8" w:rsidRPr="00D979E7">
              <w:rPr>
                <w:rFonts w:ascii="Arial" w:hAnsi="Arial" w:cs="Arial"/>
                <w:sz w:val="20"/>
              </w:rPr>
              <w:t xml:space="preserve"> (</w:t>
            </w:r>
            <w:r w:rsidR="0036560B" w:rsidRPr="00D979E7">
              <w:rPr>
                <w:rFonts w:ascii="Arial" w:hAnsi="Arial" w:cs="Arial"/>
                <w:sz w:val="20"/>
              </w:rPr>
              <w:t>0.563, 0.668)</w:t>
            </w:r>
          </w:p>
        </w:tc>
      </w:tr>
      <w:tr w:rsidR="002F141B" w:rsidRPr="00D979E7" w14:paraId="58C79518" w14:textId="77777777" w:rsidTr="0036560B">
        <w:trPr>
          <w:trHeight w:val="300"/>
        </w:trPr>
        <w:tc>
          <w:tcPr>
            <w:tcW w:w="4700" w:type="dxa"/>
            <w:noWrap/>
            <w:hideMark/>
          </w:tcPr>
          <w:p w14:paraId="6C2FDC03" w14:textId="4F3F39F8" w:rsidR="002F141B" w:rsidRPr="00D979E7" w:rsidRDefault="0009144E" w:rsidP="002320B1">
            <w:pPr>
              <w:spacing w:before="120" w:after="0" w:line="240" w:lineRule="auto"/>
              <w:rPr>
                <w:rFonts w:ascii="Arial" w:hAnsi="Arial" w:cs="Arial"/>
                <w:b/>
                <w:color w:val="FF0000"/>
                <w:sz w:val="20"/>
              </w:rPr>
            </w:pPr>
            <w:r w:rsidRPr="00D979E7">
              <w:rPr>
                <w:rFonts w:ascii="Arial" w:hAnsi="Arial" w:cs="Arial"/>
                <w:b/>
                <w:color w:val="FF0000"/>
                <w:sz w:val="20"/>
              </w:rPr>
              <w:t>Prevented GP visits in population</w:t>
            </w:r>
          </w:p>
        </w:tc>
        <w:tc>
          <w:tcPr>
            <w:tcW w:w="4226" w:type="dxa"/>
            <w:noWrap/>
            <w:hideMark/>
          </w:tcPr>
          <w:p w14:paraId="03185D7F" w14:textId="0212529F" w:rsidR="002F141B" w:rsidRPr="00D979E7" w:rsidRDefault="002F141B" w:rsidP="002320B1">
            <w:pPr>
              <w:spacing w:before="120" w:after="0" w:line="240" w:lineRule="auto"/>
              <w:rPr>
                <w:rFonts w:ascii="Arial" w:hAnsi="Arial" w:cs="Arial"/>
                <w:b/>
                <w:color w:val="FF0000"/>
                <w:sz w:val="20"/>
              </w:rPr>
            </w:pPr>
            <w:r w:rsidRPr="00D979E7">
              <w:rPr>
                <w:rFonts w:ascii="Arial" w:hAnsi="Arial" w:cs="Arial"/>
                <w:b/>
                <w:color w:val="FF0000"/>
                <w:sz w:val="20"/>
              </w:rPr>
              <w:t>9443.28</w:t>
            </w:r>
            <w:r w:rsidR="00524FF8" w:rsidRPr="00D979E7">
              <w:rPr>
                <w:rFonts w:ascii="Arial" w:hAnsi="Arial" w:cs="Arial"/>
                <w:b/>
                <w:color w:val="FF0000"/>
                <w:sz w:val="20"/>
              </w:rPr>
              <w:t xml:space="preserve"> (8630, 10240)</w:t>
            </w:r>
          </w:p>
        </w:tc>
      </w:tr>
    </w:tbl>
    <w:p w14:paraId="5E166836" w14:textId="71464EBB" w:rsidR="002F141B" w:rsidRPr="00D979E7" w:rsidRDefault="002F141B" w:rsidP="00271FB7">
      <w:pPr>
        <w:spacing w:before="120" w:after="120" w:line="240" w:lineRule="auto"/>
        <w:rPr>
          <w:rFonts w:ascii="Arial" w:hAnsi="Arial" w:cs="Arial"/>
        </w:rPr>
      </w:pPr>
      <w:r w:rsidRPr="00D979E7">
        <w:rPr>
          <w:rFonts w:ascii="Arial" w:hAnsi="Arial" w:cs="Arial"/>
        </w:rPr>
        <w:fldChar w:fldCharType="end"/>
      </w:r>
    </w:p>
    <w:p w14:paraId="3147480E" w14:textId="2BB53AB2" w:rsidR="00555EE8" w:rsidRPr="00D979E7" w:rsidRDefault="00555EE8" w:rsidP="00271FB7">
      <w:pPr>
        <w:pStyle w:val="Heading2"/>
        <w:spacing w:before="120" w:after="120" w:line="240" w:lineRule="auto"/>
        <w:rPr>
          <w:rFonts w:ascii="Arial" w:hAnsi="Arial" w:cs="Arial"/>
        </w:rPr>
      </w:pPr>
      <w:bookmarkStart w:id="26" w:name="_Toc19715047"/>
      <w:r w:rsidRPr="00D979E7">
        <w:rPr>
          <w:rFonts w:ascii="Arial" w:hAnsi="Arial" w:cs="Arial"/>
        </w:rPr>
        <w:t xml:space="preserve">Pharmaceutical </w:t>
      </w:r>
      <w:proofErr w:type="spellStart"/>
      <w:r w:rsidRPr="00D979E7">
        <w:rPr>
          <w:rFonts w:ascii="Arial" w:hAnsi="Arial" w:cs="Arial"/>
        </w:rPr>
        <w:t>dispensings</w:t>
      </w:r>
      <w:bookmarkEnd w:id="26"/>
      <w:proofErr w:type="spellEnd"/>
    </w:p>
    <w:p w14:paraId="743D71DB" w14:textId="28D2932E" w:rsidR="003F5BBB" w:rsidRPr="00D979E7" w:rsidRDefault="003F5BBB" w:rsidP="00271FB7">
      <w:pPr>
        <w:spacing w:before="120" w:after="120" w:line="240" w:lineRule="auto"/>
        <w:rPr>
          <w:rFonts w:ascii="Arial" w:hAnsi="Arial" w:cs="Arial"/>
        </w:rPr>
      </w:pPr>
      <w:r w:rsidRPr="00D979E7">
        <w:rPr>
          <w:rFonts w:ascii="Arial" w:hAnsi="Arial" w:cs="Arial"/>
        </w:rPr>
        <w:t xml:space="preserve">Table 6 estimates the number of pharmaceutical </w:t>
      </w:r>
      <w:proofErr w:type="spellStart"/>
      <w:r w:rsidRPr="00D979E7">
        <w:rPr>
          <w:rFonts w:ascii="Arial" w:hAnsi="Arial" w:cs="Arial"/>
        </w:rPr>
        <w:t>dispens</w:t>
      </w:r>
      <w:r w:rsidR="00E06F70" w:rsidRPr="00D979E7">
        <w:rPr>
          <w:rFonts w:ascii="Arial" w:hAnsi="Arial" w:cs="Arial"/>
        </w:rPr>
        <w:t>ings</w:t>
      </w:r>
      <w:proofErr w:type="spellEnd"/>
      <w:r w:rsidR="00E06F70" w:rsidRPr="00D979E7">
        <w:rPr>
          <w:rFonts w:ascii="Arial" w:hAnsi="Arial" w:cs="Arial"/>
        </w:rPr>
        <w:t xml:space="preserve"> </w:t>
      </w:r>
      <w:r w:rsidRPr="00D979E7">
        <w:rPr>
          <w:rFonts w:ascii="Arial" w:hAnsi="Arial" w:cs="Arial"/>
        </w:rPr>
        <w:t xml:space="preserve">avoided in the 12 months following the intervention in the sample </w:t>
      </w:r>
      <w:r w:rsidR="00E06F70" w:rsidRPr="00D979E7">
        <w:rPr>
          <w:rFonts w:ascii="Arial" w:hAnsi="Arial" w:cs="Arial"/>
        </w:rPr>
        <w:t xml:space="preserve">at </w:t>
      </w:r>
      <w:r w:rsidRPr="00D979E7">
        <w:rPr>
          <w:rFonts w:ascii="Arial" w:hAnsi="Arial" w:cs="Arial"/>
        </w:rPr>
        <w:t>990.17</w:t>
      </w:r>
      <w:r w:rsidR="00E06F70" w:rsidRPr="00D979E7">
        <w:rPr>
          <w:rFonts w:ascii="Arial" w:hAnsi="Arial" w:cs="Arial"/>
        </w:rPr>
        <w:t>.  Ex</w:t>
      </w:r>
      <w:r w:rsidRPr="00D979E7">
        <w:rPr>
          <w:rFonts w:ascii="Arial" w:hAnsi="Arial" w:cs="Arial"/>
        </w:rPr>
        <w:t>trapolate</w:t>
      </w:r>
      <w:r w:rsidR="00E06F70" w:rsidRPr="00D979E7">
        <w:rPr>
          <w:rFonts w:ascii="Arial" w:hAnsi="Arial" w:cs="Arial"/>
        </w:rPr>
        <w:t>d</w:t>
      </w:r>
      <w:r w:rsidRPr="00D979E7">
        <w:rPr>
          <w:rFonts w:ascii="Arial" w:hAnsi="Arial" w:cs="Arial"/>
        </w:rPr>
        <w:t xml:space="preserve"> </w:t>
      </w:r>
      <w:r w:rsidR="00E06F70" w:rsidRPr="00D979E7">
        <w:rPr>
          <w:rFonts w:ascii="Arial" w:hAnsi="Arial" w:cs="Arial"/>
        </w:rPr>
        <w:t xml:space="preserve">out </w:t>
      </w:r>
      <w:r w:rsidRPr="00D979E7">
        <w:rPr>
          <w:rFonts w:ascii="Arial" w:hAnsi="Arial" w:cs="Arial"/>
        </w:rPr>
        <w:t>to the wider population</w:t>
      </w:r>
      <w:r w:rsidR="00E06F70" w:rsidRPr="00D979E7">
        <w:rPr>
          <w:rFonts w:ascii="Arial" w:hAnsi="Arial" w:cs="Arial"/>
        </w:rPr>
        <w:t>, the rate calculated amounts to</w:t>
      </w:r>
      <w:r w:rsidRPr="00D979E7">
        <w:rPr>
          <w:rFonts w:ascii="Arial" w:hAnsi="Arial" w:cs="Arial"/>
        </w:rPr>
        <w:t xml:space="preserve"> 9443.28</w:t>
      </w:r>
      <w:r w:rsidR="00E06F70" w:rsidRPr="00D979E7">
        <w:rPr>
          <w:rFonts w:ascii="Arial" w:hAnsi="Arial" w:cs="Arial"/>
        </w:rPr>
        <w:t xml:space="preserve"> pharmaceutical </w:t>
      </w:r>
      <w:proofErr w:type="spellStart"/>
      <w:r w:rsidR="00E06F70" w:rsidRPr="00D979E7">
        <w:rPr>
          <w:rFonts w:ascii="Arial" w:hAnsi="Arial" w:cs="Arial"/>
        </w:rPr>
        <w:t>dispensings</w:t>
      </w:r>
      <w:proofErr w:type="spellEnd"/>
      <w:r w:rsidR="00E06F70" w:rsidRPr="00D979E7">
        <w:rPr>
          <w:rFonts w:ascii="Arial" w:hAnsi="Arial" w:cs="Arial"/>
        </w:rPr>
        <w:t xml:space="preserve"> fewer in the post-period</w:t>
      </w:r>
      <w:r w:rsidRPr="00D979E7">
        <w:rPr>
          <w:rFonts w:ascii="Arial" w:hAnsi="Arial" w:cs="Arial"/>
        </w:rPr>
        <w:t>.</w:t>
      </w:r>
      <w:r w:rsidR="0086144A" w:rsidRPr="00D979E7">
        <w:rPr>
          <w:rFonts w:ascii="Arial" w:hAnsi="Arial" w:cs="Arial"/>
        </w:rPr>
        <w:t xml:space="preserve"> There was a very large correction due to </w:t>
      </w:r>
      <w:r w:rsidR="002804B6" w:rsidRPr="00D979E7">
        <w:rPr>
          <w:rFonts w:ascii="Arial" w:hAnsi="Arial" w:cs="Arial"/>
        </w:rPr>
        <w:t xml:space="preserve">an </w:t>
      </w:r>
      <w:r w:rsidR="0086144A" w:rsidRPr="00D979E7">
        <w:rPr>
          <w:rFonts w:ascii="Arial" w:hAnsi="Arial" w:cs="Arial"/>
        </w:rPr>
        <w:t>age</w:t>
      </w:r>
      <w:r w:rsidR="002804B6" w:rsidRPr="00D979E7">
        <w:rPr>
          <w:rFonts w:ascii="Arial" w:hAnsi="Arial" w:cs="Arial"/>
        </w:rPr>
        <w:t xml:space="preserve"> effect</w:t>
      </w:r>
      <w:r w:rsidR="0086144A" w:rsidRPr="00D979E7">
        <w:rPr>
          <w:rFonts w:ascii="Arial" w:hAnsi="Arial" w:cs="Arial"/>
        </w:rPr>
        <w:t xml:space="preserve"> in this analysis.</w:t>
      </w:r>
    </w:p>
    <w:p w14:paraId="075840BA" w14:textId="5BD35C26" w:rsidR="005D383D" w:rsidRPr="00D979E7" w:rsidRDefault="005D383D" w:rsidP="00271FB7">
      <w:pPr>
        <w:spacing w:before="120" w:after="120" w:line="240" w:lineRule="auto"/>
        <w:rPr>
          <w:rFonts w:ascii="Arial" w:hAnsi="Arial" w:cs="Arial"/>
        </w:rPr>
      </w:pPr>
      <w:r w:rsidRPr="00D979E7">
        <w:rPr>
          <w:rFonts w:ascii="Arial" w:hAnsi="Arial" w:cs="Arial"/>
          <w:b/>
        </w:rPr>
        <w:t xml:space="preserve">Table </w:t>
      </w:r>
      <w:r w:rsidR="003F5BBB" w:rsidRPr="00D979E7">
        <w:rPr>
          <w:rFonts w:ascii="Arial" w:hAnsi="Arial" w:cs="Arial"/>
          <w:b/>
        </w:rPr>
        <w:t>6</w:t>
      </w:r>
      <w:r w:rsidRPr="00D979E7">
        <w:rPr>
          <w:rFonts w:ascii="Arial" w:hAnsi="Arial" w:cs="Arial"/>
          <w:b/>
        </w:rPr>
        <w:t>:</w:t>
      </w:r>
      <w:r w:rsidRPr="00D979E7">
        <w:rPr>
          <w:rFonts w:ascii="Arial" w:hAnsi="Arial" w:cs="Arial"/>
        </w:rPr>
        <w:t xml:space="preserve"> Pharmaceuticals dispensed</w:t>
      </w:r>
    </w:p>
    <w:tbl>
      <w:tblPr>
        <w:tblStyle w:val="TableGrid"/>
        <w:tblW w:w="8926" w:type="dxa"/>
        <w:tblLook w:val="04A0" w:firstRow="1" w:lastRow="0" w:firstColumn="1" w:lastColumn="0" w:noHBand="0" w:noVBand="1"/>
      </w:tblPr>
      <w:tblGrid>
        <w:gridCol w:w="4700"/>
        <w:gridCol w:w="4226"/>
      </w:tblGrid>
      <w:tr w:rsidR="003F5BBB" w:rsidRPr="00D979E7" w14:paraId="7D7BFA07" w14:textId="77777777" w:rsidTr="0036560B">
        <w:trPr>
          <w:trHeight w:val="300"/>
        </w:trPr>
        <w:tc>
          <w:tcPr>
            <w:tcW w:w="4700" w:type="dxa"/>
            <w:noWrap/>
            <w:hideMark/>
          </w:tcPr>
          <w:p w14:paraId="6519E7BF" w14:textId="5E752944" w:rsidR="003F5BBB" w:rsidRPr="00D979E7" w:rsidRDefault="006D1D9D" w:rsidP="002320B1">
            <w:pPr>
              <w:spacing w:before="120" w:after="0" w:line="240" w:lineRule="auto"/>
              <w:rPr>
                <w:rFonts w:ascii="Arial" w:hAnsi="Arial" w:cs="Arial"/>
                <w:sz w:val="20"/>
              </w:rPr>
            </w:pPr>
            <w:r w:rsidRPr="00D979E7">
              <w:rPr>
                <w:rFonts w:ascii="Arial" w:hAnsi="Arial" w:cs="Arial"/>
                <w:sz w:val="20"/>
              </w:rPr>
              <w:t xml:space="preserve">Evaluation </w:t>
            </w:r>
            <w:r w:rsidR="003F5BBB" w:rsidRPr="00D979E7">
              <w:rPr>
                <w:rFonts w:ascii="Arial" w:hAnsi="Arial" w:cs="Arial"/>
                <w:sz w:val="20"/>
              </w:rPr>
              <w:t>Sample Population</w:t>
            </w:r>
          </w:p>
        </w:tc>
        <w:tc>
          <w:tcPr>
            <w:tcW w:w="4226" w:type="dxa"/>
            <w:noWrap/>
            <w:hideMark/>
          </w:tcPr>
          <w:p w14:paraId="2DDC74DC" w14:textId="77777777" w:rsidR="003F5BBB" w:rsidRPr="00D979E7" w:rsidRDefault="003F5BBB" w:rsidP="002320B1">
            <w:pPr>
              <w:spacing w:before="120" w:after="0" w:line="240" w:lineRule="auto"/>
              <w:rPr>
                <w:rFonts w:ascii="Arial" w:hAnsi="Arial" w:cs="Arial"/>
                <w:sz w:val="20"/>
              </w:rPr>
            </w:pPr>
            <w:r w:rsidRPr="00D979E7">
              <w:rPr>
                <w:rFonts w:ascii="Arial" w:hAnsi="Arial" w:cs="Arial"/>
                <w:sz w:val="20"/>
              </w:rPr>
              <w:t>1608</w:t>
            </w:r>
          </w:p>
        </w:tc>
      </w:tr>
      <w:tr w:rsidR="003F5BBB" w:rsidRPr="00D979E7" w14:paraId="11531BD7" w14:textId="77777777" w:rsidTr="0036560B">
        <w:trPr>
          <w:trHeight w:val="300"/>
        </w:trPr>
        <w:tc>
          <w:tcPr>
            <w:tcW w:w="4700" w:type="dxa"/>
            <w:noWrap/>
            <w:hideMark/>
          </w:tcPr>
          <w:p w14:paraId="1833E425" w14:textId="614C33CA" w:rsidR="003F5BBB" w:rsidRPr="00D979E7" w:rsidRDefault="0086144A" w:rsidP="002320B1">
            <w:pPr>
              <w:spacing w:before="120" w:after="0" w:line="240" w:lineRule="auto"/>
              <w:rPr>
                <w:rFonts w:ascii="Arial" w:hAnsi="Arial" w:cs="Arial"/>
                <w:sz w:val="20"/>
              </w:rPr>
            </w:pPr>
            <w:r w:rsidRPr="00D979E7">
              <w:rPr>
                <w:rFonts w:ascii="Arial" w:hAnsi="Arial" w:cs="Arial"/>
                <w:sz w:val="20"/>
              </w:rPr>
              <w:t xml:space="preserve">Pharmaceuticals dispensed </w:t>
            </w:r>
            <w:r w:rsidR="002804B6" w:rsidRPr="00D979E7">
              <w:rPr>
                <w:rFonts w:ascii="Arial" w:hAnsi="Arial" w:cs="Arial"/>
                <w:sz w:val="20"/>
              </w:rPr>
              <w:t xml:space="preserve">in 12 months </w:t>
            </w:r>
            <w:r w:rsidR="002804B6" w:rsidRPr="00D979E7">
              <w:rPr>
                <w:rFonts w:ascii="Arial" w:hAnsi="Arial" w:cs="Arial"/>
                <w:i/>
                <w:sz w:val="20"/>
              </w:rPr>
              <w:t xml:space="preserve">before </w:t>
            </w:r>
            <w:r w:rsidR="002804B6" w:rsidRPr="00D979E7">
              <w:rPr>
                <w:rFonts w:ascii="Arial" w:hAnsi="Arial" w:cs="Arial"/>
                <w:sz w:val="20"/>
              </w:rPr>
              <w:t>intervention</w:t>
            </w:r>
          </w:p>
        </w:tc>
        <w:tc>
          <w:tcPr>
            <w:tcW w:w="4226" w:type="dxa"/>
            <w:noWrap/>
            <w:vAlign w:val="bottom"/>
            <w:hideMark/>
          </w:tcPr>
          <w:p w14:paraId="19C40DD3" w14:textId="4CC848A3" w:rsidR="003F5BBB" w:rsidRPr="00D979E7" w:rsidRDefault="003F5BBB" w:rsidP="002320B1">
            <w:pPr>
              <w:spacing w:before="120" w:after="0" w:line="240" w:lineRule="auto"/>
              <w:rPr>
                <w:rFonts w:ascii="Arial" w:hAnsi="Arial" w:cs="Arial"/>
                <w:sz w:val="20"/>
              </w:rPr>
            </w:pPr>
            <w:r w:rsidRPr="00D979E7">
              <w:rPr>
                <w:rFonts w:ascii="Arial" w:hAnsi="Arial" w:cs="Arial"/>
                <w:color w:val="000000"/>
                <w:sz w:val="20"/>
              </w:rPr>
              <w:t>17750</w:t>
            </w:r>
          </w:p>
        </w:tc>
      </w:tr>
      <w:tr w:rsidR="003F5BBB" w:rsidRPr="00D979E7" w14:paraId="252B1877" w14:textId="77777777" w:rsidTr="006E6090">
        <w:trPr>
          <w:trHeight w:val="549"/>
        </w:trPr>
        <w:tc>
          <w:tcPr>
            <w:tcW w:w="4700" w:type="dxa"/>
            <w:noWrap/>
            <w:hideMark/>
          </w:tcPr>
          <w:p w14:paraId="3C5FC5D2" w14:textId="436BBB34" w:rsidR="003F5BBB" w:rsidRPr="00D979E7" w:rsidRDefault="0086144A" w:rsidP="002320B1">
            <w:pPr>
              <w:spacing w:before="120" w:after="0" w:line="240" w:lineRule="auto"/>
              <w:rPr>
                <w:rFonts w:ascii="Arial" w:hAnsi="Arial" w:cs="Arial"/>
                <w:sz w:val="20"/>
              </w:rPr>
            </w:pPr>
            <w:r w:rsidRPr="00D979E7">
              <w:rPr>
                <w:rFonts w:ascii="Arial" w:hAnsi="Arial" w:cs="Arial"/>
                <w:sz w:val="20"/>
              </w:rPr>
              <w:t xml:space="preserve">Pharmaceuticals dispensed </w:t>
            </w:r>
            <w:r w:rsidR="002804B6" w:rsidRPr="00D979E7">
              <w:rPr>
                <w:rFonts w:ascii="Arial" w:hAnsi="Arial" w:cs="Arial"/>
                <w:sz w:val="20"/>
              </w:rPr>
              <w:t xml:space="preserve">in 12 months </w:t>
            </w:r>
            <w:r w:rsidR="002804B6" w:rsidRPr="00D979E7">
              <w:rPr>
                <w:rFonts w:ascii="Arial" w:hAnsi="Arial" w:cs="Arial"/>
                <w:i/>
                <w:sz w:val="20"/>
              </w:rPr>
              <w:t xml:space="preserve">after </w:t>
            </w:r>
            <w:r w:rsidR="002804B6" w:rsidRPr="00D979E7">
              <w:rPr>
                <w:rFonts w:ascii="Arial" w:hAnsi="Arial" w:cs="Arial"/>
                <w:sz w:val="20"/>
              </w:rPr>
              <w:t>intervention</w:t>
            </w:r>
          </w:p>
        </w:tc>
        <w:tc>
          <w:tcPr>
            <w:tcW w:w="4226" w:type="dxa"/>
            <w:noWrap/>
            <w:vAlign w:val="bottom"/>
            <w:hideMark/>
          </w:tcPr>
          <w:p w14:paraId="4134E467" w14:textId="5D8C6944" w:rsidR="003F5BBB" w:rsidRPr="00D979E7" w:rsidRDefault="003F5BBB" w:rsidP="002320B1">
            <w:pPr>
              <w:spacing w:before="120" w:after="0" w:line="240" w:lineRule="auto"/>
              <w:rPr>
                <w:rFonts w:ascii="Arial" w:hAnsi="Arial" w:cs="Arial"/>
                <w:sz w:val="20"/>
              </w:rPr>
            </w:pPr>
            <w:r w:rsidRPr="00D979E7">
              <w:rPr>
                <w:rFonts w:ascii="Arial" w:hAnsi="Arial" w:cs="Arial"/>
                <w:color w:val="000000"/>
                <w:sz w:val="20"/>
              </w:rPr>
              <w:t>14807</w:t>
            </w:r>
          </w:p>
        </w:tc>
      </w:tr>
      <w:tr w:rsidR="003F5BBB" w:rsidRPr="00D979E7" w14:paraId="213250EA" w14:textId="77777777" w:rsidTr="0036560B">
        <w:trPr>
          <w:trHeight w:val="300"/>
        </w:trPr>
        <w:tc>
          <w:tcPr>
            <w:tcW w:w="4700" w:type="dxa"/>
            <w:noWrap/>
            <w:hideMark/>
          </w:tcPr>
          <w:p w14:paraId="015646EE" w14:textId="4E122554" w:rsidR="003F5BBB" w:rsidRPr="00D979E7" w:rsidRDefault="002804B6" w:rsidP="002320B1">
            <w:pPr>
              <w:spacing w:before="120" w:after="0" w:line="240" w:lineRule="auto"/>
              <w:rPr>
                <w:rFonts w:ascii="Arial" w:hAnsi="Arial" w:cs="Arial"/>
                <w:i/>
                <w:sz w:val="20"/>
              </w:rPr>
            </w:pPr>
            <w:r w:rsidRPr="00D979E7">
              <w:rPr>
                <w:rFonts w:ascii="Arial" w:hAnsi="Arial" w:cs="Arial"/>
                <w:sz w:val="20"/>
              </w:rPr>
              <w:t>Difference (</w:t>
            </w:r>
            <w:r w:rsidR="00081A80" w:rsidRPr="00D979E7">
              <w:rPr>
                <w:rFonts w:ascii="Arial" w:hAnsi="Arial" w:cs="Arial"/>
                <w:sz w:val="20"/>
              </w:rPr>
              <w:t>Before-After</w:t>
            </w:r>
            <w:r w:rsidRPr="00D979E7">
              <w:rPr>
                <w:rFonts w:ascii="Arial" w:hAnsi="Arial" w:cs="Arial"/>
                <w:sz w:val="20"/>
              </w:rPr>
              <w:t xml:space="preserve">), </w:t>
            </w:r>
            <w:r w:rsidRPr="00D979E7">
              <w:rPr>
                <w:rFonts w:ascii="Arial" w:hAnsi="Arial" w:cs="Arial"/>
                <w:i/>
                <w:sz w:val="20"/>
              </w:rPr>
              <w:t>not adjusted for age</w:t>
            </w:r>
          </w:p>
        </w:tc>
        <w:tc>
          <w:tcPr>
            <w:tcW w:w="4226" w:type="dxa"/>
            <w:noWrap/>
            <w:vAlign w:val="bottom"/>
            <w:hideMark/>
          </w:tcPr>
          <w:p w14:paraId="65EBC6B1" w14:textId="54E774D4" w:rsidR="003F5BBB" w:rsidRPr="00D979E7" w:rsidRDefault="003F5BBB" w:rsidP="002320B1">
            <w:pPr>
              <w:spacing w:before="120" w:after="0" w:line="240" w:lineRule="auto"/>
              <w:rPr>
                <w:rFonts w:ascii="Arial" w:hAnsi="Arial" w:cs="Arial"/>
                <w:sz w:val="20"/>
              </w:rPr>
            </w:pPr>
            <w:r w:rsidRPr="00D979E7">
              <w:rPr>
                <w:rFonts w:ascii="Arial" w:hAnsi="Arial" w:cs="Arial"/>
                <w:color w:val="000000"/>
                <w:sz w:val="20"/>
              </w:rPr>
              <w:t>2943</w:t>
            </w:r>
          </w:p>
        </w:tc>
      </w:tr>
      <w:tr w:rsidR="003F5BBB" w:rsidRPr="00D979E7" w14:paraId="42FDC314" w14:textId="77777777" w:rsidTr="0036560B">
        <w:trPr>
          <w:trHeight w:val="300"/>
        </w:trPr>
        <w:tc>
          <w:tcPr>
            <w:tcW w:w="4700" w:type="dxa"/>
            <w:noWrap/>
            <w:hideMark/>
          </w:tcPr>
          <w:p w14:paraId="2256F36E" w14:textId="76A3818C" w:rsidR="003F5BBB" w:rsidRPr="00D979E7" w:rsidRDefault="002804B6" w:rsidP="002320B1">
            <w:pPr>
              <w:spacing w:before="120" w:after="0" w:line="240" w:lineRule="auto"/>
              <w:rPr>
                <w:rFonts w:ascii="Arial" w:hAnsi="Arial" w:cs="Arial"/>
                <w:sz w:val="20"/>
              </w:rPr>
            </w:pPr>
            <w:r w:rsidRPr="00D979E7">
              <w:rPr>
                <w:rFonts w:ascii="Arial" w:hAnsi="Arial" w:cs="Arial"/>
                <w:sz w:val="20"/>
              </w:rPr>
              <w:t xml:space="preserve">Average change in </w:t>
            </w:r>
            <w:proofErr w:type="spellStart"/>
            <w:r w:rsidRPr="00D979E7">
              <w:rPr>
                <w:rFonts w:ascii="Arial" w:hAnsi="Arial" w:cs="Arial"/>
                <w:sz w:val="20"/>
              </w:rPr>
              <w:t>dispensings</w:t>
            </w:r>
            <w:proofErr w:type="spellEnd"/>
            <w:r w:rsidRPr="00D979E7">
              <w:rPr>
                <w:rFonts w:ascii="Arial" w:hAnsi="Arial" w:cs="Arial"/>
                <w:sz w:val="20"/>
              </w:rPr>
              <w:t xml:space="preserve"> per year age</w:t>
            </w:r>
          </w:p>
        </w:tc>
        <w:tc>
          <w:tcPr>
            <w:tcW w:w="4226" w:type="dxa"/>
            <w:noWrap/>
            <w:hideMark/>
          </w:tcPr>
          <w:p w14:paraId="7CC5954E" w14:textId="631BA1E2" w:rsidR="003F5BBB" w:rsidRPr="00D979E7" w:rsidRDefault="003F5BBB" w:rsidP="002320B1">
            <w:pPr>
              <w:spacing w:before="120" w:after="0" w:line="240" w:lineRule="auto"/>
              <w:rPr>
                <w:rFonts w:ascii="Arial" w:eastAsia="Times New Roman" w:hAnsi="Arial" w:cs="Arial"/>
                <w:color w:val="000000"/>
                <w:sz w:val="20"/>
              </w:rPr>
            </w:pPr>
            <w:r w:rsidRPr="00D979E7">
              <w:rPr>
                <w:rFonts w:ascii="Arial" w:hAnsi="Arial" w:cs="Arial"/>
                <w:color w:val="000000"/>
                <w:sz w:val="20"/>
              </w:rPr>
              <w:t>-0.90</w:t>
            </w:r>
          </w:p>
        </w:tc>
      </w:tr>
      <w:tr w:rsidR="003F5BBB" w:rsidRPr="00D979E7" w14:paraId="7D987FF0" w14:textId="77777777" w:rsidTr="0036560B">
        <w:trPr>
          <w:trHeight w:val="300"/>
        </w:trPr>
        <w:tc>
          <w:tcPr>
            <w:tcW w:w="4700" w:type="dxa"/>
            <w:noWrap/>
            <w:hideMark/>
          </w:tcPr>
          <w:p w14:paraId="1C31A5EB" w14:textId="7F255503" w:rsidR="003F5BBB" w:rsidRPr="00D979E7" w:rsidRDefault="002804B6" w:rsidP="002320B1">
            <w:pPr>
              <w:spacing w:before="120" w:after="0" w:line="240" w:lineRule="auto"/>
              <w:rPr>
                <w:rFonts w:ascii="Arial" w:hAnsi="Arial" w:cs="Arial"/>
                <w:sz w:val="20"/>
              </w:rPr>
            </w:pPr>
            <w:r w:rsidRPr="00D979E7">
              <w:rPr>
                <w:rFonts w:ascii="Arial" w:eastAsia="Times New Roman" w:hAnsi="Arial" w:cs="Arial"/>
                <w:color w:val="000000"/>
                <w:sz w:val="20"/>
                <w:lang w:eastAsia="en-NZ"/>
              </w:rPr>
              <w:t>Average difference in age between start</w:t>
            </w:r>
            <w:r w:rsidR="00081A80" w:rsidRPr="00D979E7">
              <w:rPr>
                <w:rFonts w:ascii="Arial" w:eastAsia="Times New Roman" w:hAnsi="Arial" w:cs="Arial"/>
                <w:color w:val="000000"/>
                <w:sz w:val="20"/>
                <w:lang w:eastAsia="en-NZ"/>
              </w:rPr>
              <w:t xml:space="preserve"> and end</w:t>
            </w:r>
            <w:r w:rsidRPr="00D979E7">
              <w:rPr>
                <w:rFonts w:ascii="Arial" w:eastAsia="Times New Roman" w:hAnsi="Arial" w:cs="Arial"/>
                <w:color w:val="000000"/>
                <w:sz w:val="20"/>
                <w:lang w:eastAsia="en-NZ"/>
              </w:rPr>
              <w:t xml:space="preserve"> of observation period</w:t>
            </w:r>
          </w:p>
        </w:tc>
        <w:tc>
          <w:tcPr>
            <w:tcW w:w="4226" w:type="dxa"/>
            <w:noWrap/>
            <w:hideMark/>
          </w:tcPr>
          <w:p w14:paraId="37B6DF12" w14:textId="591F6F0F" w:rsidR="003F5BBB" w:rsidRPr="00D979E7" w:rsidRDefault="003F5BBB" w:rsidP="002320B1">
            <w:pPr>
              <w:spacing w:before="120" w:after="0" w:line="240" w:lineRule="auto"/>
              <w:rPr>
                <w:rFonts w:ascii="Arial" w:hAnsi="Arial" w:cs="Arial"/>
                <w:sz w:val="20"/>
              </w:rPr>
            </w:pPr>
            <w:r w:rsidRPr="00D979E7">
              <w:rPr>
                <w:rFonts w:ascii="Arial" w:hAnsi="Arial" w:cs="Arial"/>
                <w:sz w:val="20"/>
              </w:rPr>
              <w:t>1.40</w:t>
            </w:r>
          </w:p>
        </w:tc>
      </w:tr>
      <w:tr w:rsidR="003F5BBB" w:rsidRPr="00D979E7" w14:paraId="0BB646BA" w14:textId="77777777" w:rsidTr="0036560B">
        <w:trPr>
          <w:trHeight w:val="300"/>
        </w:trPr>
        <w:tc>
          <w:tcPr>
            <w:tcW w:w="4700" w:type="dxa"/>
            <w:noWrap/>
            <w:hideMark/>
          </w:tcPr>
          <w:p w14:paraId="5E71288D" w14:textId="77777777" w:rsidR="003F5BBB" w:rsidRPr="00D979E7" w:rsidRDefault="003F5BBB" w:rsidP="002320B1">
            <w:pPr>
              <w:spacing w:before="120" w:after="0" w:line="240" w:lineRule="auto"/>
              <w:rPr>
                <w:rFonts w:ascii="Arial" w:hAnsi="Arial" w:cs="Arial"/>
                <w:sz w:val="20"/>
              </w:rPr>
            </w:pPr>
            <w:r w:rsidRPr="00D979E7">
              <w:rPr>
                <w:rFonts w:ascii="Arial" w:eastAsia="Times New Roman" w:hAnsi="Arial" w:cs="Arial"/>
                <w:color w:val="000000"/>
                <w:sz w:val="20"/>
                <w:lang w:eastAsia="en-NZ"/>
              </w:rPr>
              <w:lastRenderedPageBreak/>
              <w:t>Rate difference due to age</w:t>
            </w:r>
          </w:p>
        </w:tc>
        <w:tc>
          <w:tcPr>
            <w:tcW w:w="4226" w:type="dxa"/>
            <w:noWrap/>
            <w:hideMark/>
          </w:tcPr>
          <w:p w14:paraId="362D878F" w14:textId="5774BA8A" w:rsidR="003F5BBB" w:rsidRPr="00D979E7" w:rsidRDefault="0086144A" w:rsidP="002320B1">
            <w:pPr>
              <w:spacing w:before="120" w:after="0" w:line="240" w:lineRule="auto"/>
              <w:rPr>
                <w:rFonts w:ascii="Arial" w:eastAsia="Times New Roman" w:hAnsi="Arial" w:cs="Arial"/>
                <w:color w:val="000000"/>
                <w:sz w:val="20"/>
              </w:rPr>
            </w:pPr>
            <w:r w:rsidRPr="00D979E7">
              <w:rPr>
                <w:rFonts w:ascii="Arial" w:hAnsi="Arial" w:cs="Arial"/>
                <w:color w:val="000000"/>
                <w:sz w:val="20"/>
              </w:rPr>
              <w:t>-1.26</w:t>
            </w:r>
          </w:p>
        </w:tc>
      </w:tr>
      <w:tr w:rsidR="003F5BBB" w:rsidRPr="00D979E7" w14:paraId="22EA38E7" w14:textId="77777777" w:rsidTr="0036560B">
        <w:trPr>
          <w:trHeight w:val="300"/>
        </w:trPr>
        <w:tc>
          <w:tcPr>
            <w:tcW w:w="4700" w:type="dxa"/>
            <w:noWrap/>
          </w:tcPr>
          <w:p w14:paraId="6AC415E0" w14:textId="1EB3BF36" w:rsidR="003F5BBB" w:rsidRPr="00D979E7" w:rsidRDefault="003F5BBB" w:rsidP="002320B1">
            <w:pPr>
              <w:spacing w:before="120" w:after="0" w:line="240" w:lineRule="auto"/>
              <w:rPr>
                <w:rFonts w:ascii="Arial" w:hAnsi="Arial" w:cs="Arial"/>
                <w:sz w:val="20"/>
              </w:rPr>
            </w:pPr>
            <w:r w:rsidRPr="00D979E7">
              <w:rPr>
                <w:rFonts w:ascii="Arial" w:hAnsi="Arial" w:cs="Arial"/>
                <w:sz w:val="20"/>
              </w:rPr>
              <w:t xml:space="preserve">Number of </w:t>
            </w:r>
            <w:r w:rsidR="002804B6" w:rsidRPr="00D979E7">
              <w:rPr>
                <w:rFonts w:ascii="Arial" w:hAnsi="Arial" w:cs="Arial"/>
                <w:sz w:val="20"/>
              </w:rPr>
              <w:t xml:space="preserve">decreased </w:t>
            </w:r>
            <w:proofErr w:type="spellStart"/>
            <w:r w:rsidR="002804B6" w:rsidRPr="00D979E7">
              <w:rPr>
                <w:rFonts w:ascii="Arial" w:hAnsi="Arial" w:cs="Arial"/>
                <w:sz w:val="20"/>
              </w:rPr>
              <w:t>dispensings</w:t>
            </w:r>
            <w:proofErr w:type="spellEnd"/>
            <w:r w:rsidR="0086144A" w:rsidRPr="00D979E7">
              <w:rPr>
                <w:rFonts w:ascii="Arial" w:hAnsi="Arial" w:cs="Arial"/>
                <w:sz w:val="20"/>
              </w:rPr>
              <w:t xml:space="preserve"> </w:t>
            </w:r>
            <w:r w:rsidRPr="00D979E7">
              <w:rPr>
                <w:rFonts w:ascii="Arial" w:hAnsi="Arial" w:cs="Arial"/>
                <w:sz w:val="20"/>
              </w:rPr>
              <w:t>due to age</w:t>
            </w:r>
          </w:p>
        </w:tc>
        <w:tc>
          <w:tcPr>
            <w:tcW w:w="4226" w:type="dxa"/>
            <w:noWrap/>
          </w:tcPr>
          <w:p w14:paraId="7F881713" w14:textId="124675C5" w:rsidR="003F5BBB" w:rsidRPr="00D979E7" w:rsidRDefault="0086144A" w:rsidP="002320B1">
            <w:pPr>
              <w:spacing w:before="120" w:after="0" w:line="240" w:lineRule="auto"/>
              <w:rPr>
                <w:rFonts w:ascii="Arial" w:eastAsia="Times New Roman" w:hAnsi="Arial" w:cs="Arial"/>
                <w:color w:val="000000"/>
                <w:sz w:val="20"/>
              </w:rPr>
            </w:pPr>
            <w:r w:rsidRPr="00D979E7">
              <w:rPr>
                <w:rFonts w:ascii="Arial" w:hAnsi="Arial" w:cs="Arial"/>
                <w:color w:val="000000"/>
                <w:sz w:val="20"/>
              </w:rPr>
              <w:t>2021.82</w:t>
            </w:r>
          </w:p>
        </w:tc>
      </w:tr>
      <w:tr w:rsidR="00E06F70" w:rsidRPr="00D979E7" w14:paraId="7510CEFE" w14:textId="77777777" w:rsidTr="0036560B">
        <w:trPr>
          <w:trHeight w:val="300"/>
        </w:trPr>
        <w:tc>
          <w:tcPr>
            <w:tcW w:w="8926" w:type="dxa"/>
            <w:gridSpan w:val="2"/>
            <w:shd w:val="clear" w:color="auto" w:fill="E7E6E6" w:themeFill="background2"/>
            <w:noWrap/>
          </w:tcPr>
          <w:p w14:paraId="20F1BDF3" w14:textId="6096094E" w:rsidR="00E06F70" w:rsidRPr="00D979E7" w:rsidRDefault="00E06F70" w:rsidP="002320B1">
            <w:pPr>
              <w:spacing w:before="120" w:after="0" w:line="240" w:lineRule="auto"/>
              <w:rPr>
                <w:rFonts w:ascii="Arial" w:hAnsi="Arial" w:cs="Arial"/>
                <w:sz w:val="20"/>
              </w:rPr>
            </w:pPr>
            <w:r w:rsidRPr="00D979E7">
              <w:rPr>
                <w:rFonts w:ascii="Arial" w:eastAsia="Times New Roman" w:hAnsi="Arial" w:cs="Arial"/>
                <w:color w:val="000000"/>
                <w:sz w:val="20"/>
                <w:lang w:eastAsia="en-NZ"/>
              </w:rPr>
              <w:t>Summary of effect attributable to HHI</w:t>
            </w:r>
          </w:p>
        </w:tc>
      </w:tr>
      <w:tr w:rsidR="0086144A" w:rsidRPr="00D979E7" w14:paraId="02A55BAE" w14:textId="77777777" w:rsidTr="0036560B">
        <w:trPr>
          <w:trHeight w:val="300"/>
        </w:trPr>
        <w:tc>
          <w:tcPr>
            <w:tcW w:w="4700" w:type="dxa"/>
            <w:noWrap/>
            <w:hideMark/>
          </w:tcPr>
          <w:p w14:paraId="20E1DD90" w14:textId="45ED2E97" w:rsidR="0086144A" w:rsidRPr="00D979E7" w:rsidRDefault="0086144A" w:rsidP="002320B1">
            <w:pPr>
              <w:spacing w:before="120" w:after="0" w:line="240" w:lineRule="auto"/>
              <w:rPr>
                <w:rFonts w:ascii="Arial" w:hAnsi="Arial" w:cs="Arial"/>
                <w:sz w:val="20"/>
              </w:rPr>
            </w:pPr>
            <w:r w:rsidRPr="00D979E7">
              <w:rPr>
                <w:rFonts w:ascii="Arial" w:hAnsi="Arial" w:cs="Arial"/>
                <w:sz w:val="20"/>
              </w:rPr>
              <w:t>Prevented</w:t>
            </w:r>
            <w:r w:rsidR="002804B6" w:rsidRPr="00D979E7">
              <w:rPr>
                <w:rFonts w:ascii="Arial" w:hAnsi="Arial" w:cs="Arial"/>
                <w:sz w:val="20"/>
              </w:rPr>
              <w:t xml:space="preserve"> </w:t>
            </w:r>
            <w:proofErr w:type="spellStart"/>
            <w:r w:rsidR="002804B6" w:rsidRPr="00D979E7">
              <w:rPr>
                <w:rFonts w:ascii="Arial" w:hAnsi="Arial" w:cs="Arial"/>
                <w:sz w:val="20"/>
              </w:rPr>
              <w:t>dispensings</w:t>
            </w:r>
            <w:proofErr w:type="spellEnd"/>
            <w:r w:rsidR="002804B6" w:rsidRPr="00D979E7">
              <w:rPr>
                <w:rFonts w:ascii="Arial" w:hAnsi="Arial" w:cs="Arial"/>
                <w:sz w:val="20"/>
              </w:rPr>
              <w:t xml:space="preserve"> in sample</w:t>
            </w:r>
          </w:p>
        </w:tc>
        <w:tc>
          <w:tcPr>
            <w:tcW w:w="4226" w:type="dxa"/>
            <w:noWrap/>
            <w:vAlign w:val="bottom"/>
            <w:hideMark/>
          </w:tcPr>
          <w:p w14:paraId="13FD9763" w14:textId="4896DB6C" w:rsidR="0086144A" w:rsidRPr="00D979E7" w:rsidRDefault="0086144A" w:rsidP="002320B1">
            <w:pPr>
              <w:spacing w:before="120" w:after="0" w:line="240" w:lineRule="auto"/>
              <w:rPr>
                <w:rFonts w:ascii="Arial" w:hAnsi="Arial" w:cs="Arial"/>
                <w:sz w:val="20"/>
              </w:rPr>
            </w:pPr>
            <w:r w:rsidRPr="00D979E7">
              <w:rPr>
                <w:rFonts w:ascii="Arial" w:hAnsi="Arial" w:cs="Arial"/>
                <w:color w:val="000000"/>
                <w:sz w:val="20"/>
              </w:rPr>
              <w:t>921.17</w:t>
            </w:r>
          </w:p>
        </w:tc>
      </w:tr>
      <w:tr w:rsidR="0086144A" w:rsidRPr="00D979E7" w14:paraId="2D22E917" w14:textId="77777777" w:rsidTr="0036560B">
        <w:trPr>
          <w:trHeight w:val="300"/>
        </w:trPr>
        <w:tc>
          <w:tcPr>
            <w:tcW w:w="4700" w:type="dxa"/>
            <w:noWrap/>
            <w:hideMark/>
          </w:tcPr>
          <w:p w14:paraId="1CBAC3DB" w14:textId="1427AB9F" w:rsidR="0086144A" w:rsidRPr="00D979E7" w:rsidRDefault="0086144A" w:rsidP="002320B1">
            <w:pPr>
              <w:spacing w:before="120" w:after="0" w:line="240" w:lineRule="auto"/>
              <w:rPr>
                <w:rFonts w:ascii="Arial" w:hAnsi="Arial" w:cs="Arial"/>
                <w:sz w:val="20"/>
              </w:rPr>
            </w:pPr>
            <w:r w:rsidRPr="00D979E7">
              <w:rPr>
                <w:rFonts w:ascii="Arial" w:hAnsi="Arial" w:cs="Arial"/>
                <w:sz w:val="20"/>
              </w:rPr>
              <w:t>Rate of prevented</w:t>
            </w:r>
            <w:r w:rsidR="002804B6" w:rsidRPr="00D979E7">
              <w:rPr>
                <w:rFonts w:ascii="Arial" w:hAnsi="Arial" w:cs="Arial"/>
                <w:sz w:val="20"/>
              </w:rPr>
              <w:t xml:space="preserve"> </w:t>
            </w:r>
            <w:proofErr w:type="spellStart"/>
            <w:r w:rsidR="002804B6" w:rsidRPr="00D979E7">
              <w:rPr>
                <w:rFonts w:ascii="Arial" w:hAnsi="Arial" w:cs="Arial"/>
                <w:sz w:val="20"/>
              </w:rPr>
              <w:t>dispensings</w:t>
            </w:r>
            <w:proofErr w:type="spellEnd"/>
            <w:r w:rsidR="002804B6" w:rsidRPr="00D979E7">
              <w:rPr>
                <w:rFonts w:ascii="Arial" w:hAnsi="Arial" w:cs="Arial"/>
                <w:sz w:val="20"/>
              </w:rPr>
              <w:t xml:space="preserve"> per referral</w:t>
            </w:r>
            <w:r w:rsidRPr="00D979E7">
              <w:rPr>
                <w:rFonts w:ascii="Arial" w:hAnsi="Arial" w:cs="Arial"/>
                <w:sz w:val="20"/>
              </w:rPr>
              <w:t xml:space="preserve"> </w:t>
            </w:r>
          </w:p>
        </w:tc>
        <w:tc>
          <w:tcPr>
            <w:tcW w:w="4226" w:type="dxa"/>
            <w:noWrap/>
            <w:vAlign w:val="bottom"/>
            <w:hideMark/>
          </w:tcPr>
          <w:p w14:paraId="43F87164" w14:textId="09E11AD0" w:rsidR="0086144A" w:rsidRPr="00D979E7" w:rsidRDefault="0086144A" w:rsidP="002320B1">
            <w:pPr>
              <w:spacing w:before="120" w:after="0" w:line="240" w:lineRule="auto"/>
              <w:rPr>
                <w:rFonts w:ascii="Arial" w:hAnsi="Arial" w:cs="Arial"/>
                <w:sz w:val="20"/>
              </w:rPr>
            </w:pPr>
            <w:r w:rsidRPr="00D979E7">
              <w:rPr>
                <w:rFonts w:ascii="Arial" w:hAnsi="Arial" w:cs="Arial"/>
                <w:color w:val="000000"/>
                <w:sz w:val="20"/>
              </w:rPr>
              <w:t>0.573</w:t>
            </w:r>
            <w:r w:rsidR="00524FF8" w:rsidRPr="00D979E7">
              <w:rPr>
                <w:rFonts w:ascii="Arial" w:hAnsi="Arial" w:cs="Arial"/>
                <w:color w:val="000000"/>
                <w:sz w:val="20"/>
              </w:rPr>
              <w:t xml:space="preserve"> (0.354, 0.792)</w:t>
            </w:r>
          </w:p>
        </w:tc>
      </w:tr>
      <w:tr w:rsidR="0086144A" w:rsidRPr="00D979E7" w14:paraId="3E530375" w14:textId="77777777" w:rsidTr="0036560B">
        <w:trPr>
          <w:trHeight w:val="300"/>
        </w:trPr>
        <w:tc>
          <w:tcPr>
            <w:tcW w:w="4700" w:type="dxa"/>
            <w:noWrap/>
            <w:hideMark/>
          </w:tcPr>
          <w:p w14:paraId="2F54D014" w14:textId="50EFA663" w:rsidR="0086144A" w:rsidRPr="00D979E7" w:rsidRDefault="0086144A" w:rsidP="002320B1">
            <w:pPr>
              <w:spacing w:before="120" w:after="0" w:line="240" w:lineRule="auto"/>
              <w:rPr>
                <w:rFonts w:ascii="Arial" w:hAnsi="Arial" w:cs="Arial"/>
                <w:b/>
                <w:color w:val="FF0000"/>
                <w:sz w:val="20"/>
              </w:rPr>
            </w:pPr>
            <w:r w:rsidRPr="00D979E7">
              <w:rPr>
                <w:rFonts w:ascii="Arial" w:hAnsi="Arial" w:cs="Arial"/>
                <w:b/>
                <w:color w:val="FF0000"/>
                <w:sz w:val="20"/>
              </w:rPr>
              <w:t xml:space="preserve">Prevented </w:t>
            </w:r>
            <w:proofErr w:type="spellStart"/>
            <w:r w:rsidR="002804B6" w:rsidRPr="00D979E7">
              <w:rPr>
                <w:rFonts w:ascii="Arial" w:hAnsi="Arial" w:cs="Arial"/>
                <w:b/>
                <w:color w:val="FF0000"/>
                <w:sz w:val="20"/>
              </w:rPr>
              <w:t>dispensings</w:t>
            </w:r>
            <w:proofErr w:type="spellEnd"/>
            <w:r w:rsidR="002804B6" w:rsidRPr="00D979E7">
              <w:rPr>
                <w:rFonts w:ascii="Arial" w:hAnsi="Arial" w:cs="Arial"/>
                <w:b/>
                <w:color w:val="FF0000"/>
                <w:sz w:val="20"/>
              </w:rPr>
              <w:t xml:space="preserve"> </w:t>
            </w:r>
            <w:r w:rsidRPr="00D979E7">
              <w:rPr>
                <w:rFonts w:ascii="Arial" w:hAnsi="Arial" w:cs="Arial"/>
                <w:b/>
                <w:color w:val="FF0000"/>
                <w:sz w:val="20"/>
              </w:rPr>
              <w:t>in population</w:t>
            </w:r>
          </w:p>
        </w:tc>
        <w:tc>
          <w:tcPr>
            <w:tcW w:w="4226" w:type="dxa"/>
            <w:noWrap/>
            <w:vAlign w:val="bottom"/>
            <w:hideMark/>
          </w:tcPr>
          <w:p w14:paraId="63BF55FF" w14:textId="1F3E9778" w:rsidR="0086144A" w:rsidRPr="00D979E7" w:rsidRDefault="0086144A" w:rsidP="002320B1">
            <w:pPr>
              <w:spacing w:before="120" w:after="0" w:line="240" w:lineRule="auto"/>
              <w:rPr>
                <w:rFonts w:ascii="Arial" w:hAnsi="Arial" w:cs="Arial"/>
                <w:b/>
                <w:color w:val="FF0000"/>
                <w:sz w:val="20"/>
              </w:rPr>
            </w:pPr>
            <w:r w:rsidRPr="00D979E7">
              <w:rPr>
                <w:rFonts w:ascii="Arial" w:hAnsi="Arial" w:cs="Arial"/>
                <w:b/>
                <w:color w:val="FF0000"/>
                <w:sz w:val="20"/>
              </w:rPr>
              <w:t>8784.09</w:t>
            </w:r>
            <w:r w:rsidR="00524FF8" w:rsidRPr="00D979E7">
              <w:rPr>
                <w:rFonts w:ascii="Arial" w:hAnsi="Arial" w:cs="Arial"/>
                <w:b/>
                <w:color w:val="FF0000"/>
                <w:sz w:val="20"/>
              </w:rPr>
              <w:t xml:space="preserve"> (5426, 12141)</w:t>
            </w:r>
          </w:p>
        </w:tc>
      </w:tr>
    </w:tbl>
    <w:p w14:paraId="38E8050E" w14:textId="77777777" w:rsidR="005D383D" w:rsidRPr="00D979E7" w:rsidRDefault="005D383D" w:rsidP="00271FB7">
      <w:pPr>
        <w:spacing w:before="120" w:after="120" w:line="240" w:lineRule="auto"/>
        <w:rPr>
          <w:rFonts w:ascii="Arial" w:hAnsi="Arial" w:cs="Arial"/>
        </w:rPr>
      </w:pPr>
    </w:p>
    <w:p w14:paraId="767B2E31" w14:textId="4578CA14" w:rsidR="00F81F99" w:rsidRPr="00D979E7" w:rsidRDefault="00B44BB8" w:rsidP="00271FB7">
      <w:pPr>
        <w:pStyle w:val="Heading1"/>
        <w:spacing w:before="120" w:after="120" w:line="240" w:lineRule="auto"/>
        <w:rPr>
          <w:rFonts w:ascii="Arial" w:hAnsi="Arial" w:cs="Arial"/>
        </w:rPr>
      </w:pPr>
      <w:bookmarkStart w:id="27" w:name="_Toc19715048"/>
      <w:r w:rsidRPr="00D979E7">
        <w:rPr>
          <w:rFonts w:ascii="Arial" w:hAnsi="Arial" w:cs="Arial"/>
        </w:rPr>
        <w:t xml:space="preserve">Results: </w:t>
      </w:r>
      <w:r w:rsidR="006F23B8" w:rsidRPr="00D979E7">
        <w:rPr>
          <w:rFonts w:ascii="Arial" w:hAnsi="Arial" w:cs="Arial"/>
        </w:rPr>
        <w:t>Costs and Benefits</w:t>
      </w:r>
      <w:bookmarkEnd w:id="27"/>
    </w:p>
    <w:p w14:paraId="3648BB79" w14:textId="5FD6B16D" w:rsidR="00044E29" w:rsidRPr="00D979E7" w:rsidRDefault="001A5AD0" w:rsidP="00271FB7">
      <w:pPr>
        <w:spacing w:before="120" w:after="120" w:line="240" w:lineRule="auto"/>
        <w:rPr>
          <w:rFonts w:ascii="Arial" w:hAnsi="Arial" w:cs="Arial"/>
        </w:rPr>
      </w:pPr>
      <w:r w:rsidRPr="00D979E7">
        <w:rPr>
          <w:rFonts w:ascii="Arial" w:hAnsi="Arial" w:cs="Arial"/>
        </w:rPr>
        <w:t>T</w:t>
      </w:r>
      <w:r w:rsidR="005C00CB" w:rsidRPr="00D979E7">
        <w:rPr>
          <w:rFonts w:ascii="Arial" w:hAnsi="Arial" w:cs="Arial"/>
        </w:rPr>
        <w:t>he program</w:t>
      </w:r>
      <w:r w:rsidR="00BD28C8" w:rsidRPr="00D979E7">
        <w:rPr>
          <w:rFonts w:ascii="Arial" w:hAnsi="Arial" w:cs="Arial"/>
        </w:rPr>
        <w:t>me</w:t>
      </w:r>
      <w:r w:rsidR="005C00CB" w:rsidRPr="00D979E7">
        <w:rPr>
          <w:rFonts w:ascii="Arial" w:hAnsi="Arial" w:cs="Arial"/>
        </w:rPr>
        <w:t xml:space="preserve"> costs</w:t>
      </w:r>
      <w:r w:rsidRPr="00D979E7">
        <w:rPr>
          <w:rFonts w:ascii="Arial" w:hAnsi="Arial" w:cs="Arial"/>
        </w:rPr>
        <w:t xml:space="preserve"> for this initial analysis</w:t>
      </w:r>
      <w:r w:rsidR="005C00CB" w:rsidRPr="00D979E7">
        <w:rPr>
          <w:rFonts w:ascii="Arial" w:hAnsi="Arial" w:cs="Arial"/>
        </w:rPr>
        <w:t xml:space="preserve"> are </w:t>
      </w:r>
      <w:r w:rsidR="003A1B61" w:rsidRPr="00D979E7">
        <w:rPr>
          <w:rFonts w:ascii="Arial" w:hAnsi="Arial" w:cs="Arial"/>
        </w:rPr>
        <w:t>primarily</w:t>
      </w:r>
      <w:r w:rsidR="005C00CB" w:rsidRPr="00D979E7">
        <w:rPr>
          <w:rFonts w:ascii="Arial" w:hAnsi="Arial" w:cs="Arial"/>
        </w:rPr>
        <w:t xml:space="preserve"> </w:t>
      </w:r>
      <w:r w:rsidR="00BB3947" w:rsidRPr="00D979E7">
        <w:rPr>
          <w:rFonts w:ascii="Arial" w:hAnsi="Arial" w:cs="Arial"/>
        </w:rPr>
        <w:t xml:space="preserve">related to </w:t>
      </w:r>
      <w:r w:rsidR="005C00CB" w:rsidRPr="00D979E7">
        <w:rPr>
          <w:rFonts w:ascii="Arial" w:hAnsi="Arial" w:cs="Arial"/>
        </w:rPr>
        <w:t>staff</w:t>
      </w:r>
      <w:r w:rsidR="003A1B61" w:rsidRPr="00D979E7">
        <w:rPr>
          <w:rFonts w:ascii="Arial" w:hAnsi="Arial" w:cs="Arial"/>
        </w:rPr>
        <w:t>ing</w:t>
      </w:r>
      <w:r w:rsidR="005C00CB" w:rsidRPr="00D979E7">
        <w:rPr>
          <w:rFonts w:ascii="Arial" w:hAnsi="Arial" w:cs="Arial"/>
        </w:rPr>
        <w:t xml:space="preserve"> costs</w:t>
      </w:r>
      <w:r w:rsidR="003A1B61" w:rsidRPr="00D979E7">
        <w:rPr>
          <w:rFonts w:ascii="Arial" w:hAnsi="Arial" w:cs="Arial"/>
        </w:rPr>
        <w:t xml:space="preserve"> (including overheads) for delivering the programme</w:t>
      </w:r>
      <w:r w:rsidR="00072B22" w:rsidRPr="00D979E7">
        <w:rPr>
          <w:rStyle w:val="FootnoteReference"/>
          <w:rFonts w:ascii="Arial" w:hAnsi="Arial" w:cs="Arial"/>
        </w:rPr>
        <w:footnoteReference w:id="7"/>
      </w:r>
      <w:r w:rsidR="003A1B61" w:rsidRPr="00D979E7">
        <w:rPr>
          <w:rFonts w:ascii="Arial" w:hAnsi="Arial" w:cs="Arial"/>
        </w:rPr>
        <w:t>, with the lion’s share of these costs</w:t>
      </w:r>
      <w:r w:rsidR="005C00CB" w:rsidRPr="00D979E7">
        <w:rPr>
          <w:rFonts w:ascii="Arial" w:hAnsi="Arial" w:cs="Arial"/>
        </w:rPr>
        <w:t xml:space="preserve"> </w:t>
      </w:r>
      <w:r w:rsidR="003A1B61" w:rsidRPr="00D979E7">
        <w:rPr>
          <w:rFonts w:ascii="Arial" w:hAnsi="Arial" w:cs="Arial"/>
        </w:rPr>
        <w:t xml:space="preserve">funded </w:t>
      </w:r>
      <w:r w:rsidR="005C00CB" w:rsidRPr="00D979E7">
        <w:rPr>
          <w:rFonts w:ascii="Arial" w:hAnsi="Arial" w:cs="Arial"/>
        </w:rPr>
        <w:t>by the Ministry of Health</w:t>
      </w:r>
      <w:r w:rsidR="00E57D40" w:rsidRPr="00D979E7">
        <w:rPr>
          <w:rFonts w:ascii="Arial" w:hAnsi="Arial" w:cs="Arial"/>
        </w:rPr>
        <w:t xml:space="preserve"> </w:t>
      </w:r>
      <w:r w:rsidR="003A1B61" w:rsidRPr="00D979E7">
        <w:rPr>
          <w:rFonts w:ascii="Arial" w:hAnsi="Arial" w:cs="Arial"/>
        </w:rPr>
        <w:t>but with some contributions by the District Health Boards</w:t>
      </w:r>
      <w:r w:rsidR="00E57D40" w:rsidRPr="00D979E7">
        <w:rPr>
          <w:rFonts w:ascii="Arial" w:hAnsi="Arial" w:cs="Arial"/>
        </w:rPr>
        <w:t>.</w:t>
      </w:r>
      <w:r w:rsidR="00BB3947" w:rsidRPr="00D979E7">
        <w:rPr>
          <w:rFonts w:ascii="Arial" w:hAnsi="Arial" w:cs="Arial"/>
        </w:rPr>
        <w:t xml:space="preserve"> These costs are estimated at $1205 per family</w:t>
      </w:r>
      <w:r w:rsidR="00EE4981" w:rsidRPr="00D979E7">
        <w:rPr>
          <w:rFonts w:ascii="Arial" w:hAnsi="Arial" w:cs="Arial"/>
        </w:rPr>
        <w:t xml:space="preserve">, </w:t>
      </w:r>
      <w:r w:rsidR="00BB3947" w:rsidRPr="00D979E7">
        <w:rPr>
          <w:rFonts w:ascii="Arial" w:hAnsi="Arial" w:cs="Arial"/>
        </w:rPr>
        <w:t xml:space="preserve">and for the 15,330 families served by the programme through December 2018, </w:t>
      </w:r>
      <w:r w:rsidR="00150D96" w:rsidRPr="00D979E7">
        <w:rPr>
          <w:rFonts w:ascii="Arial" w:hAnsi="Arial" w:cs="Arial"/>
        </w:rPr>
        <w:t>the total program</w:t>
      </w:r>
      <w:r w:rsidR="00BD28C8" w:rsidRPr="00D979E7">
        <w:rPr>
          <w:rFonts w:ascii="Arial" w:hAnsi="Arial" w:cs="Arial"/>
        </w:rPr>
        <w:t>me</w:t>
      </w:r>
      <w:r w:rsidR="00150D96" w:rsidRPr="00D979E7">
        <w:rPr>
          <w:rFonts w:ascii="Arial" w:hAnsi="Arial" w:cs="Arial"/>
        </w:rPr>
        <w:t xml:space="preserve"> costs </w:t>
      </w:r>
      <w:r w:rsidR="003B03CF" w:rsidRPr="00D979E7">
        <w:rPr>
          <w:rFonts w:ascii="Arial" w:hAnsi="Arial" w:cs="Arial"/>
        </w:rPr>
        <w:t xml:space="preserve">are therefore estimated to </w:t>
      </w:r>
      <w:r w:rsidR="00150D96" w:rsidRPr="00D979E7">
        <w:rPr>
          <w:rFonts w:ascii="Arial" w:hAnsi="Arial" w:cs="Arial"/>
        </w:rPr>
        <w:t xml:space="preserve">be $19,173,581. </w:t>
      </w:r>
    </w:p>
    <w:p w14:paraId="088D1BCC" w14:textId="171C1F65" w:rsidR="005C00CB" w:rsidRPr="00D979E7" w:rsidRDefault="00150D96" w:rsidP="00271FB7">
      <w:pPr>
        <w:spacing w:before="120" w:after="120" w:line="240" w:lineRule="auto"/>
        <w:rPr>
          <w:rFonts w:ascii="Arial" w:hAnsi="Arial" w:cs="Arial"/>
        </w:rPr>
      </w:pPr>
      <w:r w:rsidRPr="00D979E7">
        <w:rPr>
          <w:rFonts w:ascii="Arial" w:hAnsi="Arial" w:cs="Arial"/>
        </w:rPr>
        <w:t>These</w:t>
      </w:r>
      <w:r w:rsidR="00044E29" w:rsidRPr="00D979E7">
        <w:rPr>
          <w:rFonts w:ascii="Arial" w:hAnsi="Arial" w:cs="Arial"/>
        </w:rPr>
        <w:t xml:space="preserve"> program</w:t>
      </w:r>
      <w:r w:rsidRPr="00D979E7">
        <w:rPr>
          <w:rFonts w:ascii="Arial" w:hAnsi="Arial" w:cs="Arial"/>
        </w:rPr>
        <w:t>me</w:t>
      </w:r>
      <w:r w:rsidR="00044E29" w:rsidRPr="00D979E7">
        <w:rPr>
          <w:rFonts w:ascii="Arial" w:hAnsi="Arial" w:cs="Arial"/>
        </w:rPr>
        <w:t xml:space="preserve"> cost</w:t>
      </w:r>
      <w:r w:rsidRPr="00D979E7">
        <w:rPr>
          <w:rFonts w:ascii="Arial" w:hAnsi="Arial" w:cs="Arial"/>
        </w:rPr>
        <w:t>s do</w:t>
      </w:r>
      <w:r w:rsidR="007D4218" w:rsidRPr="00D979E7">
        <w:rPr>
          <w:rFonts w:ascii="Arial" w:hAnsi="Arial" w:cs="Arial"/>
        </w:rPr>
        <w:t xml:space="preserve"> not cover</w:t>
      </w:r>
      <w:r w:rsidR="00AC0DD1" w:rsidRPr="00D979E7">
        <w:rPr>
          <w:rFonts w:ascii="Arial" w:hAnsi="Arial" w:cs="Arial"/>
        </w:rPr>
        <w:t xml:space="preserve"> all the costs of programme.  Specifically,</w:t>
      </w:r>
      <w:r w:rsidR="007D4218" w:rsidRPr="00D979E7">
        <w:rPr>
          <w:rFonts w:ascii="Arial" w:hAnsi="Arial" w:cs="Arial"/>
        </w:rPr>
        <w:t xml:space="preserve"> the costs of providing </w:t>
      </w:r>
      <w:r w:rsidR="00555DC3" w:rsidRPr="00D979E7">
        <w:rPr>
          <w:rFonts w:ascii="Arial" w:hAnsi="Arial" w:cs="Arial"/>
        </w:rPr>
        <w:t xml:space="preserve">some of </w:t>
      </w:r>
      <w:r w:rsidR="007D4218" w:rsidRPr="00D979E7">
        <w:rPr>
          <w:rFonts w:ascii="Arial" w:hAnsi="Arial" w:cs="Arial"/>
        </w:rPr>
        <w:t>the interventions</w:t>
      </w:r>
      <w:r w:rsidR="00AC4582" w:rsidRPr="00D979E7">
        <w:rPr>
          <w:rFonts w:ascii="Arial" w:hAnsi="Arial" w:cs="Arial"/>
        </w:rPr>
        <w:t xml:space="preserve"> (e.g., the cost of providing heaters or installing insulation) </w:t>
      </w:r>
      <w:r w:rsidR="007D4218" w:rsidRPr="00D979E7">
        <w:rPr>
          <w:rFonts w:ascii="Arial" w:hAnsi="Arial" w:cs="Arial"/>
        </w:rPr>
        <w:t xml:space="preserve">beyond </w:t>
      </w:r>
      <w:r w:rsidR="00BB3947" w:rsidRPr="00D979E7">
        <w:rPr>
          <w:rFonts w:ascii="Arial" w:hAnsi="Arial" w:cs="Arial"/>
        </w:rPr>
        <w:t xml:space="preserve">these staffing costs </w:t>
      </w:r>
      <w:r w:rsidR="00AC0DD1" w:rsidRPr="00D979E7">
        <w:rPr>
          <w:rFonts w:ascii="Arial" w:hAnsi="Arial" w:cs="Arial"/>
        </w:rPr>
        <w:t>is not included</w:t>
      </w:r>
      <w:r w:rsidR="000E194C" w:rsidRPr="00D979E7">
        <w:rPr>
          <w:rFonts w:ascii="Arial" w:hAnsi="Arial" w:cs="Arial"/>
        </w:rPr>
        <w:t xml:space="preserve"> because</w:t>
      </w:r>
      <w:r w:rsidR="007D4218" w:rsidRPr="00D979E7">
        <w:rPr>
          <w:rFonts w:ascii="Arial" w:hAnsi="Arial" w:cs="Arial"/>
        </w:rPr>
        <w:t xml:space="preserve"> </w:t>
      </w:r>
      <w:r w:rsidR="00BB3947" w:rsidRPr="00D979E7">
        <w:rPr>
          <w:rFonts w:ascii="Arial" w:hAnsi="Arial" w:cs="Arial"/>
        </w:rPr>
        <w:t>there was</w:t>
      </w:r>
      <w:r w:rsidR="007D4218" w:rsidRPr="00D979E7">
        <w:rPr>
          <w:rFonts w:ascii="Arial" w:hAnsi="Arial" w:cs="Arial"/>
        </w:rPr>
        <w:t xml:space="preserve"> </w:t>
      </w:r>
      <w:r w:rsidR="00555DC3" w:rsidRPr="00D979E7">
        <w:rPr>
          <w:rFonts w:ascii="Arial" w:hAnsi="Arial" w:cs="Arial"/>
        </w:rPr>
        <w:t>in</w:t>
      </w:r>
      <w:r w:rsidR="002601B6" w:rsidRPr="00D979E7">
        <w:rPr>
          <w:rFonts w:ascii="Arial" w:hAnsi="Arial" w:cs="Arial"/>
        </w:rPr>
        <w:t xml:space="preserve">sufficient </w:t>
      </w:r>
      <w:r w:rsidR="007D4218" w:rsidRPr="00D979E7">
        <w:rPr>
          <w:rFonts w:ascii="Arial" w:hAnsi="Arial" w:cs="Arial"/>
        </w:rPr>
        <w:t xml:space="preserve">information </w:t>
      </w:r>
      <w:r w:rsidR="004A2129" w:rsidRPr="00D979E7">
        <w:rPr>
          <w:rFonts w:ascii="Arial" w:hAnsi="Arial" w:cs="Arial"/>
        </w:rPr>
        <w:t xml:space="preserve">about </w:t>
      </w:r>
      <w:r w:rsidR="00457A7E" w:rsidRPr="00D979E7">
        <w:rPr>
          <w:rFonts w:ascii="Arial" w:hAnsi="Arial" w:cs="Arial"/>
        </w:rPr>
        <w:t xml:space="preserve">the </w:t>
      </w:r>
      <w:r w:rsidR="004A2129" w:rsidRPr="00D979E7">
        <w:rPr>
          <w:rFonts w:ascii="Arial" w:hAnsi="Arial" w:cs="Arial"/>
        </w:rPr>
        <w:t>number of families that received each</w:t>
      </w:r>
      <w:r w:rsidR="005F7D12" w:rsidRPr="00D979E7">
        <w:rPr>
          <w:rFonts w:ascii="Arial" w:hAnsi="Arial" w:cs="Arial"/>
        </w:rPr>
        <w:t xml:space="preserve"> intervention</w:t>
      </w:r>
      <w:r w:rsidR="00BB3947" w:rsidRPr="00D979E7">
        <w:rPr>
          <w:rFonts w:ascii="Arial" w:hAnsi="Arial" w:cs="Arial"/>
        </w:rPr>
        <w:t xml:space="preserve"> </w:t>
      </w:r>
      <w:r w:rsidR="000E194C" w:rsidRPr="00D979E7">
        <w:rPr>
          <w:rFonts w:ascii="Arial" w:hAnsi="Arial" w:cs="Arial"/>
        </w:rPr>
        <w:t>or</w:t>
      </w:r>
      <w:r w:rsidR="00555DC3" w:rsidRPr="00D979E7">
        <w:rPr>
          <w:rFonts w:ascii="Arial" w:hAnsi="Arial" w:cs="Arial"/>
        </w:rPr>
        <w:t xml:space="preserve"> about</w:t>
      </w:r>
      <w:r w:rsidR="00BB3947" w:rsidRPr="00D979E7">
        <w:rPr>
          <w:rFonts w:ascii="Arial" w:hAnsi="Arial" w:cs="Arial"/>
        </w:rPr>
        <w:t xml:space="preserve"> the total value of all the interventions provided</w:t>
      </w:r>
      <w:r w:rsidR="00555DC3" w:rsidRPr="00D979E7">
        <w:rPr>
          <w:rFonts w:ascii="Arial" w:hAnsi="Arial" w:cs="Arial"/>
        </w:rPr>
        <w:t>.</w:t>
      </w:r>
      <w:r w:rsidR="005F7D12" w:rsidRPr="00D979E7">
        <w:rPr>
          <w:rFonts w:ascii="Arial" w:hAnsi="Arial" w:cs="Arial"/>
        </w:rPr>
        <w:t xml:space="preserve"> </w:t>
      </w:r>
      <w:r w:rsidR="00555DC3" w:rsidRPr="00D979E7">
        <w:rPr>
          <w:rFonts w:ascii="Arial" w:hAnsi="Arial" w:cs="Arial"/>
        </w:rPr>
        <w:t>H</w:t>
      </w:r>
      <w:r w:rsidR="005F7D12" w:rsidRPr="00D979E7">
        <w:rPr>
          <w:rFonts w:ascii="Arial" w:hAnsi="Arial" w:cs="Arial"/>
        </w:rPr>
        <w:t xml:space="preserve">ence, </w:t>
      </w:r>
      <w:r w:rsidR="00BB3947" w:rsidRPr="00D979E7">
        <w:rPr>
          <w:rFonts w:ascii="Arial" w:hAnsi="Arial" w:cs="Arial"/>
        </w:rPr>
        <w:t>it was not possible</w:t>
      </w:r>
      <w:r w:rsidR="005F7D12" w:rsidRPr="00D979E7">
        <w:rPr>
          <w:rFonts w:ascii="Arial" w:hAnsi="Arial" w:cs="Arial"/>
        </w:rPr>
        <w:t xml:space="preserve"> to calculate the costs associated with the provision of these interventions.  </w:t>
      </w:r>
      <w:r w:rsidR="00180B4F" w:rsidRPr="00D979E7">
        <w:rPr>
          <w:rFonts w:ascii="Arial" w:hAnsi="Arial" w:cs="Arial"/>
        </w:rPr>
        <w:t xml:space="preserve">  </w:t>
      </w:r>
      <w:r w:rsidR="004A2129" w:rsidRPr="00D979E7">
        <w:rPr>
          <w:rFonts w:ascii="Arial" w:hAnsi="Arial" w:cs="Arial"/>
        </w:rPr>
        <w:t xml:space="preserve"> </w:t>
      </w:r>
    </w:p>
    <w:p w14:paraId="61A7205C" w14:textId="1F311C84" w:rsidR="006A155A" w:rsidRPr="00D979E7" w:rsidRDefault="006A6436" w:rsidP="00271FB7">
      <w:pPr>
        <w:spacing w:before="120" w:after="120" w:line="240" w:lineRule="auto"/>
        <w:rPr>
          <w:rFonts w:ascii="Arial" w:hAnsi="Arial" w:cs="Arial"/>
        </w:rPr>
      </w:pPr>
      <w:r w:rsidRPr="00D979E7">
        <w:rPr>
          <w:rFonts w:ascii="Arial" w:hAnsi="Arial" w:cs="Arial"/>
        </w:rPr>
        <w:t xml:space="preserve">To estimate the </w:t>
      </w:r>
      <w:r w:rsidR="00325513" w:rsidRPr="00D979E7">
        <w:rPr>
          <w:rFonts w:ascii="Arial" w:hAnsi="Arial" w:cs="Arial"/>
        </w:rPr>
        <w:t xml:space="preserve">value of </w:t>
      </w:r>
      <w:r w:rsidR="00BB3947" w:rsidRPr="00D979E7">
        <w:rPr>
          <w:rFonts w:ascii="Arial" w:hAnsi="Arial" w:cs="Arial"/>
        </w:rPr>
        <w:t xml:space="preserve">the </w:t>
      </w:r>
      <w:r w:rsidRPr="00D979E7">
        <w:rPr>
          <w:rFonts w:ascii="Arial" w:hAnsi="Arial" w:cs="Arial"/>
        </w:rPr>
        <w:t>benefits of the program, the number of hospitalisations, GP visits, and pharmaceutical</w:t>
      </w:r>
      <w:r w:rsidR="003B03CF" w:rsidRPr="00D979E7">
        <w:rPr>
          <w:rFonts w:ascii="Arial" w:hAnsi="Arial" w:cs="Arial"/>
        </w:rPr>
        <w:t xml:space="preserve"> </w:t>
      </w:r>
      <w:proofErr w:type="spellStart"/>
      <w:r w:rsidR="003B03CF" w:rsidRPr="00D979E7">
        <w:rPr>
          <w:rFonts w:ascii="Arial" w:hAnsi="Arial" w:cs="Arial"/>
        </w:rPr>
        <w:t>dispensings</w:t>
      </w:r>
      <w:proofErr w:type="spellEnd"/>
      <w:r w:rsidR="003B03CF" w:rsidRPr="00D979E7">
        <w:rPr>
          <w:rFonts w:ascii="Arial" w:hAnsi="Arial" w:cs="Arial"/>
        </w:rPr>
        <w:t xml:space="preserve"> </w:t>
      </w:r>
      <w:r w:rsidR="003D60B2" w:rsidRPr="00D979E7">
        <w:rPr>
          <w:rFonts w:ascii="Arial" w:hAnsi="Arial" w:cs="Arial"/>
        </w:rPr>
        <w:t>prevented by the program</w:t>
      </w:r>
      <w:r w:rsidR="00BD28C8" w:rsidRPr="00D979E7">
        <w:rPr>
          <w:rFonts w:ascii="Arial" w:hAnsi="Arial" w:cs="Arial"/>
        </w:rPr>
        <w:t>me</w:t>
      </w:r>
      <w:r w:rsidR="00AB170D" w:rsidRPr="00D979E7">
        <w:rPr>
          <w:rFonts w:ascii="Arial" w:hAnsi="Arial" w:cs="Arial"/>
        </w:rPr>
        <w:t xml:space="preserve"> </w:t>
      </w:r>
      <w:r w:rsidR="006D1D9D" w:rsidRPr="00D979E7">
        <w:rPr>
          <w:rFonts w:ascii="Arial" w:hAnsi="Arial" w:cs="Arial"/>
        </w:rPr>
        <w:t xml:space="preserve">(Tables 4-6) </w:t>
      </w:r>
      <w:r w:rsidR="00AB170D" w:rsidRPr="00D979E7">
        <w:rPr>
          <w:rFonts w:ascii="Arial" w:hAnsi="Arial" w:cs="Arial"/>
        </w:rPr>
        <w:t>were used</w:t>
      </w:r>
      <w:r w:rsidR="003D60B2" w:rsidRPr="00D979E7">
        <w:rPr>
          <w:rFonts w:ascii="Arial" w:hAnsi="Arial" w:cs="Arial"/>
        </w:rPr>
        <w:t xml:space="preserve"> </w:t>
      </w:r>
      <w:r w:rsidRPr="00D979E7">
        <w:rPr>
          <w:rFonts w:ascii="Arial" w:hAnsi="Arial" w:cs="Arial"/>
        </w:rPr>
        <w:t xml:space="preserve">to calculate </w:t>
      </w:r>
      <w:r w:rsidR="003D60B2" w:rsidRPr="00D979E7">
        <w:rPr>
          <w:rFonts w:ascii="Arial" w:hAnsi="Arial" w:cs="Arial"/>
        </w:rPr>
        <w:t>the associated costs averted by the program</w:t>
      </w:r>
      <w:r w:rsidR="00271FB7" w:rsidRPr="00D979E7">
        <w:rPr>
          <w:rFonts w:ascii="Arial" w:hAnsi="Arial" w:cs="Arial"/>
        </w:rPr>
        <w:t>me</w:t>
      </w:r>
      <w:r w:rsidR="003D60B2" w:rsidRPr="00D979E7">
        <w:rPr>
          <w:rFonts w:ascii="Arial" w:hAnsi="Arial" w:cs="Arial"/>
        </w:rPr>
        <w:t xml:space="preserve">.  </w:t>
      </w:r>
      <w:r w:rsidR="00C97894" w:rsidRPr="00D979E7">
        <w:rPr>
          <w:rFonts w:ascii="Arial" w:hAnsi="Arial" w:cs="Arial"/>
        </w:rPr>
        <w:t xml:space="preserve">After adjusting for age and selection bias, </w:t>
      </w:r>
      <w:r w:rsidR="00C24F42" w:rsidRPr="00D979E7">
        <w:rPr>
          <w:rFonts w:ascii="Arial" w:hAnsi="Arial" w:cs="Arial"/>
        </w:rPr>
        <w:t>the program</w:t>
      </w:r>
      <w:r w:rsidR="00271FB7" w:rsidRPr="00D979E7">
        <w:rPr>
          <w:rFonts w:ascii="Arial" w:hAnsi="Arial" w:cs="Arial"/>
        </w:rPr>
        <w:t>me</w:t>
      </w:r>
      <w:r w:rsidR="00C24F42" w:rsidRPr="00D979E7">
        <w:rPr>
          <w:rFonts w:ascii="Arial" w:hAnsi="Arial" w:cs="Arial"/>
        </w:rPr>
        <w:t xml:space="preserve"> is </w:t>
      </w:r>
      <w:r w:rsidR="00C97894" w:rsidRPr="00D979E7">
        <w:rPr>
          <w:rFonts w:ascii="Arial" w:hAnsi="Arial" w:cs="Arial"/>
        </w:rPr>
        <w:t>estimate</w:t>
      </w:r>
      <w:r w:rsidR="00C24F42" w:rsidRPr="00D979E7">
        <w:rPr>
          <w:rFonts w:ascii="Arial" w:hAnsi="Arial" w:cs="Arial"/>
        </w:rPr>
        <w:t>d</w:t>
      </w:r>
      <w:r w:rsidR="00C97894" w:rsidRPr="00D979E7">
        <w:rPr>
          <w:rFonts w:ascii="Arial" w:hAnsi="Arial" w:cs="Arial"/>
        </w:rPr>
        <w:t xml:space="preserve"> </w:t>
      </w:r>
      <w:r w:rsidR="00C24F42" w:rsidRPr="00D979E7">
        <w:rPr>
          <w:rFonts w:ascii="Arial" w:hAnsi="Arial" w:cs="Arial"/>
        </w:rPr>
        <w:t>to have prevented</w:t>
      </w:r>
      <w:r w:rsidR="00C97894" w:rsidRPr="00D979E7">
        <w:rPr>
          <w:rFonts w:ascii="Arial" w:hAnsi="Arial" w:cs="Arial"/>
        </w:rPr>
        <w:t xml:space="preserve"> 1</w:t>
      </w:r>
      <w:r w:rsidR="00677692" w:rsidRPr="00D979E7">
        <w:rPr>
          <w:rFonts w:ascii="Arial" w:hAnsi="Arial" w:cs="Arial"/>
        </w:rPr>
        <w:t>,</w:t>
      </w:r>
      <w:r w:rsidR="00C97894" w:rsidRPr="00D979E7">
        <w:rPr>
          <w:rFonts w:ascii="Arial" w:hAnsi="Arial" w:cs="Arial"/>
        </w:rPr>
        <w:t>533 hospitalisations, 9</w:t>
      </w:r>
      <w:r w:rsidR="00677692" w:rsidRPr="00D979E7">
        <w:rPr>
          <w:rFonts w:ascii="Arial" w:hAnsi="Arial" w:cs="Arial"/>
        </w:rPr>
        <w:t>,</w:t>
      </w:r>
      <w:r w:rsidR="00C97894" w:rsidRPr="00D979E7">
        <w:rPr>
          <w:rFonts w:ascii="Arial" w:hAnsi="Arial" w:cs="Arial"/>
        </w:rPr>
        <w:t>443 GP visits, and 8</w:t>
      </w:r>
      <w:r w:rsidR="00677692" w:rsidRPr="00D979E7">
        <w:rPr>
          <w:rFonts w:ascii="Arial" w:hAnsi="Arial" w:cs="Arial"/>
        </w:rPr>
        <w:t>,</w:t>
      </w:r>
      <w:r w:rsidR="00C97894" w:rsidRPr="00D979E7">
        <w:rPr>
          <w:rFonts w:ascii="Arial" w:hAnsi="Arial" w:cs="Arial"/>
        </w:rPr>
        <w:t xml:space="preserve">784 </w:t>
      </w:r>
      <w:r w:rsidR="003D4EEC" w:rsidRPr="00D979E7">
        <w:rPr>
          <w:rFonts w:ascii="Arial" w:hAnsi="Arial" w:cs="Arial"/>
        </w:rPr>
        <w:t xml:space="preserve">pharmaceutical </w:t>
      </w:r>
      <w:proofErr w:type="spellStart"/>
      <w:r w:rsidR="003D4EEC" w:rsidRPr="00D979E7">
        <w:rPr>
          <w:rFonts w:ascii="Arial" w:hAnsi="Arial" w:cs="Arial"/>
        </w:rPr>
        <w:t>dispensings</w:t>
      </w:r>
      <w:proofErr w:type="spellEnd"/>
      <w:r w:rsidR="00C97894" w:rsidRPr="00D979E7">
        <w:rPr>
          <w:rFonts w:ascii="Arial" w:hAnsi="Arial" w:cs="Arial"/>
        </w:rPr>
        <w:t xml:space="preserve">. </w:t>
      </w:r>
      <w:r w:rsidR="00957793" w:rsidRPr="00D979E7">
        <w:rPr>
          <w:rFonts w:ascii="Arial" w:hAnsi="Arial" w:cs="Arial"/>
        </w:rPr>
        <w:t>H</w:t>
      </w:r>
      <w:r w:rsidR="00C017A2" w:rsidRPr="00D979E7">
        <w:rPr>
          <w:rFonts w:ascii="Arial" w:hAnsi="Arial" w:cs="Arial"/>
        </w:rPr>
        <w:t>ospitalisations</w:t>
      </w:r>
      <w:r w:rsidR="002846A4" w:rsidRPr="00D979E7">
        <w:rPr>
          <w:rFonts w:ascii="Arial" w:hAnsi="Arial" w:cs="Arial"/>
        </w:rPr>
        <w:t xml:space="preserve">, on average, </w:t>
      </w:r>
      <w:r w:rsidR="00114D1F" w:rsidRPr="00D979E7">
        <w:rPr>
          <w:rFonts w:ascii="Arial" w:hAnsi="Arial" w:cs="Arial"/>
        </w:rPr>
        <w:t xml:space="preserve">after the intervention </w:t>
      </w:r>
      <w:r w:rsidR="00C017A2" w:rsidRPr="00D979E7">
        <w:rPr>
          <w:rFonts w:ascii="Arial" w:hAnsi="Arial" w:cs="Arial"/>
        </w:rPr>
        <w:t>were less costly and shorter in duration</w:t>
      </w:r>
      <w:r w:rsidR="00114D1F" w:rsidRPr="00D979E7">
        <w:rPr>
          <w:rFonts w:ascii="Arial" w:hAnsi="Arial" w:cs="Arial"/>
        </w:rPr>
        <w:t xml:space="preserve"> than those prior to the intervention</w:t>
      </w:r>
      <w:r w:rsidR="00C017A2" w:rsidRPr="00D979E7">
        <w:rPr>
          <w:rFonts w:ascii="Arial" w:hAnsi="Arial" w:cs="Arial"/>
        </w:rPr>
        <w:t xml:space="preserve">.  </w:t>
      </w:r>
      <w:r w:rsidR="00114D1F" w:rsidRPr="00D979E7">
        <w:rPr>
          <w:rFonts w:ascii="Arial" w:hAnsi="Arial" w:cs="Arial"/>
        </w:rPr>
        <w:t>After adjusting for age and selection bias, the average hospitalisation post-intervention was 0.69 nights shorter (CI: 0.346-1.191) and $541 less costly (CI: 9.84-1,073)</w:t>
      </w:r>
      <w:r w:rsidR="00FB1E15" w:rsidRPr="00D979E7">
        <w:rPr>
          <w:rFonts w:ascii="Arial" w:hAnsi="Arial" w:cs="Arial"/>
        </w:rPr>
        <w:t xml:space="preserve"> </w:t>
      </w:r>
      <w:r w:rsidR="00FB7324" w:rsidRPr="00D979E7">
        <w:rPr>
          <w:rFonts w:ascii="Arial" w:hAnsi="Arial" w:cs="Arial"/>
        </w:rPr>
        <w:t>than hospitalisations in the</w:t>
      </w:r>
      <w:r w:rsidR="00240FB6" w:rsidRPr="00D979E7">
        <w:rPr>
          <w:rFonts w:ascii="Arial" w:hAnsi="Arial" w:cs="Arial"/>
        </w:rPr>
        <w:t xml:space="preserve"> year prior to the intervention</w:t>
      </w:r>
      <w:r w:rsidR="00F15D50" w:rsidRPr="00D979E7">
        <w:rPr>
          <w:rFonts w:ascii="Arial" w:hAnsi="Arial" w:cs="Arial"/>
        </w:rPr>
        <w:t>. T</w:t>
      </w:r>
      <w:r w:rsidR="00FB1E15" w:rsidRPr="00D979E7">
        <w:rPr>
          <w:rFonts w:ascii="Arial" w:hAnsi="Arial" w:cs="Arial"/>
        </w:rPr>
        <w:t xml:space="preserve">hese reductions </w:t>
      </w:r>
      <w:r w:rsidR="00F15D50" w:rsidRPr="00D979E7">
        <w:rPr>
          <w:rFonts w:ascii="Arial" w:hAnsi="Arial" w:cs="Arial"/>
        </w:rPr>
        <w:t xml:space="preserve">are </w:t>
      </w:r>
      <w:r w:rsidR="00240FB6" w:rsidRPr="00D979E7">
        <w:rPr>
          <w:rFonts w:ascii="Arial" w:hAnsi="Arial" w:cs="Arial"/>
        </w:rPr>
        <w:t xml:space="preserve">considered to be </w:t>
      </w:r>
      <w:r w:rsidR="00FB7324" w:rsidRPr="00D979E7">
        <w:rPr>
          <w:rFonts w:ascii="Arial" w:hAnsi="Arial" w:cs="Arial"/>
        </w:rPr>
        <w:t>attributable to the program</w:t>
      </w:r>
      <w:r w:rsidR="008075D7" w:rsidRPr="00D979E7">
        <w:rPr>
          <w:rFonts w:ascii="Arial" w:hAnsi="Arial" w:cs="Arial"/>
        </w:rPr>
        <w:t>me</w:t>
      </w:r>
      <w:r w:rsidR="00114D1F" w:rsidRPr="00D979E7">
        <w:rPr>
          <w:rFonts w:ascii="Arial" w:hAnsi="Arial" w:cs="Arial"/>
        </w:rPr>
        <w:t xml:space="preserve">.  </w:t>
      </w:r>
    </w:p>
    <w:p w14:paraId="6051962A" w14:textId="729DCB4F" w:rsidR="00E47589" w:rsidRPr="00D979E7" w:rsidRDefault="006F6994" w:rsidP="00271FB7">
      <w:pPr>
        <w:spacing w:before="120" w:after="120" w:line="240" w:lineRule="auto"/>
        <w:rPr>
          <w:rFonts w:ascii="Arial" w:hAnsi="Arial" w:cs="Arial"/>
        </w:rPr>
      </w:pPr>
      <w:r w:rsidRPr="00D979E7">
        <w:rPr>
          <w:rFonts w:ascii="Arial" w:hAnsi="Arial" w:cs="Arial"/>
        </w:rPr>
        <w:t>The</w:t>
      </w:r>
      <w:r w:rsidR="00CC6C77" w:rsidRPr="00D979E7">
        <w:rPr>
          <w:rFonts w:ascii="Arial" w:hAnsi="Arial" w:cs="Arial"/>
        </w:rPr>
        <w:t xml:space="preserve"> associated</w:t>
      </w:r>
      <w:r w:rsidRPr="00D979E7">
        <w:rPr>
          <w:rFonts w:ascii="Arial" w:hAnsi="Arial" w:cs="Arial"/>
        </w:rPr>
        <w:t xml:space="preserve"> health care costs averted </w:t>
      </w:r>
      <w:r w:rsidR="00CC6C77" w:rsidRPr="00D979E7">
        <w:rPr>
          <w:rFonts w:ascii="Arial" w:hAnsi="Arial" w:cs="Arial"/>
        </w:rPr>
        <w:t xml:space="preserve">by the programme </w:t>
      </w:r>
      <w:r w:rsidRPr="00D979E7">
        <w:rPr>
          <w:rFonts w:ascii="Arial" w:hAnsi="Arial" w:cs="Arial"/>
        </w:rPr>
        <w:t xml:space="preserve">are shown in Table 7. </w:t>
      </w:r>
      <w:r w:rsidR="00C2116B" w:rsidRPr="00D979E7">
        <w:rPr>
          <w:rFonts w:ascii="Arial" w:hAnsi="Arial" w:cs="Arial"/>
        </w:rPr>
        <w:t>U</w:t>
      </w:r>
      <w:r w:rsidR="00E47589" w:rsidRPr="00D979E7">
        <w:rPr>
          <w:rFonts w:ascii="Arial" w:hAnsi="Arial" w:cs="Arial"/>
        </w:rPr>
        <w:t>sing the</w:t>
      </w:r>
      <w:r w:rsidR="007C3150" w:rsidRPr="00D979E7">
        <w:rPr>
          <w:rFonts w:ascii="Arial" w:hAnsi="Arial" w:cs="Arial"/>
        </w:rPr>
        <w:t xml:space="preserve"> average</w:t>
      </w:r>
      <w:r w:rsidR="00E47589" w:rsidRPr="00D979E7">
        <w:rPr>
          <w:rFonts w:ascii="Arial" w:hAnsi="Arial" w:cs="Arial"/>
        </w:rPr>
        <w:t xml:space="preserve"> cost </w:t>
      </w:r>
      <w:r w:rsidR="007C3150" w:rsidRPr="00D979E7">
        <w:rPr>
          <w:rFonts w:ascii="Arial" w:hAnsi="Arial" w:cs="Arial"/>
        </w:rPr>
        <w:t>of a</w:t>
      </w:r>
      <w:r w:rsidR="00E47589" w:rsidRPr="00D979E7">
        <w:rPr>
          <w:rFonts w:ascii="Arial" w:hAnsi="Arial" w:cs="Arial"/>
        </w:rPr>
        <w:t xml:space="preserve"> hospitalisation </w:t>
      </w:r>
      <w:r w:rsidR="007A3984" w:rsidRPr="00D979E7">
        <w:rPr>
          <w:rFonts w:ascii="Arial" w:hAnsi="Arial" w:cs="Arial"/>
        </w:rPr>
        <w:t>post-intervention</w:t>
      </w:r>
      <w:r w:rsidR="00C2116B" w:rsidRPr="00D979E7">
        <w:rPr>
          <w:rFonts w:ascii="Arial" w:hAnsi="Arial" w:cs="Arial"/>
        </w:rPr>
        <w:t>,</w:t>
      </w:r>
      <w:r w:rsidR="00024652" w:rsidRPr="00D979E7">
        <w:rPr>
          <w:rFonts w:ascii="Arial" w:hAnsi="Arial" w:cs="Arial"/>
        </w:rPr>
        <w:t xml:space="preserve"> </w:t>
      </w:r>
      <w:r w:rsidR="00690E46" w:rsidRPr="00D979E7">
        <w:rPr>
          <w:rFonts w:ascii="Arial" w:hAnsi="Arial" w:cs="Arial"/>
        </w:rPr>
        <w:t>the 1,533 hospitalisations prevented would have cost approximately $6.3 mi</w:t>
      </w:r>
      <w:r w:rsidR="008620EA" w:rsidRPr="00D979E7">
        <w:rPr>
          <w:rFonts w:ascii="Arial" w:hAnsi="Arial" w:cs="Arial"/>
        </w:rPr>
        <w:t xml:space="preserve">llion in </w:t>
      </w:r>
      <w:r w:rsidR="00F4123B" w:rsidRPr="00D979E7">
        <w:rPr>
          <w:rFonts w:ascii="Arial" w:hAnsi="Arial" w:cs="Arial"/>
        </w:rPr>
        <w:t xml:space="preserve">the </w:t>
      </w:r>
      <w:r w:rsidR="003401C3" w:rsidRPr="00D979E7">
        <w:rPr>
          <w:rFonts w:ascii="Arial" w:hAnsi="Arial" w:cs="Arial"/>
        </w:rPr>
        <w:t>earliest</w:t>
      </w:r>
      <w:r w:rsidR="00F4123B" w:rsidRPr="00D979E7">
        <w:rPr>
          <w:rFonts w:ascii="Arial" w:hAnsi="Arial" w:cs="Arial"/>
        </w:rPr>
        <w:t xml:space="preserve"> year post-intervention</w:t>
      </w:r>
      <w:r w:rsidR="00C2116B" w:rsidRPr="00D979E7">
        <w:rPr>
          <w:rFonts w:ascii="Arial" w:hAnsi="Arial" w:cs="Arial"/>
        </w:rPr>
        <w:t xml:space="preserve">, and hence, these costs were averted </w:t>
      </w:r>
      <w:r w:rsidR="000768E1" w:rsidRPr="00D979E7">
        <w:rPr>
          <w:rFonts w:ascii="Arial" w:hAnsi="Arial" w:cs="Arial"/>
        </w:rPr>
        <w:t xml:space="preserve">because of </w:t>
      </w:r>
      <w:r w:rsidR="00C2116B" w:rsidRPr="00D979E7">
        <w:rPr>
          <w:rFonts w:ascii="Arial" w:hAnsi="Arial" w:cs="Arial"/>
        </w:rPr>
        <w:t>the</w:t>
      </w:r>
      <w:r w:rsidR="000768E1" w:rsidRPr="00D979E7">
        <w:rPr>
          <w:rFonts w:ascii="Arial" w:hAnsi="Arial" w:cs="Arial"/>
        </w:rPr>
        <w:t xml:space="preserve"> HHI</w:t>
      </w:r>
      <w:r w:rsidR="00C2116B" w:rsidRPr="00D979E7">
        <w:rPr>
          <w:rFonts w:ascii="Arial" w:hAnsi="Arial" w:cs="Arial"/>
        </w:rPr>
        <w:t xml:space="preserve"> programme</w:t>
      </w:r>
      <w:r w:rsidR="00847749" w:rsidRPr="00D979E7">
        <w:rPr>
          <w:rFonts w:ascii="Arial" w:hAnsi="Arial" w:cs="Arial"/>
        </w:rPr>
        <w:t xml:space="preserve">. </w:t>
      </w:r>
      <w:r w:rsidR="003B03CF" w:rsidRPr="00D979E7">
        <w:rPr>
          <w:rFonts w:ascii="Arial" w:hAnsi="Arial" w:cs="Arial"/>
        </w:rPr>
        <w:t>T</w:t>
      </w:r>
      <w:r w:rsidR="00F16D47" w:rsidRPr="00D979E7">
        <w:rPr>
          <w:rFonts w:ascii="Arial" w:hAnsi="Arial" w:cs="Arial"/>
        </w:rPr>
        <w:t>hose</w:t>
      </w:r>
      <w:r w:rsidR="008620EA" w:rsidRPr="00D979E7">
        <w:rPr>
          <w:rFonts w:ascii="Arial" w:hAnsi="Arial" w:cs="Arial"/>
        </w:rPr>
        <w:t xml:space="preserve"> hospitalisations that </w:t>
      </w:r>
      <w:r w:rsidR="00F16D47" w:rsidRPr="00D979E7">
        <w:rPr>
          <w:rFonts w:ascii="Arial" w:hAnsi="Arial" w:cs="Arial"/>
        </w:rPr>
        <w:t xml:space="preserve">did </w:t>
      </w:r>
      <w:r w:rsidR="008620EA" w:rsidRPr="00D979E7">
        <w:rPr>
          <w:rFonts w:ascii="Arial" w:hAnsi="Arial" w:cs="Arial"/>
        </w:rPr>
        <w:t>occur post-intervent</w:t>
      </w:r>
      <w:r w:rsidR="00F16D47" w:rsidRPr="00D979E7">
        <w:rPr>
          <w:rFonts w:ascii="Arial" w:hAnsi="Arial" w:cs="Arial"/>
        </w:rPr>
        <w:t>ion</w:t>
      </w:r>
      <w:r w:rsidR="002734FD" w:rsidRPr="00D979E7">
        <w:rPr>
          <w:rFonts w:ascii="Arial" w:hAnsi="Arial" w:cs="Arial"/>
        </w:rPr>
        <w:t xml:space="preserve"> for the referral child</w:t>
      </w:r>
      <w:r w:rsidR="00F16D47" w:rsidRPr="00D979E7">
        <w:rPr>
          <w:rFonts w:ascii="Arial" w:hAnsi="Arial" w:cs="Arial"/>
        </w:rPr>
        <w:t xml:space="preserve"> were less</w:t>
      </w:r>
      <w:r w:rsidR="008620EA" w:rsidRPr="00D979E7">
        <w:rPr>
          <w:rFonts w:ascii="Arial" w:hAnsi="Arial" w:cs="Arial"/>
        </w:rPr>
        <w:t xml:space="preserve"> sever</w:t>
      </w:r>
      <w:r w:rsidR="00F16D47" w:rsidRPr="00D979E7">
        <w:rPr>
          <w:rFonts w:ascii="Arial" w:hAnsi="Arial" w:cs="Arial"/>
        </w:rPr>
        <w:t>e. This reduction in severity</w:t>
      </w:r>
      <w:r w:rsidR="008620EA" w:rsidRPr="00D979E7">
        <w:rPr>
          <w:rFonts w:ascii="Arial" w:hAnsi="Arial" w:cs="Arial"/>
        </w:rPr>
        <w:t xml:space="preserve"> </w:t>
      </w:r>
      <w:r w:rsidR="00F16D47" w:rsidRPr="00D979E7">
        <w:rPr>
          <w:rFonts w:ascii="Arial" w:hAnsi="Arial" w:cs="Arial"/>
        </w:rPr>
        <w:t xml:space="preserve">is estimated to avert costs </w:t>
      </w:r>
      <w:r w:rsidR="008620EA" w:rsidRPr="00D979E7">
        <w:rPr>
          <w:rFonts w:ascii="Arial" w:hAnsi="Arial" w:cs="Arial"/>
        </w:rPr>
        <w:t xml:space="preserve">of $3.3 million in </w:t>
      </w:r>
      <w:r w:rsidR="00F16D47" w:rsidRPr="00D979E7">
        <w:rPr>
          <w:rFonts w:ascii="Arial" w:hAnsi="Arial" w:cs="Arial"/>
        </w:rPr>
        <w:t xml:space="preserve">the </w:t>
      </w:r>
      <w:r w:rsidR="003401C3" w:rsidRPr="00D979E7">
        <w:rPr>
          <w:rFonts w:ascii="Arial" w:hAnsi="Arial" w:cs="Arial"/>
        </w:rPr>
        <w:t>earliest</w:t>
      </w:r>
      <w:r w:rsidR="00F16D47" w:rsidRPr="00D979E7">
        <w:rPr>
          <w:rFonts w:ascii="Arial" w:hAnsi="Arial" w:cs="Arial"/>
        </w:rPr>
        <w:t xml:space="preserve"> year post-intervention</w:t>
      </w:r>
      <w:r w:rsidR="008620EA" w:rsidRPr="00D979E7">
        <w:rPr>
          <w:rFonts w:ascii="Arial" w:hAnsi="Arial" w:cs="Arial"/>
        </w:rPr>
        <w:t xml:space="preserve">. </w:t>
      </w:r>
      <w:r w:rsidR="00BC2931" w:rsidRPr="00D979E7">
        <w:rPr>
          <w:rFonts w:ascii="Arial" w:hAnsi="Arial" w:cs="Arial"/>
        </w:rPr>
        <w:t xml:space="preserve">Using the cost per visit from </w:t>
      </w:r>
      <w:r w:rsidR="009F0185" w:rsidRPr="00D979E7">
        <w:rPr>
          <w:rFonts w:ascii="Arial" w:hAnsi="Arial" w:cs="Arial"/>
        </w:rPr>
        <w:t xml:space="preserve">Treasury’s </w:t>
      </w:r>
      <w:proofErr w:type="spellStart"/>
      <w:r w:rsidR="009F0185" w:rsidRPr="00D979E7">
        <w:rPr>
          <w:rFonts w:ascii="Arial" w:hAnsi="Arial" w:cs="Arial"/>
        </w:rPr>
        <w:t>CBAx</w:t>
      </w:r>
      <w:proofErr w:type="spellEnd"/>
      <w:r w:rsidR="009F0185" w:rsidRPr="00D979E7">
        <w:rPr>
          <w:rFonts w:ascii="Arial" w:hAnsi="Arial" w:cs="Arial"/>
        </w:rPr>
        <w:t xml:space="preserve"> Tool</w:t>
      </w:r>
      <w:r w:rsidR="00BC2931" w:rsidRPr="00D979E7">
        <w:rPr>
          <w:rFonts w:ascii="Arial" w:hAnsi="Arial" w:cs="Arial"/>
        </w:rPr>
        <w:t xml:space="preserve"> of $80</w:t>
      </w:r>
      <w:r w:rsidR="009F0185" w:rsidRPr="00D979E7">
        <w:rPr>
          <w:rFonts w:ascii="Arial" w:hAnsi="Arial" w:cs="Arial"/>
        </w:rPr>
        <w:t xml:space="preserve">, </w:t>
      </w:r>
      <w:r w:rsidR="00BC2931" w:rsidRPr="00D979E7">
        <w:rPr>
          <w:rFonts w:ascii="Arial" w:hAnsi="Arial" w:cs="Arial"/>
        </w:rPr>
        <w:t xml:space="preserve">the </w:t>
      </w:r>
      <w:r w:rsidR="009F0185" w:rsidRPr="00D979E7">
        <w:rPr>
          <w:rFonts w:ascii="Arial" w:hAnsi="Arial" w:cs="Arial"/>
        </w:rPr>
        <w:t>expect</w:t>
      </w:r>
      <w:r w:rsidR="00BC2931" w:rsidRPr="00D979E7">
        <w:rPr>
          <w:rFonts w:ascii="Arial" w:hAnsi="Arial" w:cs="Arial"/>
        </w:rPr>
        <w:t>ed</w:t>
      </w:r>
      <w:r w:rsidR="009F0185" w:rsidRPr="00D979E7">
        <w:rPr>
          <w:rFonts w:ascii="Arial" w:hAnsi="Arial" w:cs="Arial"/>
        </w:rPr>
        <w:t xml:space="preserve"> cost</w:t>
      </w:r>
      <w:r w:rsidR="00BC2931" w:rsidRPr="00D979E7">
        <w:rPr>
          <w:rFonts w:ascii="Arial" w:hAnsi="Arial" w:cs="Arial"/>
        </w:rPr>
        <w:t xml:space="preserve">s averted is </w:t>
      </w:r>
      <w:r w:rsidR="009F0185" w:rsidRPr="00D979E7">
        <w:rPr>
          <w:rFonts w:ascii="Arial" w:hAnsi="Arial" w:cs="Arial"/>
        </w:rPr>
        <w:t>$755,440 for the 9,44</w:t>
      </w:r>
      <w:r w:rsidR="00460371" w:rsidRPr="00D979E7">
        <w:rPr>
          <w:rFonts w:ascii="Arial" w:hAnsi="Arial" w:cs="Arial"/>
        </w:rPr>
        <w:t>3 GP visits preven</w:t>
      </w:r>
      <w:r w:rsidR="009F0185" w:rsidRPr="00D979E7">
        <w:rPr>
          <w:rFonts w:ascii="Arial" w:hAnsi="Arial" w:cs="Arial"/>
        </w:rPr>
        <w:t>ted</w:t>
      </w:r>
      <w:r w:rsidR="00460371" w:rsidRPr="00D979E7">
        <w:rPr>
          <w:rFonts w:ascii="Arial" w:hAnsi="Arial" w:cs="Arial"/>
        </w:rPr>
        <w:t xml:space="preserve"> by the programme</w:t>
      </w:r>
      <w:r w:rsidR="009F0185" w:rsidRPr="00D979E7">
        <w:rPr>
          <w:rFonts w:ascii="Arial" w:hAnsi="Arial" w:cs="Arial"/>
        </w:rPr>
        <w:t xml:space="preserve">. </w:t>
      </w:r>
      <w:r w:rsidR="00DC34C9" w:rsidRPr="00D979E7">
        <w:rPr>
          <w:rFonts w:ascii="Arial" w:hAnsi="Arial" w:cs="Arial"/>
        </w:rPr>
        <w:t xml:space="preserve">For </w:t>
      </w:r>
      <w:r w:rsidR="003B03CF" w:rsidRPr="00D979E7">
        <w:rPr>
          <w:rFonts w:ascii="Arial" w:hAnsi="Arial" w:cs="Arial"/>
        </w:rPr>
        <w:t xml:space="preserve">pharmaceutical </w:t>
      </w:r>
      <w:proofErr w:type="spellStart"/>
      <w:r w:rsidR="00DC34C9" w:rsidRPr="00D979E7">
        <w:rPr>
          <w:rFonts w:ascii="Arial" w:hAnsi="Arial" w:cs="Arial"/>
        </w:rPr>
        <w:t>dispensings</w:t>
      </w:r>
      <w:proofErr w:type="spellEnd"/>
      <w:r w:rsidR="001656A4" w:rsidRPr="00D979E7">
        <w:rPr>
          <w:rFonts w:ascii="Arial" w:hAnsi="Arial" w:cs="Arial"/>
        </w:rPr>
        <w:t>, the cost</w:t>
      </w:r>
      <w:r w:rsidR="008E38E1" w:rsidRPr="00D979E7">
        <w:rPr>
          <w:rFonts w:ascii="Arial" w:hAnsi="Arial" w:cs="Arial"/>
        </w:rPr>
        <w:t>s averted are</w:t>
      </w:r>
      <w:r w:rsidR="00053F60" w:rsidRPr="00D979E7">
        <w:rPr>
          <w:rFonts w:ascii="Arial" w:hAnsi="Arial" w:cs="Arial"/>
        </w:rPr>
        <w:t xml:space="preserve"> estimated</w:t>
      </w:r>
      <w:r w:rsidR="00BE411F" w:rsidRPr="00D979E7">
        <w:rPr>
          <w:rFonts w:ascii="Arial" w:hAnsi="Arial" w:cs="Arial"/>
        </w:rPr>
        <w:t xml:space="preserve"> </w:t>
      </w:r>
      <w:r w:rsidR="00C72761" w:rsidRPr="00D979E7">
        <w:rPr>
          <w:rFonts w:ascii="Arial" w:hAnsi="Arial" w:cs="Arial"/>
        </w:rPr>
        <w:t>using the average 2017 cost of a prescription for housing-related conditions for all children in New Zealand less than 15 years old</w:t>
      </w:r>
      <w:r w:rsidR="00BE411F" w:rsidRPr="00D979E7">
        <w:rPr>
          <w:rFonts w:ascii="Arial" w:hAnsi="Arial" w:cs="Arial"/>
        </w:rPr>
        <w:t>.</w:t>
      </w:r>
      <w:r w:rsidR="005B3D30" w:rsidRPr="00D979E7">
        <w:rPr>
          <w:rStyle w:val="FootnoteReference"/>
          <w:rFonts w:ascii="Arial" w:hAnsi="Arial" w:cs="Arial"/>
        </w:rPr>
        <w:footnoteReference w:id="8"/>
      </w:r>
      <w:r w:rsidR="00BE411F" w:rsidRPr="00D979E7">
        <w:rPr>
          <w:rFonts w:ascii="Arial" w:hAnsi="Arial" w:cs="Arial"/>
        </w:rPr>
        <w:t xml:space="preserve"> </w:t>
      </w:r>
      <w:r w:rsidR="00B24455" w:rsidRPr="00D979E7">
        <w:rPr>
          <w:rFonts w:ascii="Arial" w:hAnsi="Arial" w:cs="Arial"/>
        </w:rPr>
        <w:t>Th</w:t>
      </w:r>
      <w:r w:rsidR="001557FE" w:rsidRPr="00D979E7">
        <w:rPr>
          <w:rFonts w:ascii="Arial" w:hAnsi="Arial" w:cs="Arial"/>
        </w:rPr>
        <w:t>e</w:t>
      </w:r>
      <w:r w:rsidR="005B3D30" w:rsidRPr="00D979E7">
        <w:rPr>
          <w:rFonts w:ascii="Arial" w:hAnsi="Arial" w:cs="Arial"/>
        </w:rPr>
        <w:t xml:space="preserve"> </w:t>
      </w:r>
      <w:r w:rsidR="00B24455" w:rsidRPr="00D979E7">
        <w:rPr>
          <w:rFonts w:ascii="Arial" w:hAnsi="Arial" w:cs="Arial"/>
        </w:rPr>
        <w:t xml:space="preserve">cost </w:t>
      </w:r>
      <w:r w:rsidR="001557FE" w:rsidRPr="00D979E7">
        <w:rPr>
          <w:rFonts w:ascii="Arial" w:hAnsi="Arial" w:cs="Arial"/>
        </w:rPr>
        <w:t>per</w:t>
      </w:r>
      <w:r w:rsidR="005B3D30" w:rsidRPr="00D979E7">
        <w:rPr>
          <w:rFonts w:ascii="Arial" w:hAnsi="Arial" w:cs="Arial"/>
        </w:rPr>
        <w:t xml:space="preserve"> </w:t>
      </w:r>
      <w:r w:rsidR="003B03CF" w:rsidRPr="00D979E7">
        <w:rPr>
          <w:rFonts w:ascii="Arial" w:hAnsi="Arial" w:cs="Arial"/>
        </w:rPr>
        <w:t xml:space="preserve">dispensing </w:t>
      </w:r>
      <w:r w:rsidR="0036687F" w:rsidRPr="00D979E7">
        <w:rPr>
          <w:rFonts w:ascii="Arial" w:hAnsi="Arial" w:cs="Arial"/>
        </w:rPr>
        <w:t>is estimated at $8.45</w:t>
      </w:r>
      <w:r w:rsidR="00C92FDD" w:rsidRPr="00D979E7">
        <w:rPr>
          <w:rFonts w:ascii="Arial" w:hAnsi="Arial" w:cs="Arial"/>
        </w:rPr>
        <w:t>, which amounts to cost</w:t>
      </w:r>
      <w:r w:rsidR="00053F60" w:rsidRPr="00D979E7">
        <w:rPr>
          <w:rFonts w:ascii="Arial" w:hAnsi="Arial" w:cs="Arial"/>
        </w:rPr>
        <w:t>s</w:t>
      </w:r>
      <w:r w:rsidR="00C92FDD" w:rsidRPr="00D979E7">
        <w:rPr>
          <w:rFonts w:ascii="Arial" w:hAnsi="Arial" w:cs="Arial"/>
        </w:rPr>
        <w:t xml:space="preserve"> </w:t>
      </w:r>
      <w:r w:rsidR="00053F60" w:rsidRPr="00D979E7">
        <w:rPr>
          <w:rFonts w:ascii="Arial" w:hAnsi="Arial" w:cs="Arial"/>
        </w:rPr>
        <w:t>averted</w:t>
      </w:r>
      <w:r w:rsidR="00C92FDD" w:rsidRPr="00D979E7">
        <w:rPr>
          <w:rFonts w:ascii="Arial" w:hAnsi="Arial" w:cs="Arial"/>
        </w:rPr>
        <w:t xml:space="preserve"> of approximately</w:t>
      </w:r>
      <w:r w:rsidR="001557FE" w:rsidRPr="00D979E7">
        <w:rPr>
          <w:rFonts w:ascii="Arial" w:hAnsi="Arial" w:cs="Arial"/>
        </w:rPr>
        <w:t xml:space="preserve"> $</w:t>
      </w:r>
      <w:r w:rsidR="0036687F" w:rsidRPr="00D979E7">
        <w:rPr>
          <w:rFonts w:ascii="Arial" w:hAnsi="Arial" w:cs="Arial"/>
        </w:rPr>
        <w:t>74,225</w:t>
      </w:r>
      <w:r w:rsidR="001557FE" w:rsidRPr="00D979E7">
        <w:rPr>
          <w:rFonts w:ascii="Arial" w:hAnsi="Arial" w:cs="Arial"/>
        </w:rPr>
        <w:t xml:space="preserve"> </w:t>
      </w:r>
      <w:r w:rsidR="00A43E1C" w:rsidRPr="00D979E7">
        <w:rPr>
          <w:rFonts w:ascii="Arial" w:hAnsi="Arial" w:cs="Arial"/>
        </w:rPr>
        <w:t>in</w:t>
      </w:r>
      <w:r w:rsidR="008E38E1" w:rsidRPr="00D979E7">
        <w:rPr>
          <w:rFonts w:ascii="Arial" w:hAnsi="Arial" w:cs="Arial"/>
        </w:rPr>
        <w:t xml:space="preserve"> the </w:t>
      </w:r>
      <w:r w:rsidR="003401C3" w:rsidRPr="00D979E7">
        <w:rPr>
          <w:rFonts w:ascii="Arial" w:hAnsi="Arial" w:cs="Arial"/>
        </w:rPr>
        <w:t>earliest</w:t>
      </w:r>
      <w:r w:rsidR="008E38E1" w:rsidRPr="00D979E7">
        <w:rPr>
          <w:rFonts w:ascii="Arial" w:hAnsi="Arial" w:cs="Arial"/>
        </w:rPr>
        <w:t xml:space="preserve"> year post-intervention</w:t>
      </w:r>
      <w:r w:rsidR="00B24455" w:rsidRPr="00D979E7">
        <w:rPr>
          <w:rFonts w:ascii="Arial" w:hAnsi="Arial" w:cs="Arial"/>
        </w:rPr>
        <w:t xml:space="preserve">.  </w:t>
      </w:r>
    </w:p>
    <w:p w14:paraId="4A97A335" w14:textId="438D077F" w:rsidR="00B850D2" w:rsidRPr="00D979E7" w:rsidRDefault="00CB4B50" w:rsidP="00271FB7">
      <w:pPr>
        <w:spacing w:before="120" w:after="120" w:line="240" w:lineRule="auto"/>
        <w:rPr>
          <w:rFonts w:ascii="Arial" w:hAnsi="Arial" w:cs="Arial"/>
        </w:rPr>
      </w:pPr>
      <w:r w:rsidRPr="00D979E7">
        <w:rPr>
          <w:rFonts w:ascii="Arial" w:hAnsi="Arial" w:cs="Arial"/>
        </w:rPr>
        <w:t>Given that the costs of the program</w:t>
      </w:r>
      <w:r w:rsidR="00271FB7" w:rsidRPr="00D979E7">
        <w:rPr>
          <w:rFonts w:ascii="Arial" w:hAnsi="Arial" w:cs="Arial"/>
        </w:rPr>
        <w:t>me</w:t>
      </w:r>
      <w:r w:rsidRPr="00D979E7">
        <w:rPr>
          <w:rFonts w:ascii="Arial" w:hAnsi="Arial" w:cs="Arial"/>
        </w:rPr>
        <w:t xml:space="preserve"> span multiple years, the costs averted by the program</w:t>
      </w:r>
      <w:r w:rsidR="00E117B6" w:rsidRPr="00D979E7">
        <w:rPr>
          <w:rFonts w:ascii="Arial" w:hAnsi="Arial" w:cs="Arial"/>
        </w:rPr>
        <w:t>me</w:t>
      </w:r>
      <w:r w:rsidRPr="00D979E7">
        <w:rPr>
          <w:rFonts w:ascii="Arial" w:hAnsi="Arial" w:cs="Arial"/>
        </w:rPr>
        <w:t xml:space="preserve"> have been estimated beyond the </w:t>
      </w:r>
      <w:r w:rsidR="003401C3" w:rsidRPr="00D979E7">
        <w:rPr>
          <w:rFonts w:ascii="Arial" w:hAnsi="Arial" w:cs="Arial"/>
        </w:rPr>
        <w:t>earliest</w:t>
      </w:r>
      <w:r w:rsidRPr="00D979E7">
        <w:rPr>
          <w:rFonts w:ascii="Arial" w:hAnsi="Arial" w:cs="Arial"/>
        </w:rPr>
        <w:t xml:space="preserve"> year post-intervention</w:t>
      </w:r>
      <w:r w:rsidR="008250E9" w:rsidRPr="00D979E7">
        <w:rPr>
          <w:rFonts w:ascii="Arial" w:hAnsi="Arial" w:cs="Arial"/>
        </w:rPr>
        <w:t xml:space="preserve"> for </w:t>
      </w:r>
      <w:r w:rsidR="008250E9" w:rsidRPr="00D979E7">
        <w:rPr>
          <w:rFonts w:ascii="Arial" w:hAnsi="Arial" w:cs="Arial"/>
        </w:rPr>
        <w:lastRenderedPageBreak/>
        <w:t>comparability</w:t>
      </w:r>
      <w:r w:rsidRPr="00D979E7">
        <w:rPr>
          <w:rFonts w:ascii="Arial" w:hAnsi="Arial" w:cs="Arial"/>
        </w:rPr>
        <w:t xml:space="preserve">. </w:t>
      </w:r>
      <w:r w:rsidR="00957793" w:rsidRPr="00D979E7">
        <w:rPr>
          <w:rFonts w:ascii="Arial" w:hAnsi="Arial" w:cs="Arial"/>
        </w:rPr>
        <w:t>I</w:t>
      </w:r>
      <w:r w:rsidR="00DA480E" w:rsidRPr="00D979E7">
        <w:rPr>
          <w:rFonts w:ascii="Arial" w:hAnsi="Arial" w:cs="Arial"/>
        </w:rPr>
        <w:t>t is expected that the programme will continue to yield benefits</w:t>
      </w:r>
      <w:r w:rsidR="008250E9" w:rsidRPr="00D979E7">
        <w:rPr>
          <w:rFonts w:ascii="Arial" w:hAnsi="Arial" w:cs="Arial"/>
        </w:rPr>
        <w:t xml:space="preserve"> for several years</w:t>
      </w:r>
      <w:r w:rsidR="00DA480E" w:rsidRPr="00D979E7">
        <w:rPr>
          <w:rFonts w:ascii="Arial" w:hAnsi="Arial" w:cs="Arial"/>
        </w:rPr>
        <w:t xml:space="preserve"> after the invention has been provided.  I</w:t>
      </w:r>
      <w:r w:rsidRPr="00D979E7">
        <w:rPr>
          <w:rFonts w:ascii="Arial" w:hAnsi="Arial" w:cs="Arial"/>
        </w:rPr>
        <w:t xml:space="preserve">t is assumed that </w:t>
      </w:r>
      <w:r w:rsidR="00B850D2" w:rsidRPr="00D979E7">
        <w:rPr>
          <w:rFonts w:ascii="Arial" w:hAnsi="Arial" w:cs="Arial"/>
        </w:rPr>
        <w:t>the</w:t>
      </w:r>
      <w:r w:rsidRPr="00D979E7">
        <w:rPr>
          <w:rFonts w:ascii="Arial" w:hAnsi="Arial" w:cs="Arial"/>
        </w:rPr>
        <w:t xml:space="preserve"> programme is </w:t>
      </w:r>
      <w:r w:rsidR="00DA480E" w:rsidRPr="00D979E7">
        <w:rPr>
          <w:rFonts w:ascii="Arial" w:hAnsi="Arial" w:cs="Arial"/>
        </w:rPr>
        <w:t xml:space="preserve">as </w:t>
      </w:r>
      <w:r w:rsidR="00B850D2" w:rsidRPr="00D979E7">
        <w:rPr>
          <w:rFonts w:ascii="Arial" w:hAnsi="Arial" w:cs="Arial"/>
        </w:rPr>
        <w:t>effectiv</w:t>
      </w:r>
      <w:r w:rsidRPr="00D979E7">
        <w:rPr>
          <w:rFonts w:ascii="Arial" w:hAnsi="Arial" w:cs="Arial"/>
        </w:rPr>
        <w:t>e</w:t>
      </w:r>
      <w:r w:rsidR="00DA480E" w:rsidRPr="00D979E7">
        <w:rPr>
          <w:rFonts w:ascii="Arial" w:hAnsi="Arial" w:cs="Arial"/>
        </w:rPr>
        <w:t xml:space="preserve"> in future years (years 2 and 3 post-intervention) as it was in</w:t>
      </w:r>
      <w:r w:rsidRPr="00D979E7">
        <w:rPr>
          <w:rFonts w:ascii="Arial" w:hAnsi="Arial" w:cs="Arial"/>
        </w:rPr>
        <w:t xml:space="preserve"> the </w:t>
      </w:r>
      <w:r w:rsidR="003401C3" w:rsidRPr="00D979E7">
        <w:rPr>
          <w:rFonts w:ascii="Arial" w:hAnsi="Arial" w:cs="Arial"/>
        </w:rPr>
        <w:t>earliest</w:t>
      </w:r>
      <w:r w:rsidRPr="00D979E7">
        <w:rPr>
          <w:rFonts w:ascii="Arial" w:hAnsi="Arial" w:cs="Arial"/>
        </w:rPr>
        <w:t xml:space="preserve"> year post-intervention</w:t>
      </w:r>
      <w:r w:rsidR="008250E9" w:rsidRPr="00D979E7">
        <w:rPr>
          <w:rFonts w:ascii="Arial" w:hAnsi="Arial" w:cs="Arial"/>
        </w:rPr>
        <w:t xml:space="preserve">, though Appendix </w:t>
      </w:r>
      <w:r w:rsidR="003A113F" w:rsidRPr="00D979E7">
        <w:rPr>
          <w:rFonts w:ascii="Arial" w:hAnsi="Arial" w:cs="Arial"/>
        </w:rPr>
        <w:t xml:space="preserve">E </w:t>
      </w:r>
      <w:r w:rsidR="008250E9" w:rsidRPr="00D979E7">
        <w:rPr>
          <w:rFonts w:ascii="Arial" w:hAnsi="Arial" w:cs="Arial"/>
        </w:rPr>
        <w:t>provides alternative analyses using different assumptions about the continued effectiveness of the programme</w:t>
      </w:r>
      <w:r w:rsidRPr="00D979E7">
        <w:rPr>
          <w:rFonts w:ascii="Arial" w:hAnsi="Arial" w:cs="Arial"/>
        </w:rPr>
        <w:t>.</w:t>
      </w:r>
      <w:r w:rsidR="00B850D2" w:rsidRPr="00D979E7">
        <w:rPr>
          <w:rFonts w:ascii="Arial" w:hAnsi="Arial" w:cs="Arial"/>
        </w:rPr>
        <w:t xml:space="preserve"> </w:t>
      </w:r>
      <w:r w:rsidRPr="00D979E7">
        <w:rPr>
          <w:rFonts w:ascii="Arial" w:hAnsi="Arial" w:cs="Arial"/>
        </w:rPr>
        <w:t xml:space="preserve">The costs averted in years 2 and 3 post-intervention are </w:t>
      </w:r>
      <w:r w:rsidR="00B850D2" w:rsidRPr="00D979E7">
        <w:rPr>
          <w:rFonts w:ascii="Arial" w:hAnsi="Arial" w:cs="Arial"/>
        </w:rPr>
        <w:t>discount</w:t>
      </w:r>
      <w:r w:rsidRPr="00D979E7">
        <w:rPr>
          <w:rFonts w:ascii="Arial" w:hAnsi="Arial" w:cs="Arial"/>
        </w:rPr>
        <w:t>ed</w:t>
      </w:r>
      <w:r w:rsidR="00B850D2" w:rsidRPr="00D979E7">
        <w:rPr>
          <w:rFonts w:ascii="Arial" w:hAnsi="Arial" w:cs="Arial"/>
        </w:rPr>
        <w:t xml:space="preserve"> using a rate of 6 percent as recommended by Treasury</w:t>
      </w:r>
      <w:r w:rsidR="00B850D2" w:rsidRPr="00D979E7">
        <w:rPr>
          <w:rStyle w:val="FootnoteReference"/>
          <w:rFonts w:ascii="Arial" w:hAnsi="Arial" w:cs="Arial"/>
        </w:rPr>
        <w:footnoteReference w:id="9"/>
      </w:r>
      <w:r w:rsidR="00841F82" w:rsidRPr="00D979E7">
        <w:rPr>
          <w:rFonts w:ascii="Arial" w:hAnsi="Arial" w:cs="Arial"/>
        </w:rPr>
        <w:t xml:space="preserve"> and are shown in </w:t>
      </w:r>
      <w:r w:rsidR="00F82373" w:rsidRPr="00D979E7">
        <w:rPr>
          <w:rFonts w:ascii="Arial" w:hAnsi="Arial" w:cs="Arial"/>
        </w:rPr>
        <w:t xml:space="preserve">Table 7.  </w:t>
      </w:r>
    </w:p>
    <w:p w14:paraId="402862CF" w14:textId="2E356B16" w:rsidR="006F6994" w:rsidRPr="00D979E7" w:rsidRDefault="006F6994" w:rsidP="00271FB7">
      <w:pPr>
        <w:spacing w:before="120" w:after="120" w:line="240" w:lineRule="auto"/>
        <w:rPr>
          <w:rFonts w:ascii="Arial" w:hAnsi="Arial" w:cs="Arial"/>
        </w:rPr>
      </w:pPr>
      <w:r w:rsidRPr="00D979E7">
        <w:rPr>
          <w:rFonts w:ascii="Arial" w:hAnsi="Arial" w:cs="Arial"/>
          <w:b/>
        </w:rPr>
        <w:t>Table 7:</w:t>
      </w:r>
      <w:r w:rsidRPr="00D979E7">
        <w:rPr>
          <w:rFonts w:ascii="Arial" w:hAnsi="Arial" w:cs="Arial"/>
        </w:rPr>
        <w:t xml:space="preserve">  Health Care Costs Averted by the Healthy Homes Initiative</w:t>
      </w:r>
    </w:p>
    <w:tbl>
      <w:tblPr>
        <w:tblW w:w="8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960"/>
        <w:gridCol w:w="960"/>
        <w:gridCol w:w="1358"/>
        <w:gridCol w:w="1107"/>
        <w:gridCol w:w="1107"/>
        <w:gridCol w:w="1218"/>
      </w:tblGrid>
      <w:tr w:rsidR="00AF40D7" w:rsidRPr="00D979E7" w14:paraId="3A195468" w14:textId="77777777" w:rsidTr="00AF40D7">
        <w:trPr>
          <w:trHeight w:val="615"/>
        </w:trPr>
        <w:tc>
          <w:tcPr>
            <w:tcW w:w="1920" w:type="dxa"/>
            <w:vMerge w:val="restart"/>
            <w:shd w:val="clear" w:color="auto" w:fill="auto"/>
            <w:vAlign w:val="bottom"/>
          </w:tcPr>
          <w:p w14:paraId="73C01298" w14:textId="28908AE2" w:rsidR="00AF40D7" w:rsidRPr="00D979E7" w:rsidRDefault="00AF40D7" w:rsidP="002320B1">
            <w:pPr>
              <w:spacing w:line="240" w:lineRule="auto"/>
              <w:rPr>
                <w:rFonts w:ascii="Arial" w:eastAsia="Times New Roman" w:hAnsi="Arial" w:cs="Arial"/>
                <w:b/>
                <w:bCs/>
                <w:color w:val="000000"/>
                <w:sz w:val="20"/>
                <w:lang w:eastAsia="en-NZ"/>
              </w:rPr>
            </w:pPr>
            <w:r w:rsidRPr="00D979E7">
              <w:rPr>
                <w:rFonts w:ascii="Arial" w:eastAsia="Times New Roman" w:hAnsi="Arial" w:cs="Arial"/>
                <w:b/>
                <w:bCs/>
                <w:color w:val="000000"/>
                <w:sz w:val="20"/>
                <w:lang w:eastAsia="en-NZ"/>
              </w:rPr>
              <w:t>Types of Costs Averted</w:t>
            </w:r>
          </w:p>
        </w:tc>
        <w:tc>
          <w:tcPr>
            <w:tcW w:w="960" w:type="dxa"/>
            <w:vMerge w:val="restart"/>
            <w:shd w:val="clear" w:color="auto" w:fill="auto"/>
            <w:noWrap/>
            <w:vAlign w:val="bottom"/>
          </w:tcPr>
          <w:p w14:paraId="2A963E51" w14:textId="7E41686D" w:rsidR="00AF40D7" w:rsidRPr="00D979E7" w:rsidRDefault="00AF40D7" w:rsidP="002320B1">
            <w:pPr>
              <w:spacing w:line="240" w:lineRule="auto"/>
              <w:jc w:val="center"/>
              <w:rPr>
                <w:rFonts w:ascii="Arial" w:eastAsia="Times New Roman" w:hAnsi="Arial" w:cs="Arial"/>
                <w:b/>
                <w:bCs/>
                <w:color w:val="000000"/>
                <w:sz w:val="20"/>
                <w:lang w:eastAsia="en-NZ"/>
              </w:rPr>
            </w:pPr>
            <w:r w:rsidRPr="00D979E7">
              <w:rPr>
                <w:rFonts w:ascii="Arial" w:eastAsia="Times New Roman" w:hAnsi="Arial" w:cs="Arial"/>
                <w:b/>
                <w:bCs/>
                <w:color w:val="000000"/>
                <w:sz w:val="20"/>
                <w:lang w:eastAsia="en-NZ"/>
              </w:rPr>
              <w:t>#</w:t>
            </w:r>
          </w:p>
        </w:tc>
        <w:tc>
          <w:tcPr>
            <w:tcW w:w="960" w:type="dxa"/>
            <w:vMerge w:val="restart"/>
            <w:shd w:val="clear" w:color="auto" w:fill="auto"/>
            <w:vAlign w:val="bottom"/>
          </w:tcPr>
          <w:p w14:paraId="60E16EE2" w14:textId="2090E281" w:rsidR="00AF40D7" w:rsidRPr="00D979E7" w:rsidRDefault="00AF40D7" w:rsidP="002320B1">
            <w:pPr>
              <w:spacing w:line="240" w:lineRule="auto"/>
              <w:jc w:val="center"/>
              <w:rPr>
                <w:rFonts w:ascii="Arial" w:eastAsia="Times New Roman" w:hAnsi="Arial" w:cs="Arial"/>
                <w:b/>
                <w:bCs/>
                <w:color w:val="000000"/>
                <w:sz w:val="20"/>
                <w:lang w:eastAsia="en-NZ"/>
              </w:rPr>
            </w:pPr>
            <w:r w:rsidRPr="00D979E7">
              <w:rPr>
                <w:rFonts w:ascii="Arial" w:eastAsia="Times New Roman" w:hAnsi="Arial" w:cs="Arial"/>
                <w:b/>
                <w:bCs/>
                <w:color w:val="000000"/>
                <w:sz w:val="20"/>
                <w:lang w:eastAsia="en-NZ"/>
              </w:rPr>
              <w:t>Cost per Unit</w:t>
            </w:r>
          </w:p>
        </w:tc>
        <w:tc>
          <w:tcPr>
            <w:tcW w:w="4790" w:type="dxa"/>
            <w:gridSpan w:val="4"/>
            <w:shd w:val="clear" w:color="auto" w:fill="auto"/>
            <w:noWrap/>
            <w:vAlign w:val="bottom"/>
          </w:tcPr>
          <w:p w14:paraId="53DC00D9" w14:textId="13F5744C" w:rsidR="00AF40D7" w:rsidRPr="00D979E7" w:rsidRDefault="00AF40D7" w:rsidP="002320B1">
            <w:pPr>
              <w:spacing w:line="240" w:lineRule="auto"/>
              <w:jc w:val="center"/>
              <w:rPr>
                <w:rFonts w:ascii="Arial" w:hAnsi="Arial" w:cs="Arial"/>
                <w:b/>
                <w:bCs/>
                <w:color w:val="000000"/>
                <w:sz w:val="20"/>
              </w:rPr>
            </w:pPr>
            <w:r w:rsidRPr="00D979E7">
              <w:rPr>
                <w:rFonts w:ascii="Arial" w:eastAsia="Times New Roman" w:hAnsi="Arial" w:cs="Arial"/>
                <w:b/>
                <w:bCs/>
                <w:color w:val="000000"/>
                <w:sz w:val="20"/>
                <w:lang w:eastAsia="en-NZ"/>
              </w:rPr>
              <w:t>Years Post-Intervention</w:t>
            </w:r>
          </w:p>
        </w:tc>
      </w:tr>
      <w:tr w:rsidR="00AF40D7" w:rsidRPr="00D979E7" w14:paraId="6EB2547E" w14:textId="2E0C79B9" w:rsidTr="00AF40D7">
        <w:trPr>
          <w:trHeight w:val="615"/>
        </w:trPr>
        <w:tc>
          <w:tcPr>
            <w:tcW w:w="1920" w:type="dxa"/>
            <w:vMerge/>
            <w:shd w:val="clear" w:color="auto" w:fill="auto"/>
            <w:vAlign w:val="bottom"/>
            <w:hideMark/>
          </w:tcPr>
          <w:p w14:paraId="495E1543" w14:textId="506AB437" w:rsidR="00AF40D7" w:rsidRPr="00D979E7" w:rsidRDefault="00AF40D7" w:rsidP="002320B1">
            <w:pPr>
              <w:spacing w:line="240" w:lineRule="auto"/>
              <w:rPr>
                <w:rFonts w:ascii="Arial" w:eastAsia="Times New Roman" w:hAnsi="Arial" w:cs="Arial"/>
                <w:b/>
                <w:bCs/>
                <w:color w:val="000000"/>
                <w:sz w:val="20"/>
                <w:lang w:eastAsia="en-NZ"/>
              </w:rPr>
            </w:pPr>
          </w:p>
        </w:tc>
        <w:tc>
          <w:tcPr>
            <w:tcW w:w="960" w:type="dxa"/>
            <w:vMerge/>
            <w:shd w:val="clear" w:color="auto" w:fill="auto"/>
            <w:noWrap/>
            <w:vAlign w:val="bottom"/>
            <w:hideMark/>
          </w:tcPr>
          <w:p w14:paraId="39627CF0" w14:textId="2FE1A345" w:rsidR="00AF40D7" w:rsidRPr="00D979E7" w:rsidRDefault="00AF40D7" w:rsidP="002320B1">
            <w:pPr>
              <w:spacing w:line="240" w:lineRule="auto"/>
              <w:jc w:val="center"/>
              <w:rPr>
                <w:rFonts w:ascii="Arial" w:eastAsia="Times New Roman" w:hAnsi="Arial" w:cs="Arial"/>
                <w:b/>
                <w:bCs/>
                <w:color w:val="000000"/>
                <w:sz w:val="20"/>
                <w:lang w:eastAsia="en-NZ"/>
              </w:rPr>
            </w:pPr>
          </w:p>
        </w:tc>
        <w:tc>
          <w:tcPr>
            <w:tcW w:w="960" w:type="dxa"/>
            <w:vMerge/>
            <w:shd w:val="clear" w:color="auto" w:fill="auto"/>
            <w:vAlign w:val="bottom"/>
            <w:hideMark/>
          </w:tcPr>
          <w:p w14:paraId="125FD59D" w14:textId="59A4C11A" w:rsidR="00AF40D7" w:rsidRPr="00D979E7" w:rsidRDefault="00AF40D7" w:rsidP="002320B1">
            <w:pPr>
              <w:spacing w:line="240" w:lineRule="auto"/>
              <w:jc w:val="center"/>
              <w:rPr>
                <w:rFonts w:ascii="Arial" w:eastAsia="Times New Roman" w:hAnsi="Arial" w:cs="Arial"/>
                <w:b/>
                <w:bCs/>
                <w:color w:val="000000"/>
                <w:sz w:val="20"/>
                <w:lang w:eastAsia="en-NZ"/>
              </w:rPr>
            </w:pPr>
          </w:p>
        </w:tc>
        <w:tc>
          <w:tcPr>
            <w:tcW w:w="1358" w:type="dxa"/>
            <w:shd w:val="clear" w:color="auto" w:fill="auto"/>
            <w:noWrap/>
            <w:vAlign w:val="bottom"/>
            <w:hideMark/>
          </w:tcPr>
          <w:p w14:paraId="01929406" w14:textId="77777777" w:rsidR="00AF40D7" w:rsidRPr="00D979E7" w:rsidRDefault="00AF40D7" w:rsidP="002320B1">
            <w:pPr>
              <w:spacing w:line="240" w:lineRule="auto"/>
              <w:jc w:val="center"/>
              <w:rPr>
                <w:rFonts w:ascii="Arial" w:eastAsia="Times New Roman" w:hAnsi="Arial" w:cs="Arial"/>
                <w:b/>
                <w:bCs/>
                <w:color w:val="000000"/>
                <w:sz w:val="20"/>
                <w:lang w:eastAsia="en-NZ"/>
              </w:rPr>
            </w:pPr>
            <w:r w:rsidRPr="00D979E7">
              <w:rPr>
                <w:rFonts w:ascii="Arial" w:eastAsia="Times New Roman" w:hAnsi="Arial" w:cs="Arial"/>
                <w:b/>
                <w:bCs/>
                <w:color w:val="000000"/>
                <w:sz w:val="20"/>
                <w:lang w:eastAsia="en-NZ"/>
              </w:rPr>
              <w:t>Year 1</w:t>
            </w:r>
          </w:p>
        </w:tc>
        <w:tc>
          <w:tcPr>
            <w:tcW w:w="1107" w:type="dxa"/>
            <w:shd w:val="clear" w:color="auto" w:fill="auto"/>
            <w:noWrap/>
            <w:vAlign w:val="bottom"/>
            <w:hideMark/>
          </w:tcPr>
          <w:p w14:paraId="6F454F31" w14:textId="77777777" w:rsidR="00AF40D7" w:rsidRPr="00D979E7" w:rsidRDefault="00AF40D7" w:rsidP="002320B1">
            <w:pPr>
              <w:spacing w:line="240" w:lineRule="auto"/>
              <w:jc w:val="center"/>
              <w:rPr>
                <w:rFonts w:ascii="Arial" w:eastAsia="Times New Roman" w:hAnsi="Arial" w:cs="Arial"/>
                <w:b/>
                <w:bCs/>
                <w:i/>
                <w:iCs/>
                <w:color w:val="000000"/>
                <w:sz w:val="20"/>
                <w:lang w:eastAsia="en-NZ"/>
              </w:rPr>
            </w:pPr>
            <w:r w:rsidRPr="00D979E7">
              <w:rPr>
                <w:rFonts w:ascii="Arial" w:eastAsia="Times New Roman" w:hAnsi="Arial" w:cs="Arial"/>
                <w:b/>
                <w:bCs/>
                <w:i/>
                <w:iCs/>
                <w:color w:val="000000"/>
                <w:sz w:val="20"/>
                <w:lang w:eastAsia="en-NZ"/>
              </w:rPr>
              <w:t>Year 2</w:t>
            </w:r>
          </w:p>
        </w:tc>
        <w:tc>
          <w:tcPr>
            <w:tcW w:w="1107" w:type="dxa"/>
            <w:shd w:val="clear" w:color="auto" w:fill="auto"/>
            <w:noWrap/>
            <w:vAlign w:val="bottom"/>
            <w:hideMark/>
          </w:tcPr>
          <w:p w14:paraId="50FC00AA" w14:textId="77777777" w:rsidR="00AF40D7" w:rsidRPr="00D979E7" w:rsidRDefault="00AF40D7" w:rsidP="002320B1">
            <w:pPr>
              <w:spacing w:line="240" w:lineRule="auto"/>
              <w:jc w:val="center"/>
              <w:rPr>
                <w:rFonts w:ascii="Arial" w:eastAsia="Times New Roman" w:hAnsi="Arial" w:cs="Arial"/>
                <w:b/>
                <w:bCs/>
                <w:i/>
                <w:iCs/>
                <w:color w:val="000000"/>
                <w:sz w:val="20"/>
                <w:lang w:eastAsia="en-NZ"/>
              </w:rPr>
            </w:pPr>
            <w:r w:rsidRPr="00D979E7">
              <w:rPr>
                <w:rFonts w:ascii="Arial" w:eastAsia="Times New Roman" w:hAnsi="Arial" w:cs="Arial"/>
                <w:b/>
                <w:bCs/>
                <w:i/>
                <w:iCs/>
                <w:color w:val="000000"/>
                <w:sz w:val="20"/>
                <w:lang w:eastAsia="en-NZ"/>
              </w:rPr>
              <w:t>Year 3</w:t>
            </w:r>
          </w:p>
        </w:tc>
        <w:tc>
          <w:tcPr>
            <w:tcW w:w="1218" w:type="dxa"/>
            <w:vAlign w:val="bottom"/>
          </w:tcPr>
          <w:p w14:paraId="2FA682E1" w14:textId="12E4356F" w:rsidR="00AF40D7" w:rsidRPr="00D979E7" w:rsidRDefault="00AF40D7" w:rsidP="002320B1">
            <w:pPr>
              <w:spacing w:line="240" w:lineRule="auto"/>
              <w:jc w:val="center"/>
              <w:rPr>
                <w:rFonts w:ascii="Arial" w:eastAsia="Times New Roman" w:hAnsi="Arial" w:cs="Arial"/>
                <w:b/>
                <w:bCs/>
                <w:i/>
                <w:iCs/>
                <w:color w:val="000000"/>
                <w:sz w:val="20"/>
                <w:lang w:eastAsia="en-NZ"/>
              </w:rPr>
            </w:pPr>
            <w:r w:rsidRPr="00D979E7">
              <w:rPr>
                <w:rFonts w:ascii="Arial" w:hAnsi="Arial" w:cs="Arial"/>
                <w:b/>
                <w:bCs/>
                <w:color w:val="000000"/>
                <w:sz w:val="20"/>
              </w:rPr>
              <w:t>Total Years 1-3</w:t>
            </w:r>
          </w:p>
        </w:tc>
      </w:tr>
      <w:tr w:rsidR="00FF7257" w:rsidRPr="00D979E7" w14:paraId="5FFE9841" w14:textId="21F7AEF5" w:rsidTr="00AF40D7">
        <w:trPr>
          <w:trHeight w:val="315"/>
        </w:trPr>
        <w:tc>
          <w:tcPr>
            <w:tcW w:w="1920" w:type="dxa"/>
            <w:shd w:val="clear" w:color="auto" w:fill="auto"/>
            <w:noWrap/>
            <w:vAlign w:val="bottom"/>
            <w:hideMark/>
          </w:tcPr>
          <w:p w14:paraId="4A6064B4" w14:textId="77777777" w:rsidR="00FF7257" w:rsidRPr="00D979E7" w:rsidRDefault="00FF7257" w:rsidP="002320B1">
            <w:pPr>
              <w:spacing w:line="240" w:lineRule="auto"/>
              <w:rPr>
                <w:rFonts w:ascii="Arial" w:eastAsia="Times New Roman" w:hAnsi="Arial" w:cs="Arial"/>
                <w:color w:val="000000"/>
                <w:sz w:val="20"/>
                <w:lang w:eastAsia="en-NZ"/>
              </w:rPr>
            </w:pPr>
            <w:r w:rsidRPr="00D979E7">
              <w:rPr>
                <w:rFonts w:ascii="Arial" w:eastAsia="Times New Roman" w:hAnsi="Arial" w:cs="Arial"/>
                <w:color w:val="000000"/>
                <w:sz w:val="20"/>
                <w:lang w:eastAsia="en-NZ"/>
              </w:rPr>
              <w:t>Hospitalisations</w:t>
            </w:r>
          </w:p>
        </w:tc>
        <w:tc>
          <w:tcPr>
            <w:tcW w:w="960" w:type="dxa"/>
            <w:shd w:val="clear" w:color="auto" w:fill="auto"/>
            <w:noWrap/>
            <w:vAlign w:val="bottom"/>
          </w:tcPr>
          <w:p w14:paraId="6F041BD7" w14:textId="10BC4AA2" w:rsidR="00FF7257" w:rsidRPr="00D979E7" w:rsidRDefault="00FF7257" w:rsidP="002320B1">
            <w:pPr>
              <w:spacing w:line="240" w:lineRule="auto"/>
              <w:jc w:val="right"/>
              <w:rPr>
                <w:rFonts w:ascii="Arial" w:eastAsia="Times New Roman" w:hAnsi="Arial" w:cs="Arial"/>
                <w:color w:val="000000"/>
                <w:sz w:val="20"/>
                <w:lang w:eastAsia="en-NZ"/>
              </w:rPr>
            </w:pPr>
            <w:r w:rsidRPr="00D979E7">
              <w:rPr>
                <w:rFonts w:ascii="Arial" w:hAnsi="Arial" w:cs="Arial"/>
                <w:color w:val="000000"/>
                <w:sz w:val="20"/>
              </w:rPr>
              <w:t>1,533</w:t>
            </w:r>
          </w:p>
        </w:tc>
        <w:tc>
          <w:tcPr>
            <w:tcW w:w="960" w:type="dxa"/>
            <w:shd w:val="clear" w:color="auto" w:fill="auto"/>
            <w:noWrap/>
            <w:vAlign w:val="bottom"/>
          </w:tcPr>
          <w:p w14:paraId="0BACE7C4" w14:textId="2287F3C8" w:rsidR="00FF7257" w:rsidRPr="00D979E7" w:rsidRDefault="00FF7257" w:rsidP="002320B1">
            <w:pPr>
              <w:spacing w:line="240" w:lineRule="auto"/>
              <w:jc w:val="right"/>
              <w:rPr>
                <w:rFonts w:ascii="Arial" w:eastAsia="Times New Roman" w:hAnsi="Arial" w:cs="Arial"/>
                <w:color w:val="000000"/>
                <w:sz w:val="20"/>
                <w:lang w:eastAsia="en-NZ"/>
              </w:rPr>
            </w:pPr>
            <w:r w:rsidRPr="00D979E7">
              <w:rPr>
                <w:rFonts w:ascii="Arial" w:hAnsi="Arial" w:cs="Arial"/>
                <w:color w:val="000000"/>
                <w:sz w:val="20"/>
              </w:rPr>
              <w:t>4,090</w:t>
            </w:r>
          </w:p>
        </w:tc>
        <w:tc>
          <w:tcPr>
            <w:tcW w:w="1358" w:type="dxa"/>
            <w:shd w:val="clear" w:color="auto" w:fill="auto"/>
            <w:noWrap/>
            <w:vAlign w:val="bottom"/>
          </w:tcPr>
          <w:p w14:paraId="034409F9" w14:textId="54A00BB5" w:rsidR="00FF7257" w:rsidRPr="00D979E7" w:rsidRDefault="00FF7257" w:rsidP="002320B1">
            <w:pPr>
              <w:spacing w:line="240" w:lineRule="auto"/>
              <w:jc w:val="right"/>
              <w:rPr>
                <w:rFonts w:ascii="Arial" w:eastAsia="Times New Roman" w:hAnsi="Arial" w:cs="Arial"/>
                <w:color w:val="000000"/>
                <w:sz w:val="20"/>
                <w:lang w:eastAsia="en-NZ"/>
              </w:rPr>
            </w:pPr>
            <w:r w:rsidRPr="00D979E7">
              <w:rPr>
                <w:rFonts w:ascii="Arial" w:hAnsi="Arial" w:cs="Arial"/>
                <w:color w:val="000000"/>
                <w:sz w:val="20"/>
              </w:rPr>
              <w:t>6,269,579</w:t>
            </w:r>
          </w:p>
        </w:tc>
        <w:tc>
          <w:tcPr>
            <w:tcW w:w="1107" w:type="dxa"/>
            <w:shd w:val="clear" w:color="auto" w:fill="auto"/>
            <w:noWrap/>
            <w:vAlign w:val="bottom"/>
          </w:tcPr>
          <w:p w14:paraId="643F38AC" w14:textId="1AEE069B" w:rsidR="00FF7257" w:rsidRPr="00D979E7" w:rsidRDefault="00FF7257" w:rsidP="002320B1">
            <w:pPr>
              <w:spacing w:line="240" w:lineRule="auto"/>
              <w:jc w:val="right"/>
              <w:rPr>
                <w:rFonts w:ascii="Arial" w:eastAsia="Times New Roman" w:hAnsi="Arial" w:cs="Arial"/>
                <w:i/>
                <w:iCs/>
                <w:color w:val="000000"/>
                <w:sz w:val="20"/>
                <w:lang w:eastAsia="en-NZ"/>
              </w:rPr>
            </w:pPr>
            <w:r w:rsidRPr="00D979E7">
              <w:rPr>
                <w:rFonts w:ascii="Arial" w:hAnsi="Arial" w:cs="Arial"/>
                <w:i/>
                <w:iCs/>
                <w:color w:val="000000"/>
                <w:sz w:val="20"/>
              </w:rPr>
              <w:t>5,914,697</w:t>
            </w:r>
          </w:p>
        </w:tc>
        <w:tc>
          <w:tcPr>
            <w:tcW w:w="1107" w:type="dxa"/>
            <w:shd w:val="clear" w:color="auto" w:fill="auto"/>
            <w:noWrap/>
            <w:vAlign w:val="bottom"/>
          </w:tcPr>
          <w:p w14:paraId="686E068F" w14:textId="388038B5" w:rsidR="00FF7257" w:rsidRPr="00D979E7" w:rsidRDefault="00FF7257" w:rsidP="002320B1">
            <w:pPr>
              <w:spacing w:line="240" w:lineRule="auto"/>
              <w:jc w:val="right"/>
              <w:rPr>
                <w:rFonts w:ascii="Arial" w:eastAsia="Times New Roman" w:hAnsi="Arial" w:cs="Arial"/>
                <w:i/>
                <w:iCs/>
                <w:color w:val="000000"/>
                <w:sz w:val="20"/>
                <w:lang w:eastAsia="en-NZ"/>
              </w:rPr>
            </w:pPr>
            <w:r w:rsidRPr="00D979E7">
              <w:rPr>
                <w:rFonts w:ascii="Arial" w:hAnsi="Arial" w:cs="Arial"/>
                <w:i/>
                <w:iCs/>
                <w:color w:val="000000"/>
                <w:sz w:val="20"/>
              </w:rPr>
              <w:t>5,579,903</w:t>
            </w:r>
          </w:p>
        </w:tc>
        <w:tc>
          <w:tcPr>
            <w:tcW w:w="1218" w:type="dxa"/>
            <w:vAlign w:val="bottom"/>
          </w:tcPr>
          <w:p w14:paraId="35FFAFD7" w14:textId="2A0C4DC6" w:rsidR="00FF7257" w:rsidRPr="00D979E7" w:rsidRDefault="00FF7257" w:rsidP="002320B1">
            <w:pPr>
              <w:spacing w:line="240" w:lineRule="auto"/>
              <w:jc w:val="right"/>
              <w:rPr>
                <w:rFonts w:ascii="Arial" w:eastAsia="Times New Roman" w:hAnsi="Arial" w:cs="Arial"/>
                <w:i/>
                <w:iCs/>
                <w:color w:val="000000"/>
                <w:sz w:val="20"/>
                <w:lang w:eastAsia="en-NZ"/>
              </w:rPr>
            </w:pPr>
            <w:r w:rsidRPr="00D979E7">
              <w:rPr>
                <w:rFonts w:ascii="Arial" w:hAnsi="Arial" w:cs="Arial"/>
                <w:color w:val="000000"/>
                <w:sz w:val="20"/>
              </w:rPr>
              <w:t>17,764,178</w:t>
            </w:r>
          </w:p>
        </w:tc>
      </w:tr>
      <w:tr w:rsidR="00FF7257" w:rsidRPr="00D979E7" w14:paraId="4D9A4F7E" w14:textId="2D09A5D8" w:rsidTr="00AF40D7">
        <w:trPr>
          <w:trHeight w:val="600"/>
        </w:trPr>
        <w:tc>
          <w:tcPr>
            <w:tcW w:w="1920" w:type="dxa"/>
            <w:shd w:val="clear" w:color="auto" w:fill="auto"/>
            <w:vAlign w:val="bottom"/>
            <w:hideMark/>
          </w:tcPr>
          <w:p w14:paraId="4523DC91" w14:textId="77777777" w:rsidR="00FF7257" w:rsidRPr="00D979E7" w:rsidRDefault="00FF7257" w:rsidP="002320B1">
            <w:pPr>
              <w:spacing w:line="240" w:lineRule="auto"/>
              <w:rPr>
                <w:rFonts w:ascii="Arial" w:eastAsia="Times New Roman" w:hAnsi="Arial" w:cs="Arial"/>
                <w:color w:val="000000"/>
                <w:sz w:val="20"/>
                <w:lang w:eastAsia="en-NZ"/>
              </w:rPr>
            </w:pPr>
            <w:r w:rsidRPr="00D979E7">
              <w:rPr>
                <w:rFonts w:ascii="Arial" w:eastAsia="Times New Roman" w:hAnsi="Arial" w:cs="Arial"/>
                <w:color w:val="000000"/>
                <w:sz w:val="20"/>
                <w:lang w:eastAsia="en-NZ"/>
              </w:rPr>
              <w:t>Hospitalisations -- Reduced Severity</w:t>
            </w:r>
          </w:p>
        </w:tc>
        <w:tc>
          <w:tcPr>
            <w:tcW w:w="960" w:type="dxa"/>
            <w:shd w:val="clear" w:color="auto" w:fill="auto"/>
            <w:noWrap/>
            <w:vAlign w:val="bottom"/>
          </w:tcPr>
          <w:p w14:paraId="0BD1702F" w14:textId="35106C7D" w:rsidR="00FF7257" w:rsidRPr="00D979E7" w:rsidRDefault="00FF7257" w:rsidP="002320B1">
            <w:pPr>
              <w:spacing w:line="240" w:lineRule="auto"/>
              <w:jc w:val="right"/>
              <w:rPr>
                <w:rFonts w:ascii="Arial" w:eastAsia="Times New Roman" w:hAnsi="Arial" w:cs="Arial"/>
                <w:color w:val="000000"/>
                <w:sz w:val="20"/>
                <w:lang w:eastAsia="en-NZ"/>
              </w:rPr>
            </w:pPr>
            <w:r w:rsidRPr="00D979E7">
              <w:rPr>
                <w:rFonts w:ascii="Arial" w:hAnsi="Arial" w:cs="Arial"/>
                <w:color w:val="000000"/>
                <w:sz w:val="20"/>
              </w:rPr>
              <w:t>6,101</w:t>
            </w:r>
          </w:p>
        </w:tc>
        <w:tc>
          <w:tcPr>
            <w:tcW w:w="960" w:type="dxa"/>
            <w:shd w:val="clear" w:color="auto" w:fill="auto"/>
            <w:noWrap/>
            <w:vAlign w:val="bottom"/>
          </w:tcPr>
          <w:p w14:paraId="7CC975D1" w14:textId="521EBCCB" w:rsidR="00FF7257" w:rsidRPr="00D979E7" w:rsidRDefault="00FF7257" w:rsidP="002320B1">
            <w:pPr>
              <w:spacing w:line="240" w:lineRule="auto"/>
              <w:jc w:val="right"/>
              <w:rPr>
                <w:rFonts w:ascii="Arial" w:eastAsia="Times New Roman" w:hAnsi="Arial" w:cs="Arial"/>
                <w:color w:val="000000"/>
                <w:sz w:val="20"/>
                <w:lang w:eastAsia="en-NZ"/>
              </w:rPr>
            </w:pPr>
            <w:r w:rsidRPr="00D979E7">
              <w:rPr>
                <w:rFonts w:ascii="Arial" w:hAnsi="Arial" w:cs="Arial"/>
                <w:color w:val="000000"/>
                <w:sz w:val="20"/>
              </w:rPr>
              <w:t>541</w:t>
            </w:r>
          </w:p>
        </w:tc>
        <w:tc>
          <w:tcPr>
            <w:tcW w:w="1358" w:type="dxa"/>
            <w:shd w:val="clear" w:color="auto" w:fill="auto"/>
            <w:noWrap/>
            <w:vAlign w:val="bottom"/>
          </w:tcPr>
          <w:p w14:paraId="57B9BC59" w14:textId="003D993B" w:rsidR="00FF7257" w:rsidRPr="00D979E7" w:rsidRDefault="00FF7257" w:rsidP="002320B1">
            <w:pPr>
              <w:spacing w:line="240" w:lineRule="auto"/>
              <w:jc w:val="right"/>
              <w:rPr>
                <w:rFonts w:ascii="Arial" w:eastAsia="Times New Roman" w:hAnsi="Arial" w:cs="Arial"/>
                <w:color w:val="000000"/>
                <w:sz w:val="20"/>
                <w:lang w:eastAsia="en-NZ"/>
              </w:rPr>
            </w:pPr>
            <w:r w:rsidRPr="00D979E7">
              <w:rPr>
                <w:rFonts w:ascii="Arial" w:hAnsi="Arial" w:cs="Arial"/>
                <w:color w:val="000000"/>
                <w:sz w:val="20"/>
              </w:rPr>
              <w:t>3,302,906</w:t>
            </w:r>
          </w:p>
        </w:tc>
        <w:tc>
          <w:tcPr>
            <w:tcW w:w="1107" w:type="dxa"/>
            <w:shd w:val="clear" w:color="auto" w:fill="auto"/>
            <w:noWrap/>
            <w:vAlign w:val="bottom"/>
          </w:tcPr>
          <w:p w14:paraId="0B7B920E" w14:textId="562C2BF9" w:rsidR="00FF7257" w:rsidRPr="00D979E7" w:rsidRDefault="00FF7257" w:rsidP="002320B1">
            <w:pPr>
              <w:spacing w:line="240" w:lineRule="auto"/>
              <w:jc w:val="right"/>
              <w:rPr>
                <w:rFonts w:ascii="Arial" w:eastAsia="Times New Roman" w:hAnsi="Arial" w:cs="Arial"/>
                <w:i/>
                <w:iCs/>
                <w:color w:val="000000"/>
                <w:sz w:val="20"/>
                <w:lang w:eastAsia="en-NZ"/>
              </w:rPr>
            </w:pPr>
            <w:r w:rsidRPr="00D979E7">
              <w:rPr>
                <w:rFonts w:ascii="Arial" w:hAnsi="Arial" w:cs="Arial"/>
                <w:i/>
                <w:iCs/>
                <w:color w:val="000000"/>
                <w:sz w:val="20"/>
              </w:rPr>
              <w:t>3,115,949</w:t>
            </w:r>
          </w:p>
        </w:tc>
        <w:tc>
          <w:tcPr>
            <w:tcW w:w="1107" w:type="dxa"/>
            <w:shd w:val="clear" w:color="auto" w:fill="auto"/>
            <w:noWrap/>
            <w:vAlign w:val="bottom"/>
          </w:tcPr>
          <w:p w14:paraId="1E9ECFE5" w14:textId="779FCA7E" w:rsidR="00FF7257" w:rsidRPr="00D979E7" w:rsidRDefault="00FF7257" w:rsidP="002320B1">
            <w:pPr>
              <w:spacing w:line="240" w:lineRule="auto"/>
              <w:jc w:val="right"/>
              <w:rPr>
                <w:rFonts w:ascii="Arial" w:eastAsia="Times New Roman" w:hAnsi="Arial" w:cs="Arial"/>
                <w:i/>
                <w:iCs/>
                <w:color w:val="000000"/>
                <w:sz w:val="20"/>
                <w:lang w:eastAsia="en-NZ"/>
              </w:rPr>
            </w:pPr>
            <w:r w:rsidRPr="00D979E7">
              <w:rPr>
                <w:rFonts w:ascii="Arial" w:hAnsi="Arial" w:cs="Arial"/>
                <w:i/>
                <w:iCs/>
                <w:color w:val="000000"/>
                <w:sz w:val="20"/>
              </w:rPr>
              <w:t>2,939,575</w:t>
            </w:r>
          </w:p>
        </w:tc>
        <w:tc>
          <w:tcPr>
            <w:tcW w:w="1218" w:type="dxa"/>
            <w:vAlign w:val="bottom"/>
          </w:tcPr>
          <w:p w14:paraId="662C2808" w14:textId="48284699" w:rsidR="00FF7257" w:rsidRPr="00D979E7" w:rsidRDefault="00FF7257" w:rsidP="002320B1">
            <w:pPr>
              <w:spacing w:line="240" w:lineRule="auto"/>
              <w:jc w:val="right"/>
              <w:rPr>
                <w:rFonts w:ascii="Arial" w:eastAsia="Times New Roman" w:hAnsi="Arial" w:cs="Arial"/>
                <w:i/>
                <w:iCs/>
                <w:color w:val="000000"/>
                <w:sz w:val="20"/>
                <w:lang w:eastAsia="en-NZ"/>
              </w:rPr>
            </w:pPr>
            <w:r w:rsidRPr="00D979E7">
              <w:rPr>
                <w:rFonts w:ascii="Arial" w:hAnsi="Arial" w:cs="Arial"/>
                <w:color w:val="000000"/>
                <w:sz w:val="20"/>
              </w:rPr>
              <w:t>9,358,431</w:t>
            </w:r>
          </w:p>
        </w:tc>
      </w:tr>
      <w:tr w:rsidR="00FF7257" w:rsidRPr="00D979E7" w14:paraId="4B55F163" w14:textId="4708AF92" w:rsidTr="00AF40D7">
        <w:trPr>
          <w:trHeight w:val="300"/>
        </w:trPr>
        <w:tc>
          <w:tcPr>
            <w:tcW w:w="1920" w:type="dxa"/>
            <w:shd w:val="clear" w:color="auto" w:fill="auto"/>
            <w:noWrap/>
            <w:vAlign w:val="bottom"/>
            <w:hideMark/>
          </w:tcPr>
          <w:p w14:paraId="33E883AB" w14:textId="77777777" w:rsidR="00FF7257" w:rsidRPr="00D979E7" w:rsidRDefault="00FF7257" w:rsidP="002320B1">
            <w:pPr>
              <w:spacing w:line="240" w:lineRule="auto"/>
              <w:rPr>
                <w:rFonts w:ascii="Arial" w:eastAsia="Times New Roman" w:hAnsi="Arial" w:cs="Arial"/>
                <w:color w:val="000000"/>
                <w:sz w:val="20"/>
                <w:lang w:eastAsia="en-NZ"/>
              </w:rPr>
            </w:pPr>
            <w:r w:rsidRPr="00D979E7">
              <w:rPr>
                <w:rFonts w:ascii="Arial" w:eastAsia="Times New Roman" w:hAnsi="Arial" w:cs="Arial"/>
                <w:color w:val="000000"/>
                <w:sz w:val="20"/>
                <w:lang w:eastAsia="en-NZ"/>
              </w:rPr>
              <w:t>GP Visits</w:t>
            </w:r>
          </w:p>
        </w:tc>
        <w:tc>
          <w:tcPr>
            <w:tcW w:w="960" w:type="dxa"/>
            <w:shd w:val="clear" w:color="auto" w:fill="auto"/>
            <w:noWrap/>
            <w:vAlign w:val="bottom"/>
          </w:tcPr>
          <w:p w14:paraId="7A100A5D" w14:textId="4C293B1D" w:rsidR="00FF7257" w:rsidRPr="00D979E7" w:rsidRDefault="00FF7257" w:rsidP="002320B1">
            <w:pPr>
              <w:spacing w:line="240" w:lineRule="auto"/>
              <w:jc w:val="right"/>
              <w:rPr>
                <w:rFonts w:ascii="Arial" w:eastAsia="Times New Roman" w:hAnsi="Arial" w:cs="Arial"/>
                <w:color w:val="000000"/>
                <w:sz w:val="20"/>
                <w:lang w:eastAsia="en-NZ"/>
              </w:rPr>
            </w:pPr>
            <w:r w:rsidRPr="00D979E7">
              <w:rPr>
                <w:rFonts w:ascii="Arial" w:hAnsi="Arial" w:cs="Arial"/>
                <w:color w:val="000000"/>
                <w:sz w:val="20"/>
              </w:rPr>
              <w:t>9,443</w:t>
            </w:r>
          </w:p>
        </w:tc>
        <w:tc>
          <w:tcPr>
            <w:tcW w:w="960" w:type="dxa"/>
            <w:shd w:val="clear" w:color="auto" w:fill="auto"/>
            <w:noWrap/>
            <w:vAlign w:val="bottom"/>
          </w:tcPr>
          <w:p w14:paraId="546A8A6B" w14:textId="64CDB813" w:rsidR="00FF7257" w:rsidRPr="00D979E7" w:rsidRDefault="00FF7257" w:rsidP="002320B1">
            <w:pPr>
              <w:spacing w:line="240" w:lineRule="auto"/>
              <w:jc w:val="right"/>
              <w:rPr>
                <w:rFonts w:ascii="Arial" w:eastAsia="Times New Roman" w:hAnsi="Arial" w:cs="Arial"/>
                <w:color w:val="000000"/>
                <w:sz w:val="20"/>
                <w:lang w:eastAsia="en-NZ"/>
              </w:rPr>
            </w:pPr>
            <w:r w:rsidRPr="00D979E7">
              <w:rPr>
                <w:rFonts w:ascii="Arial" w:hAnsi="Arial" w:cs="Arial"/>
                <w:color w:val="000000"/>
                <w:sz w:val="20"/>
              </w:rPr>
              <w:t>80</w:t>
            </w:r>
          </w:p>
        </w:tc>
        <w:tc>
          <w:tcPr>
            <w:tcW w:w="1358" w:type="dxa"/>
            <w:shd w:val="clear" w:color="auto" w:fill="auto"/>
            <w:noWrap/>
            <w:vAlign w:val="bottom"/>
          </w:tcPr>
          <w:p w14:paraId="164D15CC" w14:textId="431BAA5C" w:rsidR="00FF7257" w:rsidRPr="00D979E7" w:rsidRDefault="00FF7257" w:rsidP="002320B1">
            <w:pPr>
              <w:spacing w:line="240" w:lineRule="auto"/>
              <w:jc w:val="right"/>
              <w:rPr>
                <w:rFonts w:ascii="Arial" w:eastAsia="Times New Roman" w:hAnsi="Arial" w:cs="Arial"/>
                <w:color w:val="000000"/>
                <w:sz w:val="20"/>
                <w:lang w:eastAsia="en-NZ"/>
              </w:rPr>
            </w:pPr>
            <w:r w:rsidRPr="00D979E7">
              <w:rPr>
                <w:rFonts w:ascii="Arial" w:hAnsi="Arial" w:cs="Arial"/>
                <w:color w:val="000000"/>
                <w:sz w:val="20"/>
              </w:rPr>
              <w:t>755,440</w:t>
            </w:r>
          </w:p>
        </w:tc>
        <w:tc>
          <w:tcPr>
            <w:tcW w:w="1107" w:type="dxa"/>
            <w:shd w:val="clear" w:color="auto" w:fill="auto"/>
            <w:noWrap/>
            <w:vAlign w:val="bottom"/>
          </w:tcPr>
          <w:p w14:paraId="2649EE4E" w14:textId="1763761F" w:rsidR="00FF7257" w:rsidRPr="00D979E7" w:rsidRDefault="00FF7257" w:rsidP="002320B1">
            <w:pPr>
              <w:spacing w:line="240" w:lineRule="auto"/>
              <w:jc w:val="right"/>
              <w:rPr>
                <w:rFonts w:ascii="Arial" w:eastAsia="Times New Roman" w:hAnsi="Arial" w:cs="Arial"/>
                <w:i/>
                <w:iCs/>
                <w:color w:val="000000"/>
                <w:sz w:val="20"/>
                <w:lang w:eastAsia="en-NZ"/>
              </w:rPr>
            </w:pPr>
            <w:r w:rsidRPr="00D979E7">
              <w:rPr>
                <w:rFonts w:ascii="Arial" w:hAnsi="Arial" w:cs="Arial"/>
                <w:i/>
                <w:iCs/>
                <w:color w:val="000000"/>
                <w:sz w:val="20"/>
              </w:rPr>
              <w:t>712,679</w:t>
            </w:r>
          </w:p>
        </w:tc>
        <w:tc>
          <w:tcPr>
            <w:tcW w:w="1107" w:type="dxa"/>
            <w:shd w:val="clear" w:color="auto" w:fill="auto"/>
            <w:noWrap/>
            <w:vAlign w:val="bottom"/>
          </w:tcPr>
          <w:p w14:paraId="7D47ECD7" w14:textId="5DB74FE9" w:rsidR="00FF7257" w:rsidRPr="00D979E7" w:rsidRDefault="00FF7257" w:rsidP="002320B1">
            <w:pPr>
              <w:spacing w:line="240" w:lineRule="auto"/>
              <w:jc w:val="right"/>
              <w:rPr>
                <w:rFonts w:ascii="Arial" w:eastAsia="Times New Roman" w:hAnsi="Arial" w:cs="Arial"/>
                <w:i/>
                <w:iCs/>
                <w:color w:val="000000"/>
                <w:sz w:val="20"/>
                <w:lang w:eastAsia="en-NZ"/>
              </w:rPr>
            </w:pPr>
            <w:r w:rsidRPr="00D979E7">
              <w:rPr>
                <w:rFonts w:ascii="Arial" w:hAnsi="Arial" w:cs="Arial"/>
                <w:i/>
                <w:iCs/>
                <w:color w:val="000000"/>
                <w:sz w:val="20"/>
              </w:rPr>
              <w:t>672,339</w:t>
            </w:r>
          </w:p>
        </w:tc>
        <w:tc>
          <w:tcPr>
            <w:tcW w:w="1218" w:type="dxa"/>
            <w:vAlign w:val="bottom"/>
          </w:tcPr>
          <w:p w14:paraId="334446C3" w14:textId="5C8196E1" w:rsidR="00FF7257" w:rsidRPr="00D979E7" w:rsidRDefault="00FF7257" w:rsidP="002320B1">
            <w:pPr>
              <w:spacing w:line="240" w:lineRule="auto"/>
              <w:jc w:val="right"/>
              <w:rPr>
                <w:rFonts w:ascii="Arial" w:eastAsia="Times New Roman" w:hAnsi="Arial" w:cs="Arial"/>
                <w:i/>
                <w:iCs/>
                <w:color w:val="000000"/>
                <w:sz w:val="20"/>
                <w:lang w:eastAsia="en-NZ"/>
              </w:rPr>
            </w:pPr>
            <w:r w:rsidRPr="00D979E7">
              <w:rPr>
                <w:rFonts w:ascii="Arial" w:hAnsi="Arial" w:cs="Arial"/>
                <w:color w:val="000000"/>
                <w:sz w:val="20"/>
              </w:rPr>
              <w:t>2,140,458</w:t>
            </w:r>
          </w:p>
        </w:tc>
      </w:tr>
      <w:tr w:rsidR="00FF7257" w:rsidRPr="00D979E7" w14:paraId="70CA9116" w14:textId="5D5B6EB2" w:rsidTr="00AF40D7">
        <w:trPr>
          <w:trHeight w:val="315"/>
        </w:trPr>
        <w:tc>
          <w:tcPr>
            <w:tcW w:w="1920" w:type="dxa"/>
            <w:shd w:val="clear" w:color="auto" w:fill="auto"/>
            <w:noWrap/>
            <w:vAlign w:val="bottom"/>
            <w:hideMark/>
          </w:tcPr>
          <w:p w14:paraId="3B1A316A" w14:textId="460AB8CD" w:rsidR="00FF7257" w:rsidRPr="00D979E7" w:rsidRDefault="003B03CF" w:rsidP="002320B1">
            <w:pPr>
              <w:spacing w:line="240" w:lineRule="auto"/>
              <w:rPr>
                <w:rFonts w:ascii="Arial" w:eastAsia="Times New Roman" w:hAnsi="Arial" w:cs="Arial"/>
                <w:color w:val="000000"/>
                <w:sz w:val="20"/>
                <w:lang w:eastAsia="en-NZ"/>
              </w:rPr>
            </w:pPr>
            <w:r w:rsidRPr="00D979E7">
              <w:rPr>
                <w:rFonts w:ascii="Arial" w:eastAsia="Times New Roman" w:hAnsi="Arial" w:cs="Arial"/>
                <w:color w:val="000000"/>
                <w:sz w:val="20"/>
                <w:lang w:eastAsia="en-NZ"/>
              </w:rPr>
              <w:t xml:space="preserve">Pharmaceutical </w:t>
            </w:r>
            <w:proofErr w:type="spellStart"/>
            <w:r w:rsidR="00FF7257" w:rsidRPr="00D979E7">
              <w:rPr>
                <w:rFonts w:ascii="Arial" w:eastAsia="Times New Roman" w:hAnsi="Arial" w:cs="Arial"/>
                <w:color w:val="000000"/>
                <w:sz w:val="20"/>
                <w:lang w:eastAsia="en-NZ"/>
              </w:rPr>
              <w:t>Dispensings</w:t>
            </w:r>
            <w:proofErr w:type="spellEnd"/>
          </w:p>
        </w:tc>
        <w:tc>
          <w:tcPr>
            <w:tcW w:w="960" w:type="dxa"/>
            <w:shd w:val="clear" w:color="auto" w:fill="auto"/>
            <w:noWrap/>
            <w:vAlign w:val="bottom"/>
          </w:tcPr>
          <w:p w14:paraId="76E6902A" w14:textId="72860B87" w:rsidR="00FF7257" w:rsidRPr="00D979E7" w:rsidRDefault="00FF7257" w:rsidP="002320B1">
            <w:pPr>
              <w:spacing w:line="240" w:lineRule="auto"/>
              <w:jc w:val="right"/>
              <w:rPr>
                <w:rFonts w:ascii="Arial" w:eastAsia="Times New Roman" w:hAnsi="Arial" w:cs="Arial"/>
                <w:color w:val="000000"/>
                <w:sz w:val="20"/>
                <w:lang w:eastAsia="en-NZ"/>
              </w:rPr>
            </w:pPr>
            <w:r w:rsidRPr="00D979E7">
              <w:rPr>
                <w:rFonts w:ascii="Arial" w:hAnsi="Arial" w:cs="Arial"/>
                <w:color w:val="000000"/>
                <w:sz w:val="20"/>
              </w:rPr>
              <w:t>8,784</w:t>
            </w:r>
          </w:p>
        </w:tc>
        <w:tc>
          <w:tcPr>
            <w:tcW w:w="960" w:type="dxa"/>
            <w:shd w:val="clear" w:color="auto" w:fill="auto"/>
            <w:noWrap/>
            <w:vAlign w:val="bottom"/>
          </w:tcPr>
          <w:p w14:paraId="0635813D" w14:textId="1B75396C" w:rsidR="00FF7257" w:rsidRPr="00D979E7" w:rsidRDefault="00FF7257" w:rsidP="002320B1">
            <w:pPr>
              <w:spacing w:line="240" w:lineRule="auto"/>
              <w:jc w:val="right"/>
              <w:rPr>
                <w:rFonts w:ascii="Arial" w:eastAsia="Times New Roman" w:hAnsi="Arial" w:cs="Arial"/>
                <w:color w:val="000000"/>
                <w:sz w:val="20"/>
                <w:lang w:eastAsia="en-NZ"/>
              </w:rPr>
            </w:pPr>
            <w:r w:rsidRPr="00D979E7">
              <w:rPr>
                <w:rFonts w:ascii="Arial" w:hAnsi="Arial" w:cs="Arial"/>
                <w:color w:val="000000"/>
                <w:sz w:val="20"/>
              </w:rPr>
              <w:t>8</w:t>
            </w:r>
          </w:p>
        </w:tc>
        <w:tc>
          <w:tcPr>
            <w:tcW w:w="1358" w:type="dxa"/>
            <w:shd w:val="clear" w:color="auto" w:fill="auto"/>
            <w:noWrap/>
            <w:vAlign w:val="bottom"/>
          </w:tcPr>
          <w:p w14:paraId="4DABBCE1" w14:textId="7B28B5FA" w:rsidR="00FF7257" w:rsidRPr="00D979E7" w:rsidRDefault="00FF7257" w:rsidP="002320B1">
            <w:pPr>
              <w:spacing w:line="240" w:lineRule="auto"/>
              <w:jc w:val="right"/>
              <w:rPr>
                <w:rFonts w:ascii="Arial" w:eastAsia="Times New Roman" w:hAnsi="Arial" w:cs="Arial"/>
                <w:color w:val="000000"/>
                <w:sz w:val="20"/>
                <w:lang w:eastAsia="en-NZ"/>
              </w:rPr>
            </w:pPr>
            <w:r w:rsidRPr="00D979E7">
              <w:rPr>
                <w:rFonts w:ascii="Arial" w:hAnsi="Arial" w:cs="Arial"/>
                <w:color w:val="000000"/>
                <w:sz w:val="20"/>
              </w:rPr>
              <w:t>74,225</w:t>
            </w:r>
          </w:p>
        </w:tc>
        <w:tc>
          <w:tcPr>
            <w:tcW w:w="1107" w:type="dxa"/>
            <w:shd w:val="clear" w:color="auto" w:fill="auto"/>
            <w:noWrap/>
            <w:vAlign w:val="bottom"/>
          </w:tcPr>
          <w:p w14:paraId="5079D4A9" w14:textId="63DA3E8A" w:rsidR="00FF7257" w:rsidRPr="00D979E7" w:rsidRDefault="00FF7257" w:rsidP="002320B1">
            <w:pPr>
              <w:spacing w:line="240" w:lineRule="auto"/>
              <w:jc w:val="right"/>
              <w:rPr>
                <w:rFonts w:ascii="Arial" w:eastAsia="Times New Roman" w:hAnsi="Arial" w:cs="Arial"/>
                <w:i/>
                <w:iCs/>
                <w:color w:val="000000"/>
                <w:sz w:val="20"/>
                <w:lang w:eastAsia="en-NZ"/>
              </w:rPr>
            </w:pPr>
            <w:r w:rsidRPr="00D979E7">
              <w:rPr>
                <w:rFonts w:ascii="Arial" w:hAnsi="Arial" w:cs="Arial"/>
                <w:i/>
                <w:iCs/>
                <w:color w:val="000000"/>
                <w:sz w:val="20"/>
              </w:rPr>
              <w:t>70,023</w:t>
            </w:r>
          </w:p>
        </w:tc>
        <w:tc>
          <w:tcPr>
            <w:tcW w:w="1107" w:type="dxa"/>
            <w:shd w:val="clear" w:color="auto" w:fill="auto"/>
            <w:noWrap/>
            <w:vAlign w:val="bottom"/>
          </w:tcPr>
          <w:p w14:paraId="6CE037D3" w14:textId="469E24C0" w:rsidR="00FF7257" w:rsidRPr="00D979E7" w:rsidRDefault="00FF7257" w:rsidP="002320B1">
            <w:pPr>
              <w:spacing w:line="240" w:lineRule="auto"/>
              <w:jc w:val="right"/>
              <w:rPr>
                <w:rFonts w:ascii="Arial" w:eastAsia="Times New Roman" w:hAnsi="Arial" w:cs="Arial"/>
                <w:i/>
                <w:iCs/>
                <w:color w:val="000000"/>
                <w:sz w:val="20"/>
                <w:lang w:eastAsia="en-NZ"/>
              </w:rPr>
            </w:pPr>
            <w:r w:rsidRPr="00D979E7">
              <w:rPr>
                <w:rFonts w:ascii="Arial" w:hAnsi="Arial" w:cs="Arial"/>
                <w:i/>
                <w:iCs/>
                <w:color w:val="000000"/>
                <w:sz w:val="20"/>
              </w:rPr>
              <w:t>66,060</w:t>
            </w:r>
          </w:p>
        </w:tc>
        <w:tc>
          <w:tcPr>
            <w:tcW w:w="1218" w:type="dxa"/>
            <w:vAlign w:val="bottom"/>
          </w:tcPr>
          <w:p w14:paraId="17B283EC" w14:textId="3BF4B3D0" w:rsidR="00FF7257" w:rsidRPr="00D979E7" w:rsidRDefault="00FF7257" w:rsidP="002320B1">
            <w:pPr>
              <w:spacing w:line="240" w:lineRule="auto"/>
              <w:jc w:val="right"/>
              <w:rPr>
                <w:rFonts w:ascii="Arial" w:eastAsia="Times New Roman" w:hAnsi="Arial" w:cs="Arial"/>
                <w:i/>
                <w:iCs/>
                <w:color w:val="000000"/>
                <w:sz w:val="20"/>
                <w:lang w:eastAsia="en-NZ"/>
              </w:rPr>
            </w:pPr>
            <w:r w:rsidRPr="00D979E7">
              <w:rPr>
                <w:rFonts w:ascii="Arial" w:hAnsi="Arial" w:cs="Arial"/>
                <w:color w:val="000000"/>
                <w:sz w:val="20"/>
              </w:rPr>
              <w:t>210,308</w:t>
            </w:r>
          </w:p>
        </w:tc>
      </w:tr>
      <w:tr w:rsidR="00FF7257" w:rsidRPr="00D979E7" w14:paraId="10EF1C96" w14:textId="367BC5BC" w:rsidTr="00AF40D7">
        <w:trPr>
          <w:trHeight w:val="300"/>
        </w:trPr>
        <w:tc>
          <w:tcPr>
            <w:tcW w:w="1920" w:type="dxa"/>
            <w:shd w:val="clear" w:color="auto" w:fill="D0CECE" w:themeFill="background2" w:themeFillShade="E6"/>
            <w:noWrap/>
            <w:vAlign w:val="bottom"/>
            <w:hideMark/>
          </w:tcPr>
          <w:p w14:paraId="262CE783" w14:textId="77777777" w:rsidR="00FF7257" w:rsidRPr="00D979E7" w:rsidRDefault="00FF7257" w:rsidP="002320B1">
            <w:pPr>
              <w:spacing w:line="240" w:lineRule="auto"/>
              <w:rPr>
                <w:rFonts w:ascii="Arial" w:eastAsia="Times New Roman" w:hAnsi="Arial" w:cs="Arial"/>
                <w:color w:val="000000"/>
                <w:sz w:val="20"/>
                <w:lang w:eastAsia="en-NZ"/>
              </w:rPr>
            </w:pPr>
            <w:r w:rsidRPr="00D979E7">
              <w:rPr>
                <w:rFonts w:ascii="Arial" w:eastAsia="Times New Roman" w:hAnsi="Arial" w:cs="Arial"/>
                <w:color w:val="000000"/>
                <w:sz w:val="20"/>
                <w:lang w:eastAsia="en-NZ"/>
              </w:rPr>
              <w:t>Total</w:t>
            </w:r>
          </w:p>
        </w:tc>
        <w:tc>
          <w:tcPr>
            <w:tcW w:w="960" w:type="dxa"/>
            <w:shd w:val="clear" w:color="auto" w:fill="D0CECE" w:themeFill="background2" w:themeFillShade="E6"/>
            <w:noWrap/>
            <w:vAlign w:val="bottom"/>
          </w:tcPr>
          <w:p w14:paraId="23BA636F" w14:textId="35A31924" w:rsidR="00FF7257" w:rsidRPr="00D979E7" w:rsidRDefault="00FF7257" w:rsidP="002320B1">
            <w:pPr>
              <w:spacing w:line="240" w:lineRule="auto"/>
              <w:rPr>
                <w:rFonts w:ascii="Arial" w:eastAsia="Times New Roman" w:hAnsi="Arial" w:cs="Arial"/>
                <w:color w:val="000000"/>
                <w:sz w:val="20"/>
                <w:lang w:eastAsia="en-NZ"/>
              </w:rPr>
            </w:pPr>
            <w:r w:rsidRPr="00D979E7">
              <w:rPr>
                <w:rFonts w:ascii="Arial" w:hAnsi="Arial" w:cs="Arial"/>
                <w:color w:val="000000"/>
                <w:sz w:val="20"/>
              </w:rPr>
              <w:t> </w:t>
            </w:r>
          </w:p>
        </w:tc>
        <w:tc>
          <w:tcPr>
            <w:tcW w:w="960" w:type="dxa"/>
            <w:shd w:val="clear" w:color="auto" w:fill="D0CECE" w:themeFill="background2" w:themeFillShade="E6"/>
            <w:noWrap/>
            <w:vAlign w:val="bottom"/>
          </w:tcPr>
          <w:p w14:paraId="408560CE" w14:textId="4D08471B" w:rsidR="00FF7257" w:rsidRPr="00D979E7" w:rsidRDefault="00FF7257" w:rsidP="002320B1">
            <w:pPr>
              <w:spacing w:line="240" w:lineRule="auto"/>
              <w:rPr>
                <w:rFonts w:ascii="Arial" w:eastAsia="Times New Roman" w:hAnsi="Arial" w:cs="Arial"/>
                <w:color w:val="000000"/>
                <w:sz w:val="20"/>
                <w:lang w:eastAsia="en-NZ"/>
              </w:rPr>
            </w:pPr>
            <w:r w:rsidRPr="00D979E7">
              <w:rPr>
                <w:rFonts w:ascii="Arial" w:hAnsi="Arial" w:cs="Arial"/>
                <w:color w:val="000000"/>
                <w:sz w:val="20"/>
              </w:rPr>
              <w:t> </w:t>
            </w:r>
          </w:p>
        </w:tc>
        <w:tc>
          <w:tcPr>
            <w:tcW w:w="1358" w:type="dxa"/>
            <w:shd w:val="clear" w:color="auto" w:fill="D0CECE" w:themeFill="background2" w:themeFillShade="E6"/>
            <w:noWrap/>
            <w:vAlign w:val="bottom"/>
          </w:tcPr>
          <w:p w14:paraId="57DFA39D" w14:textId="519CA628" w:rsidR="00FF7257" w:rsidRPr="00D979E7" w:rsidRDefault="00FF7257" w:rsidP="002320B1">
            <w:pPr>
              <w:spacing w:line="240" w:lineRule="auto"/>
              <w:jc w:val="right"/>
              <w:rPr>
                <w:rFonts w:ascii="Arial" w:eastAsia="Times New Roman" w:hAnsi="Arial" w:cs="Arial"/>
                <w:color w:val="000000"/>
                <w:sz w:val="20"/>
                <w:lang w:eastAsia="en-NZ"/>
              </w:rPr>
            </w:pPr>
            <w:r w:rsidRPr="00D979E7">
              <w:rPr>
                <w:rFonts w:ascii="Arial" w:hAnsi="Arial" w:cs="Arial"/>
                <w:color w:val="000000"/>
                <w:sz w:val="20"/>
              </w:rPr>
              <w:t>10,402,150</w:t>
            </w:r>
          </w:p>
        </w:tc>
        <w:tc>
          <w:tcPr>
            <w:tcW w:w="1107" w:type="dxa"/>
            <w:shd w:val="clear" w:color="auto" w:fill="D0CECE" w:themeFill="background2" w:themeFillShade="E6"/>
            <w:noWrap/>
            <w:vAlign w:val="bottom"/>
          </w:tcPr>
          <w:p w14:paraId="3994A3A3" w14:textId="019F3416" w:rsidR="00FF7257" w:rsidRPr="00D979E7" w:rsidRDefault="00FF7257" w:rsidP="002320B1">
            <w:pPr>
              <w:spacing w:line="240" w:lineRule="auto"/>
              <w:jc w:val="right"/>
              <w:rPr>
                <w:rFonts w:ascii="Arial" w:eastAsia="Times New Roman" w:hAnsi="Arial" w:cs="Arial"/>
                <w:i/>
                <w:iCs/>
                <w:color w:val="000000"/>
                <w:sz w:val="20"/>
                <w:lang w:eastAsia="en-NZ"/>
              </w:rPr>
            </w:pPr>
            <w:r w:rsidRPr="00D979E7">
              <w:rPr>
                <w:rFonts w:ascii="Arial" w:hAnsi="Arial" w:cs="Arial"/>
                <w:i/>
                <w:iCs/>
                <w:color w:val="000000"/>
                <w:sz w:val="20"/>
              </w:rPr>
              <w:t>9,813,349</w:t>
            </w:r>
          </w:p>
        </w:tc>
        <w:tc>
          <w:tcPr>
            <w:tcW w:w="1107" w:type="dxa"/>
            <w:shd w:val="clear" w:color="auto" w:fill="D0CECE" w:themeFill="background2" w:themeFillShade="E6"/>
            <w:noWrap/>
            <w:vAlign w:val="bottom"/>
          </w:tcPr>
          <w:p w14:paraId="165689BF" w14:textId="539DE484" w:rsidR="00FF7257" w:rsidRPr="00D979E7" w:rsidRDefault="00FF7257" w:rsidP="002320B1">
            <w:pPr>
              <w:spacing w:line="240" w:lineRule="auto"/>
              <w:jc w:val="right"/>
              <w:rPr>
                <w:rFonts w:ascii="Arial" w:eastAsia="Times New Roman" w:hAnsi="Arial" w:cs="Arial"/>
                <w:i/>
                <w:iCs/>
                <w:color w:val="000000"/>
                <w:sz w:val="20"/>
                <w:lang w:eastAsia="en-NZ"/>
              </w:rPr>
            </w:pPr>
            <w:r w:rsidRPr="00D979E7">
              <w:rPr>
                <w:rFonts w:ascii="Arial" w:hAnsi="Arial" w:cs="Arial"/>
                <w:i/>
                <w:iCs/>
                <w:color w:val="000000"/>
                <w:sz w:val="20"/>
              </w:rPr>
              <w:t>9,257,876</w:t>
            </w:r>
          </w:p>
        </w:tc>
        <w:tc>
          <w:tcPr>
            <w:tcW w:w="1218" w:type="dxa"/>
            <w:shd w:val="clear" w:color="auto" w:fill="D0CECE" w:themeFill="background2" w:themeFillShade="E6"/>
            <w:vAlign w:val="bottom"/>
          </w:tcPr>
          <w:p w14:paraId="455D7E56" w14:textId="6B548274" w:rsidR="00FF7257" w:rsidRPr="00D979E7" w:rsidRDefault="00FF7257" w:rsidP="002320B1">
            <w:pPr>
              <w:spacing w:line="240" w:lineRule="auto"/>
              <w:jc w:val="right"/>
              <w:rPr>
                <w:rFonts w:ascii="Arial" w:eastAsia="Times New Roman" w:hAnsi="Arial" w:cs="Arial"/>
                <w:i/>
                <w:iCs/>
                <w:color w:val="000000"/>
                <w:sz w:val="20"/>
                <w:lang w:eastAsia="en-NZ"/>
              </w:rPr>
            </w:pPr>
            <w:r w:rsidRPr="00D979E7">
              <w:rPr>
                <w:rFonts w:ascii="Arial" w:hAnsi="Arial" w:cs="Arial"/>
                <w:color w:val="000000"/>
                <w:sz w:val="20"/>
              </w:rPr>
              <w:t>29,473,374</w:t>
            </w:r>
          </w:p>
        </w:tc>
      </w:tr>
    </w:tbl>
    <w:p w14:paraId="58C1C785" w14:textId="77777777" w:rsidR="006F6994" w:rsidRPr="00D979E7" w:rsidRDefault="006F6994" w:rsidP="00271FB7">
      <w:pPr>
        <w:spacing w:before="120" w:after="120" w:line="240" w:lineRule="auto"/>
        <w:rPr>
          <w:rFonts w:ascii="Arial" w:hAnsi="Arial" w:cs="Arial"/>
        </w:rPr>
      </w:pPr>
    </w:p>
    <w:p w14:paraId="083672BB" w14:textId="1249220A" w:rsidR="00E974C9" w:rsidRPr="00D979E7" w:rsidRDefault="00E812F4" w:rsidP="00271FB7">
      <w:pPr>
        <w:spacing w:before="120" w:after="120" w:line="240" w:lineRule="auto"/>
        <w:rPr>
          <w:rFonts w:ascii="Arial" w:hAnsi="Arial" w:cs="Arial"/>
        </w:rPr>
      </w:pPr>
      <w:r w:rsidRPr="00D979E7">
        <w:rPr>
          <w:rFonts w:ascii="Arial" w:hAnsi="Arial" w:cs="Arial"/>
        </w:rPr>
        <w:t>In total, the HHI programme is expected to avert approximatel</w:t>
      </w:r>
      <w:r w:rsidR="002B05F5" w:rsidRPr="00D979E7">
        <w:rPr>
          <w:rFonts w:ascii="Arial" w:hAnsi="Arial" w:cs="Arial"/>
        </w:rPr>
        <w:t>y $30 million in costs over</w:t>
      </w:r>
      <w:r w:rsidRPr="00D979E7">
        <w:rPr>
          <w:rFonts w:ascii="Arial" w:hAnsi="Arial" w:cs="Arial"/>
        </w:rPr>
        <w:t xml:space="preserve"> a 3-year period.</w:t>
      </w:r>
      <w:r w:rsidR="0035099B" w:rsidRPr="00D979E7">
        <w:rPr>
          <w:rFonts w:ascii="Arial" w:hAnsi="Arial" w:cs="Arial"/>
        </w:rPr>
        <w:t xml:space="preserve"> </w:t>
      </w:r>
      <w:r w:rsidR="00F932D5" w:rsidRPr="00D979E7">
        <w:rPr>
          <w:rFonts w:ascii="Arial" w:hAnsi="Arial" w:cs="Arial"/>
        </w:rPr>
        <w:t xml:space="preserve">Using the programmatic cost </w:t>
      </w:r>
      <w:r w:rsidR="003A113F" w:rsidRPr="00D979E7">
        <w:rPr>
          <w:rFonts w:ascii="Arial" w:hAnsi="Arial" w:cs="Arial"/>
        </w:rPr>
        <w:t>of</w:t>
      </w:r>
      <w:r w:rsidR="00F932D5" w:rsidRPr="00D979E7">
        <w:rPr>
          <w:rFonts w:ascii="Arial" w:hAnsi="Arial" w:cs="Arial"/>
        </w:rPr>
        <w:t xml:space="preserve"> approximately $</w:t>
      </w:r>
      <w:r w:rsidR="000B423F" w:rsidRPr="00D979E7">
        <w:rPr>
          <w:rFonts w:ascii="Arial" w:hAnsi="Arial" w:cs="Arial"/>
        </w:rPr>
        <w:t xml:space="preserve">18.5 </w:t>
      </w:r>
      <w:r w:rsidR="00F932D5" w:rsidRPr="00D979E7">
        <w:rPr>
          <w:rFonts w:ascii="Arial" w:hAnsi="Arial" w:cs="Arial"/>
        </w:rPr>
        <w:t>million, the expected return on investment would be realised in Year 2 of the program</w:t>
      </w:r>
      <w:r w:rsidR="00E117B6" w:rsidRPr="00D979E7">
        <w:rPr>
          <w:rFonts w:ascii="Arial" w:hAnsi="Arial" w:cs="Arial"/>
        </w:rPr>
        <w:t>me</w:t>
      </w:r>
      <w:r w:rsidR="00F932D5" w:rsidRPr="00D979E7">
        <w:rPr>
          <w:rFonts w:ascii="Arial" w:hAnsi="Arial" w:cs="Arial"/>
        </w:rPr>
        <w:t xml:space="preserve">. </w:t>
      </w:r>
      <w:r w:rsidR="005F60C8" w:rsidRPr="00D979E7">
        <w:rPr>
          <w:rFonts w:ascii="Arial" w:hAnsi="Arial" w:cs="Arial"/>
        </w:rPr>
        <w:t>There are a number of assumptions underlying these estimates.  Hence, robustness checks</w:t>
      </w:r>
      <w:r w:rsidR="00E721FE" w:rsidRPr="00D979E7">
        <w:rPr>
          <w:rFonts w:ascii="Arial" w:hAnsi="Arial" w:cs="Arial"/>
        </w:rPr>
        <w:t xml:space="preserve"> are provided</w:t>
      </w:r>
      <w:r w:rsidR="005F60C8" w:rsidRPr="00D979E7">
        <w:rPr>
          <w:rFonts w:ascii="Arial" w:hAnsi="Arial" w:cs="Arial"/>
        </w:rPr>
        <w:t xml:space="preserve"> in </w:t>
      </w:r>
      <w:r w:rsidR="003D322B" w:rsidRPr="00D979E7">
        <w:rPr>
          <w:rFonts w:ascii="Arial" w:hAnsi="Arial" w:cs="Arial"/>
        </w:rPr>
        <w:t>Appendix E</w:t>
      </w:r>
      <w:r w:rsidR="005F60C8" w:rsidRPr="00D979E7">
        <w:rPr>
          <w:rFonts w:ascii="Arial" w:hAnsi="Arial" w:cs="Arial"/>
        </w:rPr>
        <w:t xml:space="preserve">.  </w:t>
      </w:r>
    </w:p>
    <w:p w14:paraId="26CC67AD" w14:textId="28A8E57F" w:rsidR="00E117B6" w:rsidRPr="00D979E7" w:rsidRDefault="00645ADE" w:rsidP="007B2451">
      <w:pPr>
        <w:spacing w:before="120" w:after="120" w:line="240" w:lineRule="auto"/>
        <w:rPr>
          <w:rFonts w:ascii="Arial" w:hAnsi="Arial" w:cs="Arial"/>
        </w:rPr>
      </w:pPr>
      <w:r w:rsidRPr="00D979E7">
        <w:rPr>
          <w:rFonts w:ascii="Arial" w:hAnsi="Arial" w:cs="Arial"/>
        </w:rPr>
        <w:t xml:space="preserve">This analysis only includes the direct </w:t>
      </w:r>
      <w:r w:rsidR="00304355" w:rsidRPr="00D979E7">
        <w:rPr>
          <w:rFonts w:ascii="Arial" w:hAnsi="Arial" w:cs="Arial"/>
        </w:rPr>
        <w:t xml:space="preserve">medical costs averted for the referral child and does not include other potential benefits.  For example, </w:t>
      </w:r>
      <w:r w:rsidR="00E721FE" w:rsidRPr="00D979E7">
        <w:rPr>
          <w:rFonts w:ascii="Arial" w:hAnsi="Arial" w:cs="Arial"/>
        </w:rPr>
        <w:t>it is expected that</w:t>
      </w:r>
      <w:r w:rsidR="00304355" w:rsidRPr="00D979E7">
        <w:rPr>
          <w:rFonts w:ascii="Arial" w:hAnsi="Arial" w:cs="Arial"/>
        </w:rPr>
        <w:t xml:space="preserve"> the health gains would mean that these children are absent from school less often and that their parents are also absent from work less</w:t>
      </w:r>
      <w:r w:rsidR="004B5034" w:rsidRPr="00D979E7">
        <w:rPr>
          <w:rFonts w:ascii="Arial" w:hAnsi="Arial" w:cs="Arial"/>
        </w:rPr>
        <w:t xml:space="preserve"> often</w:t>
      </w:r>
      <w:r w:rsidR="0018527D" w:rsidRPr="00D979E7">
        <w:rPr>
          <w:rFonts w:ascii="Arial" w:hAnsi="Arial" w:cs="Arial"/>
        </w:rPr>
        <w:t xml:space="preserve">.  </w:t>
      </w:r>
      <w:r w:rsidR="004B5034" w:rsidRPr="00D979E7">
        <w:rPr>
          <w:rFonts w:ascii="Arial" w:hAnsi="Arial" w:cs="Arial"/>
        </w:rPr>
        <w:t>For example, t</w:t>
      </w:r>
      <w:r w:rsidR="00245EE6" w:rsidRPr="00D979E7">
        <w:rPr>
          <w:rFonts w:ascii="Arial" w:hAnsi="Arial" w:cs="Arial"/>
        </w:rPr>
        <w:t xml:space="preserve">he reduction in nights spent in hospital </w:t>
      </w:r>
      <w:r w:rsidR="004B5034" w:rsidRPr="00D979E7">
        <w:rPr>
          <w:rFonts w:ascii="Arial" w:hAnsi="Arial" w:cs="Arial"/>
        </w:rPr>
        <w:t>attributable to the programme</w:t>
      </w:r>
      <w:r w:rsidR="00245EE6" w:rsidRPr="00D979E7">
        <w:rPr>
          <w:rFonts w:ascii="Arial" w:hAnsi="Arial" w:cs="Arial"/>
        </w:rPr>
        <w:t xml:space="preserve"> </w:t>
      </w:r>
      <w:r w:rsidR="004B5034" w:rsidRPr="00D979E7">
        <w:rPr>
          <w:rFonts w:ascii="Arial" w:hAnsi="Arial" w:cs="Arial"/>
        </w:rPr>
        <w:t>(</w:t>
      </w:r>
      <w:r w:rsidR="00245EE6" w:rsidRPr="00D979E7">
        <w:rPr>
          <w:rFonts w:ascii="Arial" w:hAnsi="Arial" w:cs="Arial"/>
        </w:rPr>
        <w:t>approximately 7,510 due to both ho</w:t>
      </w:r>
      <w:r w:rsidR="009D0AA2" w:rsidRPr="00D979E7">
        <w:rPr>
          <w:rFonts w:ascii="Arial" w:hAnsi="Arial" w:cs="Arial"/>
        </w:rPr>
        <w:t>spitalisations prevented and</w:t>
      </w:r>
      <w:r w:rsidR="00245EE6" w:rsidRPr="00D979E7">
        <w:rPr>
          <w:rFonts w:ascii="Arial" w:hAnsi="Arial" w:cs="Arial"/>
        </w:rPr>
        <w:t xml:space="preserve"> t</w:t>
      </w:r>
      <w:r w:rsidR="00EC4AE5" w:rsidRPr="00D979E7">
        <w:rPr>
          <w:rFonts w:ascii="Arial" w:hAnsi="Arial" w:cs="Arial"/>
        </w:rPr>
        <w:t>he reduction in severity</w:t>
      </w:r>
      <w:r w:rsidR="004B5034" w:rsidRPr="00D979E7">
        <w:rPr>
          <w:rFonts w:ascii="Arial" w:hAnsi="Arial" w:cs="Arial"/>
        </w:rPr>
        <w:t xml:space="preserve">) should </w:t>
      </w:r>
      <w:r w:rsidR="002A5FDC" w:rsidRPr="00D979E7">
        <w:rPr>
          <w:rFonts w:ascii="Arial" w:hAnsi="Arial" w:cs="Arial"/>
        </w:rPr>
        <w:t>represent a substantial reduction in absenteeism</w:t>
      </w:r>
      <w:r w:rsidR="00AB4F41" w:rsidRPr="00D979E7">
        <w:rPr>
          <w:rFonts w:ascii="Arial" w:hAnsi="Arial" w:cs="Arial"/>
        </w:rPr>
        <w:t xml:space="preserve"> as well as an improvement in wellbeing for children and parents alike</w:t>
      </w:r>
      <w:r w:rsidR="002A5FDC" w:rsidRPr="00D979E7">
        <w:rPr>
          <w:rFonts w:ascii="Arial" w:hAnsi="Arial" w:cs="Arial"/>
        </w:rPr>
        <w:t>.  Moreover, the 9,44</w:t>
      </w:r>
      <w:r w:rsidR="001C4161" w:rsidRPr="00D979E7">
        <w:rPr>
          <w:rFonts w:ascii="Arial" w:hAnsi="Arial" w:cs="Arial"/>
        </w:rPr>
        <w:t>3 GP visits prevented would</w:t>
      </w:r>
      <w:r w:rsidR="002A5FDC" w:rsidRPr="00D979E7">
        <w:rPr>
          <w:rFonts w:ascii="Arial" w:hAnsi="Arial" w:cs="Arial"/>
        </w:rPr>
        <w:t xml:space="preserve"> be expected to</w:t>
      </w:r>
      <w:r w:rsidR="001C4161" w:rsidRPr="00D979E7">
        <w:rPr>
          <w:rFonts w:ascii="Arial" w:hAnsi="Arial" w:cs="Arial"/>
        </w:rPr>
        <w:t xml:space="preserve"> further</w:t>
      </w:r>
      <w:r w:rsidR="002A5FDC" w:rsidRPr="00D979E7">
        <w:rPr>
          <w:rFonts w:ascii="Arial" w:hAnsi="Arial" w:cs="Arial"/>
        </w:rPr>
        <w:t xml:space="preserve"> reduce absenteeism</w:t>
      </w:r>
      <w:r w:rsidR="00D02A69" w:rsidRPr="00D979E7">
        <w:rPr>
          <w:rFonts w:ascii="Arial" w:hAnsi="Arial" w:cs="Arial"/>
        </w:rPr>
        <w:t xml:space="preserve"> for both parents and children</w:t>
      </w:r>
      <w:r w:rsidR="00960901" w:rsidRPr="00D979E7">
        <w:rPr>
          <w:rFonts w:ascii="Arial" w:hAnsi="Arial" w:cs="Arial"/>
        </w:rPr>
        <w:t xml:space="preserve"> as they do not need to take time out of work and school to visit the doctor</w:t>
      </w:r>
      <w:r w:rsidR="00973181" w:rsidRPr="00D979E7">
        <w:rPr>
          <w:rFonts w:ascii="Arial" w:hAnsi="Arial" w:cs="Arial"/>
        </w:rPr>
        <w:t xml:space="preserve">. </w:t>
      </w:r>
      <w:r w:rsidR="002A5FDC" w:rsidRPr="00D979E7">
        <w:rPr>
          <w:rFonts w:ascii="Arial" w:hAnsi="Arial" w:cs="Arial"/>
        </w:rPr>
        <w:t xml:space="preserve">   </w:t>
      </w:r>
    </w:p>
    <w:p w14:paraId="5C6CEC82" w14:textId="7C7939D1" w:rsidR="008319F3" w:rsidRPr="00D979E7" w:rsidRDefault="008319F3" w:rsidP="00271FB7">
      <w:pPr>
        <w:pStyle w:val="Heading1"/>
        <w:spacing w:before="120" w:after="120" w:line="240" w:lineRule="auto"/>
        <w:rPr>
          <w:rFonts w:ascii="Arial" w:hAnsi="Arial" w:cs="Arial"/>
        </w:rPr>
      </w:pPr>
      <w:bookmarkStart w:id="28" w:name="_Toc19715049"/>
      <w:r w:rsidRPr="00D979E7">
        <w:rPr>
          <w:rFonts w:ascii="Arial" w:hAnsi="Arial" w:cs="Arial"/>
        </w:rPr>
        <w:t>Discussion</w:t>
      </w:r>
      <w:bookmarkEnd w:id="28"/>
    </w:p>
    <w:p w14:paraId="1D54C921" w14:textId="13C55BCA" w:rsidR="000F3ED0" w:rsidRPr="00D979E7" w:rsidRDefault="006379DA" w:rsidP="00271FB7">
      <w:pPr>
        <w:spacing w:before="120" w:after="120" w:line="240" w:lineRule="auto"/>
        <w:rPr>
          <w:rFonts w:ascii="Arial" w:hAnsi="Arial" w:cs="Arial"/>
        </w:rPr>
      </w:pPr>
      <w:r w:rsidRPr="00D979E7">
        <w:rPr>
          <w:rFonts w:ascii="Arial" w:hAnsi="Arial" w:cs="Arial"/>
        </w:rPr>
        <w:t xml:space="preserve">The results show that the HHI </w:t>
      </w:r>
      <w:r w:rsidR="000B7930" w:rsidRPr="00D979E7">
        <w:rPr>
          <w:rFonts w:ascii="Arial" w:hAnsi="Arial" w:cs="Arial"/>
        </w:rPr>
        <w:t>appear</w:t>
      </w:r>
      <w:r w:rsidR="00957793" w:rsidRPr="00D979E7">
        <w:rPr>
          <w:rFonts w:ascii="Arial" w:hAnsi="Arial" w:cs="Arial"/>
        </w:rPr>
        <w:t>s</w:t>
      </w:r>
      <w:r w:rsidR="000B7930" w:rsidRPr="00D979E7">
        <w:rPr>
          <w:rFonts w:ascii="Arial" w:hAnsi="Arial" w:cs="Arial"/>
        </w:rPr>
        <w:t xml:space="preserve"> to be </w:t>
      </w:r>
      <w:r w:rsidRPr="00D979E7">
        <w:rPr>
          <w:rFonts w:ascii="Arial" w:hAnsi="Arial" w:cs="Arial"/>
        </w:rPr>
        <w:t xml:space="preserve">making a difference to </w:t>
      </w:r>
      <w:r w:rsidR="00957793" w:rsidRPr="00D979E7">
        <w:rPr>
          <w:rFonts w:ascii="Arial" w:hAnsi="Arial" w:cs="Arial"/>
        </w:rPr>
        <w:t xml:space="preserve">the </w:t>
      </w:r>
      <w:r w:rsidRPr="00D979E7">
        <w:rPr>
          <w:rFonts w:ascii="Arial" w:hAnsi="Arial" w:cs="Arial"/>
        </w:rPr>
        <w:t>health of the children referred to them. After adjust</w:t>
      </w:r>
      <w:r w:rsidR="000B7930" w:rsidRPr="00D979E7">
        <w:rPr>
          <w:rFonts w:ascii="Arial" w:hAnsi="Arial" w:cs="Arial"/>
        </w:rPr>
        <w:t>ing for age and bias effect</w:t>
      </w:r>
      <w:r w:rsidR="005B652E" w:rsidRPr="00D979E7">
        <w:rPr>
          <w:rFonts w:ascii="Arial" w:hAnsi="Arial" w:cs="Arial"/>
        </w:rPr>
        <w:t xml:space="preserve"> where appropriate</w:t>
      </w:r>
      <w:r w:rsidR="000B7930" w:rsidRPr="00D979E7">
        <w:rPr>
          <w:rFonts w:ascii="Arial" w:hAnsi="Arial" w:cs="Arial"/>
        </w:rPr>
        <w:t xml:space="preserve">, </w:t>
      </w:r>
      <w:r w:rsidRPr="00D979E7">
        <w:rPr>
          <w:rFonts w:ascii="Arial" w:hAnsi="Arial" w:cs="Arial"/>
        </w:rPr>
        <w:t>we estimate that in the 12 months following the intervention</w:t>
      </w:r>
      <w:r w:rsidR="000B7930" w:rsidRPr="00D979E7">
        <w:rPr>
          <w:rFonts w:ascii="Arial" w:hAnsi="Arial" w:cs="Arial"/>
        </w:rPr>
        <w:t xml:space="preserve"> period</w:t>
      </w:r>
      <w:r w:rsidRPr="00D979E7">
        <w:rPr>
          <w:rFonts w:ascii="Arial" w:hAnsi="Arial" w:cs="Arial"/>
        </w:rPr>
        <w:t xml:space="preserve"> the average referral had 0.1 </w:t>
      </w:r>
      <w:r w:rsidR="000B7930" w:rsidRPr="00D979E7">
        <w:rPr>
          <w:rFonts w:ascii="Arial" w:hAnsi="Arial" w:cs="Arial"/>
        </w:rPr>
        <w:t>f</w:t>
      </w:r>
      <w:r w:rsidR="001A6959" w:rsidRPr="00D979E7">
        <w:rPr>
          <w:rFonts w:ascii="Arial" w:hAnsi="Arial" w:cs="Arial"/>
        </w:rPr>
        <w:t>e</w:t>
      </w:r>
      <w:r w:rsidR="000B7930" w:rsidRPr="00D979E7">
        <w:rPr>
          <w:rFonts w:ascii="Arial" w:hAnsi="Arial" w:cs="Arial"/>
        </w:rPr>
        <w:t xml:space="preserve">wer </w:t>
      </w:r>
      <w:r w:rsidRPr="00D979E7">
        <w:rPr>
          <w:rFonts w:ascii="Arial" w:hAnsi="Arial" w:cs="Arial"/>
        </w:rPr>
        <w:t xml:space="preserve">hospitalisations, 0.6 </w:t>
      </w:r>
      <w:r w:rsidR="000B7930" w:rsidRPr="00D979E7">
        <w:rPr>
          <w:rFonts w:ascii="Arial" w:hAnsi="Arial" w:cs="Arial"/>
        </w:rPr>
        <w:t xml:space="preserve">fewer </w:t>
      </w:r>
      <w:r w:rsidRPr="00D979E7">
        <w:rPr>
          <w:rFonts w:ascii="Arial" w:hAnsi="Arial" w:cs="Arial"/>
        </w:rPr>
        <w:t xml:space="preserve">GP visits and 0.6 </w:t>
      </w:r>
      <w:r w:rsidR="000B7930" w:rsidRPr="00D979E7">
        <w:rPr>
          <w:rFonts w:ascii="Arial" w:hAnsi="Arial" w:cs="Arial"/>
        </w:rPr>
        <w:t xml:space="preserve">fewer </w:t>
      </w:r>
      <w:r w:rsidRPr="00D979E7">
        <w:rPr>
          <w:rFonts w:ascii="Arial" w:hAnsi="Arial" w:cs="Arial"/>
        </w:rPr>
        <w:t>pharmaceutical</w:t>
      </w:r>
      <w:r w:rsidR="000B7930" w:rsidRPr="00D979E7">
        <w:rPr>
          <w:rFonts w:ascii="Arial" w:hAnsi="Arial" w:cs="Arial"/>
        </w:rPr>
        <w:t>s</w:t>
      </w:r>
      <w:r w:rsidRPr="00D979E7">
        <w:rPr>
          <w:rFonts w:ascii="Arial" w:hAnsi="Arial" w:cs="Arial"/>
        </w:rPr>
        <w:t xml:space="preserve"> </w:t>
      </w:r>
      <w:r w:rsidR="000B7930" w:rsidRPr="00D979E7">
        <w:rPr>
          <w:rFonts w:ascii="Arial" w:hAnsi="Arial" w:cs="Arial"/>
        </w:rPr>
        <w:t xml:space="preserve">dispensed </w:t>
      </w:r>
      <w:r w:rsidR="00F56557" w:rsidRPr="00D979E7">
        <w:rPr>
          <w:rFonts w:ascii="Arial" w:hAnsi="Arial" w:cs="Arial"/>
        </w:rPr>
        <w:t>than would have otherwise been the case. Over the 15,330 referrals already seen this means there was a reduction of 1</w:t>
      </w:r>
      <w:r w:rsidR="005B652E" w:rsidRPr="00D979E7">
        <w:rPr>
          <w:rFonts w:ascii="Arial" w:hAnsi="Arial" w:cs="Arial"/>
        </w:rPr>
        <w:t>,</w:t>
      </w:r>
      <w:r w:rsidR="00F56557" w:rsidRPr="00D979E7">
        <w:rPr>
          <w:rFonts w:ascii="Arial" w:hAnsi="Arial" w:cs="Arial"/>
        </w:rPr>
        <w:t>533 hospitalisation</w:t>
      </w:r>
      <w:r w:rsidR="005B652E" w:rsidRPr="00D979E7">
        <w:rPr>
          <w:rFonts w:ascii="Arial" w:hAnsi="Arial" w:cs="Arial"/>
        </w:rPr>
        <w:t>s</w:t>
      </w:r>
      <w:r w:rsidR="000B7930" w:rsidRPr="00D979E7">
        <w:rPr>
          <w:rFonts w:ascii="Arial" w:hAnsi="Arial" w:cs="Arial"/>
        </w:rPr>
        <w:t xml:space="preserve">, </w:t>
      </w:r>
      <w:r w:rsidR="00F56557" w:rsidRPr="00D979E7">
        <w:rPr>
          <w:rFonts w:ascii="Arial" w:hAnsi="Arial" w:cs="Arial"/>
        </w:rPr>
        <w:t>9</w:t>
      </w:r>
      <w:r w:rsidR="005B652E" w:rsidRPr="00D979E7">
        <w:rPr>
          <w:rFonts w:ascii="Arial" w:hAnsi="Arial" w:cs="Arial"/>
        </w:rPr>
        <w:t>,</w:t>
      </w:r>
      <w:r w:rsidR="00F56557" w:rsidRPr="00D979E7">
        <w:rPr>
          <w:rFonts w:ascii="Arial" w:hAnsi="Arial" w:cs="Arial"/>
        </w:rPr>
        <w:t>443 GP visits</w:t>
      </w:r>
      <w:r w:rsidR="000B7930" w:rsidRPr="00D979E7">
        <w:rPr>
          <w:rFonts w:ascii="Arial" w:hAnsi="Arial" w:cs="Arial"/>
        </w:rPr>
        <w:t xml:space="preserve"> </w:t>
      </w:r>
      <w:r w:rsidR="00F56557" w:rsidRPr="00D979E7">
        <w:rPr>
          <w:rFonts w:ascii="Arial" w:hAnsi="Arial" w:cs="Arial"/>
        </w:rPr>
        <w:t>and 8</w:t>
      </w:r>
      <w:r w:rsidR="005B652E" w:rsidRPr="00D979E7">
        <w:rPr>
          <w:rFonts w:ascii="Arial" w:hAnsi="Arial" w:cs="Arial"/>
        </w:rPr>
        <w:t>,</w:t>
      </w:r>
      <w:r w:rsidR="00F56557" w:rsidRPr="00D979E7">
        <w:rPr>
          <w:rFonts w:ascii="Arial" w:hAnsi="Arial" w:cs="Arial"/>
        </w:rPr>
        <w:t>784 prescriptions</w:t>
      </w:r>
      <w:r w:rsidR="00814543" w:rsidRPr="00D979E7">
        <w:rPr>
          <w:rFonts w:ascii="Arial" w:hAnsi="Arial" w:cs="Arial"/>
        </w:rPr>
        <w:t xml:space="preserve"> being dispensed</w:t>
      </w:r>
      <w:r w:rsidR="00F56557" w:rsidRPr="00D979E7">
        <w:rPr>
          <w:rFonts w:ascii="Arial" w:hAnsi="Arial" w:cs="Arial"/>
        </w:rPr>
        <w:t>.</w:t>
      </w:r>
      <w:r w:rsidR="00EC0661" w:rsidRPr="00D979E7">
        <w:rPr>
          <w:rFonts w:ascii="Arial" w:hAnsi="Arial" w:cs="Arial"/>
        </w:rPr>
        <w:t xml:space="preserve"> </w:t>
      </w:r>
      <w:r w:rsidR="000354AA" w:rsidRPr="00D979E7">
        <w:rPr>
          <w:rFonts w:ascii="Arial" w:hAnsi="Arial" w:cs="Arial"/>
        </w:rPr>
        <w:t>These reductions are expected to result in a savings in direct medi</w:t>
      </w:r>
      <w:r w:rsidR="00B571FE" w:rsidRPr="00D979E7">
        <w:rPr>
          <w:rFonts w:ascii="Arial" w:hAnsi="Arial" w:cs="Arial"/>
        </w:rPr>
        <w:t xml:space="preserve">cal costs of </w:t>
      </w:r>
      <w:r w:rsidR="00B571FE" w:rsidRPr="00D979E7">
        <w:rPr>
          <w:rFonts w:ascii="Arial" w:hAnsi="Arial" w:cs="Arial"/>
        </w:rPr>
        <w:lastRenderedPageBreak/>
        <w:t>approximately $10.4</w:t>
      </w:r>
      <w:r w:rsidR="000354AA" w:rsidRPr="00D979E7">
        <w:rPr>
          <w:rFonts w:ascii="Arial" w:hAnsi="Arial" w:cs="Arial"/>
        </w:rPr>
        <w:t xml:space="preserve"> million in the </w:t>
      </w:r>
      <w:r w:rsidR="003401C3" w:rsidRPr="00D979E7">
        <w:rPr>
          <w:rFonts w:ascii="Arial" w:hAnsi="Arial" w:cs="Arial"/>
        </w:rPr>
        <w:t>earliest</w:t>
      </w:r>
      <w:r w:rsidR="000354AA" w:rsidRPr="00D979E7">
        <w:rPr>
          <w:rFonts w:ascii="Arial" w:hAnsi="Arial" w:cs="Arial"/>
        </w:rPr>
        <w:t xml:space="preserve"> year after the intervention and almost $30 million in the </w:t>
      </w:r>
      <w:r w:rsidR="003401C3" w:rsidRPr="00D979E7">
        <w:rPr>
          <w:rFonts w:ascii="Arial" w:hAnsi="Arial" w:cs="Arial"/>
        </w:rPr>
        <w:t>earliest</w:t>
      </w:r>
      <w:r w:rsidR="000354AA" w:rsidRPr="00D979E7">
        <w:rPr>
          <w:rFonts w:ascii="Arial" w:hAnsi="Arial" w:cs="Arial"/>
        </w:rPr>
        <w:t xml:space="preserve"> three years after the intervention.  With the programmatic costs estimated at $</w:t>
      </w:r>
      <w:r w:rsidR="00733F93" w:rsidRPr="00D979E7">
        <w:rPr>
          <w:rFonts w:ascii="Arial" w:hAnsi="Arial" w:cs="Arial"/>
        </w:rPr>
        <w:t>18.5</w:t>
      </w:r>
      <w:r w:rsidR="000354AA" w:rsidRPr="00D979E7">
        <w:rPr>
          <w:rFonts w:ascii="Arial" w:hAnsi="Arial" w:cs="Arial"/>
        </w:rPr>
        <w:t xml:space="preserve"> million, we would expect the </w:t>
      </w:r>
      <w:r w:rsidR="00733F93" w:rsidRPr="00D979E7">
        <w:rPr>
          <w:rFonts w:ascii="Arial" w:hAnsi="Arial" w:cs="Arial"/>
        </w:rPr>
        <w:t>costs of the programme to be recouped</w:t>
      </w:r>
      <w:r w:rsidR="000354AA" w:rsidRPr="00D979E7">
        <w:rPr>
          <w:rFonts w:ascii="Arial" w:hAnsi="Arial" w:cs="Arial"/>
        </w:rPr>
        <w:t xml:space="preserve"> i</w:t>
      </w:r>
      <w:r w:rsidR="00733F93" w:rsidRPr="00D979E7">
        <w:rPr>
          <w:rFonts w:ascii="Arial" w:hAnsi="Arial" w:cs="Arial"/>
        </w:rPr>
        <w:t>n</w:t>
      </w:r>
      <w:r w:rsidR="000354AA" w:rsidRPr="00D979E7">
        <w:rPr>
          <w:rFonts w:ascii="Arial" w:hAnsi="Arial" w:cs="Arial"/>
        </w:rPr>
        <w:t xml:space="preserve"> the </w:t>
      </w:r>
      <w:r w:rsidR="00733F93" w:rsidRPr="00D979E7">
        <w:rPr>
          <w:rFonts w:ascii="Arial" w:hAnsi="Arial" w:cs="Arial"/>
        </w:rPr>
        <w:t>second</w:t>
      </w:r>
      <w:r w:rsidR="003B03CF" w:rsidRPr="00D979E7">
        <w:rPr>
          <w:rFonts w:ascii="Arial" w:hAnsi="Arial" w:cs="Arial"/>
        </w:rPr>
        <w:t xml:space="preserve"> </w:t>
      </w:r>
      <w:r w:rsidR="003401C3" w:rsidRPr="00D979E7">
        <w:rPr>
          <w:rFonts w:ascii="Arial" w:hAnsi="Arial" w:cs="Arial"/>
        </w:rPr>
        <w:t>earliest</w:t>
      </w:r>
      <w:r w:rsidR="000354AA" w:rsidRPr="00D979E7">
        <w:rPr>
          <w:rFonts w:ascii="Arial" w:hAnsi="Arial" w:cs="Arial"/>
        </w:rPr>
        <w:t xml:space="preserve"> year</w:t>
      </w:r>
      <w:r w:rsidR="00733F93" w:rsidRPr="00D979E7">
        <w:rPr>
          <w:rFonts w:ascii="Arial" w:hAnsi="Arial" w:cs="Arial"/>
        </w:rPr>
        <w:t xml:space="preserve">, assuming the same effectiveness of the programme in the </w:t>
      </w:r>
      <w:r w:rsidR="003401C3" w:rsidRPr="00D979E7">
        <w:rPr>
          <w:rFonts w:ascii="Arial" w:hAnsi="Arial" w:cs="Arial"/>
        </w:rPr>
        <w:t>earliest</w:t>
      </w:r>
      <w:r w:rsidR="00733F93" w:rsidRPr="00D979E7">
        <w:rPr>
          <w:rFonts w:ascii="Arial" w:hAnsi="Arial" w:cs="Arial"/>
        </w:rPr>
        <w:t xml:space="preserve"> and second year post-intervention</w:t>
      </w:r>
      <w:r w:rsidR="000354AA" w:rsidRPr="00D979E7">
        <w:rPr>
          <w:rFonts w:ascii="Arial" w:hAnsi="Arial" w:cs="Arial"/>
        </w:rPr>
        <w:t xml:space="preserve">.  </w:t>
      </w:r>
    </w:p>
    <w:p w14:paraId="64F9798A" w14:textId="73DB93C3" w:rsidR="00EF3251" w:rsidRPr="00D979E7" w:rsidRDefault="00EF3251" w:rsidP="00271FB7">
      <w:pPr>
        <w:pStyle w:val="Heading2"/>
        <w:spacing w:before="120" w:after="120" w:line="240" w:lineRule="auto"/>
        <w:rPr>
          <w:rFonts w:ascii="Arial" w:hAnsi="Arial" w:cs="Arial"/>
        </w:rPr>
      </w:pPr>
      <w:bookmarkStart w:id="29" w:name="_Toc19715050"/>
      <w:r w:rsidRPr="00D979E7">
        <w:rPr>
          <w:rFonts w:ascii="Arial" w:hAnsi="Arial" w:cs="Arial"/>
        </w:rPr>
        <w:t>Comparison with health effects as identified in other housing intervention studies</w:t>
      </w:r>
      <w:bookmarkEnd w:id="29"/>
      <w:r w:rsidRPr="00D979E7">
        <w:rPr>
          <w:rFonts w:ascii="Arial" w:hAnsi="Arial" w:cs="Arial"/>
        </w:rPr>
        <w:t xml:space="preserve"> </w:t>
      </w:r>
    </w:p>
    <w:p w14:paraId="59BA2EBC" w14:textId="7C1EA751" w:rsidR="008319F3" w:rsidRPr="00D979E7" w:rsidRDefault="009B752D" w:rsidP="00271FB7">
      <w:pPr>
        <w:spacing w:before="120" w:after="120" w:line="240" w:lineRule="auto"/>
        <w:rPr>
          <w:rFonts w:ascii="Arial" w:hAnsi="Arial" w:cs="Arial"/>
        </w:rPr>
      </w:pPr>
      <w:r w:rsidRPr="00D979E7">
        <w:rPr>
          <w:rFonts w:ascii="Arial" w:hAnsi="Arial" w:cs="Arial"/>
        </w:rPr>
        <w:t xml:space="preserve">Comparative studies </w:t>
      </w:r>
      <w:r w:rsidR="00FF3085" w:rsidRPr="00D979E7">
        <w:rPr>
          <w:rFonts w:ascii="Arial" w:hAnsi="Arial" w:cs="Arial"/>
        </w:rPr>
        <w:t xml:space="preserve">with which to compare the identified health gains attributable to the HHIs in this interim analysis </w:t>
      </w:r>
      <w:r w:rsidRPr="00D979E7">
        <w:rPr>
          <w:rFonts w:ascii="Arial" w:hAnsi="Arial" w:cs="Arial"/>
        </w:rPr>
        <w:t>are difficult given the wide brea</w:t>
      </w:r>
      <w:r w:rsidR="00E56ED7" w:rsidRPr="00D979E7">
        <w:rPr>
          <w:rFonts w:ascii="Arial" w:hAnsi="Arial" w:cs="Arial"/>
        </w:rPr>
        <w:t>d</w:t>
      </w:r>
      <w:r w:rsidRPr="00D979E7">
        <w:rPr>
          <w:rFonts w:ascii="Arial" w:hAnsi="Arial" w:cs="Arial"/>
        </w:rPr>
        <w:t>th of possible intervention</w:t>
      </w:r>
      <w:r w:rsidR="00F84826" w:rsidRPr="00D979E7">
        <w:rPr>
          <w:rFonts w:ascii="Arial" w:hAnsi="Arial" w:cs="Arial"/>
        </w:rPr>
        <w:t>s</w:t>
      </w:r>
      <w:r w:rsidRPr="00D979E7">
        <w:rPr>
          <w:rFonts w:ascii="Arial" w:hAnsi="Arial" w:cs="Arial"/>
        </w:rPr>
        <w:t xml:space="preserve"> carried out </w:t>
      </w:r>
      <w:r w:rsidR="00786809" w:rsidRPr="00D979E7">
        <w:rPr>
          <w:rFonts w:ascii="Arial" w:hAnsi="Arial" w:cs="Arial"/>
        </w:rPr>
        <w:t xml:space="preserve">by </w:t>
      </w:r>
      <w:r w:rsidRPr="00D979E7">
        <w:rPr>
          <w:rFonts w:ascii="Arial" w:hAnsi="Arial" w:cs="Arial"/>
        </w:rPr>
        <w:t xml:space="preserve">HHI providers. </w:t>
      </w:r>
      <w:r w:rsidR="00FF3085" w:rsidRPr="00D979E7">
        <w:rPr>
          <w:rFonts w:ascii="Arial" w:hAnsi="Arial" w:cs="Arial"/>
        </w:rPr>
        <w:t>However, one</w:t>
      </w:r>
      <w:r w:rsidRPr="00D979E7">
        <w:rPr>
          <w:rFonts w:ascii="Arial" w:hAnsi="Arial" w:cs="Arial"/>
        </w:rPr>
        <w:t xml:space="preserve"> useful comparison is with the effect of insulation delivered under the EECA:</w:t>
      </w:r>
      <w:r w:rsidR="000F3ED0" w:rsidRPr="00D979E7">
        <w:rPr>
          <w:rFonts w:ascii="Arial" w:hAnsi="Arial" w:cs="Arial"/>
        </w:rPr>
        <w:t xml:space="preserve"> Warm </w:t>
      </w:r>
      <w:r w:rsidR="00205915" w:rsidRPr="00D979E7">
        <w:rPr>
          <w:rFonts w:ascii="Arial" w:hAnsi="Arial" w:cs="Arial"/>
        </w:rPr>
        <w:t>U</w:t>
      </w:r>
      <w:r w:rsidR="000F3ED0" w:rsidRPr="00D979E7">
        <w:rPr>
          <w:rFonts w:ascii="Arial" w:hAnsi="Arial" w:cs="Arial"/>
        </w:rPr>
        <w:t xml:space="preserve">p Zealand scheme. </w:t>
      </w:r>
      <w:r w:rsidR="00205915" w:rsidRPr="00D979E7">
        <w:rPr>
          <w:rFonts w:ascii="Arial" w:hAnsi="Arial" w:cs="Arial"/>
        </w:rPr>
        <w:t>This programme pro</w:t>
      </w:r>
      <w:r w:rsidR="00FF3085" w:rsidRPr="00D979E7">
        <w:rPr>
          <w:rFonts w:ascii="Arial" w:hAnsi="Arial" w:cs="Arial"/>
        </w:rPr>
        <w:t>vided subsidised insulation for</w:t>
      </w:r>
      <w:r w:rsidR="000F3ED0" w:rsidRPr="00D979E7">
        <w:rPr>
          <w:rFonts w:ascii="Arial" w:hAnsi="Arial" w:cs="Arial"/>
        </w:rPr>
        <w:t xml:space="preserve"> low-</w:t>
      </w:r>
      <w:r w:rsidRPr="00D979E7">
        <w:rPr>
          <w:rFonts w:ascii="Arial" w:hAnsi="Arial" w:cs="Arial"/>
        </w:rPr>
        <w:t xml:space="preserve">income </w:t>
      </w:r>
      <w:r w:rsidR="000F3ED0" w:rsidRPr="00D979E7">
        <w:rPr>
          <w:rFonts w:ascii="Arial" w:hAnsi="Arial" w:cs="Arial"/>
        </w:rPr>
        <w:t>families</w:t>
      </w:r>
      <w:r w:rsidR="00FF3085" w:rsidRPr="00D979E7">
        <w:rPr>
          <w:rFonts w:ascii="Arial" w:hAnsi="Arial" w:cs="Arial"/>
        </w:rPr>
        <w:t xml:space="preserve"> (qualified with a Community Services Card). In a sample of low-income families </w:t>
      </w:r>
      <w:r w:rsidRPr="00D979E7">
        <w:rPr>
          <w:rFonts w:ascii="Arial" w:hAnsi="Arial" w:cs="Arial"/>
        </w:rPr>
        <w:t>with children</w:t>
      </w:r>
      <w:r w:rsidR="00FF3085" w:rsidRPr="00D979E7">
        <w:rPr>
          <w:rFonts w:ascii="Arial" w:hAnsi="Arial" w:cs="Arial"/>
        </w:rPr>
        <w:t xml:space="preserve"> that received retrofitted insulation under this scheme</w:t>
      </w:r>
      <w:r w:rsidR="00FE551D" w:rsidRPr="00D979E7">
        <w:rPr>
          <w:rFonts w:ascii="Arial" w:hAnsi="Arial" w:cs="Arial"/>
        </w:rPr>
        <w:t>,</w:t>
      </w:r>
      <w:r w:rsidRPr="00D979E7">
        <w:rPr>
          <w:rFonts w:ascii="Arial" w:hAnsi="Arial" w:cs="Arial"/>
        </w:rPr>
        <w:t xml:space="preserve"> insulation delivered a reduction </w:t>
      </w:r>
      <w:r w:rsidR="000F3ED0" w:rsidRPr="00D979E7">
        <w:rPr>
          <w:rFonts w:ascii="Arial" w:hAnsi="Arial" w:cs="Arial"/>
        </w:rPr>
        <w:t>of 0.06</w:t>
      </w:r>
      <w:r w:rsidRPr="00D979E7">
        <w:rPr>
          <w:rFonts w:ascii="Arial" w:hAnsi="Arial" w:cs="Arial"/>
        </w:rPr>
        <w:t xml:space="preserve"> hospitalisation</w:t>
      </w:r>
      <w:r w:rsidR="00FE551D" w:rsidRPr="00D979E7">
        <w:rPr>
          <w:rFonts w:ascii="Arial" w:hAnsi="Arial" w:cs="Arial"/>
        </w:rPr>
        <w:t>s</w:t>
      </w:r>
      <w:r w:rsidR="0013008B" w:rsidRPr="00D979E7">
        <w:rPr>
          <w:rFonts w:ascii="Arial" w:hAnsi="Arial" w:cs="Arial"/>
        </w:rPr>
        <w:t xml:space="preserve"> </w:t>
      </w:r>
      <w:r w:rsidR="000F3ED0" w:rsidRPr="00D979E7">
        <w:rPr>
          <w:rFonts w:ascii="Arial" w:hAnsi="Arial" w:cs="Arial"/>
        </w:rPr>
        <w:t>per child</w:t>
      </w:r>
      <w:r w:rsidRPr="00D979E7">
        <w:rPr>
          <w:rFonts w:ascii="Arial" w:hAnsi="Arial" w:cs="Arial"/>
        </w:rPr>
        <w:t xml:space="preserve">. </w:t>
      </w:r>
      <w:r w:rsidR="00957793" w:rsidRPr="00D979E7">
        <w:rPr>
          <w:rFonts w:ascii="Arial" w:hAnsi="Arial" w:cs="Arial"/>
        </w:rPr>
        <w:t>Although the</w:t>
      </w:r>
      <w:r w:rsidR="00FF3085" w:rsidRPr="00D979E7">
        <w:rPr>
          <w:rFonts w:ascii="Arial" w:hAnsi="Arial" w:cs="Arial"/>
        </w:rPr>
        <w:t xml:space="preserve"> </w:t>
      </w:r>
      <w:r w:rsidRPr="00D979E7">
        <w:rPr>
          <w:rFonts w:ascii="Arial" w:hAnsi="Arial" w:cs="Arial"/>
        </w:rPr>
        <w:t>EECA scheme</w:t>
      </w:r>
      <w:r w:rsidR="00957793" w:rsidRPr="00D979E7">
        <w:rPr>
          <w:rFonts w:ascii="Arial" w:hAnsi="Arial" w:cs="Arial"/>
        </w:rPr>
        <w:t xml:space="preserve"> only</w:t>
      </w:r>
      <w:r w:rsidR="00184739" w:rsidRPr="00D979E7">
        <w:rPr>
          <w:rFonts w:ascii="Arial" w:hAnsi="Arial" w:cs="Arial"/>
        </w:rPr>
        <w:t xml:space="preserve"> </w:t>
      </w:r>
      <w:r w:rsidRPr="00D979E7">
        <w:rPr>
          <w:rFonts w:ascii="Arial" w:hAnsi="Arial" w:cs="Arial"/>
        </w:rPr>
        <w:t>delivered one intervention</w:t>
      </w:r>
      <w:r w:rsidR="00FE2846" w:rsidRPr="00D979E7">
        <w:rPr>
          <w:rFonts w:ascii="Arial" w:hAnsi="Arial" w:cs="Arial"/>
        </w:rPr>
        <w:t xml:space="preserve"> (insulation)</w:t>
      </w:r>
      <w:r w:rsidR="00F84826" w:rsidRPr="00D979E7">
        <w:rPr>
          <w:rFonts w:ascii="Arial" w:hAnsi="Arial" w:cs="Arial"/>
        </w:rPr>
        <w:t>,</w:t>
      </w:r>
      <w:r w:rsidRPr="00D979E7">
        <w:rPr>
          <w:rFonts w:ascii="Arial" w:hAnsi="Arial" w:cs="Arial"/>
        </w:rPr>
        <w:t xml:space="preserve"> </w:t>
      </w:r>
      <w:r w:rsidR="00957793" w:rsidRPr="00D979E7">
        <w:rPr>
          <w:rFonts w:ascii="Arial" w:hAnsi="Arial" w:cs="Arial"/>
        </w:rPr>
        <w:t>it</w:t>
      </w:r>
      <w:r w:rsidR="0013008B" w:rsidRPr="00D979E7">
        <w:rPr>
          <w:rFonts w:ascii="Arial" w:hAnsi="Arial" w:cs="Arial"/>
        </w:rPr>
        <w:t xml:space="preserve"> has been the subject of numerous analyses and this group of families (low income with children) </w:t>
      </w:r>
      <w:r w:rsidR="00F84826" w:rsidRPr="00D979E7">
        <w:rPr>
          <w:rFonts w:ascii="Arial" w:hAnsi="Arial" w:cs="Arial"/>
        </w:rPr>
        <w:t xml:space="preserve">was </w:t>
      </w:r>
      <w:r w:rsidR="0013008B" w:rsidRPr="00D979E7">
        <w:rPr>
          <w:rFonts w:ascii="Arial" w:hAnsi="Arial" w:cs="Arial"/>
        </w:rPr>
        <w:t xml:space="preserve">its most cost effective subgroup </w:t>
      </w:r>
      <w:r w:rsidR="00F84826" w:rsidRPr="00D979E7">
        <w:rPr>
          <w:rFonts w:ascii="Arial" w:hAnsi="Arial" w:cs="Arial"/>
        </w:rPr>
        <w:t xml:space="preserve">for health benefits </w:t>
      </w:r>
      <w:r w:rsidR="0013008B" w:rsidRPr="00D979E7">
        <w:rPr>
          <w:rFonts w:ascii="Arial" w:hAnsi="Arial" w:cs="Arial"/>
        </w:rPr>
        <w:t xml:space="preserve">at 15:1. </w:t>
      </w:r>
      <w:r w:rsidR="00FE2846" w:rsidRPr="00D979E7">
        <w:rPr>
          <w:rFonts w:ascii="Arial" w:hAnsi="Arial" w:cs="Arial"/>
        </w:rPr>
        <w:t xml:space="preserve">Given the similarities with the </w:t>
      </w:r>
      <w:r w:rsidR="00974116" w:rsidRPr="00D979E7">
        <w:rPr>
          <w:rFonts w:ascii="Arial" w:hAnsi="Arial" w:cs="Arial"/>
        </w:rPr>
        <w:t xml:space="preserve">HHI’s </w:t>
      </w:r>
      <w:r w:rsidR="00FE2846" w:rsidRPr="00D979E7">
        <w:rPr>
          <w:rFonts w:ascii="Arial" w:hAnsi="Arial" w:cs="Arial"/>
        </w:rPr>
        <w:t>target populations</w:t>
      </w:r>
      <w:r w:rsidR="00974116" w:rsidRPr="00D979E7">
        <w:rPr>
          <w:rFonts w:ascii="Arial" w:hAnsi="Arial" w:cs="Arial"/>
        </w:rPr>
        <w:t xml:space="preserve">, </w:t>
      </w:r>
      <w:r w:rsidR="00FE2846" w:rsidRPr="00D979E7">
        <w:rPr>
          <w:rFonts w:ascii="Arial" w:hAnsi="Arial" w:cs="Arial"/>
        </w:rPr>
        <w:t xml:space="preserve">the significant improvement in health outcomes attributable to the HHI as identified in this interim analysis </w:t>
      </w:r>
      <w:r w:rsidR="00974116" w:rsidRPr="00D979E7">
        <w:rPr>
          <w:rFonts w:ascii="Arial" w:hAnsi="Arial" w:cs="Arial"/>
        </w:rPr>
        <w:t xml:space="preserve">– for example, a reduction of 0.10 hospitalisations per referral - </w:t>
      </w:r>
      <w:r w:rsidR="00FE2846" w:rsidRPr="00D979E7">
        <w:rPr>
          <w:rFonts w:ascii="Arial" w:hAnsi="Arial" w:cs="Arial"/>
        </w:rPr>
        <w:t>is a very complementary finding</w:t>
      </w:r>
      <w:r w:rsidR="00F56557" w:rsidRPr="00D979E7">
        <w:rPr>
          <w:rFonts w:ascii="Arial" w:hAnsi="Arial" w:cs="Arial"/>
        </w:rPr>
        <w:t>.</w:t>
      </w:r>
    </w:p>
    <w:p w14:paraId="77206393" w14:textId="5F9F7084" w:rsidR="005B652E" w:rsidRPr="00D979E7" w:rsidRDefault="00EF3251" w:rsidP="00271FB7">
      <w:pPr>
        <w:pStyle w:val="Heading2"/>
        <w:spacing w:before="120" w:after="120" w:line="240" w:lineRule="auto"/>
        <w:rPr>
          <w:rFonts w:ascii="Arial" w:hAnsi="Arial" w:cs="Arial"/>
        </w:rPr>
      </w:pPr>
      <w:bookmarkStart w:id="30" w:name="_Toc19715051"/>
      <w:r w:rsidRPr="00D979E7">
        <w:rPr>
          <w:rFonts w:ascii="Arial" w:hAnsi="Arial" w:cs="Arial"/>
        </w:rPr>
        <w:t>Limitations of analysis</w:t>
      </w:r>
      <w:bookmarkEnd w:id="30"/>
      <w:r w:rsidRPr="00D979E7">
        <w:rPr>
          <w:rFonts w:ascii="Arial" w:hAnsi="Arial" w:cs="Arial"/>
        </w:rPr>
        <w:t xml:space="preserve"> </w:t>
      </w:r>
    </w:p>
    <w:p w14:paraId="7904AB1F" w14:textId="7C044A38" w:rsidR="005B652E" w:rsidRPr="00D979E7" w:rsidRDefault="005B652E" w:rsidP="00271FB7">
      <w:pPr>
        <w:pStyle w:val="Heading3"/>
        <w:spacing w:before="120" w:after="120" w:line="240" w:lineRule="auto"/>
        <w:rPr>
          <w:rFonts w:ascii="Arial" w:hAnsi="Arial" w:cs="Arial"/>
        </w:rPr>
      </w:pPr>
      <w:bookmarkStart w:id="31" w:name="_Toc19715052"/>
      <w:r w:rsidRPr="00D979E7">
        <w:rPr>
          <w:rFonts w:ascii="Arial" w:hAnsi="Arial" w:cs="Arial"/>
        </w:rPr>
        <w:t>Age and selection bias effects</w:t>
      </w:r>
      <w:bookmarkEnd w:id="31"/>
    </w:p>
    <w:p w14:paraId="24357262" w14:textId="3F05C809" w:rsidR="00EF3251" w:rsidRPr="00D979E7" w:rsidRDefault="00EF3251" w:rsidP="00271FB7">
      <w:pPr>
        <w:spacing w:before="120" w:after="120" w:line="240" w:lineRule="auto"/>
        <w:rPr>
          <w:rFonts w:ascii="Arial" w:hAnsi="Arial" w:cs="Arial"/>
        </w:rPr>
      </w:pPr>
      <w:r w:rsidRPr="00D979E7">
        <w:rPr>
          <w:rFonts w:ascii="Arial" w:hAnsi="Arial" w:cs="Arial"/>
        </w:rPr>
        <w:t>T</w:t>
      </w:r>
      <w:r w:rsidR="008319F3" w:rsidRPr="00D979E7">
        <w:rPr>
          <w:rFonts w:ascii="Arial" w:hAnsi="Arial" w:cs="Arial"/>
        </w:rPr>
        <w:t xml:space="preserve">o estimate effect sizes </w:t>
      </w:r>
      <w:r w:rsidR="00F84826" w:rsidRPr="00D979E7">
        <w:rPr>
          <w:rFonts w:ascii="Arial" w:hAnsi="Arial" w:cs="Arial"/>
        </w:rPr>
        <w:t xml:space="preserve">of the HHI, </w:t>
      </w:r>
      <w:r w:rsidR="008319F3" w:rsidRPr="00D979E7">
        <w:rPr>
          <w:rFonts w:ascii="Arial" w:hAnsi="Arial" w:cs="Arial"/>
        </w:rPr>
        <w:t xml:space="preserve">this study would </w:t>
      </w:r>
      <w:r w:rsidRPr="00D979E7">
        <w:rPr>
          <w:rFonts w:ascii="Arial" w:hAnsi="Arial" w:cs="Arial"/>
        </w:rPr>
        <w:t xml:space="preserve">ideally </w:t>
      </w:r>
      <w:r w:rsidR="008319F3" w:rsidRPr="00D979E7">
        <w:rPr>
          <w:rFonts w:ascii="Arial" w:hAnsi="Arial" w:cs="Arial"/>
        </w:rPr>
        <w:t xml:space="preserve">have </w:t>
      </w:r>
      <w:r w:rsidR="00C52CC7" w:rsidRPr="00D979E7">
        <w:rPr>
          <w:rFonts w:ascii="Arial" w:hAnsi="Arial" w:cs="Arial"/>
        </w:rPr>
        <w:t>had</w:t>
      </w:r>
      <w:r w:rsidR="008319F3" w:rsidRPr="00D979E7">
        <w:rPr>
          <w:rFonts w:ascii="Arial" w:hAnsi="Arial" w:cs="Arial"/>
        </w:rPr>
        <w:t xml:space="preserve"> an element of randomisation. However, given the reality of </w:t>
      </w:r>
      <w:r w:rsidR="006140EA" w:rsidRPr="00D979E7">
        <w:rPr>
          <w:rFonts w:ascii="Arial" w:hAnsi="Arial" w:cs="Arial"/>
        </w:rPr>
        <w:t xml:space="preserve">targeted </w:t>
      </w:r>
      <w:r w:rsidR="008319F3" w:rsidRPr="00D979E7">
        <w:rPr>
          <w:rFonts w:ascii="Arial" w:hAnsi="Arial" w:cs="Arial"/>
        </w:rPr>
        <w:t xml:space="preserve">public policy </w:t>
      </w:r>
      <w:r w:rsidR="00F84826" w:rsidRPr="00D979E7">
        <w:rPr>
          <w:rFonts w:ascii="Arial" w:hAnsi="Arial" w:cs="Arial"/>
        </w:rPr>
        <w:t xml:space="preserve">– where only some households would </w:t>
      </w:r>
      <w:r w:rsidRPr="00D979E7">
        <w:rPr>
          <w:rFonts w:ascii="Arial" w:hAnsi="Arial" w:cs="Arial"/>
        </w:rPr>
        <w:t xml:space="preserve">then have </w:t>
      </w:r>
      <w:r w:rsidR="00F84826" w:rsidRPr="00D979E7">
        <w:rPr>
          <w:rFonts w:ascii="Arial" w:hAnsi="Arial" w:cs="Arial"/>
        </w:rPr>
        <w:t>receive</w:t>
      </w:r>
      <w:r w:rsidRPr="00D979E7">
        <w:rPr>
          <w:rFonts w:ascii="Arial" w:hAnsi="Arial" w:cs="Arial"/>
        </w:rPr>
        <w:t>d</w:t>
      </w:r>
      <w:r w:rsidR="00F84826" w:rsidRPr="00D979E7">
        <w:rPr>
          <w:rFonts w:ascii="Arial" w:hAnsi="Arial" w:cs="Arial"/>
        </w:rPr>
        <w:t xml:space="preserve"> the HHI interventions - </w:t>
      </w:r>
      <w:r w:rsidR="008319F3" w:rsidRPr="00D979E7">
        <w:rPr>
          <w:rFonts w:ascii="Arial" w:hAnsi="Arial" w:cs="Arial"/>
        </w:rPr>
        <w:t>this was not the case</w:t>
      </w:r>
      <w:r w:rsidR="00D94F6A" w:rsidRPr="00D979E7">
        <w:rPr>
          <w:rFonts w:ascii="Arial" w:hAnsi="Arial" w:cs="Arial"/>
        </w:rPr>
        <w:t xml:space="preserve">. </w:t>
      </w:r>
      <w:r w:rsidR="008319F3" w:rsidRPr="00D979E7">
        <w:rPr>
          <w:rFonts w:ascii="Arial" w:hAnsi="Arial" w:cs="Arial"/>
        </w:rPr>
        <w:t>We</w:t>
      </w:r>
      <w:r w:rsidR="001925C0" w:rsidRPr="00D979E7">
        <w:rPr>
          <w:rFonts w:ascii="Arial" w:hAnsi="Arial" w:cs="Arial"/>
        </w:rPr>
        <w:t xml:space="preserve"> are</w:t>
      </w:r>
      <w:r w:rsidR="008319F3" w:rsidRPr="00D979E7">
        <w:rPr>
          <w:rFonts w:ascii="Arial" w:hAnsi="Arial" w:cs="Arial"/>
        </w:rPr>
        <w:t xml:space="preserve"> therefore</w:t>
      </w:r>
      <w:r w:rsidR="00F84826" w:rsidRPr="00D979E7">
        <w:rPr>
          <w:rFonts w:ascii="Arial" w:hAnsi="Arial" w:cs="Arial"/>
        </w:rPr>
        <w:t xml:space="preserve"> limited in study design for this </w:t>
      </w:r>
      <w:r w:rsidR="00BB7968" w:rsidRPr="00D979E7">
        <w:rPr>
          <w:rFonts w:ascii="Arial" w:hAnsi="Arial" w:cs="Arial"/>
        </w:rPr>
        <w:t xml:space="preserve">interim </w:t>
      </w:r>
      <w:r w:rsidR="00F84826" w:rsidRPr="00D979E7">
        <w:rPr>
          <w:rFonts w:ascii="Arial" w:hAnsi="Arial" w:cs="Arial"/>
        </w:rPr>
        <w:t>analysis</w:t>
      </w:r>
      <w:r w:rsidR="001925C0" w:rsidRPr="00D979E7">
        <w:rPr>
          <w:rFonts w:ascii="Arial" w:hAnsi="Arial" w:cs="Arial"/>
        </w:rPr>
        <w:t xml:space="preserve"> to a before and after </w:t>
      </w:r>
      <w:r w:rsidR="00BB7968" w:rsidRPr="00D979E7">
        <w:rPr>
          <w:rFonts w:ascii="Arial" w:hAnsi="Arial" w:cs="Arial"/>
        </w:rPr>
        <w:t xml:space="preserve">(‘pre-post’) </w:t>
      </w:r>
      <w:r w:rsidR="001925C0" w:rsidRPr="00D979E7">
        <w:rPr>
          <w:rFonts w:ascii="Arial" w:hAnsi="Arial" w:cs="Arial"/>
        </w:rPr>
        <w:t>analysis</w:t>
      </w:r>
      <w:r w:rsidR="005B652E" w:rsidRPr="00D979E7">
        <w:rPr>
          <w:rFonts w:ascii="Arial" w:hAnsi="Arial" w:cs="Arial"/>
        </w:rPr>
        <w:t xml:space="preserve"> as detailed in this report</w:t>
      </w:r>
      <w:r w:rsidR="00F84826" w:rsidRPr="00D979E7">
        <w:rPr>
          <w:rFonts w:ascii="Arial" w:hAnsi="Arial" w:cs="Arial"/>
        </w:rPr>
        <w:t>.</w:t>
      </w:r>
      <w:r w:rsidR="001925C0" w:rsidRPr="00D979E7">
        <w:rPr>
          <w:rFonts w:ascii="Arial" w:hAnsi="Arial" w:cs="Arial"/>
        </w:rPr>
        <w:t xml:space="preserve"> </w:t>
      </w:r>
      <w:r w:rsidR="00F84826" w:rsidRPr="00D979E7">
        <w:rPr>
          <w:rFonts w:ascii="Arial" w:hAnsi="Arial" w:cs="Arial"/>
        </w:rPr>
        <w:t>T</w:t>
      </w:r>
      <w:r w:rsidR="001925C0" w:rsidRPr="00D979E7">
        <w:rPr>
          <w:rFonts w:ascii="Arial" w:hAnsi="Arial" w:cs="Arial"/>
        </w:rPr>
        <w:t>his has</w:t>
      </w:r>
      <w:r w:rsidR="008319F3" w:rsidRPr="00D979E7">
        <w:rPr>
          <w:rFonts w:ascii="Arial" w:hAnsi="Arial" w:cs="Arial"/>
        </w:rPr>
        <w:t xml:space="preserve"> two predic</w:t>
      </w:r>
      <w:r w:rsidR="00F84826" w:rsidRPr="00D979E7">
        <w:rPr>
          <w:rFonts w:ascii="Arial" w:hAnsi="Arial" w:cs="Arial"/>
        </w:rPr>
        <w:t>t</w:t>
      </w:r>
      <w:r w:rsidR="008319F3" w:rsidRPr="00D979E7">
        <w:rPr>
          <w:rFonts w:ascii="Arial" w:hAnsi="Arial" w:cs="Arial"/>
        </w:rPr>
        <w:t xml:space="preserve">able biases </w:t>
      </w:r>
      <w:r w:rsidR="00F84826" w:rsidRPr="00D979E7">
        <w:rPr>
          <w:rFonts w:ascii="Arial" w:hAnsi="Arial" w:cs="Arial"/>
        </w:rPr>
        <w:t xml:space="preserve">due to </w:t>
      </w:r>
      <w:r w:rsidR="008319F3" w:rsidRPr="00D979E7">
        <w:rPr>
          <w:rFonts w:ascii="Arial" w:hAnsi="Arial" w:cs="Arial"/>
        </w:rPr>
        <w:t xml:space="preserve">age and selection </w:t>
      </w:r>
      <w:r w:rsidR="005B652E" w:rsidRPr="00D979E7">
        <w:rPr>
          <w:rFonts w:ascii="Arial" w:hAnsi="Arial" w:cs="Arial"/>
        </w:rPr>
        <w:t>effects</w:t>
      </w:r>
      <w:r w:rsidR="00F84826" w:rsidRPr="00D979E7">
        <w:rPr>
          <w:rFonts w:ascii="Arial" w:hAnsi="Arial" w:cs="Arial"/>
        </w:rPr>
        <w:t xml:space="preserve"> that </w:t>
      </w:r>
      <w:r w:rsidRPr="00D979E7">
        <w:rPr>
          <w:rFonts w:ascii="Arial" w:hAnsi="Arial" w:cs="Arial"/>
        </w:rPr>
        <w:t>ha</w:t>
      </w:r>
      <w:r w:rsidR="00E340C1" w:rsidRPr="00D979E7">
        <w:rPr>
          <w:rFonts w:ascii="Arial" w:hAnsi="Arial" w:cs="Arial"/>
        </w:rPr>
        <w:t>ve</w:t>
      </w:r>
      <w:r w:rsidRPr="00D979E7">
        <w:rPr>
          <w:rFonts w:ascii="Arial" w:hAnsi="Arial" w:cs="Arial"/>
        </w:rPr>
        <w:t xml:space="preserve"> been </w:t>
      </w:r>
      <w:r w:rsidR="00F84826" w:rsidRPr="00D979E7">
        <w:rPr>
          <w:rFonts w:ascii="Arial" w:hAnsi="Arial" w:cs="Arial"/>
        </w:rPr>
        <w:t>discussed</w:t>
      </w:r>
      <w:r w:rsidR="005D1B46" w:rsidRPr="00D979E7">
        <w:rPr>
          <w:rFonts w:ascii="Arial" w:hAnsi="Arial" w:cs="Arial"/>
        </w:rPr>
        <w:t xml:space="preserve"> earlier</w:t>
      </w:r>
      <w:r w:rsidR="005B652E" w:rsidRPr="00D979E7">
        <w:rPr>
          <w:rFonts w:ascii="Arial" w:hAnsi="Arial" w:cs="Arial"/>
        </w:rPr>
        <w:t xml:space="preserve"> and that we have attempted to account for</w:t>
      </w:r>
      <w:r w:rsidR="00BB7968" w:rsidRPr="00D979E7">
        <w:rPr>
          <w:rFonts w:ascii="Arial" w:hAnsi="Arial" w:cs="Arial"/>
        </w:rPr>
        <w:t xml:space="preserve"> in the necessary analyses</w:t>
      </w:r>
      <w:r w:rsidR="005B652E" w:rsidRPr="00D979E7">
        <w:rPr>
          <w:rFonts w:ascii="Arial" w:hAnsi="Arial" w:cs="Arial"/>
        </w:rPr>
        <w:t>.</w:t>
      </w:r>
    </w:p>
    <w:p w14:paraId="3AAA5028" w14:textId="13910331" w:rsidR="005B652E" w:rsidRPr="00D979E7" w:rsidRDefault="005B652E" w:rsidP="00271FB7">
      <w:pPr>
        <w:pStyle w:val="Heading4"/>
        <w:spacing w:before="120" w:after="120" w:line="240" w:lineRule="auto"/>
        <w:rPr>
          <w:rFonts w:ascii="Arial" w:hAnsi="Arial" w:cs="Arial"/>
        </w:rPr>
      </w:pPr>
      <w:r w:rsidRPr="00D979E7">
        <w:rPr>
          <w:rFonts w:ascii="Arial" w:hAnsi="Arial" w:cs="Arial"/>
        </w:rPr>
        <w:t>Age effect</w:t>
      </w:r>
    </w:p>
    <w:p w14:paraId="2E6EB449" w14:textId="77777777" w:rsidR="00E954BA" w:rsidRPr="00D979E7" w:rsidRDefault="001925C0" w:rsidP="00271FB7">
      <w:pPr>
        <w:spacing w:before="120" w:after="120" w:line="240" w:lineRule="auto"/>
        <w:rPr>
          <w:rFonts w:ascii="Arial" w:hAnsi="Arial" w:cs="Arial"/>
        </w:rPr>
      </w:pPr>
      <w:r w:rsidRPr="00D979E7">
        <w:rPr>
          <w:rFonts w:ascii="Arial" w:hAnsi="Arial" w:cs="Arial"/>
        </w:rPr>
        <w:t>Age is an issue because younger children are</w:t>
      </w:r>
      <w:r w:rsidR="00E340C1" w:rsidRPr="00D979E7">
        <w:rPr>
          <w:rFonts w:ascii="Arial" w:hAnsi="Arial" w:cs="Arial"/>
        </w:rPr>
        <w:t>,</w:t>
      </w:r>
      <w:r w:rsidRPr="00D979E7">
        <w:rPr>
          <w:rFonts w:ascii="Arial" w:hAnsi="Arial" w:cs="Arial"/>
        </w:rPr>
        <w:t xml:space="preserve"> on average</w:t>
      </w:r>
      <w:r w:rsidR="00E340C1" w:rsidRPr="00D979E7">
        <w:rPr>
          <w:rFonts w:ascii="Arial" w:hAnsi="Arial" w:cs="Arial"/>
        </w:rPr>
        <w:t>,</w:t>
      </w:r>
      <w:r w:rsidRPr="00D979E7">
        <w:rPr>
          <w:rFonts w:ascii="Arial" w:hAnsi="Arial" w:cs="Arial"/>
        </w:rPr>
        <w:t xml:space="preserve"> hospitalised more often</w:t>
      </w:r>
      <w:r w:rsidR="00F84826" w:rsidRPr="00D979E7">
        <w:rPr>
          <w:rFonts w:ascii="Arial" w:hAnsi="Arial" w:cs="Arial"/>
        </w:rPr>
        <w:t xml:space="preserve"> than older children</w:t>
      </w:r>
      <w:r w:rsidR="005D1B46" w:rsidRPr="00D979E7">
        <w:rPr>
          <w:rFonts w:ascii="Arial" w:hAnsi="Arial" w:cs="Arial"/>
        </w:rPr>
        <w:t>.</w:t>
      </w:r>
      <w:r w:rsidR="00F84826" w:rsidRPr="00D979E7">
        <w:rPr>
          <w:rFonts w:ascii="Arial" w:hAnsi="Arial" w:cs="Arial"/>
        </w:rPr>
        <w:t xml:space="preserve"> </w:t>
      </w:r>
      <w:r w:rsidR="005D1B46" w:rsidRPr="00D979E7">
        <w:rPr>
          <w:rFonts w:ascii="Arial" w:hAnsi="Arial" w:cs="Arial"/>
        </w:rPr>
        <w:t xml:space="preserve">This </w:t>
      </w:r>
      <w:r w:rsidR="00F84826" w:rsidRPr="00D979E7">
        <w:rPr>
          <w:rFonts w:ascii="Arial" w:hAnsi="Arial" w:cs="Arial"/>
        </w:rPr>
        <w:t>means that we need to try and account for this decrease in hospitalisations over time due to aging</w:t>
      </w:r>
      <w:r w:rsidR="005D1B46" w:rsidRPr="00D979E7">
        <w:rPr>
          <w:rFonts w:ascii="Arial" w:hAnsi="Arial" w:cs="Arial"/>
        </w:rPr>
        <w:t>,</w:t>
      </w:r>
      <w:r w:rsidR="00F84826" w:rsidRPr="00D979E7">
        <w:rPr>
          <w:rFonts w:ascii="Arial" w:hAnsi="Arial" w:cs="Arial"/>
        </w:rPr>
        <w:t xml:space="preserve"> so as to not attribute it to the effect of a programme.</w:t>
      </w:r>
      <w:r w:rsidR="00373AD5" w:rsidRPr="00D979E7">
        <w:rPr>
          <w:rFonts w:ascii="Arial" w:hAnsi="Arial" w:cs="Arial"/>
        </w:rPr>
        <w:t xml:space="preserve"> </w:t>
      </w:r>
    </w:p>
    <w:p w14:paraId="2F86A7A7" w14:textId="4175E4CB" w:rsidR="0086144A" w:rsidRPr="00D979E7" w:rsidRDefault="006F6522" w:rsidP="00271FB7">
      <w:pPr>
        <w:spacing w:before="120" w:after="120" w:line="240" w:lineRule="auto"/>
        <w:rPr>
          <w:rFonts w:ascii="Arial" w:hAnsi="Arial" w:cs="Arial"/>
        </w:rPr>
      </w:pPr>
      <w:r w:rsidRPr="00D979E7">
        <w:rPr>
          <w:rFonts w:ascii="Arial" w:hAnsi="Arial" w:cs="Arial"/>
        </w:rPr>
        <w:t xml:space="preserve">We </w:t>
      </w:r>
      <w:r w:rsidR="00F84826" w:rsidRPr="00D979E7">
        <w:rPr>
          <w:rFonts w:ascii="Arial" w:hAnsi="Arial" w:cs="Arial"/>
        </w:rPr>
        <w:t xml:space="preserve">have </w:t>
      </w:r>
      <w:r w:rsidRPr="00D979E7">
        <w:rPr>
          <w:rFonts w:ascii="Arial" w:hAnsi="Arial" w:cs="Arial"/>
        </w:rPr>
        <w:t>adjusted for the age effect by using a linear model</w:t>
      </w:r>
      <w:r w:rsidR="00373AD5" w:rsidRPr="00D979E7">
        <w:rPr>
          <w:rFonts w:ascii="Arial" w:hAnsi="Arial" w:cs="Arial"/>
        </w:rPr>
        <w:t xml:space="preserve">. In this case we have made the assumption </w:t>
      </w:r>
      <w:r w:rsidR="00F84826" w:rsidRPr="00D979E7">
        <w:rPr>
          <w:rFonts w:ascii="Arial" w:hAnsi="Arial" w:cs="Arial"/>
        </w:rPr>
        <w:t xml:space="preserve">that </w:t>
      </w:r>
      <w:r w:rsidR="00373AD5" w:rsidRPr="00D979E7">
        <w:rPr>
          <w:rFonts w:ascii="Arial" w:hAnsi="Arial" w:cs="Arial"/>
        </w:rPr>
        <w:t xml:space="preserve">the reduction in the rate of hospitalisation is linear over the ages 2 to 15. </w:t>
      </w:r>
      <w:r w:rsidR="00C323FA" w:rsidRPr="00D979E7">
        <w:rPr>
          <w:rFonts w:ascii="Arial" w:hAnsi="Arial" w:cs="Arial"/>
        </w:rPr>
        <w:t>The true relationship between age and hospitalisation</w:t>
      </w:r>
      <w:r w:rsidR="00F84826" w:rsidRPr="00D979E7">
        <w:rPr>
          <w:rFonts w:ascii="Arial" w:hAnsi="Arial" w:cs="Arial"/>
        </w:rPr>
        <w:t>s</w:t>
      </w:r>
      <w:r w:rsidR="008E776A" w:rsidRPr="00D979E7">
        <w:rPr>
          <w:rFonts w:ascii="Arial" w:hAnsi="Arial" w:cs="Arial"/>
        </w:rPr>
        <w:t xml:space="preserve"> </w:t>
      </w:r>
      <w:r w:rsidR="00C323FA" w:rsidRPr="00D979E7">
        <w:rPr>
          <w:rFonts w:ascii="Arial" w:hAnsi="Arial" w:cs="Arial"/>
        </w:rPr>
        <w:t xml:space="preserve">is an exponential decay curve, therefore </w:t>
      </w:r>
      <w:r w:rsidR="00957793" w:rsidRPr="00D979E7">
        <w:rPr>
          <w:rFonts w:ascii="Arial" w:hAnsi="Arial" w:cs="Arial"/>
        </w:rPr>
        <w:t xml:space="preserve">the </w:t>
      </w:r>
      <w:r w:rsidR="00C323FA" w:rsidRPr="00D979E7">
        <w:rPr>
          <w:rFonts w:ascii="Arial" w:hAnsi="Arial" w:cs="Arial"/>
        </w:rPr>
        <w:t>adjustment will underestimate the effect of changes in age for those</w:t>
      </w:r>
      <w:r w:rsidR="005A1C81" w:rsidRPr="00D979E7">
        <w:rPr>
          <w:rFonts w:ascii="Arial" w:hAnsi="Arial" w:cs="Arial"/>
        </w:rPr>
        <w:t xml:space="preserve"> in the younger groups</w:t>
      </w:r>
      <w:r w:rsidR="005D1B46" w:rsidRPr="00D979E7">
        <w:rPr>
          <w:rFonts w:ascii="Arial" w:hAnsi="Arial" w:cs="Arial"/>
        </w:rPr>
        <w:t>,</w:t>
      </w:r>
      <w:r w:rsidR="005A1C81" w:rsidRPr="00D979E7">
        <w:rPr>
          <w:rFonts w:ascii="Arial" w:hAnsi="Arial" w:cs="Arial"/>
        </w:rPr>
        <w:t xml:space="preserve"> and over</w:t>
      </w:r>
      <w:r w:rsidR="00C323FA" w:rsidRPr="00D979E7">
        <w:rPr>
          <w:rFonts w:ascii="Arial" w:hAnsi="Arial" w:cs="Arial"/>
        </w:rPr>
        <w:t>estimate the effect of changes in age for the older group</w:t>
      </w:r>
      <w:r w:rsidR="00F84826" w:rsidRPr="00D979E7">
        <w:rPr>
          <w:rFonts w:ascii="Arial" w:hAnsi="Arial" w:cs="Arial"/>
        </w:rPr>
        <w:t>.</w:t>
      </w:r>
      <w:r w:rsidR="00C323FA" w:rsidRPr="00D979E7">
        <w:rPr>
          <w:rFonts w:ascii="Arial" w:hAnsi="Arial" w:cs="Arial"/>
        </w:rPr>
        <w:t xml:space="preserve"> </w:t>
      </w:r>
      <w:r w:rsidR="00F84826" w:rsidRPr="00D979E7">
        <w:rPr>
          <w:rFonts w:ascii="Arial" w:hAnsi="Arial" w:cs="Arial"/>
        </w:rPr>
        <w:t>I</w:t>
      </w:r>
      <w:r w:rsidR="005A1C81" w:rsidRPr="00D979E7">
        <w:rPr>
          <w:rFonts w:ascii="Arial" w:hAnsi="Arial" w:cs="Arial"/>
        </w:rPr>
        <w:t>t is however an unbiased estimator of the average effect</w:t>
      </w:r>
      <w:r w:rsidR="00C323FA" w:rsidRPr="00D979E7">
        <w:rPr>
          <w:rFonts w:ascii="Arial" w:hAnsi="Arial" w:cs="Arial"/>
        </w:rPr>
        <w:t xml:space="preserve">. </w:t>
      </w:r>
      <w:r w:rsidRPr="00D979E7">
        <w:rPr>
          <w:rFonts w:ascii="Arial" w:hAnsi="Arial" w:cs="Arial"/>
        </w:rPr>
        <w:t>The overall effect of th</w:t>
      </w:r>
      <w:r w:rsidR="005A1C81" w:rsidRPr="00D979E7">
        <w:rPr>
          <w:rFonts w:ascii="Arial" w:hAnsi="Arial" w:cs="Arial"/>
        </w:rPr>
        <w:t>e age</w:t>
      </w:r>
      <w:r w:rsidRPr="00D979E7">
        <w:rPr>
          <w:rFonts w:ascii="Arial" w:hAnsi="Arial" w:cs="Arial"/>
        </w:rPr>
        <w:t xml:space="preserve"> adjustment is reasonably small when compared to the </w:t>
      </w:r>
      <w:r w:rsidR="00F84826" w:rsidRPr="00D979E7">
        <w:rPr>
          <w:rFonts w:ascii="Arial" w:hAnsi="Arial" w:cs="Arial"/>
        </w:rPr>
        <w:t xml:space="preserve">average </w:t>
      </w:r>
      <w:r w:rsidRPr="00D979E7">
        <w:rPr>
          <w:rFonts w:ascii="Arial" w:hAnsi="Arial" w:cs="Arial"/>
        </w:rPr>
        <w:t>before and after difference</w:t>
      </w:r>
      <w:r w:rsidR="00F84826" w:rsidRPr="00D979E7">
        <w:rPr>
          <w:rFonts w:ascii="Arial" w:hAnsi="Arial" w:cs="Arial"/>
        </w:rPr>
        <w:t xml:space="preserve"> observed</w:t>
      </w:r>
      <w:r w:rsidRPr="00D979E7">
        <w:rPr>
          <w:rFonts w:ascii="Arial" w:hAnsi="Arial" w:cs="Arial"/>
        </w:rPr>
        <w:t>.</w:t>
      </w:r>
      <w:r w:rsidR="005B652E" w:rsidRPr="00D979E7">
        <w:rPr>
          <w:rFonts w:ascii="Arial" w:hAnsi="Arial" w:cs="Arial"/>
        </w:rPr>
        <w:t xml:space="preserve"> </w:t>
      </w:r>
      <w:r w:rsidR="00957793" w:rsidRPr="00D979E7">
        <w:rPr>
          <w:rFonts w:ascii="Arial" w:hAnsi="Arial" w:cs="Arial"/>
        </w:rPr>
        <w:t>Using the Pharmaceutical Collection data, the evaluation has</w:t>
      </w:r>
      <w:r w:rsidR="00EF3251" w:rsidRPr="00D979E7">
        <w:rPr>
          <w:rFonts w:ascii="Arial" w:hAnsi="Arial" w:cs="Arial"/>
        </w:rPr>
        <w:t xml:space="preserve"> adjusted for age in each of the analyses </w:t>
      </w:r>
      <w:r w:rsidR="00ED40E4" w:rsidRPr="00D979E7">
        <w:rPr>
          <w:rFonts w:ascii="Arial" w:hAnsi="Arial" w:cs="Arial"/>
        </w:rPr>
        <w:t>to</w:t>
      </w:r>
      <w:r w:rsidR="00EF3251" w:rsidRPr="00D979E7">
        <w:rPr>
          <w:rFonts w:ascii="Arial" w:hAnsi="Arial" w:cs="Arial"/>
        </w:rPr>
        <w:t xml:space="preserve"> observe</w:t>
      </w:r>
      <w:r w:rsidR="00ED40E4" w:rsidRPr="00D979E7">
        <w:rPr>
          <w:rFonts w:ascii="Arial" w:hAnsi="Arial" w:cs="Arial"/>
        </w:rPr>
        <w:t xml:space="preserve"> any</w:t>
      </w:r>
      <w:r w:rsidR="00EF3251" w:rsidRPr="00D979E7">
        <w:rPr>
          <w:rFonts w:ascii="Arial" w:hAnsi="Arial" w:cs="Arial"/>
        </w:rPr>
        <w:t xml:space="preserve"> reduction in GP visits and of overall pharmaceutical </w:t>
      </w:r>
      <w:proofErr w:type="spellStart"/>
      <w:r w:rsidR="005B45DC" w:rsidRPr="00D979E7">
        <w:rPr>
          <w:rFonts w:ascii="Arial" w:hAnsi="Arial" w:cs="Arial"/>
        </w:rPr>
        <w:t>dispensings</w:t>
      </w:r>
      <w:proofErr w:type="spellEnd"/>
      <w:r w:rsidR="005B45DC" w:rsidRPr="00D979E7">
        <w:rPr>
          <w:rFonts w:ascii="Arial" w:hAnsi="Arial" w:cs="Arial"/>
        </w:rPr>
        <w:t xml:space="preserve">. The effect of age on pharmaceutical </w:t>
      </w:r>
      <w:proofErr w:type="spellStart"/>
      <w:r w:rsidR="005B45DC" w:rsidRPr="00D979E7">
        <w:rPr>
          <w:rFonts w:ascii="Arial" w:hAnsi="Arial" w:cs="Arial"/>
        </w:rPr>
        <w:t>dispensings</w:t>
      </w:r>
      <w:proofErr w:type="spellEnd"/>
      <w:r w:rsidR="005B45DC" w:rsidRPr="00D979E7">
        <w:rPr>
          <w:rFonts w:ascii="Arial" w:hAnsi="Arial" w:cs="Arial"/>
        </w:rPr>
        <w:t xml:space="preserve"> was unusually large and</w:t>
      </w:r>
      <w:r w:rsidR="00EF3251" w:rsidRPr="00D979E7">
        <w:rPr>
          <w:rFonts w:ascii="Arial" w:hAnsi="Arial" w:cs="Arial"/>
        </w:rPr>
        <w:t xml:space="preserve"> </w:t>
      </w:r>
      <w:r w:rsidR="005B45DC" w:rsidRPr="00D979E7">
        <w:rPr>
          <w:rFonts w:ascii="Arial" w:hAnsi="Arial" w:cs="Arial"/>
        </w:rPr>
        <w:t>resulted in a smaller effect for pharmaceutical th</w:t>
      </w:r>
      <w:r w:rsidR="00E954BA" w:rsidRPr="00D979E7">
        <w:rPr>
          <w:rFonts w:ascii="Arial" w:hAnsi="Arial" w:cs="Arial"/>
        </w:rPr>
        <w:t>a</w:t>
      </w:r>
      <w:r w:rsidR="005B45DC" w:rsidRPr="00D979E7">
        <w:rPr>
          <w:rFonts w:ascii="Arial" w:hAnsi="Arial" w:cs="Arial"/>
        </w:rPr>
        <w:t>n expected</w:t>
      </w:r>
      <w:r w:rsidR="00E954BA" w:rsidRPr="00D979E7">
        <w:rPr>
          <w:rFonts w:ascii="Arial" w:hAnsi="Arial" w:cs="Arial"/>
        </w:rPr>
        <w:t xml:space="preserve"> compared to the results in both </w:t>
      </w:r>
      <w:r w:rsidR="005B45DC" w:rsidRPr="00D979E7">
        <w:rPr>
          <w:rFonts w:ascii="Arial" w:hAnsi="Arial" w:cs="Arial"/>
        </w:rPr>
        <w:t xml:space="preserve">the Hospitalisation and GP </w:t>
      </w:r>
      <w:r w:rsidR="00E954BA" w:rsidRPr="00D979E7">
        <w:rPr>
          <w:rFonts w:ascii="Arial" w:hAnsi="Arial" w:cs="Arial"/>
        </w:rPr>
        <w:t>analyses</w:t>
      </w:r>
      <w:r w:rsidR="005B45DC" w:rsidRPr="00D979E7">
        <w:rPr>
          <w:rFonts w:ascii="Arial" w:hAnsi="Arial" w:cs="Arial"/>
        </w:rPr>
        <w:t>.</w:t>
      </w:r>
    </w:p>
    <w:p w14:paraId="0A3781D9" w14:textId="2EE65795" w:rsidR="005B652E" w:rsidRPr="00D979E7" w:rsidRDefault="005B652E" w:rsidP="00271FB7">
      <w:pPr>
        <w:pStyle w:val="Heading4"/>
        <w:spacing w:before="120" w:after="120" w:line="240" w:lineRule="auto"/>
        <w:rPr>
          <w:rFonts w:ascii="Arial" w:hAnsi="Arial" w:cs="Arial"/>
        </w:rPr>
      </w:pPr>
      <w:r w:rsidRPr="00D979E7">
        <w:rPr>
          <w:rFonts w:ascii="Arial" w:hAnsi="Arial" w:cs="Arial"/>
        </w:rPr>
        <w:t>Selection bias</w:t>
      </w:r>
    </w:p>
    <w:p w14:paraId="4BD885C4" w14:textId="7FE39E48" w:rsidR="008E776A" w:rsidRPr="00D979E7" w:rsidRDefault="00EF5395" w:rsidP="00271FB7">
      <w:pPr>
        <w:spacing w:before="120" w:after="120" w:line="240" w:lineRule="auto"/>
        <w:rPr>
          <w:rFonts w:ascii="Arial" w:hAnsi="Arial" w:cs="Arial"/>
        </w:rPr>
      </w:pPr>
      <w:r w:rsidRPr="00D979E7">
        <w:rPr>
          <w:rFonts w:ascii="Arial" w:hAnsi="Arial" w:cs="Arial"/>
        </w:rPr>
        <w:t>The HHI is a targeted intervention</w:t>
      </w:r>
      <w:r w:rsidR="005B652E" w:rsidRPr="00D979E7">
        <w:rPr>
          <w:rFonts w:ascii="Arial" w:hAnsi="Arial" w:cs="Arial"/>
        </w:rPr>
        <w:t>, which also means that there is a selection bias to account for in any comparison of a pre-intervention/post-intervention. The HHI is</w:t>
      </w:r>
      <w:r w:rsidRPr="00D979E7">
        <w:rPr>
          <w:rFonts w:ascii="Arial" w:hAnsi="Arial" w:cs="Arial"/>
        </w:rPr>
        <w:t xml:space="preserve"> targeted at low-income families living in unsuitable housing with</w:t>
      </w:r>
      <w:r w:rsidR="00AD0CB6" w:rsidRPr="00D979E7">
        <w:rPr>
          <w:rFonts w:ascii="Arial" w:hAnsi="Arial" w:cs="Arial"/>
        </w:rPr>
        <w:t xml:space="preserve"> children who have</w:t>
      </w:r>
      <w:r w:rsidRPr="00D979E7">
        <w:rPr>
          <w:rFonts w:ascii="Arial" w:hAnsi="Arial" w:cs="Arial"/>
        </w:rPr>
        <w:t xml:space="preserve"> high health needs. </w:t>
      </w:r>
      <w:r w:rsidRPr="00D979E7">
        <w:rPr>
          <w:rFonts w:ascii="Arial" w:hAnsi="Arial" w:cs="Arial"/>
        </w:rPr>
        <w:lastRenderedPageBreak/>
        <w:t>R</w:t>
      </w:r>
      <w:r w:rsidR="00810D30" w:rsidRPr="00D979E7">
        <w:rPr>
          <w:rFonts w:ascii="Arial" w:hAnsi="Arial" w:cs="Arial"/>
        </w:rPr>
        <w:t xml:space="preserve">eferral to </w:t>
      </w:r>
      <w:r w:rsidRPr="00D979E7">
        <w:rPr>
          <w:rFonts w:ascii="Arial" w:hAnsi="Arial" w:cs="Arial"/>
        </w:rPr>
        <w:t xml:space="preserve">and acceptance into the HHI programme is partially based on </w:t>
      </w:r>
      <w:r w:rsidR="005B652E" w:rsidRPr="00D979E7">
        <w:rPr>
          <w:rFonts w:ascii="Arial" w:hAnsi="Arial" w:cs="Arial"/>
        </w:rPr>
        <w:t xml:space="preserve">a </w:t>
      </w:r>
      <w:r w:rsidRPr="00D979E7">
        <w:rPr>
          <w:rFonts w:ascii="Arial" w:hAnsi="Arial" w:cs="Arial"/>
        </w:rPr>
        <w:t>previous hospitalisation</w:t>
      </w:r>
      <w:r w:rsidR="000F3ED0" w:rsidRPr="00D979E7">
        <w:rPr>
          <w:rFonts w:ascii="Arial" w:hAnsi="Arial" w:cs="Arial"/>
        </w:rPr>
        <w:t xml:space="preserve"> for a limited list of Housing </w:t>
      </w:r>
      <w:r w:rsidR="00EF3251" w:rsidRPr="00D979E7">
        <w:rPr>
          <w:rFonts w:ascii="Arial" w:hAnsi="Arial" w:cs="Arial"/>
        </w:rPr>
        <w:t>S</w:t>
      </w:r>
      <w:r w:rsidR="000F3ED0" w:rsidRPr="00D979E7">
        <w:rPr>
          <w:rFonts w:ascii="Arial" w:hAnsi="Arial" w:cs="Arial"/>
        </w:rPr>
        <w:t>ensitive Hospitalisations</w:t>
      </w:r>
      <w:r w:rsidR="005B652E" w:rsidRPr="00D979E7">
        <w:rPr>
          <w:rFonts w:ascii="Arial" w:hAnsi="Arial" w:cs="Arial"/>
        </w:rPr>
        <w:t>. The fact that such hospitalisations are one of the eligibility criteria for two of the four referral groups</w:t>
      </w:r>
      <w:r w:rsidRPr="00D979E7">
        <w:rPr>
          <w:rFonts w:ascii="Arial" w:hAnsi="Arial" w:cs="Arial"/>
        </w:rPr>
        <w:t xml:space="preserve"> creates a selection bias. </w:t>
      </w:r>
      <w:r w:rsidR="005B652E" w:rsidRPr="00D979E7">
        <w:rPr>
          <w:rFonts w:ascii="Arial" w:hAnsi="Arial" w:cs="Arial"/>
        </w:rPr>
        <w:t>Specifically, a</w:t>
      </w:r>
      <w:r w:rsidRPr="00D979E7">
        <w:rPr>
          <w:rFonts w:ascii="Arial" w:hAnsi="Arial" w:cs="Arial"/>
        </w:rPr>
        <w:t xml:space="preserve">mongst our population </w:t>
      </w:r>
      <w:r w:rsidR="00AD0CB6" w:rsidRPr="00D979E7">
        <w:rPr>
          <w:rFonts w:ascii="Arial" w:hAnsi="Arial" w:cs="Arial"/>
        </w:rPr>
        <w:t xml:space="preserve">of low-income families living in unsuitable housing with children who have high health needs, </w:t>
      </w:r>
      <w:r w:rsidR="005D1B46" w:rsidRPr="00D979E7">
        <w:rPr>
          <w:rFonts w:ascii="Arial" w:hAnsi="Arial" w:cs="Arial"/>
        </w:rPr>
        <w:t>the programme is more likely to capture</w:t>
      </w:r>
      <w:r w:rsidR="00AD0CB6" w:rsidRPr="00D979E7">
        <w:rPr>
          <w:rFonts w:ascii="Arial" w:hAnsi="Arial" w:cs="Arial"/>
        </w:rPr>
        <w:t xml:space="preserve"> families whose children have been hospitalised </w:t>
      </w:r>
      <w:r w:rsidR="000F3ED0" w:rsidRPr="00D979E7">
        <w:rPr>
          <w:rFonts w:ascii="Arial" w:hAnsi="Arial" w:cs="Arial"/>
        </w:rPr>
        <w:t xml:space="preserve">for these diseases </w:t>
      </w:r>
      <w:r w:rsidR="00AD0CB6" w:rsidRPr="00D979E7">
        <w:rPr>
          <w:rFonts w:ascii="Arial" w:hAnsi="Arial" w:cs="Arial"/>
        </w:rPr>
        <w:t>in the 12 months</w:t>
      </w:r>
      <w:r w:rsidR="00EF3251" w:rsidRPr="00D979E7">
        <w:rPr>
          <w:rFonts w:ascii="Arial" w:hAnsi="Arial" w:cs="Arial"/>
        </w:rPr>
        <w:t xml:space="preserve"> immediately prior to referral</w:t>
      </w:r>
      <w:r w:rsidR="00AD0CB6" w:rsidRPr="00D979E7">
        <w:rPr>
          <w:rFonts w:ascii="Arial" w:hAnsi="Arial" w:cs="Arial"/>
        </w:rPr>
        <w:t>. Therefore</w:t>
      </w:r>
      <w:r w:rsidR="005B652E" w:rsidRPr="00D979E7">
        <w:rPr>
          <w:rFonts w:ascii="Arial" w:hAnsi="Arial" w:cs="Arial"/>
        </w:rPr>
        <w:t>,</w:t>
      </w:r>
      <w:r w:rsidR="00AD0CB6" w:rsidRPr="00D979E7">
        <w:rPr>
          <w:rFonts w:ascii="Arial" w:hAnsi="Arial" w:cs="Arial"/>
        </w:rPr>
        <w:t xml:space="preserve"> the </w:t>
      </w:r>
      <w:r w:rsidR="00EF3251" w:rsidRPr="00D979E7">
        <w:rPr>
          <w:rFonts w:ascii="Arial" w:hAnsi="Arial" w:cs="Arial"/>
        </w:rPr>
        <w:t xml:space="preserve">‘pre-intervention’ </w:t>
      </w:r>
      <w:r w:rsidR="00AD0CB6" w:rsidRPr="00D979E7">
        <w:rPr>
          <w:rFonts w:ascii="Arial" w:hAnsi="Arial" w:cs="Arial"/>
        </w:rPr>
        <w:t>rate of hospitalisation</w:t>
      </w:r>
      <w:r w:rsidR="00E41110" w:rsidRPr="00D979E7">
        <w:rPr>
          <w:rFonts w:ascii="Arial" w:hAnsi="Arial" w:cs="Arial"/>
        </w:rPr>
        <w:t xml:space="preserve"> seen in our </w:t>
      </w:r>
      <w:r w:rsidR="00E954BA" w:rsidRPr="00D979E7">
        <w:rPr>
          <w:rFonts w:ascii="Arial" w:hAnsi="Arial" w:cs="Arial"/>
        </w:rPr>
        <w:t xml:space="preserve">evaluation sample population of referrals </w:t>
      </w:r>
      <w:r w:rsidR="00E41110" w:rsidRPr="00D979E7">
        <w:rPr>
          <w:rFonts w:ascii="Arial" w:hAnsi="Arial" w:cs="Arial"/>
        </w:rPr>
        <w:t>is higher than that of the population they are sampled from</w:t>
      </w:r>
      <w:r w:rsidR="00E954BA" w:rsidRPr="00D979E7">
        <w:rPr>
          <w:rFonts w:ascii="Arial" w:hAnsi="Arial" w:cs="Arial"/>
        </w:rPr>
        <w:t xml:space="preserve">. This </w:t>
      </w:r>
      <w:r w:rsidR="005B652E" w:rsidRPr="00D979E7">
        <w:rPr>
          <w:rFonts w:ascii="Arial" w:hAnsi="Arial" w:cs="Arial"/>
        </w:rPr>
        <w:t xml:space="preserve">has the effect of making a difference between the observation periods </w:t>
      </w:r>
      <w:r w:rsidR="00E954BA" w:rsidRPr="00D979E7">
        <w:rPr>
          <w:rFonts w:ascii="Arial" w:hAnsi="Arial" w:cs="Arial"/>
        </w:rPr>
        <w:t xml:space="preserve">(pre-post) </w:t>
      </w:r>
      <w:r w:rsidR="005B652E" w:rsidRPr="00D979E7">
        <w:rPr>
          <w:rFonts w:ascii="Arial" w:hAnsi="Arial" w:cs="Arial"/>
        </w:rPr>
        <w:t>appear larger than what can truly be attribut</w:t>
      </w:r>
      <w:r w:rsidR="00E954BA" w:rsidRPr="00D979E7">
        <w:rPr>
          <w:rFonts w:ascii="Arial" w:hAnsi="Arial" w:cs="Arial"/>
        </w:rPr>
        <w:t>ed</w:t>
      </w:r>
      <w:r w:rsidR="005B652E" w:rsidRPr="00D979E7">
        <w:rPr>
          <w:rFonts w:ascii="Arial" w:hAnsi="Arial" w:cs="Arial"/>
        </w:rPr>
        <w:t xml:space="preserve"> to the HHI programme itself</w:t>
      </w:r>
      <w:r w:rsidR="00E41110" w:rsidRPr="00D979E7">
        <w:rPr>
          <w:rFonts w:ascii="Arial" w:hAnsi="Arial" w:cs="Arial"/>
        </w:rPr>
        <w:t>.</w:t>
      </w:r>
      <w:r w:rsidR="00B3709A" w:rsidRPr="00D979E7">
        <w:rPr>
          <w:rFonts w:ascii="Arial" w:hAnsi="Arial" w:cs="Arial"/>
        </w:rPr>
        <w:t xml:space="preserve"> I</w:t>
      </w:r>
      <w:r w:rsidR="00F84826" w:rsidRPr="00D979E7">
        <w:rPr>
          <w:rFonts w:ascii="Arial" w:hAnsi="Arial" w:cs="Arial"/>
        </w:rPr>
        <w:t>n</w:t>
      </w:r>
      <w:r w:rsidR="00B3709A" w:rsidRPr="00D979E7">
        <w:rPr>
          <w:rFonts w:ascii="Arial" w:hAnsi="Arial" w:cs="Arial"/>
        </w:rPr>
        <w:t xml:space="preserve"> order to estimate how large this selection bias</w:t>
      </w:r>
      <w:r w:rsidR="005D1B46" w:rsidRPr="00D979E7">
        <w:rPr>
          <w:rFonts w:ascii="Arial" w:hAnsi="Arial" w:cs="Arial"/>
        </w:rPr>
        <w:t xml:space="preserve"> is</w:t>
      </w:r>
      <w:r w:rsidR="00B3709A" w:rsidRPr="00D979E7">
        <w:rPr>
          <w:rFonts w:ascii="Arial" w:hAnsi="Arial" w:cs="Arial"/>
        </w:rPr>
        <w:t xml:space="preserve"> in the </w:t>
      </w:r>
      <w:r w:rsidR="00E954BA" w:rsidRPr="00D979E7">
        <w:rPr>
          <w:rFonts w:ascii="Arial" w:hAnsi="Arial" w:cs="Arial"/>
        </w:rPr>
        <w:t xml:space="preserve">pre-intervention </w:t>
      </w:r>
      <w:r w:rsidR="00B3709A" w:rsidRPr="00D979E7">
        <w:rPr>
          <w:rFonts w:ascii="Arial" w:hAnsi="Arial" w:cs="Arial"/>
        </w:rPr>
        <w:t>rate</w:t>
      </w:r>
      <w:r w:rsidR="005D1B46" w:rsidRPr="00D979E7">
        <w:rPr>
          <w:rFonts w:ascii="Arial" w:hAnsi="Arial" w:cs="Arial"/>
        </w:rPr>
        <w:t>,</w:t>
      </w:r>
      <w:r w:rsidR="00B3709A" w:rsidRPr="00D979E7">
        <w:rPr>
          <w:rFonts w:ascii="Arial" w:hAnsi="Arial" w:cs="Arial"/>
        </w:rPr>
        <w:t xml:space="preserve"> we need</w:t>
      </w:r>
      <w:r w:rsidR="00ED3766" w:rsidRPr="00D979E7">
        <w:rPr>
          <w:rFonts w:ascii="Arial" w:hAnsi="Arial" w:cs="Arial"/>
        </w:rPr>
        <w:t>ed</w:t>
      </w:r>
      <w:r w:rsidR="00B3709A" w:rsidRPr="00D979E7">
        <w:rPr>
          <w:rFonts w:ascii="Arial" w:hAnsi="Arial" w:cs="Arial"/>
        </w:rPr>
        <w:t xml:space="preserve"> to </w:t>
      </w:r>
      <w:r w:rsidR="00ED3766" w:rsidRPr="00D979E7">
        <w:rPr>
          <w:rFonts w:ascii="Arial" w:hAnsi="Arial" w:cs="Arial"/>
        </w:rPr>
        <w:t xml:space="preserve">make the assumption that the HHIs prevent PAHHE </w:t>
      </w:r>
      <w:r w:rsidR="005B652E" w:rsidRPr="00D979E7">
        <w:rPr>
          <w:rFonts w:ascii="Arial" w:hAnsi="Arial" w:cs="Arial"/>
        </w:rPr>
        <w:t xml:space="preserve">hospitalisations </w:t>
      </w:r>
      <w:r w:rsidR="00ED3766" w:rsidRPr="00D979E7">
        <w:rPr>
          <w:rFonts w:ascii="Arial" w:hAnsi="Arial" w:cs="Arial"/>
        </w:rPr>
        <w:t>and HSH at exactly the same rate</w:t>
      </w:r>
      <w:r w:rsidR="005B652E" w:rsidRPr="00D979E7">
        <w:rPr>
          <w:rFonts w:ascii="Arial" w:hAnsi="Arial" w:cs="Arial"/>
        </w:rPr>
        <w:t xml:space="preserve">, </w:t>
      </w:r>
      <w:r w:rsidR="007C2A56" w:rsidRPr="00D979E7">
        <w:rPr>
          <w:rFonts w:ascii="Arial" w:hAnsi="Arial" w:cs="Arial"/>
        </w:rPr>
        <w:t>with the critical difference between them being that only HSH are used as indicator conditions for programme eligibility in many referrals</w:t>
      </w:r>
      <w:r w:rsidR="00047B74" w:rsidRPr="00D979E7">
        <w:rPr>
          <w:rFonts w:ascii="Arial" w:hAnsi="Arial" w:cs="Arial"/>
        </w:rPr>
        <w:t>.</w:t>
      </w:r>
      <w:r w:rsidR="00ED3766" w:rsidRPr="00D979E7">
        <w:rPr>
          <w:rFonts w:ascii="Arial" w:hAnsi="Arial" w:cs="Arial"/>
        </w:rPr>
        <w:t xml:space="preserve"> This is likely an overestimate of the selection effect</w:t>
      </w:r>
      <w:r w:rsidR="00E954BA" w:rsidRPr="00D979E7">
        <w:rPr>
          <w:rFonts w:ascii="Arial" w:hAnsi="Arial" w:cs="Arial"/>
        </w:rPr>
        <w:t>, as</w:t>
      </w:r>
      <w:r w:rsidR="00ED3766" w:rsidRPr="00D979E7">
        <w:rPr>
          <w:rFonts w:ascii="Arial" w:hAnsi="Arial" w:cs="Arial"/>
        </w:rPr>
        <w:t xml:space="preserve"> the HSH were chosen at least in part on their assumed preventability. This </w:t>
      </w:r>
      <w:r w:rsidR="00E954BA" w:rsidRPr="00D979E7">
        <w:rPr>
          <w:rFonts w:ascii="Arial" w:hAnsi="Arial" w:cs="Arial"/>
        </w:rPr>
        <w:t xml:space="preserve">likely </w:t>
      </w:r>
      <w:r w:rsidR="00ED3766" w:rsidRPr="00D979E7">
        <w:rPr>
          <w:rFonts w:ascii="Arial" w:hAnsi="Arial" w:cs="Arial"/>
        </w:rPr>
        <w:t>means o</w:t>
      </w:r>
      <w:r w:rsidR="00B20AD6" w:rsidRPr="00D979E7">
        <w:rPr>
          <w:rFonts w:ascii="Arial" w:hAnsi="Arial" w:cs="Arial"/>
        </w:rPr>
        <w:t>u</w:t>
      </w:r>
      <w:r w:rsidR="00ED3766" w:rsidRPr="00D979E7">
        <w:rPr>
          <w:rFonts w:ascii="Arial" w:hAnsi="Arial" w:cs="Arial"/>
        </w:rPr>
        <w:t>r estimate for the number of hospitalisations prevent</w:t>
      </w:r>
      <w:r w:rsidR="00EF3251" w:rsidRPr="00D979E7">
        <w:rPr>
          <w:rFonts w:ascii="Arial" w:hAnsi="Arial" w:cs="Arial"/>
        </w:rPr>
        <w:t>ed</w:t>
      </w:r>
      <w:r w:rsidR="00ED3766" w:rsidRPr="00D979E7">
        <w:rPr>
          <w:rFonts w:ascii="Arial" w:hAnsi="Arial" w:cs="Arial"/>
        </w:rPr>
        <w:t xml:space="preserve"> is conservative.</w:t>
      </w:r>
    </w:p>
    <w:p w14:paraId="10A12866" w14:textId="3D02DBA2" w:rsidR="00ED3766" w:rsidRPr="00D979E7" w:rsidRDefault="00ED3766" w:rsidP="00271FB7">
      <w:pPr>
        <w:spacing w:before="120" w:after="120" w:line="240" w:lineRule="auto"/>
        <w:rPr>
          <w:rFonts w:ascii="Arial" w:hAnsi="Arial" w:cs="Arial"/>
        </w:rPr>
      </w:pPr>
      <w:r w:rsidRPr="00D979E7">
        <w:rPr>
          <w:rFonts w:ascii="Arial" w:hAnsi="Arial" w:cs="Arial"/>
        </w:rPr>
        <w:t>GP visits and pharmaceuticals were not explicit</w:t>
      </w:r>
      <w:r w:rsidR="00B20AD6" w:rsidRPr="00D979E7">
        <w:rPr>
          <w:rFonts w:ascii="Arial" w:hAnsi="Arial" w:cs="Arial"/>
        </w:rPr>
        <w:t>ly</w:t>
      </w:r>
      <w:r w:rsidRPr="00D979E7">
        <w:rPr>
          <w:rFonts w:ascii="Arial" w:hAnsi="Arial" w:cs="Arial"/>
        </w:rPr>
        <w:t xml:space="preserve"> </w:t>
      </w:r>
      <w:r w:rsidR="00B20AD6" w:rsidRPr="00D979E7">
        <w:rPr>
          <w:rFonts w:ascii="Arial" w:hAnsi="Arial" w:cs="Arial"/>
        </w:rPr>
        <w:t xml:space="preserve">entry </w:t>
      </w:r>
      <w:r w:rsidRPr="00D979E7">
        <w:rPr>
          <w:rFonts w:ascii="Arial" w:hAnsi="Arial" w:cs="Arial"/>
        </w:rPr>
        <w:t>criteria for the HHI</w:t>
      </w:r>
      <w:r w:rsidR="00E954BA" w:rsidRPr="00D979E7">
        <w:rPr>
          <w:rFonts w:ascii="Arial" w:hAnsi="Arial" w:cs="Arial"/>
        </w:rPr>
        <w:t xml:space="preserve"> and these </w:t>
      </w:r>
      <w:r w:rsidRPr="00D979E7">
        <w:rPr>
          <w:rFonts w:ascii="Arial" w:hAnsi="Arial" w:cs="Arial"/>
        </w:rPr>
        <w:t xml:space="preserve">estimates </w:t>
      </w:r>
      <w:r w:rsidR="00E954BA" w:rsidRPr="00D979E7">
        <w:rPr>
          <w:rFonts w:ascii="Arial" w:hAnsi="Arial" w:cs="Arial"/>
        </w:rPr>
        <w:t xml:space="preserve">were therefore not adjusted </w:t>
      </w:r>
      <w:r w:rsidRPr="00D979E7">
        <w:rPr>
          <w:rFonts w:ascii="Arial" w:hAnsi="Arial" w:cs="Arial"/>
        </w:rPr>
        <w:t>for selection bias.</w:t>
      </w:r>
      <w:r w:rsidR="007C0BBF" w:rsidRPr="00D979E7">
        <w:rPr>
          <w:rFonts w:ascii="Arial" w:hAnsi="Arial" w:cs="Arial"/>
        </w:rPr>
        <w:t xml:space="preserve"> However, there is likely some underlying correlation between hospitalisation and GP visits </w:t>
      </w:r>
      <w:r w:rsidR="00B20AD6" w:rsidRPr="00D979E7">
        <w:rPr>
          <w:rFonts w:ascii="Arial" w:hAnsi="Arial" w:cs="Arial"/>
        </w:rPr>
        <w:t xml:space="preserve">and, as a result, </w:t>
      </w:r>
      <w:proofErr w:type="spellStart"/>
      <w:r w:rsidR="00B20AD6" w:rsidRPr="00D979E7">
        <w:rPr>
          <w:rFonts w:ascii="Arial" w:hAnsi="Arial" w:cs="Arial"/>
        </w:rPr>
        <w:t>dispe</w:t>
      </w:r>
      <w:r w:rsidR="005B652E" w:rsidRPr="00D979E7">
        <w:rPr>
          <w:rFonts w:ascii="Arial" w:hAnsi="Arial" w:cs="Arial"/>
        </w:rPr>
        <w:t>nsings</w:t>
      </w:r>
      <w:proofErr w:type="spellEnd"/>
      <w:r w:rsidR="005B652E" w:rsidRPr="00D979E7">
        <w:rPr>
          <w:rFonts w:ascii="Arial" w:hAnsi="Arial" w:cs="Arial"/>
        </w:rPr>
        <w:t xml:space="preserve"> at community pharmacists. T</w:t>
      </w:r>
      <w:r w:rsidR="007C0BBF" w:rsidRPr="00D979E7">
        <w:rPr>
          <w:rFonts w:ascii="Arial" w:hAnsi="Arial" w:cs="Arial"/>
        </w:rPr>
        <w:t>herefore</w:t>
      </w:r>
      <w:r w:rsidR="00731765" w:rsidRPr="00D979E7">
        <w:rPr>
          <w:rFonts w:ascii="Arial" w:hAnsi="Arial" w:cs="Arial"/>
        </w:rPr>
        <w:t>,</w:t>
      </w:r>
      <w:r w:rsidR="007C0BBF" w:rsidRPr="00D979E7">
        <w:rPr>
          <w:rFonts w:ascii="Arial" w:hAnsi="Arial" w:cs="Arial"/>
        </w:rPr>
        <w:t xml:space="preserve"> there may be some selection bias in th</w:t>
      </w:r>
      <w:r w:rsidR="00B20AD6" w:rsidRPr="00D979E7">
        <w:rPr>
          <w:rFonts w:ascii="Arial" w:hAnsi="Arial" w:cs="Arial"/>
        </w:rPr>
        <w:t>e</w:t>
      </w:r>
      <w:r w:rsidR="00E954BA" w:rsidRPr="00D979E7">
        <w:rPr>
          <w:rFonts w:ascii="Arial" w:hAnsi="Arial" w:cs="Arial"/>
        </w:rPr>
        <w:t xml:space="preserve"> pre-intervention </w:t>
      </w:r>
      <w:r w:rsidR="005B652E" w:rsidRPr="00D979E7">
        <w:rPr>
          <w:rFonts w:ascii="Arial" w:hAnsi="Arial" w:cs="Arial"/>
        </w:rPr>
        <w:t xml:space="preserve">numbers </w:t>
      </w:r>
      <w:r w:rsidR="00E954BA" w:rsidRPr="00D979E7">
        <w:rPr>
          <w:rFonts w:ascii="Arial" w:hAnsi="Arial" w:cs="Arial"/>
        </w:rPr>
        <w:t xml:space="preserve">that have not been accounted for; </w:t>
      </w:r>
      <w:r w:rsidR="007C0BBF" w:rsidRPr="00D979E7">
        <w:rPr>
          <w:rFonts w:ascii="Arial" w:hAnsi="Arial" w:cs="Arial"/>
        </w:rPr>
        <w:t>this effect is likely to</w:t>
      </w:r>
      <w:r w:rsidR="00731765" w:rsidRPr="00D979E7">
        <w:rPr>
          <w:rFonts w:ascii="Arial" w:hAnsi="Arial" w:cs="Arial"/>
        </w:rPr>
        <w:t xml:space="preserve"> be</w:t>
      </w:r>
      <w:r w:rsidR="007C0BBF" w:rsidRPr="00D979E7">
        <w:rPr>
          <w:rFonts w:ascii="Arial" w:hAnsi="Arial" w:cs="Arial"/>
        </w:rPr>
        <w:t xml:space="preserve"> small.</w:t>
      </w:r>
      <w:r w:rsidR="00DB4D09" w:rsidRPr="00D979E7">
        <w:rPr>
          <w:rFonts w:ascii="Arial" w:hAnsi="Arial" w:cs="Arial"/>
        </w:rPr>
        <w:t xml:space="preserve">  </w:t>
      </w:r>
    </w:p>
    <w:p w14:paraId="2C56D60B" w14:textId="4723ABE7" w:rsidR="005B652E" w:rsidRPr="00D979E7" w:rsidRDefault="005B652E" w:rsidP="00271FB7">
      <w:pPr>
        <w:pStyle w:val="Heading3"/>
        <w:spacing w:before="120" w:after="120" w:line="240" w:lineRule="auto"/>
        <w:rPr>
          <w:rFonts w:ascii="Arial" w:hAnsi="Arial" w:cs="Arial"/>
        </w:rPr>
      </w:pPr>
      <w:bookmarkStart w:id="32" w:name="_Toc19715053"/>
      <w:r w:rsidRPr="00D979E7">
        <w:rPr>
          <w:rFonts w:ascii="Arial" w:hAnsi="Arial" w:cs="Arial"/>
        </w:rPr>
        <w:t>Observation period</w:t>
      </w:r>
      <w:bookmarkEnd w:id="32"/>
      <w:r w:rsidRPr="00D979E7">
        <w:rPr>
          <w:rFonts w:ascii="Arial" w:hAnsi="Arial" w:cs="Arial"/>
        </w:rPr>
        <w:t xml:space="preserve"> </w:t>
      </w:r>
    </w:p>
    <w:p w14:paraId="25E16208" w14:textId="14217F9B" w:rsidR="00DB4D09" w:rsidRPr="00D979E7" w:rsidRDefault="00D25573" w:rsidP="00271FB7">
      <w:pPr>
        <w:spacing w:before="120" w:after="120" w:line="240" w:lineRule="auto"/>
        <w:rPr>
          <w:rFonts w:ascii="Arial" w:hAnsi="Arial" w:cs="Arial"/>
        </w:rPr>
      </w:pPr>
      <w:r w:rsidRPr="00D979E7">
        <w:rPr>
          <w:rFonts w:ascii="Arial" w:hAnsi="Arial" w:cs="Arial"/>
        </w:rPr>
        <w:t xml:space="preserve">The </w:t>
      </w:r>
      <w:r w:rsidR="00E954BA" w:rsidRPr="00D979E7">
        <w:rPr>
          <w:rFonts w:ascii="Arial" w:hAnsi="Arial" w:cs="Arial"/>
        </w:rPr>
        <w:t xml:space="preserve">interim </w:t>
      </w:r>
      <w:r w:rsidRPr="00D979E7">
        <w:rPr>
          <w:rFonts w:ascii="Arial" w:hAnsi="Arial" w:cs="Arial"/>
        </w:rPr>
        <w:t>analysis is</w:t>
      </w:r>
      <w:r w:rsidR="00DB4D09" w:rsidRPr="00D979E7">
        <w:rPr>
          <w:rFonts w:ascii="Arial" w:hAnsi="Arial" w:cs="Arial"/>
        </w:rPr>
        <w:t xml:space="preserve"> also limited in the follow-up period after the intervention due to the recent implementation of the programme and the small sample size currently available.  Ideally, the costs </w:t>
      </w:r>
      <w:r w:rsidRPr="00D979E7">
        <w:rPr>
          <w:rFonts w:ascii="Arial" w:hAnsi="Arial" w:cs="Arial"/>
        </w:rPr>
        <w:t xml:space="preserve">would be estimated </w:t>
      </w:r>
      <w:r w:rsidR="00DB4D09" w:rsidRPr="00D979E7">
        <w:rPr>
          <w:rFonts w:ascii="Arial" w:hAnsi="Arial" w:cs="Arial"/>
        </w:rPr>
        <w:t>beyond year one</w:t>
      </w:r>
      <w:r w:rsidRPr="00D979E7">
        <w:rPr>
          <w:rFonts w:ascii="Arial" w:hAnsi="Arial" w:cs="Arial"/>
        </w:rPr>
        <w:t xml:space="preserve"> using empirical estimates of the effectiveness</w:t>
      </w:r>
      <w:r w:rsidR="00DB4D09" w:rsidRPr="00D979E7">
        <w:rPr>
          <w:rFonts w:ascii="Arial" w:hAnsi="Arial" w:cs="Arial"/>
        </w:rPr>
        <w:t xml:space="preserve"> </w:t>
      </w:r>
      <w:r w:rsidRPr="00D979E7">
        <w:rPr>
          <w:rFonts w:ascii="Arial" w:hAnsi="Arial" w:cs="Arial"/>
        </w:rPr>
        <w:t xml:space="preserve">of the program </w:t>
      </w:r>
      <w:r w:rsidR="00DB4D09" w:rsidRPr="00D979E7">
        <w:rPr>
          <w:rFonts w:ascii="Arial" w:hAnsi="Arial" w:cs="Arial"/>
        </w:rPr>
        <w:t xml:space="preserve">to see if the effects persist or possibly even get stronger. </w:t>
      </w:r>
      <w:r w:rsidR="005B652E" w:rsidRPr="00D979E7">
        <w:rPr>
          <w:rFonts w:ascii="Arial" w:hAnsi="Arial" w:cs="Arial"/>
        </w:rPr>
        <w:t xml:space="preserve">This will be more </w:t>
      </w:r>
      <w:r w:rsidR="00FC2822" w:rsidRPr="00D979E7">
        <w:rPr>
          <w:rFonts w:ascii="Arial" w:hAnsi="Arial" w:cs="Arial"/>
        </w:rPr>
        <w:t>feas</w:t>
      </w:r>
      <w:r w:rsidR="005B652E" w:rsidRPr="00D979E7">
        <w:rPr>
          <w:rFonts w:ascii="Arial" w:hAnsi="Arial" w:cs="Arial"/>
        </w:rPr>
        <w:t xml:space="preserve">ible in </w:t>
      </w:r>
      <w:r w:rsidR="00E954BA" w:rsidRPr="00D979E7">
        <w:rPr>
          <w:rFonts w:ascii="Arial" w:hAnsi="Arial" w:cs="Arial"/>
        </w:rPr>
        <w:t>the next phase</w:t>
      </w:r>
      <w:r w:rsidR="005B652E" w:rsidRPr="00D979E7">
        <w:rPr>
          <w:rFonts w:ascii="Arial" w:hAnsi="Arial" w:cs="Arial"/>
        </w:rPr>
        <w:t xml:space="preserve"> of </w:t>
      </w:r>
      <w:r w:rsidR="00E954BA" w:rsidRPr="00D979E7">
        <w:rPr>
          <w:rFonts w:ascii="Arial" w:hAnsi="Arial" w:cs="Arial"/>
        </w:rPr>
        <w:t xml:space="preserve">this </w:t>
      </w:r>
      <w:r w:rsidR="005B652E" w:rsidRPr="00D979E7">
        <w:rPr>
          <w:rFonts w:ascii="Arial" w:hAnsi="Arial" w:cs="Arial"/>
        </w:rPr>
        <w:t>evaluation as more closed referrals can then be evaluated for a longer post-intervention period</w:t>
      </w:r>
      <w:r w:rsidR="00E954BA" w:rsidRPr="00D979E7">
        <w:rPr>
          <w:rFonts w:ascii="Arial" w:hAnsi="Arial" w:cs="Arial"/>
        </w:rPr>
        <w:t xml:space="preserve"> and data on health and social outcomes will also then be available beyond 31</w:t>
      </w:r>
      <w:r w:rsidR="00E954BA" w:rsidRPr="00D979E7">
        <w:rPr>
          <w:rFonts w:ascii="Arial" w:hAnsi="Arial" w:cs="Arial"/>
          <w:vertAlign w:val="superscript"/>
        </w:rPr>
        <w:t>st</w:t>
      </w:r>
      <w:r w:rsidR="00E954BA" w:rsidRPr="00D979E7">
        <w:rPr>
          <w:rFonts w:ascii="Arial" w:hAnsi="Arial" w:cs="Arial"/>
        </w:rPr>
        <w:t xml:space="preserve"> December 2018. </w:t>
      </w:r>
    </w:p>
    <w:p w14:paraId="4EC7E5D3" w14:textId="4860B9F2" w:rsidR="005B652E" w:rsidRPr="00D979E7" w:rsidRDefault="005B652E" w:rsidP="00271FB7">
      <w:pPr>
        <w:pStyle w:val="Heading3"/>
        <w:spacing w:before="120" w:after="120" w:line="240" w:lineRule="auto"/>
        <w:rPr>
          <w:rFonts w:ascii="Arial" w:hAnsi="Arial" w:cs="Arial"/>
        </w:rPr>
      </w:pPr>
      <w:bookmarkStart w:id="33" w:name="_Toc19715054"/>
      <w:r w:rsidRPr="00D979E7">
        <w:rPr>
          <w:rFonts w:ascii="Arial" w:hAnsi="Arial" w:cs="Arial"/>
        </w:rPr>
        <w:t>Costs and benefits of the programme</w:t>
      </w:r>
      <w:bookmarkEnd w:id="33"/>
    </w:p>
    <w:p w14:paraId="00F64114" w14:textId="26FFDD64" w:rsidR="00E44B32" w:rsidRPr="00D979E7" w:rsidRDefault="00BD576F" w:rsidP="00271FB7">
      <w:pPr>
        <w:spacing w:before="120" w:after="120" w:line="240" w:lineRule="auto"/>
        <w:rPr>
          <w:rFonts w:ascii="Arial" w:hAnsi="Arial" w:cs="Arial"/>
        </w:rPr>
      </w:pPr>
      <w:r w:rsidRPr="00D979E7">
        <w:rPr>
          <w:rFonts w:ascii="Arial" w:hAnsi="Arial" w:cs="Arial"/>
        </w:rPr>
        <w:t xml:space="preserve">There are also limitations in the </w:t>
      </w:r>
      <w:r w:rsidR="006222B8" w:rsidRPr="00D979E7">
        <w:rPr>
          <w:rFonts w:ascii="Arial" w:hAnsi="Arial" w:cs="Arial"/>
        </w:rPr>
        <w:t xml:space="preserve">measures of the </w:t>
      </w:r>
      <w:r w:rsidRPr="00D979E7">
        <w:rPr>
          <w:rFonts w:ascii="Arial" w:hAnsi="Arial" w:cs="Arial"/>
        </w:rPr>
        <w:t>costs and benefits of the program</w:t>
      </w:r>
      <w:r w:rsidR="002E4C01" w:rsidRPr="00D979E7">
        <w:rPr>
          <w:rFonts w:ascii="Arial" w:hAnsi="Arial" w:cs="Arial"/>
        </w:rPr>
        <w:t>me</w:t>
      </w:r>
      <w:r w:rsidR="00E954BA" w:rsidRPr="00D979E7">
        <w:rPr>
          <w:rFonts w:ascii="Arial" w:hAnsi="Arial" w:cs="Arial"/>
        </w:rPr>
        <w:t xml:space="preserve"> in this interim analysis</w:t>
      </w:r>
      <w:r w:rsidRPr="00D979E7">
        <w:rPr>
          <w:rFonts w:ascii="Arial" w:hAnsi="Arial" w:cs="Arial"/>
        </w:rPr>
        <w:t xml:space="preserve">.  </w:t>
      </w:r>
      <w:r w:rsidR="00D37725" w:rsidRPr="00D979E7">
        <w:rPr>
          <w:rFonts w:ascii="Arial" w:hAnsi="Arial" w:cs="Arial"/>
        </w:rPr>
        <w:t xml:space="preserve">For example, </w:t>
      </w:r>
      <w:r w:rsidR="006222B8" w:rsidRPr="00D979E7">
        <w:rPr>
          <w:rFonts w:ascii="Arial" w:hAnsi="Arial" w:cs="Arial"/>
        </w:rPr>
        <w:t>not all of the costs of the programme have been included</w:t>
      </w:r>
      <w:r w:rsidR="00D37725" w:rsidRPr="00D979E7">
        <w:rPr>
          <w:rFonts w:ascii="Arial" w:hAnsi="Arial" w:cs="Arial"/>
        </w:rPr>
        <w:t xml:space="preserve"> because </w:t>
      </w:r>
      <w:r w:rsidR="006222B8" w:rsidRPr="00D979E7">
        <w:rPr>
          <w:rFonts w:ascii="Arial" w:hAnsi="Arial" w:cs="Arial"/>
        </w:rPr>
        <w:t xml:space="preserve">the data </w:t>
      </w:r>
      <w:r w:rsidR="00D95185" w:rsidRPr="00D979E7">
        <w:rPr>
          <w:rFonts w:ascii="Arial" w:hAnsi="Arial" w:cs="Arial"/>
        </w:rPr>
        <w:t xml:space="preserve">on individual referrals </w:t>
      </w:r>
      <w:r w:rsidR="006222B8" w:rsidRPr="00D979E7">
        <w:rPr>
          <w:rFonts w:ascii="Arial" w:hAnsi="Arial" w:cs="Arial"/>
        </w:rPr>
        <w:t xml:space="preserve">are not sufficiently </w:t>
      </w:r>
      <w:r w:rsidR="00D37725" w:rsidRPr="00D979E7">
        <w:rPr>
          <w:rFonts w:ascii="Arial" w:hAnsi="Arial" w:cs="Arial"/>
        </w:rPr>
        <w:t>detailed</w:t>
      </w:r>
      <w:r w:rsidR="007A130A" w:rsidRPr="00D979E7">
        <w:rPr>
          <w:rFonts w:ascii="Arial" w:hAnsi="Arial" w:cs="Arial"/>
        </w:rPr>
        <w:t xml:space="preserve"> in this phase of the evaluation</w:t>
      </w:r>
      <w:r w:rsidRPr="00D979E7">
        <w:rPr>
          <w:rFonts w:ascii="Arial" w:hAnsi="Arial" w:cs="Arial"/>
        </w:rPr>
        <w:t xml:space="preserve">. </w:t>
      </w:r>
      <w:r w:rsidR="002F3C24" w:rsidRPr="00D979E7">
        <w:rPr>
          <w:rFonts w:ascii="Arial" w:hAnsi="Arial" w:cs="Arial"/>
        </w:rPr>
        <w:t>T</w:t>
      </w:r>
      <w:r w:rsidR="004A4657" w:rsidRPr="00D979E7">
        <w:rPr>
          <w:rFonts w:ascii="Arial" w:hAnsi="Arial" w:cs="Arial"/>
        </w:rPr>
        <w:t>his is an import</w:t>
      </w:r>
      <w:r w:rsidR="00D37725" w:rsidRPr="00D979E7">
        <w:rPr>
          <w:rFonts w:ascii="Arial" w:hAnsi="Arial" w:cs="Arial"/>
        </w:rPr>
        <w:t>ant component to a cost-benefit analysis fro</w:t>
      </w:r>
      <w:r w:rsidR="004A4657" w:rsidRPr="00D979E7">
        <w:rPr>
          <w:rFonts w:ascii="Arial" w:hAnsi="Arial" w:cs="Arial"/>
        </w:rPr>
        <w:t>m the social welfare perspective. More importantly, however, is the fact that many of the health gains from the program</w:t>
      </w:r>
      <w:r w:rsidR="00BD28C8" w:rsidRPr="00D979E7">
        <w:rPr>
          <w:rFonts w:ascii="Arial" w:hAnsi="Arial" w:cs="Arial"/>
        </w:rPr>
        <w:t>me</w:t>
      </w:r>
      <w:r w:rsidR="004A4657" w:rsidRPr="00D979E7">
        <w:rPr>
          <w:rFonts w:ascii="Arial" w:hAnsi="Arial" w:cs="Arial"/>
        </w:rPr>
        <w:t xml:space="preserve"> are likely due to the provision of</w:t>
      </w:r>
      <w:r w:rsidR="002F3C24" w:rsidRPr="00D979E7">
        <w:rPr>
          <w:rFonts w:ascii="Arial" w:hAnsi="Arial" w:cs="Arial"/>
        </w:rPr>
        <w:t xml:space="preserve"> some of</w:t>
      </w:r>
      <w:r w:rsidR="004A4657" w:rsidRPr="00D979E7">
        <w:rPr>
          <w:rFonts w:ascii="Arial" w:hAnsi="Arial" w:cs="Arial"/>
        </w:rPr>
        <w:t xml:space="preserve"> these interventions</w:t>
      </w:r>
      <w:r w:rsidR="002F3C24" w:rsidRPr="00D979E7">
        <w:rPr>
          <w:rFonts w:ascii="Arial" w:hAnsi="Arial" w:cs="Arial"/>
        </w:rPr>
        <w:t xml:space="preserve"> for which we do not have cost information</w:t>
      </w:r>
      <w:r w:rsidR="004A4657" w:rsidRPr="00D979E7">
        <w:rPr>
          <w:rFonts w:ascii="Arial" w:hAnsi="Arial" w:cs="Arial"/>
        </w:rPr>
        <w:t xml:space="preserve">. As such, the benefits realised </w:t>
      </w:r>
      <w:r w:rsidR="002F3C24" w:rsidRPr="00D979E7">
        <w:rPr>
          <w:rFonts w:ascii="Arial" w:hAnsi="Arial" w:cs="Arial"/>
        </w:rPr>
        <w:t>from this programme</w:t>
      </w:r>
      <w:r w:rsidR="004A4657" w:rsidRPr="00D979E7">
        <w:rPr>
          <w:rFonts w:ascii="Arial" w:hAnsi="Arial" w:cs="Arial"/>
        </w:rPr>
        <w:t xml:space="preserve"> may rely heavily on these additional funds, and if there is a drop in donations for these interventions, it is likely to take longer to recoup </w:t>
      </w:r>
      <w:r w:rsidR="002F3C24" w:rsidRPr="00D979E7">
        <w:rPr>
          <w:rFonts w:ascii="Arial" w:hAnsi="Arial" w:cs="Arial"/>
        </w:rPr>
        <w:t>the programme’s</w:t>
      </w:r>
      <w:r w:rsidR="004A4657" w:rsidRPr="00D979E7">
        <w:rPr>
          <w:rFonts w:ascii="Arial" w:hAnsi="Arial" w:cs="Arial"/>
        </w:rPr>
        <w:t xml:space="preserve"> costs.  </w:t>
      </w:r>
    </w:p>
    <w:p w14:paraId="7EF66410" w14:textId="7C01DD4F" w:rsidR="00BD576F" w:rsidRPr="00D979E7" w:rsidRDefault="00D8100B" w:rsidP="00271FB7">
      <w:pPr>
        <w:spacing w:before="120" w:after="120" w:line="240" w:lineRule="auto"/>
        <w:rPr>
          <w:rFonts w:ascii="Arial" w:hAnsi="Arial" w:cs="Arial"/>
        </w:rPr>
      </w:pPr>
      <w:r w:rsidRPr="00D979E7">
        <w:rPr>
          <w:rFonts w:ascii="Arial" w:hAnsi="Arial" w:cs="Arial"/>
        </w:rPr>
        <w:t xml:space="preserve">On the other hand, not </w:t>
      </w:r>
      <w:r w:rsidR="00E44B32" w:rsidRPr="00D979E7">
        <w:rPr>
          <w:rFonts w:ascii="Arial" w:hAnsi="Arial" w:cs="Arial"/>
        </w:rPr>
        <w:t>all of the benefits of the program have been quantified and valued</w:t>
      </w:r>
      <w:r w:rsidRPr="00D979E7">
        <w:rPr>
          <w:rFonts w:ascii="Arial" w:hAnsi="Arial" w:cs="Arial"/>
        </w:rPr>
        <w:t xml:space="preserve">.  </w:t>
      </w:r>
      <w:r w:rsidR="00091EE6" w:rsidRPr="00D979E7">
        <w:rPr>
          <w:rFonts w:ascii="Arial" w:hAnsi="Arial" w:cs="Arial"/>
        </w:rPr>
        <w:t>For example, the entire household is likely to benefit from the programme but only the cost</w:t>
      </w:r>
      <w:r w:rsidR="00E44B32" w:rsidRPr="00D979E7">
        <w:rPr>
          <w:rFonts w:ascii="Arial" w:hAnsi="Arial" w:cs="Arial"/>
        </w:rPr>
        <w:t>s</w:t>
      </w:r>
      <w:r w:rsidR="00091EE6" w:rsidRPr="00D979E7">
        <w:rPr>
          <w:rFonts w:ascii="Arial" w:hAnsi="Arial" w:cs="Arial"/>
        </w:rPr>
        <w:t xml:space="preserve"> </w:t>
      </w:r>
      <w:r w:rsidR="00E44B32" w:rsidRPr="00D979E7">
        <w:rPr>
          <w:rFonts w:ascii="Arial" w:hAnsi="Arial" w:cs="Arial"/>
        </w:rPr>
        <w:t>averted</w:t>
      </w:r>
      <w:r w:rsidR="00091EE6" w:rsidRPr="00D979E7">
        <w:rPr>
          <w:rFonts w:ascii="Arial" w:hAnsi="Arial" w:cs="Arial"/>
        </w:rPr>
        <w:t xml:space="preserve"> from the referral child </w:t>
      </w:r>
      <w:r w:rsidR="00E44B32" w:rsidRPr="00D979E7">
        <w:rPr>
          <w:rFonts w:ascii="Arial" w:hAnsi="Arial" w:cs="Arial"/>
        </w:rPr>
        <w:t xml:space="preserve">are included </w:t>
      </w:r>
      <w:r w:rsidR="00091EE6" w:rsidRPr="00D979E7">
        <w:rPr>
          <w:rFonts w:ascii="Arial" w:hAnsi="Arial" w:cs="Arial"/>
        </w:rPr>
        <w:t xml:space="preserve">in this </w:t>
      </w:r>
      <w:r w:rsidR="00E954BA" w:rsidRPr="00D979E7">
        <w:rPr>
          <w:rFonts w:ascii="Arial" w:hAnsi="Arial" w:cs="Arial"/>
        </w:rPr>
        <w:t xml:space="preserve">interim </w:t>
      </w:r>
      <w:r w:rsidR="00091EE6" w:rsidRPr="00D979E7">
        <w:rPr>
          <w:rFonts w:ascii="Arial" w:hAnsi="Arial" w:cs="Arial"/>
        </w:rPr>
        <w:t xml:space="preserve">analysis.  This means that the </w:t>
      </w:r>
      <w:r w:rsidR="00E44B32" w:rsidRPr="00D979E7">
        <w:rPr>
          <w:rFonts w:ascii="Arial" w:hAnsi="Arial" w:cs="Arial"/>
        </w:rPr>
        <w:t xml:space="preserve">costs of programme should be recouped </w:t>
      </w:r>
      <w:r w:rsidR="00091EE6" w:rsidRPr="00D979E7">
        <w:rPr>
          <w:rFonts w:ascii="Arial" w:hAnsi="Arial" w:cs="Arial"/>
        </w:rPr>
        <w:t xml:space="preserve">even more quickly if these benefits are included. </w:t>
      </w:r>
      <w:r w:rsidR="00E44B32" w:rsidRPr="00D979E7">
        <w:rPr>
          <w:rFonts w:ascii="Arial" w:hAnsi="Arial" w:cs="Arial"/>
        </w:rPr>
        <w:t xml:space="preserve">Moreover, </w:t>
      </w:r>
      <w:r w:rsidR="00091EE6" w:rsidRPr="00D979E7">
        <w:rPr>
          <w:rFonts w:ascii="Arial" w:hAnsi="Arial" w:cs="Arial"/>
        </w:rPr>
        <w:t xml:space="preserve">the benefits to the families </w:t>
      </w:r>
      <w:r w:rsidR="00160895" w:rsidRPr="00D979E7">
        <w:rPr>
          <w:rFonts w:ascii="Arial" w:hAnsi="Arial" w:cs="Arial"/>
        </w:rPr>
        <w:t>from</w:t>
      </w:r>
      <w:r w:rsidR="00091EE6" w:rsidRPr="00D979E7">
        <w:rPr>
          <w:rFonts w:ascii="Arial" w:hAnsi="Arial" w:cs="Arial"/>
        </w:rPr>
        <w:t xml:space="preserve"> these programs</w:t>
      </w:r>
      <w:r w:rsidR="00160895" w:rsidRPr="00D979E7">
        <w:rPr>
          <w:rFonts w:ascii="Arial" w:hAnsi="Arial" w:cs="Arial"/>
        </w:rPr>
        <w:t xml:space="preserve"> such as reductions</w:t>
      </w:r>
      <w:r w:rsidR="00091EE6" w:rsidRPr="00D979E7">
        <w:rPr>
          <w:rFonts w:ascii="Arial" w:hAnsi="Arial" w:cs="Arial"/>
        </w:rPr>
        <w:t xml:space="preserve"> from out-of-pocket expenses, absenteeism, and improved wellbeing</w:t>
      </w:r>
      <w:r w:rsidR="00160895" w:rsidRPr="00D979E7">
        <w:rPr>
          <w:rFonts w:ascii="Arial" w:hAnsi="Arial" w:cs="Arial"/>
        </w:rPr>
        <w:t xml:space="preserve"> have also not been </w:t>
      </w:r>
      <w:r w:rsidR="00262B5B" w:rsidRPr="00D979E7">
        <w:rPr>
          <w:rFonts w:ascii="Arial" w:hAnsi="Arial" w:cs="Arial"/>
        </w:rPr>
        <w:t>quantified as part of this analysis</w:t>
      </w:r>
      <w:r w:rsidR="00091EE6" w:rsidRPr="00D979E7">
        <w:rPr>
          <w:rFonts w:ascii="Arial" w:hAnsi="Arial" w:cs="Arial"/>
        </w:rPr>
        <w:t xml:space="preserve">. </w:t>
      </w:r>
      <w:r w:rsidR="00E954BA" w:rsidRPr="00D979E7">
        <w:rPr>
          <w:rFonts w:ascii="Arial" w:hAnsi="Arial" w:cs="Arial"/>
        </w:rPr>
        <w:t>The second phase of this evaluation will be better-positioned to capture these costs and benefits of the programme</w:t>
      </w:r>
      <w:r w:rsidR="00D95185" w:rsidRPr="00D979E7">
        <w:rPr>
          <w:rFonts w:ascii="Arial" w:hAnsi="Arial" w:cs="Arial"/>
        </w:rPr>
        <w:t>.</w:t>
      </w:r>
    </w:p>
    <w:p w14:paraId="63C63B4D" w14:textId="5D9CD0E4" w:rsidR="005B652E" w:rsidRPr="00D979E7" w:rsidRDefault="00B20AD6" w:rsidP="00271FB7">
      <w:pPr>
        <w:pStyle w:val="Heading2"/>
        <w:spacing w:before="120" w:after="120" w:line="240" w:lineRule="auto"/>
        <w:rPr>
          <w:rFonts w:ascii="Arial" w:hAnsi="Arial" w:cs="Arial"/>
        </w:rPr>
      </w:pPr>
      <w:bookmarkStart w:id="34" w:name="_Toc19715055"/>
      <w:r w:rsidRPr="00D979E7">
        <w:rPr>
          <w:rFonts w:ascii="Arial" w:hAnsi="Arial" w:cs="Arial"/>
        </w:rPr>
        <w:t xml:space="preserve">Conclusion </w:t>
      </w:r>
      <w:r w:rsidR="00CC3294" w:rsidRPr="00D979E7">
        <w:rPr>
          <w:rFonts w:ascii="Arial" w:hAnsi="Arial" w:cs="Arial"/>
        </w:rPr>
        <w:t>and future research</w:t>
      </w:r>
      <w:bookmarkEnd w:id="34"/>
    </w:p>
    <w:p w14:paraId="09A7E205" w14:textId="1159AC76" w:rsidR="00D95185" w:rsidRPr="00D979E7" w:rsidRDefault="007C0BBF" w:rsidP="00271FB7">
      <w:pPr>
        <w:spacing w:before="120" w:after="120" w:line="240" w:lineRule="auto"/>
        <w:rPr>
          <w:rFonts w:ascii="Arial" w:hAnsi="Arial" w:cs="Arial"/>
        </w:rPr>
      </w:pPr>
      <w:r w:rsidRPr="00D979E7">
        <w:rPr>
          <w:rFonts w:ascii="Arial" w:hAnsi="Arial" w:cs="Arial"/>
        </w:rPr>
        <w:t xml:space="preserve">The HHIs are a broad, multifaceted, holistic programme in the community. </w:t>
      </w:r>
      <w:r w:rsidR="00CE3823" w:rsidRPr="00D979E7">
        <w:rPr>
          <w:rFonts w:ascii="Arial" w:hAnsi="Arial" w:cs="Arial"/>
        </w:rPr>
        <w:t>This interim analysis has r</w:t>
      </w:r>
      <w:r w:rsidRPr="00D979E7">
        <w:rPr>
          <w:rFonts w:ascii="Arial" w:hAnsi="Arial" w:cs="Arial"/>
        </w:rPr>
        <w:t>estrict</w:t>
      </w:r>
      <w:r w:rsidR="00CE3823" w:rsidRPr="00D979E7">
        <w:rPr>
          <w:rFonts w:ascii="Arial" w:hAnsi="Arial" w:cs="Arial"/>
        </w:rPr>
        <w:t>ed</w:t>
      </w:r>
      <w:r w:rsidRPr="00D979E7">
        <w:rPr>
          <w:rFonts w:ascii="Arial" w:hAnsi="Arial" w:cs="Arial"/>
        </w:rPr>
        <w:t xml:space="preserve"> </w:t>
      </w:r>
      <w:r w:rsidR="00CC3294" w:rsidRPr="00D979E7">
        <w:rPr>
          <w:rFonts w:ascii="Arial" w:hAnsi="Arial" w:cs="Arial"/>
        </w:rPr>
        <w:t>evaluation</w:t>
      </w:r>
      <w:r w:rsidR="00CE3823" w:rsidRPr="00D979E7">
        <w:rPr>
          <w:rFonts w:ascii="Arial" w:hAnsi="Arial" w:cs="Arial"/>
        </w:rPr>
        <w:t xml:space="preserve"> of the outcomes of the programme</w:t>
      </w:r>
      <w:r w:rsidRPr="00D979E7">
        <w:rPr>
          <w:rFonts w:ascii="Arial" w:hAnsi="Arial" w:cs="Arial"/>
        </w:rPr>
        <w:t xml:space="preserve"> to just the </w:t>
      </w:r>
      <w:r w:rsidR="00C511F3" w:rsidRPr="00D979E7">
        <w:rPr>
          <w:rFonts w:ascii="Arial" w:hAnsi="Arial" w:cs="Arial"/>
        </w:rPr>
        <w:t xml:space="preserve">major health </w:t>
      </w:r>
      <w:r w:rsidR="00C511F3" w:rsidRPr="00D979E7">
        <w:rPr>
          <w:rFonts w:ascii="Arial" w:hAnsi="Arial" w:cs="Arial"/>
        </w:rPr>
        <w:lastRenderedPageBreak/>
        <w:t>effects for one child</w:t>
      </w:r>
      <w:r w:rsidR="00CE3823" w:rsidRPr="00D979E7">
        <w:rPr>
          <w:rFonts w:ascii="Arial" w:hAnsi="Arial" w:cs="Arial"/>
        </w:rPr>
        <w:t xml:space="preserve"> per household, which is likely </w:t>
      </w:r>
      <w:r w:rsidR="00C511F3" w:rsidRPr="00D979E7">
        <w:rPr>
          <w:rFonts w:ascii="Arial" w:hAnsi="Arial" w:cs="Arial"/>
        </w:rPr>
        <w:t>underestimat</w:t>
      </w:r>
      <w:r w:rsidR="00CE3823" w:rsidRPr="00D979E7">
        <w:rPr>
          <w:rFonts w:ascii="Arial" w:hAnsi="Arial" w:cs="Arial"/>
        </w:rPr>
        <w:t>ing</w:t>
      </w:r>
      <w:r w:rsidR="00C511F3" w:rsidRPr="00D979E7">
        <w:rPr>
          <w:rFonts w:ascii="Arial" w:hAnsi="Arial" w:cs="Arial"/>
        </w:rPr>
        <w:t xml:space="preserve"> the effects of the HHIs. </w:t>
      </w:r>
      <w:r w:rsidR="00CC3294" w:rsidRPr="00D979E7">
        <w:rPr>
          <w:rFonts w:ascii="Arial" w:hAnsi="Arial" w:cs="Arial"/>
        </w:rPr>
        <w:t xml:space="preserve">For the second phase of this outcomes evaluation, HHI providers are making </w:t>
      </w:r>
      <w:r w:rsidR="00B20AD6" w:rsidRPr="00D979E7">
        <w:rPr>
          <w:rFonts w:ascii="Arial" w:hAnsi="Arial" w:cs="Arial"/>
        </w:rPr>
        <w:t xml:space="preserve">more detailed information </w:t>
      </w:r>
      <w:r w:rsidR="00CC3294" w:rsidRPr="00D979E7">
        <w:rPr>
          <w:rFonts w:ascii="Arial" w:hAnsi="Arial" w:cs="Arial"/>
        </w:rPr>
        <w:t xml:space="preserve">available to be able to control </w:t>
      </w:r>
      <w:r w:rsidR="00BF3201" w:rsidRPr="00D979E7">
        <w:rPr>
          <w:rFonts w:ascii="Arial" w:hAnsi="Arial" w:cs="Arial"/>
        </w:rPr>
        <w:t xml:space="preserve">for </w:t>
      </w:r>
      <w:r w:rsidR="00CC3294" w:rsidRPr="00D979E7">
        <w:rPr>
          <w:rFonts w:ascii="Arial" w:hAnsi="Arial" w:cs="Arial"/>
        </w:rPr>
        <w:t xml:space="preserve">which specific interventions </w:t>
      </w:r>
      <w:r w:rsidR="00B20AD6" w:rsidRPr="00D979E7">
        <w:rPr>
          <w:rFonts w:ascii="Arial" w:hAnsi="Arial" w:cs="Arial"/>
        </w:rPr>
        <w:t xml:space="preserve">individual referrals </w:t>
      </w:r>
      <w:r w:rsidR="00CC3294" w:rsidRPr="00D979E7">
        <w:rPr>
          <w:rFonts w:ascii="Arial" w:hAnsi="Arial" w:cs="Arial"/>
        </w:rPr>
        <w:t>have received</w:t>
      </w:r>
      <w:r w:rsidR="00C511F3" w:rsidRPr="00D979E7">
        <w:rPr>
          <w:rFonts w:ascii="Arial" w:hAnsi="Arial" w:cs="Arial"/>
        </w:rPr>
        <w:t xml:space="preserve">. </w:t>
      </w:r>
      <w:r w:rsidR="00CC3294" w:rsidRPr="00D979E7">
        <w:rPr>
          <w:rFonts w:ascii="Arial" w:hAnsi="Arial" w:cs="Arial"/>
        </w:rPr>
        <w:t>This</w:t>
      </w:r>
      <w:r w:rsidR="00C511F3" w:rsidRPr="00D979E7">
        <w:rPr>
          <w:rFonts w:ascii="Arial" w:hAnsi="Arial" w:cs="Arial"/>
        </w:rPr>
        <w:t xml:space="preserve"> dataset </w:t>
      </w:r>
      <w:r w:rsidR="00CC3294" w:rsidRPr="00D979E7">
        <w:rPr>
          <w:rFonts w:ascii="Arial" w:hAnsi="Arial" w:cs="Arial"/>
        </w:rPr>
        <w:t xml:space="preserve">will be placed </w:t>
      </w:r>
      <w:r w:rsidR="00C511F3" w:rsidRPr="00D979E7">
        <w:rPr>
          <w:rFonts w:ascii="Arial" w:hAnsi="Arial" w:cs="Arial"/>
        </w:rPr>
        <w:t xml:space="preserve">in the </w:t>
      </w:r>
      <w:r w:rsidR="00B20AD6" w:rsidRPr="00D979E7">
        <w:rPr>
          <w:rFonts w:ascii="Arial" w:hAnsi="Arial" w:cs="Arial"/>
        </w:rPr>
        <w:t>Integrated Data Infrastructure (</w:t>
      </w:r>
      <w:r w:rsidR="00C511F3" w:rsidRPr="00D979E7">
        <w:rPr>
          <w:rFonts w:ascii="Arial" w:hAnsi="Arial" w:cs="Arial"/>
        </w:rPr>
        <w:t>IDI</w:t>
      </w:r>
      <w:r w:rsidR="00B20AD6" w:rsidRPr="00D979E7">
        <w:rPr>
          <w:rFonts w:ascii="Arial" w:hAnsi="Arial" w:cs="Arial"/>
        </w:rPr>
        <w:t>)</w:t>
      </w:r>
      <w:r w:rsidR="00CC3294" w:rsidRPr="00D979E7">
        <w:rPr>
          <w:rFonts w:ascii="Arial" w:hAnsi="Arial" w:cs="Arial"/>
        </w:rPr>
        <w:t xml:space="preserve">, which will also allow for an extension of this </w:t>
      </w:r>
      <w:r w:rsidR="00D95185" w:rsidRPr="00D979E7">
        <w:rPr>
          <w:rFonts w:ascii="Arial" w:hAnsi="Arial" w:cs="Arial"/>
        </w:rPr>
        <w:t>inte</w:t>
      </w:r>
      <w:r w:rsidR="00CE3823" w:rsidRPr="00D979E7">
        <w:rPr>
          <w:rFonts w:ascii="Arial" w:hAnsi="Arial" w:cs="Arial"/>
        </w:rPr>
        <w:t>r</w:t>
      </w:r>
      <w:r w:rsidR="00D95185" w:rsidRPr="00D979E7">
        <w:rPr>
          <w:rFonts w:ascii="Arial" w:hAnsi="Arial" w:cs="Arial"/>
        </w:rPr>
        <w:t>i</w:t>
      </w:r>
      <w:r w:rsidR="00CE3823" w:rsidRPr="00D979E7">
        <w:rPr>
          <w:rFonts w:ascii="Arial" w:hAnsi="Arial" w:cs="Arial"/>
        </w:rPr>
        <w:t xml:space="preserve">m </w:t>
      </w:r>
      <w:r w:rsidR="00CC3294" w:rsidRPr="00D979E7">
        <w:rPr>
          <w:rFonts w:ascii="Arial" w:hAnsi="Arial" w:cs="Arial"/>
        </w:rPr>
        <w:t>analysis by enabling</w:t>
      </w:r>
      <w:r w:rsidR="00BF3201" w:rsidRPr="00D979E7">
        <w:rPr>
          <w:rFonts w:ascii="Arial" w:hAnsi="Arial" w:cs="Arial"/>
        </w:rPr>
        <w:t xml:space="preserve"> a broader range of outcomes (social, as well as health) to be captured for </w:t>
      </w:r>
      <w:r w:rsidR="00CE3823" w:rsidRPr="00D979E7">
        <w:rPr>
          <w:rFonts w:ascii="Arial" w:hAnsi="Arial" w:cs="Arial"/>
        </w:rPr>
        <w:t xml:space="preserve">both </w:t>
      </w:r>
      <w:r w:rsidR="00BF3201" w:rsidRPr="00D979E7">
        <w:rPr>
          <w:rFonts w:ascii="Arial" w:hAnsi="Arial" w:cs="Arial"/>
        </w:rPr>
        <w:t xml:space="preserve">the primary child referred, as well as </w:t>
      </w:r>
      <w:r w:rsidR="00C511F3" w:rsidRPr="00D979E7">
        <w:rPr>
          <w:rFonts w:ascii="Arial" w:hAnsi="Arial" w:cs="Arial"/>
        </w:rPr>
        <w:t>other household</w:t>
      </w:r>
      <w:r w:rsidR="00BF3201" w:rsidRPr="00D979E7">
        <w:rPr>
          <w:rFonts w:ascii="Arial" w:hAnsi="Arial" w:cs="Arial"/>
        </w:rPr>
        <w:t xml:space="preserve"> members</w:t>
      </w:r>
      <w:r w:rsidR="000F0FC1" w:rsidRPr="00D979E7">
        <w:rPr>
          <w:rFonts w:ascii="Arial" w:hAnsi="Arial" w:cs="Arial"/>
        </w:rPr>
        <w:t xml:space="preserve">. </w:t>
      </w:r>
      <w:r w:rsidR="00BF3201" w:rsidRPr="00D979E7">
        <w:rPr>
          <w:rFonts w:ascii="Arial" w:hAnsi="Arial" w:cs="Arial"/>
        </w:rPr>
        <w:t xml:space="preserve">Use of the IDI will also allow </w:t>
      </w:r>
      <w:r w:rsidR="00CE3823" w:rsidRPr="00D979E7">
        <w:rPr>
          <w:rFonts w:ascii="Arial" w:hAnsi="Arial" w:cs="Arial"/>
        </w:rPr>
        <w:t xml:space="preserve">for </w:t>
      </w:r>
      <w:r w:rsidR="00D95185" w:rsidRPr="00D979E7">
        <w:rPr>
          <w:rFonts w:ascii="Arial" w:hAnsi="Arial" w:cs="Arial"/>
        </w:rPr>
        <w:t xml:space="preserve">a </w:t>
      </w:r>
      <w:r w:rsidR="00BF3201" w:rsidRPr="00D979E7">
        <w:rPr>
          <w:rFonts w:ascii="Arial" w:hAnsi="Arial" w:cs="Arial"/>
        </w:rPr>
        <w:t>control population</w:t>
      </w:r>
      <w:r w:rsidR="00CE3823" w:rsidRPr="00D979E7">
        <w:rPr>
          <w:rFonts w:ascii="Arial" w:hAnsi="Arial" w:cs="Arial"/>
        </w:rPr>
        <w:t xml:space="preserve"> to be identified</w:t>
      </w:r>
      <w:r w:rsidR="00BF3201" w:rsidRPr="00D979E7">
        <w:rPr>
          <w:rFonts w:ascii="Arial" w:hAnsi="Arial" w:cs="Arial"/>
        </w:rPr>
        <w:t xml:space="preserve">. This will ensure that a wider range of HHI referrals (including 0-2 year olds) can be included in the evaluation and appropriate adjustments made for effects such as age and selection bias. </w:t>
      </w:r>
    </w:p>
    <w:p w14:paraId="76AED8CE" w14:textId="08968547" w:rsidR="00ED3766" w:rsidRPr="00D979E7" w:rsidRDefault="00BF3201" w:rsidP="00271FB7">
      <w:pPr>
        <w:spacing w:before="120" w:after="120" w:line="240" w:lineRule="auto"/>
        <w:rPr>
          <w:rFonts w:ascii="Arial" w:hAnsi="Arial" w:cs="Arial"/>
        </w:rPr>
      </w:pPr>
      <w:r w:rsidRPr="00D979E7">
        <w:rPr>
          <w:rFonts w:ascii="Arial" w:hAnsi="Arial" w:cs="Arial"/>
        </w:rPr>
        <w:t>This extension of the scope of the evaluation will allow a broader range of outcomes across a more representative sample of HHI referrals to be captured to better inform future developments in the delivery of housing and health interventions.</w:t>
      </w:r>
    </w:p>
    <w:p w14:paraId="1FAEAFF5" w14:textId="77777777" w:rsidR="000F0FC1" w:rsidRPr="00D979E7" w:rsidRDefault="000F0FC1" w:rsidP="00271FB7">
      <w:pPr>
        <w:spacing w:before="120" w:after="120" w:line="240" w:lineRule="auto"/>
        <w:rPr>
          <w:rFonts w:ascii="Arial" w:hAnsi="Arial" w:cs="Arial"/>
        </w:rPr>
      </w:pPr>
    </w:p>
    <w:p w14:paraId="6ACD9FF0" w14:textId="77777777" w:rsidR="008319F3" w:rsidRPr="00D979E7" w:rsidRDefault="008319F3" w:rsidP="00271FB7">
      <w:pPr>
        <w:spacing w:before="120" w:after="120" w:line="240" w:lineRule="auto"/>
        <w:rPr>
          <w:rFonts w:ascii="Arial" w:hAnsi="Arial" w:cs="Arial"/>
        </w:rPr>
      </w:pPr>
    </w:p>
    <w:p w14:paraId="6D7DBA63" w14:textId="77777777" w:rsidR="008319F3" w:rsidRPr="00D979E7" w:rsidRDefault="008319F3" w:rsidP="00271FB7">
      <w:pPr>
        <w:spacing w:before="120" w:after="120" w:line="240" w:lineRule="auto"/>
        <w:rPr>
          <w:rFonts w:ascii="Arial" w:hAnsi="Arial" w:cs="Arial"/>
        </w:rPr>
      </w:pPr>
    </w:p>
    <w:p w14:paraId="4ACBA4DD" w14:textId="70B7D647" w:rsidR="008E658B" w:rsidRPr="00D979E7" w:rsidRDefault="008E658B" w:rsidP="00271FB7">
      <w:pPr>
        <w:spacing w:before="120" w:after="120" w:line="240" w:lineRule="auto"/>
        <w:rPr>
          <w:rFonts w:ascii="Arial" w:hAnsi="Arial" w:cs="Arial"/>
          <w:b/>
        </w:rPr>
      </w:pPr>
    </w:p>
    <w:sectPr w:rsidR="008E658B" w:rsidRPr="00D979E7">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9F3D5" w14:textId="77777777" w:rsidR="002320B1" w:rsidRDefault="002320B1" w:rsidP="00D42799">
      <w:pPr>
        <w:spacing w:after="0" w:line="240" w:lineRule="auto"/>
      </w:pPr>
      <w:r>
        <w:separator/>
      </w:r>
    </w:p>
  </w:endnote>
  <w:endnote w:type="continuationSeparator" w:id="0">
    <w:p w14:paraId="7C48E5FC" w14:textId="77777777" w:rsidR="002320B1" w:rsidRDefault="002320B1" w:rsidP="00D42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8275908"/>
      <w:docPartObj>
        <w:docPartGallery w:val="Page Numbers (Bottom of Page)"/>
        <w:docPartUnique/>
      </w:docPartObj>
    </w:sdtPr>
    <w:sdtEndPr>
      <w:rPr>
        <w:noProof/>
      </w:rPr>
    </w:sdtEndPr>
    <w:sdtContent>
      <w:p w14:paraId="556C9240" w14:textId="37105EE5" w:rsidR="002320B1" w:rsidRDefault="002320B1">
        <w:pPr>
          <w:pStyle w:val="Footer"/>
          <w:jc w:val="right"/>
        </w:pPr>
        <w:r w:rsidRPr="00C401B3">
          <w:rPr>
            <w:rFonts w:ascii="Helvetica" w:hAnsi="Helvetica" w:cs="Helvetica"/>
          </w:rPr>
          <w:fldChar w:fldCharType="begin"/>
        </w:r>
        <w:r w:rsidRPr="00C401B3">
          <w:rPr>
            <w:rFonts w:ascii="Helvetica" w:hAnsi="Helvetica" w:cs="Helvetica"/>
          </w:rPr>
          <w:instrText xml:space="preserve"> PAGE   \* MERGEFORMAT </w:instrText>
        </w:r>
        <w:r w:rsidRPr="00C401B3">
          <w:rPr>
            <w:rFonts w:ascii="Helvetica" w:hAnsi="Helvetica" w:cs="Helvetica"/>
          </w:rPr>
          <w:fldChar w:fldCharType="separate"/>
        </w:r>
        <w:r w:rsidR="00393154">
          <w:rPr>
            <w:rFonts w:ascii="Helvetica" w:hAnsi="Helvetica" w:cs="Helvetica"/>
            <w:noProof/>
          </w:rPr>
          <w:t>21</w:t>
        </w:r>
        <w:r w:rsidRPr="00C401B3">
          <w:rPr>
            <w:rFonts w:ascii="Helvetica" w:hAnsi="Helvetica" w:cs="Helvetica"/>
            <w:noProof/>
          </w:rPr>
          <w:fldChar w:fldCharType="end"/>
        </w:r>
      </w:p>
    </w:sdtContent>
  </w:sdt>
  <w:p w14:paraId="396C27D3" w14:textId="77777777" w:rsidR="002320B1" w:rsidRDefault="00232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72A97" w14:textId="77777777" w:rsidR="002320B1" w:rsidRDefault="002320B1" w:rsidP="00D42799">
      <w:pPr>
        <w:spacing w:after="0" w:line="240" w:lineRule="auto"/>
      </w:pPr>
      <w:r>
        <w:separator/>
      </w:r>
    </w:p>
  </w:footnote>
  <w:footnote w:type="continuationSeparator" w:id="0">
    <w:p w14:paraId="09EA9058" w14:textId="77777777" w:rsidR="002320B1" w:rsidRDefault="002320B1" w:rsidP="00D42799">
      <w:pPr>
        <w:spacing w:after="0" w:line="240" w:lineRule="auto"/>
      </w:pPr>
      <w:r>
        <w:continuationSeparator/>
      </w:r>
    </w:p>
  </w:footnote>
  <w:footnote w:id="1">
    <w:p w14:paraId="166819CF" w14:textId="3839D547" w:rsidR="002320B1" w:rsidRPr="00247D97" w:rsidRDefault="002320B1" w:rsidP="002323E5">
      <w:pPr>
        <w:pStyle w:val="FootnoteText"/>
        <w:rPr>
          <w:rFonts w:ascii="Helvetica" w:hAnsi="Helvetica"/>
        </w:rPr>
      </w:pPr>
      <w:r w:rsidRPr="008B0CEA">
        <w:rPr>
          <w:rStyle w:val="FootnoteReference"/>
          <w:rFonts w:ascii="Helvetica" w:hAnsi="Helvetica"/>
        </w:rPr>
        <w:footnoteRef/>
      </w:r>
      <w:r w:rsidRPr="008B0CEA">
        <w:rPr>
          <w:rFonts w:ascii="Helvetica" w:hAnsi="Helvetica"/>
        </w:rPr>
        <w:t xml:space="preserve"> Prescription cost information at the time of publication was not available, so the per prescription cost has been drawn from an unpublished estimate from Lucy Telfar-Barnard for this interim phase of the evaluation.</w:t>
      </w:r>
    </w:p>
  </w:footnote>
  <w:footnote w:id="2">
    <w:p w14:paraId="201471EE" w14:textId="26F4E19D" w:rsidR="002320B1" w:rsidRPr="00247D97" w:rsidRDefault="002320B1" w:rsidP="003D2EA1">
      <w:pPr>
        <w:rPr>
          <w:rFonts w:ascii="Helvetica" w:hAnsi="Helvetica"/>
          <w:sz w:val="20"/>
          <w:szCs w:val="20"/>
        </w:rPr>
      </w:pPr>
      <w:r w:rsidRPr="00247D97">
        <w:rPr>
          <w:rStyle w:val="FootnoteReference"/>
          <w:rFonts w:ascii="Helvetica" w:hAnsi="Helvetica"/>
          <w:sz w:val="20"/>
          <w:szCs w:val="20"/>
        </w:rPr>
        <w:footnoteRef/>
      </w:r>
      <w:r w:rsidRPr="00247D97">
        <w:rPr>
          <w:rFonts w:ascii="Helvetica" w:hAnsi="Helvetica"/>
          <w:sz w:val="20"/>
          <w:szCs w:val="20"/>
        </w:rPr>
        <w:t xml:space="preserve"> Ethics was obtained by Nevil Pierse for this study from HDEC (ref 15/STH/138/AM02).</w:t>
      </w:r>
    </w:p>
  </w:footnote>
  <w:footnote w:id="3">
    <w:p w14:paraId="4BE3A5E4" w14:textId="77777777" w:rsidR="002320B1" w:rsidRDefault="002320B1" w:rsidP="00AA5BB8">
      <w:pPr>
        <w:pStyle w:val="FootnoteText"/>
      </w:pPr>
      <w:r w:rsidRPr="00247D97">
        <w:rPr>
          <w:rStyle w:val="FootnoteReference"/>
          <w:rFonts w:ascii="Helvetica" w:hAnsi="Helvetica"/>
        </w:rPr>
        <w:footnoteRef/>
      </w:r>
      <w:r w:rsidRPr="00247D97">
        <w:rPr>
          <w:rFonts w:ascii="Helvetica" w:hAnsi="Helvetica"/>
        </w:rPr>
        <w:t xml:space="preserve"> The cost data were provided under the condition that they only be used for the cost-benefit evaluation, and they are kept in a restricted access folder at Motu.</w:t>
      </w:r>
      <w:r>
        <w:t xml:space="preserve">  </w:t>
      </w:r>
    </w:p>
  </w:footnote>
  <w:footnote w:id="4">
    <w:p w14:paraId="4DA6B160" w14:textId="7F2E7C42" w:rsidR="002320B1" w:rsidRPr="00247D97" w:rsidRDefault="002320B1">
      <w:pPr>
        <w:pStyle w:val="FootnoteText"/>
        <w:rPr>
          <w:rFonts w:ascii="Helvetica" w:hAnsi="Helvetica"/>
        </w:rPr>
      </w:pPr>
      <w:r w:rsidRPr="00247D97">
        <w:rPr>
          <w:rStyle w:val="FootnoteReference"/>
          <w:rFonts w:ascii="Helvetica" w:hAnsi="Helvetica"/>
        </w:rPr>
        <w:footnoteRef/>
      </w:r>
      <w:r w:rsidRPr="00247D97">
        <w:rPr>
          <w:rFonts w:ascii="Helvetica" w:hAnsi="Helvetica"/>
        </w:rPr>
        <w:t xml:space="preserve"> The provided pharmaceutical data did not include prescription cost information, so we use an unpublished estimate from Lucy Telfar-Barnard.</w:t>
      </w:r>
    </w:p>
  </w:footnote>
  <w:footnote w:id="5">
    <w:p w14:paraId="72C41B37" w14:textId="48A9AB7B" w:rsidR="002320B1" w:rsidRPr="00904AD1" w:rsidRDefault="002320B1">
      <w:pPr>
        <w:pStyle w:val="FootnoteText"/>
        <w:rPr>
          <w:lang w:val="mi-NZ"/>
        </w:rPr>
      </w:pPr>
      <w:r w:rsidRPr="003C7B92">
        <w:rPr>
          <w:rStyle w:val="FootnoteReference"/>
        </w:rPr>
        <w:footnoteRef/>
      </w:r>
      <w:r w:rsidRPr="003C7B92">
        <w:t xml:space="preserve"> </w:t>
      </w:r>
      <w:r w:rsidRPr="003C7B92">
        <w:rPr>
          <w:rFonts w:ascii="Helvetica" w:hAnsi="Helvetica" w:cs="Helvetica"/>
        </w:rPr>
        <w:t>For the 0-5 hospitalisations criteria (Group 1), eligibility is dependent on a 0-5 year old having been hospitalised with a housing-related condition. For the rheumatic fever criteria (Group 4), overnight hospitalisation with an indicator condition is one of the referral pathways in addition to evidence of crowding and other children in the household.</w:t>
      </w:r>
    </w:p>
  </w:footnote>
  <w:footnote w:id="6">
    <w:p w14:paraId="2D75AB15" w14:textId="54F64E91" w:rsidR="002320B1" w:rsidRPr="00FA7B1C" w:rsidRDefault="002320B1">
      <w:pPr>
        <w:pStyle w:val="FootnoteText"/>
        <w:rPr>
          <w:rFonts w:ascii="Helvetica" w:hAnsi="Helvetica"/>
          <w:lang w:val="mi-NZ"/>
        </w:rPr>
      </w:pPr>
      <w:r w:rsidRPr="00FA7B1C">
        <w:rPr>
          <w:rStyle w:val="FootnoteReference"/>
          <w:rFonts w:ascii="Helvetica" w:hAnsi="Helvetica"/>
        </w:rPr>
        <w:footnoteRef/>
      </w:r>
      <w:r w:rsidRPr="00FA7B1C">
        <w:rPr>
          <w:rFonts w:ascii="Helvetica" w:hAnsi="Helvetica"/>
        </w:rPr>
        <w:t xml:space="preserve"> </w:t>
      </w:r>
      <w:r w:rsidRPr="00FA7B1C">
        <w:rPr>
          <w:rFonts w:ascii="Helvetica" w:hAnsi="Helvetica"/>
          <w:lang w:val="mi-NZ"/>
        </w:rPr>
        <w:t xml:space="preserve">Usually iwi or whānau-owned homes. </w:t>
      </w:r>
    </w:p>
  </w:footnote>
  <w:footnote w:id="7">
    <w:p w14:paraId="2BF3510C" w14:textId="4DC17C80" w:rsidR="002320B1" w:rsidRDefault="002320B1">
      <w:pPr>
        <w:pStyle w:val="FootnoteText"/>
      </w:pPr>
      <w:r>
        <w:rPr>
          <w:rStyle w:val="FootnoteReference"/>
        </w:rPr>
        <w:footnoteRef/>
      </w:r>
      <w:r>
        <w:t xml:space="preserve"> These costs are primarily related to the following four components:  setting up systems, generating referrals, coordinating interventions, and generating the supply of interventions.  </w:t>
      </w:r>
    </w:p>
  </w:footnote>
  <w:footnote w:id="8">
    <w:p w14:paraId="6ABD9722" w14:textId="7CC76430" w:rsidR="002320B1" w:rsidRPr="00D624DF" w:rsidRDefault="002320B1">
      <w:pPr>
        <w:pStyle w:val="FootnoteText"/>
        <w:rPr>
          <w:rFonts w:ascii="Helvetica" w:hAnsi="Helvetica"/>
        </w:rPr>
      </w:pPr>
      <w:r w:rsidRPr="00D624DF">
        <w:rPr>
          <w:rStyle w:val="FootnoteReference"/>
          <w:rFonts w:ascii="Helvetica" w:hAnsi="Helvetica"/>
        </w:rPr>
        <w:footnoteRef/>
      </w:r>
      <w:r w:rsidRPr="00D624DF">
        <w:rPr>
          <w:rFonts w:ascii="Helvetica" w:hAnsi="Helvetica"/>
        </w:rPr>
        <w:t xml:space="preserve"> Prescription cost information at the time of publication was not available, so the per prescription cost has been drawn from an unpublished estimate from Lucy Telfar-Barnard for this initial phase of the evaluation.</w:t>
      </w:r>
    </w:p>
  </w:footnote>
  <w:footnote w:id="9">
    <w:p w14:paraId="2B342CBA" w14:textId="10DE85E5" w:rsidR="002320B1" w:rsidRDefault="002320B1" w:rsidP="00B850D2">
      <w:pPr>
        <w:pStyle w:val="FootnoteText"/>
      </w:pPr>
      <w:r w:rsidRPr="00D624DF">
        <w:rPr>
          <w:rStyle w:val="FootnoteReference"/>
          <w:rFonts w:ascii="Helvetica" w:hAnsi="Helvetica"/>
        </w:rPr>
        <w:footnoteRef/>
      </w:r>
      <w:r w:rsidRPr="00D624DF">
        <w:rPr>
          <w:rFonts w:ascii="Helvetica" w:hAnsi="Helvetica"/>
        </w:rPr>
        <w:t xml:space="preserve"> While the interventions occurred over many years, the totals for each year post-intervention have been aggregated. Hence, the total cost-savings for the earliest year post-intervention, second year post-intervention, </w:t>
      </w:r>
      <w:r w:rsidRPr="00D624DF">
        <w:rPr>
          <w:rFonts w:ascii="Helvetica" w:hAnsi="Helvetica"/>
          <w:i/>
        </w:rPr>
        <w:t>etc</w:t>
      </w:r>
      <w:r w:rsidRPr="00D624DF">
        <w:rPr>
          <w:rFonts w:ascii="Helvetica" w:hAnsi="Helvetica"/>
        </w:rPr>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D1AB1"/>
    <w:multiLevelType w:val="hybridMultilevel"/>
    <w:tmpl w:val="DE3077D0"/>
    <w:lvl w:ilvl="0" w:tplc="2E389330">
      <w:start w:val="1"/>
      <w:numFmt w:val="decimal"/>
      <w:lvlText w:val="%1."/>
      <w:lvlJc w:val="left"/>
      <w:pPr>
        <w:ind w:left="360" w:hanging="360"/>
      </w:pPr>
      <w:rPr>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090D5D25"/>
    <w:multiLevelType w:val="hybridMultilevel"/>
    <w:tmpl w:val="9EE070E6"/>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65A0017"/>
    <w:multiLevelType w:val="hybridMultilevel"/>
    <w:tmpl w:val="9C48EBE6"/>
    <w:lvl w:ilvl="0" w:tplc="A71082A0">
      <w:numFmt w:val="bullet"/>
      <w:lvlText w:val=""/>
      <w:lvlJc w:val="left"/>
      <w:pPr>
        <w:ind w:left="720" w:hanging="360"/>
      </w:pPr>
      <w:rPr>
        <w:rFonts w:ascii="Wingdings" w:eastAsia="Calibri" w:hAnsi="Wingdings"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7C27DE8"/>
    <w:multiLevelType w:val="hybridMultilevel"/>
    <w:tmpl w:val="188629B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AEC6065"/>
    <w:multiLevelType w:val="hybridMultilevel"/>
    <w:tmpl w:val="9C0E392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E635A6A"/>
    <w:multiLevelType w:val="hybridMultilevel"/>
    <w:tmpl w:val="CB46B02C"/>
    <w:lvl w:ilvl="0" w:tplc="FBC204CE">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F551D23"/>
    <w:multiLevelType w:val="hybridMultilevel"/>
    <w:tmpl w:val="17D21F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4F851CE"/>
    <w:multiLevelType w:val="hybridMultilevel"/>
    <w:tmpl w:val="B7F24B0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F0F608A"/>
    <w:multiLevelType w:val="hybridMultilevel"/>
    <w:tmpl w:val="C736101E"/>
    <w:lvl w:ilvl="0" w:tplc="9E640E36">
      <w:start w:val="1"/>
      <w:numFmt w:val="bullet"/>
      <w:lvlText w:val=""/>
      <w:lvlJc w:val="left"/>
      <w:pPr>
        <w:ind w:left="720" w:hanging="360"/>
      </w:pPr>
      <w:rPr>
        <w:rFonts w:ascii="Wingdings 2" w:hAnsi="Wingdings 2"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4C40EB5"/>
    <w:multiLevelType w:val="hybridMultilevel"/>
    <w:tmpl w:val="7EEA3B8E"/>
    <w:lvl w:ilvl="0" w:tplc="9B5C7D18">
      <w:numFmt w:val="bullet"/>
      <w:lvlText w:val="-"/>
      <w:lvlJc w:val="left"/>
      <w:pPr>
        <w:ind w:left="720" w:hanging="360"/>
      </w:pPr>
      <w:rPr>
        <w:rFonts w:ascii="Helvetica" w:eastAsia="Calibri" w:hAnsi="Helvetica" w:cs="Helvetic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BAC06F8"/>
    <w:multiLevelType w:val="multilevel"/>
    <w:tmpl w:val="ED5811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D4B2221"/>
    <w:multiLevelType w:val="hybridMultilevel"/>
    <w:tmpl w:val="E36A1CC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21572EC"/>
    <w:multiLevelType w:val="hybridMultilevel"/>
    <w:tmpl w:val="35F20E68"/>
    <w:lvl w:ilvl="0" w:tplc="D9042B94">
      <w:start w:val="4"/>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3F42C32"/>
    <w:multiLevelType w:val="hybridMultilevel"/>
    <w:tmpl w:val="4C5AAC9C"/>
    <w:lvl w:ilvl="0" w:tplc="6C5A2F32">
      <w:start w:val="1"/>
      <w:numFmt w:val="bullet"/>
      <w:lvlText w:val=""/>
      <w:lvlJc w:val="left"/>
      <w:pPr>
        <w:ind w:left="720" w:hanging="360"/>
      </w:pPr>
      <w:rPr>
        <w:rFonts w:ascii="Wingdings 2" w:hAnsi="Wingdings 2"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86B7D15"/>
    <w:multiLevelType w:val="hybridMultilevel"/>
    <w:tmpl w:val="DE5E37EC"/>
    <w:lvl w:ilvl="0" w:tplc="9B5C7D18">
      <w:numFmt w:val="bullet"/>
      <w:lvlText w:val="-"/>
      <w:lvlJc w:val="left"/>
      <w:pPr>
        <w:ind w:left="720" w:hanging="360"/>
      </w:pPr>
      <w:rPr>
        <w:rFonts w:ascii="Helvetica" w:eastAsia="Calibri" w:hAnsi="Helvetica" w:cs="Helvetic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C9A69BF"/>
    <w:multiLevelType w:val="hybridMultilevel"/>
    <w:tmpl w:val="148E0292"/>
    <w:lvl w:ilvl="0" w:tplc="2EF49874">
      <w:start w:val="1"/>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8"/>
  </w:num>
  <w:num w:numId="5">
    <w:abstractNumId w:val="13"/>
  </w:num>
  <w:num w:numId="6">
    <w:abstractNumId w:val="11"/>
  </w:num>
  <w:num w:numId="7">
    <w:abstractNumId w:val="7"/>
  </w:num>
  <w:num w:numId="8">
    <w:abstractNumId w:val="15"/>
  </w:num>
  <w:num w:numId="9">
    <w:abstractNumId w:val="12"/>
  </w:num>
  <w:num w:numId="10">
    <w:abstractNumId w:val="6"/>
  </w:num>
  <w:num w:numId="11">
    <w:abstractNumId w:val="0"/>
  </w:num>
  <w:num w:numId="12">
    <w:abstractNumId w:val="5"/>
  </w:num>
  <w:num w:numId="13">
    <w:abstractNumId w:val="10"/>
  </w:num>
  <w:num w:numId="14">
    <w:abstractNumId w:val="2"/>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C3A"/>
    <w:rsid w:val="000108CF"/>
    <w:rsid w:val="00012F33"/>
    <w:rsid w:val="00013FD8"/>
    <w:rsid w:val="00024652"/>
    <w:rsid w:val="000319C7"/>
    <w:rsid w:val="000354AA"/>
    <w:rsid w:val="000368E3"/>
    <w:rsid w:val="00044E29"/>
    <w:rsid w:val="00047B74"/>
    <w:rsid w:val="00053F60"/>
    <w:rsid w:val="000555E0"/>
    <w:rsid w:val="000558E9"/>
    <w:rsid w:val="00056A91"/>
    <w:rsid w:val="00061F3A"/>
    <w:rsid w:val="00065EC1"/>
    <w:rsid w:val="000674DC"/>
    <w:rsid w:val="00072253"/>
    <w:rsid w:val="00072B22"/>
    <w:rsid w:val="000768E1"/>
    <w:rsid w:val="00081A80"/>
    <w:rsid w:val="00081C4E"/>
    <w:rsid w:val="0008293E"/>
    <w:rsid w:val="0008335D"/>
    <w:rsid w:val="00084158"/>
    <w:rsid w:val="0009144E"/>
    <w:rsid w:val="00091EE6"/>
    <w:rsid w:val="00096A55"/>
    <w:rsid w:val="000A0948"/>
    <w:rsid w:val="000A4D4F"/>
    <w:rsid w:val="000A793A"/>
    <w:rsid w:val="000B1164"/>
    <w:rsid w:val="000B423F"/>
    <w:rsid w:val="000B4846"/>
    <w:rsid w:val="000B561E"/>
    <w:rsid w:val="000B7930"/>
    <w:rsid w:val="000C2AAE"/>
    <w:rsid w:val="000D370A"/>
    <w:rsid w:val="000D413C"/>
    <w:rsid w:val="000D55F7"/>
    <w:rsid w:val="000E194C"/>
    <w:rsid w:val="000F0FC1"/>
    <w:rsid w:val="000F3ED0"/>
    <w:rsid w:val="000F589B"/>
    <w:rsid w:val="000F5C17"/>
    <w:rsid w:val="00102F23"/>
    <w:rsid w:val="001034CC"/>
    <w:rsid w:val="0010547F"/>
    <w:rsid w:val="00111D55"/>
    <w:rsid w:val="0011418C"/>
    <w:rsid w:val="00114D1F"/>
    <w:rsid w:val="0011788C"/>
    <w:rsid w:val="00120AE2"/>
    <w:rsid w:val="0012604B"/>
    <w:rsid w:val="0013008B"/>
    <w:rsid w:val="00130322"/>
    <w:rsid w:val="00130479"/>
    <w:rsid w:val="00137AEE"/>
    <w:rsid w:val="00137DC2"/>
    <w:rsid w:val="00140A6F"/>
    <w:rsid w:val="001439A7"/>
    <w:rsid w:val="00144CE8"/>
    <w:rsid w:val="001507CB"/>
    <w:rsid w:val="00150D96"/>
    <w:rsid w:val="001557FE"/>
    <w:rsid w:val="00157CBB"/>
    <w:rsid w:val="00160895"/>
    <w:rsid w:val="001656A4"/>
    <w:rsid w:val="0016688E"/>
    <w:rsid w:val="00171BCE"/>
    <w:rsid w:val="00174113"/>
    <w:rsid w:val="0018040D"/>
    <w:rsid w:val="00180B4F"/>
    <w:rsid w:val="0018416B"/>
    <w:rsid w:val="00184739"/>
    <w:rsid w:val="0018527D"/>
    <w:rsid w:val="00185C30"/>
    <w:rsid w:val="001925C0"/>
    <w:rsid w:val="00192918"/>
    <w:rsid w:val="00195113"/>
    <w:rsid w:val="00197A4D"/>
    <w:rsid w:val="001A1070"/>
    <w:rsid w:val="001A5AD0"/>
    <w:rsid w:val="001A614F"/>
    <w:rsid w:val="001A6959"/>
    <w:rsid w:val="001A6B9B"/>
    <w:rsid w:val="001B153A"/>
    <w:rsid w:val="001B1C42"/>
    <w:rsid w:val="001B6EFF"/>
    <w:rsid w:val="001B7CF1"/>
    <w:rsid w:val="001C03DF"/>
    <w:rsid w:val="001C4161"/>
    <w:rsid w:val="001C5733"/>
    <w:rsid w:val="001D11E9"/>
    <w:rsid w:val="001E7AF1"/>
    <w:rsid w:val="001E7BFB"/>
    <w:rsid w:val="00203B8B"/>
    <w:rsid w:val="00204041"/>
    <w:rsid w:val="002056F5"/>
    <w:rsid w:val="00205915"/>
    <w:rsid w:val="00212084"/>
    <w:rsid w:val="00220EA6"/>
    <w:rsid w:val="002320B1"/>
    <w:rsid w:val="002323E5"/>
    <w:rsid w:val="0023488A"/>
    <w:rsid w:val="002404DC"/>
    <w:rsid w:val="002407D1"/>
    <w:rsid w:val="00240FB6"/>
    <w:rsid w:val="0024270E"/>
    <w:rsid w:val="00245ABC"/>
    <w:rsid w:val="00245EE6"/>
    <w:rsid w:val="00247D97"/>
    <w:rsid w:val="00252184"/>
    <w:rsid w:val="00254E26"/>
    <w:rsid w:val="00256B84"/>
    <w:rsid w:val="002601B6"/>
    <w:rsid w:val="0026211A"/>
    <w:rsid w:val="00262B5B"/>
    <w:rsid w:val="00264994"/>
    <w:rsid w:val="0026678D"/>
    <w:rsid w:val="00271320"/>
    <w:rsid w:val="00271FB7"/>
    <w:rsid w:val="002734FD"/>
    <w:rsid w:val="00276884"/>
    <w:rsid w:val="002775BD"/>
    <w:rsid w:val="002804B6"/>
    <w:rsid w:val="002807EB"/>
    <w:rsid w:val="002846A4"/>
    <w:rsid w:val="00287130"/>
    <w:rsid w:val="0029521D"/>
    <w:rsid w:val="00295A45"/>
    <w:rsid w:val="002A2CAB"/>
    <w:rsid w:val="002A34CC"/>
    <w:rsid w:val="002A4147"/>
    <w:rsid w:val="002A4355"/>
    <w:rsid w:val="002A56B3"/>
    <w:rsid w:val="002A5FDC"/>
    <w:rsid w:val="002B05F5"/>
    <w:rsid w:val="002B09A9"/>
    <w:rsid w:val="002B533C"/>
    <w:rsid w:val="002C2086"/>
    <w:rsid w:val="002C26F0"/>
    <w:rsid w:val="002C3CEB"/>
    <w:rsid w:val="002D3CB6"/>
    <w:rsid w:val="002D6640"/>
    <w:rsid w:val="002E309F"/>
    <w:rsid w:val="002E4C01"/>
    <w:rsid w:val="002F141B"/>
    <w:rsid w:val="002F1CE6"/>
    <w:rsid w:val="002F3C24"/>
    <w:rsid w:val="002F7800"/>
    <w:rsid w:val="00304355"/>
    <w:rsid w:val="00306233"/>
    <w:rsid w:val="0031084C"/>
    <w:rsid w:val="00313E50"/>
    <w:rsid w:val="00320CA8"/>
    <w:rsid w:val="00320D27"/>
    <w:rsid w:val="00325513"/>
    <w:rsid w:val="0032721F"/>
    <w:rsid w:val="003273C8"/>
    <w:rsid w:val="003336BC"/>
    <w:rsid w:val="00334D0E"/>
    <w:rsid w:val="003401C3"/>
    <w:rsid w:val="00341C52"/>
    <w:rsid w:val="003429F3"/>
    <w:rsid w:val="00345789"/>
    <w:rsid w:val="003460A8"/>
    <w:rsid w:val="0035099B"/>
    <w:rsid w:val="00353AC1"/>
    <w:rsid w:val="0036159E"/>
    <w:rsid w:val="00364161"/>
    <w:rsid w:val="00364ABB"/>
    <w:rsid w:val="0036560B"/>
    <w:rsid w:val="00365783"/>
    <w:rsid w:val="0036687F"/>
    <w:rsid w:val="00372A2E"/>
    <w:rsid w:val="00373AD5"/>
    <w:rsid w:val="00374285"/>
    <w:rsid w:val="00375598"/>
    <w:rsid w:val="003756B8"/>
    <w:rsid w:val="00375919"/>
    <w:rsid w:val="0037777C"/>
    <w:rsid w:val="0038298F"/>
    <w:rsid w:val="00382AC6"/>
    <w:rsid w:val="0038354B"/>
    <w:rsid w:val="00391F11"/>
    <w:rsid w:val="00393154"/>
    <w:rsid w:val="003A01D2"/>
    <w:rsid w:val="003A113F"/>
    <w:rsid w:val="003A1B61"/>
    <w:rsid w:val="003A1CCC"/>
    <w:rsid w:val="003A7179"/>
    <w:rsid w:val="003B03CF"/>
    <w:rsid w:val="003B1BFD"/>
    <w:rsid w:val="003B6438"/>
    <w:rsid w:val="003C0E0F"/>
    <w:rsid w:val="003C4F01"/>
    <w:rsid w:val="003C7B92"/>
    <w:rsid w:val="003D2EA1"/>
    <w:rsid w:val="003D322B"/>
    <w:rsid w:val="003D4EEC"/>
    <w:rsid w:val="003D51B2"/>
    <w:rsid w:val="003D60B2"/>
    <w:rsid w:val="003D74C6"/>
    <w:rsid w:val="003E0A05"/>
    <w:rsid w:val="003F3D45"/>
    <w:rsid w:val="003F5BBB"/>
    <w:rsid w:val="003F5D62"/>
    <w:rsid w:val="00403A6C"/>
    <w:rsid w:val="00404F82"/>
    <w:rsid w:val="0041161C"/>
    <w:rsid w:val="00420CB7"/>
    <w:rsid w:val="004221C6"/>
    <w:rsid w:val="00432C44"/>
    <w:rsid w:val="00434928"/>
    <w:rsid w:val="004437F4"/>
    <w:rsid w:val="0045027D"/>
    <w:rsid w:val="00457A7E"/>
    <w:rsid w:val="00460371"/>
    <w:rsid w:val="004622B6"/>
    <w:rsid w:val="004669CA"/>
    <w:rsid w:val="004869D2"/>
    <w:rsid w:val="00491CCC"/>
    <w:rsid w:val="00494DD3"/>
    <w:rsid w:val="00495209"/>
    <w:rsid w:val="004A0580"/>
    <w:rsid w:val="004A1543"/>
    <w:rsid w:val="004A2129"/>
    <w:rsid w:val="004A321A"/>
    <w:rsid w:val="004A3341"/>
    <w:rsid w:val="004A3A2C"/>
    <w:rsid w:val="004A3A55"/>
    <w:rsid w:val="004A4657"/>
    <w:rsid w:val="004A56A5"/>
    <w:rsid w:val="004A740E"/>
    <w:rsid w:val="004B2A3D"/>
    <w:rsid w:val="004B5034"/>
    <w:rsid w:val="004C2B3F"/>
    <w:rsid w:val="004C61FF"/>
    <w:rsid w:val="004D2382"/>
    <w:rsid w:val="004D4074"/>
    <w:rsid w:val="004E16CB"/>
    <w:rsid w:val="004E4472"/>
    <w:rsid w:val="004E5E5B"/>
    <w:rsid w:val="004F3F18"/>
    <w:rsid w:val="004F451E"/>
    <w:rsid w:val="004F7E64"/>
    <w:rsid w:val="00504558"/>
    <w:rsid w:val="0050730C"/>
    <w:rsid w:val="00514C51"/>
    <w:rsid w:val="00521AE7"/>
    <w:rsid w:val="00524FF8"/>
    <w:rsid w:val="00525055"/>
    <w:rsid w:val="00525B8B"/>
    <w:rsid w:val="005277EB"/>
    <w:rsid w:val="0053159C"/>
    <w:rsid w:val="005326A6"/>
    <w:rsid w:val="005359A6"/>
    <w:rsid w:val="0055059D"/>
    <w:rsid w:val="00555DC3"/>
    <w:rsid w:val="00555EE8"/>
    <w:rsid w:val="00563D7A"/>
    <w:rsid w:val="00566772"/>
    <w:rsid w:val="005668C7"/>
    <w:rsid w:val="005702F6"/>
    <w:rsid w:val="005704CC"/>
    <w:rsid w:val="00570BFA"/>
    <w:rsid w:val="0057287F"/>
    <w:rsid w:val="00575853"/>
    <w:rsid w:val="00581A43"/>
    <w:rsid w:val="005846F7"/>
    <w:rsid w:val="00584A14"/>
    <w:rsid w:val="005929AC"/>
    <w:rsid w:val="00592D84"/>
    <w:rsid w:val="0059590A"/>
    <w:rsid w:val="005971C9"/>
    <w:rsid w:val="005A0A21"/>
    <w:rsid w:val="005A1C81"/>
    <w:rsid w:val="005A3FCD"/>
    <w:rsid w:val="005B2CE0"/>
    <w:rsid w:val="005B3D30"/>
    <w:rsid w:val="005B45DC"/>
    <w:rsid w:val="005B4DB7"/>
    <w:rsid w:val="005B4E1D"/>
    <w:rsid w:val="005B652E"/>
    <w:rsid w:val="005B76AC"/>
    <w:rsid w:val="005C00CB"/>
    <w:rsid w:val="005C0CCB"/>
    <w:rsid w:val="005C2379"/>
    <w:rsid w:val="005C58EF"/>
    <w:rsid w:val="005C604C"/>
    <w:rsid w:val="005D0E4E"/>
    <w:rsid w:val="005D1B46"/>
    <w:rsid w:val="005D383D"/>
    <w:rsid w:val="005D4FE4"/>
    <w:rsid w:val="005D5B8E"/>
    <w:rsid w:val="005E15DF"/>
    <w:rsid w:val="005E3150"/>
    <w:rsid w:val="005E46DA"/>
    <w:rsid w:val="005F194B"/>
    <w:rsid w:val="005F60C8"/>
    <w:rsid w:val="005F7D12"/>
    <w:rsid w:val="006004A4"/>
    <w:rsid w:val="00607F24"/>
    <w:rsid w:val="00613DF0"/>
    <w:rsid w:val="006140EA"/>
    <w:rsid w:val="006209C3"/>
    <w:rsid w:val="00620C07"/>
    <w:rsid w:val="006222B8"/>
    <w:rsid w:val="00623206"/>
    <w:rsid w:val="00630F9F"/>
    <w:rsid w:val="0063483D"/>
    <w:rsid w:val="006379DA"/>
    <w:rsid w:val="006400CB"/>
    <w:rsid w:val="00645ADE"/>
    <w:rsid w:val="00651F76"/>
    <w:rsid w:val="006567C0"/>
    <w:rsid w:val="006628A2"/>
    <w:rsid w:val="00667A51"/>
    <w:rsid w:val="00671FBB"/>
    <w:rsid w:val="00672499"/>
    <w:rsid w:val="006728FE"/>
    <w:rsid w:val="00672BDA"/>
    <w:rsid w:val="0067303E"/>
    <w:rsid w:val="00676EBD"/>
    <w:rsid w:val="00677692"/>
    <w:rsid w:val="00681E4A"/>
    <w:rsid w:val="0069066A"/>
    <w:rsid w:val="00690E46"/>
    <w:rsid w:val="006A0121"/>
    <w:rsid w:val="006A155A"/>
    <w:rsid w:val="006A1CEA"/>
    <w:rsid w:val="006A6436"/>
    <w:rsid w:val="006B3FE7"/>
    <w:rsid w:val="006B6F11"/>
    <w:rsid w:val="006B7169"/>
    <w:rsid w:val="006B79F8"/>
    <w:rsid w:val="006C16F6"/>
    <w:rsid w:val="006C1CBF"/>
    <w:rsid w:val="006C2B62"/>
    <w:rsid w:val="006C5C92"/>
    <w:rsid w:val="006D0F2B"/>
    <w:rsid w:val="006D1D9D"/>
    <w:rsid w:val="006D7A63"/>
    <w:rsid w:val="006E0F59"/>
    <w:rsid w:val="006E1F87"/>
    <w:rsid w:val="006E208A"/>
    <w:rsid w:val="006E2649"/>
    <w:rsid w:val="006E45EE"/>
    <w:rsid w:val="006E6090"/>
    <w:rsid w:val="006E78D1"/>
    <w:rsid w:val="006F23B8"/>
    <w:rsid w:val="006F3958"/>
    <w:rsid w:val="006F5477"/>
    <w:rsid w:val="006F6130"/>
    <w:rsid w:val="006F6522"/>
    <w:rsid w:val="006F6994"/>
    <w:rsid w:val="007002E8"/>
    <w:rsid w:val="007041F1"/>
    <w:rsid w:val="00711DD7"/>
    <w:rsid w:val="0071258C"/>
    <w:rsid w:val="00712A79"/>
    <w:rsid w:val="00712B1D"/>
    <w:rsid w:val="007131EC"/>
    <w:rsid w:val="0072003B"/>
    <w:rsid w:val="007200F4"/>
    <w:rsid w:val="007225AB"/>
    <w:rsid w:val="00727A0E"/>
    <w:rsid w:val="00731765"/>
    <w:rsid w:val="00733F93"/>
    <w:rsid w:val="007359F2"/>
    <w:rsid w:val="00740067"/>
    <w:rsid w:val="00741B95"/>
    <w:rsid w:val="00750334"/>
    <w:rsid w:val="0075171C"/>
    <w:rsid w:val="00754055"/>
    <w:rsid w:val="00754FEE"/>
    <w:rsid w:val="00755CA8"/>
    <w:rsid w:val="00767155"/>
    <w:rsid w:val="0078042D"/>
    <w:rsid w:val="00786809"/>
    <w:rsid w:val="00793429"/>
    <w:rsid w:val="00796442"/>
    <w:rsid w:val="007971AB"/>
    <w:rsid w:val="007A130A"/>
    <w:rsid w:val="007A3984"/>
    <w:rsid w:val="007A7F79"/>
    <w:rsid w:val="007B2451"/>
    <w:rsid w:val="007B3F3D"/>
    <w:rsid w:val="007C0BBF"/>
    <w:rsid w:val="007C250F"/>
    <w:rsid w:val="007C2A56"/>
    <w:rsid w:val="007C3150"/>
    <w:rsid w:val="007C3882"/>
    <w:rsid w:val="007D0684"/>
    <w:rsid w:val="007D25AC"/>
    <w:rsid w:val="007D4218"/>
    <w:rsid w:val="007D760C"/>
    <w:rsid w:val="007E177F"/>
    <w:rsid w:val="007E3271"/>
    <w:rsid w:val="007E626D"/>
    <w:rsid w:val="007E7BC7"/>
    <w:rsid w:val="007E7C3A"/>
    <w:rsid w:val="007F35FD"/>
    <w:rsid w:val="0080115B"/>
    <w:rsid w:val="00803E82"/>
    <w:rsid w:val="00804A1E"/>
    <w:rsid w:val="008061DB"/>
    <w:rsid w:val="008075D7"/>
    <w:rsid w:val="008077C5"/>
    <w:rsid w:val="00810D30"/>
    <w:rsid w:val="0081177D"/>
    <w:rsid w:val="00814543"/>
    <w:rsid w:val="00816567"/>
    <w:rsid w:val="00822E1F"/>
    <w:rsid w:val="00823CF2"/>
    <w:rsid w:val="008250E9"/>
    <w:rsid w:val="00827DCB"/>
    <w:rsid w:val="008311B9"/>
    <w:rsid w:val="008319F3"/>
    <w:rsid w:val="00832746"/>
    <w:rsid w:val="00833BD0"/>
    <w:rsid w:val="00834D49"/>
    <w:rsid w:val="00841AFD"/>
    <w:rsid w:val="00841F82"/>
    <w:rsid w:val="00847749"/>
    <w:rsid w:val="008506AB"/>
    <w:rsid w:val="00853E19"/>
    <w:rsid w:val="00860E93"/>
    <w:rsid w:val="00861238"/>
    <w:rsid w:val="0086144A"/>
    <w:rsid w:val="008620EA"/>
    <w:rsid w:val="008625DE"/>
    <w:rsid w:val="008632FD"/>
    <w:rsid w:val="00863F4E"/>
    <w:rsid w:val="008717A1"/>
    <w:rsid w:val="00871D9A"/>
    <w:rsid w:val="00882113"/>
    <w:rsid w:val="00885BBB"/>
    <w:rsid w:val="008868CA"/>
    <w:rsid w:val="008901D7"/>
    <w:rsid w:val="0089106D"/>
    <w:rsid w:val="008924B3"/>
    <w:rsid w:val="0089574D"/>
    <w:rsid w:val="008A00CD"/>
    <w:rsid w:val="008A2C1A"/>
    <w:rsid w:val="008A6EE6"/>
    <w:rsid w:val="008B0CEA"/>
    <w:rsid w:val="008B5D8E"/>
    <w:rsid w:val="008B6BD1"/>
    <w:rsid w:val="008C4690"/>
    <w:rsid w:val="008D2DF2"/>
    <w:rsid w:val="008D57C2"/>
    <w:rsid w:val="008E38E1"/>
    <w:rsid w:val="008E658B"/>
    <w:rsid w:val="008E776A"/>
    <w:rsid w:val="008F0531"/>
    <w:rsid w:val="008F0CDF"/>
    <w:rsid w:val="008F2DA2"/>
    <w:rsid w:val="008F7456"/>
    <w:rsid w:val="008F7AA7"/>
    <w:rsid w:val="00900410"/>
    <w:rsid w:val="00904AD1"/>
    <w:rsid w:val="00917EDE"/>
    <w:rsid w:val="0092079A"/>
    <w:rsid w:val="00923CD6"/>
    <w:rsid w:val="00925491"/>
    <w:rsid w:val="00934AD1"/>
    <w:rsid w:val="00937B5C"/>
    <w:rsid w:val="0094427E"/>
    <w:rsid w:val="009451EA"/>
    <w:rsid w:val="00946336"/>
    <w:rsid w:val="00957793"/>
    <w:rsid w:val="009602C0"/>
    <w:rsid w:val="00960901"/>
    <w:rsid w:val="0096562C"/>
    <w:rsid w:val="00966988"/>
    <w:rsid w:val="00973181"/>
    <w:rsid w:val="00974116"/>
    <w:rsid w:val="009775B1"/>
    <w:rsid w:val="009854B9"/>
    <w:rsid w:val="00987E37"/>
    <w:rsid w:val="00987F0D"/>
    <w:rsid w:val="00990436"/>
    <w:rsid w:val="00993378"/>
    <w:rsid w:val="009A2F21"/>
    <w:rsid w:val="009A5C31"/>
    <w:rsid w:val="009A732B"/>
    <w:rsid w:val="009B2493"/>
    <w:rsid w:val="009B5F4C"/>
    <w:rsid w:val="009B752D"/>
    <w:rsid w:val="009C0BCE"/>
    <w:rsid w:val="009C15AA"/>
    <w:rsid w:val="009C453E"/>
    <w:rsid w:val="009C4983"/>
    <w:rsid w:val="009C587D"/>
    <w:rsid w:val="009C5B7E"/>
    <w:rsid w:val="009C7340"/>
    <w:rsid w:val="009C79AB"/>
    <w:rsid w:val="009D0AA2"/>
    <w:rsid w:val="009D247D"/>
    <w:rsid w:val="009D5D31"/>
    <w:rsid w:val="009D74B8"/>
    <w:rsid w:val="009E39F2"/>
    <w:rsid w:val="009F0185"/>
    <w:rsid w:val="009F32AA"/>
    <w:rsid w:val="009F5AD4"/>
    <w:rsid w:val="00A04E8B"/>
    <w:rsid w:val="00A056EE"/>
    <w:rsid w:val="00A071FA"/>
    <w:rsid w:val="00A10A2C"/>
    <w:rsid w:val="00A15F7E"/>
    <w:rsid w:val="00A17139"/>
    <w:rsid w:val="00A2153B"/>
    <w:rsid w:val="00A22C57"/>
    <w:rsid w:val="00A35E9C"/>
    <w:rsid w:val="00A36AF6"/>
    <w:rsid w:val="00A4080E"/>
    <w:rsid w:val="00A42FBD"/>
    <w:rsid w:val="00A43E1C"/>
    <w:rsid w:val="00A4403D"/>
    <w:rsid w:val="00A44F9F"/>
    <w:rsid w:val="00A51C70"/>
    <w:rsid w:val="00A55E5D"/>
    <w:rsid w:val="00A55F27"/>
    <w:rsid w:val="00A57535"/>
    <w:rsid w:val="00A6542B"/>
    <w:rsid w:val="00A67DD3"/>
    <w:rsid w:val="00A7081C"/>
    <w:rsid w:val="00A71358"/>
    <w:rsid w:val="00A90A8C"/>
    <w:rsid w:val="00A93E9C"/>
    <w:rsid w:val="00A973FC"/>
    <w:rsid w:val="00A97A29"/>
    <w:rsid w:val="00AA2D23"/>
    <w:rsid w:val="00AA55E9"/>
    <w:rsid w:val="00AA5BB8"/>
    <w:rsid w:val="00AB170D"/>
    <w:rsid w:val="00AB2344"/>
    <w:rsid w:val="00AB27DA"/>
    <w:rsid w:val="00AB4F41"/>
    <w:rsid w:val="00AB7A8A"/>
    <w:rsid w:val="00AC04DB"/>
    <w:rsid w:val="00AC06D0"/>
    <w:rsid w:val="00AC0DD1"/>
    <w:rsid w:val="00AC1BF4"/>
    <w:rsid w:val="00AC2A06"/>
    <w:rsid w:val="00AC2AFE"/>
    <w:rsid w:val="00AC2C5F"/>
    <w:rsid w:val="00AC3C90"/>
    <w:rsid w:val="00AC4582"/>
    <w:rsid w:val="00AC4DFF"/>
    <w:rsid w:val="00AC7D16"/>
    <w:rsid w:val="00AD0CB6"/>
    <w:rsid w:val="00AD6E31"/>
    <w:rsid w:val="00AD7293"/>
    <w:rsid w:val="00AE5C38"/>
    <w:rsid w:val="00AF40D7"/>
    <w:rsid w:val="00AF6D1D"/>
    <w:rsid w:val="00B02100"/>
    <w:rsid w:val="00B0280E"/>
    <w:rsid w:val="00B02AF4"/>
    <w:rsid w:val="00B037CD"/>
    <w:rsid w:val="00B05DBC"/>
    <w:rsid w:val="00B20AD6"/>
    <w:rsid w:val="00B24455"/>
    <w:rsid w:val="00B26797"/>
    <w:rsid w:val="00B364FE"/>
    <w:rsid w:val="00B3709A"/>
    <w:rsid w:val="00B44BB8"/>
    <w:rsid w:val="00B472E3"/>
    <w:rsid w:val="00B47B17"/>
    <w:rsid w:val="00B5208D"/>
    <w:rsid w:val="00B53D9B"/>
    <w:rsid w:val="00B571FE"/>
    <w:rsid w:val="00B6729B"/>
    <w:rsid w:val="00B72CB6"/>
    <w:rsid w:val="00B73943"/>
    <w:rsid w:val="00B80DCB"/>
    <w:rsid w:val="00B812B3"/>
    <w:rsid w:val="00B84593"/>
    <w:rsid w:val="00B850D2"/>
    <w:rsid w:val="00B871DD"/>
    <w:rsid w:val="00B87BEE"/>
    <w:rsid w:val="00B91A17"/>
    <w:rsid w:val="00BA4E52"/>
    <w:rsid w:val="00BB3947"/>
    <w:rsid w:val="00BB41D8"/>
    <w:rsid w:val="00BB7968"/>
    <w:rsid w:val="00BC2510"/>
    <w:rsid w:val="00BC2931"/>
    <w:rsid w:val="00BC2FA6"/>
    <w:rsid w:val="00BC4E5F"/>
    <w:rsid w:val="00BD2067"/>
    <w:rsid w:val="00BD28C8"/>
    <w:rsid w:val="00BD3ACE"/>
    <w:rsid w:val="00BD576F"/>
    <w:rsid w:val="00BE05CE"/>
    <w:rsid w:val="00BE2A11"/>
    <w:rsid w:val="00BE411F"/>
    <w:rsid w:val="00BE587A"/>
    <w:rsid w:val="00BE6FD5"/>
    <w:rsid w:val="00BF2639"/>
    <w:rsid w:val="00BF2F8F"/>
    <w:rsid w:val="00BF3201"/>
    <w:rsid w:val="00BF6526"/>
    <w:rsid w:val="00BF7C7C"/>
    <w:rsid w:val="00C00665"/>
    <w:rsid w:val="00C017A2"/>
    <w:rsid w:val="00C11D47"/>
    <w:rsid w:val="00C17D00"/>
    <w:rsid w:val="00C20303"/>
    <w:rsid w:val="00C2116B"/>
    <w:rsid w:val="00C21E60"/>
    <w:rsid w:val="00C24F42"/>
    <w:rsid w:val="00C31031"/>
    <w:rsid w:val="00C323FA"/>
    <w:rsid w:val="00C33721"/>
    <w:rsid w:val="00C34E1F"/>
    <w:rsid w:val="00C401B3"/>
    <w:rsid w:val="00C511F3"/>
    <w:rsid w:val="00C52CC7"/>
    <w:rsid w:val="00C56E9F"/>
    <w:rsid w:val="00C6714C"/>
    <w:rsid w:val="00C72761"/>
    <w:rsid w:val="00C75CFE"/>
    <w:rsid w:val="00C7704D"/>
    <w:rsid w:val="00C8187E"/>
    <w:rsid w:val="00C84B70"/>
    <w:rsid w:val="00C8550F"/>
    <w:rsid w:val="00C87807"/>
    <w:rsid w:val="00C87B2D"/>
    <w:rsid w:val="00C900B4"/>
    <w:rsid w:val="00C92FDD"/>
    <w:rsid w:val="00C97894"/>
    <w:rsid w:val="00CA3FDD"/>
    <w:rsid w:val="00CA5213"/>
    <w:rsid w:val="00CA6EC8"/>
    <w:rsid w:val="00CA6FE8"/>
    <w:rsid w:val="00CB4B50"/>
    <w:rsid w:val="00CB58C0"/>
    <w:rsid w:val="00CC3294"/>
    <w:rsid w:val="00CC5BB1"/>
    <w:rsid w:val="00CC6C77"/>
    <w:rsid w:val="00CD2428"/>
    <w:rsid w:val="00CD51B3"/>
    <w:rsid w:val="00CD54EC"/>
    <w:rsid w:val="00CD5D6C"/>
    <w:rsid w:val="00CE3823"/>
    <w:rsid w:val="00CE5794"/>
    <w:rsid w:val="00CE70BF"/>
    <w:rsid w:val="00CF0665"/>
    <w:rsid w:val="00D00776"/>
    <w:rsid w:val="00D0143C"/>
    <w:rsid w:val="00D02A69"/>
    <w:rsid w:val="00D03DC7"/>
    <w:rsid w:val="00D04D7D"/>
    <w:rsid w:val="00D12ADB"/>
    <w:rsid w:val="00D138C9"/>
    <w:rsid w:val="00D14BB8"/>
    <w:rsid w:val="00D16480"/>
    <w:rsid w:val="00D21DFF"/>
    <w:rsid w:val="00D22580"/>
    <w:rsid w:val="00D2496C"/>
    <w:rsid w:val="00D25573"/>
    <w:rsid w:val="00D25F57"/>
    <w:rsid w:val="00D37725"/>
    <w:rsid w:val="00D37F8D"/>
    <w:rsid w:val="00D40254"/>
    <w:rsid w:val="00D40397"/>
    <w:rsid w:val="00D40AE8"/>
    <w:rsid w:val="00D42799"/>
    <w:rsid w:val="00D50C97"/>
    <w:rsid w:val="00D51B44"/>
    <w:rsid w:val="00D53C95"/>
    <w:rsid w:val="00D54B87"/>
    <w:rsid w:val="00D56A05"/>
    <w:rsid w:val="00D624DF"/>
    <w:rsid w:val="00D72665"/>
    <w:rsid w:val="00D7408F"/>
    <w:rsid w:val="00D76D7F"/>
    <w:rsid w:val="00D8100B"/>
    <w:rsid w:val="00D82CF1"/>
    <w:rsid w:val="00D92F17"/>
    <w:rsid w:val="00D941FF"/>
    <w:rsid w:val="00D94F6A"/>
    <w:rsid w:val="00D95185"/>
    <w:rsid w:val="00D9700E"/>
    <w:rsid w:val="00D979E7"/>
    <w:rsid w:val="00DA227C"/>
    <w:rsid w:val="00DA3A41"/>
    <w:rsid w:val="00DA480E"/>
    <w:rsid w:val="00DB1B99"/>
    <w:rsid w:val="00DB1F2F"/>
    <w:rsid w:val="00DB4ABF"/>
    <w:rsid w:val="00DB4D09"/>
    <w:rsid w:val="00DC228D"/>
    <w:rsid w:val="00DC2BFE"/>
    <w:rsid w:val="00DC2E10"/>
    <w:rsid w:val="00DC34C9"/>
    <w:rsid w:val="00DC3C1E"/>
    <w:rsid w:val="00DC5747"/>
    <w:rsid w:val="00DD176A"/>
    <w:rsid w:val="00DD3FEA"/>
    <w:rsid w:val="00DD4E20"/>
    <w:rsid w:val="00DE1D13"/>
    <w:rsid w:val="00DE3E7C"/>
    <w:rsid w:val="00DF109B"/>
    <w:rsid w:val="00DF5D19"/>
    <w:rsid w:val="00E020A0"/>
    <w:rsid w:val="00E02B40"/>
    <w:rsid w:val="00E03067"/>
    <w:rsid w:val="00E06F70"/>
    <w:rsid w:val="00E117B6"/>
    <w:rsid w:val="00E122FA"/>
    <w:rsid w:val="00E161D1"/>
    <w:rsid w:val="00E16311"/>
    <w:rsid w:val="00E23AA5"/>
    <w:rsid w:val="00E340C1"/>
    <w:rsid w:val="00E35F8D"/>
    <w:rsid w:val="00E36027"/>
    <w:rsid w:val="00E410ED"/>
    <w:rsid w:val="00E41110"/>
    <w:rsid w:val="00E41BE6"/>
    <w:rsid w:val="00E43D2B"/>
    <w:rsid w:val="00E44B32"/>
    <w:rsid w:val="00E47589"/>
    <w:rsid w:val="00E47AE6"/>
    <w:rsid w:val="00E5086C"/>
    <w:rsid w:val="00E50B8B"/>
    <w:rsid w:val="00E52614"/>
    <w:rsid w:val="00E53F11"/>
    <w:rsid w:val="00E56239"/>
    <w:rsid w:val="00E56ED7"/>
    <w:rsid w:val="00E57D40"/>
    <w:rsid w:val="00E622BD"/>
    <w:rsid w:val="00E644B3"/>
    <w:rsid w:val="00E66D1B"/>
    <w:rsid w:val="00E67801"/>
    <w:rsid w:val="00E71067"/>
    <w:rsid w:val="00E721FE"/>
    <w:rsid w:val="00E770CF"/>
    <w:rsid w:val="00E77BF5"/>
    <w:rsid w:val="00E812F4"/>
    <w:rsid w:val="00E87AEE"/>
    <w:rsid w:val="00E87FE5"/>
    <w:rsid w:val="00E900FB"/>
    <w:rsid w:val="00E9143D"/>
    <w:rsid w:val="00E954BA"/>
    <w:rsid w:val="00E974C9"/>
    <w:rsid w:val="00EA239A"/>
    <w:rsid w:val="00EA636D"/>
    <w:rsid w:val="00EA72B7"/>
    <w:rsid w:val="00EC0661"/>
    <w:rsid w:val="00EC104C"/>
    <w:rsid w:val="00EC4981"/>
    <w:rsid w:val="00EC4AE5"/>
    <w:rsid w:val="00EC50CC"/>
    <w:rsid w:val="00ED3766"/>
    <w:rsid w:val="00ED3771"/>
    <w:rsid w:val="00ED40E4"/>
    <w:rsid w:val="00EE1E37"/>
    <w:rsid w:val="00EE4981"/>
    <w:rsid w:val="00EE7B56"/>
    <w:rsid w:val="00EF03D9"/>
    <w:rsid w:val="00EF1690"/>
    <w:rsid w:val="00EF3251"/>
    <w:rsid w:val="00EF3A1E"/>
    <w:rsid w:val="00EF46A2"/>
    <w:rsid w:val="00EF5395"/>
    <w:rsid w:val="00EF7C92"/>
    <w:rsid w:val="00F12D64"/>
    <w:rsid w:val="00F15D50"/>
    <w:rsid w:val="00F16D47"/>
    <w:rsid w:val="00F21A53"/>
    <w:rsid w:val="00F2453C"/>
    <w:rsid w:val="00F252CD"/>
    <w:rsid w:val="00F4123B"/>
    <w:rsid w:val="00F4199E"/>
    <w:rsid w:val="00F45DE7"/>
    <w:rsid w:val="00F46822"/>
    <w:rsid w:val="00F52D5B"/>
    <w:rsid w:val="00F5446C"/>
    <w:rsid w:val="00F54C87"/>
    <w:rsid w:val="00F56557"/>
    <w:rsid w:val="00F668D5"/>
    <w:rsid w:val="00F67D23"/>
    <w:rsid w:val="00F715F8"/>
    <w:rsid w:val="00F77331"/>
    <w:rsid w:val="00F81F99"/>
    <w:rsid w:val="00F82373"/>
    <w:rsid w:val="00F84826"/>
    <w:rsid w:val="00F90446"/>
    <w:rsid w:val="00F932D5"/>
    <w:rsid w:val="00F9590F"/>
    <w:rsid w:val="00F96333"/>
    <w:rsid w:val="00F96658"/>
    <w:rsid w:val="00F96F14"/>
    <w:rsid w:val="00F978DA"/>
    <w:rsid w:val="00FA3755"/>
    <w:rsid w:val="00FA4002"/>
    <w:rsid w:val="00FA520B"/>
    <w:rsid w:val="00FA7B1C"/>
    <w:rsid w:val="00FB14AD"/>
    <w:rsid w:val="00FB1E15"/>
    <w:rsid w:val="00FB394A"/>
    <w:rsid w:val="00FB7324"/>
    <w:rsid w:val="00FC2822"/>
    <w:rsid w:val="00FC5F81"/>
    <w:rsid w:val="00FC7CEE"/>
    <w:rsid w:val="00FD0413"/>
    <w:rsid w:val="00FE0372"/>
    <w:rsid w:val="00FE0515"/>
    <w:rsid w:val="00FE0B1A"/>
    <w:rsid w:val="00FE21DF"/>
    <w:rsid w:val="00FE2846"/>
    <w:rsid w:val="00FE4897"/>
    <w:rsid w:val="00FE551D"/>
    <w:rsid w:val="00FE5C38"/>
    <w:rsid w:val="00FE6A5A"/>
    <w:rsid w:val="00FF3085"/>
    <w:rsid w:val="00FF6A75"/>
    <w:rsid w:val="00FF72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6ADA6"/>
  <w15:docId w15:val="{D9066A44-3273-448E-8287-7B420967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7C3A"/>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A51C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51C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B65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B652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115B"/>
    <w:pPr>
      <w:spacing w:before="100" w:beforeAutospacing="1" w:after="100" w:afterAutospacing="1" w:line="240" w:lineRule="auto"/>
    </w:pPr>
    <w:rPr>
      <w:rFonts w:ascii="Times New Roman" w:eastAsiaTheme="minorHAnsi" w:hAnsi="Times New Roman"/>
      <w:sz w:val="24"/>
      <w:szCs w:val="24"/>
      <w:lang w:eastAsia="en-NZ"/>
    </w:rPr>
  </w:style>
  <w:style w:type="table" w:styleId="TableGrid">
    <w:name w:val="Table Grid"/>
    <w:basedOn w:val="TableNormal"/>
    <w:uiPriority w:val="39"/>
    <w:rsid w:val="00801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58E9"/>
    <w:rPr>
      <w:sz w:val="16"/>
      <w:szCs w:val="16"/>
    </w:rPr>
  </w:style>
  <w:style w:type="paragraph" w:styleId="CommentText">
    <w:name w:val="annotation text"/>
    <w:basedOn w:val="Normal"/>
    <w:link w:val="CommentTextChar"/>
    <w:uiPriority w:val="99"/>
    <w:semiHidden/>
    <w:unhideWhenUsed/>
    <w:rsid w:val="000558E9"/>
    <w:pPr>
      <w:spacing w:line="240" w:lineRule="auto"/>
    </w:pPr>
    <w:rPr>
      <w:sz w:val="20"/>
      <w:szCs w:val="20"/>
    </w:rPr>
  </w:style>
  <w:style w:type="character" w:customStyle="1" w:styleId="CommentTextChar">
    <w:name w:val="Comment Text Char"/>
    <w:basedOn w:val="DefaultParagraphFont"/>
    <w:link w:val="CommentText"/>
    <w:uiPriority w:val="99"/>
    <w:semiHidden/>
    <w:rsid w:val="000558E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558E9"/>
    <w:rPr>
      <w:b/>
      <w:bCs/>
    </w:rPr>
  </w:style>
  <w:style w:type="character" w:customStyle="1" w:styleId="CommentSubjectChar">
    <w:name w:val="Comment Subject Char"/>
    <w:basedOn w:val="CommentTextChar"/>
    <w:link w:val="CommentSubject"/>
    <w:uiPriority w:val="99"/>
    <w:semiHidden/>
    <w:rsid w:val="000558E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558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8E9"/>
    <w:rPr>
      <w:rFonts w:ascii="Segoe UI" w:eastAsia="Calibri" w:hAnsi="Segoe UI" w:cs="Segoe UI"/>
      <w:sz w:val="18"/>
      <w:szCs w:val="18"/>
    </w:rPr>
  </w:style>
  <w:style w:type="paragraph" w:styleId="ListParagraph">
    <w:name w:val="List Paragraph"/>
    <w:basedOn w:val="Normal"/>
    <w:link w:val="ListParagraphChar"/>
    <w:uiPriority w:val="34"/>
    <w:qFormat/>
    <w:rsid w:val="00A4080E"/>
    <w:pPr>
      <w:ind w:left="720"/>
      <w:contextualSpacing/>
    </w:pPr>
  </w:style>
  <w:style w:type="character" w:customStyle="1" w:styleId="ListParagraphChar">
    <w:name w:val="List Paragraph Char"/>
    <w:link w:val="ListParagraph"/>
    <w:uiPriority w:val="34"/>
    <w:rsid w:val="00174113"/>
    <w:rPr>
      <w:rFonts w:ascii="Calibri" w:eastAsia="Calibri" w:hAnsi="Calibri" w:cs="Times New Roman"/>
    </w:rPr>
  </w:style>
  <w:style w:type="character" w:customStyle="1" w:styleId="Heading1Char">
    <w:name w:val="Heading 1 Char"/>
    <w:basedOn w:val="DefaultParagraphFont"/>
    <w:link w:val="Heading1"/>
    <w:uiPriority w:val="9"/>
    <w:rsid w:val="00A51C7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51C70"/>
    <w:pPr>
      <w:spacing w:line="259" w:lineRule="auto"/>
      <w:outlineLvl w:val="9"/>
    </w:pPr>
    <w:rPr>
      <w:lang w:val="en-US"/>
    </w:rPr>
  </w:style>
  <w:style w:type="paragraph" w:styleId="TOC1">
    <w:name w:val="toc 1"/>
    <w:basedOn w:val="Normal"/>
    <w:next w:val="Normal"/>
    <w:autoRedefine/>
    <w:uiPriority w:val="39"/>
    <w:unhideWhenUsed/>
    <w:rsid w:val="00A51C70"/>
    <w:pPr>
      <w:spacing w:after="100"/>
    </w:pPr>
  </w:style>
  <w:style w:type="character" w:styleId="Hyperlink">
    <w:name w:val="Hyperlink"/>
    <w:basedOn w:val="DefaultParagraphFont"/>
    <w:uiPriority w:val="99"/>
    <w:unhideWhenUsed/>
    <w:rsid w:val="00A51C70"/>
    <w:rPr>
      <w:color w:val="0563C1" w:themeColor="hyperlink"/>
      <w:u w:val="single"/>
    </w:rPr>
  </w:style>
  <w:style w:type="character" w:customStyle="1" w:styleId="Heading2Char">
    <w:name w:val="Heading 2 Char"/>
    <w:basedOn w:val="DefaultParagraphFont"/>
    <w:link w:val="Heading2"/>
    <w:uiPriority w:val="9"/>
    <w:rsid w:val="00A51C70"/>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A51C70"/>
    <w:pPr>
      <w:spacing w:after="100"/>
      <w:ind w:left="220"/>
    </w:pPr>
  </w:style>
  <w:style w:type="paragraph" w:styleId="FootnoteText">
    <w:name w:val="footnote text"/>
    <w:basedOn w:val="Normal"/>
    <w:link w:val="FootnoteTextChar"/>
    <w:uiPriority w:val="99"/>
    <w:semiHidden/>
    <w:unhideWhenUsed/>
    <w:rsid w:val="00D427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2799"/>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42799"/>
    <w:rPr>
      <w:vertAlign w:val="superscript"/>
    </w:rPr>
  </w:style>
  <w:style w:type="character" w:customStyle="1" w:styleId="Heading3Char">
    <w:name w:val="Heading 3 Char"/>
    <w:basedOn w:val="DefaultParagraphFont"/>
    <w:link w:val="Heading3"/>
    <w:uiPriority w:val="9"/>
    <w:rsid w:val="005B652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B652E"/>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1929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918"/>
    <w:rPr>
      <w:rFonts w:ascii="Calibri" w:eastAsia="Calibri" w:hAnsi="Calibri" w:cs="Times New Roman"/>
    </w:rPr>
  </w:style>
  <w:style w:type="paragraph" w:styleId="Footer">
    <w:name w:val="footer"/>
    <w:basedOn w:val="Normal"/>
    <w:link w:val="FooterChar"/>
    <w:uiPriority w:val="99"/>
    <w:unhideWhenUsed/>
    <w:rsid w:val="00192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918"/>
    <w:rPr>
      <w:rFonts w:ascii="Calibri" w:eastAsia="Calibri" w:hAnsi="Calibri" w:cs="Times New Roman"/>
    </w:rPr>
  </w:style>
  <w:style w:type="paragraph" w:styleId="Revision">
    <w:name w:val="Revision"/>
    <w:hidden/>
    <w:uiPriority w:val="99"/>
    <w:semiHidden/>
    <w:rsid w:val="00E50B8B"/>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AA5BB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5BB8"/>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AA5BB8"/>
    <w:rPr>
      <w:vertAlign w:val="superscript"/>
    </w:rPr>
  </w:style>
  <w:style w:type="character" w:styleId="Emphasis">
    <w:name w:val="Emphasis"/>
    <w:basedOn w:val="DefaultParagraphFont"/>
    <w:uiPriority w:val="20"/>
    <w:qFormat/>
    <w:rsid w:val="00E9143D"/>
    <w:rPr>
      <w:i/>
      <w:iCs/>
    </w:rPr>
  </w:style>
  <w:style w:type="paragraph" w:styleId="TOC3">
    <w:name w:val="toc 3"/>
    <w:basedOn w:val="Normal"/>
    <w:next w:val="Normal"/>
    <w:autoRedefine/>
    <w:uiPriority w:val="39"/>
    <w:unhideWhenUsed/>
    <w:rsid w:val="0023488A"/>
    <w:pPr>
      <w:spacing w:after="100"/>
      <w:ind w:left="440"/>
    </w:pPr>
  </w:style>
  <w:style w:type="paragraph" w:customStyle="1" w:styleId="Default">
    <w:name w:val="Default"/>
    <w:rsid w:val="004669CA"/>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2323E5"/>
    <w:pPr>
      <w:spacing w:after="0" w:line="240" w:lineRule="auto"/>
    </w:pPr>
    <w:rPr>
      <w:rFonts w:ascii="Calibri" w:eastAsia="Calibri" w:hAnsi="Calibri" w:cs="Times New Roman"/>
    </w:rPr>
  </w:style>
  <w:style w:type="paragraph" w:styleId="DocumentMap">
    <w:name w:val="Document Map"/>
    <w:basedOn w:val="Normal"/>
    <w:link w:val="DocumentMapChar"/>
    <w:uiPriority w:val="99"/>
    <w:semiHidden/>
    <w:unhideWhenUsed/>
    <w:rsid w:val="0071258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71258C"/>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4361">
      <w:bodyDiv w:val="1"/>
      <w:marLeft w:val="0"/>
      <w:marRight w:val="0"/>
      <w:marTop w:val="0"/>
      <w:marBottom w:val="0"/>
      <w:divBdr>
        <w:top w:val="none" w:sz="0" w:space="0" w:color="auto"/>
        <w:left w:val="none" w:sz="0" w:space="0" w:color="auto"/>
        <w:bottom w:val="none" w:sz="0" w:space="0" w:color="auto"/>
        <w:right w:val="none" w:sz="0" w:space="0" w:color="auto"/>
      </w:divBdr>
    </w:div>
    <w:div w:id="76751005">
      <w:bodyDiv w:val="1"/>
      <w:marLeft w:val="0"/>
      <w:marRight w:val="0"/>
      <w:marTop w:val="0"/>
      <w:marBottom w:val="0"/>
      <w:divBdr>
        <w:top w:val="none" w:sz="0" w:space="0" w:color="auto"/>
        <w:left w:val="none" w:sz="0" w:space="0" w:color="auto"/>
        <w:bottom w:val="none" w:sz="0" w:space="0" w:color="auto"/>
        <w:right w:val="none" w:sz="0" w:space="0" w:color="auto"/>
      </w:divBdr>
    </w:div>
    <w:div w:id="248588402">
      <w:bodyDiv w:val="1"/>
      <w:marLeft w:val="0"/>
      <w:marRight w:val="0"/>
      <w:marTop w:val="0"/>
      <w:marBottom w:val="0"/>
      <w:divBdr>
        <w:top w:val="none" w:sz="0" w:space="0" w:color="auto"/>
        <w:left w:val="none" w:sz="0" w:space="0" w:color="auto"/>
        <w:bottom w:val="none" w:sz="0" w:space="0" w:color="auto"/>
        <w:right w:val="none" w:sz="0" w:space="0" w:color="auto"/>
      </w:divBdr>
    </w:div>
    <w:div w:id="326789422">
      <w:bodyDiv w:val="1"/>
      <w:marLeft w:val="0"/>
      <w:marRight w:val="0"/>
      <w:marTop w:val="0"/>
      <w:marBottom w:val="0"/>
      <w:divBdr>
        <w:top w:val="none" w:sz="0" w:space="0" w:color="auto"/>
        <w:left w:val="none" w:sz="0" w:space="0" w:color="auto"/>
        <w:bottom w:val="none" w:sz="0" w:space="0" w:color="auto"/>
        <w:right w:val="none" w:sz="0" w:space="0" w:color="auto"/>
      </w:divBdr>
    </w:div>
    <w:div w:id="332492806">
      <w:bodyDiv w:val="1"/>
      <w:marLeft w:val="0"/>
      <w:marRight w:val="0"/>
      <w:marTop w:val="0"/>
      <w:marBottom w:val="0"/>
      <w:divBdr>
        <w:top w:val="none" w:sz="0" w:space="0" w:color="auto"/>
        <w:left w:val="none" w:sz="0" w:space="0" w:color="auto"/>
        <w:bottom w:val="none" w:sz="0" w:space="0" w:color="auto"/>
        <w:right w:val="none" w:sz="0" w:space="0" w:color="auto"/>
      </w:divBdr>
    </w:div>
    <w:div w:id="336807228">
      <w:bodyDiv w:val="1"/>
      <w:marLeft w:val="0"/>
      <w:marRight w:val="0"/>
      <w:marTop w:val="0"/>
      <w:marBottom w:val="0"/>
      <w:divBdr>
        <w:top w:val="none" w:sz="0" w:space="0" w:color="auto"/>
        <w:left w:val="none" w:sz="0" w:space="0" w:color="auto"/>
        <w:bottom w:val="none" w:sz="0" w:space="0" w:color="auto"/>
        <w:right w:val="none" w:sz="0" w:space="0" w:color="auto"/>
      </w:divBdr>
    </w:div>
    <w:div w:id="361827487">
      <w:bodyDiv w:val="1"/>
      <w:marLeft w:val="0"/>
      <w:marRight w:val="0"/>
      <w:marTop w:val="0"/>
      <w:marBottom w:val="0"/>
      <w:divBdr>
        <w:top w:val="none" w:sz="0" w:space="0" w:color="auto"/>
        <w:left w:val="none" w:sz="0" w:space="0" w:color="auto"/>
        <w:bottom w:val="none" w:sz="0" w:space="0" w:color="auto"/>
        <w:right w:val="none" w:sz="0" w:space="0" w:color="auto"/>
      </w:divBdr>
    </w:div>
    <w:div w:id="377054897">
      <w:bodyDiv w:val="1"/>
      <w:marLeft w:val="0"/>
      <w:marRight w:val="0"/>
      <w:marTop w:val="0"/>
      <w:marBottom w:val="0"/>
      <w:divBdr>
        <w:top w:val="none" w:sz="0" w:space="0" w:color="auto"/>
        <w:left w:val="none" w:sz="0" w:space="0" w:color="auto"/>
        <w:bottom w:val="none" w:sz="0" w:space="0" w:color="auto"/>
        <w:right w:val="none" w:sz="0" w:space="0" w:color="auto"/>
      </w:divBdr>
    </w:div>
    <w:div w:id="399135930">
      <w:bodyDiv w:val="1"/>
      <w:marLeft w:val="0"/>
      <w:marRight w:val="0"/>
      <w:marTop w:val="0"/>
      <w:marBottom w:val="0"/>
      <w:divBdr>
        <w:top w:val="none" w:sz="0" w:space="0" w:color="auto"/>
        <w:left w:val="none" w:sz="0" w:space="0" w:color="auto"/>
        <w:bottom w:val="none" w:sz="0" w:space="0" w:color="auto"/>
        <w:right w:val="none" w:sz="0" w:space="0" w:color="auto"/>
      </w:divBdr>
    </w:div>
    <w:div w:id="538667765">
      <w:bodyDiv w:val="1"/>
      <w:marLeft w:val="0"/>
      <w:marRight w:val="0"/>
      <w:marTop w:val="0"/>
      <w:marBottom w:val="0"/>
      <w:divBdr>
        <w:top w:val="none" w:sz="0" w:space="0" w:color="auto"/>
        <w:left w:val="none" w:sz="0" w:space="0" w:color="auto"/>
        <w:bottom w:val="none" w:sz="0" w:space="0" w:color="auto"/>
        <w:right w:val="none" w:sz="0" w:space="0" w:color="auto"/>
      </w:divBdr>
    </w:div>
    <w:div w:id="581184602">
      <w:bodyDiv w:val="1"/>
      <w:marLeft w:val="0"/>
      <w:marRight w:val="0"/>
      <w:marTop w:val="0"/>
      <w:marBottom w:val="0"/>
      <w:divBdr>
        <w:top w:val="none" w:sz="0" w:space="0" w:color="auto"/>
        <w:left w:val="none" w:sz="0" w:space="0" w:color="auto"/>
        <w:bottom w:val="none" w:sz="0" w:space="0" w:color="auto"/>
        <w:right w:val="none" w:sz="0" w:space="0" w:color="auto"/>
      </w:divBdr>
    </w:div>
    <w:div w:id="629558413">
      <w:bodyDiv w:val="1"/>
      <w:marLeft w:val="0"/>
      <w:marRight w:val="0"/>
      <w:marTop w:val="0"/>
      <w:marBottom w:val="0"/>
      <w:divBdr>
        <w:top w:val="none" w:sz="0" w:space="0" w:color="auto"/>
        <w:left w:val="none" w:sz="0" w:space="0" w:color="auto"/>
        <w:bottom w:val="none" w:sz="0" w:space="0" w:color="auto"/>
        <w:right w:val="none" w:sz="0" w:space="0" w:color="auto"/>
      </w:divBdr>
    </w:div>
    <w:div w:id="757751713">
      <w:bodyDiv w:val="1"/>
      <w:marLeft w:val="0"/>
      <w:marRight w:val="0"/>
      <w:marTop w:val="0"/>
      <w:marBottom w:val="0"/>
      <w:divBdr>
        <w:top w:val="none" w:sz="0" w:space="0" w:color="auto"/>
        <w:left w:val="none" w:sz="0" w:space="0" w:color="auto"/>
        <w:bottom w:val="none" w:sz="0" w:space="0" w:color="auto"/>
        <w:right w:val="none" w:sz="0" w:space="0" w:color="auto"/>
      </w:divBdr>
    </w:div>
    <w:div w:id="805583084">
      <w:bodyDiv w:val="1"/>
      <w:marLeft w:val="0"/>
      <w:marRight w:val="0"/>
      <w:marTop w:val="0"/>
      <w:marBottom w:val="0"/>
      <w:divBdr>
        <w:top w:val="none" w:sz="0" w:space="0" w:color="auto"/>
        <w:left w:val="none" w:sz="0" w:space="0" w:color="auto"/>
        <w:bottom w:val="none" w:sz="0" w:space="0" w:color="auto"/>
        <w:right w:val="none" w:sz="0" w:space="0" w:color="auto"/>
      </w:divBdr>
    </w:div>
    <w:div w:id="869490224">
      <w:bodyDiv w:val="1"/>
      <w:marLeft w:val="0"/>
      <w:marRight w:val="0"/>
      <w:marTop w:val="0"/>
      <w:marBottom w:val="0"/>
      <w:divBdr>
        <w:top w:val="none" w:sz="0" w:space="0" w:color="auto"/>
        <w:left w:val="none" w:sz="0" w:space="0" w:color="auto"/>
        <w:bottom w:val="none" w:sz="0" w:space="0" w:color="auto"/>
        <w:right w:val="none" w:sz="0" w:space="0" w:color="auto"/>
      </w:divBdr>
    </w:div>
    <w:div w:id="930819077">
      <w:bodyDiv w:val="1"/>
      <w:marLeft w:val="0"/>
      <w:marRight w:val="0"/>
      <w:marTop w:val="0"/>
      <w:marBottom w:val="0"/>
      <w:divBdr>
        <w:top w:val="none" w:sz="0" w:space="0" w:color="auto"/>
        <w:left w:val="none" w:sz="0" w:space="0" w:color="auto"/>
        <w:bottom w:val="none" w:sz="0" w:space="0" w:color="auto"/>
        <w:right w:val="none" w:sz="0" w:space="0" w:color="auto"/>
      </w:divBdr>
    </w:div>
    <w:div w:id="1037698641">
      <w:bodyDiv w:val="1"/>
      <w:marLeft w:val="0"/>
      <w:marRight w:val="0"/>
      <w:marTop w:val="0"/>
      <w:marBottom w:val="0"/>
      <w:divBdr>
        <w:top w:val="none" w:sz="0" w:space="0" w:color="auto"/>
        <w:left w:val="none" w:sz="0" w:space="0" w:color="auto"/>
        <w:bottom w:val="none" w:sz="0" w:space="0" w:color="auto"/>
        <w:right w:val="none" w:sz="0" w:space="0" w:color="auto"/>
      </w:divBdr>
    </w:div>
    <w:div w:id="1420365859">
      <w:bodyDiv w:val="1"/>
      <w:marLeft w:val="0"/>
      <w:marRight w:val="0"/>
      <w:marTop w:val="0"/>
      <w:marBottom w:val="0"/>
      <w:divBdr>
        <w:top w:val="none" w:sz="0" w:space="0" w:color="auto"/>
        <w:left w:val="none" w:sz="0" w:space="0" w:color="auto"/>
        <w:bottom w:val="none" w:sz="0" w:space="0" w:color="auto"/>
        <w:right w:val="none" w:sz="0" w:space="0" w:color="auto"/>
      </w:divBdr>
    </w:div>
    <w:div w:id="1496800851">
      <w:bodyDiv w:val="1"/>
      <w:marLeft w:val="0"/>
      <w:marRight w:val="0"/>
      <w:marTop w:val="0"/>
      <w:marBottom w:val="0"/>
      <w:divBdr>
        <w:top w:val="none" w:sz="0" w:space="0" w:color="auto"/>
        <w:left w:val="none" w:sz="0" w:space="0" w:color="auto"/>
        <w:bottom w:val="none" w:sz="0" w:space="0" w:color="auto"/>
        <w:right w:val="none" w:sz="0" w:space="0" w:color="auto"/>
      </w:divBdr>
    </w:div>
    <w:div w:id="1556426754">
      <w:bodyDiv w:val="1"/>
      <w:marLeft w:val="0"/>
      <w:marRight w:val="0"/>
      <w:marTop w:val="0"/>
      <w:marBottom w:val="0"/>
      <w:divBdr>
        <w:top w:val="none" w:sz="0" w:space="0" w:color="auto"/>
        <w:left w:val="none" w:sz="0" w:space="0" w:color="auto"/>
        <w:bottom w:val="none" w:sz="0" w:space="0" w:color="auto"/>
        <w:right w:val="none" w:sz="0" w:space="0" w:color="auto"/>
      </w:divBdr>
    </w:div>
    <w:div w:id="1644121469">
      <w:bodyDiv w:val="1"/>
      <w:marLeft w:val="0"/>
      <w:marRight w:val="0"/>
      <w:marTop w:val="0"/>
      <w:marBottom w:val="0"/>
      <w:divBdr>
        <w:top w:val="none" w:sz="0" w:space="0" w:color="auto"/>
        <w:left w:val="none" w:sz="0" w:space="0" w:color="auto"/>
        <w:bottom w:val="none" w:sz="0" w:space="0" w:color="auto"/>
        <w:right w:val="none" w:sz="0" w:space="0" w:color="auto"/>
      </w:divBdr>
    </w:div>
    <w:div w:id="1788548325">
      <w:bodyDiv w:val="1"/>
      <w:marLeft w:val="0"/>
      <w:marRight w:val="0"/>
      <w:marTop w:val="0"/>
      <w:marBottom w:val="0"/>
      <w:divBdr>
        <w:top w:val="none" w:sz="0" w:space="0" w:color="auto"/>
        <w:left w:val="none" w:sz="0" w:space="0" w:color="auto"/>
        <w:bottom w:val="none" w:sz="0" w:space="0" w:color="auto"/>
        <w:right w:val="none" w:sz="0" w:space="0" w:color="auto"/>
      </w:divBdr>
    </w:div>
    <w:div w:id="1816795477">
      <w:bodyDiv w:val="1"/>
      <w:marLeft w:val="0"/>
      <w:marRight w:val="0"/>
      <w:marTop w:val="0"/>
      <w:marBottom w:val="0"/>
      <w:divBdr>
        <w:top w:val="none" w:sz="0" w:space="0" w:color="auto"/>
        <w:left w:val="none" w:sz="0" w:space="0" w:color="auto"/>
        <w:bottom w:val="none" w:sz="0" w:space="0" w:color="auto"/>
        <w:right w:val="none" w:sz="0" w:space="0" w:color="auto"/>
      </w:divBdr>
    </w:div>
    <w:div w:id="1888685231">
      <w:bodyDiv w:val="1"/>
      <w:marLeft w:val="0"/>
      <w:marRight w:val="0"/>
      <w:marTop w:val="0"/>
      <w:marBottom w:val="0"/>
      <w:divBdr>
        <w:top w:val="none" w:sz="0" w:space="0" w:color="auto"/>
        <w:left w:val="none" w:sz="0" w:space="0" w:color="auto"/>
        <w:bottom w:val="none" w:sz="0" w:space="0" w:color="auto"/>
        <w:right w:val="none" w:sz="0" w:space="0" w:color="auto"/>
      </w:divBdr>
    </w:div>
    <w:div w:id="1924299173">
      <w:bodyDiv w:val="1"/>
      <w:marLeft w:val="0"/>
      <w:marRight w:val="0"/>
      <w:marTop w:val="0"/>
      <w:marBottom w:val="0"/>
      <w:divBdr>
        <w:top w:val="none" w:sz="0" w:space="0" w:color="auto"/>
        <w:left w:val="none" w:sz="0" w:space="0" w:color="auto"/>
        <w:bottom w:val="none" w:sz="0" w:space="0" w:color="auto"/>
        <w:right w:val="none" w:sz="0" w:space="0" w:color="auto"/>
      </w:divBdr>
    </w:div>
    <w:div w:id="207739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65B30-62C1-4178-AE0F-3FFB597D2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508289A2</Template>
  <TotalTime>1</TotalTime>
  <Pages>21</Pages>
  <Words>7946</Words>
  <Characters>45293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Healthy Homes Initiative Outcomes Evaluation Interim Report</vt:lpstr>
    </vt:vector>
  </TitlesOfParts>
  <Company>University of Otago</Company>
  <LinksUpToDate>false</LinksUpToDate>
  <CharactersWithSpaces>53133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Healthy Homes Initiative Outcomes Evaluation Interim Report</dc:title>
  <dc:creator>Ministry of Health</dc:creator>
  <cp:lastModifiedBy>Ministry of Health</cp:lastModifiedBy>
  <cp:revision>2</cp:revision>
  <cp:lastPrinted>2019-09-18T04:11:00Z</cp:lastPrinted>
  <dcterms:created xsi:type="dcterms:W3CDTF">2019-09-18T22:49:00Z</dcterms:created>
  <dcterms:modified xsi:type="dcterms:W3CDTF">2019-09-18T22:49:00Z</dcterms:modified>
</cp:coreProperties>
</file>