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charts/chart5.xml" ContentType="application/vnd.openxmlformats-officedocument.drawingml.chart+xml"/>
  <Override PartName="/word/drawings/drawing5.xml" ContentType="application/vnd.openxmlformats-officedocument.drawingml.chartshapes+xml"/>
  <Override PartName="/word/charts/chart6.xml" ContentType="application/vnd.openxmlformats-officedocument.drawingml.chart+xml"/>
  <Override PartName="/word/drawings/drawing6.xml" ContentType="application/vnd.openxmlformats-officedocument.drawingml.chartshapes+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248" w:rsidRDefault="003749EB" w:rsidP="00926083">
      <w:pPr>
        <w:pStyle w:val="Title"/>
      </w:pPr>
      <w:r>
        <w:t>Implementation o</w:t>
      </w:r>
      <w:r w:rsidR="00102444">
        <w:t>f</w:t>
      </w:r>
      <w:r>
        <w:t xml:space="preserve"> New Regulatory Controls on High</w:t>
      </w:r>
      <w:r>
        <w:noBreakHyphen/>
        <w:t>power Laser Pointers: Year 5</w:t>
      </w:r>
    </w:p>
    <w:p w:rsidR="00D27922" w:rsidRDefault="003749EB" w:rsidP="00D27922">
      <w:pPr>
        <w:pStyle w:val="Subhead"/>
      </w:pPr>
      <w:r>
        <w:t>1 March 2018–28 February 2019</w:t>
      </w:r>
    </w:p>
    <w:p w:rsidR="00C05132" w:rsidRDefault="00C05132" w:rsidP="00A06BE4"/>
    <w:p w:rsidR="00142954" w:rsidRPr="00142954" w:rsidRDefault="00142954" w:rsidP="00142954">
      <w:pPr>
        <w:sectPr w:rsidR="00142954" w:rsidRPr="00142954" w:rsidSect="00925892">
          <w:headerReference w:type="even" r:id="rId8"/>
          <w:headerReference w:type="default" r:id="rId9"/>
          <w:footerReference w:type="even" r:id="rId10"/>
          <w:footerReference w:type="default" r:id="rId11"/>
          <w:headerReference w:type="first" r:id="rId12"/>
          <w:footerReference w:type="first" r:id="rId13"/>
          <w:pgSz w:w="11907" w:h="16834" w:code="9"/>
          <w:pgMar w:top="5670" w:right="1134" w:bottom="1134" w:left="1134" w:header="567" w:footer="851" w:gutter="0"/>
          <w:pgNumType w:start="1"/>
          <w:cols w:space="720"/>
        </w:sectPr>
      </w:pPr>
    </w:p>
    <w:p w:rsidR="00A80363" w:rsidRPr="00C05132" w:rsidRDefault="00A80363" w:rsidP="00A63DFF">
      <w:pPr>
        <w:pStyle w:val="Imprint"/>
        <w:spacing w:before="1200"/>
        <w:rPr>
          <w:rFonts w:cs="Segoe UI"/>
        </w:rPr>
      </w:pPr>
      <w:r w:rsidRPr="00C05132">
        <w:rPr>
          <w:rFonts w:cs="Segoe UI"/>
        </w:rPr>
        <w:lastRenderedPageBreak/>
        <w:t xml:space="preserve">Citation: </w:t>
      </w:r>
      <w:r w:rsidR="00442C1C" w:rsidRPr="00C05132">
        <w:rPr>
          <w:rFonts w:cs="Segoe UI"/>
        </w:rPr>
        <w:t xml:space="preserve">Ministry of Health. </w:t>
      </w:r>
      <w:r w:rsidR="003749EB">
        <w:rPr>
          <w:rFonts w:cs="Segoe UI"/>
        </w:rPr>
        <w:t>2019</w:t>
      </w:r>
      <w:r w:rsidR="00442C1C" w:rsidRPr="00C05132">
        <w:rPr>
          <w:rFonts w:cs="Segoe UI"/>
        </w:rPr>
        <w:t xml:space="preserve">. </w:t>
      </w:r>
      <w:r w:rsidR="003749EB">
        <w:rPr>
          <w:rFonts w:cs="Segoe UI"/>
          <w:i/>
        </w:rPr>
        <w:t>Implementation of New Regulatory Controls on High</w:t>
      </w:r>
      <w:r w:rsidR="003749EB">
        <w:rPr>
          <w:rFonts w:cs="Segoe UI"/>
          <w:i/>
        </w:rPr>
        <w:noBreakHyphen/>
        <w:t>Power Laser Pointers</w:t>
      </w:r>
      <w:r w:rsidR="00D27922">
        <w:rPr>
          <w:rFonts w:cs="Segoe UI"/>
          <w:i/>
        </w:rPr>
        <w:t xml:space="preserve">: </w:t>
      </w:r>
      <w:r w:rsidR="003749EB">
        <w:rPr>
          <w:rFonts w:cs="Segoe UI"/>
          <w:i/>
        </w:rPr>
        <w:t>Year 5 (1 March 2018–28 February 2019)</w:t>
      </w:r>
      <w:r w:rsidR="00442C1C" w:rsidRPr="00C05132">
        <w:rPr>
          <w:rFonts w:cs="Segoe UI"/>
        </w:rPr>
        <w:t xml:space="preserve"> Wellington: Ministry of Health.</w:t>
      </w:r>
    </w:p>
    <w:p w:rsidR="00C86248" w:rsidRDefault="00C86248">
      <w:pPr>
        <w:pStyle w:val="Imprint"/>
      </w:pPr>
      <w:r>
        <w:t xml:space="preserve">Published in </w:t>
      </w:r>
      <w:r w:rsidR="003749EB">
        <w:t xml:space="preserve">June </w:t>
      </w:r>
      <w:r w:rsidR="003235C6">
        <w:t>2019</w:t>
      </w:r>
      <w:r w:rsidR="00A63DFF">
        <w:t xml:space="preserve"> </w:t>
      </w:r>
      <w:r>
        <w:t>by the</w:t>
      </w:r>
      <w:r w:rsidR="00442C1C">
        <w:t xml:space="preserve"> </w:t>
      </w:r>
      <w:r>
        <w:t>Ministry of Health</w:t>
      </w:r>
      <w:r>
        <w:br/>
        <w:t>PO Box 5013, Wellington</w:t>
      </w:r>
      <w:r w:rsidR="00A80363">
        <w:t xml:space="preserve"> 614</w:t>
      </w:r>
      <w:r w:rsidR="006041F0">
        <w:t>0</w:t>
      </w:r>
      <w:r>
        <w:t xml:space="preserve">, </w:t>
      </w:r>
      <w:r w:rsidR="00571223">
        <w:t>New Zealand</w:t>
      </w:r>
    </w:p>
    <w:p w:rsidR="00082CD6" w:rsidRPr="009C0F2D" w:rsidRDefault="00D863D0" w:rsidP="00082CD6">
      <w:pPr>
        <w:pStyle w:val="Imprint"/>
      </w:pPr>
      <w:r>
        <w:t>ISBN</w:t>
      </w:r>
      <w:r w:rsidR="00442C1C">
        <w:t xml:space="preserve"> </w:t>
      </w:r>
      <w:r w:rsidR="00B60076" w:rsidRPr="00B60076">
        <w:t>978-1-98-856892-8</w:t>
      </w:r>
      <w:r w:rsidR="002B7BEC">
        <w:t xml:space="preserve"> </w:t>
      </w:r>
      <w:r>
        <w:t>(</w:t>
      </w:r>
      <w:r w:rsidR="00442C1C">
        <w:t>online</w:t>
      </w:r>
      <w:proofErr w:type="gramStart"/>
      <w:r>
        <w:t>)</w:t>
      </w:r>
      <w:proofErr w:type="gramEnd"/>
      <w:r w:rsidR="00082CD6">
        <w:br/>
      </w:r>
      <w:r w:rsidR="00082CD6" w:rsidRPr="009C0F2D">
        <w:t xml:space="preserve">HP </w:t>
      </w:r>
      <w:r w:rsidR="00B60076">
        <w:t>7153</w:t>
      </w:r>
    </w:p>
    <w:p w:rsidR="00C86248" w:rsidRDefault="008C64C4" w:rsidP="00D27922">
      <w:pPr>
        <w:spacing w:before="360"/>
      </w:pPr>
      <w:r>
        <w:rPr>
          <w:noProof/>
          <w:lang w:eastAsia="en-NZ"/>
        </w:rPr>
        <w:drawing>
          <wp:inline distT="0" distB="0" distL="0" distR="0" wp14:anchorId="3DA12BAC" wp14:editId="6B153E92">
            <wp:extent cx="1413163" cy="5763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grayscl/>
                      <a:extLst>
                        <a:ext uri="{28A0092B-C50C-407E-A947-70E740481C1C}">
                          <a14:useLocalDpi xmlns:a14="http://schemas.microsoft.com/office/drawing/2010/main" val="0"/>
                        </a:ext>
                      </a:extLst>
                    </a:blip>
                    <a:srcRect/>
                    <a:stretch>
                      <a:fillRect/>
                    </a:stretch>
                  </pic:blipFill>
                  <pic:spPr bwMode="auto">
                    <a:xfrm>
                      <a:off x="0" y="0"/>
                      <a:ext cx="1413017" cy="576270"/>
                    </a:xfrm>
                    <a:prstGeom prst="rect">
                      <a:avLst/>
                    </a:prstGeom>
                    <a:noFill/>
                    <a:ln>
                      <a:noFill/>
                    </a:ln>
                  </pic:spPr>
                </pic:pic>
              </a:graphicData>
            </a:graphic>
          </wp:inline>
        </w:drawing>
      </w:r>
    </w:p>
    <w:p w:rsidR="00A63DFF" w:rsidRDefault="00A63DFF" w:rsidP="00A63DFF">
      <w:pPr>
        <w:pStyle w:val="Imprint"/>
        <w:spacing w:before="240" w:after="480"/>
      </w:pPr>
      <w:r>
        <w:t>This document is available at health.govt.nz</w:t>
      </w:r>
    </w:p>
    <w:tbl>
      <w:tblPr>
        <w:tblW w:w="0" w:type="auto"/>
        <w:tblLayout w:type="fixed"/>
        <w:tblLook w:val="04A0" w:firstRow="1" w:lastRow="0" w:firstColumn="1" w:lastColumn="0" w:noHBand="0" w:noVBand="1"/>
      </w:tblPr>
      <w:tblGrid>
        <w:gridCol w:w="1526"/>
        <w:gridCol w:w="6061"/>
      </w:tblGrid>
      <w:tr w:rsidR="00A63DFF" w:rsidRPr="00A63DFF" w:rsidTr="00A63DFF">
        <w:trPr>
          <w:cantSplit/>
        </w:trPr>
        <w:tc>
          <w:tcPr>
            <w:tcW w:w="1526" w:type="dxa"/>
          </w:tcPr>
          <w:p w:rsidR="00A63DFF" w:rsidRPr="00A63DFF" w:rsidRDefault="00A63DFF" w:rsidP="00F103BE">
            <w:pPr>
              <w:spacing w:before="240"/>
              <w:rPr>
                <w:rFonts w:cs="Segoe UI"/>
                <w:sz w:val="15"/>
                <w:szCs w:val="15"/>
              </w:rPr>
            </w:pPr>
            <w:r w:rsidRPr="00A63DFF">
              <w:rPr>
                <w:rFonts w:cs="Segoe UI"/>
                <w:b/>
                <w:noProof/>
                <w:sz w:val="15"/>
                <w:szCs w:val="15"/>
                <w:lang w:eastAsia="en-NZ"/>
              </w:rPr>
              <w:drawing>
                <wp:inline distT="0" distB="0" distL="0" distR="0" wp14:anchorId="290E661F" wp14:editId="28706923">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rsidR="00A63DFF" w:rsidRPr="00A63DFF" w:rsidRDefault="00A63DFF" w:rsidP="00A63DFF">
            <w:pPr>
              <w:rPr>
                <w:rFonts w:cs="Segoe UI"/>
                <w:sz w:val="15"/>
                <w:szCs w:val="15"/>
              </w:rPr>
            </w:pPr>
            <w:r w:rsidRPr="00A63DFF">
              <w:rPr>
                <w:rFonts w:cs="Segoe UI"/>
                <w:sz w:val="15"/>
                <w:szCs w:val="15"/>
              </w:rPr>
              <w:t xml:space="preserve">This work is licensed under the Creative Commons Attribution 4.0 International licence. In essence, </w:t>
            </w:r>
            <w:r w:rsidRPr="00A63DFF">
              <w:rPr>
                <w:rFonts w:cs="Segoe UI"/>
                <w:bCs/>
                <w:sz w:val="15"/>
                <w:szCs w:val="15"/>
              </w:rPr>
              <w:t xml:space="preserve">you are free to: </w:t>
            </w:r>
            <w:r w:rsidRPr="00A63DFF">
              <w:rPr>
                <w:rFonts w:cs="Segoe UI"/>
                <w:sz w:val="15"/>
                <w:szCs w:val="15"/>
              </w:rPr>
              <w:t xml:space="preserve">share </w:t>
            </w:r>
            <w:proofErr w:type="spellStart"/>
            <w:r w:rsidRPr="00A63DFF">
              <w:rPr>
                <w:rFonts w:cs="Segoe UI"/>
                <w:sz w:val="15"/>
                <w:szCs w:val="15"/>
              </w:rPr>
              <w:t>ie</w:t>
            </w:r>
            <w:proofErr w:type="spellEnd"/>
            <w:r w:rsidRPr="00A63DFF">
              <w:rPr>
                <w:rFonts w:cs="Segoe UI"/>
                <w:sz w:val="15"/>
                <w:szCs w:val="15"/>
              </w:rPr>
              <w:t xml:space="preserve">, copy and redistribute the material in any medium or format; adapt </w:t>
            </w:r>
            <w:proofErr w:type="spellStart"/>
            <w:r w:rsidRPr="00A63DFF">
              <w:rPr>
                <w:rFonts w:cs="Segoe UI"/>
                <w:sz w:val="15"/>
                <w:szCs w:val="15"/>
              </w:rPr>
              <w:t>ie</w:t>
            </w:r>
            <w:proofErr w:type="spellEnd"/>
            <w:r w:rsidRPr="00A63DFF">
              <w:rPr>
                <w:rFonts w:cs="Segoe UI"/>
                <w:sz w:val="15"/>
                <w:szCs w:val="15"/>
              </w:rPr>
              <w:t xml:space="preserve">, remix, transform and build upon the material. </w:t>
            </w:r>
            <w:r w:rsidRPr="00A63DFF">
              <w:rPr>
                <w:rFonts w:cs="Segoe UI"/>
                <w:bCs/>
                <w:sz w:val="15"/>
                <w:szCs w:val="15"/>
              </w:rPr>
              <w:t>You must give appropriate credit, provide a link to the licence and indicate if changes were made.</w:t>
            </w:r>
          </w:p>
        </w:tc>
      </w:tr>
    </w:tbl>
    <w:p w:rsidR="007E74F1" w:rsidRPr="001F45A7" w:rsidRDefault="007E74F1" w:rsidP="006E2886">
      <w:pPr>
        <w:pStyle w:val="Imprint"/>
      </w:pPr>
    </w:p>
    <w:p w:rsidR="00C86248" w:rsidRDefault="00C86248">
      <w:pPr>
        <w:jc w:val="center"/>
        <w:sectPr w:rsidR="00C86248" w:rsidSect="00925892">
          <w:footerReference w:type="even" r:id="rId16"/>
          <w:footerReference w:type="default" r:id="rId17"/>
          <w:pgSz w:w="11907" w:h="16834" w:code="9"/>
          <w:pgMar w:top="1701" w:right="2268" w:bottom="1134" w:left="2268" w:header="0" w:footer="0" w:gutter="0"/>
          <w:cols w:space="720"/>
          <w:vAlign w:val="bottom"/>
        </w:sectPr>
      </w:pPr>
    </w:p>
    <w:p w:rsidR="00C86248" w:rsidRDefault="00C86248" w:rsidP="00025A6F">
      <w:pPr>
        <w:pStyle w:val="IntroHead"/>
      </w:pPr>
      <w:bookmarkStart w:id="0" w:name="_Toc405792991"/>
      <w:bookmarkStart w:id="1" w:name="_Toc405793224"/>
      <w:r>
        <w:lastRenderedPageBreak/>
        <w:t>Contents</w:t>
      </w:r>
      <w:bookmarkEnd w:id="0"/>
      <w:bookmarkEnd w:id="1"/>
    </w:p>
    <w:p w:rsidR="00B60076" w:rsidRDefault="00B60076">
      <w:pPr>
        <w:pStyle w:val="TOC1"/>
        <w:rPr>
          <w:rFonts w:asciiTheme="minorHAnsi" w:eastAsiaTheme="minorEastAsia" w:hAnsiTheme="minorHAnsi" w:cstheme="minorBidi"/>
          <w:noProof/>
          <w:sz w:val="22"/>
          <w:szCs w:val="22"/>
          <w:lang w:eastAsia="en-NZ"/>
        </w:rPr>
      </w:pPr>
      <w:r>
        <w:rPr>
          <w:b/>
        </w:rPr>
        <w:fldChar w:fldCharType="begin"/>
      </w:r>
      <w:r>
        <w:rPr>
          <w:b/>
        </w:rPr>
        <w:instrText xml:space="preserve"> TOC \o "1-2" \h \z </w:instrText>
      </w:r>
      <w:r>
        <w:rPr>
          <w:b/>
        </w:rPr>
        <w:fldChar w:fldCharType="separate"/>
      </w:r>
      <w:hyperlink w:anchor="_Toc11053563" w:history="1">
        <w:r w:rsidRPr="00BF0A76">
          <w:rPr>
            <w:rStyle w:val="Hyperlink"/>
            <w:noProof/>
          </w:rPr>
          <w:t>1</w:t>
        </w:r>
        <w:r>
          <w:rPr>
            <w:rFonts w:asciiTheme="minorHAnsi" w:eastAsiaTheme="minorEastAsia" w:hAnsiTheme="minorHAnsi" w:cstheme="minorBidi"/>
            <w:noProof/>
            <w:sz w:val="22"/>
            <w:szCs w:val="22"/>
            <w:lang w:eastAsia="en-NZ"/>
          </w:rPr>
          <w:tab/>
        </w:r>
        <w:r w:rsidRPr="00BF0A76">
          <w:rPr>
            <w:rStyle w:val="Hyperlink"/>
            <w:noProof/>
          </w:rPr>
          <w:t>Introduction</w:t>
        </w:r>
        <w:r>
          <w:rPr>
            <w:noProof/>
            <w:webHidden/>
          </w:rPr>
          <w:tab/>
        </w:r>
        <w:r>
          <w:rPr>
            <w:noProof/>
            <w:webHidden/>
          </w:rPr>
          <w:fldChar w:fldCharType="begin"/>
        </w:r>
        <w:r>
          <w:rPr>
            <w:noProof/>
            <w:webHidden/>
          </w:rPr>
          <w:instrText xml:space="preserve"> PAGEREF _Toc11053563 \h </w:instrText>
        </w:r>
        <w:r>
          <w:rPr>
            <w:noProof/>
            <w:webHidden/>
          </w:rPr>
        </w:r>
        <w:r>
          <w:rPr>
            <w:noProof/>
            <w:webHidden/>
          </w:rPr>
          <w:fldChar w:fldCharType="separate"/>
        </w:r>
        <w:r>
          <w:rPr>
            <w:noProof/>
            <w:webHidden/>
          </w:rPr>
          <w:t>1</w:t>
        </w:r>
        <w:r>
          <w:rPr>
            <w:noProof/>
            <w:webHidden/>
          </w:rPr>
          <w:fldChar w:fldCharType="end"/>
        </w:r>
      </w:hyperlink>
    </w:p>
    <w:p w:rsidR="00B60076" w:rsidRDefault="00B06DA6">
      <w:pPr>
        <w:pStyle w:val="TOC1"/>
        <w:rPr>
          <w:rFonts w:asciiTheme="minorHAnsi" w:eastAsiaTheme="minorEastAsia" w:hAnsiTheme="minorHAnsi" w:cstheme="minorBidi"/>
          <w:noProof/>
          <w:sz w:val="22"/>
          <w:szCs w:val="22"/>
          <w:lang w:eastAsia="en-NZ"/>
        </w:rPr>
      </w:pPr>
      <w:hyperlink w:anchor="_Toc11053564" w:history="1">
        <w:r w:rsidR="00B60076" w:rsidRPr="00BF0A76">
          <w:rPr>
            <w:rStyle w:val="Hyperlink"/>
            <w:noProof/>
          </w:rPr>
          <w:t>2</w:t>
        </w:r>
        <w:r w:rsidR="00B60076">
          <w:rPr>
            <w:rFonts w:asciiTheme="minorHAnsi" w:eastAsiaTheme="minorEastAsia" w:hAnsiTheme="minorHAnsi" w:cstheme="minorBidi"/>
            <w:noProof/>
            <w:sz w:val="22"/>
            <w:szCs w:val="22"/>
            <w:lang w:eastAsia="en-NZ"/>
          </w:rPr>
          <w:tab/>
        </w:r>
        <w:r w:rsidR="00B60076" w:rsidRPr="00BF0A76">
          <w:rPr>
            <w:rStyle w:val="Hyperlink"/>
            <w:noProof/>
          </w:rPr>
          <w:t>Authorisations</w:t>
        </w:r>
        <w:r w:rsidR="00B60076">
          <w:rPr>
            <w:noProof/>
            <w:webHidden/>
          </w:rPr>
          <w:tab/>
        </w:r>
        <w:r w:rsidR="00B60076">
          <w:rPr>
            <w:noProof/>
            <w:webHidden/>
          </w:rPr>
          <w:fldChar w:fldCharType="begin"/>
        </w:r>
        <w:r w:rsidR="00B60076">
          <w:rPr>
            <w:noProof/>
            <w:webHidden/>
          </w:rPr>
          <w:instrText xml:space="preserve"> PAGEREF _Toc11053564 \h </w:instrText>
        </w:r>
        <w:r w:rsidR="00B60076">
          <w:rPr>
            <w:noProof/>
            <w:webHidden/>
          </w:rPr>
        </w:r>
        <w:r w:rsidR="00B60076">
          <w:rPr>
            <w:noProof/>
            <w:webHidden/>
          </w:rPr>
          <w:fldChar w:fldCharType="separate"/>
        </w:r>
        <w:r w:rsidR="00B60076">
          <w:rPr>
            <w:noProof/>
            <w:webHidden/>
          </w:rPr>
          <w:t>2</w:t>
        </w:r>
        <w:r w:rsidR="00B60076">
          <w:rPr>
            <w:noProof/>
            <w:webHidden/>
          </w:rPr>
          <w:fldChar w:fldCharType="end"/>
        </w:r>
      </w:hyperlink>
    </w:p>
    <w:p w:rsidR="00B60076" w:rsidRDefault="00B06DA6">
      <w:pPr>
        <w:pStyle w:val="TOC2"/>
        <w:tabs>
          <w:tab w:val="left" w:pos="1134"/>
        </w:tabs>
        <w:rPr>
          <w:rFonts w:asciiTheme="minorHAnsi" w:eastAsiaTheme="minorEastAsia" w:hAnsiTheme="minorHAnsi" w:cstheme="minorBidi"/>
          <w:noProof/>
          <w:szCs w:val="22"/>
          <w:lang w:eastAsia="en-NZ"/>
        </w:rPr>
      </w:pPr>
      <w:hyperlink w:anchor="_Toc11053565" w:history="1">
        <w:r w:rsidR="00B60076" w:rsidRPr="00BF0A76">
          <w:rPr>
            <w:rStyle w:val="Hyperlink"/>
            <w:noProof/>
          </w:rPr>
          <w:t>2.1</w:t>
        </w:r>
        <w:r w:rsidR="00B60076">
          <w:rPr>
            <w:rFonts w:asciiTheme="minorHAnsi" w:eastAsiaTheme="minorEastAsia" w:hAnsiTheme="minorHAnsi" w:cstheme="minorBidi"/>
            <w:noProof/>
            <w:szCs w:val="22"/>
            <w:lang w:eastAsia="en-NZ"/>
          </w:rPr>
          <w:tab/>
        </w:r>
        <w:r w:rsidR="00B60076" w:rsidRPr="00BF0A76">
          <w:rPr>
            <w:rStyle w:val="Hyperlink"/>
            <w:noProof/>
          </w:rPr>
          <w:t>Applications</w:t>
        </w:r>
        <w:r w:rsidR="00B60076">
          <w:rPr>
            <w:noProof/>
            <w:webHidden/>
          </w:rPr>
          <w:tab/>
        </w:r>
        <w:r w:rsidR="00B60076">
          <w:rPr>
            <w:noProof/>
            <w:webHidden/>
          </w:rPr>
          <w:fldChar w:fldCharType="begin"/>
        </w:r>
        <w:r w:rsidR="00B60076">
          <w:rPr>
            <w:noProof/>
            <w:webHidden/>
          </w:rPr>
          <w:instrText xml:space="preserve"> PAGEREF _Toc11053565 \h </w:instrText>
        </w:r>
        <w:r w:rsidR="00B60076">
          <w:rPr>
            <w:noProof/>
            <w:webHidden/>
          </w:rPr>
        </w:r>
        <w:r w:rsidR="00B60076">
          <w:rPr>
            <w:noProof/>
            <w:webHidden/>
          </w:rPr>
          <w:fldChar w:fldCharType="separate"/>
        </w:r>
        <w:r w:rsidR="00B60076">
          <w:rPr>
            <w:noProof/>
            <w:webHidden/>
          </w:rPr>
          <w:t>2</w:t>
        </w:r>
        <w:r w:rsidR="00B60076">
          <w:rPr>
            <w:noProof/>
            <w:webHidden/>
          </w:rPr>
          <w:fldChar w:fldCharType="end"/>
        </w:r>
      </w:hyperlink>
    </w:p>
    <w:p w:rsidR="00B60076" w:rsidRDefault="00B06DA6">
      <w:pPr>
        <w:pStyle w:val="TOC2"/>
        <w:tabs>
          <w:tab w:val="left" w:pos="1134"/>
        </w:tabs>
        <w:rPr>
          <w:rFonts w:asciiTheme="minorHAnsi" w:eastAsiaTheme="minorEastAsia" w:hAnsiTheme="minorHAnsi" w:cstheme="minorBidi"/>
          <w:noProof/>
          <w:szCs w:val="22"/>
          <w:lang w:eastAsia="en-NZ"/>
        </w:rPr>
      </w:pPr>
      <w:hyperlink w:anchor="_Toc11053566" w:history="1">
        <w:r w:rsidR="00B60076" w:rsidRPr="00BF0A76">
          <w:rPr>
            <w:rStyle w:val="Hyperlink"/>
            <w:noProof/>
          </w:rPr>
          <w:t>2.2</w:t>
        </w:r>
        <w:r w:rsidR="00B60076">
          <w:rPr>
            <w:rFonts w:asciiTheme="minorHAnsi" w:eastAsiaTheme="minorEastAsia" w:hAnsiTheme="minorHAnsi" w:cstheme="minorBidi"/>
            <w:noProof/>
            <w:szCs w:val="22"/>
            <w:lang w:eastAsia="en-NZ"/>
          </w:rPr>
          <w:tab/>
        </w:r>
        <w:r w:rsidR="00B60076" w:rsidRPr="00BF0A76">
          <w:rPr>
            <w:rStyle w:val="Hyperlink"/>
            <w:noProof/>
          </w:rPr>
          <w:t>Public information</w:t>
        </w:r>
        <w:r w:rsidR="00B60076">
          <w:rPr>
            <w:noProof/>
            <w:webHidden/>
          </w:rPr>
          <w:tab/>
        </w:r>
        <w:r w:rsidR="00B60076">
          <w:rPr>
            <w:noProof/>
            <w:webHidden/>
          </w:rPr>
          <w:fldChar w:fldCharType="begin"/>
        </w:r>
        <w:r w:rsidR="00B60076">
          <w:rPr>
            <w:noProof/>
            <w:webHidden/>
          </w:rPr>
          <w:instrText xml:space="preserve"> PAGEREF _Toc11053566 \h </w:instrText>
        </w:r>
        <w:r w:rsidR="00B60076">
          <w:rPr>
            <w:noProof/>
            <w:webHidden/>
          </w:rPr>
        </w:r>
        <w:r w:rsidR="00B60076">
          <w:rPr>
            <w:noProof/>
            <w:webHidden/>
          </w:rPr>
          <w:fldChar w:fldCharType="separate"/>
        </w:r>
        <w:r w:rsidR="00B60076">
          <w:rPr>
            <w:noProof/>
            <w:webHidden/>
          </w:rPr>
          <w:t>3</w:t>
        </w:r>
        <w:r w:rsidR="00B60076">
          <w:rPr>
            <w:noProof/>
            <w:webHidden/>
          </w:rPr>
          <w:fldChar w:fldCharType="end"/>
        </w:r>
      </w:hyperlink>
    </w:p>
    <w:p w:rsidR="00B60076" w:rsidRDefault="00B06DA6">
      <w:pPr>
        <w:pStyle w:val="TOC1"/>
        <w:rPr>
          <w:rFonts w:asciiTheme="minorHAnsi" w:eastAsiaTheme="minorEastAsia" w:hAnsiTheme="minorHAnsi" w:cstheme="minorBidi"/>
          <w:noProof/>
          <w:sz w:val="22"/>
          <w:szCs w:val="22"/>
          <w:lang w:eastAsia="en-NZ"/>
        </w:rPr>
      </w:pPr>
      <w:hyperlink w:anchor="_Toc11053567" w:history="1">
        <w:r w:rsidR="00B60076" w:rsidRPr="00BF0A76">
          <w:rPr>
            <w:rStyle w:val="Hyperlink"/>
            <w:noProof/>
          </w:rPr>
          <w:t>3</w:t>
        </w:r>
        <w:r w:rsidR="00B60076">
          <w:rPr>
            <w:rFonts w:asciiTheme="minorHAnsi" w:eastAsiaTheme="minorEastAsia" w:hAnsiTheme="minorHAnsi" w:cstheme="minorBidi"/>
            <w:noProof/>
            <w:sz w:val="22"/>
            <w:szCs w:val="22"/>
            <w:lang w:eastAsia="en-NZ"/>
          </w:rPr>
          <w:tab/>
        </w:r>
        <w:r w:rsidR="00B60076" w:rsidRPr="00BF0A76">
          <w:rPr>
            <w:rStyle w:val="Hyperlink"/>
            <w:noProof/>
          </w:rPr>
          <w:t>Surveillance and compliance</w:t>
        </w:r>
        <w:r w:rsidR="00B60076">
          <w:rPr>
            <w:noProof/>
            <w:webHidden/>
          </w:rPr>
          <w:tab/>
        </w:r>
        <w:r w:rsidR="00B60076">
          <w:rPr>
            <w:noProof/>
            <w:webHidden/>
          </w:rPr>
          <w:fldChar w:fldCharType="begin"/>
        </w:r>
        <w:r w:rsidR="00B60076">
          <w:rPr>
            <w:noProof/>
            <w:webHidden/>
          </w:rPr>
          <w:instrText xml:space="preserve"> PAGEREF _Toc11053567 \h </w:instrText>
        </w:r>
        <w:r w:rsidR="00B60076">
          <w:rPr>
            <w:noProof/>
            <w:webHidden/>
          </w:rPr>
        </w:r>
        <w:r w:rsidR="00B60076">
          <w:rPr>
            <w:noProof/>
            <w:webHidden/>
          </w:rPr>
          <w:fldChar w:fldCharType="separate"/>
        </w:r>
        <w:r w:rsidR="00B60076">
          <w:rPr>
            <w:noProof/>
            <w:webHidden/>
          </w:rPr>
          <w:t>4</w:t>
        </w:r>
        <w:r w:rsidR="00B60076">
          <w:rPr>
            <w:noProof/>
            <w:webHidden/>
          </w:rPr>
          <w:fldChar w:fldCharType="end"/>
        </w:r>
      </w:hyperlink>
    </w:p>
    <w:p w:rsidR="00B60076" w:rsidRDefault="00B06DA6">
      <w:pPr>
        <w:pStyle w:val="TOC2"/>
        <w:tabs>
          <w:tab w:val="left" w:pos="1134"/>
        </w:tabs>
        <w:rPr>
          <w:rFonts w:asciiTheme="minorHAnsi" w:eastAsiaTheme="minorEastAsia" w:hAnsiTheme="minorHAnsi" w:cstheme="minorBidi"/>
          <w:noProof/>
          <w:szCs w:val="22"/>
          <w:lang w:eastAsia="en-NZ"/>
        </w:rPr>
      </w:pPr>
      <w:hyperlink w:anchor="_Toc11053568" w:history="1">
        <w:r w:rsidR="00B60076" w:rsidRPr="00BF0A76">
          <w:rPr>
            <w:rStyle w:val="Hyperlink"/>
            <w:noProof/>
          </w:rPr>
          <w:t>3.1</w:t>
        </w:r>
        <w:r w:rsidR="00B60076">
          <w:rPr>
            <w:rFonts w:asciiTheme="minorHAnsi" w:eastAsiaTheme="minorEastAsia" w:hAnsiTheme="minorHAnsi" w:cstheme="minorBidi"/>
            <w:noProof/>
            <w:szCs w:val="22"/>
            <w:lang w:eastAsia="en-NZ"/>
          </w:rPr>
          <w:tab/>
        </w:r>
        <w:r w:rsidR="00B60076" w:rsidRPr="00BF0A76">
          <w:rPr>
            <w:rStyle w:val="Hyperlink"/>
            <w:noProof/>
          </w:rPr>
          <w:t>Retailer visits</w:t>
        </w:r>
        <w:r w:rsidR="00B60076">
          <w:rPr>
            <w:noProof/>
            <w:webHidden/>
          </w:rPr>
          <w:tab/>
        </w:r>
        <w:r w:rsidR="00B60076">
          <w:rPr>
            <w:noProof/>
            <w:webHidden/>
          </w:rPr>
          <w:fldChar w:fldCharType="begin"/>
        </w:r>
        <w:r w:rsidR="00B60076">
          <w:rPr>
            <w:noProof/>
            <w:webHidden/>
          </w:rPr>
          <w:instrText xml:space="preserve"> PAGEREF _Toc11053568 \h </w:instrText>
        </w:r>
        <w:r w:rsidR="00B60076">
          <w:rPr>
            <w:noProof/>
            <w:webHidden/>
          </w:rPr>
        </w:r>
        <w:r w:rsidR="00B60076">
          <w:rPr>
            <w:noProof/>
            <w:webHidden/>
          </w:rPr>
          <w:fldChar w:fldCharType="separate"/>
        </w:r>
        <w:r w:rsidR="00B60076">
          <w:rPr>
            <w:noProof/>
            <w:webHidden/>
          </w:rPr>
          <w:t>4</w:t>
        </w:r>
        <w:r w:rsidR="00B60076">
          <w:rPr>
            <w:noProof/>
            <w:webHidden/>
          </w:rPr>
          <w:fldChar w:fldCharType="end"/>
        </w:r>
      </w:hyperlink>
    </w:p>
    <w:p w:rsidR="00B60076" w:rsidRDefault="00B06DA6">
      <w:pPr>
        <w:pStyle w:val="TOC2"/>
        <w:tabs>
          <w:tab w:val="left" w:pos="1134"/>
        </w:tabs>
        <w:rPr>
          <w:rFonts w:asciiTheme="minorHAnsi" w:eastAsiaTheme="minorEastAsia" w:hAnsiTheme="minorHAnsi" w:cstheme="minorBidi"/>
          <w:noProof/>
          <w:szCs w:val="22"/>
          <w:lang w:eastAsia="en-NZ"/>
        </w:rPr>
      </w:pPr>
      <w:hyperlink w:anchor="_Toc11053569" w:history="1">
        <w:r w:rsidR="00B60076" w:rsidRPr="00BF0A76">
          <w:rPr>
            <w:rStyle w:val="Hyperlink"/>
            <w:noProof/>
          </w:rPr>
          <w:t>3.2</w:t>
        </w:r>
        <w:r w:rsidR="00B60076">
          <w:rPr>
            <w:rFonts w:asciiTheme="minorHAnsi" w:eastAsiaTheme="minorEastAsia" w:hAnsiTheme="minorHAnsi" w:cstheme="minorBidi"/>
            <w:noProof/>
            <w:szCs w:val="22"/>
            <w:lang w:eastAsia="en-NZ"/>
          </w:rPr>
          <w:tab/>
        </w:r>
        <w:r w:rsidR="00B60076" w:rsidRPr="00BF0A76">
          <w:rPr>
            <w:rStyle w:val="Hyperlink"/>
            <w:noProof/>
          </w:rPr>
          <w:t>Distributor visits</w:t>
        </w:r>
        <w:r w:rsidR="00B60076">
          <w:rPr>
            <w:noProof/>
            <w:webHidden/>
          </w:rPr>
          <w:tab/>
        </w:r>
        <w:r w:rsidR="00B60076">
          <w:rPr>
            <w:noProof/>
            <w:webHidden/>
          </w:rPr>
          <w:fldChar w:fldCharType="begin"/>
        </w:r>
        <w:r w:rsidR="00B60076">
          <w:rPr>
            <w:noProof/>
            <w:webHidden/>
          </w:rPr>
          <w:instrText xml:space="preserve"> PAGEREF _Toc11053569 \h </w:instrText>
        </w:r>
        <w:r w:rsidR="00B60076">
          <w:rPr>
            <w:noProof/>
            <w:webHidden/>
          </w:rPr>
        </w:r>
        <w:r w:rsidR="00B60076">
          <w:rPr>
            <w:noProof/>
            <w:webHidden/>
          </w:rPr>
          <w:fldChar w:fldCharType="separate"/>
        </w:r>
        <w:r w:rsidR="00B60076">
          <w:rPr>
            <w:noProof/>
            <w:webHidden/>
          </w:rPr>
          <w:t>4</w:t>
        </w:r>
        <w:r w:rsidR="00B60076">
          <w:rPr>
            <w:noProof/>
            <w:webHidden/>
          </w:rPr>
          <w:fldChar w:fldCharType="end"/>
        </w:r>
      </w:hyperlink>
    </w:p>
    <w:p w:rsidR="00B60076" w:rsidRDefault="00B06DA6">
      <w:pPr>
        <w:pStyle w:val="TOC2"/>
        <w:tabs>
          <w:tab w:val="left" w:pos="1134"/>
        </w:tabs>
        <w:rPr>
          <w:rFonts w:asciiTheme="minorHAnsi" w:eastAsiaTheme="minorEastAsia" w:hAnsiTheme="minorHAnsi" w:cstheme="minorBidi"/>
          <w:noProof/>
          <w:szCs w:val="22"/>
          <w:lang w:eastAsia="en-NZ"/>
        </w:rPr>
      </w:pPr>
      <w:hyperlink w:anchor="_Toc11053570" w:history="1">
        <w:r w:rsidR="00B60076" w:rsidRPr="00BF0A76">
          <w:rPr>
            <w:rStyle w:val="Hyperlink"/>
            <w:noProof/>
          </w:rPr>
          <w:t>3.3</w:t>
        </w:r>
        <w:r w:rsidR="00B60076">
          <w:rPr>
            <w:rFonts w:asciiTheme="minorHAnsi" w:eastAsiaTheme="minorEastAsia" w:hAnsiTheme="minorHAnsi" w:cstheme="minorBidi"/>
            <w:noProof/>
            <w:szCs w:val="22"/>
            <w:lang w:eastAsia="en-NZ"/>
          </w:rPr>
          <w:tab/>
        </w:r>
        <w:r w:rsidR="00B60076" w:rsidRPr="00BF0A76">
          <w:rPr>
            <w:rStyle w:val="Hyperlink"/>
            <w:noProof/>
          </w:rPr>
          <w:t>Online surveillance</w:t>
        </w:r>
        <w:r w:rsidR="00B60076">
          <w:rPr>
            <w:noProof/>
            <w:webHidden/>
          </w:rPr>
          <w:tab/>
        </w:r>
        <w:r w:rsidR="00B60076">
          <w:rPr>
            <w:noProof/>
            <w:webHidden/>
          </w:rPr>
          <w:fldChar w:fldCharType="begin"/>
        </w:r>
        <w:r w:rsidR="00B60076">
          <w:rPr>
            <w:noProof/>
            <w:webHidden/>
          </w:rPr>
          <w:instrText xml:space="preserve"> PAGEREF _Toc11053570 \h </w:instrText>
        </w:r>
        <w:r w:rsidR="00B60076">
          <w:rPr>
            <w:noProof/>
            <w:webHidden/>
          </w:rPr>
        </w:r>
        <w:r w:rsidR="00B60076">
          <w:rPr>
            <w:noProof/>
            <w:webHidden/>
          </w:rPr>
          <w:fldChar w:fldCharType="separate"/>
        </w:r>
        <w:r w:rsidR="00B60076">
          <w:rPr>
            <w:noProof/>
            <w:webHidden/>
          </w:rPr>
          <w:t>4</w:t>
        </w:r>
        <w:r w:rsidR="00B60076">
          <w:rPr>
            <w:noProof/>
            <w:webHidden/>
          </w:rPr>
          <w:fldChar w:fldCharType="end"/>
        </w:r>
      </w:hyperlink>
    </w:p>
    <w:p w:rsidR="00B60076" w:rsidRDefault="00B06DA6">
      <w:pPr>
        <w:pStyle w:val="TOC1"/>
        <w:rPr>
          <w:rFonts w:asciiTheme="minorHAnsi" w:eastAsiaTheme="minorEastAsia" w:hAnsiTheme="minorHAnsi" w:cstheme="minorBidi"/>
          <w:noProof/>
          <w:sz w:val="22"/>
          <w:szCs w:val="22"/>
          <w:lang w:eastAsia="en-NZ"/>
        </w:rPr>
      </w:pPr>
      <w:hyperlink w:anchor="_Toc11053571" w:history="1">
        <w:r w:rsidR="00B60076" w:rsidRPr="00BF0A76">
          <w:rPr>
            <w:rStyle w:val="Hyperlink"/>
            <w:noProof/>
          </w:rPr>
          <w:t>4</w:t>
        </w:r>
        <w:r w:rsidR="00B60076">
          <w:rPr>
            <w:rFonts w:asciiTheme="minorHAnsi" w:eastAsiaTheme="minorEastAsia" w:hAnsiTheme="minorHAnsi" w:cstheme="minorBidi"/>
            <w:noProof/>
            <w:sz w:val="22"/>
            <w:szCs w:val="22"/>
            <w:lang w:eastAsia="en-NZ"/>
          </w:rPr>
          <w:tab/>
        </w:r>
        <w:r w:rsidR="00B60076" w:rsidRPr="00BF0A76">
          <w:rPr>
            <w:rStyle w:val="Hyperlink"/>
            <w:noProof/>
          </w:rPr>
          <w:t>New Zealand Customs</w:t>
        </w:r>
        <w:r w:rsidR="00B60076">
          <w:rPr>
            <w:noProof/>
            <w:webHidden/>
          </w:rPr>
          <w:tab/>
        </w:r>
        <w:r w:rsidR="00B60076">
          <w:rPr>
            <w:noProof/>
            <w:webHidden/>
          </w:rPr>
          <w:fldChar w:fldCharType="begin"/>
        </w:r>
        <w:r w:rsidR="00B60076">
          <w:rPr>
            <w:noProof/>
            <w:webHidden/>
          </w:rPr>
          <w:instrText xml:space="preserve"> PAGEREF _Toc11053571 \h </w:instrText>
        </w:r>
        <w:r w:rsidR="00B60076">
          <w:rPr>
            <w:noProof/>
            <w:webHidden/>
          </w:rPr>
        </w:r>
        <w:r w:rsidR="00B60076">
          <w:rPr>
            <w:noProof/>
            <w:webHidden/>
          </w:rPr>
          <w:fldChar w:fldCharType="separate"/>
        </w:r>
        <w:r w:rsidR="00B60076">
          <w:rPr>
            <w:noProof/>
            <w:webHidden/>
          </w:rPr>
          <w:t>6</w:t>
        </w:r>
        <w:r w:rsidR="00B60076">
          <w:rPr>
            <w:noProof/>
            <w:webHidden/>
          </w:rPr>
          <w:fldChar w:fldCharType="end"/>
        </w:r>
      </w:hyperlink>
    </w:p>
    <w:p w:rsidR="00B60076" w:rsidRDefault="00B06DA6">
      <w:pPr>
        <w:pStyle w:val="TOC1"/>
        <w:rPr>
          <w:rFonts w:asciiTheme="minorHAnsi" w:eastAsiaTheme="minorEastAsia" w:hAnsiTheme="minorHAnsi" w:cstheme="minorBidi"/>
          <w:noProof/>
          <w:sz w:val="22"/>
          <w:szCs w:val="22"/>
          <w:lang w:eastAsia="en-NZ"/>
        </w:rPr>
      </w:pPr>
      <w:hyperlink w:anchor="_Toc11053572" w:history="1">
        <w:r w:rsidR="00B60076" w:rsidRPr="00BF0A76">
          <w:rPr>
            <w:rStyle w:val="Hyperlink"/>
            <w:noProof/>
          </w:rPr>
          <w:t>5</w:t>
        </w:r>
        <w:r w:rsidR="00B60076">
          <w:rPr>
            <w:rFonts w:asciiTheme="minorHAnsi" w:eastAsiaTheme="minorEastAsia" w:hAnsiTheme="minorHAnsi" w:cstheme="minorBidi"/>
            <w:noProof/>
            <w:sz w:val="22"/>
            <w:szCs w:val="22"/>
            <w:lang w:eastAsia="en-NZ"/>
          </w:rPr>
          <w:tab/>
        </w:r>
        <w:r w:rsidR="00B60076" w:rsidRPr="00BF0A76">
          <w:rPr>
            <w:rStyle w:val="Hyperlink"/>
            <w:noProof/>
          </w:rPr>
          <w:t>Other agencies</w:t>
        </w:r>
        <w:r w:rsidR="00B60076">
          <w:rPr>
            <w:noProof/>
            <w:webHidden/>
          </w:rPr>
          <w:tab/>
        </w:r>
        <w:r w:rsidR="00B60076">
          <w:rPr>
            <w:noProof/>
            <w:webHidden/>
          </w:rPr>
          <w:fldChar w:fldCharType="begin"/>
        </w:r>
        <w:r w:rsidR="00B60076">
          <w:rPr>
            <w:noProof/>
            <w:webHidden/>
          </w:rPr>
          <w:instrText xml:space="preserve"> PAGEREF _Toc11053572 \h </w:instrText>
        </w:r>
        <w:r w:rsidR="00B60076">
          <w:rPr>
            <w:noProof/>
            <w:webHidden/>
          </w:rPr>
        </w:r>
        <w:r w:rsidR="00B60076">
          <w:rPr>
            <w:noProof/>
            <w:webHidden/>
          </w:rPr>
          <w:fldChar w:fldCharType="separate"/>
        </w:r>
        <w:r w:rsidR="00B60076">
          <w:rPr>
            <w:noProof/>
            <w:webHidden/>
          </w:rPr>
          <w:t>7</w:t>
        </w:r>
        <w:r w:rsidR="00B60076">
          <w:rPr>
            <w:noProof/>
            <w:webHidden/>
          </w:rPr>
          <w:fldChar w:fldCharType="end"/>
        </w:r>
      </w:hyperlink>
    </w:p>
    <w:p w:rsidR="00B60076" w:rsidRDefault="00B06DA6">
      <w:pPr>
        <w:pStyle w:val="TOC2"/>
        <w:tabs>
          <w:tab w:val="left" w:pos="1134"/>
        </w:tabs>
        <w:rPr>
          <w:rFonts w:asciiTheme="minorHAnsi" w:eastAsiaTheme="minorEastAsia" w:hAnsiTheme="minorHAnsi" w:cstheme="minorBidi"/>
          <w:noProof/>
          <w:szCs w:val="22"/>
          <w:lang w:eastAsia="en-NZ"/>
        </w:rPr>
      </w:pPr>
      <w:hyperlink w:anchor="_Toc11053573" w:history="1">
        <w:r w:rsidR="00B60076" w:rsidRPr="00BF0A76">
          <w:rPr>
            <w:rStyle w:val="Hyperlink"/>
            <w:noProof/>
          </w:rPr>
          <w:t>5.1</w:t>
        </w:r>
        <w:r w:rsidR="00B60076">
          <w:rPr>
            <w:rFonts w:asciiTheme="minorHAnsi" w:eastAsiaTheme="minorEastAsia" w:hAnsiTheme="minorHAnsi" w:cstheme="minorBidi"/>
            <w:noProof/>
            <w:szCs w:val="22"/>
            <w:lang w:eastAsia="en-NZ"/>
          </w:rPr>
          <w:tab/>
        </w:r>
        <w:r w:rsidR="00B60076" w:rsidRPr="00BF0A76">
          <w:rPr>
            <w:rStyle w:val="Hyperlink"/>
            <w:noProof/>
          </w:rPr>
          <w:t>New Zealand Police</w:t>
        </w:r>
        <w:r w:rsidR="00B60076">
          <w:rPr>
            <w:noProof/>
            <w:webHidden/>
          </w:rPr>
          <w:tab/>
        </w:r>
        <w:r w:rsidR="00B60076">
          <w:rPr>
            <w:noProof/>
            <w:webHidden/>
          </w:rPr>
          <w:fldChar w:fldCharType="begin"/>
        </w:r>
        <w:r w:rsidR="00B60076">
          <w:rPr>
            <w:noProof/>
            <w:webHidden/>
          </w:rPr>
          <w:instrText xml:space="preserve"> PAGEREF _Toc11053573 \h </w:instrText>
        </w:r>
        <w:r w:rsidR="00B60076">
          <w:rPr>
            <w:noProof/>
            <w:webHidden/>
          </w:rPr>
        </w:r>
        <w:r w:rsidR="00B60076">
          <w:rPr>
            <w:noProof/>
            <w:webHidden/>
          </w:rPr>
          <w:fldChar w:fldCharType="separate"/>
        </w:r>
        <w:r w:rsidR="00B60076">
          <w:rPr>
            <w:noProof/>
            <w:webHidden/>
          </w:rPr>
          <w:t>7</w:t>
        </w:r>
        <w:r w:rsidR="00B60076">
          <w:rPr>
            <w:noProof/>
            <w:webHidden/>
          </w:rPr>
          <w:fldChar w:fldCharType="end"/>
        </w:r>
      </w:hyperlink>
    </w:p>
    <w:p w:rsidR="00B60076" w:rsidRDefault="00B06DA6">
      <w:pPr>
        <w:pStyle w:val="TOC2"/>
        <w:tabs>
          <w:tab w:val="left" w:pos="1134"/>
        </w:tabs>
        <w:rPr>
          <w:rFonts w:asciiTheme="minorHAnsi" w:eastAsiaTheme="minorEastAsia" w:hAnsiTheme="minorHAnsi" w:cstheme="minorBidi"/>
          <w:noProof/>
          <w:szCs w:val="22"/>
          <w:lang w:eastAsia="en-NZ"/>
        </w:rPr>
      </w:pPr>
      <w:hyperlink w:anchor="_Toc11053574" w:history="1">
        <w:r w:rsidR="00B60076" w:rsidRPr="00BF0A76">
          <w:rPr>
            <w:rStyle w:val="Hyperlink"/>
            <w:noProof/>
          </w:rPr>
          <w:t>5.2</w:t>
        </w:r>
        <w:r w:rsidR="00B60076">
          <w:rPr>
            <w:rFonts w:asciiTheme="minorHAnsi" w:eastAsiaTheme="minorEastAsia" w:hAnsiTheme="minorHAnsi" w:cstheme="minorBidi"/>
            <w:noProof/>
            <w:szCs w:val="22"/>
            <w:lang w:eastAsia="en-NZ"/>
          </w:rPr>
          <w:tab/>
        </w:r>
        <w:r w:rsidR="00B60076" w:rsidRPr="00BF0A76">
          <w:rPr>
            <w:rStyle w:val="Hyperlink"/>
            <w:noProof/>
          </w:rPr>
          <w:t>Civil Aviation Authority</w:t>
        </w:r>
        <w:r w:rsidR="00B60076">
          <w:rPr>
            <w:noProof/>
            <w:webHidden/>
          </w:rPr>
          <w:tab/>
        </w:r>
        <w:r w:rsidR="00B60076">
          <w:rPr>
            <w:noProof/>
            <w:webHidden/>
          </w:rPr>
          <w:fldChar w:fldCharType="begin"/>
        </w:r>
        <w:r w:rsidR="00B60076">
          <w:rPr>
            <w:noProof/>
            <w:webHidden/>
          </w:rPr>
          <w:instrText xml:space="preserve"> PAGEREF _Toc11053574 \h </w:instrText>
        </w:r>
        <w:r w:rsidR="00B60076">
          <w:rPr>
            <w:noProof/>
            <w:webHidden/>
          </w:rPr>
        </w:r>
        <w:r w:rsidR="00B60076">
          <w:rPr>
            <w:noProof/>
            <w:webHidden/>
          </w:rPr>
          <w:fldChar w:fldCharType="separate"/>
        </w:r>
        <w:r w:rsidR="00B60076">
          <w:rPr>
            <w:noProof/>
            <w:webHidden/>
          </w:rPr>
          <w:t>8</w:t>
        </w:r>
        <w:r w:rsidR="00B60076">
          <w:rPr>
            <w:noProof/>
            <w:webHidden/>
          </w:rPr>
          <w:fldChar w:fldCharType="end"/>
        </w:r>
      </w:hyperlink>
    </w:p>
    <w:p w:rsidR="00B60076" w:rsidRDefault="00B06DA6">
      <w:pPr>
        <w:pStyle w:val="TOC1"/>
        <w:rPr>
          <w:rFonts w:asciiTheme="minorHAnsi" w:eastAsiaTheme="minorEastAsia" w:hAnsiTheme="minorHAnsi" w:cstheme="minorBidi"/>
          <w:noProof/>
          <w:sz w:val="22"/>
          <w:szCs w:val="22"/>
          <w:lang w:eastAsia="en-NZ"/>
        </w:rPr>
      </w:pPr>
      <w:hyperlink w:anchor="_Toc11053575" w:history="1">
        <w:r w:rsidR="00B60076" w:rsidRPr="00BF0A76">
          <w:rPr>
            <w:rStyle w:val="Hyperlink"/>
            <w:noProof/>
          </w:rPr>
          <w:t>6</w:t>
        </w:r>
        <w:r w:rsidR="00B60076">
          <w:rPr>
            <w:rFonts w:asciiTheme="minorHAnsi" w:eastAsiaTheme="minorEastAsia" w:hAnsiTheme="minorHAnsi" w:cstheme="minorBidi"/>
            <w:noProof/>
            <w:sz w:val="22"/>
            <w:szCs w:val="22"/>
            <w:lang w:eastAsia="en-NZ"/>
          </w:rPr>
          <w:tab/>
        </w:r>
        <w:r w:rsidR="00B60076" w:rsidRPr="00BF0A76">
          <w:rPr>
            <w:rStyle w:val="Hyperlink"/>
            <w:noProof/>
          </w:rPr>
          <w:t>The High-Power Laser Pointer Offences and Penalties Bill</w:t>
        </w:r>
        <w:r w:rsidR="00B60076">
          <w:rPr>
            <w:noProof/>
            <w:webHidden/>
          </w:rPr>
          <w:tab/>
        </w:r>
        <w:r w:rsidR="00B60076">
          <w:rPr>
            <w:noProof/>
            <w:webHidden/>
          </w:rPr>
          <w:fldChar w:fldCharType="begin"/>
        </w:r>
        <w:r w:rsidR="00B60076">
          <w:rPr>
            <w:noProof/>
            <w:webHidden/>
          </w:rPr>
          <w:instrText xml:space="preserve"> PAGEREF _Toc11053575 \h </w:instrText>
        </w:r>
        <w:r w:rsidR="00B60076">
          <w:rPr>
            <w:noProof/>
            <w:webHidden/>
          </w:rPr>
        </w:r>
        <w:r w:rsidR="00B60076">
          <w:rPr>
            <w:noProof/>
            <w:webHidden/>
          </w:rPr>
          <w:fldChar w:fldCharType="separate"/>
        </w:r>
        <w:r w:rsidR="00B60076">
          <w:rPr>
            <w:noProof/>
            <w:webHidden/>
          </w:rPr>
          <w:t>9</w:t>
        </w:r>
        <w:r w:rsidR="00B60076">
          <w:rPr>
            <w:noProof/>
            <w:webHidden/>
          </w:rPr>
          <w:fldChar w:fldCharType="end"/>
        </w:r>
      </w:hyperlink>
    </w:p>
    <w:p w:rsidR="00B60076" w:rsidRDefault="00B06DA6">
      <w:pPr>
        <w:pStyle w:val="TOC1"/>
        <w:rPr>
          <w:rFonts w:asciiTheme="minorHAnsi" w:eastAsiaTheme="minorEastAsia" w:hAnsiTheme="minorHAnsi" w:cstheme="minorBidi"/>
          <w:noProof/>
          <w:sz w:val="22"/>
          <w:szCs w:val="22"/>
          <w:lang w:eastAsia="en-NZ"/>
        </w:rPr>
      </w:pPr>
      <w:hyperlink w:anchor="_Toc11053576" w:history="1">
        <w:r w:rsidR="00B60076" w:rsidRPr="00BF0A76">
          <w:rPr>
            <w:rStyle w:val="Hyperlink"/>
            <w:noProof/>
          </w:rPr>
          <w:t>7</w:t>
        </w:r>
        <w:r w:rsidR="00B60076">
          <w:rPr>
            <w:rFonts w:asciiTheme="minorHAnsi" w:eastAsiaTheme="minorEastAsia" w:hAnsiTheme="minorHAnsi" w:cstheme="minorBidi"/>
            <w:noProof/>
            <w:sz w:val="22"/>
            <w:szCs w:val="22"/>
            <w:lang w:eastAsia="en-NZ"/>
          </w:rPr>
          <w:tab/>
        </w:r>
        <w:r w:rsidR="00B60076" w:rsidRPr="00BF0A76">
          <w:rPr>
            <w:rStyle w:val="Hyperlink"/>
            <w:noProof/>
          </w:rPr>
          <w:t>Overseas developments</w:t>
        </w:r>
        <w:r w:rsidR="00B60076">
          <w:rPr>
            <w:noProof/>
            <w:webHidden/>
          </w:rPr>
          <w:tab/>
        </w:r>
        <w:r w:rsidR="00B60076">
          <w:rPr>
            <w:noProof/>
            <w:webHidden/>
          </w:rPr>
          <w:fldChar w:fldCharType="begin"/>
        </w:r>
        <w:r w:rsidR="00B60076">
          <w:rPr>
            <w:noProof/>
            <w:webHidden/>
          </w:rPr>
          <w:instrText xml:space="preserve"> PAGEREF _Toc11053576 \h </w:instrText>
        </w:r>
        <w:r w:rsidR="00B60076">
          <w:rPr>
            <w:noProof/>
            <w:webHidden/>
          </w:rPr>
        </w:r>
        <w:r w:rsidR="00B60076">
          <w:rPr>
            <w:noProof/>
            <w:webHidden/>
          </w:rPr>
          <w:fldChar w:fldCharType="separate"/>
        </w:r>
        <w:r w:rsidR="00B60076">
          <w:rPr>
            <w:noProof/>
            <w:webHidden/>
          </w:rPr>
          <w:t>10</w:t>
        </w:r>
        <w:r w:rsidR="00B60076">
          <w:rPr>
            <w:noProof/>
            <w:webHidden/>
          </w:rPr>
          <w:fldChar w:fldCharType="end"/>
        </w:r>
      </w:hyperlink>
    </w:p>
    <w:p w:rsidR="00B60076" w:rsidRDefault="00B06DA6">
      <w:pPr>
        <w:pStyle w:val="TOC2"/>
        <w:tabs>
          <w:tab w:val="left" w:pos="1134"/>
        </w:tabs>
        <w:rPr>
          <w:rFonts w:asciiTheme="minorHAnsi" w:eastAsiaTheme="minorEastAsia" w:hAnsiTheme="minorHAnsi" w:cstheme="minorBidi"/>
          <w:noProof/>
          <w:szCs w:val="22"/>
          <w:lang w:eastAsia="en-NZ"/>
        </w:rPr>
      </w:pPr>
      <w:hyperlink w:anchor="_Toc11053577" w:history="1">
        <w:r w:rsidR="00B60076" w:rsidRPr="00BF0A76">
          <w:rPr>
            <w:rStyle w:val="Hyperlink"/>
            <w:noProof/>
          </w:rPr>
          <w:t>7.1</w:t>
        </w:r>
        <w:r w:rsidR="00B60076">
          <w:rPr>
            <w:rFonts w:asciiTheme="minorHAnsi" w:eastAsiaTheme="minorEastAsia" w:hAnsiTheme="minorHAnsi" w:cstheme="minorBidi"/>
            <w:noProof/>
            <w:szCs w:val="22"/>
            <w:lang w:eastAsia="en-NZ"/>
          </w:rPr>
          <w:tab/>
        </w:r>
        <w:r w:rsidR="00B60076" w:rsidRPr="00BF0A76">
          <w:rPr>
            <w:rStyle w:val="Hyperlink"/>
            <w:noProof/>
          </w:rPr>
          <w:t>United Kingdom</w:t>
        </w:r>
        <w:r w:rsidR="00B60076">
          <w:rPr>
            <w:noProof/>
            <w:webHidden/>
          </w:rPr>
          <w:tab/>
        </w:r>
        <w:r w:rsidR="00B60076">
          <w:rPr>
            <w:noProof/>
            <w:webHidden/>
          </w:rPr>
          <w:fldChar w:fldCharType="begin"/>
        </w:r>
        <w:r w:rsidR="00B60076">
          <w:rPr>
            <w:noProof/>
            <w:webHidden/>
          </w:rPr>
          <w:instrText xml:space="preserve"> PAGEREF _Toc11053577 \h </w:instrText>
        </w:r>
        <w:r w:rsidR="00B60076">
          <w:rPr>
            <w:noProof/>
            <w:webHidden/>
          </w:rPr>
        </w:r>
        <w:r w:rsidR="00B60076">
          <w:rPr>
            <w:noProof/>
            <w:webHidden/>
          </w:rPr>
          <w:fldChar w:fldCharType="separate"/>
        </w:r>
        <w:r w:rsidR="00B60076">
          <w:rPr>
            <w:noProof/>
            <w:webHidden/>
          </w:rPr>
          <w:t>10</w:t>
        </w:r>
        <w:r w:rsidR="00B60076">
          <w:rPr>
            <w:noProof/>
            <w:webHidden/>
          </w:rPr>
          <w:fldChar w:fldCharType="end"/>
        </w:r>
      </w:hyperlink>
    </w:p>
    <w:p w:rsidR="00B60076" w:rsidRDefault="00B06DA6">
      <w:pPr>
        <w:pStyle w:val="TOC2"/>
        <w:tabs>
          <w:tab w:val="left" w:pos="1134"/>
        </w:tabs>
        <w:rPr>
          <w:rFonts w:asciiTheme="minorHAnsi" w:eastAsiaTheme="minorEastAsia" w:hAnsiTheme="minorHAnsi" w:cstheme="minorBidi"/>
          <w:noProof/>
          <w:szCs w:val="22"/>
          <w:lang w:eastAsia="en-NZ"/>
        </w:rPr>
      </w:pPr>
      <w:hyperlink w:anchor="_Toc11053578" w:history="1">
        <w:r w:rsidR="00B60076" w:rsidRPr="00BF0A76">
          <w:rPr>
            <w:rStyle w:val="Hyperlink"/>
            <w:noProof/>
          </w:rPr>
          <w:t>7.2</w:t>
        </w:r>
        <w:r w:rsidR="00B60076">
          <w:rPr>
            <w:rFonts w:asciiTheme="minorHAnsi" w:eastAsiaTheme="minorEastAsia" w:hAnsiTheme="minorHAnsi" w:cstheme="minorBidi"/>
            <w:noProof/>
            <w:szCs w:val="22"/>
            <w:lang w:eastAsia="en-NZ"/>
          </w:rPr>
          <w:tab/>
        </w:r>
        <w:r w:rsidR="00B60076" w:rsidRPr="00BF0A76">
          <w:rPr>
            <w:rStyle w:val="Hyperlink"/>
            <w:noProof/>
          </w:rPr>
          <w:t>Switzerland</w:t>
        </w:r>
        <w:r w:rsidR="00B60076">
          <w:rPr>
            <w:noProof/>
            <w:webHidden/>
          </w:rPr>
          <w:tab/>
        </w:r>
        <w:r w:rsidR="00B60076">
          <w:rPr>
            <w:noProof/>
            <w:webHidden/>
          </w:rPr>
          <w:fldChar w:fldCharType="begin"/>
        </w:r>
        <w:r w:rsidR="00B60076">
          <w:rPr>
            <w:noProof/>
            <w:webHidden/>
          </w:rPr>
          <w:instrText xml:space="preserve"> PAGEREF _Toc11053578 \h </w:instrText>
        </w:r>
        <w:r w:rsidR="00B60076">
          <w:rPr>
            <w:noProof/>
            <w:webHidden/>
          </w:rPr>
        </w:r>
        <w:r w:rsidR="00B60076">
          <w:rPr>
            <w:noProof/>
            <w:webHidden/>
          </w:rPr>
          <w:fldChar w:fldCharType="separate"/>
        </w:r>
        <w:r w:rsidR="00B60076">
          <w:rPr>
            <w:noProof/>
            <w:webHidden/>
          </w:rPr>
          <w:t>10</w:t>
        </w:r>
        <w:r w:rsidR="00B60076">
          <w:rPr>
            <w:noProof/>
            <w:webHidden/>
          </w:rPr>
          <w:fldChar w:fldCharType="end"/>
        </w:r>
      </w:hyperlink>
    </w:p>
    <w:p w:rsidR="00B60076" w:rsidRDefault="00B06DA6">
      <w:pPr>
        <w:pStyle w:val="TOC2"/>
        <w:tabs>
          <w:tab w:val="left" w:pos="1134"/>
        </w:tabs>
        <w:rPr>
          <w:rFonts w:asciiTheme="minorHAnsi" w:eastAsiaTheme="minorEastAsia" w:hAnsiTheme="minorHAnsi" w:cstheme="minorBidi"/>
          <w:noProof/>
          <w:szCs w:val="22"/>
          <w:lang w:eastAsia="en-NZ"/>
        </w:rPr>
      </w:pPr>
      <w:hyperlink w:anchor="_Toc11053579" w:history="1">
        <w:r w:rsidR="00B60076" w:rsidRPr="00BF0A76">
          <w:rPr>
            <w:rStyle w:val="Hyperlink"/>
            <w:noProof/>
          </w:rPr>
          <w:t>7.3</w:t>
        </w:r>
        <w:r w:rsidR="00B60076">
          <w:rPr>
            <w:rFonts w:asciiTheme="minorHAnsi" w:eastAsiaTheme="minorEastAsia" w:hAnsiTheme="minorHAnsi" w:cstheme="minorBidi"/>
            <w:noProof/>
            <w:szCs w:val="22"/>
            <w:lang w:eastAsia="en-NZ"/>
          </w:rPr>
          <w:tab/>
        </w:r>
        <w:r w:rsidR="00B60076" w:rsidRPr="00BF0A76">
          <w:rPr>
            <w:rStyle w:val="Hyperlink"/>
            <w:noProof/>
          </w:rPr>
          <w:t>Canada</w:t>
        </w:r>
        <w:r w:rsidR="00B60076">
          <w:rPr>
            <w:noProof/>
            <w:webHidden/>
          </w:rPr>
          <w:tab/>
        </w:r>
        <w:r w:rsidR="00B60076">
          <w:rPr>
            <w:noProof/>
            <w:webHidden/>
          </w:rPr>
          <w:fldChar w:fldCharType="begin"/>
        </w:r>
        <w:r w:rsidR="00B60076">
          <w:rPr>
            <w:noProof/>
            <w:webHidden/>
          </w:rPr>
          <w:instrText xml:space="preserve"> PAGEREF _Toc11053579 \h </w:instrText>
        </w:r>
        <w:r w:rsidR="00B60076">
          <w:rPr>
            <w:noProof/>
            <w:webHidden/>
          </w:rPr>
        </w:r>
        <w:r w:rsidR="00B60076">
          <w:rPr>
            <w:noProof/>
            <w:webHidden/>
          </w:rPr>
          <w:fldChar w:fldCharType="separate"/>
        </w:r>
        <w:r w:rsidR="00B60076">
          <w:rPr>
            <w:noProof/>
            <w:webHidden/>
          </w:rPr>
          <w:t>11</w:t>
        </w:r>
        <w:r w:rsidR="00B60076">
          <w:rPr>
            <w:noProof/>
            <w:webHidden/>
          </w:rPr>
          <w:fldChar w:fldCharType="end"/>
        </w:r>
      </w:hyperlink>
    </w:p>
    <w:p w:rsidR="00B60076" w:rsidRDefault="00B06DA6">
      <w:pPr>
        <w:pStyle w:val="TOC2"/>
        <w:tabs>
          <w:tab w:val="left" w:pos="1134"/>
        </w:tabs>
        <w:rPr>
          <w:rFonts w:asciiTheme="minorHAnsi" w:eastAsiaTheme="minorEastAsia" w:hAnsiTheme="minorHAnsi" w:cstheme="minorBidi"/>
          <w:noProof/>
          <w:szCs w:val="22"/>
          <w:lang w:eastAsia="en-NZ"/>
        </w:rPr>
      </w:pPr>
      <w:hyperlink w:anchor="_Toc11053580" w:history="1">
        <w:r w:rsidR="00B60076" w:rsidRPr="00BF0A76">
          <w:rPr>
            <w:rStyle w:val="Hyperlink"/>
            <w:noProof/>
          </w:rPr>
          <w:t>7.4</w:t>
        </w:r>
        <w:r w:rsidR="00B60076">
          <w:rPr>
            <w:rFonts w:asciiTheme="minorHAnsi" w:eastAsiaTheme="minorEastAsia" w:hAnsiTheme="minorHAnsi" w:cstheme="minorBidi"/>
            <w:noProof/>
            <w:szCs w:val="22"/>
            <w:lang w:eastAsia="en-NZ"/>
          </w:rPr>
          <w:tab/>
        </w:r>
        <w:r w:rsidR="00B60076" w:rsidRPr="00BF0A76">
          <w:rPr>
            <w:rStyle w:val="Hyperlink"/>
            <w:noProof/>
          </w:rPr>
          <w:t>United States</w:t>
        </w:r>
        <w:r w:rsidR="00B60076">
          <w:rPr>
            <w:noProof/>
            <w:webHidden/>
          </w:rPr>
          <w:tab/>
        </w:r>
        <w:r w:rsidR="00B60076">
          <w:rPr>
            <w:noProof/>
            <w:webHidden/>
          </w:rPr>
          <w:fldChar w:fldCharType="begin"/>
        </w:r>
        <w:r w:rsidR="00B60076">
          <w:rPr>
            <w:noProof/>
            <w:webHidden/>
          </w:rPr>
          <w:instrText xml:space="preserve"> PAGEREF _Toc11053580 \h </w:instrText>
        </w:r>
        <w:r w:rsidR="00B60076">
          <w:rPr>
            <w:noProof/>
            <w:webHidden/>
          </w:rPr>
        </w:r>
        <w:r w:rsidR="00B60076">
          <w:rPr>
            <w:noProof/>
            <w:webHidden/>
          </w:rPr>
          <w:fldChar w:fldCharType="separate"/>
        </w:r>
        <w:r w:rsidR="00B60076">
          <w:rPr>
            <w:noProof/>
            <w:webHidden/>
          </w:rPr>
          <w:t>11</w:t>
        </w:r>
        <w:r w:rsidR="00B60076">
          <w:rPr>
            <w:noProof/>
            <w:webHidden/>
          </w:rPr>
          <w:fldChar w:fldCharType="end"/>
        </w:r>
      </w:hyperlink>
    </w:p>
    <w:p w:rsidR="00B60076" w:rsidRDefault="00B06DA6">
      <w:pPr>
        <w:pStyle w:val="TOC2"/>
        <w:tabs>
          <w:tab w:val="left" w:pos="1134"/>
        </w:tabs>
        <w:rPr>
          <w:rFonts w:asciiTheme="minorHAnsi" w:eastAsiaTheme="minorEastAsia" w:hAnsiTheme="minorHAnsi" w:cstheme="minorBidi"/>
          <w:noProof/>
          <w:szCs w:val="22"/>
          <w:lang w:eastAsia="en-NZ"/>
        </w:rPr>
      </w:pPr>
      <w:hyperlink w:anchor="_Toc11053581" w:history="1">
        <w:r w:rsidR="00B60076" w:rsidRPr="00BF0A76">
          <w:rPr>
            <w:rStyle w:val="Hyperlink"/>
            <w:noProof/>
          </w:rPr>
          <w:t>7.5</w:t>
        </w:r>
        <w:r w:rsidR="00B60076">
          <w:rPr>
            <w:rFonts w:asciiTheme="minorHAnsi" w:eastAsiaTheme="minorEastAsia" w:hAnsiTheme="minorHAnsi" w:cstheme="minorBidi"/>
            <w:noProof/>
            <w:szCs w:val="22"/>
            <w:lang w:eastAsia="en-NZ"/>
          </w:rPr>
          <w:tab/>
        </w:r>
        <w:r w:rsidR="00B60076" w:rsidRPr="00BF0A76">
          <w:rPr>
            <w:rStyle w:val="Hyperlink"/>
            <w:noProof/>
          </w:rPr>
          <w:t>Australia</w:t>
        </w:r>
        <w:r w:rsidR="00B60076">
          <w:rPr>
            <w:noProof/>
            <w:webHidden/>
          </w:rPr>
          <w:tab/>
        </w:r>
        <w:r w:rsidR="00B60076">
          <w:rPr>
            <w:noProof/>
            <w:webHidden/>
          </w:rPr>
          <w:fldChar w:fldCharType="begin"/>
        </w:r>
        <w:r w:rsidR="00B60076">
          <w:rPr>
            <w:noProof/>
            <w:webHidden/>
          </w:rPr>
          <w:instrText xml:space="preserve"> PAGEREF _Toc11053581 \h </w:instrText>
        </w:r>
        <w:r w:rsidR="00B60076">
          <w:rPr>
            <w:noProof/>
            <w:webHidden/>
          </w:rPr>
        </w:r>
        <w:r w:rsidR="00B60076">
          <w:rPr>
            <w:noProof/>
            <w:webHidden/>
          </w:rPr>
          <w:fldChar w:fldCharType="separate"/>
        </w:r>
        <w:r w:rsidR="00B60076">
          <w:rPr>
            <w:noProof/>
            <w:webHidden/>
          </w:rPr>
          <w:t>12</w:t>
        </w:r>
        <w:r w:rsidR="00B60076">
          <w:rPr>
            <w:noProof/>
            <w:webHidden/>
          </w:rPr>
          <w:fldChar w:fldCharType="end"/>
        </w:r>
      </w:hyperlink>
    </w:p>
    <w:p w:rsidR="00B60076" w:rsidRDefault="00B06DA6">
      <w:pPr>
        <w:pStyle w:val="TOC1"/>
        <w:rPr>
          <w:rFonts w:asciiTheme="minorHAnsi" w:eastAsiaTheme="minorEastAsia" w:hAnsiTheme="minorHAnsi" w:cstheme="minorBidi"/>
          <w:noProof/>
          <w:sz w:val="22"/>
          <w:szCs w:val="22"/>
          <w:lang w:eastAsia="en-NZ"/>
        </w:rPr>
      </w:pPr>
      <w:hyperlink w:anchor="_Toc11053582" w:history="1">
        <w:r w:rsidR="00B60076" w:rsidRPr="00BF0A76">
          <w:rPr>
            <w:rStyle w:val="Hyperlink"/>
            <w:noProof/>
          </w:rPr>
          <w:t>8</w:t>
        </w:r>
        <w:r w:rsidR="00B60076">
          <w:rPr>
            <w:rFonts w:asciiTheme="minorHAnsi" w:eastAsiaTheme="minorEastAsia" w:hAnsiTheme="minorHAnsi" w:cstheme="minorBidi"/>
            <w:noProof/>
            <w:sz w:val="22"/>
            <w:szCs w:val="22"/>
            <w:lang w:eastAsia="en-NZ"/>
          </w:rPr>
          <w:tab/>
        </w:r>
        <w:r w:rsidR="00B60076" w:rsidRPr="00BF0A76">
          <w:rPr>
            <w:rStyle w:val="Hyperlink"/>
            <w:noProof/>
          </w:rPr>
          <w:t>Conclusions</w:t>
        </w:r>
        <w:r w:rsidR="00B60076">
          <w:rPr>
            <w:noProof/>
            <w:webHidden/>
          </w:rPr>
          <w:tab/>
        </w:r>
        <w:r w:rsidR="00B60076">
          <w:rPr>
            <w:noProof/>
            <w:webHidden/>
          </w:rPr>
          <w:fldChar w:fldCharType="begin"/>
        </w:r>
        <w:r w:rsidR="00B60076">
          <w:rPr>
            <w:noProof/>
            <w:webHidden/>
          </w:rPr>
          <w:instrText xml:space="preserve"> PAGEREF _Toc11053582 \h </w:instrText>
        </w:r>
        <w:r w:rsidR="00B60076">
          <w:rPr>
            <w:noProof/>
            <w:webHidden/>
          </w:rPr>
        </w:r>
        <w:r w:rsidR="00B60076">
          <w:rPr>
            <w:noProof/>
            <w:webHidden/>
          </w:rPr>
          <w:fldChar w:fldCharType="separate"/>
        </w:r>
        <w:r w:rsidR="00B60076">
          <w:rPr>
            <w:noProof/>
            <w:webHidden/>
          </w:rPr>
          <w:t>13</w:t>
        </w:r>
        <w:r w:rsidR="00B60076">
          <w:rPr>
            <w:noProof/>
            <w:webHidden/>
          </w:rPr>
          <w:fldChar w:fldCharType="end"/>
        </w:r>
      </w:hyperlink>
    </w:p>
    <w:p w:rsidR="00B60076" w:rsidRDefault="00B06DA6">
      <w:pPr>
        <w:pStyle w:val="TOC1"/>
        <w:rPr>
          <w:rFonts w:asciiTheme="minorHAnsi" w:eastAsiaTheme="minorEastAsia" w:hAnsiTheme="minorHAnsi" w:cstheme="minorBidi"/>
          <w:noProof/>
          <w:sz w:val="22"/>
          <w:szCs w:val="22"/>
          <w:lang w:eastAsia="en-NZ"/>
        </w:rPr>
      </w:pPr>
      <w:hyperlink w:anchor="_Toc11053583" w:history="1">
        <w:r w:rsidR="00B60076" w:rsidRPr="00BF0A76">
          <w:rPr>
            <w:rStyle w:val="Hyperlink"/>
            <w:noProof/>
          </w:rPr>
          <w:t>Appendix: Background to the controls</w:t>
        </w:r>
        <w:r w:rsidR="00B60076">
          <w:rPr>
            <w:noProof/>
            <w:webHidden/>
          </w:rPr>
          <w:tab/>
        </w:r>
        <w:r w:rsidR="00B60076">
          <w:rPr>
            <w:noProof/>
            <w:webHidden/>
          </w:rPr>
          <w:fldChar w:fldCharType="begin"/>
        </w:r>
        <w:r w:rsidR="00B60076">
          <w:rPr>
            <w:noProof/>
            <w:webHidden/>
          </w:rPr>
          <w:instrText xml:space="preserve"> PAGEREF _Toc11053583 \h </w:instrText>
        </w:r>
        <w:r w:rsidR="00B60076">
          <w:rPr>
            <w:noProof/>
            <w:webHidden/>
          </w:rPr>
        </w:r>
        <w:r w:rsidR="00B60076">
          <w:rPr>
            <w:noProof/>
            <w:webHidden/>
          </w:rPr>
          <w:fldChar w:fldCharType="separate"/>
        </w:r>
        <w:r w:rsidR="00B60076">
          <w:rPr>
            <w:noProof/>
            <w:webHidden/>
          </w:rPr>
          <w:t>14</w:t>
        </w:r>
        <w:r w:rsidR="00B60076">
          <w:rPr>
            <w:noProof/>
            <w:webHidden/>
          </w:rPr>
          <w:fldChar w:fldCharType="end"/>
        </w:r>
      </w:hyperlink>
    </w:p>
    <w:p w:rsidR="00C86248" w:rsidRDefault="00B60076">
      <w:r>
        <w:rPr>
          <w:rFonts w:ascii="Segoe UI Semibold" w:hAnsi="Segoe UI Semibold"/>
          <w:b/>
          <w:sz w:val="24"/>
        </w:rPr>
        <w:fldChar w:fldCharType="end"/>
      </w:r>
    </w:p>
    <w:p w:rsidR="002B76A7" w:rsidRDefault="002B76A7" w:rsidP="002B76A7">
      <w:pPr>
        <w:pStyle w:val="TOC1"/>
        <w:keepNext/>
      </w:pPr>
      <w:r>
        <w:t>List of Tables</w:t>
      </w:r>
    </w:p>
    <w:p w:rsidR="00B60076" w:rsidRDefault="00B60076">
      <w:pPr>
        <w:pStyle w:val="TOC3"/>
        <w:rPr>
          <w:rFonts w:asciiTheme="minorHAnsi" w:eastAsiaTheme="minorEastAsia" w:hAnsiTheme="minorHAnsi" w:cstheme="minorBidi"/>
          <w:noProof/>
          <w:sz w:val="22"/>
          <w:szCs w:val="22"/>
          <w:lang w:eastAsia="en-NZ"/>
        </w:rPr>
      </w:pPr>
      <w:r>
        <w:rPr>
          <w:sz w:val="20"/>
        </w:rPr>
        <w:fldChar w:fldCharType="begin"/>
      </w:r>
      <w:r>
        <w:rPr>
          <w:sz w:val="20"/>
        </w:rPr>
        <w:instrText xml:space="preserve"> TOC \h \z \t "Table,3" </w:instrText>
      </w:r>
      <w:r>
        <w:rPr>
          <w:sz w:val="20"/>
        </w:rPr>
        <w:fldChar w:fldCharType="separate"/>
      </w:r>
      <w:hyperlink w:anchor="_Toc11053584" w:history="1">
        <w:r w:rsidRPr="001850BE">
          <w:rPr>
            <w:rStyle w:val="Hyperlink"/>
            <w:noProof/>
          </w:rPr>
          <w:t>Table 1: Number of queries about the regulations received by the Ministry of Health, 2014–2019</w:t>
        </w:r>
        <w:r>
          <w:rPr>
            <w:noProof/>
            <w:webHidden/>
          </w:rPr>
          <w:tab/>
        </w:r>
        <w:r>
          <w:rPr>
            <w:noProof/>
            <w:webHidden/>
          </w:rPr>
          <w:fldChar w:fldCharType="begin"/>
        </w:r>
        <w:r>
          <w:rPr>
            <w:noProof/>
            <w:webHidden/>
          </w:rPr>
          <w:instrText xml:space="preserve"> PAGEREF _Toc11053584 \h </w:instrText>
        </w:r>
        <w:r>
          <w:rPr>
            <w:noProof/>
            <w:webHidden/>
          </w:rPr>
        </w:r>
        <w:r>
          <w:rPr>
            <w:noProof/>
            <w:webHidden/>
          </w:rPr>
          <w:fldChar w:fldCharType="separate"/>
        </w:r>
        <w:r>
          <w:rPr>
            <w:noProof/>
            <w:webHidden/>
          </w:rPr>
          <w:t>3</w:t>
        </w:r>
        <w:r>
          <w:rPr>
            <w:noProof/>
            <w:webHidden/>
          </w:rPr>
          <w:fldChar w:fldCharType="end"/>
        </w:r>
      </w:hyperlink>
    </w:p>
    <w:p w:rsidR="00B60076" w:rsidRDefault="00B06DA6">
      <w:pPr>
        <w:pStyle w:val="TOC3"/>
        <w:rPr>
          <w:rFonts w:asciiTheme="minorHAnsi" w:eastAsiaTheme="minorEastAsia" w:hAnsiTheme="minorHAnsi" w:cstheme="minorBidi"/>
          <w:noProof/>
          <w:sz w:val="22"/>
          <w:szCs w:val="22"/>
          <w:lang w:eastAsia="en-NZ"/>
        </w:rPr>
      </w:pPr>
      <w:hyperlink w:anchor="_Toc11053585" w:history="1">
        <w:r w:rsidR="00B60076" w:rsidRPr="001850BE">
          <w:rPr>
            <w:rStyle w:val="Hyperlink"/>
            <w:noProof/>
          </w:rPr>
          <w:t>Table 2: Number of high-power laser pointers seized by Customs, 2014–2019</w:t>
        </w:r>
        <w:r w:rsidR="00B60076">
          <w:rPr>
            <w:noProof/>
            <w:webHidden/>
          </w:rPr>
          <w:tab/>
        </w:r>
        <w:r w:rsidR="00B60076">
          <w:rPr>
            <w:noProof/>
            <w:webHidden/>
          </w:rPr>
          <w:fldChar w:fldCharType="begin"/>
        </w:r>
        <w:r w:rsidR="00B60076">
          <w:rPr>
            <w:noProof/>
            <w:webHidden/>
          </w:rPr>
          <w:instrText xml:space="preserve"> PAGEREF _Toc11053585 \h </w:instrText>
        </w:r>
        <w:r w:rsidR="00B60076">
          <w:rPr>
            <w:noProof/>
            <w:webHidden/>
          </w:rPr>
        </w:r>
        <w:r w:rsidR="00B60076">
          <w:rPr>
            <w:noProof/>
            <w:webHidden/>
          </w:rPr>
          <w:fldChar w:fldCharType="separate"/>
        </w:r>
        <w:r w:rsidR="00B60076">
          <w:rPr>
            <w:noProof/>
            <w:webHidden/>
          </w:rPr>
          <w:t>6</w:t>
        </w:r>
        <w:r w:rsidR="00B60076">
          <w:rPr>
            <w:noProof/>
            <w:webHidden/>
          </w:rPr>
          <w:fldChar w:fldCharType="end"/>
        </w:r>
      </w:hyperlink>
    </w:p>
    <w:p w:rsidR="002B76A7" w:rsidRDefault="00B60076" w:rsidP="003A5FEA">
      <w:r>
        <w:rPr>
          <w:sz w:val="20"/>
        </w:rPr>
        <w:fldChar w:fldCharType="end"/>
      </w:r>
    </w:p>
    <w:p w:rsidR="0033448B" w:rsidRDefault="0033448B" w:rsidP="0033448B">
      <w:pPr>
        <w:pStyle w:val="TOC1"/>
        <w:keepNext/>
      </w:pPr>
      <w:r>
        <w:t>List of Figures</w:t>
      </w:r>
    </w:p>
    <w:p w:rsidR="00B60076" w:rsidRDefault="00B60076">
      <w:pPr>
        <w:pStyle w:val="TOC3"/>
        <w:rPr>
          <w:rFonts w:asciiTheme="minorHAnsi" w:eastAsiaTheme="minorEastAsia" w:hAnsiTheme="minorHAnsi" w:cstheme="minorBidi"/>
          <w:noProof/>
          <w:sz w:val="22"/>
          <w:szCs w:val="22"/>
          <w:lang w:eastAsia="en-NZ"/>
        </w:rPr>
      </w:pPr>
      <w:r>
        <w:fldChar w:fldCharType="begin"/>
      </w:r>
      <w:r>
        <w:instrText xml:space="preserve"> TOC \h \z \t "Figure,3" </w:instrText>
      </w:r>
      <w:r>
        <w:fldChar w:fldCharType="separate"/>
      </w:r>
      <w:hyperlink w:anchor="_Toc11053586" w:history="1">
        <w:r w:rsidRPr="00AB141C">
          <w:rPr>
            <w:rStyle w:val="Hyperlink"/>
            <w:noProof/>
          </w:rPr>
          <w:t>Figure 1: Number of applications declined, not needed and granted, 2014–2019</w:t>
        </w:r>
        <w:r>
          <w:rPr>
            <w:noProof/>
            <w:webHidden/>
          </w:rPr>
          <w:tab/>
        </w:r>
        <w:r>
          <w:rPr>
            <w:noProof/>
            <w:webHidden/>
          </w:rPr>
          <w:fldChar w:fldCharType="begin"/>
        </w:r>
        <w:r>
          <w:rPr>
            <w:noProof/>
            <w:webHidden/>
          </w:rPr>
          <w:instrText xml:space="preserve"> PAGEREF _Toc11053586 \h </w:instrText>
        </w:r>
        <w:r>
          <w:rPr>
            <w:noProof/>
            <w:webHidden/>
          </w:rPr>
        </w:r>
        <w:r>
          <w:rPr>
            <w:noProof/>
            <w:webHidden/>
          </w:rPr>
          <w:fldChar w:fldCharType="separate"/>
        </w:r>
        <w:r>
          <w:rPr>
            <w:noProof/>
            <w:webHidden/>
          </w:rPr>
          <w:t>2</w:t>
        </w:r>
        <w:r>
          <w:rPr>
            <w:noProof/>
            <w:webHidden/>
          </w:rPr>
          <w:fldChar w:fldCharType="end"/>
        </w:r>
      </w:hyperlink>
    </w:p>
    <w:p w:rsidR="00B60076" w:rsidRDefault="00B06DA6">
      <w:pPr>
        <w:pStyle w:val="TOC3"/>
        <w:rPr>
          <w:rFonts w:asciiTheme="minorHAnsi" w:eastAsiaTheme="minorEastAsia" w:hAnsiTheme="minorHAnsi" w:cstheme="minorBidi"/>
          <w:noProof/>
          <w:sz w:val="22"/>
          <w:szCs w:val="22"/>
          <w:lang w:eastAsia="en-NZ"/>
        </w:rPr>
      </w:pPr>
      <w:hyperlink w:anchor="_Toc11053587" w:history="1">
        <w:r w:rsidR="00B60076" w:rsidRPr="00AB141C">
          <w:rPr>
            <w:rStyle w:val="Hyperlink"/>
            <w:noProof/>
          </w:rPr>
          <w:t>Figure 2: Number of page views of the Ministry of Health’s web pages on the regulations, by year</w:t>
        </w:r>
        <w:r w:rsidR="00B60076">
          <w:rPr>
            <w:noProof/>
            <w:webHidden/>
          </w:rPr>
          <w:tab/>
        </w:r>
        <w:r w:rsidR="00B60076">
          <w:rPr>
            <w:noProof/>
            <w:webHidden/>
          </w:rPr>
          <w:fldChar w:fldCharType="begin"/>
        </w:r>
        <w:r w:rsidR="00B60076">
          <w:rPr>
            <w:noProof/>
            <w:webHidden/>
          </w:rPr>
          <w:instrText xml:space="preserve"> PAGEREF _Toc11053587 \h </w:instrText>
        </w:r>
        <w:r w:rsidR="00B60076">
          <w:rPr>
            <w:noProof/>
            <w:webHidden/>
          </w:rPr>
        </w:r>
        <w:r w:rsidR="00B60076">
          <w:rPr>
            <w:noProof/>
            <w:webHidden/>
          </w:rPr>
          <w:fldChar w:fldCharType="separate"/>
        </w:r>
        <w:r w:rsidR="00B60076">
          <w:rPr>
            <w:noProof/>
            <w:webHidden/>
          </w:rPr>
          <w:t>3</w:t>
        </w:r>
        <w:r w:rsidR="00B60076">
          <w:rPr>
            <w:noProof/>
            <w:webHidden/>
          </w:rPr>
          <w:fldChar w:fldCharType="end"/>
        </w:r>
      </w:hyperlink>
    </w:p>
    <w:p w:rsidR="00B60076" w:rsidRDefault="00B06DA6">
      <w:pPr>
        <w:pStyle w:val="TOC3"/>
        <w:rPr>
          <w:rFonts w:asciiTheme="minorHAnsi" w:eastAsiaTheme="minorEastAsia" w:hAnsiTheme="minorHAnsi" w:cstheme="minorBidi"/>
          <w:noProof/>
          <w:sz w:val="22"/>
          <w:szCs w:val="22"/>
          <w:lang w:eastAsia="en-NZ"/>
        </w:rPr>
      </w:pPr>
      <w:hyperlink w:anchor="_Toc11053588" w:history="1">
        <w:r w:rsidR="00B60076" w:rsidRPr="00AB141C">
          <w:rPr>
            <w:rStyle w:val="Hyperlink"/>
            <w:noProof/>
          </w:rPr>
          <w:t>Figure 3: Number of listings for high-power laser pointers on auction websites, 2014–2019</w:t>
        </w:r>
        <w:r w:rsidR="00B60076">
          <w:rPr>
            <w:noProof/>
            <w:webHidden/>
          </w:rPr>
          <w:tab/>
        </w:r>
        <w:r w:rsidR="00B60076">
          <w:rPr>
            <w:noProof/>
            <w:webHidden/>
          </w:rPr>
          <w:fldChar w:fldCharType="begin"/>
        </w:r>
        <w:r w:rsidR="00B60076">
          <w:rPr>
            <w:noProof/>
            <w:webHidden/>
          </w:rPr>
          <w:instrText xml:space="preserve"> PAGEREF _Toc11053588 \h </w:instrText>
        </w:r>
        <w:r w:rsidR="00B60076">
          <w:rPr>
            <w:noProof/>
            <w:webHidden/>
          </w:rPr>
        </w:r>
        <w:r w:rsidR="00B60076">
          <w:rPr>
            <w:noProof/>
            <w:webHidden/>
          </w:rPr>
          <w:fldChar w:fldCharType="separate"/>
        </w:r>
        <w:r w:rsidR="00B60076">
          <w:rPr>
            <w:noProof/>
            <w:webHidden/>
          </w:rPr>
          <w:t>5</w:t>
        </w:r>
        <w:r w:rsidR="00B60076">
          <w:rPr>
            <w:noProof/>
            <w:webHidden/>
          </w:rPr>
          <w:fldChar w:fldCharType="end"/>
        </w:r>
      </w:hyperlink>
    </w:p>
    <w:p w:rsidR="00B60076" w:rsidRDefault="00B06DA6">
      <w:pPr>
        <w:pStyle w:val="TOC3"/>
        <w:rPr>
          <w:rFonts w:asciiTheme="minorHAnsi" w:eastAsiaTheme="minorEastAsia" w:hAnsiTheme="minorHAnsi" w:cstheme="minorBidi"/>
          <w:noProof/>
          <w:sz w:val="22"/>
          <w:szCs w:val="22"/>
          <w:lang w:eastAsia="en-NZ"/>
        </w:rPr>
      </w:pPr>
      <w:hyperlink w:anchor="_Toc11053589" w:history="1">
        <w:r w:rsidR="00B60076" w:rsidRPr="00AB141C">
          <w:rPr>
            <w:rStyle w:val="Hyperlink"/>
            <w:noProof/>
          </w:rPr>
          <w:t>Figure 4: Number of proceedings against offenders for possession of high-power laser pointers in a public place, 2015–2019</w:t>
        </w:r>
        <w:r w:rsidR="00B60076">
          <w:rPr>
            <w:noProof/>
            <w:webHidden/>
          </w:rPr>
          <w:tab/>
        </w:r>
        <w:r w:rsidR="00B60076">
          <w:rPr>
            <w:noProof/>
            <w:webHidden/>
          </w:rPr>
          <w:fldChar w:fldCharType="begin"/>
        </w:r>
        <w:r w:rsidR="00B60076">
          <w:rPr>
            <w:noProof/>
            <w:webHidden/>
          </w:rPr>
          <w:instrText xml:space="preserve"> PAGEREF _Toc11053589 \h </w:instrText>
        </w:r>
        <w:r w:rsidR="00B60076">
          <w:rPr>
            <w:noProof/>
            <w:webHidden/>
          </w:rPr>
        </w:r>
        <w:r w:rsidR="00B60076">
          <w:rPr>
            <w:noProof/>
            <w:webHidden/>
          </w:rPr>
          <w:fldChar w:fldCharType="separate"/>
        </w:r>
        <w:r w:rsidR="00B60076">
          <w:rPr>
            <w:noProof/>
            <w:webHidden/>
          </w:rPr>
          <w:t>7</w:t>
        </w:r>
        <w:r w:rsidR="00B60076">
          <w:rPr>
            <w:noProof/>
            <w:webHidden/>
          </w:rPr>
          <w:fldChar w:fldCharType="end"/>
        </w:r>
      </w:hyperlink>
    </w:p>
    <w:p w:rsidR="00B60076" w:rsidRDefault="00B06DA6">
      <w:pPr>
        <w:pStyle w:val="TOC3"/>
        <w:rPr>
          <w:rFonts w:asciiTheme="minorHAnsi" w:eastAsiaTheme="minorEastAsia" w:hAnsiTheme="minorHAnsi" w:cstheme="minorBidi"/>
          <w:noProof/>
          <w:sz w:val="22"/>
          <w:szCs w:val="22"/>
          <w:lang w:eastAsia="en-NZ"/>
        </w:rPr>
      </w:pPr>
      <w:hyperlink w:anchor="_Toc11053590" w:history="1">
        <w:r w:rsidR="00B60076" w:rsidRPr="00AB141C">
          <w:rPr>
            <w:rStyle w:val="Hyperlink"/>
            <w:noProof/>
          </w:rPr>
          <w:t>Figure 5: Number of reported laser strikes on aircraft, 2008–2018</w:t>
        </w:r>
        <w:r w:rsidR="00B60076">
          <w:rPr>
            <w:noProof/>
            <w:webHidden/>
          </w:rPr>
          <w:tab/>
        </w:r>
        <w:r w:rsidR="00B60076">
          <w:rPr>
            <w:noProof/>
            <w:webHidden/>
          </w:rPr>
          <w:fldChar w:fldCharType="begin"/>
        </w:r>
        <w:r w:rsidR="00B60076">
          <w:rPr>
            <w:noProof/>
            <w:webHidden/>
          </w:rPr>
          <w:instrText xml:space="preserve"> PAGEREF _Toc11053590 \h </w:instrText>
        </w:r>
        <w:r w:rsidR="00B60076">
          <w:rPr>
            <w:noProof/>
            <w:webHidden/>
          </w:rPr>
        </w:r>
        <w:r w:rsidR="00B60076">
          <w:rPr>
            <w:noProof/>
            <w:webHidden/>
          </w:rPr>
          <w:fldChar w:fldCharType="separate"/>
        </w:r>
        <w:r w:rsidR="00B60076">
          <w:rPr>
            <w:noProof/>
            <w:webHidden/>
          </w:rPr>
          <w:t>8</w:t>
        </w:r>
        <w:r w:rsidR="00B60076">
          <w:rPr>
            <w:noProof/>
            <w:webHidden/>
          </w:rPr>
          <w:fldChar w:fldCharType="end"/>
        </w:r>
      </w:hyperlink>
    </w:p>
    <w:p w:rsidR="00B60076" w:rsidRDefault="00B06DA6">
      <w:pPr>
        <w:pStyle w:val="TOC3"/>
        <w:rPr>
          <w:rFonts w:asciiTheme="minorHAnsi" w:eastAsiaTheme="minorEastAsia" w:hAnsiTheme="minorHAnsi" w:cstheme="minorBidi"/>
          <w:noProof/>
          <w:sz w:val="22"/>
          <w:szCs w:val="22"/>
          <w:lang w:eastAsia="en-NZ"/>
        </w:rPr>
      </w:pPr>
      <w:hyperlink w:anchor="_Toc11053591" w:history="1">
        <w:r w:rsidR="00B60076" w:rsidRPr="00AB141C">
          <w:rPr>
            <w:rStyle w:val="Hyperlink"/>
            <w:noProof/>
          </w:rPr>
          <w:t>Figure 6: Number of reported laser strikes on aircraft in the United States, 2004–2018</w:t>
        </w:r>
        <w:r w:rsidR="00B60076">
          <w:rPr>
            <w:noProof/>
            <w:webHidden/>
          </w:rPr>
          <w:tab/>
        </w:r>
        <w:r w:rsidR="00B60076">
          <w:rPr>
            <w:noProof/>
            <w:webHidden/>
          </w:rPr>
          <w:fldChar w:fldCharType="begin"/>
        </w:r>
        <w:r w:rsidR="00B60076">
          <w:rPr>
            <w:noProof/>
            <w:webHidden/>
          </w:rPr>
          <w:instrText xml:space="preserve"> PAGEREF _Toc11053591 \h </w:instrText>
        </w:r>
        <w:r w:rsidR="00B60076">
          <w:rPr>
            <w:noProof/>
            <w:webHidden/>
          </w:rPr>
        </w:r>
        <w:r w:rsidR="00B60076">
          <w:rPr>
            <w:noProof/>
            <w:webHidden/>
          </w:rPr>
          <w:fldChar w:fldCharType="separate"/>
        </w:r>
        <w:r w:rsidR="00B60076">
          <w:rPr>
            <w:noProof/>
            <w:webHidden/>
          </w:rPr>
          <w:t>11</w:t>
        </w:r>
        <w:r w:rsidR="00B60076">
          <w:rPr>
            <w:noProof/>
            <w:webHidden/>
          </w:rPr>
          <w:fldChar w:fldCharType="end"/>
        </w:r>
      </w:hyperlink>
    </w:p>
    <w:p w:rsidR="0033448B" w:rsidRPr="000A0158" w:rsidRDefault="00B60076" w:rsidP="0033448B">
      <w:r>
        <w:fldChar w:fldCharType="end"/>
      </w:r>
    </w:p>
    <w:p w:rsidR="0033448B" w:rsidRDefault="0033448B" w:rsidP="003A5FEA"/>
    <w:p w:rsidR="001D3E4E" w:rsidRDefault="001D3E4E" w:rsidP="003A5FEA">
      <w:pPr>
        <w:sectPr w:rsidR="001D3E4E" w:rsidSect="00925892">
          <w:headerReference w:type="even" r:id="rId18"/>
          <w:headerReference w:type="default" r:id="rId19"/>
          <w:footerReference w:type="even" r:id="rId20"/>
          <w:footerReference w:type="default" r:id="rId21"/>
          <w:pgSz w:w="11907" w:h="16840" w:code="9"/>
          <w:pgMar w:top="1418" w:right="1701" w:bottom="1134" w:left="1843" w:header="284" w:footer="425" w:gutter="284"/>
          <w:pgNumType w:fmt="lowerRoman"/>
          <w:cols w:space="720"/>
        </w:sectPr>
      </w:pPr>
    </w:p>
    <w:p w:rsidR="008C2973" w:rsidRDefault="002B7BEC" w:rsidP="000366B3">
      <w:pPr>
        <w:pStyle w:val="Heading1"/>
      </w:pPr>
      <w:bookmarkStart w:id="2" w:name="_Toc11053563"/>
      <w:r>
        <w:lastRenderedPageBreak/>
        <w:t>Introduction</w:t>
      </w:r>
      <w:bookmarkEnd w:id="2"/>
    </w:p>
    <w:p w:rsidR="00E95761" w:rsidRDefault="003749EB" w:rsidP="00E95761">
      <w:r>
        <w:t>This report discusses the Ministry of Health</w:t>
      </w:r>
      <w:r w:rsidR="00E95761">
        <w:t>’</w:t>
      </w:r>
      <w:r>
        <w:t>s implementation of regulatory controls on high-power laser pointers (HPLPs) over the fifth year since those controls came into force on 1 March 2014. The Government introduced these controls to manage the risks arising from the ready availability, at low cost, of powerful hand-held, battery-operated laser pointers, by limiting the supply.</w:t>
      </w:r>
    </w:p>
    <w:p w:rsidR="00597251" w:rsidRDefault="00597251" w:rsidP="00E95761"/>
    <w:p w:rsidR="00E95761" w:rsidRDefault="003749EB" w:rsidP="003749EB">
      <w:r>
        <w:t>Immediately after the controls were introduced, the availability of these devices on New Zealand-based auction websites and in shops dropped significantly, but advertising on auction sites has slowly increased since that time. Reported incidents of HPLPs being shone at</w:t>
      </w:r>
      <w:r w:rsidRPr="00A335A1">
        <w:t xml:space="preserve"> </w:t>
      </w:r>
      <w:r>
        <w:t>aircraft initially showed a small decrease, and then a gradual increase.</w:t>
      </w:r>
    </w:p>
    <w:p w:rsidR="00597251" w:rsidRDefault="00597251" w:rsidP="003749EB"/>
    <w:p w:rsidR="00E95761" w:rsidRDefault="003749EB" w:rsidP="003749EB">
      <w:r>
        <w:t>Implementation of the controls has not created a large burden for officials. In the past year, the number of applications for authorisations under the controls decreased to 24, of which 19 were granted. The Ministry updates information about the regulations on its website when necessary, to provide further clarity on frequently asked questions.</w:t>
      </w:r>
    </w:p>
    <w:p w:rsidR="00E95761" w:rsidRDefault="003749EB" w:rsidP="003749EB">
      <w:r>
        <w:t>Surveillance work planned for the coming year will again focus on online sales, alongside limited retailer visits.</w:t>
      </w:r>
    </w:p>
    <w:p w:rsidR="00597251" w:rsidRDefault="00597251" w:rsidP="003749EB"/>
    <w:p w:rsidR="00E95761" w:rsidRDefault="003749EB" w:rsidP="003749EB">
      <w:pPr>
        <w:rPr>
          <w:rFonts w:cs="Segoe UI"/>
          <w:color w:val="000000" w:themeColor="text1"/>
          <w:lang w:eastAsia="en-NZ"/>
        </w:rPr>
      </w:pPr>
      <w:r>
        <w:rPr>
          <w:rFonts w:cs="Segoe UI"/>
          <w:color w:val="000000" w:themeColor="text1"/>
          <w:lang w:eastAsia="en-NZ"/>
        </w:rPr>
        <w:t xml:space="preserve">While the increase in reported laser strikes on aircraft is disappointing, it is not inconsistent with some trends overseas. </w:t>
      </w:r>
      <w:r>
        <w:t xml:space="preserve">The </w:t>
      </w:r>
      <w:r w:rsidRPr="00802EF4">
        <w:t xml:space="preserve">High-Power Laser Pointer Offences and Penalties Bill </w:t>
      </w:r>
      <w:r>
        <w:t>proposes amendments to</w:t>
      </w:r>
      <w:r w:rsidRPr="00802EF4">
        <w:t xml:space="preserve"> existing offence provisions </w:t>
      </w:r>
      <w:r>
        <w:t xml:space="preserve">in various Acts, </w:t>
      </w:r>
      <w:r w:rsidRPr="00802EF4">
        <w:t xml:space="preserve">and </w:t>
      </w:r>
      <w:r>
        <w:t xml:space="preserve">an </w:t>
      </w:r>
      <w:r w:rsidRPr="00802EF4">
        <w:t xml:space="preserve">increase </w:t>
      </w:r>
      <w:r>
        <w:t xml:space="preserve">in </w:t>
      </w:r>
      <w:r w:rsidRPr="00802EF4">
        <w:t xml:space="preserve">penalties for the use and possession of </w:t>
      </w:r>
      <w:r>
        <w:t xml:space="preserve">HPLPs. The increase in available penalties is consistent with regulatory controls in some other countries. The Ministry </w:t>
      </w:r>
      <w:r>
        <w:rPr>
          <w:rFonts w:cs="Segoe UI"/>
          <w:color w:val="000000" w:themeColor="text1"/>
          <w:lang w:eastAsia="en-NZ"/>
        </w:rPr>
        <w:t>will meet with other agencies to consider these proposed amendments and what additional actions, if any, might be taken in response to the increase in reported laser strikes.</w:t>
      </w:r>
    </w:p>
    <w:p w:rsidR="00597251" w:rsidRDefault="00597251" w:rsidP="003749EB"/>
    <w:p w:rsidR="003749EB" w:rsidRDefault="003749EB" w:rsidP="003749EB">
      <w:r>
        <w:t>This document reports on the Ministry of Health</w:t>
      </w:r>
      <w:r w:rsidR="00E95761">
        <w:t>’</w:t>
      </w:r>
      <w:r>
        <w:t>s activity in terms of regulation of HPLPs in the most recent implementation year. It looks at numbers of authorisations and the extent of public interest in the regulations for this period, then goes on to report on surveillance and compliance activity, on the part of the Ministry itself and then on the part of the New Zealand Customs Service and the New Zealand Police respectively. It discusses the High-Power Laser Pointer Offences and Penalties Bill, and then looks at recent overseas activity in the area of regulation of HPLPs. The Appendix to this report provides a full description of the legislative background.</w:t>
      </w:r>
    </w:p>
    <w:p w:rsidR="00597251" w:rsidRPr="00F5030F" w:rsidRDefault="00597251" w:rsidP="003749EB"/>
    <w:p w:rsidR="003749EB" w:rsidRPr="00F5030F" w:rsidRDefault="003749EB" w:rsidP="00597251">
      <w:pPr>
        <w:pStyle w:val="Heading1"/>
      </w:pPr>
      <w:bookmarkStart w:id="3" w:name="_Toc9435880"/>
      <w:bookmarkStart w:id="4" w:name="_Toc11053564"/>
      <w:r w:rsidRPr="00F5030F">
        <w:lastRenderedPageBreak/>
        <w:t>Authorisations</w:t>
      </w:r>
      <w:bookmarkEnd w:id="3"/>
      <w:bookmarkEnd w:id="4"/>
    </w:p>
    <w:p w:rsidR="003749EB" w:rsidRPr="00F5030F" w:rsidRDefault="003749EB" w:rsidP="00597251">
      <w:pPr>
        <w:pStyle w:val="Heading2"/>
      </w:pPr>
      <w:bookmarkStart w:id="5" w:name="_Toc9435881"/>
      <w:bookmarkStart w:id="6" w:name="_Toc11053565"/>
      <w:r w:rsidRPr="00F5030F">
        <w:t>Applications</w:t>
      </w:r>
      <w:bookmarkEnd w:id="5"/>
      <w:bookmarkEnd w:id="6"/>
    </w:p>
    <w:p w:rsidR="00E95761" w:rsidRDefault="003749EB" w:rsidP="00E810F8">
      <w:r>
        <w:t>Figure 1 below summarises the outcomes of all applications</w:t>
      </w:r>
      <w:r w:rsidRPr="00F5030F">
        <w:t xml:space="preserve"> for authorisation to import, supply or acquire HPLPs (or any combination of those activities)</w:t>
      </w:r>
      <w:r>
        <w:t xml:space="preserve"> since the regulations came into force.</w:t>
      </w:r>
    </w:p>
    <w:p w:rsidR="00E810F8" w:rsidRDefault="00E810F8" w:rsidP="00E810F8"/>
    <w:p w:rsidR="00E95761" w:rsidRDefault="003749EB" w:rsidP="003749EB">
      <w:r>
        <w:t>Most applications in 2018/19 were for importing, by users who already belonged to a pre-approved class of applicant. The main reason for declining applications was insufficient information on the proposed use.</w:t>
      </w:r>
    </w:p>
    <w:p w:rsidR="00E810F8" w:rsidRDefault="00E810F8" w:rsidP="003749EB"/>
    <w:p w:rsidR="00E95761" w:rsidRDefault="003749EB" w:rsidP="003749EB">
      <w:r>
        <w:t xml:space="preserve">In general, the </w:t>
      </w:r>
      <w:r w:rsidRPr="00572708">
        <w:t xml:space="preserve">Ministry </w:t>
      </w:r>
      <w:r>
        <w:t xml:space="preserve">continues to </w:t>
      </w:r>
      <w:r w:rsidRPr="00572708">
        <w:t>encounter few problems in its processing of applications</w:t>
      </w:r>
      <w:r>
        <w:t>. It requests external technical advice if there is doubt over the use proposed for the HPLP, or a particular device</w:t>
      </w:r>
      <w:r w:rsidR="00E95761">
        <w:t>’</w:t>
      </w:r>
      <w:r>
        <w:t>s output power. Where the Ministry has imposed c</w:t>
      </w:r>
      <w:r w:rsidRPr="00AC06D6">
        <w:t>onditions</w:t>
      </w:r>
      <w:r>
        <w:t xml:space="preserve"> on an authorisation, these </w:t>
      </w:r>
      <w:r w:rsidRPr="00AC06D6">
        <w:t xml:space="preserve">have generally been </w:t>
      </w:r>
      <w:r>
        <w:t xml:space="preserve">for the purpose of </w:t>
      </w:r>
      <w:r w:rsidRPr="00AC06D6">
        <w:t>limit</w:t>
      </w:r>
      <w:r>
        <w:t>ing</w:t>
      </w:r>
      <w:r w:rsidRPr="00AC06D6">
        <w:t xml:space="preserve"> the import/supply/acquisition to the types and quantities of HPLPs described in the application, and for the uses described. The </w:t>
      </w:r>
      <w:r>
        <w:t>Ministry</w:t>
      </w:r>
      <w:r w:rsidR="00E95761">
        <w:t>’</w:t>
      </w:r>
      <w:r>
        <w:t xml:space="preserve">s </w:t>
      </w:r>
      <w:r w:rsidRPr="00AC06D6">
        <w:t>authorisation letters highlight the importance of safe storage of HPLP</w:t>
      </w:r>
      <w:r>
        <w:t>s,</w:t>
      </w:r>
      <w:r w:rsidRPr="00AC06D6">
        <w:t xml:space="preserve"> and the obligations </w:t>
      </w:r>
      <w:r>
        <w:t xml:space="preserve">specified within </w:t>
      </w:r>
      <w:r w:rsidRPr="00AC06D6">
        <w:t>the Health and Safety at Work Act 2015.</w:t>
      </w:r>
    </w:p>
    <w:p w:rsidR="00E810F8" w:rsidRDefault="00E810F8" w:rsidP="003749EB"/>
    <w:p w:rsidR="003749EB" w:rsidRPr="00F2039A" w:rsidRDefault="003749EB" w:rsidP="00E810F8">
      <w:pPr>
        <w:pStyle w:val="Figure"/>
        <w:rPr>
          <w:b w:val="0"/>
        </w:rPr>
      </w:pPr>
      <w:bookmarkStart w:id="7" w:name="_Toc11053586"/>
      <w:r w:rsidRPr="00F2039A">
        <w:t>Fig</w:t>
      </w:r>
      <w:r>
        <w:t>ure</w:t>
      </w:r>
      <w:r w:rsidRPr="00F2039A">
        <w:t xml:space="preserve"> 1</w:t>
      </w:r>
      <w:r>
        <w:t>:</w:t>
      </w:r>
      <w:r w:rsidRPr="00F2039A">
        <w:t xml:space="preserve"> Number of applications declined, not needed and </w:t>
      </w:r>
      <w:r>
        <w:t>granted, 2014–2019</w:t>
      </w:r>
      <w:bookmarkEnd w:id="7"/>
    </w:p>
    <w:p w:rsidR="00E810F8" w:rsidRDefault="00E810F8" w:rsidP="003749EB">
      <w:r>
        <w:rPr>
          <w:noProof/>
          <w:lang w:eastAsia="en-NZ"/>
        </w:rPr>
        <w:drawing>
          <wp:inline distT="0" distB="0" distL="0" distR="0" wp14:anchorId="7B7E2E31" wp14:editId="32BEFCC5">
            <wp:extent cx="5130165" cy="2992596"/>
            <wp:effectExtent l="0" t="0" r="0" b="0"/>
            <wp:docPr id="1" name="Chart 1" title="Figure 1: Number of applications declined, not needed and granted, 2014–20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E95761" w:rsidRDefault="003749EB" w:rsidP="00E810F8">
      <w:pPr>
        <w:pStyle w:val="Note"/>
        <w:ind w:left="284" w:hanging="284"/>
      </w:pPr>
      <w:r>
        <w:t>*</w:t>
      </w:r>
      <w:r w:rsidR="00E810F8">
        <w:tab/>
      </w:r>
      <w:r>
        <w:t>The figures presented in the first-year implementation report may differ slightly, due to small changes in classification of outcomes.</w:t>
      </w:r>
    </w:p>
    <w:p w:rsidR="00E810F8" w:rsidRPr="00E810F8" w:rsidRDefault="00E810F8" w:rsidP="00E810F8"/>
    <w:p w:rsidR="003749EB" w:rsidRPr="00F5030F" w:rsidRDefault="003749EB" w:rsidP="00E810F8">
      <w:pPr>
        <w:pStyle w:val="Heading2"/>
      </w:pPr>
      <w:bookmarkStart w:id="8" w:name="_Toc9435882"/>
      <w:bookmarkStart w:id="9" w:name="_Toc11053566"/>
      <w:r w:rsidRPr="00F5030F">
        <w:lastRenderedPageBreak/>
        <w:t>Public information</w:t>
      </w:r>
      <w:bookmarkEnd w:id="8"/>
      <w:bookmarkEnd w:id="9"/>
    </w:p>
    <w:p w:rsidR="00E95761" w:rsidRDefault="003749EB" w:rsidP="00E810F8">
      <w:r>
        <w:t xml:space="preserve">Since the regulations came into force, the Ministry has maintained a webpage providing an </w:t>
      </w:r>
      <w:r w:rsidRPr="00F5030F">
        <w:t xml:space="preserve">overview of the </w:t>
      </w:r>
      <w:r>
        <w:t>r</w:t>
      </w:r>
      <w:r w:rsidRPr="00F5030F">
        <w:t xml:space="preserve">egulations, and </w:t>
      </w:r>
      <w:r>
        <w:t xml:space="preserve">a </w:t>
      </w:r>
      <w:r w:rsidR="00E95761">
        <w:t>‘</w:t>
      </w:r>
      <w:r w:rsidRPr="00F5030F">
        <w:t>Questions and Answers</w:t>
      </w:r>
      <w:r w:rsidR="00E95761">
        <w:t>’</w:t>
      </w:r>
      <w:r>
        <w:t xml:space="preserve"> section.</w:t>
      </w:r>
      <w:r w:rsidRPr="00E810F8">
        <w:rPr>
          <w:rStyle w:val="FootnoteReference"/>
        </w:rPr>
        <w:footnoteReference w:id="1"/>
      </w:r>
      <w:r>
        <w:t xml:space="preserve"> Figure 2 presents numbers of page views on those two pages</w:t>
      </w:r>
      <w:r w:rsidRPr="00F5030F">
        <w:t>, not counting repeat visits by the same user.</w:t>
      </w:r>
    </w:p>
    <w:p w:rsidR="00E810F8" w:rsidRDefault="00E810F8" w:rsidP="00E810F8"/>
    <w:p w:rsidR="003749EB" w:rsidRPr="005A5A60" w:rsidRDefault="003749EB" w:rsidP="00E810F8">
      <w:pPr>
        <w:pStyle w:val="Figure"/>
      </w:pPr>
      <w:bookmarkStart w:id="10" w:name="_Toc11053587"/>
      <w:r w:rsidRPr="005A5A60">
        <w:t xml:space="preserve">Figure 2: </w:t>
      </w:r>
      <w:r>
        <w:t>Number of p</w:t>
      </w:r>
      <w:r w:rsidRPr="005A5A60">
        <w:t>age views of the Ministry</w:t>
      </w:r>
      <w:r>
        <w:t xml:space="preserve"> of Health</w:t>
      </w:r>
      <w:r w:rsidR="00E95761">
        <w:t>’</w:t>
      </w:r>
      <w:r w:rsidRPr="005A5A60">
        <w:t>s web</w:t>
      </w:r>
      <w:r w:rsidR="00E810F8">
        <w:t xml:space="preserve"> </w:t>
      </w:r>
      <w:r w:rsidRPr="005A5A60">
        <w:t>page</w:t>
      </w:r>
      <w:r>
        <w:t>s</w:t>
      </w:r>
      <w:r w:rsidRPr="005A5A60">
        <w:t xml:space="preserve"> on </w:t>
      </w:r>
      <w:r>
        <w:t>the regulations</w:t>
      </w:r>
      <w:r w:rsidRPr="005A5A60">
        <w:t>, by year</w:t>
      </w:r>
      <w:bookmarkEnd w:id="10"/>
    </w:p>
    <w:p w:rsidR="00E810F8" w:rsidRDefault="00E810F8" w:rsidP="00E810F8">
      <w:r w:rsidRPr="00F5030F">
        <w:rPr>
          <w:noProof/>
          <w:sz w:val="20"/>
          <w:lang w:eastAsia="en-NZ"/>
        </w:rPr>
        <w:drawing>
          <wp:inline distT="0" distB="0" distL="0" distR="0" wp14:anchorId="63F3EBDA" wp14:editId="1FAC05AE">
            <wp:extent cx="5130165" cy="2849149"/>
            <wp:effectExtent l="0" t="0" r="0" b="8890"/>
            <wp:docPr id="20" name="Chart 20" title="Figure 2: Number of page views of the Ministry of Health’s web pages on the regulations, by yea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E810F8" w:rsidRDefault="00E810F8" w:rsidP="00E810F8"/>
    <w:p w:rsidR="003749EB" w:rsidRDefault="003749EB" w:rsidP="003749EB">
      <w:r>
        <w:t>Table 1 summarises queries about the regulations the Ministry has received by phone or email since the regulations were introduced.</w:t>
      </w:r>
    </w:p>
    <w:p w:rsidR="00C6546B" w:rsidRDefault="00C6546B" w:rsidP="003749EB"/>
    <w:p w:rsidR="003749EB" w:rsidRDefault="003749EB" w:rsidP="00C6546B">
      <w:pPr>
        <w:pStyle w:val="Table"/>
      </w:pPr>
      <w:bookmarkStart w:id="11" w:name="_Toc11053584"/>
      <w:r w:rsidRPr="000459D9">
        <w:t>Table 1: Number of queries about the regulations received by the Ministry of Health, 2014–2019</w:t>
      </w:r>
      <w:bookmarkEnd w:id="11"/>
    </w:p>
    <w:tbl>
      <w:tblPr>
        <w:tblStyle w:val="TableGrid"/>
        <w:tblW w:w="8080"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1701"/>
        <w:gridCol w:w="1275"/>
        <w:gridCol w:w="1276"/>
        <w:gridCol w:w="1276"/>
        <w:gridCol w:w="1276"/>
        <w:gridCol w:w="1276"/>
      </w:tblGrid>
      <w:tr w:rsidR="00C6546B" w:rsidRPr="00C6546B" w:rsidTr="00C6546B">
        <w:trPr>
          <w:cantSplit/>
        </w:trPr>
        <w:tc>
          <w:tcPr>
            <w:tcW w:w="1701" w:type="dxa"/>
            <w:tcBorders>
              <w:top w:val="nil"/>
              <w:bottom w:val="nil"/>
            </w:tcBorders>
            <w:shd w:val="clear" w:color="auto" w:fill="D9D9D9" w:themeFill="background1" w:themeFillShade="D9"/>
          </w:tcPr>
          <w:p w:rsidR="00C6546B" w:rsidRPr="00C6546B" w:rsidRDefault="00C6546B" w:rsidP="00C6546B">
            <w:pPr>
              <w:pStyle w:val="TableText"/>
              <w:rPr>
                <w:rFonts w:asciiTheme="minorHAnsi" w:hAnsiTheme="minorHAnsi"/>
                <w:b/>
                <w:sz w:val="22"/>
              </w:rPr>
            </w:pPr>
            <w:r w:rsidRPr="00C6546B">
              <w:rPr>
                <w:b/>
              </w:rPr>
              <w:t>Year</w:t>
            </w:r>
          </w:p>
        </w:tc>
        <w:tc>
          <w:tcPr>
            <w:tcW w:w="1275" w:type="dxa"/>
            <w:tcBorders>
              <w:top w:val="nil"/>
              <w:bottom w:val="nil"/>
            </w:tcBorders>
            <w:shd w:val="clear" w:color="auto" w:fill="D9D9D9" w:themeFill="background1" w:themeFillShade="D9"/>
          </w:tcPr>
          <w:p w:rsidR="00C6546B" w:rsidRPr="00C6546B" w:rsidRDefault="00C6546B" w:rsidP="00C6546B">
            <w:pPr>
              <w:pStyle w:val="TableText"/>
              <w:jc w:val="center"/>
              <w:rPr>
                <w:rFonts w:asciiTheme="minorHAnsi" w:hAnsiTheme="minorHAnsi"/>
                <w:b/>
                <w:sz w:val="22"/>
              </w:rPr>
            </w:pPr>
            <w:r w:rsidRPr="00C6546B">
              <w:rPr>
                <w:b/>
              </w:rPr>
              <w:t>2014/15</w:t>
            </w:r>
          </w:p>
        </w:tc>
        <w:tc>
          <w:tcPr>
            <w:tcW w:w="1276" w:type="dxa"/>
            <w:tcBorders>
              <w:top w:val="nil"/>
              <w:bottom w:val="nil"/>
            </w:tcBorders>
            <w:shd w:val="clear" w:color="auto" w:fill="D9D9D9" w:themeFill="background1" w:themeFillShade="D9"/>
          </w:tcPr>
          <w:p w:rsidR="00C6546B" w:rsidRPr="00C6546B" w:rsidRDefault="00C6546B" w:rsidP="00C6546B">
            <w:pPr>
              <w:pStyle w:val="TableText"/>
              <w:jc w:val="center"/>
              <w:rPr>
                <w:rFonts w:asciiTheme="minorHAnsi" w:hAnsiTheme="minorHAnsi"/>
                <w:b/>
                <w:sz w:val="22"/>
              </w:rPr>
            </w:pPr>
            <w:r w:rsidRPr="00C6546B">
              <w:rPr>
                <w:b/>
              </w:rPr>
              <w:t>2015/16</w:t>
            </w:r>
          </w:p>
        </w:tc>
        <w:tc>
          <w:tcPr>
            <w:tcW w:w="1276" w:type="dxa"/>
            <w:tcBorders>
              <w:top w:val="nil"/>
              <w:bottom w:val="nil"/>
            </w:tcBorders>
            <w:shd w:val="clear" w:color="auto" w:fill="D9D9D9" w:themeFill="background1" w:themeFillShade="D9"/>
          </w:tcPr>
          <w:p w:rsidR="00C6546B" w:rsidRPr="00C6546B" w:rsidRDefault="00C6546B" w:rsidP="00C6546B">
            <w:pPr>
              <w:pStyle w:val="TableText"/>
              <w:jc w:val="center"/>
              <w:rPr>
                <w:rFonts w:asciiTheme="minorHAnsi" w:hAnsiTheme="minorHAnsi"/>
                <w:b/>
                <w:sz w:val="22"/>
              </w:rPr>
            </w:pPr>
            <w:r w:rsidRPr="00C6546B">
              <w:rPr>
                <w:b/>
              </w:rPr>
              <w:t>2016/17</w:t>
            </w:r>
          </w:p>
        </w:tc>
        <w:tc>
          <w:tcPr>
            <w:tcW w:w="1276" w:type="dxa"/>
            <w:tcBorders>
              <w:top w:val="nil"/>
              <w:bottom w:val="nil"/>
            </w:tcBorders>
            <w:shd w:val="clear" w:color="auto" w:fill="D9D9D9" w:themeFill="background1" w:themeFillShade="D9"/>
          </w:tcPr>
          <w:p w:rsidR="00C6546B" w:rsidRPr="00C6546B" w:rsidRDefault="00C6546B" w:rsidP="00C6546B">
            <w:pPr>
              <w:pStyle w:val="TableText"/>
              <w:jc w:val="center"/>
              <w:rPr>
                <w:rFonts w:asciiTheme="minorHAnsi" w:hAnsiTheme="minorHAnsi"/>
                <w:b/>
                <w:sz w:val="22"/>
              </w:rPr>
            </w:pPr>
            <w:r w:rsidRPr="00C6546B">
              <w:rPr>
                <w:b/>
              </w:rPr>
              <w:t>2017/18</w:t>
            </w:r>
          </w:p>
        </w:tc>
        <w:tc>
          <w:tcPr>
            <w:tcW w:w="1276" w:type="dxa"/>
            <w:tcBorders>
              <w:top w:val="nil"/>
              <w:bottom w:val="nil"/>
            </w:tcBorders>
            <w:shd w:val="clear" w:color="auto" w:fill="D9D9D9" w:themeFill="background1" w:themeFillShade="D9"/>
          </w:tcPr>
          <w:p w:rsidR="00C6546B" w:rsidRPr="00C6546B" w:rsidRDefault="00C6546B" w:rsidP="00C6546B">
            <w:pPr>
              <w:pStyle w:val="TableText"/>
              <w:jc w:val="center"/>
              <w:rPr>
                <w:rFonts w:asciiTheme="minorHAnsi" w:hAnsiTheme="minorHAnsi"/>
                <w:b/>
                <w:sz w:val="22"/>
              </w:rPr>
            </w:pPr>
            <w:r w:rsidRPr="00C6546B">
              <w:rPr>
                <w:b/>
              </w:rPr>
              <w:t>2018/19</w:t>
            </w:r>
          </w:p>
        </w:tc>
      </w:tr>
      <w:tr w:rsidR="00C6546B" w:rsidRPr="00F2039A" w:rsidTr="00C6546B">
        <w:trPr>
          <w:cantSplit/>
        </w:trPr>
        <w:tc>
          <w:tcPr>
            <w:tcW w:w="1701" w:type="dxa"/>
            <w:tcBorders>
              <w:top w:val="nil"/>
            </w:tcBorders>
          </w:tcPr>
          <w:p w:rsidR="00C6546B" w:rsidRPr="006C4B3D" w:rsidRDefault="00C6546B" w:rsidP="00C6546B">
            <w:pPr>
              <w:pStyle w:val="TableText"/>
            </w:pPr>
            <w:r w:rsidRPr="006C4B3D">
              <w:t>N</w:t>
            </w:r>
            <w:r>
              <w:t>umber</w:t>
            </w:r>
            <w:r w:rsidRPr="006C4B3D">
              <w:t xml:space="preserve"> of queries</w:t>
            </w:r>
          </w:p>
        </w:tc>
        <w:tc>
          <w:tcPr>
            <w:tcW w:w="1275" w:type="dxa"/>
            <w:tcBorders>
              <w:top w:val="nil"/>
            </w:tcBorders>
          </w:tcPr>
          <w:p w:rsidR="00C6546B" w:rsidRPr="006C4B3D" w:rsidRDefault="00C6546B" w:rsidP="00C6546B">
            <w:pPr>
              <w:pStyle w:val="TableText"/>
              <w:jc w:val="center"/>
            </w:pPr>
            <w:r>
              <w:t>35</w:t>
            </w:r>
          </w:p>
        </w:tc>
        <w:tc>
          <w:tcPr>
            <w:tcW w:w="1276" w:type="dxa"/>
            <w:tcBorders>
              <w:top w:val="nil"/>
            </w:tcBorders>
          </w:tcPr>
          <w:p w:rsidR="00C6546B" w:rsidRPr="006C4B3D" w:rsidRDefault="00C6546B" w:rsidP="00C6546B">
            <w:pPr>
              <w:pStyle w:val="TableText"/>
              <w:jc w:val="center"/>
            </w:pPr>
            <w:r>
              <w:t>51</w:t>
            </w:r>
          </w:p>
        </w:tc>
        <w:tc>
          <w:tcPr>
            <w:tcW w:w="1276" w:type="dxa"/>
            <w:tcBorders>
              <w:top w:val="nil"/>
            </w:tcBorders>
          </w:tcPr>
          <w:p w:rsidR="00C6546B" w:rsidRPr="006C4B3D" w:rsidRDefault="00C6546B" w:rsidP="00C6546B">
            <w:pPr>
              <w:pStyle w:val="TableText"/>
              <w:jc w:val="center"/>
            </w:pPr>
            <w:r>
              <w:t>28</w:t>
            </w:r>
          </w:p>
        </w:tc>
        <w:tc>
          <w:tcPr>
            <w:tcW w:w="1276" w:type="dxa"/>
            <w:tcBorders>
              <w:top w:val="nil"/>
            </w:tcBorders>
          </w:tcPr>
          <w:p w:rsidR="00C6546B" w:rsidRPr="006C4B3D" w:rsidRDefault="00C6546B" w:rsidP="00C6546B">
            <w:pPr>
              <w:pStyle w:val="TableText"/>
              <w:jc w:val="center"/>
            </w:pPr>
            <w:r>
              <w:t>17</w:t>
            </w:r>
          </w:p>
        </w:tc>
        <w:tc>
          <w:tcPr>
            <w:tcW w:w="1276" w:type="dxa"/>
            <w:tcBorders>
              <w:top w:val="nil"/>
            </w:tcBorders>
          </w:tcPr>
          <w:p w:rsidR="00C6546B" w:rsidRPr="00F2039A" w:rsidRDefault="00C6546B" w:rsidP="00C6546B">
            <w:pPr>
              <w:pStyle w:val="TableText"/>
              <w:jc w:val="center"/>
            </w:pPr>
            <w:r>
              <w:t>17</w:t>
            </w:r>
          </w:p>
        </w:tc>
      </w:tr>
    </w:tbl>
    <w:p w:rsidR="00C6546B" w:rsidRPr="000459D9" w:rsidRDefault="00C6546B" w:rsidP="00C6546B"/>
    <w:p w:rsidR="003749EB" w:rsidRDefault="003749EB" w:rsidP="003749EB">
      <w:pPr>
        <w:pStyle w:val="Heading1"/>
      </w:pPr>
      <w:bookmarkStart w:id="12" w:name="_Toc9435883"/>
      <w:bookmarkStart w:id="13" w:name="_Toc11053567"/>
      <w:r w:rsidRPr="00F5030F">
        <w:lastRenderedPageBreak/>
        <w:t>Surveillance</w:t>
      </w:r>
      <w:r>
        <w:t xml:space="preserve"> and compliance</w:t>
      </w:r>
      <w:bookmarkEnd w:id="12"/>
      <w:bookmarkEnd w:id="13"/>
    </w:p>
    <w:p w:rsidR="003749EB" w:rsidRDefault="003749EB" w:rsidP="000366B3">
      <w:r>
        <w:t>During this annual implementation period, the Ministry</w:t>
      </w:r>
      <w:r w:rsidR="00E95761">
        <w:t>’</w:t>
      </w:r>
      <w:r>
        <w:t>s surveillance and compliance activities have concentrated on online sales, rather than shop visits.</w:t>
      </w:r>
    </w:p>
    <w:p w:rsidR="000366B3" w:rsidRPr="00A47524" w:rsidRDefault="000366B3" w:rsidP="000366B3"/>
    <w:p w:rsidR="003749EB" w:rsidRPr="00F5030F" w:rsidRDefault="003749EB" w:rsidP="003749EB">
      <w:pPr>
        <w:pStyle w:val="Heading2"/>
      </w:pPr>
      <w:bookmarkStart w:id="14" w:name="_Toc9435884"/>
      <w:bookmarkStart w:id="15" w:name="_Toc11053568"/>
      <w:r w:rsidRPr="00F5030F">
        <w:t>Retailer visits</w:t>
      </w:r>
      <w:bookmarkEnd w:id="14"/>
      <w:bookmarkEnd w:id="15"/>
    </w:p>
    <w:p w:rsidR="00E95761" w:rsidRDefault="003749EB" w:rsidP="003749EB">
      <w:r>
        <w:t>The Ministry made no formal retailer visits during this implementation period. One informal visit to some shops by a Ministry enforcement officer resulted in warnings to the retailers.</w:t>
      </w:r>
    </w:p>
    <w:p w:rsidR="000366B3" w:rsidRDefault="000366B3" w:rsidP="003749EB"/>
    <w:p w:rsidR="003749EB" w:rsidRPr="00F5030F" w:rsidRDefault="003749EB" w:rsidP="003749EB">
      <w:pPr>
        <w:pStyle w:val="Heading2"/>
      </w:pPr>
      <w:bookmarkStart w:id="16" w:name="_Toc9435885"/>
      <w:bookmarkStart w:id="17" w:name="_Toc11053569"/>
      <w:r w:rsidRPr="00F5030F">
        <w:t>Distributor visits</w:t>
      </w:r>
      <w:bookmarkEnd w:id="16"/>
      <w:bookmarkEnd w:id="17"/>
    </w:p>
    <w:p w:rsidR="00E95761" w:rsidRDefault="003749EB" w:rsidP="003749EB">
      <w:r>
        <w:t>The Ministry did not undertake any distributor visits during this implementation period.</w:t>
      </w:r>
    </w:p>
    <w:p w:rsidR="000366B3" w:rsidRDefault="000366B3" w:rsidP="003749EB"/>
    <w:p w:rsidR="003749EB" w:rsidRPr="001B1461" w:rsidRDefault="003749EB" w:rsidP="003749EB">
      <w:pPr>
        <w:pStyle w:val="Heading2"/>
      </w:pPr>
      <w:bookmarkStart w:id="18" w:name="_Toc9435886"/>
      <w:bookmarkStart w:id="19" w:name="_Toc11053570"/>
      <w:r w:rsidRPr="001B1461">
        <w:t>Online surveillance</w:t>
      </w:r>
      <w:bookmarkEnd w:id="18"/>
      <w:bookmarkEnd w:id="19"/>
    </w:p>
    <w:p w:rsidR="003749EB" w:rsidRPr="00F5030F" w:rsidRDefault="003749EB" w:rsidP="003749EB">
      <w:pPr>
        <w:pStyle w:val="Heading3"/>
      </w:pPr>
      <w:bookmarkStart w:id="20" w:name="_Toc9435887"/>
      <w:r>
        <w:t xml:space="preserve">Trade </w:t>
      </w:r>
      <w:proofErr w:type="gramStart"/>
      <w:r>
        <w:t>Me</w:t>
      </w:r>
      <w:proofErr w:type="gramEnd"/>
      <w:r>
        <w:t xml:space="preserve"> </w:t>
      </w:r>
      <w:r w:rsidRPr="001B1461">
        <w:t>surveillance</w:t>
      </w:r>
      <w:bookmarkEnd w:id="20"/>
    </w:p>
    <w:p w:rsidR="00E95761" w:rsidRDefault="003749EB" w:rsidP="003749EB">
      <w:bookmarkStart w:id="21" w:name="_Hlk508792144"/>
      <w:r w:rsidRPr="00F5030F">
        <w:t xml:space="preserve">Before the introduction of the </w:t>
      </w:r>
      <w:r>
        <w:t>r</w:t>
      </w:r>
      <w:r w:rsidRPr="00F5030F">
        <w:t xml:space="preserve">egulations, HPLPs were readily available </w:t>
      </w:r>
      <w:r>
        <w:t xml:space="preserve">at low prices </w:t>
      </w:r>
      <w:r w:rsidRPr="00F5030F">
        <w:t>through online auction sites</w:t>
      </w:r>
      <w:r>
        <w:t>, including Trade Me</w:t>
      </w:r>
      <w:r w:rsidRPr="00F5030F">
        <w:t xml:space="preserve">. </w:t>
      </w:r>
      <w:r>
        <w:t xml:space="preserve">When the regulations came into force, </w:t>
      </w:r>
      <w:r w:rsidRPr="00F5030F">
        <w:t xml:space="preserve">Trade Me </w:t>
      </w:r>
      <w:r>
        <w:t>placed</w:t>
      </w:r>
      <w:r w:rsidRPr="00F5030F">
        <w:t xml:space="preserve"> </w:t>
      </w:r>
      <w:r>
        <w:t>HPLPs on</w:t>
      </w:r>
      <w:r w:rsidRPr="00F5030F">
        <w:t xml:space="preserve"> their </w:t>
      </w:r>
      <w:r w:rsidR="00E95761">
        <w:t>‘</w:t>
      </w:r>
      <w:r w:rsidRPr="00F5030F">
        <w:t>Banned and Restricted</w:t>
      </w:r>
      <w:r w:rsidR="00E95761">
        <w:t>’</w:t>
      </w:r>
      <w:r w:rsidRPr="00F5030F">
        <w:t xml:space="preserve"> list</w:t>
      </w:r>
      <w:r>
        <w:t>.</w:t>
      </w:r>
      <w:r w:rsidRPr="000366B3">
        <w:rPr>
          <w:rStyle w:val="FootnoteReference"/>
        </w:rPr>
        <w:footnoteReference w:id="2"/>
      </w:r>
      <w:r w:rsidRPr="00F5030F">
        <w:t xml:space="preserve"> </w:t>
      </w:r>
      <w:r>
        <w:t>Initially, Trade Me did not permit international sellers to list</w:t>
      </w:r>
      <w:r w:rsidRPr="00F5030F">
        <w:t xml:space="preserve"> </w:t>
      </w:r>
      <w:r>
        <w:t xml:space="preserve">HPLPs </w:t>
      </w:r>
      <w:r w:rsidRPr="00F5030F">
        <w:t xml:space="preserve">on </w:t>
      </w:r>
      <w:r>
        <w:t>Trade Me, but this restriction appears to have since been relaxed</w:t>
      </w:r>
      <w:r w:rsidRPr="00F5030F">
        <w:t>.</w:t>
      </w:r>
    </w:p>
    <w:p w:rsidR="000366B3" w:rsidRDefault="000366B3" w:rsidP="000366B3"/>
    <w:p w:rsidR="00E95761" w:rsidRDefault="003749EB" w:rsidP="000366B3">
      <w:r>
        <w:t>Figure 3 shows t</w:t>
      </w:r>
      <w:r w:rsidRPr="00F5030F">
        <w:t xml:space="preserve">he numbers of individual listings for </w:t>
      </w:r>
      <w:r>
        <w:t xml:space="preserve">HPLPs </w:t>
      </w:r>
      <w:r w:rsidRPr="00F5030F">
        <w:t xml:space="preserve">considered to fall within the scope of the </w:t>
      </w:r>
      <w:r>
        <w:t>r</w:t>
      </w:r>
      <w:r w:rsidRPr="00F5030F">
        <w:t>egulations</w:t>
      </w:r>
      <w:r>
        <w:t>, obtained through weekly surveillance of Trade Me.</w:t>
      </w:r>
      <w:r w:rsidRPr="000366B3">
        <w:rPr>
          <w:rStyle w:val="FootnoteReference"/>
        </w:rPr>
        <w:footnoteReference w:id="3"/>
      </w:r>
    </w:p>
    <w:p w:rsidR="000366B3" w:rsidRDefault="000366B3" w:rsidP="000366B3"/>
    <w:p w:rsidR="003749EB" w:rsidRPr="00AC0AAB" w:rsidRDefault="003749EB" w:rsidP="000366B3">
      <w:pPr>
        <w:pStyle w:val="Figure"/>
      </w:pPr>
      <w:bookmarkStart w:id="22" w:name="_Toc11053588"/>
      <w:r w:rsidRPr="00AC0AAB">
        <w:lastRenderedPageBreak/>
        <w:t>Figure 3: Number of listings for high-power laser pointers on auction websites</w:t>
      </w:r>
      <w:proofErr w:type="gramStart"/>
      <w:r w:rsidRPr="00AC0AAB">
        <w:t>,</w:t>
      </w:r>
      <w:proofErr w:type="gramEnd"/>
      <w:r w:rsidR="000366B3">
        <w:br/>
      </w:r>
      <w:r w:rsidRPr="00AC0AAB">
        <w:t>2014–2019</w:t>
      </w:r>
      <w:bookmarkEnd w:id="22"/>
    </w:p>
    <w:p w:rsidR="000366B3" w:rsidRDefault="000366B3" w:rsidP="003749EB">
      <w:r>
        <w:rPr>
          <w:noProof/>
          <w:lang w:eastAsia="en-NZ"/>
        </w:rPr>
        <w:drawing>
          <wp:inline distT="0" distB="0" distL="0" distR="0" wp14:anchorId="2562A4E0" wp14:editId="545BF5D9">
            <wp:extent cx="5130165" cy="2805559"/>
            <wp:effectExtent l="0" t="0" r="0" b="0"/>
            <wp:docPr id="33" name="Chart 33" title="Figure 3: Number of listings for high-power laser pointers on auction websites,"/>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0366B3" w:rsidRDefault="000366B3" w:rsidP="000366B3"/>
    <w:p w:rsidR="00E95761" w:rsidRDefault="003749EB" w:rsidP="000366B3">
      <w:r>
        <w:t>This figure shows that, after the initial decrease, the number of listings has been rising slowly. This indicates that the Ministry</w:t>
      </w:r>
      <w:r w:rsidR="00E95761">
        <w:t>’</w:t>
      </w:r>
      <w:r>
        <w:t>s surveillance should continue. Many of the HPLPs listed on Trade Me during this implementation period have been well over 1</w:t>
      </w:r>
      <w:r w:rsidR="000366B3">
        <w:t> </w:t>
      </w:r>
      <w:proofErr w:type="spellStart"/>
      <w:r>
        <w:t>milliwatt</w:t>
      </w:r>
      <w:proofErr w:type="spellEnd"/>
      <w:r>
        <w:t xml:space="preserve"> (</w:t>
      </w:r>
      <w:proofErr w:type="spellStart"/>
      <w:r>
        <w:t>mW</w:t>
      </w:r>
      <w:proofErr w:type="spellEnd"/>
      <w:r>
        <w:t xml:space="preserve">) (see Appendix for information on the output power of HPLPs). As in previous years, the Ministry has found that a few sellers gave false descriptions, claiming untruthfully that their pointers had an output power of less than 1 </w:t>
      </w:r>
      <w:proofErr w:type="spellStart"/>
      <w:r>
        <w:t>mW</w:t>
      </w:r>
      <w:proofErr w:type="spellEnd"/>
      <w:r>
        <w:t>. In addition, an increasing number of pointers have been advertised by overseas sellers.</w:t>
      </w:r>
    </w:p>
    <w:p w:rsidR="000366B3" w:rsidRDefault="000366B3" w:rsidP="000366B3"/>
    <w:bookmarkEnd w:id="21"/>
    <w:p w:rsidR="003749EB" w:rsidRDefault="003749EB" w:rsidP="003749EB">
      <w:r>
        <w:t>The Ministry notes that Trade Me is quick to</w:t>
      </w:r>
      <w:r w:rsidRPr="00A2367C">
        <w:t xml:space="preserve"> </w:t>
      </w:r>
      <w:r w:rsidRPr="00F5030F">
        <w:t>remove listings</w:t>
      </w:r>
      <w:r>
        <w:t xml:space="preserve"> when it has reason to believe that a pointer falls within the scope of the regulations. During this implementation period, the Ministry continued to use its Compliance Account</w:t>
      </w:r>
      <w:r w:rsidRPr="000366B3">
        <w:rPr>
          <w:rStyle w:val="FootnoteReference"/>
        </w:rPr>
        <w:footnoteReference w:id="4"/>
      </w:r>
      <w:r w:rsidR="000366B3">
        <w:t xml:space="preserve"> </w:t>
      </w:r>
      <w:r>
        <w:t>to bring sellers</w:t>
      </w:r>
      <w:r w:rsidR="00E95761">
        <w:t>’</w:t>
      </w:r>
      <w:r>
        <w:t xml:space="preserve"> attention to the regulations, and to ask questions about devices where the output power was less evident. The Ministry occasionally purchases pointers for testing.</w:t>
      </w:r>
    </w:p>
    <w:p w:rsidR="000366B3" w:rsidRDefault="000366B3" w:rsidP="000366B3"/>
    <w:p w:rsidR="000366B3" w:rsidRDefault="003749EB" w:rsidP="000366B3">
      <w:r w:rsidRPr="00F5030F">
        <w:t xml:space="preserve">The Ministry would like to acknowledge the </w:t>
      </w:r>
      <w:r>
        <w:t xml:space="preserve">assistance it has </w:t>
      </w:r>
      <w:r w:rsidRPr="00F5030F">
        <w:t>received from Trade Me</w:t>
      </w:r>
      <w:r>
        <w:t>. It will conduct further discussions with Trade Me on potential additional controls, especially for overseas sellers.</w:t>
      </w:r>
      <w:bookmarkStart w:id="23" w:name="_Toc9435888"/>
    </w:p>
    <w:p w:rsidR="000366B3" w:rsidRDefault="000366B3" w:rsidP="000366B3"/>
    <w:p w:rsidR="003749EB" w:rsidRDefault="003749EB" w:rsidP="000366B3">
      <w:pPr>
        <w:pStyle w:val="Heading3"/>
      </w:pPr>
      <w:r>
        <w:t>Other online sales</w:t>
      </w:r>
      <w:bookmarkEnd w:id="23"/>
    </w:p>
    <w:p w:rsidR="00E95761" w:rsidRDefault="003749EB" w:rsidP="003749EB">
      <w:r>
        <w:t>The Ministry did not undertake surveillance of other New Zealand-based online sales outlets during this implementation period</w:t>
      </w:r>
      <w:r w:rsidRPr="00242219">
        <w:t xml:space="preserve">. </w:t>
      </w:r>
      <w:r>
        <w:t>The Ministry has no control over online sales in other countries.</w:t>
      </w:r>
    </w:p>
    <w:p w:rsidR="003749EB" w:rsidRPr="00F5030F" w:rsidRDefault="003749EB" w:rsidP="003749EB">
      <w:pPr>
        <w:pStyle w:val="Heading1"/>
      </w:pPr>
      <w:bookmarkStart w:id="24" w:name="_Toc9435889"/>
      <w:bookmarkStart w:id="25" w:name="_Toc11053571"/>
      <w:r>
        <w:lastRenderedPageBreak/>
        <w:t xml:space="preserve">New Zealand </w:t>
      </w:r>
      <w:r w:rsidRPr="00F5030F">
        <w:t>Customs</w:t>
      </w:r>
      <w:bookmarkEnd w:id="24"/>
      <w:bookmarkEnd w:id="25"/>
    </w:p>
    <w:p w:rsidR="00E95761" w:rsidRDefault="003749EB" w:rsidP="003749EB">
      <w:r>
        <w:t xml:space="preserve">The </w:t>
      </w:r>
      <w:r w:rsidRPr="00FA3E32">
        <w:t>Customs Import Prohibition (High-power Laser Pointers) Order 2017</w:t>
      </w:r>
      <w:r>
        <w:t xml:space="preserve"> (CIPO) prohibits importation of HPLPs until 28 February 2020.</w:t>
      </w:r>
    </w:p>
    <w:p w:rsidR="000366B3" w:rsidRDefault="000366B3" w:rsidP="003749EB"/>
    <w:p w:rsidR="003749EB" w:rsidRDefault="003749EB" w:rsidP="003749EB">
      <w:r>
        <w:t>Table 2 summarises HPLPs seized by New Zealand Customs since 2014. (The comments in this table make mention of certain Asian countries; the Ministry notes that HPLPs are unregulated, and widely available, in Southeast Asia.)</w:t>
      </w:r>
    </w:p>
    <w:p w:rsidR="000366B3" w:rsidRDefault="000366B3" w:rsidP="003749EB"/>
    <w:p w:rsidR="000366B3" w:rsidRPr="00FA3E32" w:rsidRDefault="000366B3" w:rsidP="000366B3">
      <w:pPr>
        <w:pStyle w:val="Table"/>
      </w:pPr>
      <w:bookmarkStart w:id="26" w:name="_Toc11053585"/>
      <w:r w:rsidRPr="00FA3E32">
        <w:t>Table 2: Number of high-power laser pointers seized by Customs, 2014–2019</w:t>
      </w:r>
      <w:bookmarkEnd w:id="26"/>
    </w:p>
    <w:tbl>
      <w:tblPr>
        <w:tblStyle w:val="TableGrid"/>
        <w:tblW w:w="0" w:type="auto"/>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1081"/>
        <w:gridCol w:w="1582"/>
        <w:gridCol w:w="5417"/>
      </w:tblGrid>
      <w:tr w:rsidR="003749EB" w:rsidRPr="000366B3" w:rsidTr="00F32C88">
        <w:trPr>
          <w:cantSplit/>
        </w:trPr>
        <w:tc>
          <w:tcPr>
            <w:tcW w:w="1081" w:type="dxa"/>
            <w:tcBorders>
              <w:top w:val="nil"/>
              <w:bottom w:val="nil"/>
            </w:tcBorders>
            <w:shd w:val="clear" w:color="auto" w:fill="D9D9D9" w:themeFill="background1" w:themeFillShade="D9"/>
          </w:tcPr>
          <w:p w:rsidR="003749EB" w:rsidRPr="000366B3" w:rsidRDefault="003749EB" w:rsidP="000366B3">
            <w:pPr>
              <w:pStyle w:val="TableText"/>
              <w:jc w:val="center"/>
              <w:rPr>
                <w:b/>
              </w:rPr>
            </w:pPr>
            <w:r w:rsidRPr="000366B3">
              <w:rPr>
                <w:b/>
              </w:rPr>
              <w:t>Year</w:t>
            </w:r>
          </w:p>
        </w:tc>
        <w:tc>
          <w:tcPr>
            <w:tcW w:w="1582" w:type="dxa"/>
            <w:tcBorders>
              <w:top w:val="nil"/>
              <w:bottom w:val="nil"/>
            </w:tcBorders>
            <w:shd w:val="clear" w:color="auto" w:fill="D9D9D9" w:themeFill="background1" w:themeFillShade="D9"/>
          </w:tcPr>
          <w:p w:rsidR="003749EB" w:rsidRPr="000366B3" w:rsidRDefault="003749EB" w:rsidP="000366B3">
            <w:pPr>
              <w:pStyle w:val="TableText"/>
              <w:rPr>
                <w:b/>
              </w:rPr>
            </w:pPr>
            <w:r w:rsidRPr="000366B3">
              <w:rPr>
                <w:b/>
              </w:rPr>
              <w:t xml:space="preserve">Number of items </w:t>
            </w:r>
          </w:p>
        </w:tc>
        <w:tc>
          <w:tcPr>
            <w:tcW w:w="5417" w:type="dxa"/>
            <w:tcBorders>
              <w:top w:val="nil"/>
              <w:bottom w:val="nil"/>
            </w:tcBorders>
            <w:shd w:val="clear" w:color="auto" w:fill="D9D9D9" w:themeFill="background1" w:themeFillShade="D9"/>
          </w:tcPr>
          <w:p w:rsidR="003749EB" w:rsidRPr="000366B3" w:rsidRDefault="003749EB" w:rsidP="00F32C88">
            <w:pPr>
              <w:pStyle w:val="TableText"/>
              <w:jc w:val="center"/>
              <w:rPr>
                <w:b/>
              </w:rPr>
            </w:pPr>
            <w:r w:rsidRPr="000366B3">
              <w:rPr>
                <w:b/>
              </w:rPr>
              <w:t>Comments</w:t>
            </w:r>
          </w:p>
        </w:tc>
      </w:tr>
      <w:tr w:rsidR="003749EB" w:rsidRPr="006356E4" w:rsidTr="00F32C88">
        <w:trPr>
          <w:cantSplit/>
        </w:trPr>
        <w:tc>
          <w:tcPr>
            <w:tcW w:w="1081" w:type="dxa"/>
            <w:tcBorders>
              <w:top w:val="nil"/>
            </w:tcBorders>
          </w:tcPr>
          <w:p w:rsidR="003749EB" w:rsidRPr="006356E4" w:rsidRDefault="003749EB" w:rsidP="000366B3">
            <w:pPr>
              <w:pStyle w:val="TableText"/>
              <w:jc w:val="center"/>
            </w:pPr>
            <w:r w:rsidRPr="006356E4">
              <w:t>2014/15</w:t>
            </w:r>
          </w:p>
        </w:tc>
        <w:tc>
          <w:tcPr>
            <w:tcW w:w="1582" w:type="dxa"/>
            <w:tcBorders>
              <w:top w:val="nil"/>
            </w:tcBorders>
          </w:tcPr>
          <w:p w:rsidR="003749EB" w:rsidRPr="006356E4" w:rsidRDefault="003749EB" w:rsidP="000366B3">
            <w:pPr>
              <w:pStyle w:val="TableText"/>
              <w:tabs>
                <w:tab w:val="decimal" w:pos="847"/>
              </w:tabs>
            </w:pPr>
            <w:r>
              <w:t>229</w:t>
            </w:r>
          </w:p>
        </w:tc>
        <w:tc>
          <w:tcPr>
            <w:tcW w:w="5417" w:type="dxa"/>
            <w:tcBorders>
              <w:top w:val="nil"/>
            </w:tcBorders>
          </w:tcPr>
          <w:p w:rsidR="003749EB" w:rsidRPr="006356E4" w:rsidRDefault="003749EB" w:rsidP="000366B3">
            <w:pPr>
              <w:pStyle w:val="TableText"/>
            </w:pPr>
            <w:r>
              <w:t>Comprised mostly small numbers in any one incident; there were three seizures of 20 or more</w:t>
            </w:r>
          </w:p>
        </w:tc>
      </w:tr>
      <w:tr w:rsidR="003749EB" w:rsidRPr="006356E4" w:rsidTr="00F32C88">
        <w:trPr>
          <w:cantSplit/>
        </w:trPr>
        <w:tc>
          <w:tcPr>
            <w:tcW w:w="1081" w:type="dxa"/>
          </w:tcPr>
          <w:p w:rsidR="003749EB" w:rsidRPr="006356E4" w:rsidRDefault="003749EB" w:rsidP="000366B3">
            <w:pPr>
              <w:pStyle w:val="TableText"/>
              <w:jc w:val="center"/>
            </w:pPr>
            <w:r w:rsidRPr="006356E4">
              <w:t>2015/16</w:t>
            </w:r>
          </w:p>
        </w:tc>
        <w:tc>
          <w:tcPr>
            <w:tcW w:w="1582" w:type="dxa"/>
          </w:tcPr>
          <w:p w:rsidR="003749EB" w:rsidRPr="006356E4" w:rsidRDefault="003749EB" w:rsidP="000366B3">
            <w:pPr>
              <w:pStyle w:val="TableText"/>
              <w:tabs>
                <w:tab w:val="decimal" w:pos="847"/>
              </w:tabs>
            </w:pPr>
            <w:r>
              <w:t>699</w:t>
            </w:r>
          </w:p>
        </w:tc>
        <w:tc>
          <w:tcPr>
            <w:tcW w:w="5417" w:type="dxa"/>
          </w:tcPr>
          <w:p w:rsidR="003749EB" w:rsidRPr="006356E4" w:rsidRDefault="003749EB" w:rsidP="000366B3">
            <w:pPr>
              <w:pStyle w:val="TableText"/>
            </w:pPr>
            <w:r>
              <w:t>Included one large shipment of 600; the rest compri</w:t>
            </w:r>
            <w:r w:rsidR="00F32C88">
              <w:t>sed small or individual numbers</w:t>
            </w:r>
          </w:p>
        </w:tc>
      </w:tr>
      <w:tr w:rsidR="003749EB" w:rsidRPr="009D1564" w:rsidTr="00F32C88">
        <w:trPr>
          <w:cantSplit/>
        </w:trPr>
        <w:tc>
          <w:tcPr>
            <w:tcW w:w="1081" w:type="dxa"/>
          </w:tcPr>
          <w:p w:rsidR="003749EB" w:rsidRPr="009D1564" w:rsidRDefault="003749EB" w:rsidP="000366B3">
            <w:pPr>
              <w:pStyle w:val="TableText"/>
              <w:jc w:val="center"/>
              <w:rPr>
                <w:rFonts w:cstheme="minorHAnsi"/>
              </w:rPr>
            </w:pPr>
            <w:r w:rsidRPr="009D1564">
              <w:rPr>
                <w:rFonts w:cstheme="minorHAnsi"/>
              </w:rPr>
              <w:t>2016/17</w:t>
            </w:r>
          </w:p>
        </w:tc>
        <w:tc>
          <w:tcPr>
            <w:tcW w:w="1582" w:type="dxa"/>
          </w:tcPr>
          <w:p w:rsidR="003749EB" w:rsidRPr="009D1564" w:rsidRDefault="003749EB" w:rsidP="000366B3">
            <w:pPr>
              <w:pStyle w:val="TableText"/>
              <w:tabs>
                <w:tab w:val="decimal" w:pos="847"/>
              </w:tabs>
              <w:rPr>
                <w:rFonts w:cstheme="minorHAnsi"/>
              </w:rPr>
            </w:pPr>
            <w:r>
              <w:rPr>
                <w:rFonts w:cstheme="minorHAnsi"/>
              </w:rPr>
              <w:t xml:space="preserve">51 </w:t>
            </w:r>
          </w:p>
        </w:tc>
        <w:tc>
          <w:tcPr>
            <w:tcW w:w="5417" w:type="dxa"/>
          </w:tcPr>
          <w:p w:rsidR="003749EB" w:rsidRPr="009D1564" w:rsidRDefault="003749EB" w:rsidP="000366B3">
            <w:pPr>
              <w:pStyle w:val="TableText"/>
              <w:rPr>
                <w:rFonts w:cstheme="minorHAnsi"/>
              </w:rPr>
            </w:pPr>
            <w:r>
              <w:rPr>
                <w:rFonts w:cstheme="minorHAnsi"/>
              </w:rPr>
              <w:t xml:space="preserve">Included 40 seizures from travellers </w:t>
            </w:r>
            <w:r w:rsidR="00F32C88">
              <w:rPr>
                <w:rFonts w:cstheme="minorHAnsi"/>
              </w:rPr>
              <w:t>returning from Bali or Thailand</w:t>
            </w:r>
          </w:p>
        </w:tc>
      </w:tr>
      <w:tr w:rsidR="003749EB" w:rsidRPr="00242219" w:rsidTr="00F32C88">
        <w:trPr>
          <w:cantSplit/>
        </w:trPr>
        <w:tc>
          <w:tcPr>
            <w:tcW w:w="1081" w:type="dxa"/>
          </w:tcPr>
          <w:p w:rsidR="003749EB" w:rsidRPr="001E76CD" w:rsidRDefault="003749EB" w:rsidP="000366B3">
            <w:pPr>
              <w:pStyle w:val="TableText"/>
              <w:jc w:val="center"/>
              <w:rPr>
                <w:rFonts w:cstheme="minorHAnsi"/>
              </w:rPr>
            </w:pPr>
            <w:r w:rsidRPr="001E76CD">
              <w:rPr>
                <w:rFonts w:cstheme="minorHAnsi"/>
              </w:rPr>
              <w:t>2017/18</w:t>
            </w:r>
          </w:p>
        </w:tc>
        <w:tc>
          <w:tcPr>
            <w:tcW w:w="1582" w:type="dxa"/>
          </w:tcPr>
          <w:p w:rsidR="003749EB" w:rsidRPr="00242219" w:rsidRDefault="003749EB" w:rsidP="000366B3">
            <w:pPr>
              <w:pStyle w:val="TableText"/>
              <w:tabs>
                <w:tab w:val="decimal" w:pos="847"/>
              </w:tabs>
              <w:rPr>
                <w:rFonts w:cstheme="minorHAnsi"/>
              </w:rPr>
            </w:pPr>
            <w:r>
              <w:rPr>
                <w:rFonts w:cstheme="minorHAnsi"/>
              </w:rPr>
              <w:t>67</w:t>
            </w:r>
          </w:p>
        </w:tc>
        <w:tc>
          <w:tcPr>
            <w:tcW w:w="5417" w:type="dxa"/>
          </w:tcPr>
          <w:p w:rsidR="003749EB" w:rsidRPr="00242219" w:rsidRDefault="003749EB" w:rsidP="000366B3">
            <w:pPr>
              <w:pStyle w:val="TableText"/>
              <w:rPr>
                <w:rFonts w:cstheme="minorHAnsi"/>
              </w:rPr>
            </w:pPr>
            <w:r>
              <w:rPr>
                <w:rFonts w:cstheme="minorHAnsi"/>
              </w:rPr>
              <w:t>Comprised 53 interceptions, mostly of passengers returning from holiday in south-east Asian countries</w:t>
            </w:r>
          </w:p>
        </w:tc>
      </w:tr>
      <w:tr w:rsidR="003749EB" w:rsidRPr="00242219" w:rsidTr="00F32C88">
        <w:trPr>
          <w:cantSplit/>
        </w:trPr>
        <w:tc>
          <w:tcPr>
            <w:tcW w:w="1081" w:type="dxa"/>
            <w:shd w:val="clear" w:color="auto" w:fill="FFFFFF" w:themeFill="background1"/>
          </w:tcPr>
          <w:p w:rsidR="003749EB" w:rsidRPr="00A37BA7" w:rsidRDefault="003749EB" w:rsidP="000366B3">
            <w:pPr>
              <w:pStyle w:val="TableText"/>
              <w:jc w:val="center"/>
              <w:rPr>
                <w:rFonts w:cstheme="minorHAnsi"/>
              </w:rPr>
            </w:pPr>
            <w:r w:rsidRPr="00A37BA7">
              <w:rPr>
                <w:rFonts w:cstheme="minorHAnsi"/>
              </w:rPr>
              <w:t>2018/19</w:t>
            </w:r>
          </w:p>
        </w:tc>
        <w:tc>
          <w:tcPr>
            <w:tcW w:w="1582" w:type="dxa"/>
            <w:shd w:val="clear" w:color="auto" w:fill="FFFFFF" w:themeFill="background1"/>
          </w:tcPr>
          <w:p w:rsidR="003749EB" w:rsidRPr="00551F3F" w:rsidRDefault="003749EB" w:rsidP="000366B3">
            <w:pPr>
              <w:pStyle w:val="TableText"/>
              <w:tabs>
                <w:tab w:val="decimal" w:pos="847"/>
              </w:tabs>
              <w:rPr>
                <w:rFonts w:cstheme="minorHAnsi"/>
              </w:rPr>
            </w:pPr>
            <w:r>
              <w:rPr>
                <w:rFonts w:cstheme="minorHAnsi"/>
              </w:rPr>
              <w:t>62</w:t>
            </w:r>
          </w:p>
        </w:tc>
        <w:tc>
          <w:tcPr>
            <w:tcW w:w="5417" w:type="dxa"/>
            <w:shd w:val="clear" w:color="auto" w:fill="FFFFFF" w:themeFill="background1"/>
          </w:tcPr>
          <w:p w:rsidR="003749EB" w:rsidRPr="00551F3F" w:rsidRDefault="003749EB" w:rsidP="000366B3">
            <w:pPr>
              <w:pStyle w:val="TableText"/>
              <w:rPr>
                <w:rFonts w:cstheme="minorHAnsi"/>
              </w:rPr>
            </w:pPr>
            <w:r>
              <w:rPr>
                <w:rFonts w:cstheme="minorHAnsi"/>
              </w:rPr>
              <w:t>Comprised 50 interceptions; just over half were domestic mail interceptions. The passenger interceptions were of travellers returning from holiday, primarily from Thailand, with some from China</w:t>
            </w:r>
          </w:p>
        </w:tc>
      </w:tr>
    </w:tbl>
    <w:p w:rsidR="00F32C88" w:rsidRDefault="00F32C88" w:rsidP="00F32C88"/>
    <w:p w:rsidR="00E95761" w:rsidRDefault="003749EB" w:rsidP="00F32C88">
      <w:r>
        <w:t>While Customs does not specifically target HPLPs, it does look for them in the mail stream, and ask passengers about them at the border. There are no customs codes that allow HPLPs to be readily identified from import paperwork. The Ministry notifies Customs of all authorisations to import HPLPs; it also notifies Customs of potential non-authorised importers.</w:t>
      </w:r>
    </w:p>
    <w:p w:rsidR="00F32C88" w:rsidRDefault="00F32C88" w:rsidP="00F32C88"/>
    <w:p w:rsidR="003749EB" w:rsidRPr="00F5030F" w:rsidRDefault="003749EB" w:rsidP="003749EB">
      <w:pPr>
        <w:pStyle w:val="Heading1"/>
      </w:pPr>
      <w:bookmarkStart w:id="27" w:name="_Toc9435890"/>
      <w:bookmarkStart w:id="28" w:name="_Toc11053572"/>
      <w:r w:rsidRPr="00F5030F">
        <w:lastRenderedPageBreak/>
        <w:t>Other agencies</w:t>
      </w:r>
      <w:bookmarkEnd w:id="27"/>
      <w:bookmarkEnd w:id="28"/>
    </w:p>
    <w:p w:rsidR="003749EB" w:rsidRPr="00F5030F" w:rsidRDefault="003749EB" w:rsidP="003749EB">
      <w:pPr>
        <w:pStyle w:val="Heading2"/>
      </w:pPr>
      <w:bookmarkStart w:id="29" w:name="_Toc9435891"/>
      <w:bookmarkStart w:id="30" w:name="_Toc11053573"/>
      <w:r>
        <w:t xml:space="preserve">New Zealand </w:t>
      </w:r>
      <w:r w:rsidRPr="00F5030F">
        <w:t>Police</w:t>
      </w:r>
      <w:bookmarkEnd w:id="29"/>
      <w:bookmarkEnd w:id="30"/>
    </w:p>
    <w:p w:rsidR="00E95761" w:rsidRDefault="003749EB" w:rsidP="003749EB">
      <w:r>
        <w:t>Figure 4 records the New Zealand Police</w:t>
      </w:r>
      <w:r w:rsidR="00E95761">
        <w:t>’</w:t>
      </w:r>
      <w:r>
        <w:t xml:space="preserve">s data on </w:t>
      </w:r>
      <w:r w:rsidRPr="009D1564">
        <w:t>proceedings against offenders for breaches of the Summary Offences Act</w:t>
      </w:r>
      <w:r>
        <w:t xml:space="preserve"> </w:t>
      </w:r>
      <w:r w:rsidRPr="0089264A">
        <w:t xml:space="preserve">1981 </w:t>
      </w:r>
      <w:r>
        <w:t>through being in</w:t>
      </w:r>
      <w:r w:rsidRPr="0089264A">
        <w:t xml:space="preserve"> possession of a </w:t>
      </w:r>
      <w:r>
        <w:t xml:space="preserve">HPLP </w:t>
      </w:r>
      <w:r w:rsidRPr="0089264A">
        <w:t>in a public place without a reasonable excuse</w:t>
      </w:r>
      <w:r>
        <w:t xml:space="preserve"> (see Appendix).</w:t>
      </w:r>
    </w:p>
    <w:p w:rsidR="00F32C88" w:rsidRDefault="00F32C88" w:rsidP="003749EB"/>
    <w:p w:rsidR="00F32C88" w:rsidRPr="00271148" w:rsidRDefault="00F32C88" w:rsidP="00F32C88">
      <w:pPr>
        <w:pStyle w:val="Figure"/>
      </w:pPr>
      <w:bookmarkStart w:id="31" w:name="_Toc11053589"/>
      <w:r w:rsidRPr="00271148">
        <w:t>Figure 4:</w:t>
      </w:r>
      <w:r>
        <w:t xml:space="preserve"> Number of proceedings against offenders for possession of high-power laser pointers in a public place, 2015–2019</w:t>
      </w:r>
      <w:bookmarkEnd w:id="31"/>
    </w:p>
    <w:p w:rsidR="003749EB" w:rsidRDefault="003749EB" w:rsidP="003749EB">
      <w:r>
        <w:rPr>
          <w:noProof/>
          <w:lang w:eastAsia="en-NZ"/>
        </w:rPr>
        <w:drawing>
          <wp:inline distT="0" distB="0" distL="0" distR="0" wp14:anchorId="66F362D1" wp14:editId="2222D5BA">
            <wp:extent cx="5212080" cy="3108960"/>
            <wp:effectExtent l="0" t="0" r="7620" b="0"/>
            <wp:docPr id="40" name="Chart 40" title="Figure 4: Number of proceedings against offenders for possession of high-power laser pointers in a public place, 2015–20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F32C88" w:rsidRDefault="00F32C88" w:rsidP="00F32C88"/>
    <w:p w:rsidR="003749EB" w:rsidRDefault="003749EB" w:rsidP="00F32C88">
      <w:r>
        <w:t>Academic staff at the University of Auckland test laser pointers at an evidential standard where required for a prosecution. On one occasion during the implementation period, they assisted police by testing a laser that had been shone at officers investigating other offences. This resulted in a successful prosecution for criminal nuisance.</w:t>
      </w:r>
    </w:p>
    <w:p w:rsidR="00F32C88" w:rsidRDefault="00F32C88" w:rsidP="00F32C88"/>
    <w:p w:rsidR="00C517A0" w:rsidRPr="004A1413" w:rsidRDefault="00C517A0" w:rsidP="00EA10EC">
      <w:pPr>
        <w:keepNext/>
        <w:rPr>
          <w:sz w:val="2"/>
          <w:szCs w:val="2"/>
        </w:rPr>
      </w:pPr>
    </w:p>
    <w:p w:rsidR="00C517A0" w:rsidRDefault="00C517A0" w:rsidP="004A1413">
      <w:pPr>
        <w:pStyle w:val="Heading2"/>
        <w:spacing w:before="0"/>
      </w:pPr>
      <w:bookmarkStart w:id="32" w:name="_Toc11053574"/>
      <w:r>
        <w:t>Civil Aviation Authority</w:t>
      </w:r>
      <w:bookmarkEnd w:id="32"/>
    </w:p>
    <w:p w:rsidR="00F32C88" w:rsidRDefault="00EA10EC" w:rsidP="00EA10EC">
      <w:pPr>
        <w:keepNext/>
      </w:pPr>
      <w:r>
        <w:t>The Civil Aviation Authority reports the following data on laser strikes on aircraft in New Zealand since 2008.</w:t>
      </w:r>
    </w:p>
    <w:p w:rsidR="00EA10EC" w:rsidRDefault="00EA10EC" w:rsidP="00EA10EC">
      <w:pPr>
        <w:keepNext/>
      </w:pPr>
    </w:p>
    <w:p w:rsidR="00F32C88" w:rsidRDefault="00F32C88" w:rsidP="00F32C88">
      <w:pPr>
        <w:pStyle w:val="Figure"/>
      </w:pPr>
      <w:bookmarkStart w:id="33" w:name="_Toc11053590"/>
      <w:r>
        <w:t>Figure 5: Number of reported laser strikes on aircraft, 2008–2018</w:t>
      </w:r>
      <w:bookmarkEnd w:id="33"/>
    </w:p>
    <w:p w:rsidR="00F32C88" w:rsidRDefault="00F32C88" w:rsidP="00F32C88">
      <w:r w:rsidRPr="00AC06D6">
        <w:rPr>
          <w:noProof/>
          <w:highlight w:val="yellow"/>
          <w:lang w:eastAsia="en-NZ"/>
        </w:rPr>
        <w:drawing>
          <wp:inline distT="0" distB="0" distL="0" distR="0" wp14:anchorId="2D6E0654" wp14:editId="70F5A279">
            <wp:extent cx="5130165" cy="2670810"/>
            <wp:effectExtent l="0" t="0" r="0" b="0"/>
            <wp:docPr id="9" name="Chart 9" title="Figure 5: Number of reported laser strikes on aircraft, 2008–20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F32C88" w:rsidRDefault="00F32C88" w:rsidP="00F32C88"/>
    <w:p w:rsidR="00F32C88" w:rsidRDefault="00F32C88" w:rsidP="00F32C88">
      <w:r>
        <w:t>As this figure shows, these incidents continue to increase.</w:t>
      </w:r>
    </w:p>
    <w:p w:rsidR="00F32C88" w:rsidRDefault="00F32C88" w:rsidP="00F32C88"/>
    <w:p w:rsidR="00E95761" w:rsidRDefault="003749EB" w:rsidP="003749EB">
      <w:pPr>
        <w:pStyle w:val="Heading1"/>
      </w:pPr>
      <w:bookmarkStart w:id="34" w:name="_Toc9435893"/>
      <w:bookmarkStart w:id="35" w:name="_Toc11053575"/>
      <w:r w:rsidRPr="00802EF4">
        <w:lastRenderedPageBreak/>
        <w:t>The High-Power Laser Pointer Offences and Penalties</w:t>
      </w:r>
      <w:r>
        <w:t xml:space="preserve"> Bill</w:t>
      </w:r>
      <w:bookmarkEnd w:id="34"/>
      <w:bookmarkEnd w:id="35"/>
    </w:p>
    <w:p w:rsidR="003749EB" w:rsidRDefault="003749EB" w:rsidP="00D653CA">
      <w:r w:rsidRPr="00802EF4">
        <w:t>The High-Power Laser Pointer Offences and Penalties Bill (the Bill) has been drawn from the ballot as a private member</w:t>
      </w:r>
      <w:r w:rsidR="00E95761">
        <w:t>’</w:t>
      </w:r>
      <w:r w:rsidRPr="00802EF4">
        <w:t>s bill</w:t>
      </w:r>
      <w:r>
        <w:t xml:space="preserve">, in </w:t>
      </w:r>
      <w:r w:rsidRPr="00802EF4">
        <w:t>the name of Hamish Walker (National)</w:t>
      </w:r>
      <w:r>
        <w:t xml:space="preserve">, and </w:t>
      </w:r>
      <w:r w:rsidRPr="00802EF4">
        <w:t xml:space="preserve">is </w:t>
      </w:r>
      <w:r>
        <w:t xml:space="preserve">currently </w:t>
      </w:r>
      <w:r w:rsidRPr="00802EF4">
        <w:t xml:space="preserve">awaiting its first reading. The Bill </w:t>
      </w:r>
      <w:r>
        <w:t xml:space="preserve">would </w:t>
      </w:r>
      <w:r w:rsidRPr="00802EF4">
        <w:t xml:space="preserve">amend existing offence provisions </w:t>
      </w:r>
      <w:r>
        <w:t xml:space="preserve">within </w:t>
      </w:r>
      <w:r w:rsidRPr="00802EF4">
        <w:t>the Crimes Act 1961 and Summary Offences Act 1981</w:t>
      </w:r>
      <w:r>
        <w:t>.</w:t>
      </w:r>
      <w:r w:rsidRPr="00802EF4">
        <w:t xml:space="preserve"> </w:t>
      </w:r>
      <w:r>
        <w:t xml:space="preserve">It </w:t>
      </w:r>
      <w:r w:rsidRPr="00802EF4">
        <w:t xml:space="preserve">would </w:t>
      </w:r>
      <w:r>
        <w:t xml:space="preserve">also </w:t>
      </w:r>
      <w:r w:rsidRPr="00802EF4">
        <w:t xml:space="preserve">insert a new section (136A) into </w:t>
      </w:r>
      <w:r>
        <w:t xml:space="preserve">the </w:t>
      </w:r>
      <w:r w:rsidRPr="00802EF4">
        <w:t xml:space="preserve">Health Act 1956 to provide higher penalties for a breach of regulations under the Health (High-power Laser Pointers) Regulations 2013, increasing the $500 fine to a prison term not exceeding </w:t>
      </w:r>
      <w:r>
        <w:t>six</w:t>
      </w:r>
      <w:r w:rsidRPr="00802EF4">
        <w:t xml:space="preserve"> months or a fine not exceeding $4,000.</w:t>
      </w:r>
    </w:p>
    <w:p w:rsidR="003749EB" w:rsidRDefault="00D653CA" w:rsidP="00D653CA">
      <w:pPr>
        <w:pStyle w:val="Heading1"/>
      </w:pPr>
      <w:bookmarkStart w:id="36" w:name="_Toc9435894"/>
      <w:bookmarkStart w:id="37" w:name="_Toc11053576"/>
      <w:r>
        <w:lastRenderedPageBreak/>
        <w:t>O</w:t>
      </w:r>
      <w:r w:rsidR="003749EB">
        <w:t>verseas developments</w:t>
      </w:r>
      <w:bookmarkEnd w:id="36"/>
      <w:bookmarkEnd w:id="37"/>
    </w:p>
    <w:p w:rsidR="003749EB" w:rsidRDefault="003749EB" w:rsidP="00D653CA">
      <w:pPr>
        <w:pStyle w:val="Heading2"/>
      </w:pPr>
      <w:bookmarkStart w:id="38" w:name="_Toc9435895"/>
      <w:bookmarkStart w:id="39" w:name="_Toc11053577"/>
      <w:r>
        <w:t>United Kingdom</w:t>
      </w:r>
      <w:bookmarkEnd w:id="38"/>
      <w:bookmarkEnd w:id="39"/>
    </w:p>
    <w:p w:rsidR="00E95761" w:rsidRDefault="003749EB" w:rsidP="00D653CA">
      <w:r>
        <w:t xml:space="preserve">In 2017, health officials in the United Kingdom responded to a call for evidence on laser pointers issued by the United Kingdom </w:t>
      </w:r>
      <w:r w:rsidRPr="00D35735">
        <w:t>Department for Business, Energy and Industrial Strategy, which oversees the safety of products intended for consumers.</w:t>
      </w:r>
    </w:p>
    <w:p w:rsidR="00D653CA" w:rsidRDefault="00D653CA" w:rsidP="00D653CA"/>
    <w:p w:rsidR="003749EB" w:rsidRDefault="003749EB" w:rsidP="00D653CA">
      <w:r>
        <w:t xml:space="preserve">The United Kingdom </w:t>
      </w:r>
      <w:r w:rsidR="00D653CA">
        <w:t>G</w:t>
      </w:r>
      <w:r>
        <w:t>overnment has since published its response.</w:t>
      </w:r>
      <w:r w:rsidRPr="00D653CA">
        <w:rPr>
          <w:rStyle w:val="FootnoteReference"/>
        </w:rPr>
        <w:footnoteReference w:id="5"/>
      </w:r>
      <w:r>
        <w:t xml:space="preserve"> The key actions it has taken include:</w:t>
      </w:r>
    </w:p>
    <w:p w:rsidR="003749EB" w:rsidRDefault="003749EB" w:rsidP="00D653CA">
      <w:pPr>
        <w:pStyle w:val="Bullet"/>
      </w:pPr>
      <w:r>
        <w:t>p</w:t>
      </w:r>
      <w:r w:rsidRPr="00802EF4">
        <w:t>rovid</w:t>
      </w:r>
      <w:r>
        <w:t>ing</w:t>
      </w:r>
      <w:r w:rsidRPr="00802EF4">
        <w:t xml:space="preserve"> additional support for enforcement activities </w:t>
      </w:r>
      <w:r>
        <w:t xml:space="preserve">addressing </w:t>
      </w:r>
      <w:r w:rsidRPr="00802EF4">
        <w:t xml:space="preserve">the import of </w:t>
      </w:r>
      <w:r>
        <w:t xml:space="preserve">HPLPs, to </w:t>
      </w:r>
      <w:r w:rsidRPr="00802EF4">
        <w:t>improv</w:t>
      </w:r>
      <w:r>
        <w:t>e</w:t>
      </w:r>
      <w:r w:rsidRPr="00802EF4">
        <w:t xml:space="preserve"> </w:t>
      </w:r>
      <w:r>
        <w:t xml:space="preserve">the </w:t>
      </w:r>
      <w:r w:rsidRPr="00802EF4">
        <w:t xml:space="preserve">safety of the market for </w:t>
      </w:r>
      <w:r>
        <w:t>HPLPs</w:t>
      </w:r>
    </w:p>
    <w:p w:rsidR="003749EB" w:rsidRDefault="003749EB" w:rsidP="00D653CA">
      <w:pPr>
        <w:pStyle w:val="Bullet"/>
      </w:pPr>
      <w:r>
        <w:t>e</w:t>
      </w:r>
      <w:r w:rsidRPr="00802EF4">
        <w:t>ncourag</w:t>
      </w:r>
      <w:r>
        <w:t>ing</w:t>
      </w:r>
      <w:r w:rsidRPr="00802EF4">
        <w:t xml:space="preserve"> more effective voluntary label</w:t>
      </w:r>
      <w:r>
        <w:t>s</w:t>
      </w:r>
      <w:r w:rsidRPr="00802EF4">
        <w:t xml:space="preserve"> o</w:t>
      </w:r>
      <w:r>
        <w:t>n</w:t>
      </w:r>
      <w:r w:rsidRPr="00802EF4">
        <w:t xml:space="preserve"> </w:t>
      </w:r>
      <w:r>
        <w:t>HPLPs that include clear warnings against pointing HPLPs at eyes or aircraft (it is expected that this will be as effective as mandatory labelling)</w:t>
      </w:r>
    </w:p>
    <w:p w:rsidR="003749EB" w:rsidRDefault="003749EB" w:rsidP="00D653CA">
      <w:pPr>
        <w:pStyle w:val="Bullet"/>
      </w:pPr>
      <w:r>
        <w:t>p</w:t>
      </w:r>
      <w:r w:rsidRPr="00802EF4">
        <w:t>romoting public awareness o</w:t>
      </w:r>
      <w:r>
        <w:t>f</w:t>
      </w:r>
      <w:r w:rsidRPr="00802EF4">
        <w:t xml:space="preserve"> the hazards of laser pointers, </w:t>
      </w:r>
      <w:r>
        <w:t>especially</w:t>
      </w:r>
      <w:r w:rsidRPr="00802EF4">
        <w:t xml:space="preserve"> </w:t>
      </w:r>
      <w:r>
        <w:t xml:space="preserve">the </w:t>
      </w:r>
      <w:r w:rsidRPr="00802EF4">
        <w:t>danger to eyesight</w:t>
      </w:r>
    </w:p>
    <w:p w:rsidR="00E95761" w:rsidRDefault="003749EB" w:rsidP="00D653CA">
      <w:pPr>
        <w:pStyle w:val="Bullet"/>
      </w:pPr>
      <w:proofErr w:type="gramStart"/>
      <w:r>
        <w:t>passing</w:t>
      </w:r>
      <w:proofErr w:type="gramEnd"/>
      <w:r>
        <w:t xml:space="preserve"> the Laser Misuse (Vehicles) Act 2018, which provides strong penalties for targeting aircraft and other forms of transport with HPLPs. The first prosecution under this Act resulted in a six-month jail sentence for the offender.</w:t>
      </w:r>
    </w:p>
    <w:p w:rsidR="00D653CA" w:rsidRDefault="00D653CA" w:rsidP="00D653CA"/>
    <w:p w:rsidR="003749EB" w:rsidRDefault="003749EB" w:rsidP="003749EB">
      <w:pPr>
        <w:pStyle w:val="Heading2"/>
      </w:pPr>
      <w:bookmarkStart w:id="40" w:name="_Toc9435896"/>
      <w:bookmarkStart w:id="41" w:name="_Toc11053578"/>
      <w:r>
        <w:t>Switzerland</w:t>
      </w:r>
      <w:bookmarkEnd w:id="40"/>
      <w:bookmarkEnd w:id="41"/>
    </w:p>
    <w:p w:rsidR="00E95761" w:rsidRDefault="003749EB" w:rsidP="003749EB">
      <w:r>
        <w:t>New regulations in Switzerland ban all HPLPs except those classified as Class 1. Class 2 pointers may be used until June 2021, and the Government may authorise the use of higher-power pointers for scaring birds at airports.</w:t>
      </w:r>
      <w:r w:rsidRPr="00D653CA">
        <w:rPr>
          <w:rStyle w:val="FootnoteReference"/>
        </w:rPr>
        <w:footnoteReference w:id="6"/>
      </w:r>
      <w:r>
        <w:t xml:space="preserve"> An explanatory document lists particular laser applications that are not subject to the ban, including rifle-sighting aids and distance-measuring devices.</w:t>
      </w:r>
    </w:p>
    <w:p w:rsidR="00D653CA" w:rsidRDefault="00D653CA" w:rsidP="003749EB"/>
    <w:p w:rsidR="003749EB" w:rsidRDefault="003749EB" w:rsidP="003749EB">
      <w:pPr>
        <w:pStyle w:val="Heading2"/>
      </w:pPr>
      <w:bookmarkStart w:id="42" w:name="_Toc9435897"/>
      <w:bookmarkStart w:id="43" w:name="_Toc11053579"/>
      <w:r>
        <w:lastRenderedPageBreak/>
        <w:t>Canada</w:t>
      </w:r>
      <w:bookmarkEnd w:id="42"/>
      <w:bookmarkEnd w:id="43"/>
    </w:p>
    <w:p w:rsidR="003749EB" w:rsidRDefault="003749EB" w:rsidP="003749EB">
      <w:r>
        <w:t>Laser pointers in Canada are controlled under two laws, as follows.</w:t>
      </w:r>
    </w:p>
    <w:p w:rsidR="003749EB" w:rsidRDefault="003749EB" w:rsidP="00D653CA">
      <w:pPr>
        <w:pStyle w:val="Bullet"/>
      </w:pPr>
      <w:r>
        <w:t xml:space="preserve">The Canada Consumer Product Safety Act does not permit the sale, import or manufacture of consumer products that pose an unreasonable hazard to human health and safety; it prohibits the sale, advertising, import and manufacture of Class 3B and 4 laser pointers (effectively, any pointer with a power greater than 5 </w:t>
      </w:r>
      <w:proofErr w:type="spellStart"/>
      <w:r>
        <w:t>mW</w:t>
      </w:r>
      <w:proofErr w:type="spellEnd"/>
      <w:r>
        <w:t>).</w:t>
      </w:r>
    </w:p>
    <w:p w:rsidR="003749EB" w:rsidRDefault="003749EB" w:rsidP="00D653CA">
      <w:pPr>
        <w:pStyle w:val="Bullet"/>
      </w:pPr>
      <w:r>
        <w:t xml:space="preserve">The Radiation Emitting Devices Act prohibits the sale, import or lease of a laser that creates risks because it </w:t>
      </w:r>
      <w:r w:rsidRPr="00CC489E">
        <w:t>does not perform according to the characteristics claimed for it</w:t>
      </w:r>
      <w:r>
        <w:t>,</w:t>
      </w:r>
      <w:r w:rsidRPr="00CC489E">
        <w:t xml:space="preserve"> does not accomplish its claimed purpose</w:t>
      </w:r>
      <w:r>
        <w:t>,</w:t>
      </w:r>
      <w:r w:rsidRPr="00CC489E">
        <w:t xml:space="preserve"> or emits radiation that is not necessary for it to accomplish its claimed purpose</w:t>
      </w:r>
      <w:r>
        <w:t>.</w:t>
      </w:r>
    </w:p>
    <w:p w:rsidR="00D653CA" w:rsidRDefault="00D653CA" w:rsidP="00D653CA"/>
    <w:p w:rsidR="00E95761" w:rsidRDefault="003749EB" w:rsidP="00D653CA">
      <w:r>
        <w:t>Targeting aircrafts with an HPLP attracts fines of up to $100,000 and/or five years in prison. A 2015 campaign specifically discouraged targeting aircrafts with HPLPs.</w:t>
      </w:r>
      <w:r w:rsidRPr="00D653CA">
        <w:rPr>
          <w:rStyle w:val="FootnoteReference"/>
        </w:rPr>
        <w:footnoteReference w:id="7"/>
      </w:r>
    </w:p>
    <w:p w:rsidR="00D653CA" w:rsidRDefault="00D653CA" w:rsidP="00D653CA"/>
    <w:p w:rsidR="00E95761" w:rsidRDefault="003749EB" w:rsidP="00D653CA">
      <w:r>
        <w:t xml:space="preserve">Possession of laser pointers with a power of greater than 1 </w:t>
      </w:r>
      <w:proofErr w:type="spellStart"/>
      <w:r>
        <w:t>mW</w:t>
      </w:r>
      <w:proofErr w:type="spellEnd"/>
      <w:r>
        <w:t xml:space="preserve"> in public areas is banned in many places in Canada, including within 10 kilometres of any airport.</w:t>
      </w:r>
    </w:p>
    <w:p w:rsidR="00D653CA" w:rsidRDefault="00D653CA" w:rsidP="00D653CA"/>
    <w:p w:rsidR="003749EB" w:rsidRDefault="003749EB" w:rsidP="00D653CA">
      <w:pPr>
        <w:pStyle w:val="Heading2"/>
      </w:pPr>
      <w:bookmarkStart w:id="44" w:name="_Toc9435898"/>
      <w:bookmarkStart w:id="45" w:name="_Toc11053580"/>
      <w:r>
        <w:t>United States</w:t>
      </w:r>
      <w:bookmarkEnd w:id="44"/>
      <w:bookmarkEnd w:id="45"/>
    </w:p>
    <w:p w:rsidR="003749EB" w:rsidRDefault="003749EB" w:rsidP="00D653CA">
      <w:r>
        <w:t>Figure 6 provides the United States F</w:t>
      </w:r>
      <w:r w:rsidRPr="00CF6A75">
        <w:t>ederal Aviation Administration</w:t>
      </w:r>
      <w:r w:rsidR="00E95761">
        <w:t>’</w:t>
      </w:r>
      <w:r>
        <w:t>s</w:t>
      </w:r>
      <w:r w:rsidRPr="00CF6A75">
        <w:t xml:space="preserve"> </w:t>
      </w:r>
      <w:r>
        <w:t>data on reported laser strikes on aircraft between 2004 and 2018.</w:t>
      </w:r>
    </w:p>
    <w:p w:rsidR="00D653CA" w:rsidRDefault="00D653CA" w:rsidP="00D653CA"/>
    <w:p w:rsidR="003749EB" w:rsidRPr="004F63C7" w:rsidRDefault="003749EB" w:rsidP="003749EB">
      <w:pPr>
        <w:rPr>
          <w:sz w:val="2"/>
          <w:szCs w:val="2"/>
        </w:rPr>
      </w:pPr>
    </w:p>
    <w:p w:rsidR="00D653CA" w:rsidRDefault="002E6400" w:rsidP="002E6400">
      <w:pPr>
        <w:pStyle w:val="Figure"/>
      </w:pPr>
      <w:bookmarkStart w:id="46" w:name="_Toc11053591"/>
      <w:r>
        <w:t>Figure 6: Number of reported laser strikes on aircraft in the United States, 2004–2018</w:t>
      </w:r>
      <w:bookmarkEnd w:id="46"/>
    </w:p>
    <w:p w:rsidR="002E6400" w:rsidRPr="002E6400" w:rsidRDefault="002E6400" w:rsidP="002E6400">
      <w:r w:rsidRPr="00AC06D6">
        <w:rPr>
          <w:noProof/>
          <w:highlight w:val="yellow"/>
          <w:lang w:eastAsia="en-NZ"/>
        </w:rPr>
        <w:drawing>
          <wp:inline distT="0" distB="0" distL="0" distR="0" wp14:anchorId="1A66F39F" wp14:editId="7A9CD162">
            <wp:extent cx="5120640" cy="2485675"/>
            <wp:effectExtent l="0" t="0" r="3810" b="0"/>
            <wp:docPr id="4" name="Chart 4" title="Figure 6: Number of reported laser strikes on aircraft in the United States, 2004–20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4F63C7" w:rsidRDefault="004F63C7" w:rsidP="00D653CA"/>
    <w:p w:rsidR="003749EB" w:rsidRDefault="003749EB" w:rsidP="00B749DB">
      <w:pPr>
        <w:keepNext/>
      </w:pPr>
      <w:r>
        <w:lastRenderedPageBreak/>
        <w:t>The large increase evident in the figure between 2014 and 2015 coincided with various awareness programmes, which may have boosted reporting.</w:t>
      </w:r>
    </w:p>
    <w:p w:rsidR="004F63C7" w:rsidRDefault="004F63C7" w:rsidP="00B749DB">
      <w:pPr>
        <w:keepNext/>
      </w:pPr>
    </w:p>
    <w:p w:rsidR="00E95761" w:rsidRDefault="003749EB" w:rsidP="00D653CA">
      <w:r>
        <w:t>In 2011, new legislation allowed the FAA to impose civil penalties for targeting an aircraft with an HPLP of up to $11,000; this was increased to $25,000 in 2016. Targeting aircraft became a federal offence in 2012, attracting a penalty of up to five years in prison and/or a fine of up to $250,000.</w:t>
      </w:r>
    </w:p>
    <w:p w:rsidR="00D653CA" w:rsidRDefault="00D653CA" w:rsidP="00D653CA"/>
    <w:p w:rsidR="003749EB" w:rsidRDefault="003749EB" w:rsidP="00D653CA">
      <w:pPr>
        <w:pStyle w:val="Heading2"/>
      </w:pPr>
      <w:bookmarkStart w:id="47" w:name="_Toc9435899"/>
      <w:bookmarkStart w:id="48" w:name="_Toc11053581"/>
      <w:r>
        <w:t>Australia</w:t>
      </w:r>
      <w:bookmarkEnd w:id="47"/>
      <w:bookmarkEnd w:id="48"/>
    </w:p>
    <w:p w:rsidR="00E95761" w:rsidRDefault="003749EB" w:rsidP="00D653CA">
      <w:r>
        <w:t xml:space="preserve">The Australian Transport Safety Investigation Regulations 2003 do </w:t>
      </w:r>
      <w:r w:rsidRPr="00551F3F">
        <w:t xml:space="preserve">not classify laser strikes as reportable incidents. </w:t>
      </w:r>
      <w:r>
        <w:t xml:space="preserve">The Australian Transport Safety Bureau (ATSB) </w:t>
      </w:r>
      <w:r w:rsidRPr="00551F3F">
        <w:t>do</w:t>
      </w:r>
      <w:r>
        <w:t>es</w:t>
      </w:r>
      <w:r w:rsidRPr="00551F3F">
        <w:t xml:space="preserve">, however, receive reports from </w:t>
      </w:r>
      <w:proofErr w:type="spellStart"/>
      <w:r w:rsidRPr="00551F3F">
        <w:t>Airservices</w:t>
      </w:r>
      <w:proofErr w:type="spellEnd"/>
      <w:r w:rsidRPr="00551F3F">
        <w:t xml:space="preserve"> Australia </w:t>
      </w:r>
      <w:r>
        <w:t xml:space="preserve">on </w:t>
      </w:r>
      <w:r w:rsidRPr="00551F3F">
        <w:t xml:space="preserve">any </w:t>
      </w:r>
      <w:r>
        <w:t xml:space="preserve">pilot-reported </w:t>
      </w:r>
      <w:r w:rsidRPr="00551F3F">
        <w:t xml:space="preserve">laser strikes in the proximity of towered aerodromes. The ATSB only classifies these notifications as </w:t>
      </w:r>
      <w:r w:rsidR="00E95761">
        <w:t>‘</w:t>
      </w:r>
      <w:r w:rsidRPr="00551F3F">
        <w:t>occurrences</w:t>
      </w:r>
      <w:r w:rsidR="00E95761">
        <w:t>’</w:t>
      </w:r>
      <w:r w:rsidRPr="00551F3F">
        <w:t xml:space="preserve"> if it is reported that </w:t>
      </w:r>
      <w:r>
        <w:t xml:space="preserve">a </w:t>
      </w:r>
      <w:r w:rsidRPr="00551F3F">
        <w:t xml:space="preserve">crew </w:t>
      </w:r>
      <w:r>
        <w:t xml:space="preserve">was </w:t>
      </w:r>
      <w:r w:rsidRPr="00551F3F">
        <w:t xml:space="preserve">affected by the laser strike – for example, </w:t>
      </w:r>
      <w:r>
        <w:t xml:space="preserve">by </w:t>
      </w:r>
      <w:r w:rsidRPr="00551F3F">
        <w:t xml:space="preserve">momentary vision impairment. According to </w:t>
      </w:r>
      <w:r>
        <w:t>the ATSB</w:t>
      </w:r>
      <w:r w:rsidR="00E95761">
        <w:t>’</w:t>
      </w:r>
      <w:r>
        <w:t xml:space="preserve">s </w:t>
      </w:r>
      <w:r w:rsidRPr="00551F3F">
        <w:t>database</w:t>
      </w:r>
      <w:r>
        <w:t>,</w:t>
      </w:r>
      <w:r w:rsidRPr="00551F3F">
        <w:t xml:space="preserve"> there were </w:t>
      </w:r>
      <w:r>
        <w:t xml:space="preserve">five </w:t>
      </w:r>
      <w:r w:rsidRPr="00551F3F">
        <w:t>such incidents in the 2018 calendar year.</w:t>
      </w:r>
    </w:p>
    <w:p w:rsidR="00D653CA" w:rsidRDefault="00D653CA" w:rsidP="00D653CA"/>
    <w:p w:rsidR="003749EB" w:rsidRPr="00F5030F" w:rsidRDefault="003749EB" w:rsidP="00D653CA">
      <w:pPr>
        <w:pStyle w:val="Heading1"/>
      </w:pPr>
      <w:bookmarkStart w:id="49" w:name="_Toc9435900"/>
      <w:bookmarkStart w:id="50" w:name="_Toc11053582"/>
      <w:r>
        <w:lastRenderedPageBreak/>
        <w:t>Conclusions</w:t>
      </w:r>
      <w:bookmarkEnd w:id="49"/>
      <w:bookmarkEnd w:id="50"/>
    </w:p>
    <w:p w:rsidR="00E95761" w:rsidRDefault="003749EB" w:rsidP="00D653CA">
      <w:r>
        <w:t>The Ministry</w:t>
      </w:r>
      <w:r w:rsidR="00E95761">
        <w:t>’</w:t>
      </w:r>
      <w:r>
        <w:t>s implementation of the Health (High-power laser pointer) Regulations 2013 and the associated CIPO has continued smoothly. The work has not created a large burden for health officials and others involved.</w:t>
      </w:r>
    </w:p>
    <w:p w:rsidR="00D653CA" w:rsidRDefault="00D653CA" w:rsidP="00D653CA"/>
    <w:p w:rsidR="00E95761" w:rsidRDefault="003749EB" w:rsidP="00D653CA">
      <w:r>
        <w:t>Advertising of HPLPs on auction websites is increasing slowly. Advertising of HPLPs of a power far greater than that on the label continues to be a problem.</w:t>
      </w:r>
    </w:p>
    <w:p w:rsidR="00D653CA" w:rsidRDefault="00D653CA" w:rsidP="00D653CA"/>
    <w:p w:rsidR="00E95761" w:rsidRDefault="003749EB" w:rsidP="00D653CA">
      <w:r>
        <w:t>In the coming year, the Ministry will continue its surveillance of Trade Me and other websites, and will conduct further discussions with Trade Me on possible additional controls, especially for overseas sellers.</w:t>
      </w:r>
    </w:p>
    <w:p w:rsidR="003749EB" w:rsidRDefault="003749EB" w:rsidP="003749EB"/>
    <w:p w:rsidR="00E95761" w:rsidRDefault="003749EB" w:rsidP="00D653CA">
      <w:r>
        <w:t>It is of continuing concern that numbers of laser strikes on aircraft continue to increase.</w:t>
      </w:r>
    </w:p>
    <w:p w:rsidR="00D653CA" w:rsidRDefault="00D653CA" w:rsidP="00D653CA"/>
    <w:p w:rsidR="00E95761" w:rsidRDefault="003749EB" w:rsidP="00D653CA">
      <w:r>
        <w:t>Countries vary in their approaches to managing the risks from HPLPs, from raising public awareness to calling for voluntary improvements in labelling. However, there is consistency in terms of the strong controls countries apply to address aircraft laser strikes, including bans and high penalties.</w:t>
      </w:r>
    </w:p>
    <w:p w:rsidR="00D653CA" w:rsidRDefault="00D653CA" w:rsidP="00D653CA"/>
    <w:p w:rsidR="00E95761" w:rsidRDefault="003749EB" w:rsidP="00D653CA">
      <w:pPr>
        <w:rPr>
          <w:lang w:eastAsia="en-NZ"/>
        </w:rPr>
      </w:pPr>
      <w:r>
        <w:t xml:space="preserve">The Ministry </w:t>
      </w:r>
      <w:r>
        <w:rPr>
          <w:lang w:eastAsia="en-NZ"/>
        </w:rPr>
        <w:t>will arrange to meet with other agencies, including the Ministries of Transport and Justice, the Civil Aviation Authority, New Zealand Customs and the New Zealand Police, to discuss potential additional controls in response to the increasing laser strike reports.</w:t>
      </w:r>
    </w:p>
    <w:p w:rsidR="00D653CA" w:rsidRDefault="00D653CA" w:rsidP="00D653CA">
      <w:pPr>
        <w:rPr>
          <w:lang w:eastAsia="en-NZ"/>
        </w:rPr>
      </w:pPr>
    </w:p>
    <w:p w:rsidR="003749EB" w:rsidRDefault="003749EB" w:rsidP="00D653CA">
      <w:pPr>
        <w:pStyle w:val="Heading1"/>
        <w:numPr>
          <w:ilvl w:val="0"/>
          <w:numId w:val="0"/>
        </w:numPr>
      </w:pPr>
      <w:bookmarkStart w:id="51" w:name="_Toc9435901"/>
      <w:bookmarkStart w:id="52" w:name="_Toc11053583"/>
      <w:r>
        <w:lastRenderedPageBreak/>
        <w:t>Appendix</w:t>
      </w:r>
      <w:r w:rsidR="00D653CA">
        <w:t xml:space="preserve">: </w:t>
      </w:r>
      <w:r>
        <w:t>Background to the controls</w:t>
      </w:r>
      <w:bookmarkEnd w:id="51"/>
      <w:bookmarkEnd w:id="52"/>
    </w:p>
    <w:p w:rsidR="003749EB" w:rsidRPr="00F5030F" w:rsidRDefault="003749EB" w:rsidP="00D653CA">
      <w:r w:rsidRPr="00F5030F">
        <w:t>In December 2013, the Government introduced new regulations to manage the health and safety risks from HPLPs. The</w:t>
      </w:r>
      <w:r>
        <w:t>se</w:t>
      </w:r>
      <w:r w:rsidRPr="00F5030F">
        <w:t xml:space="preserve"> came into force on 1 March 2014.</w:t>
      </w:r>
    </w:p>
    <w:p w:rsidR="003749EB" w:rsidRPr="00F5030F" w:rsidRDefault="003749EB" w:rsidP="00D653CA">
      <w:pPr>
        <w:pStyle w:val="Bullet"/>
      </w:pPr>
      <w:r w:rsidRPr="00F5030F">
        <w:t xml:space="preserve">The </w:t>
      </w:r>
      <w:r w:rsidRPr="00A01636">
        <w:t>Customs Import Prohibition (High-power Laser Pointers) Order 2017</w:t>
      </w:r>
      <w:r w:rsidRPr="00F5030F">
        <w:t xml:space="preserve"> (CIPO) restricts the importation of </w:t>
      </w:r>
      <w:r>
        <w:t xml:space="preserve">HPLPs </w:t>
      </w:r>
      <w:r w:rsidRPr="00F5030F">
        <w:t xml:space="preserve">to people </w:t>
      </w:r>
      <w:r>
        <w:t xml:space="preserve">authorised </w:t>
      </w:r>
      <w:r w:rsidRPr="00F5030F">
        <w:t xml:space="preserve">to import them </w:t>
      </w:r>
      <w:r>
        <w:t xml:space="preserve">by </w:t>
      </w:r>
      <w:r w:rsidRPr="00F5030F">
        <w:t xml:space="preserve">the Director-General of Health. </w:t>
      </w:r>
      <w:r w:rsidRPr="008B5CE4">
        <w:t xml:space="preserve">The CIPO is made under the </w:t>
      </w:r>
      <w:r>
        <w:t>C</w:t>
      </w:r>
      <w:r w:rsidRPr="008B5CE4">
        <w:t>ustoms and Excise Act 199</w:t>
      </w:r>
      <w:r>
        <w:t>6</w:t>
      </w:r>
      <w:r w:rsidRPr="008B5CE4">
        <w:t xml:space="preserve"> and administered by the New Zealand Customs Service.</w:t>
      </w:r>
    </w:p>
    <w:p w:rsidR="003749EB" w:rsidRPr="00F5030F" w:rsidRDefault="003749EB" w:rsidP="00D653CA">
      <w:pPr>
        <w:pStyle w:val="Bullet"/>
      </w:pPr>
      <w:r w:rsidRPr="00F5030F">
        <w:t xml:space="preserve">The </w:t>
      </w:r>
      <w:r w:rsidRPr="00A01636">
        <w:t>Health (High-power Laser Pointers) Regulations 2013</w:t>
      </w:r>
      <w:r>
        <w:t xml:space="preserve"> </w:t>
      </w:r>
      <w:r w:rsidRPr="00F5030F">
        <w:t xml:space="preserve">restrict the sale/supply of </w:t>
      </w:r>
      <w:r>
        <w:t xml:space="preserve">HPLPs </w:t>
      </w:r>
      <w:r w:rsidRPr="00F5030F">
        <w:t>to authorised suppliers</w:t>
      </w:r>
      <w:r>
        <w:t>,</w:t>
      </w:r>
      <w:r w:rsidRPr="00F5030F">
        <w:t xml:space="preserve"> and also restrict the</w:t>
      </w:r>
      <w:r>
        <w:t>ir</w:t>
      </w:r>
      <w:r w:rsidRPr="00F5030F">
        <w:t xml:space="preserve"> acquisition to authorised recipients. </w:t>
      </w:r>
      <w:r>
        <w:t>They are made under the Health Act 1956 and administered by the Ministry of Health.</w:t>
      </w:r>
    </w:p>
    <w:p w:rsidR="00D653CA" w:rsidRDefault="00D653CA" w:rsidP="00D653CA"/>
    <w:p w:rsidR="003749EB" w:rsidRPr="00D653CA" w:rsidRDefault="003749EB" w:rsidP="00D653CA">
      <w:r w:rsidRPr="00F5030F">
        <w:t xml:space="preserve">The </w:t>
      </w:r>
      <w:r>
        <w:t>regulatory controls</w:t>
      </w:r>
      <w:r w:rsidRPr="00F5030F">
        <w:t xml:space="preserve"> do not ban laser pointers outright. They impose controls on the supply chain</w:t>
      </w:r>
      <w:r>
        <w:t>,</w:t>
      </w:r>
      <w:r w:rsidRPr="00F5030F">
        <w:t xml:space="preserve"> and </w:t>
      </w:r>
      <w:r>
        <w:t xml:space="preserve">require </w:t>
      </w:r>
      <w:r w:rsidRPr="00F5030F">
        <w:t xml:space="preserve">people to justify why they need </w:t>
      </w:r>
      <w:r>
        <w:t xml:space="preserve">a </w:t>
      </w:r>
      <w:r w:rsidRPr="00F5030F">
        <w:t>higher</w:t>
      </w:r>
      <w:r>
        <w:t>-</w:t>
      </w:r>
      <w:r w:rsidRPr="00F5030F">
        <w:t>power device (as opposed to a lower</w:t>
      </w:r>
      <w:r>
        <w:t>-</w:t>
      </w:r>
      <w:r w:rsidRPr="00F5030F">
        <w:t xml:space="preserve">power </w:t>
      </w:r>
      <w:r>
        <w:t>one</w:t>
      </w:r>
      <w:r w:rsidRPr="00F5030F">
        <w:t>).</w:t>
      </w:r>
    </w:p>
    <w:p w:rsidR="00D653CA" w:rsidRDefault="00D653CA" w:rsidP="00D653CA"/>
    <w:p w:rsidR="003749EB" w:rsidRPr="00F5030F" w:rsidRDefault="003749EB" w:rsidP="00D653CA">
      <w:r w:rsidRPr="00F5030F">
        <w:t>The controls only apply to laser pointers with an output power of greater than 1</w:t>
      </w:r>
      <w:r w:rsidR="00D653CA">
        <w:t> </w:t>
      </w:r>
      <w:proofErr w:type="spellStart"/>
      <w:r w:rsidRPr="00F5030F">
        <w:t>milliwatt</w:t>
      </w:r>
      <w:proofErr w:type="spellEnd"/>
      <w:r>
        <w:t xml:space="preserve"> (</w:t>
      </w:r>
      <w:proofErr w:type="spellStart"/>
      <w:r>
        <w:t>mW</w:t>
      </w:r>
      <w:proofErr w:type="spellEnd"/>
      <w:r>
        <w:t>)</w:t>
      </w:r>
      <w:r w:rsidRPr="00F5030F">
        <w:t>, and devices which, in the Director-General</w:t>
      </w:r>
      <w:r w:rsidR="00E95761">
        <w:t>’</w:t>
      </w:r>
      <w:r w:rsidRPr="00F5030F">
        <w:t xml:space="preserve">s opinion, are commonly known as laser pointers. Using this discretion, the Director-General has determined that some types of device </w:t>
      </w:r>
      <w:r>
        <w:t>(</w:t>
      </w:r>
      <w:r w:rsidRPr="00F5030F">
        <w:t>for example, those used in surveying, or those sold with fixtures for mounting on a firearm as a sighting aid</w:t>
      </w:r>
      <w:r>
        <w:t>)</w:t>
      </w:r>
      <w:r w:rsidRPr="00F5030F">
        <w:t xml:space="preserve"> do not come within the scope of the </w:t>
      </w:r>
      <w:r>
        <w:t>R</w:t>
      </w:r>
      <w:r w:rsidRPr="00F5030F">
        <w:t>egulations.</w:t>
      </w:r>
    </w:p>
    <w:p w:rsidR="00D653CA" w:rsidRDefault="00D653CA" w:rsidP="00D653CA"/>
    <w:p w:rsidR="00E95761" w:rsidRDefault="003749EB" w:rsidP="00D653CA">
      <w:r w:rsidRPr="00F5030F">
        <w:t xml:space="preserve">In addition, </w:t>
      </w:r>
      <w:r>
        <w:t xml:space="preserve">the Regulations automatically authorise </w:t>
      </w:r>
      <w:r w:rsidRPr="00F5030F">
        <w:t>classes of people</w:t>
      </w:r>
      <w:r>
        <w:t xml:space="preserve"> who use laser pointers for certain purposes</w:t>
      </w:r>
      <w:r w:rsidRPr="00F5030F">
        <w:t>, such as members of astronomical societies and people who use laser pointers for industrial and research purposes</w:t>
      </w:r>
      <w:r>
        <w:t xml:space="preserve">. However, these people must </w:t>
      </w:r>
      <w:r w:rsidRPr="00F5030F">
        <w:t xml:space="preserve">still be able to provide proof that they belong to </w:t>
      </w:r>
      <w:r>
        <w:t xml:space="preserve">the </w:t>
      </w:r>
      <w:r w:rsidRPr="00F5030F">
        <w:t>exempt class if required</w:t>
      </w:r>
      <w:r>
        <w:t>;</w:t>
      </w:r>
      <w:r w:rsidRPr="00F5030F">
        <w:t xml:space="preserve"> for example</w:t>
      </w:r>
      <w:r>
        <w:t>,</w:t>
      </w:r>
      <w:r w:rsidRPr="00F5030F">
        <w:t xml:space="preserve"> when </w:t>
      </w:r>
      <w:r>
        <w:t xml:space="preserve">they are </w:t>
      </w:r>
      <w:r w:rsidRPr="00F5030F">
        <w:t xml:space="preserve">acquiring </w:t>
      </w:r>
      <w:r>
        <w:t>an HPLP</w:t>
      </w:r>
      <w:r w:rsidRPr="00F5030F">
        <w:t xml:space="preserve">. </w:t>
      </w:r>
      <w:r>
        <w:t>People in e</w:t>
      </w:r>
      <w:r w:rsidRPr="00F5030F">
        <w:t>xempt classes must still obtain authorisation if they wish to import an HPLP.</w:t>
      </w:r>
    </w:p>
    <w:p w:rsidR="00D653CA" w:rsidRDefault="00D653CA" w:rsidP="00D653CA"/>
    <w:p w:rsidR="003749EB" w:rsidRPr="00F5030F" w:rsidRDefault="003749EB" w:rsidP="00D653CA">
      <w:r>
        <w:t>I</w:t>
      </w:r>
      <w:r w:rsidRPr="00F5030F">
        <w:t>n July 2014</w:t>
      </w:r>
      <w:r>
        <w:t>,</w:t>
      </w:r>
      <w:r w:rsidRPr="00F5030F">
        <w:t xml:space="preserve"> the </w:t>
      </w:r>
      <w:r>
        <w:t xml:space="preserve">Government amended the </w:t>
      </w:r>
      <w:r w:rsidRPr="00F5030F">
        <w:t xml:space="preserve">Summary Offences Act 1981 to make it an offence to be in possession of </w:t>
      </w:r>
      <w:r>
        <w:t xml:space="preserve">an HPLP </w:t>
      </w:r>
      <w:r w:rsidRPr="00F5030F">
        <w:t xml:space="preserve">in a public place without a reasonable excuse. </w:t>
      </w:r>
      <w:r>
        <w:t>This legislation is administered by the Ministry of Justice and enforced by the Police.</w:t>
      </w:r>
    </w:p>
    <w:p w:rsidR="009469E2" w:rsidRPr="009469E2" w:rsidRDefault="009469E2" w:rsidP="00D653CA"/>
    <w:sectPr w:rsidR="009469E2" w:rsidRPr="009469E2" w:rsidSect="002B7BEC">
      <w:footerReference w:type="even" r:id="rId28"/>
      <w:footerReference w:type="default" r:id="rId29"/>
      <w:pgSz w:w="11907" w:h="16834" w:code="9"/>
      <w:pgMar w:top="1418" w:right="1701" w:bottom="1134" w:left="1843" w:header="284" w:footer="425" w:gutter="284"/>
      <w:pgNumType w:start="1"/>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6DA6" w:rsidRDefault="00B06DA6">
      <w:r>
        <w:separator/>
      </w:r>
    </w:p>
    <w:p w:rsidR="00B06DA6" w:rsidRDefault="00B06DA6"/>
  </w:endnote>
  <w:endnote w:type="continuationSeparator" w:id="0">
    <w:p w:rsidR="00B06DA6" w:rsidRDefault="00B06DA6">
      <w:r>
        <w:continuationSeparator/>
      </w:r>
    </w:p>
    <w:p w:rsidR="00B06DA6" w:rsidRDefault="00B06D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Mäori">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Black">
    <w:panose1 w:val="020B0A02040204020203"/>
    <w:charset w:val="00"/>
    <w:family w:val="swiss"/>
    <w:pitch w:val="variable"/>
    <w:sig w:usb0="E1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444" w:rsidRDefault="001024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076" w:rsidRPr="00581136" w:rsidRDefault="00B60076" w:rsidP="005A79E5">
    <w:pPr>
      <w:pStyle w:val="Footer"/>
      <w:pBdr>
        <w:bottom w:val="single" w:sz="4" w:space="1" w:color="auto"/>
      </w:pBdr>
      <w:tabs>
        <w:tab w:val="right" w:pos="9639"/>
      </w:tabs>
      <w:rPr>
        <w:b/>
      </w:rPr>
    </w:pPr>
    <w:r w:rsidRPr="00581136">
      <w:rPr>
        <w:b/>
      </w:rPr>
      <w:t>Released 201</w:t>
    </w:r>
    <w:r>
      <w:rPr>
        <w:b/>
      </w:rPr>
      <w:t>9</w:t>
    </w:r>
    <w:r w:rsidRPr="00581136">
      <w:rPr>
        <w:b/>
      </w:rPr>
      <w:tab/>
      <w:t>health.govt.nz</w:t>
    </w:r>
  </w:p>
  <w:p w:rsidR="00B60076" w:rsidRPr="005A79E5" w:rsidRDefault="00B60076">
    <w:pPr>
      <w:pStyle w:val="Foote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444" w:rsidRDefault="0010244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076" w:rsidRDefault="00B60076" w:rsidP="004D6689">
    <w:pPr>
      <w:pStyle w:val="Footer"/>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076" w:rsidRDefault="00B6007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9" w:type="dxa"/>
      <w:tblInd w:w="-709" w:type="dxa"/>
      <w:tblLayout w:type="fixed"/>
      <w:tblCellMar>
        <w:left w:w="0" w:type="dxa"/>
        <w:right w:w="0" w:type="dxa"/>
      </w:tblCellMar>
      <w:tblLook w:val="04A0" w:firstRow="1" w:lastRow="0" w:firstColumn="1" w:lastColumn="0" w:noHBand="0" w:noVBand="1"/>
    </w:tblPr>
    <w:tblGrid>
      <w:gridCol w:w="709"/>
      <w:gridCol w:w="8080"/>
    </w:tblGrid>
    <w:tr w:rsidR="00B60076" w:rsidTr="00D662F8">
      <w:trPr>
        <w:cantSplit/>
      </w:trPr>
      <w:tc>
        <w:tcPr>
          <w:tcW w:w="709" w:type="dxa"/>
          <w:vAlign w:val="center"/>
        </w:tcPr>
        <w:p w:rsidR="00B60076" w:rsidRPr="00931466" w:rsidRDefault="00B60076"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102444">
            <w:rPr>
              <w:rStyle w:val="PageNumber"/>
              <w:noProof/>
            </w:rPr>
            <w:t>iv</w:t>
          </w:r>
          <w:r w:rsidRPr="00931466">
            <w:rPr>
              <w:rStyle w:val="PageNumber"/>
            </w:rPr>
            <w:fldChar w:fldCharType="end"/>
          </w:r>
        </w:p>
      </w:tc>
      <w:tc>
        <w:tcPr>
          <w:tcW w:w="8080" w:type="dxa"/>
          <w:vAlign w:val="center"/>
        </w:tcPr>
        <w:p w:rsidR="00B60076" w:rsidRDefault="00B60076" w:rsidP="008B4BCD">
          <w:pPr>
            <w:pStyle w:val="RectoFooter"/>
            <w:jc w:val="left"/>
          </w:pPr>
          <w:r>
            <w:t>implementation of new regulatory controls on high-power pointers:</w:t>
          </w:r>
          <w:r>
            <w:br/>
            <w:t>year 5 (1 march 2018–28 february 2019</w:t>
          </w:r>
          <w:r w:rsidR="00102444">
            <w:t>)</w:t>
          </w:r>
        </w:p>
      </w:tc>
    </w:tr>
  </w:tbl>
  <w:p w:rsidR="00B60076" w:rsidRPr="00571223" w:rsidRDefault="00B60076" w:rsidP="00571223">
    <w:pPr>
      <w:pStyle w:val="VersoFooter"/>
      <w:rPr>
        <w:sz w:val="2"/>
        <w:szCs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9" w:type="dxa"/>
      <w:tblLayout w:type="fixed"/>
      <w:tblCellMar>
        <w:left w:w="0" w:type="dxa"/>
        <w:right w:w="0" w:type="dxa"/>
      </w:tblCellMar>
      <w:tblLook w:val="04A0" w:firstRow="1" w:lastRow="0" w:firstColumn="1" w:lastColumn="0" w:noHBand="0" w:noVBand="1"/>
    </w:tblPr>
    <w:tblGrid>
      <w:gridCol w:w="8080"/>
      <w:gridCol w:w="709"/>
    </w:tblGrid>
    <w:tr w:rsidR="00B60076" w:rsidTr="006E2886">
      <w:trPr>
        <w:cantSplit/>
      </w:trPr>
      <w:tc>
        <w:tcPr>
          <w:tcW w:w="8080" w:type="dxa"/>
          <w:vAlign w:val="center"/>
        </w:tcPr>
        <w:p w:rsidR="00B60076" w:rsidRDefault="00B60076" w:rsidP="003749EB">
          <w:pPr>
            <w:pStyle w:val="RectoFooter"/>
          </w:pPr>
          <w:r>
            <w:t>implementation of new regulatory controls on high-power pointers:</w:t>
          </w:r>
          <w:r>
            <w:br/>
            <w:t>year 5 (1 march 2018–28 february 2019)</w:t>
          </w:r>
        </w:p>
      </w:tc>
      <w:tc>
        <w:tcPr>
          <w:tcW w:w="709" w:type="dxa"/>
          <w:vAlign w:val="center"/>
        </w:tcPr>
        <w:p w:rsidR="00B60076" w:rsidRPr="00931466" w:rsidRDefault="00B60076" w:rsidP="006E288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102444">
            <w:rPr>
              <w:rStyle w:val="PageNumber"/>
              <w:noProof/>
            </w:rPr>
            <w:t>iii</w:t>
          </w:r>
          <w:r w:rsidRPr="00931466">
            <w:rPr>
              <w:rStyle w:val="PageNumber"/>
            </w:rPr>
            <w:fldChar w:fldCharType="end"/>
          </w:r>
        </w:p>
      </w:tc>
    </w:tr>
  </w:tbl>
  <w:p w:rsidR="00B60076" w:rsidRPr="00581EB8" w:rsidRDefault="00B60076" w:rsidP="00581EB8">
    <w:pPr>
      <w:pStyle w:val="Footer"/>
      <w:rPr>
        <w:sz w:val="2"/>
        <w:szCs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47" w:type="dxa"/>
      <w:tblInd w:w="-567" w:type="dxa"/>
      <w:tblLayout w:type="fixed"/>
      <w:tblLook w:val="04A0" w:firstRow="1" w:lastRow="0" w:firstColumn="1" w:lastColumn="0" w:noHBand="0" w:noVBand="1"/>
    </w:tblPr>
    <w:tblGrid>
      <w:gridCol w:w="675"/>
      <w:gridCol w:w="9072"/>
    </w:tblGrid>
    <w:tr w:rsidR="00B60076" w:rsidTr="006E2886">
      <w:trPr>
        <w:cantSplit/>
      </w:trPr>
      <w:tc>
        <w:tcPr>
          <w:tcW w:w="675" w:type="dxa"/>
          <w:vAlign w:val="center"/>
        </w:tcPr>
        <w:p w:rsidR="00B60076" w:rsidRPr="00931466" w:rsidRDefault="00B60076" w:rsidP="006E2886">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102444">
            <w:rPr>
              <w:rStyle w:val="PageNumber"/>
              <w:noProof/>
            </w:rPr>
            <w:t>2</w:t>
          </w:r>
          <w:r w:rsidRPr="00931466">
            <w:rPr>
              <w:rStyle w:val="PageNumber"/>
            </w:rPr>
            <w:fldChar w:fldCharType="end"/>
          </w:r>
        </w:p>
      </w:tc>
      <w:tc>
        <w:tcPr>
          <w:tcW w:w="9072" w:type="dxa"/>
          <w:vAlign w:val="center"/>
        </w:tcPr>
        <w:p w:rsidR="00B60076" w:rsidRDefault="00B60076" w:rsidP="003749EB">
          <w:pPr>
            <w:pStyle w:val="RectoFooter"/>
            <w:jc w:val="left"/>
          </w:pPr>
          <w:r>
            <w:t>implementation of new regulatory controls on high-power pointers:</w:t>
          </w:r>
          <w:r>
            <w:br/>
            <w:t xml:space="preserve">year 5 (1 march 2018–28 february </w:t>
          </w:r>
          <w:r>
            <w:t>2019</w:t>
          </w:r>
          <w:r w:rsidR="00102444">
            <w:t>)</w:t>
          </w:r>
          <w:bookmarkStart w:id="53" w:name="_GoBack"/>
          <w:bookmarkEnd w:id="53"/>
        </w:p>
      </w:tc>
    </w:tr>
  </w:tbl>
  <w:p w:rsidR="00B60076" w:rsidRPr="00571223" w:rsidRDefault="00B60076" w:rsidP="00571223">
    <w:pPr>
      <w:pStyle w:val="VersoFooter"/>
      <w:rPr>
        <w:sz w:val="2"/>
        <w:szCs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9" w:type="dxa"/>
      <w:tblLayout w:type="fixed"/>
      <w:tblCellMar>
        <w:left w:w="0" w:type="dxa"/>
        <w:right w:w="0" w:type="dxa"/>
      </w:tblCellMar>
      <w:tblLook w:val="04A0" w:firstRow="1" w:lastRow="0" w:firstColumn="1" w:lastColumn="0" w:noHBand="0" w:noVBand="1"/>
    </w:tblPr>
    <w:tblGrid>
      <w:gridCol w:w="8080"/>
      <w:gridCol w:w="709"/>
    </w:tblGrid>
    <w:tr w:rsidR="00B60076" w:rsidTr="006E2886">
      <w:trPr>
        <w:cantSplit/>
      </w:trPr>
      <w:tc>
        <w:tcPr>
          <w:tcW w:w="8080" w:type="dxa"/>
          <w:vAlign w:val="center"/>
        </w:tcPr>
        <w:p w:rsidR="00B60076" w:rsidRDefault="00B60076" w:rsidP="003749EB">
          <w:pPr>
            <w:pStyle w:val="RectoFooter"/>
          </w:pPr>
          <w:r>
            <w:t>implementation of new regulatory controls on high-power pointers:</w:t>
          </w:r>
          <w:r>
            <w:br/>
            <w:t>year 5 (1 march 2018–28 february 2019)</w:t>
          </w:r>
        </w:p>
      </w:tc>
      <w:tc>
        <w:tcPr>
          <w:tcW w:w="709" w:type="dxa"/>
          <w:vAlign w:val="center"/>
        </w:tcPr>
        <w:p w:rsidR="00B60076" w:rsidRPr="00931466" w:rsidRDefault="00B60076" w:rsidP="006E288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102444">
            <w:rPr>
              <w:rStyle w:val="PageNumber"/>
              <w:noProof/>
            </w:rPr>
            <w:t>7</w:t>
          </w:r>
          <w:r w:rsidRPr="00931466">
            <w:rPr>
              <w:rStyle w:val="PageNumber"/>
            </w:rPr>
            <w:fldChar w:fldCharType="end"/>
          </w:r>
        </w:p>
      </w:tc>
    </w:tr>
  </w:tbl>
  <w:p w:rsidR="00B60076" w:rsidRPr="00581EB8" w:rsidRDefault="00B60076" w:rsidP="00581EB8">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6DA6" w:rsidRPr="00A26E6B" w:rsidRDefault="00B06DA6" w:rsidP="00A26E6B"/>
  </w:footnote>
  <w:footnote w:type="continuationSeparator" w:id="0">
    <w:p w:rsidR="00B06DA6" w:rsidRDefault="00B06DA6">
      <w:r>
        <w:continuationSeparator/>
      </w:r>
    </w:p>
    <w:p w:rsidR="00B06DA6" w:rsidRDefault="00B06DA6"/>
  </w:footnote>
  <w:footnote w:id="1">
    <w:p w:rsidR="00B60076" w:rsidRDefault="00B60076" w:rsidP="000366B3">
      <w:pPr>
        <w:pStyle w:val="FootnoteText"/>
      </w:pPr>
      <w:r w:rsidRPr="000366B3">
        <w:rPr>
          <w:rStyle w:val="FootnoteReference"/>
        </w:rPr>
        <w:footnoteRef/>
      </w:r>
      <w:r>
        <w:tab/>
        <w:t xml:space="preserve">Ministry of Health. 2014. High-power laser pointers. URL: </w:t>
      </w:r>
      <w:hyperlink r:id="rId1" w:history="1">
        <w:r w:rsidRPr="00B62ACB">
          <w:rPr>
            <w:rStyle w:val="Hyperlink"/>
          </w:rPr>
          <w:t>www.health.govt.nz/our-work/environmental-health/high-power-laser-pointers</w:t>
        </w:r>
      </w:hyperlink>
      <w:r>
        <w:t xml:space="preserve"> (accessed 14 May 2019).</w:t>
      </w:r>
    </w:p>
  </w:footnote>
  <w:footnote w:id="2">
    <w:p w:rsidR="00B60076" w:rsidRDefault="00B60076" w:rsidP="000366B3">
      <w:pPr>
        <w:pStyle w:val="FootnoteText"/>
      </w:pPr>
      <w:r w:rsidRPr="000366B3">
        <w:rPr>
          <w:rStyle w:val="FootnoteReference"/>
        </w:rPr>
        <w:footnoteRef/>
      </w:r>
      <w:r>
        <w:tab/>
        <w:t xml:space="preserve">See </w:t>
      </w:r>
      <w:r w:rsidRPr="00711E90">
        <w:t xml:space="preserve">Trade Me </w:t>
      </w:r>
      <w:r>
        <w:t>B</w:t>
      </w:r>
      <w:r w:rsidRPr="00711E90">
        <w:t>log</w:t>
      </w:r>
      <w:r>
        <w:t>.</w:t>
      </w:r>
      <w:r w:rsidRPr="00711E90">
        <w:t xml:space="preserve"> </w:t>
      </w:r>
      <w:r>
        <w:t xml:space="preserve">2014. </w:t>
      </w:r>
      <w:r w:rsidRPr="00286940">
        <w:t>High powered laser pointers cannot be sold on Trade Me</w:t>
      </w:r>
      <w:r>
        <w:t>. URL:</w:t>
      </w:r>
      <w:r w:rsidRPr="00286940">
        <w:t xml:space="preserve"> </w:t>
      </w:r>
      <w:hyperlink r:id="rId2" w:history="1">
        <w:r w:rsidRPr="00B62ACB">
          <w:rPr>
            <w:rStyle w:val="Hyperlink"/>
          </w:rPr>
          <w:t>www.trademe.co.nz/trust-safety/2014/2/17/rules-on-listing-laser-pointers/</w:t>
        </w:r>
      </w:hyperlink>
      <w:r>
        <w:t xml:space="preserve"> (accessed 14 May 2019).</w:t>
      </w:r>
    </w:p>
  </w:footnote>
  <w:footnote w:id="3">
    <w:p w:rsidR="00B60076" w:rsidRDefault="00B60076" w:rsidP="000366B3">
      <w:pPr>
        <w:pStyle w:val="FootnoteText"/>
      </w:pPr>
      <w:r w:rsidRPr="000366B3">
        <w:rPr>
          <w:rStyle w:val="FootnoteReference"/>
        </w:rPr>
        <w:footnoteRef/>
      </w:r>
      <w:r>
        <w:tab/>
        <w:t>Numbers from 1 March 2014 to mid-May 2014 have been estimated, based on the number of listings for the rest of the year.</w:t>
      </w:r>
    </w:p>
  </w:footnote>
  <w:footnote w:id="4">
    <w:p w:rsidR="00B60076" w:rsidRDefault="00B60076" w:rsidP="000366B3">
      <w:pPr>
        <w:pStyle w:val="FootnoteText"/>
      </w:pPr>
      <w:r w:rsidRPr="000366B3">
        <w:rPr>
          <w:rStyle w:val="FootnoteReference"/>
        </w:rPr>
        <w:footnoteRef/>
      </w:r>
      <w:r>
        <w:tab/>
        <w:t>Ministry of Health has a Trade Me email account that can be used to send advisory messages to sellers, or to report listings through a Community Watch function.</w:t>
      </w:r>
    </w:p>
  </w:footnote>
  <w:footnote w:id="5">
    <w:p w:rsidR="00B60076" w:rsidRDefault="00B60076" w:rsidP="00D653CA">
      <w:pPr>
        <w:pStyle w:val="FootnoteText"/>
      </w:pPr>
      <w:r w:rsidRPr="00D653CA">
        <w:rPr>
          <w:rStyle w:val="FootnoteReference"/>
        </w:rPr>
        <w:footnoteRef/>
      </w:r>
      <w:r>
        <w:tab/>
        <w:t xml:space="preserve">Department for Business, Energy &amp; Industrial Strategy. 2018. </w:t>
      </w:r>
      <w:r w:rsidRPr="009D2F0B">
        <w:rPr>
          <w:i/>
        </w:rPr>
        <w:t>Call for Evidence: Laser Pointers: Government response</w:t>
      </w:r>
      <w:r>
        <w:t xml:space="preserve">. London: Department for Business, Energy &amp; Industrial Strategy. URL: </w:t>
      </w:r>
      <w:r w:rsidRPr="00D653CA">
        <w:rPr>
          <w:rStyle w:val="Hyperlink"/>
        </w:rPr>
        <w:t>https://assets.publishing.service.gov.uk/government/uploads/system/uploads/attachment_data/file/672013/laser-pointers-call-for-evidence-government-response.pdf</w:t>
      </w:r>
      <w:r>
        <w:t xml:space="preserve"> (accessed 14 May 2019).</w:t>
      </w:r>
    </w:p>
  </w:footnote>
  <w:footnote w:id="6">
    <w:p w:rsidR="00B60076" w:rsidRDefault="00B60076" w:rsidP="00D653CA">
      <w:pPr>
        <w:pStyle w:val="FootnoteText"/>
      </w:pPr>
      <w:r w:rsidRPr="00D653CA">
        <w:rPr>
          <w:rStyle w:val="FootnoteReference"/>
        </w:rPr>
        <w:footnoteRef/>
      </w:r>
      <w:r>
        <w:tab/>
        <w:t xml:space="preserve">The system for classifying pointers is outlined on the Ministry of Health website </w:t>
      </w:r>
      <w:r w:rsidRPr="00D653CA">
        <w:rPr>
          <w:rStyle w:val="Hyperlink"/>
        </w:rPr>
        <w:t>https://www.health.govt.nz/our-work/environmental-health/high-power-laser-pointers/questions-and-answers-new-controls-high-power-laser-pointers</w:t>
      </w:r>
      <w:r>
        <w:rPr>
          <w:rStyle w:val="Hyperlink"/>
        </w:rPr>
        <w:t>.</w:t>
      </w:r>
    </w:p>
  </w:footnote>
  <w:footnote w:id="7">
    <w:p w:rsidR="00B60076" w:rsidRDefault="00B60076" w:rsidP="00D653CA">
      <w:pPr>
        <w:pStyle w:val="FootnoteText"/>
      </w:pPr>
      <w:r w:rsidRPr="00D653CA">
        <w:rPr>
          <w:rStyle w:val="FootnoteReference"/>
        </w:rPr>
        <w:footnoteRef/>
      </w:r>
      <w:r>
        <w:tab/>
        <w:t xml:space="preserve">Government of Canada. 2018. Aiming a laser at an aircraft – Not a bright idea. URL: </w:t>
      </w:r>
      <w:r w:rsidRPr="00D653CA">
        <w:rPr>
          <w:rStyle w:val="Hyperlink"/>
        </w:rPr>
        <w:t>www.tc.gc.ca/en/campaigns/not-bright-idea.html</w:t>
      </w:r>
      <w:r>
        <w:t xml:space="preserve"> (accessed 14 May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444" w:rsidRDefault="001024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4A0" w:firstRow="1" w:lastRow="0" w:firstColumn="1" w:lastColumn="0" w:noHBand="0" w:noVBand="1"/>
    </w:tblPr>
    <w:tblGrid>
      <w:gridCol w:w="5210"/>
      <w:gridCol w:w="4429"/>
    </w:tblGrid>
    <w:tr w:rsidR="00B60076" w:rsidTr="005A79E5">
      <w:trPr>
        <w:cantSplit/>
      </w:trPr>
      <w:tc>
        <w:tcPr>
          <w:tcW w:w="5210" w:type="dxa"/>
        </w:tcPr>
        <w:p w:rsidR="00B60076" w:rsidRDefault="00B60076" w:rsidP="008814E8">
          <w:pPr>
            <w:pStyle w:val="Header"/>
          </w:pPr>
          <w:r>
            <w:rPr>
              <w:noProof/>
              <w:lang w:eastAsia="en-NZ"/>
            </w:rPr>
            <w:drawing>
              <wp:inline distT="0" distB="0" distL="0" distR="0" wp14:anchorId="0B5E613C" wp14:editId="3EC4E4FB">
                <wp:extent cx="1395076" cy="5735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H_logo1_RGB.jpg"/>
                        <pic:cNvPicPr/>
                      </pic:nvPicPr>
                      <pic:blipFill rotWithShape="1">
                        <a:blip r:embed="rId1" cstate="print">
                          <a:extLst>
                            <a:ext uri="{28A0092B-C50C-407E-A947-70E740481C1C}">
                              <a14:useLocalDpi xmlns:a14="http://schemas.microsoft.com/office/drawing/2010/main" val="0"/>
                            </a:ext>
                          </a:extLst>
                        </a:blip>
                        <a:srcRect l="7327" t="15285" r="7327" b="13946"/>
                        <a:stretch/>
                      </pic:blipFill>
                      <pic:spPr bwMode="auto">
                        <a:xfrm>
                          <a:off x="0" y="0"/>
                          <a:ext cx="1397853" cy="574720"/>
                        </a:xfrm>
                        <a:prstGeom prst="rect">
                          <a:avLst/>
                        </a:prstGeom>
                        <a:ln>
                          <a:noFill/>
                        </a:ln>
                        <a:extLst>
                          <a:ext uri="{53640926-AAD7-44D8-BBD7-CCE9431645EC}">
                            <a14:shadowObscured xmlns:a14="http://schemas.microsoft.com/office/drawing/2010/main"/>
                          </a:ext>
                        </a:extLst>
                      </pic:spPr>
                    </pic:pic>
                  </a:graphicData>
                </a:graphic>
              </wp:inline>
            </w:drawing>
          </w:r>
        </w:p>
      </w:tc>
      <w:tc>
        <w:tcPr>
          <w:tcW w:w="4429" w:type="dxa"/>
          <w:vAlign w:val="center"/>
        </w:tcPr>
        <w:p w:rsidR="00B60076" w:rsidRDefault="00B60076" w:rsidP="008814E8">
          <w:pPr>
            <w:pStyle w:val="Header"/>
            <w:jc w:val="right"/>
          </w:pPr>
          <w:r>
            <w:rPr>
              <w:noProof/>
              <w:lang w:eastAsia="en-NZ"/>
            </w:rPr>
            <w:drawing>
              <wp:inline distT="0" distB="0" distL="0" distR="0" wp14:anchorId="22915524" wp14:editId="3C7C0565">
                <wp:extent cx="1720735" cy="1771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governmentblacksmall.jpg"/>
                        <pic:cNvPicPr/>
                      </pic:nvPicPr>
                      <pic:blipFill>
                        <a:blip r:embed="rId2">
                          <a:extLst>
                            <a:ext uri="{28A0092B-C50C-407E-A947-70E740481C1C}">
                              <a14:useLocalDpi xmlns:a14="http://schemas.microsoft.com/office/drawing/2010/main" val="0"/>
                            </a:ext>
                          </a:extLst>
                        </a:blip>
                        <a:stretch>
                          <a:fillRect/>
                        </a:stretch>
                      </pic:blipFill>
                      <pic:spPr>
                        <a:xfrm>
                          <a:off x="0" y="0"/>
                          <a:ext cx="1718896" cy="176946"/>
                        </a:xfrm>
                        <a:prstGeom prst="rect">
                          <a:avLst/>
                        </a:prstGeom>
                      </pic:spPr>
                    </pic:pic>
                  </a:graphicData>
                </a:graphic>
              </wp:inline>
            </w:drawing>
          </w:r>
        </w:p>
      </w:tc>
    </w:tr>
  </w:tbl>
  <w:p w:rsidR="00B60076" w:rsidRDefault="00B6007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444" w:rsidRDefault="0010244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076" w:rsidRDefault="00B60076" w:rsidP="00533B90"/>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076" w:rsidRDefault="00B60076" w:rsidP="009001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50D64"/>
    <w:multiLevelType w:val="multilevel"/>
    <w:tmpl w:val="33B63C2A"/>
    <w:lvl w:ilvl="0">
      <w:start w:val="1"/>
      <w:numFmt w:val="bullet"/>
      <w:lvlText w:val=""/>
      <w:lvlJc w:val="left"/>
      <w:pPr>
        <w:ind w:left="357" w:hanging="357"/>
      </w:pPr>
      <w:rPr>
        <w:rFonts w:ascii="Symbol" w:hAnsi="Symbol" w:hint="default"/>
        <w:sz w:val="22"/>
        <w:szCs w:val="22"/>
        <w:vertAlign w:val="baseline"/>
      </w:rPr>
    </w:lvl>
    <w:lvl w:ilvl="1">
      <w:start w:val="1"/>
      <w:numFmt w:val="bullet"/>
      <w:lvlText w:val=""/>
      <w:lvlJc w:val="left"/>
      <w:pPr>
        <w:tabs>
          <w:tab w:val="num" w:pos="1424"/>
        </w:tabs>
        <w:ind w:left="1066" w:hanging="357"/>
      </w:pPr>
      <w:rPr>
        <w:rFonts w:ascii="Symbol" w:hAnsi="Symbol" w:hint="default"/>
        <w:sz w:val="22"/>
        <w:vertAlign w:val="superscript"/>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1" w15:restartNumberingAfterBreak="0">
    <w:nsid w:val="00D817C7"/>
    <w:multiLevelType w:val="multilevel"/>
    <w:tmpl w:val="04B4C876"/>
    <w:lvl w:ilvl="0">
      <w:start w:val="1"/>
      <w:numFmt w:val="decimal"/>
      <w:lvlText w:val="%1"/>
      <w:lvlJc w:val="left"/>
      <w:pPr>
        <w:ind w:left="992" w:hanging="992"/>
      </w:pPr>
      <w:rPr>
        <w:rFonts w:hint="default"/>
      </w:rPr>
    </w:lvl>
    <w:lvl w:ilvl="1">
      <w:start w:val="1"/>
      <w:numFmt w:val="lowerLetter"/>
      <w:lvlText w:val="%2."/>
      <w:lvlJc w:val="left"/>
      <w:pPr>
        <w:ind w:left="992" w:hanging="992"/>
      </w:pPr>
      <w:rPr>
        <w:rFonts w:hint="default"/>
      </w:rPr>
    </w:lvl>
    <w:lvl w:ilvl="2">
      <w:start w:val="1"/>
      <w:numFmt w:val="none"/>
      <w:suff w:val="nothing"/>
      <w:lvlText w:val="%3"/>
      <w:lvlJc w:val="left"/>
      <w:pPr>
        <w:ind w:left="0" w:firstLine="0"/>
      </w:pPr>
      <w:rPr>
        <w:rFonts w:hint="default"/>
      </w:rPr>
    </w:lvl>
    <w:lvl w:ilvl="3">
      <w:start w:val="1"/>
      <w:numFmt w:val="decimal"/>
      <w:pStyle w:val="Number"/>
      <w:lvlText w:val="%4."/>
      <w:lvlJc w:val="left"/>
      <w:pPr>
        <w:ind w:left="567" w:hanging="567"/>
      </w:pPr>
      <w:rPr>
        <w:rFonts w:hint="default"/>
      </w:rPr>
    </w:lvl>
    <w:lvl w:ilvl="4">
      <w:start w:val="1"/>
      <w:numFmt w:val="lowerLetter"/>
      <w:pStyle w:val="Letter"/>
      <w:lvlText w:val="%5."/>
      <w:lvlJc w:val="left"/>
      <w:pPr>
        <w:ind w:left="1134" w:hanging="567"/>
      </w:pPr>
      <w:rPr>
        <w:rFonts w:hint="default"/>
      </w:rPr>
    </w:lvl>
    <w:lvl w:ilvl="5">
      <w:start w:val="1"/>
      <w:numFmt w:val="lowerRoman"/>
      <w:pStyle w:val="Roman"/>
      <w:lvlText w:val="%6."/>
      <w:lvlJc w:val="left"/>
      <w:pPr>
        <w:ind w:left="1701"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1623B1E"/>
    <w:multiLevelType w:val="hybridMultilevel"/>
    <w:tmpl w:val="4A3E85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1B64AE7"/>
    <w:multiLevelType w:val="hybridMultilevel"/>
    <w:tmpl w:val="7AF45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5" w15:restartNumberingAfterBreak="0">
    <w:nsid w:val="05954F30"/>
    <w:multiLevelType w:val="hybridMultilevel"/>
    <w:tmpl w:val="40485C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6FA6483"/>
    <w:multiLevelType w:val="hybridMultilevel"/>
    <w:tmpl w:val="8394396E"/>
    <w:lvl w:ilvl="0" w:tplc="14090001">
      <w:start w:val="1"/>
      <w:numFmt w:val="bullet"/>
      <w:lvlText w:val=""/>
      <w:lvlJc w:val="left"/>
      <w:pPr>
        <w:ind w:left="790" w:hanging="360"/>
      </w:pPr>
      <w:rPr>
        <w:rFonts w:ascii="Symbol" w:hAnsi="Symbol" w:hint="default"/>
      </w:rPr>
    </w:lvl>
    <w:lvl w:ilvl="1" w:tplc="14090003" w:tentative="1">
      <w:start w:val="1"/>
      <w:numFmt w:val="bullet"/>
      <w:lvlText w:val="o"/>
      <w:lvlJc w:val="left"/>
      <w:pPr>
        <w:ind w:left="1510" w:hanging="360"/>
      </w:pPr>
      <w:rPr>
        <w:rFonts w:ascii="Courier New" w:hAnsi="Courier New" w:cs="Courier New" w:hint="default"/>
      </w:rPr>
    </w:lvl>
    <w:lvl w:ilvl="2" w:tplc="14090005" w:tentative="1">
      <w:start w:val="1"/>
      <w:numFmt w:val="bullet"/>
      <w:lvlText w:val=""/>
      <w:lvlJc w:val="left"/>
      <w:pPr>
        <w:ind w:left="2230" w:hanging="360"/>
      </w:pPr>
      <w:rPr>
        <w:rFonts w:ascii="Wingdings" w:hAnsi="Wingdings" w:hint="default"/>
      </w:rPr>
    </w:lvl>
    <w:lvl w:ilvl="3" w:tplc="14090001" w:tentative="1">
      <w:start w:val="1"/>
      <w:numFmt w:val="bullet"/>
      <w:lvlText w:val=""/>
      <w:lvlJc w:val="left"/>
      <w:pPr>
        <w:ind w:left="2950" w:hanging="360"/>
      </w:pPr>
      <w:rPr>
        <w:rFonts w:ascii="Symbol" w:hAnsi="Symbol" w:hint="default"/>
      </w:rPr>
    </w:lvl>
    <w:lvl w:ilvl="4" w:tplc="14090003" w:tentative="1">
      <w:start w:val="1"/>
      <w:numFmt w:val="bullet"/>
      <w:lvlText w:val="o"/>
      <w:lvlJc w:val="left"/>
      <w:pPr>
        <w:ind w:left="3670" w:hanging="360"/>
      </w:pPr>
      <w:rPr>
        <w:rFonts w:ascii="Courier New" w:hAnsi="Courier New" w:cs="Courier New" w:hint="default"/>
      </w:rPr>
    </w:lvl>
    <w:lvl w:ilvl="5" w:tplc="14090005" w:tentative="1">
      <w:start w:val="1"/>
      <w:numFmt w:val="bullet"/>
      <w:lvlText w:val=""/>
      <w:lvlJc w:val="left"/>
      <w:pPr>
        <w:ind w:left="4390" w:hanging="360"/>
      </w:pPr>
      <w:rPr>
        <w:rFonts w:ascii="Wingdings" w:hAnsi="Wingdings" w:hint="default"/>
      </w:rPr>
    </w:lvl>
    <w:lvl w:ilvl="6" w:tplc="14090001" w:tentative="1">
      <w:start w:val="1"/>
      <w:numFmt w:val="bullet"/>
      <w:lvlText w:val=""/>
      <w:lvlJc w:val="left"/>
      <w:pPr>
        <w:ind w:left="5110" w:hanging="360"/>
      </w:pPr>
      <w:rPr>
        <w:rFonts w:ascii="Symbol" w:hAnsi="Symbol" w:hint="default"/>
      </w:rPr>
    </w:lvl>
    <w:lvl w:ilvl="7" w:tplc="14090003" w:tentative="1">
      <w:start w:val="1"/>
      <w:numFmt w:val="bullet"/>
      <w:lvlText w:val="o"/>
      <w:lvlJc w:val="left"/>
      <w:pPr>
        <w:ind w:left="5830" w:hanging="360"/>
      </w:pPr>
      <w:rPr>
        <w:rFonts w:ascii="Courier New" w:hAnsi="Courier New" w:cs="Courier New" w:hint="default"/>
      </w:rPr>
    </w:lvl>
    <w:lvl w:ilvl="8" w:tplc="14090005" w:tentative="1">
      <w:start w:val="1"/>
      <w:numFmt w:val="bullet"/>
      <w:lvlText w:val=""/>
      <w:lvlJc w:val="left"/>
      <w:pPr>
        <w:ind w:left="6550" w:hanging="360"/>
      </w:pPr>
      <w:rPr>
        <w:rFonts w:ascii="Wingdings" w:hAnsi="Wingdings" w:hint="default"/>
      </w:rPr>
    </w:lvl>
  </w:abstractNum>
  <w:abstractNum w:abstractNumId="7" w15:restartNumberingAfterBreak="0">
    <w:nsid w:val="076735CD"/>
    <w:multiLevelType w:val="hybridMultilevel"/>
    <w:tmpl w:val="8C5057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07E80BCA"/>
    <w:multiLevelType w:val="hybridMultilevel"/>
    <w:tmpl w:val="0018F4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08142377"/>
    <w:multiLevelType w:val="hybridMultilevel"/>
    <w:tmpl w:val="C02C123E"/>
    <w:lvl w:ilvl="0" w:tplc="78E449E2">
      <w:start w:val="1"/>
      <w:numFmt w:val="lowerRoman"/>
      <w:lvlText w:val="%1."/>
      <w:lvlJc w:val="left"/>
      <w:pPr>
        <w:ind w:left="1440" w:hanging="720"/>
      </w:pPr>
      <w:rPr>
        <w:rFonts w:hint="default"/>
      </w:rPr>
    </w:lvl>
    <w:lvl w:ilvl="1" w:tplc="14090019">
      <w:start w:val="1"/>
      <w:numFmt w:val="lowerLetter"/>
      <w:lvlText w:val="%2."/>
      <w:lvlJc w:val="left"/>
      <w:pPr>
        <w:ind w:left="1800" w:hanging="360"/>
      </w:pPr>
    </w:lvl>
    <w:lvl w:ilvl="2" w:tplc="1409001B">
      <w:start w:val="1"/>
      <w:numFmt w:val="lowerRoman"/>
      <w:lvlText w:val="%3."/>
      <w:lvlJc w:val="right"/>
      <w:pPr>
        <w:ind w:left="2520" w:hanging="180"/>
      </w:pPr>
    </w:lvl>
    <w:lvl w:ilvl="3" w:tplc="1409000F">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0" w15:restartNumberingAfterBreak="0">
    <w:nsid w:val="0C8C07BC"/>
    <w:multiLevelType w:val="hybridMultilevel"/>
    <w:tmpl w:val="ABA8FA9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0D8C5D5A"/>
    <w:multiLevelType w:val="multilevel"/>
    <w:tmpl w:val="2CD092E4"/>
    <w:lvl w:ilvl="0">
      <w:start w:val="1"/>
      <w:numFmt w:val="bullet"/>
      <w:lvlText w:val="o"/>
      <w:lvlJc w:val="left"/>
      <w:pPr>
        <w:ind w:left="357" w:hanging="357"/>
      </w:pPr>
      <w:rPr>
        <w:rFonts w:ascii="Courier New" w:hAnsi="Courier New" w:cs="Courier New" w:hint="default"/>
        <w:sz w:val="22"/>
      </w:rPr>
    </w:lvl>
    <w:lvl w:ilvl="1">
      <w:start w:val="1"/>
      <w:numFmt w:val="bullet"/>
      <w:lvlText w:val="o"/>
      <w:lvlJc w:val="left"/>
      <w:pPr>
        <w:tabs>
          <w:tab w:val="num" w:pos="1072"/>
        </w:tabs>
        <w:ind w:left="714" w:hanging="357"/>
      </w:pPr>
      <w:rPr>
        <w:rFonts w:ascii="Courier New" w:hAnsi="Courier New" w:cs="Courier New"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12" w15:restartNumberingAfterBreak="0">
    <w:nsid w:val="12370A65"/>
    <w:multiLevelType w:val="multilevel"/>
    <w:tmpl w:val="14090029"/>
    <w:lvl w:ilvl="0">
      <w:start w:val="1"/>
      <w:numFmt w:val="decimal"/>
      <w:suff w:val="space"/>
      <w:lvlText w:val="Chapter %1"/>
      <w:lvlJc w:val="left"/>
      <w:pPr>
        <w:ind w:left="397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157C748E"/>
    <w:multiLevelType w:val="hybridMultilevel"/>
    <w:tmpl w:val="78BA14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1AD060F0"/>
    <w:multiLevelType w:val="multilevel"/>
    <w:tmpl w:val="8362BF2E"/>
    <w:lvl w:ilvl="0">
      <w:start w:val="1"/>
      <w:numFmt w:val="upperRoman"/>
      <w:lvlText w:val="%1."/>
      <w:lvlJc w:val="right"/>
      <w:pPr>
        <w:ind w:left="357" w:hanging="357"/>
      </w:pPr>
      <w:rPr>
        <w:rFonts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15" w15:restartNumberingAfterBreak="0">
    <w:nsid w:val="1C39728D"/>
    <w:multiLevelType w:val="hybridMultilevel"/>
    <w:tmpl w:val="FD2042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1D905CD6"/>
    <w:multiLevelType w:val="hybridMultilevel"/>
    <w:tmpl w:val="B16E54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EA0626C"/>
    <w:multiLevelType w:val="multilevel"/>
    <w:tmpl w:val="1422C38A"/>
    <w:lvl w:ilvl="0">
      <w:start w:val="1"/>
      <w:numFmt w:val="upperRoman"/>
      <w:lvlText w:val="%1."/>
      <w:lvlJc w:val="right"/>
      <w:pPr>
        <w:ind w:left="357" w:hanging="357"/>
      </w:pPr>
      <w:rPr>
        <w:rFonts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18" w15:restartNumberingAfterBreak="0">
    <w:nsid w:val="2F3E22D3"/>
    <w:multiLevelType w:val="multilevel"/>
    <w:tmpl w:val="758E542E"/>
    <w:lvl w:ilvl="0">
      <w:start w:val="1"/>
      <w:numFmt w:val="bullet"/>
      <w:lvlText w:val="o"/>
      <w:lvlJc w:val="left"/>
      <w:pPr>
        <w:ind w:left="357" w:hanging="357"/>
      </w:pPr>
      <w:rPr>
        <w:rFonts w:ascii="Courier New" w:hAnsi="Courier New" w:cs="Courier New"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19" w15:restartNumberingAfterBreak="0">
    <w:nsid w:val="34DB6753"/>
    <w:multiLevelType w:val="multilevel"/>
    <w:tmpl w:val="CFA0ECDC"/>
    <w:lvl w:ilvl="0">
      <w:start w:val="1"/>
      <w:numFmt w:val="decimal"/>
      <w:lvlText w:val="%1)"/>
      <w:lvlJc w:val="left"/>
      <w:pPr>
        <w:ind w:left="1494" w:hanging="360"/>
      </w:pPr>
      <w:rPr>
        <w:rFonts w:hint="default"/>
      </w:rPr>
    </w:lvl>
    <w:lvl w:ilvl="1" w:tentative="1">
      <w:start w:val="1"/>
      <w:numFmt w:val="lowerLetter"/>
      <w:lvlText w:val="%2."/>
      <w:lvlJc w:val="left"/>
      <w:pPr>
        <w:ind w:left="2214" w:hanging="360"/>
      </w:pPr>
    </w:lvl>
    <w:lvl w:ilvl="2" w:tentative="1">
      <w:start w:val="1"/>
      <w:numFmt w:val="lowerRoman"/>
      <w:lvlText w:val="%3."/>
      <w:lvlJc w:val="right"/>
      <w:pPr>
        <w:ind w:left="2934" w:hanging="180"/>
      </w:pPr>
    </w:lvl>
    <w:lvl w:ilvl="3" w:tentative="1">
      <w:start w:val="1"/>
      <w:numFmt w:val="decimal"/>
      <w:lvlText w:val="%4."/>
      <w:lvlJc w:val="left"/>
      <w:pPr>
        <w:ind w:left="3654" w:hanging="360"/>
      </w:pPr>
    </w:lvl>
    <w:lvl w:ilvl="4" w:tentative="1">
      <w:start w:val="1"/>
      <w:numFmt w:val="lowerLetter"/>
      <w:lvlText w:val="%5."/>
      <w:lvlJc w:val="left"/>
      <w:pPr>
        <w:ind w:left="4374" w:hanging="360"/>
      </w:pPr>
    </w:lvl>
    <w:lvl w:ilvl="5" w:tentative="1">
      <w:start w:val="1"/>
      <w:numFmt w:val="lowerRoman"/>
      <w:lvlText w:val="%6."/>
      <w:lvlJc w:val="right"/>
      <w:pPr>
        <w:ind w:left="5094" w:hanging="180"/>
      </w:pPr>
    </w:lvl>
    <w:lvl w:ilvl="6" w:tentative="1">
      <w:start w:val="1"/>
      <w:numFmt w:val="decimal"/>
      <w:lvlText w:val="%7."/>
      <w:lvlJc w:val="left"/>
      <w:pPr>
        <w:ind w:left="5814" w:hanging="360"/>
      </w:pPr>
    </w:lvl>
    <w:lvl w:ilvl="7" w:tentative="1">
      <w:start w:val="1"/>
      <w:numFmt w:val="lowerLetter"/>
      <w:lvlText w:val="%8."/>
      <w:lvlJc w:val="left"/>
      <w:pPr>
        <w:ind w:left="6534" w:hanging="360"/>
      </w:pPr>
    </w:lvl>
    <w:lvl w:ilvl="8" w:tentative="1">
      <w:start w:val="1"/>
      <w:numFmt w:val="lowerRoman"/>
      <w:lvlText w:val="%9."/>
      <w:lvlJc w:val="right"/>
      <w:pPr>
        <w:ind w:left="7254" w:hanging="180"/>
      </w:pPr>
    </w:lvl>
  </w:abstractNum>
  <w:abstractNum w:abstractNumId="20" w15:restartNumberingAfterBreak="0">
    <w:nsid w:val="35C46315"/>
    <w:multiLevelType w:val="hybridMultilevel"/>
    <w:tmpl w:val="98C66A74"/>
    <w:lvl w:ilvl="0" w:tplc="B4C469BA">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1" w15:restartNumberingAfterBreak="0">
    <w:nsid w:val="36F214BA"/>
    <w:multiLevelType w:val="multilevel"/>
    <w:tmpl w:val="9C9A3D3A"/>
    <w:lvl w:ilvl="0">
      <w:start w:val="1"/>
      <w:numFmt w:val="bullet"/>
      <w:lvlText w:val=""/>
      <w:lvlJc w:val="left"/>
      <w:pPr>
        <w:ind w:left="357" w:hanging="357"/>
      </w:pPr>
      <w:rPr>
        <w:rFonts w:ascii="Symbol" w:hAnsi="Symbol"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o"/>
      <w:lvlJc w:val="left"/>
      <w:pPr>
        <w:tabs>
          <w:tab w:val="num" w:pos="1785"/>
        </w:tabs>
        <w:ind w:left="1428" w:hanging="357"/>
      </w:pPr>
      <w:rPr>
        <w:rFonts w:ascii="Courier New" w:hAnsi="Courier New" w:cs="Courier New"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22" w15:restartNumberingAfterBreak="0">
    <w:nsid w:val="3B1E2835"/>
    <w:multiLevelType w:val="hybridMultilevel"/>
    <w:tmpl w:val="6BFE46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3BBE233B"/>
    <w:multiLevelType w:val="multilevel"/>
    <w:tmpl w:val="050295EA"/>
    <w:lvl w:ilvl="0">
      <w:start w:val="1"/>
      <w:numFmt w:val="bullet"/>
      <w:lvlText w:val=""/>
      <w:lvlJc w:val="left"/>
      <w:pPr>
        <w:ind w:left="357" w:hanging="357"/>
      </w:pPr>
      <w:rPr>
        <w:rFonts w:ascii="Symbol" w:hAnsi="Symbol" w:hint="default"/>
        <w:sz w:val="22"/>
        <w:szCs w:val="22"/>
        <w:vertAlign w:val="baseline"/>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24"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27264AA"/>
    <w:multiLevelType w:val="multilevel"/>
    <w:tmpl w:val="48462F1A"/>
    <w:lvl w:ilvl="0">
      <w:start w:val="1"/>
      <w:numFmt w:val="bullet"/>
      <w:lvlText w:val=""/>
      <w:lvlJc w:val="left"/>
      <w:pPr>
        <w:ind w:left="357" w:hanging="357"/>
      </w:pPr>
      <w:rPr>
        <w:rFonts w:ascii="Symbol" w:hAnsi="Symbol" w:hint="default"/>
        <w:sz w:val="22"/>
      </w:rPr>
    </w:lvl>
    <w:lvl w:ilvl="1">
      <w:start w:val="1"/>
      <w:numFmt w:val="bullet"/>
      <w:lvlText w:val="o"/>
      <w:lvlJc w:val="left"/>
      <w:pPr>
        <w:tabs>
          <w:tab w:val="num" w:pos="1072"/>
        </w:tabs>
        <w:ind w:left="714" w:hanging="357"/>
      </w:pPr>
      <w:rPr>
        <w:rFonts w:ascii="Courier New" w:hAnsi="Courier New" w:cs="Courier New"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27" w15:restartNumberingAfterBreak="0">
    <w:nsid w:val="4494175B"/>
    <w:multiLevelType w:val="hybridMultilevel"/>
    <w:tmpl w:val="8B40A2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46A02079"/>
    <w:multiLevelType w:val="multilevel"/>
    <w:tmpl w:val="F910959A"/>
    <w:lvl w:ilvl="0">
      <w:start w:val="1"/>
      <w:numFmt w:val="bullet"/>
      <w:lvlText w:val="o"/>
      <w:lvlJc w:val="left"/>
      <w:pPr>
        <w:ind w:left="357" w:hanging="357"/>
      </w:pPr>
      <w:rPr>
        <w:rFonts w:ascii="Courier New" w:hAnsi="Courier New" w:cs="Courier New" w:hint="default"/>
        <w:sz w:val="22"/>
      </w:rPr>
    </w:lvl>
    <w:lvl w:ilvl="1">
      <w:start w:val="1"/>
      <w:numFmt w:val="bullet"/>
      <w:lvlText w:val="o"/>
      <w:lvlJc w:val="left"/>
      <w:pPr>
        <w:tabs>
          <w:tab w:val="num" w:pos="1072"/>
        </w:tabs>
        <w:ind w:left="714" w:hanging="357"/>
      </w:pPr>
      <w:rPr>
        <w:rFonts w:ascii="Courier New" w:hAnsi="Courier New" w:cs="Courier New"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29" w15:restartNumberingAfterBreak="0">
    <w:nsid w:val="4F843D9E"/>
    <w:multiLevelType w:val="multilevel"/>
    <w:tmpl w:val="68EA507E"/>
    <w:lvl w:ilvl="0">
      <w:start w:val="1"/>
      <w:numFmt w:val="decimal"/>
      <w:suff w:val="nothing"/>
      <w:lvlText w:val="Chapter %1: "/>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F8D26E9"/>
    <w:multiLevelType w:val="hybridMultilevel"/>
    <w:tmpl w:val="FB3CB93A"/>
    <w:lvl w:ilvl="0" w:tplc="39B8B2EC">
      <w:start w:val="1"/>
      <w:numFmt w:val="bullet"/>
      <w:lvlText w:val=""/>
      <w:lvlJc w:val="left"/>
      <w:pPr>
        <w:tabs>
          <w:tab w:val="num" w:pos="284"/>
        </w:tabs>
        <w:ind w:left="284" w:hanging="284"/>
      </w:pPr>
      <w:rPr>
        <w:rFonts w:ascii="Symbol" w:hAnsi="Symbol" w:hint="default"/>
        <w:sz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FB51688"/>
    <w:multiLevelType w:val="hybridMultilevel"/>
    <w:tmpl w:val="204EC29E"/>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15:restartNumberingAfterBreak="0">
    <w:nsid w:val="50FC17C7"/>
    <w:multiLevelType w:val="hybridMultilevel"/>
    <w:tmpl w:val="A13AAAF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3" w15:restartNumberingAfterBreak="0">
    <w:nsid w:val="55167D45"/>
    <w:multiLevelType w:val="hybridMultilevel"/>
    <w:tmpl w:val="3A80A0FC"/>
    <w:lvl w:ilvl="0" w:tplc="0E74F91C">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4" w15:restartNumberingAfterBreak="0">
    <w:nsid w:val="55E73FA0"/>
    <w:multiLevelType w:val="multilevel"/>
    <w:tmpl w:val="1AAA43B4"/>
    <w:lvl w:ilvl="0">
      <w:start w:val="1"/>
      <w:numFmt w:val="bullet"/>
      <w:lvlText w:val="o"/>
      <w:lvlJc w:val="left"/>
      <w:pPr>
        <w:ind w:left="357" w:hanging="357"/>
      </w:pPr>
      <w:rPr>
        <w:rFonts w:ascii="Courier New" w:hAnsi="Courier New" w:cs="Courier New"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35" w15:restartNumberingAfterBreak="0">
    <w:nsid w:val="59BE1EDB"/>
    <w:multiLevelType w:val="hybridMultilevel"/>
    <w:tmpl w:val="BBB6DC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5B441916"/>
    <w:multiLevelType w:val="multilevel"/>
    <w:tmpl w:val="33189EF0"/>
    <w:lvl w:ilvl="0">
      <w:start w:val="1"/>
      <w:numFmt w:val="bullet"/>
      <w:lvlText w:val="o"/>
      <w:lvlJc w:val="left"/>
      <w:pPr>
        <w:ind w:left="357" w:hanging="357"/>
      </w:pPr>
      <w:rPr>
        <w:rFonts w:ascii="Courier New" w:hAnsi="Courier New" w:cs="Courier New" w:hint="default"/>
        <w:sz w:val="22"/>
      </w:rPr>
    </w:lvl>
    <w:lvl w:ilvl="1">
      <w:start w:val="1"/>
      <w:numFmt w:val="bullet"/>
      <w:lvlText w:val="o"/>
      <w:lvlJc w:val="left"/>
      <w:pPr>
        <w:tabs>
          <w:tab w:val="num" w:pos="1072"/>
        </w:tabs>
        <w:ind w:left="714" w:hanging="357"/>
      </w:pPr>
      <w:rPr>
        <w:rFonts w:ascii="Courier New" w:hAnsi="Courier New" w:cs="Courier New"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37" w15:restartNumberingAfterBreak="0">
    <w:nsid w:val="5C44586F"/>
    <w:multiLevelType w:val="multilevel"/>
    <w:tmpl w:val="DE3893F2"/>
    <w:lvl w:ilvl="0">
      <w:start w:val="1"/>
      <w:numFmt w:val="bullet"/>
      <w:lvlText w:val="o"/>
      <w:lvlJc w:val="left"/>
      <w:pPr>
        <w:ind w:left="357" w:hanging="357"/>
      </w:pPr>
      <w:rPr>
        <w:rFonts w:ascii="Courier New" w:hAnsi="Courier New" w:cs="Courier New"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38" w15:restartNumberingAfterBreak="0">
    <w:nsid w:val="5D8323CD"/>
    <w:multiLevelType w:val="multilevel"/>
    <w:tmpl w:val="419A3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63834E8"/>
    <w:multiLevelType w:val="hybridMultilevel"/>
    <w:tmpl w:val="E8DCE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266AE7"/>
    <w:multiLevelType w:val="hybridMultilevel"/>
    <w:tmpl w:val="B890DF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6E82320D"/>
    <w:multiLevelType w:val="hybridMultilevel"/>
    <w:tmpl w:val="C0029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700F2C85"/>
    <w:multiLevelType w:val="hybridMultilevel"/>
    <w:tmpl w:val="6A54B99C"/>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3" w15:restartNumberingAfterBreak="0">
    <w:nsid w:val="706055DF"/>
    <w:multiLevelType w:val="multilevel"/>
    <w:tmpl w:val="DEEEFCEE"/>
    <w:lvl w:ilvl="0">
      <w:start w:val="1"/>
      <w:numFmt w:val="decimal"/>
      <w:pStyle w:val="Heading1"/>
      <w:lvlText w:val="%1"/>
      <w:lvlJc w:val="left"/>
      <w:pPr>
        <w:ind w:left="992" w:hanging="992"/>
      </w:pPr>
      <w:rPr>
        <w:rFonts w:hint="default"/>
      </w:rPr>
    </w:lvl>
    <w:lvl w:ilvl="1">
      <w:start w:val="1"/>
      <w:numFmt w:val="decimal"/>
      <w:pStyle w:val="Heading2"/>
      <w:lvlText w:val="%1.%2"/>
      <w:lvlJc w:val="left"/>
      <w:pPr>
        <w:ind w:left="992" w:hanging="992"/>
      </w:pPr>
      <w:rPr>
        <w:rFonts w:hint="default"/>
      </w:rPr>
    </w:lvl>
    <w:lvl w:ilvl="2">
      <w:start w:val="1"/>
      <w:numFmt w:val="decimal"/>
      <w:pStyle w:val="Heading3"/>
      <w:lvlText w:val="%1.%2.%3"/>
      <w:lvlJc w:val="left"/>
      <w:pPr>
        <w:tabs>
          <w:tab w:val="num" w:pos="992"/>
        </w:tabs>
        <w:ind w:left="992" w:hanging="992"/>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1272775"/>
    <w:multiLevelType w:val="hybridMultilevel"/>
    <w:tmpl w:val="FE12A6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15:restartNumberingAfterBreak="0">
    <w:nsid w:val="78EA6977"/>
    <w:multiLevelType w:val="multilevel"/>
    <w:tmpl w:val="8848D1A2"/>
    <w:lvl w:ilvl="0">
      <w:start w:val="1"/>
      <w:numFmt w:val="bullet"/>
      <w:lvlText w:val="o"/>
      <w:lvlJc w:val="left"/>
      <w:pPr>
        <w:ind w:left="357" w:hanging="357"/>
      </w:pPr>
      <w:rPr>
        <w:rFonts w:ascii="Courier New" w:hAnsi="Courier New" w:cs="Courier New"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46" w15:restartNumberingAfterBreak="0">
    <w:nsid w:val="7C1218D3"/>
    <w:multiLevelType w:val="singleLevel"/>
    <w:tmpl w:val="B224B1E2"/>
    <w:lvl w:ilvl="0">
      <w:start w:val="1"/>
      <w:numFmt w:val="bullet"/>
      <w:pStyle w:val="Bullet"/>
      <w:lvlText w:val=""/>
      <w:lvlJc w:val="left"/>
      <w:pPr>
        <w:tabs>
          <w:tab w:val="num" w:pos="284"/>
        </w:tabs>
        <w:ind w:left="284" w:hanging="284"/>
      </w:pPr>
      <w:rPr>
        <w:rFonts w:ascii="Symbol" w:hAnsi="Symbol" w:hint="default"/>
        <w:sz w:val="18"/>
      </w:rPr>
    </w:lvl>
  </w:abstractNum>
  <w:abstractNum w:abstractNumId="47" w15:restartNumberingAfterBreak="0">
    <w:nsid w:val="7EE56D14"/>
    <w:multiLevelType w:val="multilevel"/>
    <w:tmpl w:val="D98A295A"/>
    <w:lvl w:ilvl="0">
      <w:start w:val="1"/>
      <w:numFmt w:val="bullet"/>
      <w:lvlText w:val=""/>
      <w:lvlJc w:val="left"/>
      <w:pPr>
        <w:ind w:left="357" w:hanging="357"/>
      </w:pPr>
      <w:rPr>
        <w:rFonts w:ascii="Symbol" w:hAnsi="Symbol"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num w:numId="1">
    <w:abstractNumId w:val="46"/>
  </w:num>
  <w:num w:numId="2">
    <w:abstractNumId w:val="24"/>
  </w:num>
  <w:num w:numId="3">
    <w:abstractNumId w:val="25"/>
  </w:num>
  <w:num w:numId="4">
    <w:abstractNumId w:val="4"/>
  </w:num>
  <w:num w:numId="5">
    <w:abstractNumId w:val="1"/>
  </w:num>
  <w:num w:numId="6">
    <w:abstractNumId w:val="30"/>
  </w:num>
  <w:num w:numId="7">
    <w:abstractNumId w:val="38"/>
  </w:num>
  <w:num w:numId="8">
    <w:abstractNumId w:val="3"/>
  </w:num>
  <w:num w:numId="9">
    <w:abstractNumId w:val="39"/>
  </w:num>
  <w:num w:numId="10">
    <w:abstractNumId w:val="32"/>
  </w:num>
  <w:num w:numId="11">
    <w:abstractNumId w:val="17"/>
  </w:num>
  <w:num w:numId="12">
    <w:abstractNumId w:val="23"/>
  </w:num>
  <w:num w:numId="13">
    <w:abstractNumId w:val="0"/>
  </w:num>
  <w:num w:numId="14">
    <w:abstractNumId w:val="14"/>
  </w:num>
  <w:num w:numId="15">
    <w:abstractNumId w:val="20"/>
  </w:num>
  <w:num w:numId="16">
    <w:abstractNumId w:val="33"/>
  </w:num>
  <w:num w:numId="17">
    <w:abstractNumId w:val="9"/>
  </w:num>
  <w:num w:numId="18">
    <w:abstractNumId w:val="16"/>
  </w:num>
  <w:num w:numId="19">
    <w:abstractNumId w:val="10"/>
  </w:num>
  <w:num w:numId="20">
    <w:abstractNumId w:val="6"/>
  </w:num>
  <w:num w:numId="21">
    <w:abstractNumId w:val="44"/>
  </w:num>
  <w:num w:numId="22">
    <w:abstractNumId w:val="15"/>
  </w:num>
  <w:num w:numId="23">
    <w:abstractNumId w:val="41"/>
  </w:num>
  <w:num w:numId="24">
    <w:abstractNumId w:val="2"/>
  </w:num>
  <w:num w:numId="25">
    <w:abstractNumId w:val="7"/>
  </w:num>
  <w:num w:numId="26">
    <w:abstractNumId w:val="5"/>
  </w:num>
  <w:num w:numId="27">
    <w:abstractNumId w:val="35"/>
  </w:num>
  <w:num w:numId="28">
    <w:abstractNumId w:val="42"/>
  </w:num>
  <w:num w:numId="29">
    <w:abstractNumId w:val="19"/>
  </w:num>
  <w:num w:numId="30">
    <w:abstractNumId w:val="12"/>
  </w:num>
  <w:num w:numId="31">
    <w:abstractNumId w:val="31"/>
  </w:num>
  <w:num w:numId="32">
    <w:abstractNumId w:val="21"/>
  </w:num>
  <w:num w:numId="33">
    <w:abstractNumId w:val="47"/>
  </w:num>
  <w:num w:numId="34">
    <w:abstractNumId w:val="18"/>
  </w:num>
  <w:num w:numId="35">
    <w:abstractNumId w:val="37"/>
  </w:num>
  <w:num w:numId="36">
    <w:abstractNumId w:val="34"/>
  </w:num>
  <w:num w:numId="37">
    <w:abstractNumId w:val="45"/>
  </w:num>
  <w:num w:numId="38">
    <w:abstractNumId w:val="36"/>
  </w:num>
  <w:num w:numId="39">
    <w:abstractNumId w:val="26"/>
  </w:num>
  <w:num w:numId="40">
    <w:abstractNumId w:val="28"/>
  </w:num>
  <w:num w:numId="41">
    <w:abstractNumId w:val="11"/>
  </w:num>
  <w:num w:numId="42">
    <w:abstractNumId w:val="29"/>
  </w:num>
  <w:num w:numId="43">
    <w:abstractNumId w:val="22"/>
  </w:num>
  <w:num w:numId="44">
    <w:abstractNumId w:val="8"/>
  </w:num>
  <w:num w:numId="45">
    <w:abstractNumId w:val="13"/>
  </w:num>
  <w:num w:numId="46">
    <w:abstractNumId w:val="40"/>
  </w:num>
  <w:num w:numId="47">
    <w:abstractNumId w:val="27"/>
  </w:num>
  <w:num w:numId="48">
    <w:abstractNumId w:val="4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8EB"/>
    <w:rsid w:val="000025B8"/>
    <w:rsid w:val="00005BB5"/>
    <w:rsid w:val="00025A6F"/>
    <w:rsid w:val="0002618D"/>
    <w:rsid w:val="00030B26"/>
    <w:rsid w:val="00030E84"/>
    <w:rsid w:val="00032C0A"/>
    <w:rsid w:val="00035257"/>
    <w:rsid w:val="00035D68"/>
    <w:rsid w:val="00036027"/>
    <w:rsid w:val="000366B3"/>
    <w:rsid w:val="00045613"/>
    <w:rsid w:val="00047899"/>
    <w:rsid w:val="00053921"/>
    <w:rsid w:val="00054B44"/>
    <w:rsid w:val="0006006B"/>
    <w:rsid w:val="0006228D"/>
    <w:rsid w:val="00072BD6"/>
    <w:rsid w:val="00075B78"/>
    <w:rsid w:val="000763E9"/>
    <w:rsid w:val="00082CD6"/>
    <w:rsid w:val="0008437D"/>
    <w:rsid w:val="00085AFE"/>
    <w:rsid w:val="00094800"/>
    <w:rsid w:val="000A0158"/>
    <w:rsid w:val="000A373D"/>
    <w:rsid w:val="000A41ED"/>
    <w:rsid w:val="000B0730"/>
    <w:rsid w:val="000D19F4"/>
    <w:rsid w:val="000D58DD"/>
    <w:rsid w:val="000F1F42"/>
    <w:rsid w:val="000F2AE2"/>
    <w:rsid w:val="000F2BFF"/>
    <w:rsid w:val="00102063"/>
    <w:rsid w:val="00102444"/>
    <w:rsid w:val="0010541C"/>
    <w:rsid w:val="00105770"/>
    <w:rsid w:val="00106F93"/>
    <w:rsid w:val="00111953"/>
    <w:rsid w:val="00111D50"/>
    <w:rsid w:val="00113B8E"/>
    <w:rsid w:val="00117F59"/>
    <w:rsid w:val="0012053C"/>
    <w:rsid w:val="00122363"/>
    <w:rsid w:val="00125D45"/>
    <w:rsid w:val="001342C7"/>
    <w:rsid w:val="0013585C"/>
    <w:rsid w:val="00142261"/>
    <w:rsid w:val="00142954"/>
    <w:rsid w:val="001460E0"/>
    <w:rsid w:val="001472F0"/>
    <w:rsid w:val="00147F71"/>
    <w:rsid w:val="00150A6E"/>
    <w:rsid w:val="0016304B"/>
    <w:rsid w:val="0016318F"/>
    <w:rsid w:val="0016468A"/>
    <w:rsid w:val="0017070E"/>
    <w:rsid w:val="00174F02"/>
    <w:rsid w:val="0018376C"/>
    <w:rsid w:val="0018662D"/>
    <w:rsid w:val="00197427"/>
    <w:rsid w:val="001A21B4"/>
    <w:rsid w:val="001A5CF5"/>
    <w:rsid w:val="001B39D2"/>
    <w:rsid w:val="001B4BF8"/>
    <w:rsid w:val="001B7B14"/>
    <w:rsid w:val="001C4326"/>
    <w:rsid w:val="001C665E"/>
    <w:rsid w:val="001D3541"/>
    <w:rsid w:val="001D3E4E"/>
    <w:rsid w:val="001E254A"/>
    <w:rsid w:val="001E7386"/>
    <w:rsid w:val="001F45A7"/>
    <w:rsid w:val="001F5E27"/>
    <w:rsid w:val="0020027C"/>
    <w:rsid w:val="00201A01"/>
    <w:rsid w:val="0020754B"/>
    <w:rsid w:val="002104D3"/>
    <w:rsid w:val="00213A33"/>
    <w:rsid w:val="0021763B"/>
    <w:rsid w:val="00245748"/>
    <w:rsid w:val="00246DB1"/>
    <w:rsid w:val="002476B5"/>
    <w:rsid w:val="002520CC"/>
    <w:rsid w:val="00253ECF"/>
    <w:rsid w:val="00254044"/>
    <w:rsid w:val="002546A1"/>
    <w:rsid w:val="002575E8"/>
    <w:rsid w:val="002628F4"/>
    <w:rsid w:val="00275D08"/>
    <w:rsid w:val="002839AF"/>
    <w:rsid w:val="002858E3"/>
    <w:rsid w:val="0029190A"/>
    <w:rsid w:val="00292C5A"/>
    <w:rsid w:val="00295241"/>
    <w:rsid w:val="002A4DFC"/>
    <w:rsid w:val="002B047D"/>
    <w:rsid w:val="002B732B"/>
    <w:rsid w:val="002B76A7"/>
    <w:rsid w:val="002B7BEC"/>
    <w:rsid w:val="002C2219"/>
    <w:rsid w:val="002C2552"/>
    <w:rsid w:val="002C380A"/>
    <w:rsid w:val="002D0DF2"/>
    <w:rsid w:val="002D23BD"/>
    <w:rsid w:val="002E0B47"/>
    <w:rsid w:val="002E6400"/>
    <w:rsid w:val="002F3A0D"/>
    <w:rsid w:val="002F4685"/>
    <w:rsid w:val="002F7213"/>
    <w:rsid w:val="0030382F"/>
    <w:rsid w:val="0030408D"/>
    <w:rsid w:val="003060E4"/>
    <w:rsid w:val="003160E7"/>
    <w:rsid w:val="0031739E"/>
    <w:rsid w:val="00317DA3"/>
    <w:rsid w:val="00321381"/>
    <w:rsid w:val="003235C6"/>
    <w:rsid w:val="003309CA"/>
    <w:rsid w:val="003325AB"/>
    <w:rsid w:val="003332D1"/>
    <w:rsid w:val="0033412B"/>
    <w:rsid w:val="0033448B"/>
    <w:rsid w:val="00341161"/>
    <w:rsid w:val="00343365"/>
    <w:rsid w:val="003445F4"/>
    <w:rsid w:val="00353501"/>
    <w:rsid w:val="00353734"/>
    <w:rsid w:val="003538D4"/>
    <w:rsid w:val="003606F8"/>
    <w:rsid w:val="003648EF"/>
    <w:rsid w:val="003673E6"/>
    <w:rsid w:val="003749EB"/>
    <w:rsid w:val="00377264"/>
    <w:rsid w:val="003779D2"/>
    <w:rsid w:val="00385E38"/>
    <w:rsid w:val="003A26A5"/>
    <w:rsid w:val="003A3761"/>
    <w:rsid w:val="003A512D"/>
    <w:rsid w:val="003A5FEA"/>
    <w:rsid w:val="003A710B"/>
    <w:rsid w:val="003B1D10"/>
    <w:rsid w:val="003C310C"/>
    <w:rsid w:val="003C76D4"/>
    <w:rsid w:val="003D137D"/>
    <w:rsid w:val="003D2CC5"/>
    <w:rsid w:val="003D3E5C"/>
    <w:rsid w:val="003E04C1"/>
    <w:rsid w:val="003E0887"/>
    <w:rsid w:val="003E74C8"/>
    <w:rsid w:val="003E74E2"/>
    <w:rsid w:val="003E7C46"/>
    <w:rsid w:val="003F0589"/>
    <w:rsid w:val="003F2106"/>
    <w:rsid w:val="003F52A7"/>
    <w:rsid w:val="003F7013"/>
    <w:rsid w:val="003F7F6A"/>
    <w:rsid w:val="0040240C"/>
    <w:rsid w:val="00413021"/>
    <w:rsid w:val="00414C35"/>
    <w:rsid w:val="004171B7"/>
    <w:rsid w:val="004301C6"/>
    <w:rsid w:val="0043478F"/>
    <w:rsid w:val="0043602B"/>
    <w:rsid w:val="004367D2"/>
    <w:rsid w:val="00440BE0"/>
    <w:rsid w:val="00442A06"/>
    <w:rsid w:val="00442C1C"/>
    <w:rsid w:val="0044584B"/>
    <w:rsid w:val="00447CB7"/>
    <w:rsid w:val="00455CC9"/>
    <w:rsid w:val="00460826"/>
    <w:rsid w:val="00460B1E"/>
    <w:rsid w:val="00460EA7"/>
    <w:rsid w:val="0046195B"/>
    <w:rsid w:val="0046362D"/>
    <w:rsid w:val="0046596D"/>
    <w:rsid w:val="004852AB"/>
    <w:rsid w:val="00487C04"/>
    <w:rsid w:val="004907E1"/>
    <w:rsid w:val="00494C8E"/>
    <w:rsid w:val="004A035B"/>
    <w:rsid w:val="004A1413"/>
    <w:rsid w:val="004A2108"/>
    <w:rsid w:val="004A38D7"/>
    <w:rsid w:val="004A778C"/>
    <w:rsid w:val="004B14DD"/>
    <w:rsid w:val="004B48C7"/>
    <w:rsid w:val="004C2E6A"/>
    <w:rsid w:val="004C64B8"/>
    <w:rsid w:val="004D2A2D"/>
    <w:rsid w:val="004D479F"/>
    <w:rsid w:val="004D6689"/>
    <w:rsid w:val="004E1D1D"/>
    <w:rsid w:val="004E7AC8"/>
    <w:rsid w:val="004F05F4"/>
    <w:rsid w:val="004F0C94"/>
    <w:rsid w:val="004F63C7"/>
    <w:rsid w:val="005019AE"/>
    <w:rsid w:val="00503749"/>
    <w:rsid w:val="00503D59"/>
    <w:rsid w:val="00504CF4"/>
    <w:rsid w:val="0050635B"/>
    <w:rsid w:val="005075B3"/>
    <w:rsid w:val="005151C2"/>
    <w:rsid w:val="005275E8"/>
    <w:rsid w:val="005309FE"/>
    <w:rsid w:val="0053199F"/>
    <w:rsid w:val="00531E12"/>
    <w:rsid w:val="00533B90"/>
    <w:rsid w:val="005410F8"/>
    <w:rsid w:val="005448EC"/>
    <w:rsid w:val="00545963"/>
    <w:rsid w:val="00550256"/>
    <w:rsid w:val="00553165"/>
    <w:rsid w:val="00553958"/>
    <w:rsid w:val="00556BB7"/>
    <w:rsid w:val="0055763D"/>
    <w:rsid w:val="00561516"/>
    <w:rsid w:val="005621F2"/>
    <w:rsid w:val="00567B58"/>
    <w:rsid w:val="00571223"/>
    <w:rsid w:val="005763E0"/>
    <w:rsid w:val="00581136"/>
    <w:rsid w:val="00581EB8"/>
    <w:rsid w:val="005839E7"/>
    <w:rsid w:val="0058437F"/>
    <w:rsid w:val="00597251"/>
    <w:rsid w:val="005A27CA"/>
    <w:rsid w:val="005A43BD"/>
    <w:rsid w:val="005A79E5"/>
    <w:rsid w:val="005D034C"/>
    <w:rsid w:val="005E226E"/>
    <w:rsid w:val="005E2636"/>
    <w:rsid w:val="006015D7"/>
    <w:rsid w:val="00601B21"/>
    <w:rsid w:val="006041F0"/>
    <w:rsid w:val="00605C6D"/>
    <w:rsid w:val="006120CA"/>
    <w:rsid w:val="0061443A"/>
    <w:rsid w:val="00624174"/>
    <w:rsid w:val="00626CF8"/>
    <w:rsid w:val="006314AF"/>
    <w:rsid w:val="00634003"/>
    <w:rsid w:val="00634ED8"/>
    <w:rsid w:val="00636D7D"/>
    <w:rsid w:val="00637408"/>
    <w:rsid w:val="00642868"/>
    <w:rsid w:val="00647AFE"/>
    <w:rsid w:val="00650417"/>
    <w:rsid w:val="006512BC"/>
    <w:rsid w:val="00653A5A"/>
    <w:rsid w:val="006554AC"/>
    <w:rsid w:val="006575F4"/>
    <w:rsid w:val="006579E6"/>
    <w:rsid w:val="00660682"/>
    <w:rsid w:val="00660F74"/>
    <w:rsid w:val="00663EDC"/>
    <w:rsid w:val="00671078"/>
    <w:rsid w:val="006758CA"/>
    <w:rsid w:val="00680A04"/>
    <w:rsid w:val="00686D80"/>
    <w:rsid w:val="00694895"/>
    <w:rsid w:val="00697E2E"/>
    <w:rsid w:val="006A25A2"/>
    <w:rsid w:val="006A3B87"/>
    <w:rsid w:val="006B0A88"/>
    <w:rsid w:val="006B0E73"/>
    <w:rsid w:val="006B1E3D"/>
    <w:rsid w:val="006B4A4D"/>
    <w:rsid w:val="006B5695"/>
    <w:rsid w:val="006B62E6"/>
    <w:rsid w:val="006B7B2E"/>
    <w:rsid w:val="006C78EB"/>
    <w:rsid w:val="006D1660"/>
    <w:rsid w:val="006D63E5"/>
    <w:rsid w:val="006E1753"/>
    <w:rsid w:val="006E2886"/>
    <w:rsid w:val="006E3911"/>
    <w:rsid w:val="006E69F4"/>
    <w:rsid w:val="006F1B67"/>
    <w:rsid w:val="006F4D9C"/>
    <w:rsid w:val="0070091D"/>
    <w:rsid w:val="00702854"/>
    <w:rsid w:val="0071741C"/>
    <w:rsid w:val="00742B90"/>
    <w:rsid w:val="0074434D"/>
    <w:rsid w:val="007570C4"/>
    <w:rsid w:val="007605B8"/>
    <w:rsid w:val="00771B1E"/>
    <w:rsid w:val="00773C95"/>
    <w:rsid w:val="0078171E"/>
    <w:rsid w:val="0078658E"/>
    <w:rsid w:val="007920E2"/>
    <w:rsid w:val="0079566E"/>
    <w:rsid w:val="00795B34"/>
    <w:rsid w:val="007A067F"/>
    <w:rsid w:val="007B1770"/>
    <w:rsid w:val="007B4D3E"/>
    <w:rsid w:val="007B7C70"/>
    <w:rsid w:val="007B7DEB"/>
    <w:rsid w:val="007C0449"/>
    <w:rsid w:val="007C43B6"/>
    <w:rsid w:val="007D2151"/>
    <w:rsid w:val="007D3B90"/>
    <w:rsid w:val="007D42CC"/>
    <w:rsid w:val="007D5DE4"/>
    <w:rsid w:val="007D7C3A"/>
    <w:rsid w:val="007E0777"/>
    <w:rsid w:val="007E1341"/>
    <w:rsid w:val="007E1B41"/>
    <w:rsid w:val="007E1EC4"/>
    <w:rsid w:val="007E30B9"/>
    <w:rsid w:val="007E74F1"/>
    <w:rsid w:val="007F0F0C"/>
    <w:rsid w:val="007F1288"/>
    <w:rsid w:val="007F3E11"/>
    <w:rsid w:val="00800A8A"/>
    <w:rsid w:val="0080155C"/>
    <w:rsid w:val="008052E1"/>
    <w:rsid w:val="00811EEB"/>
    <w:rsid w:val="00822F2C"/>
    <w:rsid w:val="00823DEE"/>
    <w:rsid w:val="008305E8"/>
    <w:rsid w:val="00836165"/>
    <w:rsid w:val="008365B2"/>
    <w:rsid w:val="0084640C"/>
    <w:rsid w:val="008550F9"/>
    <w:rsid w:val="00856088"/>
    <w:rsid w:val="00860826"/>
    <w:rsid w:val="00860E21"/>
    <w:rsid w:val="00863117"/>
    <w:rsid w:val="0086388B"/>
    <w:rsid w:val="008642E5"/>
    <w:rsid w:val="00864488"/>
    <w:rsid w:val="00870A36"/>
    <w:rsid w:val="00872D93"/>
    <w:rsid w:val="00880470"/>
    <w:rsid w:val="00880D94"/>
    <w:rsid w:val="008814E8"/>
    <w:rsid w:val="00886F64"/>
    <w:rsid w:val="008924DE"/>
    <w:rsid w:val="008A3755"/>
    <w:rsid w:val="008B19DC"/>
    <w:rsid w:val="008B264F"/>
    <w:rsid w:val="008B4BCD"/>
    <w:rsid w:val="008B6F83"/>
    <w:rsid w:val="008B7FD8"/>
    <w:rsid w:val="008C2973"/>
    <w:rsid w:val="008C6324"/>
    <w:rsid w:val="008C64C4"/>
    <w:rsid w:val="008D2CDD"/>
    <w:rsid w:val="008D74D5"/>
    <w:rsid w:val="008D7C9F"/>
    <w:rsid w:val="008E04BA"/>
    <w:rsid w:val="008E0ED1"/>
    <w:rsid w:val="008E3A07"/>
    <w:rsid w:val="008E537B"/>
    <w:rsid w:val="008F29BE"/>
    <w:rsid w:val="008F4AE5"/>
    <w:rsid w:val="008F51EB"/>
    <w:rsid w:val="00900197"/>
    <w:rsid w:val="00902F55"/>
    <w:rsid w:val="0090582B"/>
    <w:rsid w:val="009060C0"/>
    <w:rsid w:val="00910692"/>
    <w:rsid w:val="009133F5"/>
    <w:rsid w:val="0091756F"/>
    <w:rsid w:val="00920A27"/>
    <w:rsid w:val="00921216"/>
    <w:rsid w:val="009216CC"/>
    <w:rsid w:val="00922E41"/>
    <w:rsid w:val="00925892"/>
    <w:rsid w:val="00926083"/>
    <w:rsid w:val="00926D08"/>
    <w:rsid w:val="00930D08"/>
    <w:rsid w:val="00931466"/>
    <w:rsid w:val="00932D69"/>
    <w:rsid w:val="009354FD"/>
    <w:rsid w:val="00935589"/>
    <w:rsid w:val="00937408"/>
    <w:rsid w:val="009427FA"/>
    <w:rsid w:val="00944647"/>
    <w:rsid w:val="009469E2"/>
    <w:rsid w:val="0095565C"/>
    <w:rsid w:val="00964AB6"/>
    <w:rsid w:val="00966F9A"/>
    <w:rsid w:val="00977B8A"/>
    <w:rsid w:val="00982971"/>
    <w:rsid w:val="009845AD"/>
    <w:rsid w:val="00984835"/>
    <w:rsid w:val="009933EF"/>
    <w:rsid w:val="00994EE4"/>
    <w:rsid w:val="00995BA0"/>
    <w:rsid w:val="009A418B"/>
    <w:rsid w:val="009A426F"/>
    <w:rsid w:val="009A42D5"/>
    <w:rsid w:val="009A4473"/>
    <w:rsid w:val="009B05C9"/>
    <w:rsid w:val="009B286C"/>
    <w:rsid w:val="009C151C"/>
    <w:rsid w:val="009C440A"/>
    <w:rsid w:val="009D5125"/>
    <w:rsid w:val="009D60B8"/>
    <w:rsid w:val="009D7D4B"/>
    <w:rsid w:val="009E36ED"/>
    <w:rsid w:val="009E3B47"/>
    <w:rsid w:val="009E3C8C"/>
    <w:rsid w:val="009E6B77"/>
    <w:rsid w:val="009F4372"/>
    <w:rsid w:val="009F460A"/>
    <w:rsid w:val="00A043FB"/>
    <w:rsid w:val="00A06BE4"/>
    <w:rsid w:val="00A0729C"/>
    <w:rsid w:val="00A073CF"/>
    <w:rsid w:val="00A07779"/>
    <w:rsid w:val="00A1166A"/>
    <w:rsid w:val="00A20B2E"/>
    <w:rsid w:val="00A24F33"/>
    <w:rsid w:val="00A25069"/>
    <w:rsid w:val="00A26E6B"/>
    <w:rsid w:val="00A3068F"/>
    <w:rsid w:val="00A3145B"/>
    <w:rsid w:val="00A339D0"/>
    <w:rsid w:val="00A3415C"/>
    <w:rsid w:val="00A41002"/>
    <w:rsid w:val="00A4201A"/>
    <w:rsid w:val="00A5465D"/>
    <w:rsid w:val="00A553CE"/>
    <w:rsid w:val="00A5677A"/>
    <w:rsid w:val="00A56DCC"/>
    <w:rsid w:val="00A625E8"/>
    <w:rsid w:val="00A63DFF"/>
    <w:rsid w:val="00A64496"/>
    <w:rsid w:val="00A6490D"/>
    <w:rsid w:val="00A67033"/>
    <w:rsid w:val="00A7415D"/>
    <w:rsid w:val="00A80363"/>
    <w:rsid w:val="00A80939"/>
    <w:rsid w:val="00A83E9D"/>
    <w:rsid w:val="00A87C05"/>
    <w:rsid w:val="00A9169D"/>
    <w:rsid w:val="00A93598"/>
    <w:rsid w:val="00A97A3A"/>
    <w:rsid w:val="00AA240C"/>
    <w:rsid w:val="00AB0332"/>
    <w:rsid w:val="00AC101C"/>
    <w:rsid w:val="00AC14DE"/>
    <w:rsid w:val="00AD4CF1"/>
    <w:rsid w:val="00AD5988"/>
    <w:rsid w:val="00AD6293"/>
    <w:rsid w:val="00AE1643"/>
    <w:rsid w:val="00AE16AF"/>
    <w:rsid w:val="00AF372E"/>
    <w:rsid w:val="00AF7800"/>
    <w:rsid w:val="00B00CF5"/>
    <w:rsid w:val="00B06DA6"/>
    <w:rsid w:val="00B072E0"/>
    <w:rsid w:val="00B1007E"/>
    <w:rsid w:val="00B13D41"/>
    <w:rsid w:val="00B253F6"/>
    <w:rsid w:val="00B26675"/>
    <w:rsid w:val="00B305DB"/>
    <w:rsid w:val="00B332F8"/>
    <w:rsid w:val="00B3492B"/>
    <w:rsid w:val="00B4646F"/>
    <w:rsid w:val="00B55C7D"/>
    <w:rsid w:val="00B60076"/>
    <w:rsid w:val="00B63038"/>
    <w:rsid w:val="00B64BD8"/>
    <w:rsid w:val="00B701D1"/>
    <w:rsid w:val="00B73AF2"/>
    <w:rsid w:val="00B73D79"/>
    <w:rsid w:val="00B749DB"/>
    <w:rsid w:val="00B7551A"/>
    <w:rsid w:val="00B773F1"/>
    <w:rsid w:val="00B86AB1"/>
    <w:rsid w:val="00B87726"/>
    <w:rsid w:val="00B91B22"/>
    <w:rsid w:val="00BA7EBA"/>
    <w:rsid w:val="00BB2A06"/>
    <w:rsid w:val="00BB2CBB"/>
    <w:rsid w:val="00BB4198"/>
    <w:rsid w:val="00BC03EE"/>
    <w:rsid w:val="00BC59F1"/>
    <w:rsid w:val="00BD488E"/>
    <w:rsid w:val="00BF3DE1"/>
    <w:rsid w:val="00BF4843"/>
    <w:rsid w:val="00BF5205"/>
    <w:rsid w:val="00C05132"/>
    <w:rsid w:val="00C12508"/>
    <w:rsid w:val="00C22D12"/>
    <w:rsid w:val="00C23728"/>
    <w:rsid w:val="00C3026C"/>
    <w:rsid w:val="00C313A9"/>
    <w:rsid w:val="00C33CBB"/>
    <w:rsid w:val="00C347C8"/>
    <w:rsid w:val="00C358E4"/>
    <w:rsid w:val="00C441CF"/>
    <w:rsid w:val="00C45AA2"/>
    <w:rsid w:val="00C4792C"/>
    <w:rsid w:val="00C517A0"/>
    <w:rsid w:val="00C51A6D"/>
    <w:rsid w:val="00C55BEF"/>
    <w:rsid w:val="00C601AF"/>
    <w:rsid w:val="00C61A63"/>
    <w:rsid w:val="00C6546B"/>
    <w:rsid w:val="00C66296"/>
    <w:rsid w:val="00C7394D"/>
    <w:rsid w:val="00C756B7"/>
    <w:rsid w:val="00C77282"/>
    <w:rsid w:val="00C84DE5"/>
    <w:rsid w:val="00C86248"/>
    <w:rsid w:val="00C90B31"/>
    <w:rsid w:val="00CA0D6F"/>
    <w:rsid w:val="00CA3C4E"/>
    <w:rsid w:val="00CA4C33"/>
    <w:rsid w:val="00CA6F4A"/>
    <w:rsid w:val="00CB3483"/>
    <w:rsid w:val="00CB6427"/>
    <w:rsid w:val="00CC0FBE"/>
    <w:rsid w:val="00CD2119"/>
    <w:rsid w:val="00CD237A"/>
    <w:rsid w:val="00CD36AC"/>
    <w:rsid w:val="00CE13A3"/>
    <w:rsid w:val="00CE1970"/>
    <w:rsid w:val="00CE36BC"/>
    <w:rsid w:val="00CF1747"/>
    <w:rsid w:val="00CF60ED"/>
    <w:rsid w:val="00D05D74"/>
    <w:rsid w:val="00D20C59"/>
    <w:rsid w:val="00D23323"/>
    <w:rsid w:val="00D2392A"/>
    <w:rsid w:val="00D25FFE"/>
    <w:rsid w:val="00D27922"/>
    <w:rsid w:val="00D27A64"/>
    <w:rsid w:val="00D37D80"/>
    <w:rsid w:val="00D442F3"/>
    <w:rsid w:val="00D44483"/>
    <w:rsid w:val="00D4476F"/>
    <w:rsid w:val="00D50573"/>
    <w:rsid w:val="00D54D50"/>
    <w:rsid w:val="00D560B4"/>
    <w:rsid w:val="00D653CA"/>
    <w:rsid w:val="00D662F8"/>
    <w:rsid w:val="00D66797"/>
    <w:rsid w:val="00D7087C"/>
    <w:rsid w:val="00D70C3C"/>
    <w:rsid w:val="00D71DF7"/>
    <w:rsid w:val="00D72BE5"/>
    <w:rsid w:val="00D81462"/>
    <w:rsid w:val="00D82431"/>
    <w:rsid w:val="00D82F26"/>
    <w:rsid w:val="00D863D0"/>
    <w:rsid w:val="00D86B00"/>
    <w:rsid w:val="00D86FB9"/>
    <w:rsid w:val="00D87C87"/>
    <w:rsid w:val="00D90BB4"/>
    <w:rsid w:val="00D90E07"/>
    <w:rsid w:val="00D932C2"/>
    <w:rsid w:val="00DA0232"/>
    <w:rsid w:val="00DA7F9E"/>
    <w:rsid w:val="00DB39CF"/>
    <w:rsid w:val="00DB7256"/>
    <w:rsid w:val="00DC0401"/>
    <w:rsid w:val="00DC20BD"/>
    <w:rsid w:val="00DD0BCD"/>
    <w:rsid w:val="00DD447A"/>
    <w:rsid w:val="00DE3B20"/>
    <w:rsid w:val="00DE6C94"/>
    <w:rsid w:val="00DE6FD7"/>
    <w:rsid w:val="00DF0C7C"/>
    <w:rsid w:val="00E10B18"/>
    <w:rsid w:val="00E23271"/>
    <w:rsid w:val="00E24F80"/>
    <w:rsid w:val="00E259F3"/>
    <w:rsid w:val="00E30985"/>
    <w:rsid w:val="00E33238"/>
    <w:rsid w:val="00E33934"/>
    <w:rsid w:val="00E376B7"/>
    <w:rsid w:val="00E42F5D"/>
    <w:rsid w:val="00E4486C"/>
    <w:rsid w:val="00E460B6"/>
    <w:rsid w:val="00E511D5"/>
    <w:rsid w:val="00E53A9F"/>
    <w:rsid w:val="00E57349"/>
    <w:rsid w:val="00E60249"/>
    <w:rsid w:val="00E62238"/>
    <w:rsid w:val="00E65269"/>
    <w:rsid w:val="00E76D66"/>
    <w:rsid w:val="00E810F8"/>
    <w:rsid w:val="00E95761"/>
    <w:rsid w:val="00EA10EC"/>
    <w:rsid w:val="00EA796A"/>
    <w:rsid w:val="00EB1856"/>
    <w:rsid w:val="00EC50CE"/>
    <w:rsid w:val="00EC5B34"/>
    <w:rsid w:val="00ED021E"/>
    <w:rsid w:val="00ED323C"/>
    <w:rsid w:val="00EE2D5C"/>
    <w:rsid w:val="00EE4ADE"/>
    <w:rsid w:val="00EE4DE8"/>
    <w:rsid w:val="00EE5CB7"/>
    <w:rsid w:val="00F000BF"/>
    <w:rsid w:val="00F024FE"/>
    <w:rsid w:val="00F05AD4"/>
    <w:rsid w:val="00F103BE"/>
    <w:rsid w:val="00F10EB6"/>
    <w:rsid w:val="00F13F07"/>
    <w:rsid w:val="00F140B2"/>
    <w:rsid w:val="00F16595"/>
    <w:rsid w:val="00F25970"/>
    <w:rsid w:val="00F311A9"/>
    <w:rsid w:val="00F31343"/>
    <w:rsid w:val="00F32C88"/>
    <w:rsid w:val="00F37381"/>
    <w:rsid w:val="00F5180D"/>
    <w:rsid w:val="00F54E74"/>
    <w:rsid w:val="00F63781"/>
    <w:rsid w:val="00F67496"/>
    <w:rsid w:val="00F7421E"/>
    <w:rsid w:val="00F77BD7"/>
    <w:rsid w:val="00F801BA"/>
    <w:rsid w:val="00F807AD"/>
    <w:rsid w:val="00F9366A"/>
    <w:rsid w:val="00F946C9"/>
    <w:rsid w:val="00FA0EA5"/>
    <w:rsid w:val="00FA68C7"/>
    <w:rsid w:val="00FA74EE"/>
    <w:rsid w:val="00FB2446"/>
    <w:rsid w:val="00FC3711"/>
    <w:rsid w:val="00FC46E7"/>
    <w:rsid w:val="00FC5D25"/>
    <w:rsid w:val="00FD0D7E"/>
    <w:rsid w:val="00FD16C4"/>
    <w:rsid w:val="00FD362F"/>
    <w:rsid w:val="00FD47FE"/>
    <w:rsid w:val="00FD4FFB"/>
    <w:rsid w:val="00FE022F"/>
    <w:rsid w:val="00FE6E13"/>
    <w:rsid w:val="00FE7D38"/>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2399BB9-3964-492B-9D64-FF21396A4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iPriority="99" w:unhideWhenUsed="1" w:qFormat="1"/>
    <w:lsdException w:name="Body Text 3" w:semiHidden="1" w:unhideWhenUsed="1" w:qFormat="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362D"/>
    <w:rPr>
      <w:rFonts w:ascii="Segoe UI" w:hAnsi="Segoe UI"/>
      <w:sz w:val="21"/>
      <w:lang w:eastAsia="en-GB"/>
    </w:rPr>
  </w:style>
  <w:style w:type="paragraph" w:styleId="Heading1">
    <w:name w:val="heading 1"/>
    <w:basedOn w:val="Normal"/>
    <w:next w:val="Normal"/>
    <w:link w:val="Heading1Char"/>
    <w:qFormat/>
    <w:rsid w:val="00DA7F9E"/>
    <w:pPr>
      <w:pageBreakBefore/>
      <w:numPr>
        <w:numId w:val="48"/>
      </w:numPr>
      <w:spacing w:after="360"/>
      <w:outlineLvl w:val="0"/>
    </w:pPr>
    <w:rPr>
      <w:b/>
      <w:color w:val="23305D"/>
      <w:spacing w:val="-10"/>
      <w:sz w:val="72"/>
    </w:rPr>
  </w:style>
  <w:style w:type="paragraph" w:styleId="Heading2">
    <w:name w:val="heading 2"/>
    <w:basedOn w:val="Normal"/>
    <w:next w:val="Normal"/>
    <w:link w:val="Heading2Char"/>
    <w:qFormat/>
    <w:rsid w:val="00E810F8"/>
    <w:pPr>
      <w:keepNext/>
      <w:numPr>
        <w:ilvl w:val="1"/>
        <w:numId w:val="48"/>
      </w:numPr>
      <w:spacing w:before="480" w:after="180"/>
      <w:outlineLvl w:val="1"/>
    </w:pPr>
    <w:rPr>
      <w:b/>
      <w:color w:val="0A6AB4"/>
      <w:spacing w:val="-5"/>
      <w:sz w:val="48"/>
    </w:rPr>
  </w:style>
  <w:style w:type="paragraph" w:styleId="Heading3">
    <w:name w:val="heading 3"/>
    <w:basedOn w:val="Normal"/>
    <w:next w:val="Normal"/>
    <w:link w:val="Heading3Char"/>
    <w:qFormat/>
    <w:rsid w:val="00030E84"/>
    <w:pPr>
      <w:keepNext/>
      <w:numPr>
        <w:ilvl w:val="2"/>
        <w:numId w:val="48"/>
      </w:numPr>
      <w:spacing w:before="360" w:after="180"/>
      <w:outlineLvl w:val="2"/>
    </w:pPr>
    <w:rPr>
      <w:color w:val="0A6AB4"/>
      <w:spacing w:val="-5"/>
      <w:sz w:val="36"/>
    </w:rPr>
  </w:style>
  <w:style w:type="paragraph" w:styleId="Heading4">
    <w:name w:val="heading 4"/>
    <w:basedOn w:val="Normal"/>
    <w:next w:val="Normal"/>
    <w:link w:val="Heading4Char"/>
    <w:qFormat/>
    <w:rsid w:val="00030E84"/>
    <w:pPr>
      <w:keepNext/>
      <w:spacing w:before="240" w:after="120"/>
      <w:outlineLvl w:val="3"/>
    </w:pPr>
    <w:rPr>
      <w:color w:val="0A6AB4"/>
      <w:sz w:val="28"/>
    </w:rPr>
  </w:style>
  <w:style w:type="paragraph" w:styleId="Heading5">
    <w:name w:val="heading 5"/>
    <w:basedOn w:val="Normal"/>
    <w:next w:val="Normal"/>
    <w:link w:val="Heading5Char"/>
    <w:qFormat/>
    <w:rsid w:val="00B00CF5"/>
    <w:pPr>
      <w:keepNext/>
      <w:spacing w:before="120" w:after="120"/>
      <w:outlineLvl w:val="4"/>
    </w:pPr>
    <w:rPr>
      <w:color w:val="0A6AB4"/>
      <w:sz w:val="24"/>
    </w:rPr>
  </w:style>
  <w:style w:type="paragraph" w:styleId="Heading6">
    <w:name w:val="heading 6"/>
    <w:basedOn w:val="Normal"/>
    <w:next w:val="Normal"/>
    <w:link w:val="Heading6Char"/>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427FA"/>
    <w:rPr>
      <w:rFonts w:ascii="Segoe UI" w:hAnsi="Segoe UI"/>
      <w:b/>
      <w:color w:val="23305D"/>
      <w:spacing w:val="-10"/>
      <w:sz w:val="72"/>
      <w:lang w:eastAsia="en-GB"/>
    </w:rPr>
  </w:style>
  <w:style w:type="character" w:customStyle="1" w:styleId="Heading2Char">
    <w:name w:val="Heading 2 Char"/>
    <w:link w:val="Heading2"/>
    <w:rsid w:val="00E810F8"/>
    <w:rPr>
      <w:rFonts w:ascii="Segoe UI" w:hAnsi="Segoe UI"/>
      <w:b/>
      <w:color w:val="0A6AB4"/>
      <w:spacing w:val="-5"/>
      <w:sz w:val="48"/>
      <w:lang w:eastAsia="en-GB"/>
    </w:rPr>
  </w:style>
  <w:style w:type="character" w:customStyle="1" w:styleId="Heading3Char">
    <w:name w:val="Heading 3 Char"/>
    <w:link w:val="Heading3"/>
    <w:rsid w:val="00030E84"/>
    <w:rPr>
      <w:rFonts w:ascii="Segoe UI" w:hAnsi="Segoe UI"/>
      <w:color w:val="0A6AB4"/>
      <w:spacing w:val="-5"/>
      <w:sz w:val="36"/>
      <w:lang w:eastAsia="en-GB"/>
    </w:rPr>
  </w:style>
  <w:style w:type="character" w:customStyle="1" w:styleId="Heading4Char">
    <w:name w:val="Heading 4 Char"/>
    <w:link w:val="Heading4"/>
    <w:rsid w:val="00030E84"/>
    <w:rPr>
      <w:rFonts w:ascii="Segoe UI" w:hAnsi="Segoe UI"/>
      <w:color w:val="0A6AB4"/>
      <w:sz w:val="28"/>
      <w:lang w:eastAsia="en-GB"/>
    </w:rPr>
  </w:style>
  <w:style w:type="character" w:customStyle="1" w:styleId="Heading5Char">
    <w:name w:val="Heading 5 Char"/>
    <w:link w:val="Heading5"/>
    <w:rsid w:val="00B00CF5"/>
    <w:rPr>
      <w:rFonts w:ascii="Segoe UI" w:hAnsi="Segoe UI"/>
      <w:color w:val="0A6AB4"/>
      <w:sz w:val="24"/>
      <w:lang w:eastAsia="en-GB"/>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paragraph" w:styleId="TOC1">
    <w:name w:val="toc 1"/>
    <w:basedOn w:val="Normal"/>
    <w:next w:val="Normal"/>
    <w:uiPriority w:val="39"/>
    <w:qFormat/>
    <w:rsid w:val="00910692"/>
    <w:pPr>
      <w:tabs>
        <w:tab w:val="right" w:pos="8080"/>
      </w:tabs>
      <w:spacing w:before="300"/>
      <w:ind w:left="567" w:right="567" w:hanging="567"/>
    </w:pPr>
    <w:rPr>
      <w:rFonts w:ascii="Segoe UI Semibold" w:hAnsi="Segoe UI Semibold"/>
      <w:sz w:val="24"/>
    </w:rPr>
  </w:style>
  <w:style w:type="paragraph" w:styleId="TOC2">
    <w:name w:val="toc 2"/>
    <w:basedOn w:val="Normal"/>
    <w:next w:val="Normal"/>
    <w:uiPriority w:val="39"/>
    <w:qFormat/>
    <w:rsid w:val="00910692"/>
    <w:pPr>
      <w:tabs>
        <w:tab w:val="right" w:pos="8080"/>
      </w:tabs>
      <w:spacing w:before="60"/>
      <w:ind w:left="1134" w:right="567" w:hanging="567"/>
    </w:pPr>
    <w:rPr>
      <w:sz w:val="22"/>
    </w:rPr>
  </w:style>
  <w:style w:type="paragraph" w:styleId="TOC3">
    <w:name w:val="toc 3"/>
    <w:basedOn w:val="Normal"/>
    <w:next w:val="Normal"/>
    <w:uiPriority w:val="39"/>
    <w:rsid w:val="00125D45"/>
    <w:pPr>
      <w:tabs>
        <w:tab w:val="right" w:pos="8080"/>
      </w:tabs>
      <w:spacing w:before="120"/>
      <w:ind w:left="1276" w:right="567" w:hanging="1276"/>
    </w:pPr>
  </w:style>
  <w:style w:type="paragraph" w:customStyle="1" w:styleId="Bullet">
    <w:name w:val="Bullet"/>
    <w:basedOn w:val="Normal"/>
    <w:link w:val="BulletChar"/>
    <w:uiPriority w:val="99"/>
    <w:qFormat/>
    <w:rsid w:val="00FA0EA5"/>
    <w:pPr>
      <w:numPr>
        <w:numId w:val="1"/>
      </w:numPr>
      <w:tabs>
        <w:tab w:val="clear" w:pos="284"/>
      </w:tabs>
      <w:spacing w:before="90"/>
    </w:pPr>
  </w:style>
  <w:style w:type="character" w:customStyle="1" w:styleId="BulletChar">
    <w:name w:val="Bullet Char"/>
    <w:link w:val="Bullet"/>
    <w:uiPriority w:val="99"/>
    <w:locked/>
    <w:rsid w:val="002B7BEC"/>
    <w:rPr>
      <w:rFonts w:ascii="Segoe UI" w:hAnsi="Segoe UI"/>
      <w:sz w:val="21"/>
      <w:lang w:eastAsia="en-GB"/>
    </w:rPr>
  </w:style>
  <w:style w:type="paragraph" w:styleId="Quote">
    <w:name w:val="Quote"/>
    <w:basedOn w:val="Normal"/>
    <w:next w:val="Normal"/>
    <w:link w:val="QuoteChar"/>
    <w:qFormat/>
    <w:pPr>
      <w:spacing w:before="120"/>
      <w:ind w:left="284" w:right="284"/>
    </w:pPr>
  </w:style>
  <w:style w:type="character" w:customStyle="1" w:styleId="QuoteChar">
    <w:name w:val="Quote Char"/>
    <w:link w:val="Quote"/>
    <w:rsid w:val="00122363"/>
    <w:rPr>
      <w:rFonts w:ascii="Georgia" w:hAnsi="Georgia"/>
      <w:sz w:val="22"/>
      <w:lang w:eastAsia="en-GB"/>
    </w:rPr>
  </w:style>
  <w:style w:type="paragraph" w:styleId="FootnoteText">
    <w:name w:val="footnote text"/>
    <w:basedOn w:val="Normal"/>
    <w:link w:val="FootnoteTextChar"/>
    <w:uiPriority w:val="99"/>
    <w:rsid w:val="00A7415D"/>
    <w:pPr>
      <w:spacing w:before="60" w:line="228" w:lineRule="auto"/>
      <w:ind w:left="284" w:hanging="284"/>
    </w:pPr>
    <w:rPr>
      <w:sz w:val="17"/>
    </w:rPr>
  </w:style>
  <w:style w:type="character" w:customStyle="1" w:styleId="FootnoteTextChar">
    <w:name w:val="Footnote Text Char"/>
    <w:link w:val="FootnoteText"/>
    <w:uiPriority w:val="99"/>
    <w:rsid w:val="00A7415D"/>
    <w:rPr>
      <w:rFonts w:ascii="Segoe UI" w:hAnsi="Segoe UI"/>
      <w:sz w:val="17"/>
      <w:lang w:eastAsia="en-GB"/>
    </w:rPr>
  </w:style>
  <w:style w:type="paragraph" w:styleId="Header">
    <w:name w:val="header"/>
    <w:basedOn w:val="Normal"/>
    <w:link w:val="HeaderChar"/>
    <w:uiPriority w:val="99"/>
    <w:qFormat/>
    <w:rsid w:val="00D25FFE"/>
  </w:style>
  <w:style w:type="character" w:customStyle="1" w:styleId="HeaderChar">
    <w:name w:val="Header Char"/>
    <w:link w:val="Header"/>
    <w:uiPriority w:val="99"/>
    <w:rsid w:val="0086388B"/>
    <w:rPr>
      <w:rFonts w:ascii="Georgia" w:hAnsi="Georgia"/>
      <w:sz w:val="22"/>
      <w:lang w:eastAsia="en-GB"/>
    </w:rPr>
  </w:style>
  <w:style w:type="paragraph" w:styleId="Title">
    <w:name w:val="Title"/>
    <w:basedOn w:val="Normal"/>
    <w:next w:val="Normal"/>
    <w:link w:val="TitleChar"/>
    <w:qFormat/>
    <w:rsid w:val="003749EB"/>
    <w:pPr>
      <w:spacing w:line="216" w:lineRule="auto"/>
      <w:ind w:right="2268"/>
    </w:pPr>
    <w:rPr>
      <w:rFonts w:ascii="Segoe UI Black" w:hAnsi="Segoe UI Black" w:cs="Lucida Sans Unicode"/>
      <w:b/>
      <w:sz w:val="72"/>
      <w:szCs w:val="72"/>
    </w:rPr>
  </w:style>
  <w:style w:type="character" w:customStyle="1" w:styleId="TitleChar">
    <w:name w:val="Title Char"/>
    <w:link w:val="Title"/>
    <w:rsid w:val="003749EB"/>
    <w:rPr>
      <w:rFonts w:ascii="Segoe UI Black" w:hAnsi="Segoe UI Black" w:cs="Lucida Sans Unicode"/>
      <w:b/>
      <w:sz w:val="72"/>
      <w:szCs w:val="72"/>
      <w:lang w:eastAsia="en-GB"/>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uiPriority w:val="99"/>
    <w:qFormat/>
    <w:rsid w:val="007A067F"/>
  </w:style>
  <w:style w:type="character" w:customStyle="1" w:styleId="FooterChar">
    <w:name w:val="Footer Char"/>
    <w:link w:val="Footer"/>
    <w:uiPriority w:val="99"/>
    <w:rsid w:val="007A067F"/>
    <w:rPr>
      <w:rFonts w:ascii="Segoe UI" w:hAnsi="Segoe UI"/>
      <w:sz w:val="21"/>
      <w:lang w:eastAsia="en-GB"/>
    </w:rPr>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link w:val="FigureChar"/>
    <w:qFormat/>
    <w:rsid w:val="009133F5"/>
    <w:pPr>
      <w:keepNext/>
      <w:spacing w:before="120" w:after="120"/>
    </w:pPr>
    <w:rPr>
      <w:b/>
      <w:sz w:val="20"/>
    </w:rPr>
  </w:style>
  <w:style w:type="character" w:customStyle="1" w:styleId="FigureChar">
    <w:name w:val="Figure Char"/>
    <w:link w:val="Figure"/>
    <w:locked/>
    <w:rsid w:val="002B7BEC"/>
    <w:rPr>
      <w:rFonts w:ascii="Segoe UI" w:hAnsi="Segoe UI"/>
      <w:b/>
      <w:lang w:eastAsia="en-GB"/>
    </w:rPr>
  </w:style>
  <w:style w:type="character" w:styleId="FootnoteReference">
    <w:name w:val="footnote reference"/>
    <w:uiPriority w:val="99"/>
    <w:rPr>
      <w:vertAlign w:val="superscript"/>
    </w:rPr>
  </w:style>
  <w:style w:type="paragraph" w:customStyle="1" w:styleId="Table">
    <w:name w:val="Table"/>
    <w:basedOn w:val="Figure"/>
    <w:link w:val="TableChar"/>
    <w:qFormat/>
    <w:rsid w:val="00642868"/>
  </w:style>
  <w:style w:type="character" w:customStyle="1" w:styleId="TableChar">
    <w:name w:val="Table Char"/>
    <w:link w:val="Table"/>
    <w:locked/>
    <w:rsid w:val="002B7BEC"/>
    <w:rPr>
      <w:rFonts w:ascii="Segoe UI" w:hAnsi="Segoe UI"/>
      <w:b/>
      <w:lang w:eastAsia="en-GB"/>
    </w:rPr>
  </w:style>
  <w:style w:type="paragraph" w:customStyle="1" w:styleId="Dash">
    <w:name w:val="Dash"/>
    <w:basedOn w:val="Bullet"/>
    <w:qFormat/>
    <w:rsid w:val="00702854"/>
    <w:pPr>
      <w:numPr>
        <w:numId w:val="2"/>
      </w:numPr>
      <w:spacing w:before="60"/>
    </w:pPr>
  </w:style>
  <w:style w:type="paragraph" w:customStyle="1" w:styleId="TableText">
    <w:name w:val="TableText"/>
    <w:basedOn w:val="Normal"/>
    <w:qFormat/>
    <w:rsid w:val="00925892"/>
    <w:pPr>
      <w:spacing w:before="60" w:after="60"/>
    </w:pPr>
    <w:rPr>
      <w:sz w:val="18"/>
    </w:rPr>
  </w:style>
  <w:style w:type="paragraph" w:customStyle="1" w:styleId="TableBullet">
    <w:name w:val="TableBullet"/>
    <w:basedOn w:val="TableText"/>
    <w:qFormat/>
    <w:rsid w:val="00B73AF2"/>
    <w:pPr>
      <w:numPr>
        <w:numId w:val="4"/>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8814E8"/>
    <w:pPr>
      <w:pBdr>
        <w:top w:val="single" w:sz="4" w:space="12" w:color="auto"/>
        <w:left w:val="single" w:sz="4" w:space="12" w:color="auto"/>
        <w:bottom w:val="single" w:sz="4" w:space="12" w:color="auto"/>
        <w:right w:val="single" w:sz="4" w:space="12" w:color="auto"/>
      </w:pBdr>
      <w:spacing w:line="264" w:lineRule="auto"/>
      <w:ind w:left="568" w:right="284"/>
    </w:pPr>
  </w:style>
  <w:style w:type="paragraph" w:customStyle="1" w:styleId="IntroHead">
    <w:name w:val="IntroHead"/>
    <w:basedOn w:val="Heading1"/>
    <w:next w:val="Normal"/>
    <w:qFormat/>
    <w:rsid w:val="00F54E74"/>
    <w:pPr>
      <w:numPr>
        <w:numId w:val="0"/>
      </w:numPr>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A87C05"/>
    <w:pPr>
      <w:spacing w:before="80"/>
    </w:pPr>
    <w:rPr>
      <w:sz w:val="17"/>
    </w:rPr>
  </w:style>
  <w:style w:type="character" w:customStyle="1" w:styleId="NoteChar">
    <w:name w:val="Note Char"/>
    <w:link w:val="Note"/>
    <w:rsid w:val="00A87C05"/>
    <w:rPr>
      <w:rFonts w:ascii="Segoe UI" w:hAnsi="Segoe UI"/>
      <w:sz w:val="17"/>
      <w:lang w:eastAsia="en-GB"/>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paragraph" w:customStyle="1" w:styleId="Year">
    <w:name w:val="Year"/>
    <w:basedOn w:val="Subhead"/>
    <w:next w:val="Subhead"/>
    <w:qFormat/>
    <w:rsid w:val="00531E12"/>
    <w:rPr>
      <w:sz w:val="28"/>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3"/>
      </w:numPr>
      <w:spacing w:before="40" w:after="0"/>
    </w:pPr>
    <w:rPr>
      <w:szCs w:val="22"/>
    </w:rPr>
  </w:style>
  <w:style w:type="paragraph" w:styleId="Revision">
    <w:name w:val="Revision"/>
    <w:hidden/>
    <w:uiPriority w:val="99"/>
    <w:rsid w:val="0086388B"/>
    <w:rPr>
      <w:rFonts w:ascii="Calibri" w:eastAsia="Calibri" w:hAnsi="Calibri"/>
      <w:sz w:val="22"/>
      <w:szCs w:val="22"/>
      <w:lang w:val="en-US" w:eastAsia="en-US"/>
    </w:rPr>
  </w:style>
  <w:style w:type="paragraph" w:customStyle="1" w:styleId="Number">
    <w:name w:val="Number"/>
    <w:basedOn w:val="Normal"/>
    <w:rsid w:val="00F140B2"/>
    <w:pPr>
      <w:numPr>
        <w:ilvl w:val="3"/>
        <w:numId w:val="5"/>
      </w:numPr>
      <w:spacing w:before="180"/>
    </w:pPr>
    <w:rPr>
      <w:szCs w:val="24"/>
    </w:rPr>
  </w:style>
  <w:style w:type="paragraph" w:customStyle="1" w:styleId="Letter">
    <w:name w:val="Letter"/>
    <w:basedOn w:val="Normal"/>
    <w:qFormat/>
    <w:rsid w:val="00F140B2"/>
    <w:pPr>
      <w:numPr>
        <w:ilvl w:val="4"/>
        <w:numId w:val="5"/>
      </w:numPr>
      <w:spacing w:before="120"/>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Shadedboxheading">
    <w:name w:val="Shaded box heading"/>
    <w:basedOn w:val="BoxHeading"/>
    <w:next w:val="Shadedboxtext"/>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after="120"/>
    </w:pPr>
    <w:rPr>
      <w:rFonts w:eastAsia="Arial Unicode MS"/>
    </w:rPr>
  </w:style>
  <w:style w:type="paragraph" w:customStyle="1" w:styleId="Shadedboxtext">
    <w:name w:val="Shaded box text"/>
    <w:basedOn w:val="Normal"/>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line="264" w:lineRule="auto"/>
      <w:ind w:left="284" w:right="284"/>
    </w:pPr>
    <w:rPr>
      <w:rFonts w:eastAsia="Arial Unicode MS"/>
    </w:rPr>
  </w:style>
  <w:style w:type="paragraph" w:customStyle="1" w:styleId="Roman">
    <w:name w:val="Roman"/>
    <w:basedOn w:val="Normal"/>
    <w:qFormat/>
    <w:rsid w:val="00AD6293"/>
    <w:pPr>
      <w:numPr>
        <w:ilvl w:val="5"/>
        <w:numId w:val="5"/>
      </w:numPr>
      <w:spacing w:before="90"/>
    </w:pPr>
    <w:rPr>
      <w:rFonts w:eastAsia="Arial Unicode MS"/>
    </w:rPr>
  </w:style>
  <w:style w:type="table" w:styleId="TableGrid">
    <w:name w:val="Table Grid"/>
    <w:basedOn w:val="TableNormal"/>
    <w:uiPriority w:val="59"/>
    <w:rsid w:val="003749EB"/>
    <w:rPr>
      <w:rFonts w:ascii="Arial" w:eastAsiaTheme="minorHAnsi" w:hAnsi="Arial"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chart" Target="charts/chart2.xml"/><Relationship Id="rId28" Type="http://schemas.openxmlformats.org/officeDocument/2006/relationships/footer" Target="footer8.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 Id="rId22" Type="http://schemas.openxmlformats.org/officeDocument/2006/relationships/chart" Target="charts/chart1.xml"/><Relationship Id="rId27" Type="http://schemas.openxmlformats.org/officeDocument/2006/relationships/chart" Target="charts/chart6.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file:///C:\Users\sgiles\AppData\Local\Temp\notesD5E260\www.trademe.co.nz\trust-safety\2014\2\17\rules-on-listing-laser-pointers\" TargetMode="External"/><Relationship Id="rId1" Type="http://schemas.openxmlformats.org/officeDocument/2006/relationships/hyperlink" Target="http://www.health.govt.nz/our-work/environmental-health/high-power-laser-pointer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5666826283420077E-2"/>
          <c:y val="0.11313216047484727"/>
          <c:w val="0.90460273365787003"/>
          <c:h val="0.70741687278744581"/>
        </c:manualLayout>
      </c:layout>
      <c:barChart>
        <c:barDir val="col"/>
        <c:grouping val="clustered"/>
        <c:varyColors val="0"/>
        <c:ser>
          <c:idx val="0"/>
          <c:order val="0"/>
          <c:tx>
            <c:strRef>
              <c:f>Sheet1!$B$1</c:f>
              <c:strCache>
                <c:ptCount val="1"/>
                <c:pt idx="0">
                  <c:v>Declined</c:v>
                </c:pt>
              </c:strCache>
            </c:strRef>
          </c:tx>
          <c:spPr>
            <a:solidFill>
              <a:srgbClr val="0A6AB4"/>
            </a:solidFill>
            <a:ln>
              <a:solidFill>
                <a:srgbClr val="0A6AB4"/>
              </a:solidFill>
            </a:ln>
            <a:effectLst/>
          </c:spPr>
          <c:invertIfNegative val="0"/>
          <c:cat>
            <c:strRef>
              <c:f>Sheet1!$A$2:$A$6</c:f>
              <c:strCache>
                <c:ptCount val="5"/>
                <c:pt idx="0">
                  <c:v>2014/15*</c:v>
                </c:pt>
                <c:pt idx="1">
                  <c:v>2015/16</c:v>
                </c:pt>
                <c:pt idx="2">
                  <c:v>2016/17</c:v>
                </c:pt>
                <c:pt idx="3">
                  <c:v>2017/18</c:v>
                </c:pt>
                <c:pt idx="4">
                  <c:v>2018/19</c:v>
                </c:pt>
              </c:strCache>
            </c:strRef>
          </c:cat>
          <c:val>
            <c:numRef>
              <c:f>Sheet1!$B$2:$B$6</c:f>
              <c:numCache>
                <c:formatCode>General</c:formatCode>
                <c:ptCount val="5"/>
                <c:pt idx="0">
                  <c:v>14</c:v>
                </c:pt>
                <c:pt idx="1">
                  <c:v>5</c:v>
                </c:pt>
                <c:pt idx="2">
                  <c:v>2</c:v>
                </c:pt>
                <c:pt idx="3">
                  <c:v>1</c:v>
                </c:pt>
                <c:pt idx="4">
                  <c:v>3</c:v>
                </c:pt>
              </c:numCache>
            </c:numRef>
          </c:val>
          <c:extLst xmlns:c16r2="http://schemas.microsoft.com/office/drawing/2015/06/chart">
            <c:ext xmlns:c16="http://schemas.microsoft.com/office/drawing/2014/chart" uri="{C3380CC4-5D6E-409C-BE32-E72D297353CC}">
              <c16:uniqueId val="{00000000-1D04-444A-B9D9-04512118A1E3}"/>
            </c:ext>
          </c:extLst>
        </c:ser>
        <c:ser>
          <c:idx val="1"/>
          <c:order val="1"/>
          <c:tx>
            <c:strRef>
              <c:f>Sheet1!$C$1</c:f>
              <c:strCache>
                <c:ptCount val="1"/>
                <c:pt idx="0">
                  <c:v>Not needed</c:v>
                </c:pt>
              </c:strCache>
            </c:strRef>
          </c:tx>
          <c:spPr>
            <a:solidFill>
              <a:srgbClr val="F18700"/>
            </a:solidFill>
            <a:ln>
              <a:solidFill>
                <a:srgbClr val="F18700"/>
              </a:solidFill>
            </a:ln>
            <a:effectLst/>
          </c:spPr>
          <c:invertIfNegative val="0"/>
          <c:cat>
            <c:strRef>
              <c:f>Sheet1!$A$2:$A$6</c:f>
              <c:strCache>
                <c:ptCount val="5"/>
                <c:pt idx="0">
                  <c:v>2014/15*</c:v>
                </c:pt>
                <c:pt idx="1">
                  <c:v>2015/16</c:v>
                </c:pt>
                <c:pt idx="2">
                  <c:v>2016/17</c:v>
                </c:pt>
                <c:pt idx="3">
                  <c:v>2017/18</c:v>
                </c:pt>
                <c:pt idx="4">
                  <c:v>2018/19</c:v>
                </c:pt>
              </c:strCache>
            </c:strRef>
          </c:cat>
          <c:val>
            <c:numRef>
              <c:f>Sheet1!$C$2:$C$6</c:f>
              <c:numCache>
                <c:formatCode>General</c:formatCode>
                <c:ptCount val="5"/>
                <c:pt idx="0">
                  <c:v>2</c:v>
                </c:pt>
                <c:pt idx="1">
                  <c:v>12</c:v>
                </c:pt>
                <c:pt idx="2">
                  <c:v>3</c:v>
                </c:pt>
                <c:pt idx="3">
                  <c:v>3</c:v>
                </c:pt>
                <c:pt idx="4">
                  <c:v>2</c:v>
                </c:pt>
              </c:numCache>
            </c:numRef>
          </c:val>
          <c:extLst xmlns:c16r2="http://schemas.microsoft.com/office/drawing/2015/06/chart">
            <c:ext xmlns:c16="http://schemas.microsoft.com/office/drawing/2014/chart" uri="{C3380CC4-5D6E-409C-BE32-E72D297353CC}">
              <c16:uniqueId val="{00000001-1D04-444A-B9D9-04512118A1E3}"/>
            </c:ext>
          </c:extLst>
        </c:ser>
        <c:ser>
          <c:idx val="2"/>
          <c:order val="2"/>
          <c:tx>
            <c:strRef>
              <c:f>Sheet1!$D$1</c:f>
              <c:strCache>
                <c:ptCount val="1"/>
                <c:pt idx="0">
                  <c:v>Granted</c:v>
                </c:pt>
              </c:strCache>
            </c:strRef>
          </c:tx>
          <c:spPr>
            <a:solidFill>
              <a:srgbClr val="84A113"/>
            </a:solidFill>
            <a:ln>
              <a:solidFill>
                <a:srgbClr val="84A113"/>
              </a:solidFill>
            </a:ln>
            <a:effectLst/>
          </c:spPr>
          <c:invertIfNegative val="0"/>
          <c:cat>
            <c:strRef>
              <c:f>Sheet1!$A$2:$A$6</c:f>
              <c:strCache>
                <c:ptCount val="5"/>
                <c:pt idx="0">
                  <c:v>2014/15*</c:v>
                </c:pt>
                <c:pt idx="1">
                  <c:v>2015/16</c:v>
                </c:pt>
                <c:pt idx="2">
                  <c:v>2016/17</c:v>
                </c:pt>
                <c:pt idx="3">
                  <c:v>2017/18</c:v>
                </c:pt>
                <c:pt idx="4">
                  <c:v>2018/19</c:v>
                </c:pt>
              </c:strCache>
            </c:strRef>
          </c:cat>
          <c:val>
            <c:numRef>
              <c:f>Sheet1!$D$2:$D$6</c:f>
              <c:numCache>
                <c:formatCode>General</c:formatCode>
                <c:ptCount val="5"/>
                <c:pt idx="0">
                  <c:v>21</c:v>
                </c:pt>
                <c:pt idx="1">
                  <c:v>22</c:v>
                </c:pt>
                <c:pt idx="2">
                  <c:v>19</c:v>
                </c:pt>
                <c:pt idx="3">
                  <c:v>16</c:v>
                </c:pt>
                <c:pt idx="4">
                  <c:v>15</c:v>
                </c:pt>
              </c:numCache>
            </c:numRef>
          </c:val>
          <c:extLst xmlns:c16r2="http://schemas.microsoft.com/office/drawing/2015/06/chart">
            <c:ext xmlns:c16="http://schemas.microsoft.com/office/drawing/2014/chart" uri="{C3380CC4-5D6E-409C-BE32-E72D297353CC}">
              <c16:uniqueId val="{00000002-1D04-444A-B9D9-04512118A1E3}"/>
            </c:ext>
          </c:extLst>
        </c:ser>
        <c:dLbls>
          <c:showLegendKey val="0"/>
          <c:showVal val="0"/>
          <c:showCatName val="0"/>
          <c:showSerName val="0"/>
          <c:showPercent val="0"/>
          <c:showBubbleSize val="0"/>
        </c:dLbls>
        <c:gapWidth val="50"/>
        <c:axId val="574733528"/>
        <c:axId val="574733920"/>
      </c:barChart>
      <c:catAx>
        <c:axId val="574733528"/>
        <c:scaling>
          <c:orientation val="minMax"/>
        </c:scaling>
        <c:delete val="0"/>
        <c:axPos val="b"/>
        <c:title>
          <c:tx>
            <c:rich>
              <a:bodyPr rot="0" vert="horz"/>
              <a:lstStyle/>
              <a:p>
                <a:pPr>
                  <a:defRPr b="0"/>
                </a:pPr>
                <a:r>
                  <a:rPr lang="en-NZ" b="0"/>
                  <a:t>Year</a:t>
                </a:r>
              </a:p>
            </c:rich>
          </c:tx>
          <c:layout>
            <c:manualLayout>
              <c:xMode val="edge"/>
              <c:yMode val="edge"/>
              <c:x val="0.48017431241314013"/>
              <c:y val="0.91427349170487815"/>
            </c:manualLayout>
          </c:layout>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vert="horz"/>
          <a:lstStyle/>
          <a:p>
            <a:pPr>
              <a:defRPr/>
            </a:pPr>
            <a:endParaRPr lang="en-US"/>
          </a:p>
        </c:txPr>
        <c:crossAx val="574733920"/>
        <c:crosses val="autoZero"/>
        <c:auto val="1"/>
        <c:lblAlgn val="ctr"/>
        <c:lblOffset val="100"/>
        <c:noMultiLvlLbl val="0"/>
      </c:catAx>
      <c:valAx>
        <c:axId val="574733920"/>
        <c:scaling>
          <c:orientation val="minMax"/>
        </c:scaling>
        <c:delete val="0"/>
        <c:axPos val="l"/>
        <c:numFmt formatCode="General" sourceLinked="1"/>
        <c:majorTickMark val="out"/>
        <c:minorTickMark val="none"/>
        <c:tickLblPos val="nextTo"/>
        <c:spPr>
          <a:noFill/>
          <a:ln>
            <a:solidFill>
              <a:schemeClr val="tx1"/>
            </a:solidFill>
          </a:ln>
          <a:effectLst/>
        </c:spPr>
        <c:txPr>
          <a:bodyPr rot="-60000000" vert="horz"/>
          <a:lstStyle/>
          <a:p>
            <a:pPr>
              <a:defRPr/>
            </a:pPr>
            <a:endParaRPr lang="en-US"/>
          </a:p>
        </c:txPr>
        <c:crossAx val="574733528"/>
        <c:crosses val="autoZero"/>
        <c:crossBetween val="between"/>
      </c:valAx>
      <c:spPr>
        <a:noFill/>
        <a:ln>
          <a:noFill/>
        </a:ln>
        <a:effectLst/>
      </c:spPr>
    </c:plotArea>
    <c:legend>
      <c:legendPos val="t"/>
      <c:layout>
        <c:manualLayout>
          <c:xMode val="edge"/>
          <c:yMode val="edge"/>
          <c:x val="0.51813157931678833"/>
          <c:y val="1.7907704236461101E-2"/>
          <c:w val="0.4587187741524883"/>
          <c:h val="6.6964754405699295E-2"/>
        </c:manualLayout>
      </c:layout>
      <c:overlay val="1"/>
      <c:spPr>
        <a:noFill/>
        <a:ln>
          <a:noFill/>
        </a:ln>
        <a:effectLst/>
      </c:spPr>
      <c:txPr>
        <a:bodyPr rot="0" vert="horz"/>
        <a:lstStyle/>
        <a:p>
          <a:pPr>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latin typeface="Segoe UI" panose="020B0502040204020203" pitchFamily="34" charset="0"/>
          <a:cs typeface="Segoe UI" panose="020B0502040204020203" pitchFamily="34" charset="0"/>
        </a:defRPr>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7151510259501297E-2"/>
          <c:y val="0.11243237930078179"/>
          <c:w val="0.88697420311708841"/>
          <c:h val="0.72703283355741932"/>
        </c:manualLayout>
      </c:layout>
      <c:barChart>
        <c:barDir val="col"/>
        <c:grouping val="clustered"/>
        <c:varyColors val="0"/>
        <c:ser>
          <c:idx val="0"/>
          <c:order val="0"/>
          <c:tx>
            <c:strRef>
              <c:f>Sheet1!$B$1</c:f>
              <c:strCache>
                <c:ptCount val="1"/>
                <c:pt idx="0">
                  <c:v>Overview page</c:v>
                </c:pt>
              </c:strCache>
            </c:strRef>
          </c:tx>
          <c:spPr>
            <a:solidFill>
              <a:srgbClr val="0A6AB4"/>
            </a:solidFill>
            <a:ln>
              <a:solidFill>
                <a:srgbClr val="0A6AB4"/>
              </a:solidFill>
            </a:ln>
          </c:spPr>
          <c:invertIfNegative val="0"/>
          <c:cat>
            <c:strRef>
              <c:f>Sheet1!$A$2:$A$6</c:f>
              <c:strCache>
                <c:ptCount val="5"/>
                <c:pt idx="0">
                  <c:v>Mar 14–Feb 15</c:v>
                </c:pt>
                <c:pt idx="1">
                  <c:v>Mar 15–Feb 16</c:v>
                </c:pt>
                <c:pt idx="2">
                  <c:v>Mar 16–Feb 17</c:v>
                </c:pt>
                <c:pt idx="3">
                  <c:v>Mar 17–Feb 18</c:v>
                </c:pt>
                <c:pt idx="4">
                  <c:v>Mar 18–Feb 19</c:v>
                </c:pt>
              </c:strCache>
            </c:strRef>
          </c:cat>
          <c:val>
            <c:numRef>
              <c:f>Sheet1!$B$2:$B$6</c:f>
              <c:numCache>
                <c:formatCode>General</c:formatCode>
                <c:ptCount val="5"/>
                <c:pt idx="0">
                  <c:v>4268</c:v>
                </c:pt>
                <c:pt idx="1">
                  <c:v>3988</c:v>
                </c:pt>
                <c:pt idx="2">
                  <c:v>3525</c:v>
                </c:pt>
                <c:pt idx="3">
                  <c:v>2298</c:v>
                </c:pt>
                <c:pt idx="4">
                  <c:v>1889</c:v>
                </c:pt>
              </c:numCache>
            </c:numRef>
          </c:val>
          <c:extLst xmlns:c16r2="http://schemas.microsoft.com/office/drawing/2015/06/chart">
            <c:ext xmlns:c16="http://schemas.microsoft.com/office/drawing/2014/chart" uri="{C3380CC4-5D6E-409C-BE32-E72D297353CC}">
              <c16:uniqueId val="{00000000-1D35-4459-9849-B0E8E7622DC1}"/>
            </c:ext>
          </c:extLst>
        </c:ser>
        <c:ser>
          <c:idx val="1"/>
          <c:order val="1"/>
          <c:tx>
            <c:strRef>
              <c:f>Sheet1!$C$1</c:f>
              <c:strCache>
                <c:ptCount val="1"/>
                <c:pt idx="0">
                  <c:v>Questions and answers page</c:v>
                </c:pt>
              </c:strCache>
            </c:strRef>
          </c:tx>
          <c:spPr>
            <a:solidFill>
              <a:srgbClr val="F18700"/>
            </a:solidFill>
            <a:ln>
              <a:solidFill>
                <a:srgbClr val="F18700"/>
              </a:solidFill>
            </a:ln>
          </c:spPr>
          <c:invertIfNegative val="0"/>
          <c:cat>
            <c:strRef>
              <c:f>Sheet1!$A$2:$A$6</c:f>
              <c:strCache>
                <c:ptCount val="5"/>
                <c:pt idx="0">
                  <c:v>Mar 14–Feb 15</c:v>
                </c:pt>
                <c:pt idx="1">
                  <c:v>Mar 15–Feb 16</c:v>
                </c:pt>
                <c:pt idx="2">
                  <c:v>Mar 16–Feb 17</c:v>
                </c:pt>
                <c:pt idx="3">
                  <c:v>Mar 17–Feb 18</c:v>
                </c:pt>
                <c:pt idx="4">
                  <c:v>Mar 18–Feb 19</c:v>
                </c:pt>
              </c:strCache>
            </c:strRef>
          </c:cat>
          <c:val>
            <c:numRef>
              <c:f>Sheet1!$C$2:$C$6</c:f>
              <c:numCache>
                <c:formatCode>General</c:formatCode>
                <c:ptCount val="5"/>
                <c:pt idx="0">
                  <c:v>2840</c:v>
                </c:pt>
                <c:pt idx="1">
                  <c:v>3816</c:v>
                </c:pt>
                <c:pt idx="2">
                  <c:v>2840</c:v>
                </c:pt>
                <c:pt idx="3">
                  <c:v>2805</c:v>
                </c:pt>
                <c:pt idx="4">
                  <c:v>2367</c:v>
                </c:pt>
              </c:numCache>
            </c:numRef>
          </c:val>
          <c:extLst xmlns:c16r2="http://schemas.microsoft.com/office/drawing/2015/06/chart">
            <c:ext xmlns:c16="http://schemas.microsoft.com/office/drawing/2014/chart" uri="{C3380CC4-5D6E-409C-BE32-E72D297353CC}">
              <c16:uniqueId val="{00000001-1D35-4459-9849-B0E8E7622DC1}"/>
            </c:ext>
          </c:extLst>
        </c:ser>
        <c:dLbls>
          <c:showLegendKey val="0"/>
          <c:showVal val="0"/>
          <c:showCatName val="0"/>
          <c:showSerName val="0"/>
          <c:showPercent val="0"/>
          <c:showBubbleSize val="0"/>
        </c:dLbls>
        <c:gapWidth val="50"/>
        <c:axId val="436385024"/>
        <c:axId val="436383064"/>
      </c:barChart>
      <c:catAx>
        <c:axId val="436385024"/>
        <c:scaling>
          <c:orientation val="minMax"/>
        </c:scaling>
        <c:delete val="0"/>
        <c:axPos val="b"/>
        <c:title>
          <c:tx>
            <c:rich>
              <a:bodyPr/>
              <a:lstStyle/>
              <a:p>
                <a:pPr>
                  <a:defRPr sz="1000" b="0">
                    <a:latin typeface="Segoe UI" panose="020B0502040204020203" pitchFamily="34" charset="0"/>
                    <a:cs typeface="Segoe UI" panose="020B0502040204020203" pitchFamily="34" charset="0"/>
                  </a:defRPr>
                </a:pPr>
                <a:r>
                  <a:rPr lang="en-NZ" sz="1000" b="0">
                    <a:latin typeface="Segoe UI" panose="020B0502040204020203" pitchFamily="34" charset="0"/>
                    <a:cs typeface="Segoe UI" panose="020B0502040204020203" pitchFamily="34" charset="0"/>
                  </a:rPr>
                  <a:t>Year</a:t>
                </a:r>
              </a:p>
            </c:rich>
          </c:tx>
          <c:layout>
            <c:manualLayout>
              <c:xMode val="edge"/>
              <c:yMode val="edge"/>
              <c:x val="0.49498191931179719"/>
              <c:y val="0.9253151537065446"/>
            </c:manualLayout>
          </c:layout>
          <c:overlay val="0"/>
        </c:title>
        <c:numFmt formatCode="mm\ yyyy" sourceLinked="0"/>
        <c:majorTickMark val="none"/>
        <c:minorTickMark val="none"/>
        <c:tickLblPos val="nextTo"/>
        <c:spPr>
          <a:ln>
            <a:solidFill>
              <a:schemeClr val="tx1"/>
            </a:solidFill>
          </a:ln>
        </c:spPr>
        <c:txPr>
          <a:bodyPr/>
          <a:lstStyle/>
          <a:p>
            <a:pPr>
              <a:defRPr>
                <a:latin typeface="Segoe UI" panose="020B0502040204020203" pitchFamily="34" charset="0"/>
                <a:cs typeface="Segoe UI" panose="020B0502040204020203" pitchFamily="34" charset="0"/>
              </a:defRPr>
            </a:pPr>
            <a:endParaRPr lang="en-US"/>
          </a:p>
        </c:txPr>
        <c:crossAx val="436383064"/>
        <c:crosses val="autoZero"/>
        <c:auto val="1"/>
        <c:lblAlgn val="ctr"/>
        <c:lblOffset val="100"/>
        <c:noMultiLvlLbl val="1"/>
      </c:catAx>
      <c:valAx>
        <c:axId val="436383064"/>
        <c:scaling>
          <c:orientation val="minMax"/>
          <c:max val="5000"/>
        </c:scaling>
        <c:delete val="0"/>
        <c:axPos val="l"/>
        <c:numFmt formatCode="#,##0" sourceLinked="0"/>
        <c:majorTickMark val="out"/>
        <c:minorTickMark val="none"/>
        <c:tickLblPos val="nextTo"/>
        <c:spPr>
          <a:ln>
            <a:solidFill>
              <a:schemeClr val="tx1"/>
            </a:solidFill>
          </a:ln>
        </c:spPr>
        <c:txPr>
          <a:bodyPr/>
          <a:lstStyle/>
          <a:p>
            <a:pPr>
              <a:defRPr>
                <a:latin typeface="Segoe UI" panose="020B0502040204020203" pitchFamily="34" charset="0"/>
                <a:cs typeface="Segoe UI" panose="020B0502040204020203" pitchFamily="34" charset="0"/>
              </a:defRPr>
            </a:pPr>
            <a:endParaRPr lang="en-US"/>
          </a:p>
        </c:txPr>
        <c:crossAx val="436385024"/>
        <c:crosses val="autoZero"/>
        <c:crossBetween val="between"/>
        <c:majorUnit val="1000"/>
        <c:minorUnit val="200"/>
      </c:valAx>
    </c:plotArea>
    <c:legend>
      <c:legendPos val="r"/>
      <c:layout>
        <c:manualLayout>
          <c:xMode val="edge"/>
          <c:yMode val="edge"/>
          <c:x val="0.41225216920490398"/>
          <c:y val="4.2101235339340945E-3"/>
          <c:w val="0.57325403449787904"/>
          <c:h val="0.10788190228480962"/>
        </c:manualLayout>
      </c:layout>
      <c:overlay val="1"/>
      <c:txPr>
        <a:bodyPr/>
        <a:lstStyle/>
        <a:p>
          <a:pPr>
            <a:defRPr>
              <a:latin typeface="Segoe UI" panose="020B0502040204020203" pitchFamily="34" charset="0"/>
              <a:cs typeface="Segoe UI" panose="020B0502040204020203" pitchFamily="34" charset="0"/>
            </a:defRPr>
          </a:pPr>
          <a:endParaRPr lang="en-US"/>
        </a:p>
      </c:txPr>
    </c:legend>
    <c:plotVisOnly val="1"/>
    <c:dispBlanksAs val="gap"/>
    <c:showDLblsOverMax val="0"/>
  </c:chart>
  <c:spPr>
    <a:ln>
      <a:noFill/>
    </a:ln>
  </c:sp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6725210778886055E-2"/>
          <c:y val="0.11370984127210446"/>
          <c:w val="0.89603726140598283"/>
          <c:h val="0.66442682540696785"/>
        </c:manualLayout>
      </c:layout>
      <c:barChart>
        <c:barDir val="col"/>
        <c:grouping val="clustered"/>
        <c:varyColors val="0"/>
        <c:ser>
          <c:idx val="0"/>
          <c:order val="0"/>
          <c:tx>
            <c:strRef>
              <c:f>Sheet1!$B$1</c:f>
              <c:strCache>
                <c:ptCount val="1"/>
                <c:pt idx="0">
                  <c:v>Series 1</c:v>
                </c:pt>
              </c:strCache>
            </c:strRef>
          </c:tx>
          <c:spPr>
            <a:solidFill>
              <a:srgbClr val="0A6AB4"/>
            </a:solidFill>
            <a:ln>
              <a:solidFill>
                <a:srgbClr val="0A6AB4"/>
              </a:solidFill>
            </a:ln>
            <a:effectLst/>
          </c:spPr>
          <c:invertIfNegative val="0"/>
          <c:cat>
            <c:strRef>
              <c:f>Sheet1!$A$2:$A$6</c:f>
              <c:strCache>
                <c:ptCount val="5"/>
                <c:pt idx="0">
                  <c:v>Mar 14–Feb 15</c:v>
                </c:pt>
                <c:pt idx="1">
                  <c:v>Mar 15–Feb 16</c:v>
                </c:pt>
                <c:pt idx="2">
                  <c:v>Mar 16–Feb 17</c:v>
                </c:pt>
                <c:pt idx="3">
                  <c:v>Mar 17–Feb 18</c:v>
                </c:pt>
                <c:pt idx="4">
                  <c:v>Mar 18–Feb 19</c:v>
                </c:pt>
              </c:strCache>
            </c:strRef>
          </c:cat>
          <c:val>
            <c:numRef>
              <c:f>Sheet1!$B$2:$B$6</c:f>
              <c:numCache>
                <c:formatCode>General</c:formatCode>
                <c:ptCount val="5"/>
                <c:pt idx="0">
                  <c:v>262</c:v>
                </c:pt>
                <c:pt idx="1">
                  <c:v>48</c:v>
                </c:pt>
                <c:pt idx="2">
                  <c:v>63</c:v>
                </c:pt>
                <c:pt idx="3">
                  <c:v>75</c:v>
                </c:pt>
                <c:pt idx="4">
                  <c:v>91</c:v>
                </c:pt>
              </c:numCache>
            </c:numRef>
          </c:val>
          <c:extLst xmlns:c16r2="http://schemas.microsoft.com/office/drawing/2015/06/chart">
            <c:ext xmlns:c16="http://schemas.microsoft.com/office/drawing/2014/chart" uri="{C3380CC4-5D6E-409C-BE32-E72D297353CC}">
              <c16:uniqueId val="{00000000-79DD-4AA2-9CA4-D5CAA6A1E0EC}"/>
            </c:ext>
          </c:extLst>
        </c:ser>
        <c:dLbls>
          <c:showLegendKey val="0"/>
          <c:showVal val="0"/>
          <c:showCatName val="0"/>
          <c:showSerName val="0"/>
          <c:showPercent val="0"/>
          <c:showBubbleSize val="0"/>
        </c:dLbls>
        <c:gapWidth val="50"/>
        <c:axId val="436385416"/>
        <c:axId val="587432376"/>
      </c:barChart>
      <c:catAx>
        <c:axId val="436385416"/>
        <c:scaling>
          <c:orientation val="minMax"/>
        </c:scaling>
        <c:delete val="0"/>
        <c:axPos val="b"/>
        <c:title>
          <c:tx>
            <c:rich>
              <a:bodyPr rot="0" vert="horz"/>
              <a:lstStyle/>
              <a:p>
                <a:pPr>
                  <a:defRPr b="0"/>
                </a:pPr>
                <a:r>
                  <a:rPr lang="en-NZ" b="0"/>
                  <a:t>Year </a:t>
                </a:r>
              </a:p>
            </c:rich>
          </c:tx>
          <c:layout>
            <c:manualLayout>
              <c:xMode val="edge"/>
              <c:yMode val="edge"/>
              <c:x val="0.49339582561977074"/>
              <c:y val="0.9218469182977298"/>
            </c:manualLayout>
          </c:layout>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vert="horz"/>
          <a:lstStyle/>
          <a:p>
            <a:pPr>
              <a:defRPr/>
            </a:pPr>
            <a:endParaRPr lang="en-US"/>
          </a:p>
        </c:txPr>
        <c:crossAx val="587432376"/>
        <c:crosses val="autoZero"/>
        <c:auto val="1"/>
        <c:lblAlgn val="ctr"/>
        <c:lblOffset val="100"/>
        <c:noMultiLvlLbl val="0"/>
      </c:catAx>
      <c:valAx>
        <c:axId val="587432376"/>
        <c:scaling>
          <c:orientation val="minMax"/>
        </c:scaling>
        <c:delete val="0"/>
        <c:axPos val="l"/>
        <c:numFmt formatCode="General" sourceLinked="1"/>
        <c:majorTickMark val="out"/>
        <c:minorTickMark val="none"/>
        <c:tickLblPos val="nextTo"/>
        <c:spPr>
          <a:noFill/>
          <a:ln>
            <a:solidFill>
              <a:schemeClr val="tx1"/>
            </a:solidFill>
          </a:ln>
          <a:effectLst/>
        </c:spPr>
        <c:txPr>
          <a:bodyPr rot="-60000000" vert="horz"/>
          <a:lstStyle/>
          <a:p>
            <a:pPr>
              <a:defRPr sz="1000">
                <a:latin typeface="Segoe UI" panose="020B0502040204020203" pitchFamily="34" charset="0"/>
                <a:cs typeface="Segoe UI" panose="020B0502040204020203" pitchFamily="34" charset="0"/>
              </a:defRPr>
            </a:pPr>
            <a:endParaRPr lang="en-US"/>
          </a:p>
        </c:txPr>
        <c:crossAx val="436385416"/>
        <c:crosses val="autoZero"/>
        <c:crossBetween val="between"/>
        <c:majorUnit val="100"/>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1000">
          <a:latin typeface="Segoe UI" panose="020B0502040204020203" pitchFamily="34" charset="0"/>
          <a:cs typeface="Segoe UI" panose="020B0502040204020203" pitchFamily="34" charset="0"/>
        </a:defRPr>
      </a:pPr>
      <a:endParaRPr lang="en-US"/>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371901428988043E-2"/>
          <c:y val="0.10178571428571428"/>
          <c:w val="0.91081802274715662"/>
          <c:h val="0.73669978752655918"/>
        </c:manualLayout>
      </c:layout>
      <c:barChart>
        <c:barDir val="col"/>
        <c:grouping val="stacked"/>
        <c:varyColors val="0"/>
        <c:ser>
          <c:idx val="0"/>
          <c:order val="0"/>
          <c:tx>
            <c:strRef>
              <c:f>Sheet1!$B$1</c:f>
              <c:strCache>
                <c:ptCount val="1"/>
                <c:pt idx="0">
                  <c:v>Warnings</c:v>
                </c:pt>
              </c:strCache>
            </c:strRef>
          </c:tx>
          <c:spPr>
            <a:solidFill>
              <a:srgbClr val="0A6AB4"/>
            </a:solidFill>
            <a:ln>
              <a:solidFill>
                <a:srgbClr val="0A6AB4"/>
              </a:solidFill>
            </a:ln>
            <a:effectLst/>
          </c:spPr>
          <c:invertIfNegative val="0"/>
          <c:cat>
            <c:strRef>
              <c:f>Sheet1!$A$2:$A$5</c:f>
              <c:strCache>
                <c:ptCount val="4"/>
                <c:pt idx="0">
                  <c:v>2015–6</c:v>
                </c:pt>
                <c:pt idx="1">
                  <c:v>2016–7</c:v>
                </c:pt>
                <c:pt idx="2">
                  <c:v>2017–8</c:v>
                </c:pt>
                <c:pt idx="3">
                  <c:v>2018–9</c:v>
                </c:pt>
              </c:strCache>
            </c:strRef>
          </c:cat>
          <c:val>
            <c:numRef>
              <c:f>Sheet1!$B$2:$B$5</c:f>
              <c:numCache>
                <c:formatCode>General</c:formatCode>
                <c:ptCount val="4"/>
                <c:pt idx="0">
                  <c:v>1</c:v>
                </c:pt>
                <c:pt idx="1">
                  <c:v>12</c:v>
                </c:pt>
                <c:pt idx="2">
                  <c:v>2</c:v>
                </c:pt>
                <c:pt idx="3">
                  <c:v>1</c:v>
                </c:pt>
              </c:numCache>
            </c:numRef>
          </c:val>
          <c:extLst xmlns:c16r2="http://schemas.microsoft.com/office/drawing/2015/06/chart">
            <c:ext xmlns:c16="http://schemas.microsoft.com/office/drawing/2014/chart" uri="{C3380CC4-5D6E-409C-BE32-E72D297353CC}">
              <c16:uniqueId val="{00000000-06B2-43E6-82E1-396582850283}"/>
            </c:ext>
          </c:extLst>
        </c:ser>
        <c:ser>
          <c:idx val="1"/>
          <c:order val="1"/>
          <c:tx>
            <c:strRef>
              <c:f>Sheet1!$C$1</c:f>
              <c:strCache>
                <c:ptCount val="1"/>
                <c:pt idx="0">
                  <c:v>Prosecutions</c:v>
                </c:pt>
              </c:strCache>
            </c:strRef>
          </c:tx>
          <c:spPr>
            <a:solidFill>
              <a:srgbClr val="F18700"/>
            </a:solidFill>
            <a:ln>
              <a:solidFill>
                <a:srgbClr val="F18700"/>
              </a:solidFill>
            </a:ln>
            <a:effectLst/>
          </c:spPr>
          <c:invertIfNegative val="0"/>
          <c:cat>
            <c:strRef>
              <c:f>Sheet1!$A$2:$A$5</c:f>
              <c:strCache>
                <c:ptCount val="4"/>
                <c:pt idx="0">
                  <c:v>2015–6</c:v>
                </c:pt>
                <c:pt idx="1">
                  <c:v>2016–7</c:v>
                </c:pt>
                <c:pt idx="2">
                  <c:v>2017–8</c:v>
                </c:pt>
                <c:pt idx="3">
                  <c:v>2018–9</c:v>
                </c:pt>
              </c:strCache>
            </c:strRef>
          </c:cat>
          <c:val>
            <c:numRef>
              <c:f>Sheet1!$C$2:$C$5</c:f>
              <c:numCache>
                <c:formatCode>General</c:formatCode>
                <c:ptCount val="4"/>
                <c:pt idx="0">
                  <c:v>1</c:v>
                </c:pt>
                <c:pt idx="1">
                  <c:v>1</c:v>
                </c:pt>
                <c:pt idx="2">
                  <c:v>2</c:v>
                </c:pt>
                <c:pt idx="3">
                  <c:v>0</c:v>
                </c:pt>
              </c:numCache>
            </c:numRef>
          </c:val>
          <c:extLst xmlns:c16r2="http://schemas.microsoft.com/office/drawing/2015/06/chart">
            <c:ext xmlns:c16="http://schemas.microsoft.com/office/drawing/2014/chart" uri="{C3380CC4-5D6E-409C-BE32-E72D297353CC}">
              <c16:uniqueId val="{00000001-06B2-43E6-82E1-396582850283}"/>
            </c:ext>
          </c:extLst>
        </c:ser>
        <c:dLbls>
          <c:showLegendKey val="0"/>
          <c:showVal val="0"/>
          <c:showCatName val="0"/>
          <c:showSerName val="0"/>
          <c:showPercent val="0"/>
          <c:showBubbleSize val="0"/>
        </c:dLbls>
        <c:gapWidth val="50"/>
        <c:overlap val="100"/>
        <c:axId val="380269160"/>
        <c:axId val="380269552"/>
      </c:barChart>
      <c:catAx>
        <c:axId val="38026916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Segoe UI" panose="020B0502040204020203" pitchFamily="34" charset="0"/>
                    <a:ea typeface="+mn-ea"/>
                    <a:cs typeface="Segoe UI" panose="020B0502040204020203" pitchFamily="34" charset="0"/>
                  </a:defRPr>
                </a:pPr>
                <a:r>
                  <a:rPr lang="en-NZ" sz="1000" b="0">
                    <a:solidFill>
                      <a:schemeClr val="tx1"/>
                    </a:solidFill>
                    <a:latin typeface="Segoe UI" panose="020B0502040204020203" pitchFamily="34" charset="0"/>
                    <a:cs typeface="Segoe UI" panose="020B0502040204020203" pitchFamily="34" charset="0"/>
                  </a:rPr>
                  <a:t>Year </a:t>
                </a:r>
              </a:p>
            </c:rich>
          </c:tx>
          <c:layout>
            <c:manualLayout>
              <c:xMode val="edge"/>
              <c:yMode val="edge"/>
              <c:x val="0.4898224701079032"/>
              <c:y val="0.90988720159980008"/>
            </c:manualLayout>
          </c:layout>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crossAx val="380269552"/>
        <c:crosses val="autoZero"/>
        <c:auto val="1"/>
        <c:lblAlgn val="ctr"/>
        <c:lblOffset val="100"/>
        <c:noMultiLvlLbl val="0"/>
      </c:catAx>
      <c:valAx>
        <c:axId val="380269552"/>
        <c:scaling>
          <c:orientation val="minMax"/>
          <c:max val="15"/>
        </c:scaling>
        <c:delete val="0"/>
        <c:axPos val="l"/>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crossAx val="380269160"/>
        <c:crosses val="autoZero"/>
        <c:crossBetween val="between"/>
        <c:majorUnit val="5"/>
        <c:minorUnit val="1"/>
      </c:valAx>
      <c:spPr>
        <a:noFill/>
        <a:ln>
          <a:noFill/>
        </a:ln>
        <a:effectLst/>
      </c:spPr>
    </c:plotArea>
    <c:legend>
      <c:legendPos val="r"/>
      <c:layout>
        <c:manualLayout>
          <c:xMode val="edge"/>
          <c:yMode val="edge"/>
          <c:x val="0.79390802712160979"/>
          <c:y val="1.6368578927634044E-2"/>
          <c:w val="0.18988826917468649"/>
          <c:h val="0.16170728658917632"/>
        </c:manualLayout>
      </c:layout>
      <c:overlay val="1"/>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2942153417263525E-2"/>
          <c:y val="0.11050211507066772"/>
          <c:w val="0.90116330797633348"/>
          <c:h val="0.68343390065932486"/>
        </c:manualLayout>
      </c:layout>
      <c:barChart>
        <c:barDir val="col"/>
        <c:grouping val="clustered"/>
        <c:varyColors val="0"/>
        <c:ser>
          <c:idx val="0"/>
          <c:order val="0"/>
          <c:tx>
            <c:strRef>
              <c:f>Sheet1!$B$1</c:f>
              <c:strCache>
                <c:ptCount val="1"/>
                <c:pt idx="0">
                  <c:v>Strikes</c:v>
                </c:pt>
              </c:strCache>
            </c:strRef>
          </c:tx>
          <c:spPr>
            <a:solidFill>
              <a:srgbClr val="0A6AB4"/>
            </a:solidFill>
            <a:ln>
              <a:solidFill>
                <a:srgbClr val="0A6AB4"/>
              </a:solidFill>
            </a:ln>
          </c:spPr>
          <c:invertIfNegative val="0"/>
          <c:cat>
            <c:numRef>
              <c:f>Sheet1!$A$2:$A$12</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Sheet1!$B$2:$B$12</c:f>
              <c:numCache>
                <c:formatCode>General</c:formatCode>
                <c:ptCount val="11"/>
                <c:pt idx="0">
                  <c:v>52</c:v>
                </c:pt>
                <c:pt idx="1">
                  <c:v>63</c:v>
                </c:pt>
                <c:pt idx="2">
                  <c:v>87</c:v>
                </c:pt>
                <c:pt idx="3">
                  <c:v>97</c:v>
                </c:pt>
                <c:pt idx="4">
                  <c:v>99</c:v>
                </c:pt>
                <c:pt idx="5">
                  <c:v>110</c:v>
                </c:pt>
                <c:pt idx="6">
                  <c:v>102</c:v>
                </c:pt>
                <c:pt idx="7">
                  <c:v>87</c:v>
                </c:pt>
                <c:pt idx="8">
                  <c:v>133</c:v>
                </c:pt>
                <c:pt idx="9">
                  <c:v>173</c:v>
                </c:pt>
                <c:pt idx="10">
                  <c:v>238</c:v>
                </c:pt>
              </c:numCache>
            </c:numRef>
          </c:val>
          <c:extLst xmlns:c16r2="http://schemas.microsoft.com/office/drawing/2015/06/chart">
            <c:ext xmlns:c16="http://schemas.microsoft.com/office/drawing/2014/chart" uri="{C3380CC4-5D6E-409C-BE32-E72D297353CC}">
              <c16:uniqueId val="{00000000-D6C7-4D3F-A688-55F3230FEE9C}"/>
            </c:ext>
          </c:extLst>
        </c:ser>
        <c:dLbls>
          <c:showLegendKey val="0"/>
          <c:showVal val="0"/>
          <c:showCatName val="0"/>
          <c:showSerName val="0"/>
          <c:showPercent val="0"/>
          <c:showBubbleSize val="0"/>
        </c:dLbls>
        <c:gapWidth val="50"/>
        <c:axId val="380270336"/>
        <c:axId val="380268768"/>
      </c:barChart>
      <c:catAx>
        <c:axId val="380270336"/>
        <c:scaling>
          <c:orientation val="minMax"/>
        </c:scaling>
        <c:delete val="0"/>
        <c:axPos val="b"/>
        <c:title>
          <c:tx>
            <c:rich>
              <a:bodyPr/>
              <a:lstStyle/>
              <a:p>
                <a:pPr>
                  <a:defRPr sz="1000" b="0">
                    <a:latin typeface="Segoe UI" panose="020B0502040204020203" pitchFamily="34" charset="0"/>
                    <a:cs typeface="Segoe UI" panose="020B0502040204020203" pitchFamily="34" charset="0"/>
                  </a:defRPr>
                </a:pPr>
                <a:r>
                  <a:rPr lang="en-NZ" sz="1000" b="0">
                    <a:latin typeface="Segoe UI" panose="020B0502040204020203" pitchFamily="34" charset="0"/>
                    <a:cs typeface="Segoe UI" panose="020B0502040204020203" pitchFamily="34" charset="0"/>
                  </a:rPr>
                  <a:t>Year</a:t>
                </a:r>
              </a:p>
            </c:rich>
          </c:tx>
          <c:layout>
            <c:manualLayout>
              <c:xMode val="edge"/>
              <c:yMode val="edge"/>
              <c:x val="0.49136749855420614"/>
              <c:y val="0.89853866204868726"/>
            </c:manualLayout>
          </c:layout>
          <c:overlay val="0"/>
        </c:title>
        <c:numFmt formatCode="General" sourceLinked="1"/>
        <c:majorTickMark val="none"/>
        <c:minorTickMark val="none"/>
        <c:tickLblPos val="nextTo"/>
        <c:spPr>
          <a:ln>
            <a:solidFill>
              <a:schemeClr val="tx1"/>
            </a:solidFill>
          </a:ln>
        </c:spPr>
        <c:txPr>
          <a:bodyPr/>
          <a:lstStyle/>
          <a:p>
            <a:pPr>
              <a:defRPr>
                <a:latin typeface="Segoe UI" panose="020B0502040204020203" pitchFamily="34" charset="0"/>
                <a:cs typeface="Segoe UI" panose="020B0502040204020203" pitchFamily="34" charset="0"/>
              </a:defRPr>
            </a:pPr>
            <a:endParaRPr lang="en-US"/>
          </a:p>
        </c:txPr>
        <c:crossAx val="380268768"/>
        <c:crosses val="autoZero"/>
        <c:auto val="1"/>
        <c:lblAlgn val="ctr"/>
        <c:lblOffset val="100"/>
        <c:noMultiLvlLbl val="0"/>
      </c:catAx>
      <c:valAx>
        <c:axId val="380268768"/>
        <c:scaling>
          <c:orientation val="minMax"/>
        </c:scaling>
        <c:delete val="0"/>
        <c:axPos val="l"/>
        <c:numFmt formatCode="General" sourceLinked="1"/>
        <c:majorTickMark val="out"/>
        <c:minorTickMark val="none"/>
        <c:tickLblPos val="nextTo"/>
        <c:spPr>
          <a:ln>
            <a:solidFill>
              <a:schemeClr val="tx1"/>
            </a:solidFill>
          </a:ln>
        </c:spPr>
        <c:txPr>
          <a:bodyPr/>
          <a:lstStyle/>
          <a:p>
            <a:pPr>
              <a:defRPr>
                <a:latin typeface="Segoe UI" panose="020B0502040204020203" pitchFamily="34" charset="0"/>
                <a:cs typeface="Segoe UI" panose="020B0502040204020203" pitchFamily="34" charset="0"/>
              </a:defRPr>
            </a:pPr>
            <a:endParaRPr lang="en-US"/>
          </a:p>
        </c:txPr>
        <c:crossAx val="380270336"/>
        <c:crosses val="autoZero"/>
        <c:crossBetween val="between"/>
        <c:minorUnit val="5"/>
      </c:valAx>
    </c:plotArea>
    <c:plotVisOnly val="1"/>
    <c:dispBlanksAs val="gap"/>
    <c:showDLblsOverMax val="0"/>
  </c:chart>
  <c:spPr>
    <a:ln>
      <a:noFill/>
    </a:ln>
  </c:sp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8968534609300714E-2"/>
          <c:y val="0.13552359991792032"/>
          <c:w val="0.90077583373864578"/>
          <c:h val="0.6340586386844721"/>
        </c:manualLayout>
      </c:layout>
      <c:barChart>
        <c:barDir val="col"/>
        <c:grouping val="clustered"/>
        <c:varyColors val="0"/>
        <c:ser>
          <c:idx val="0"/>
          <c:order val="0"/>
          <c:tx>
            <c:strRef>
              <c:f>Sheet1!$B$1</c:f>
              <c:strCache>
                <c:ptCount val="1"/>
                <c:pt idx="0">
                  <c:v>Strikes</c:v>
                </c:pt>
              </c:strCache>
            </c:strRef>
          </c:tx>
          <c:spPr>
            <a:solidFill>
              <a:srgbClr val="0A6AB4"/>
            </a:solidFill>
            <a:ln>
              <a:solidFill>
                <a:srgbClr val="0A6AB4"/>
              </a:solidFill>
            </a:ln>
          </c:spPr>
          <c:invertIfNegative val="0"/>
          <c:cat>
            <c:numRef>
              <c:f>Sheet1!$A$2:$A$16</c:f>
              <c:numCache>
                <c:formatCode>General</c:formatCode>
                <c:ptCount val="15"/>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numCache>
            </c:numRef>
          </c:cat>
          <c:val>
            <c:numRef>
              <c:f>Sheet1!$B$2:$B$16</c:f>
              <c:numCache>
                <c:formatCode>General</c:formatCode>
                <c:ptCount val="15"/>
                <c:pt idx="0">
                  <c:v>46</c:v>
                </c:pt>
                <c:pt idx="1">
                  <c:v>283</c:v>
                </c:pt>
                <c:pt idx="2">
                  <c:v>384</c:v>
                </c:pt>
                <c:pt idx="3">
                  <c:v>639</c:v>
                </c:pt>
                <c:pt idx="4">
                  <c:v>949</c:v>
                </c:pt>
                <c:pt idx="5">
                  <c:v>1527</c:v>
                </c:pt>
                <c:pt idx="6">
                  <c:v>2836</c:v>
                </c:pt>
                <c:pt idx="7">
                  <c:v>3591</c:v>
                </c:pt>
                <c:pt idx="8">
                  <c:v>3482</c:v>
                </c:pt>
                <c:pt idx="9">
                  <c:v>3960</c:v>
                </c:pt>
                <c:pt idx="10">
                  <c:v>3894</c:v>
                </c:pt>
                <c:pt idx="11">
                  <c:v>7346</c:v>
                </c:pt>
                <c:pt idx="12">
                  <c:v>7398</c:v>
                </c:pt>
                <c:pt idx="13">
                  <c:v>6753</c:v>
                </c:pt>
                <c:pt idx="14">
                  <c:v>5663</c:v>
                </c:pt>
              </c:numCache>
            </c:numRef>
          </c:val>
          <c:extLst xmlns:c16r2="http://schemas.microsoft.com/office/drawing/2015/06/chart">
            <c:ext xmlns:c16="http://schemas.microsoft.com/office/drawing/2014/chart" uri="{C3380CC4-5D6E-409C-BE32-E72D297353CC}">
              <c16:uniqueId val="{00000000-2086-4ADD-B1EC-79B6A4B6F4F0}"/>
            </c:ext>
          </c:extLst>
        </c:ser>
        <c:dLbls>
          <c:showLegendKey val="0"/>
          <c:showVal val="0"/>
          <c:showCatName val="0"/>
          <c:showSerName val="0"/>
          <c:showPercent val="0"/>
          <c:showBubbleSize val="0"/>
        </c:dLbls>
        <c:gapWidth val="50"/>
        <c:axId val="634464664"/>
        <c:axId val="634465056"/>
      </c:barChart>
      <c:catAx>
        <c:axId val="634464664"/>
        <c:scaling>
          <c:orientation val="minMax"/>
        </c:scaling>
        <c:delete val="0"/>
        <c:axPos val="b"/>
        <c:title>
          <c:tx>
            <c:rich>
              <a:bodyPr/>
              <a:lstStyle/>
              <a:p>
                <a:pPr>
                  <a:defRPr sz="1000" b="0">
                    <a:latin typeface="Segoe UI" panose="020B0502040204020203" pitchFamily="34" charset="0"/>
                    <a:cs typeface="Segoe UI" panose="020B0502040204020203" pitchFamily="34" charset="0"/>
                  </a:defRPr>
                </a:pPr>
                <a:r>
                  <a:rPr lang="en-NZ" sz="1000" b="0">
                    <a:latin typeface="Segoe UI" panose="020B0502040204020203" pitchFamily="34" charset="0"/>
                    <a:cs typeface="Segoe UI" panose="020B0502040204020203" pitchFamily="34" charset="0"/>
                  </a:rPr>
                  <a:t>Year</a:t>
                </a:r>
              </a:p>
            </c:rich>
          </c:tx>
          <c:layout>
            <c:manualLayout>
              <c:xMode val="edge"/>
              <c:yMode val="edge"/>
              <c:x val="0.50041446508576626"/>
              <c:y val="0.9059981419848292"/>
            </c:manualLayout>
          </c:layout>
          <c:overlay val="0"/>
        </c:title>
        <c:numFmt formatCode="General" sourceLinked="1"/>
        <c:majorTickMark val="none"/>
        <c:minorTickMark val="none"/>
        <c:tickLblPos val="nextTo"/>
        <c:spPr>
          <a:ln>
            <a:solidFill>
              <a:schemeClr val="tx1"/>
            </a:solidFill>
          </a:ln>
        </c:spPr>
        <c:txPr>
          <a:bodyPr/>
          <a:lstStyle/>
          <a:p>
            <a:pPr>
              <a:defRPr>
                <a:latin typeface="Segoe UI" panose="020B0502040204020203" pitchFamily="34" charset="0"/>
                <a:cs typeface="Segoe UI" panose="020B0502040204020203" pitchFamily="34" charset="0"/>
              </a:defRPr>
            </a:pPr>
            <a:endParaRPr lang="en-US"/>
          </a:p>
        </c:txPr>
        <c:crossAx val="634465056"/>
        <c:crosses val="autoZero"/>
        <c:auto val="1"/>
        <c:lblAlgn val="ctr"/>
        <c:lblOffset val="100"/>
        <c:noMultiLvlLbl val="0"/>
      </c:catAx>
      <c:valAx>
        <c:axId val="634465056"/>
        <c:scaling>
          <c:orientation val="minMax"/>
        </c:scaling>
        <c:delete val="0"/>
        <c:axPos val="l"/>
        <c:numFmt formatCode="#,##0" sourceLinked="0"/>
        <c:majorTickMark val="out"/>
        <c:minorTickMark val="none"/>
        <c:tickLblPos val="nextTo"/>
        <c:spPr>
          <a:ln>
            <a:solidFill>
              <a:schemeClr val="tx1"/>
            </a:solidFill>
          </a:ln>
        </c:spPr>
        <c:txPr>
          <a:bodyPr/>
          <a:lstStyle/>
          <a:p>
            <a:pPr>
              <a:defRPr>
                <a:latin typeface="Segoe UI" panose="020B0502040204020203" pitchFamily="34" charset="0"/>
                <a:cs typeface="Segoe UI" panose="020B0502040204020203" pitchFamily="34" charset="0"/>
              </a:defRPr>
            </a:pPr>
            <a:endParaRPr lang="en-US"/>
          </a:p>
        </c:txPr>
        <c:crossAx val="634464664"/>
        <c:crosses val="autoZero"/>
        <c:crossBetween val="between"/>
        <c:majorUnit val="2000"/>
        <c:minorUnit val="500"/>
      </c:valAx>
    </c:plotArea>
    <c:plotVisOnly val="1"/>
    <c:dispBlanksAs val="gap"/>
    <c:showDLblsOverMax val="0"/>
  </c:chart>
  <c:spPr>
    <a:ln>
      <a:noFill/>
    </a:ln>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0.01296</cdr:x>
      <cdr:y>0</cdr:y>
    </cdr:from>
    <cdr:to>
      <cdr:x>0.23495</cdr:x>
      <cdr:y>0.07779</cdr:y>
    </cdr:to>
    <cdr:sp macro="" textlink="">
      <cdr:nvSpPr>
        <cdr:cNvPr id="2" name="Text Box 1"/>
        <cdr:cNvSpPr txBox="1"/>
      </cdr:nvSpPr>
      <cdr:spPr>
        <a:xfrm xmlns:a="http://schemas.openxmlformats.org/drawingml/2006/main">
          <a:off x="66501" y="0"/>
          <a:ext cx="1138844" cy="232756"/>
        </a:xfrm>
        <a:prstGeom xmlns:a="http://schemas.openxmlformats.org/drawingml/2006/main" prst="rect">
          <a:avLst/>
        </a:prstGeom>
      </cdr:spPr>
      <cdr:txBody>
        <a:bodyPr xmlns:a="http://schemas.openxmlformats.org/drawingml/2006/main" vertOverflow="clip" wrap="square" lIns="0" rtlCol="0"/>
        <a:lstStyle xmlns:a="http://schemas.openxmlformats.org/drawingml/2006/main"/>
        <a:p xmlns:a="http://schemas.openxmlformats.org/drawingml/2006/main">
          <a:r>
            <a:rPr lang="en-NZ" sz="1000">
              <a:latin typeface="Segoe UI" panose="020B0502040204020203" pitchFamily="34" charset="0"/>
              <a:cs typeface="Segoe UI" panose="020B0502040204020203" pitchFamily="34" charset="0"/>
            </a:rPr>
            <a:t>Number</a:t>
          </a: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cdr:y>
    </cdr:from>
    <cdr:to>
      <cdr:x>0.20579</cdr:x>
      <cdr:y>0.08755</cdr:y>
    </cdr:to>
    <cdr:sp macro="" textlink="">
      <cdr:nvSpPr>
        <cdr:cNvPr id="2" name="Text Box 1"/>
        <cdr:cNvSpPr txBox="1"/>
      </cdr:nvSpPr>
      <cdr:spPr>
        <a:xfrm xmlns:a="http://schemas.openxmlformats.org/drawingml/2006/main">
          <a:off x="0" y="0"/>
          <a:ext cx="1055716" cy="249382"/>
        </a:xfrm>
        <a:prstGeom xmlns:a="http://schemas.openxmlformats.org/drawingml/2006/main" prst="rect">
          <a:avLst/>
        </a:prstGeom>
      </cdr:spPr>
      <cdr:txBody>
        <a:bodyPr xmlns:a="http://schemas.openxmlformats.org/drawingml/2006/main" vertOverflow="clip" wrap="square" lIns="0" rtlCol="0"/>
        <a:lstStyle xmlns:a="http://schemas.openxmlformats.org/drawingml/2006/main"/>
        <a:p xmlns:a="http://schemas.openxmlformats.org/drawingml/2006/main">
          <a:r>
            <a:rPr lang="en-NZ" sz="1000">
              <a:latin typeface="Segoe UI" panose="020B0502040204020203" pitchFamily="34" charset="0"/>
              <a:cs typeface="Segoe UI" panose="020B0502040204020203" pitchFamily="34" charset="0"/>
            </a:rPr>
            <a:t>Number</a:t>
          </a:r>
        </a:p>
      </cdr:txBody>
    </cdr:sp>
  </cdr:relSizeAnchor>
</c:userShapes>
</file>

<file path=word/drawings/drawing3.xml><?xml version="1.0" encoding="utf-8"?>
<c:userShapes xmlns:c="http://schemas.openxmlformats.org/drawingml/2006/chart">
  <cdr:relSizeAnchor xmlns:cdr="http://schemas.openxmlformats.org/drawingml/2006/chartDrawing">
    <cdr:from>
      <cdr:x>0.00972</cdr:x>
      <cdr:y>0</cdr:y>
    </cdr:from>
    <cdr:to>
      <cdr:x>0.29004</cdr:x>
      <cdr:y>0.08</cdr:y>
    </cdr:to>
    <cdr:sp macro="" textlink="">
      <cdr:nvSpPr>
        <cdr:cNvPr id="2" name="Text Box 1"/>
        <cdr:cNvSpPr txBox="1"/>
      </cdr:nvSpPr>
      <cdr:spPr>
        <a:xfrm xmlns:a="http://schemas.openxmlformats.org/drawingml/2006/main">
          <a:off x="49876" y="0"/>
          <a:ext cx="1438102" cy="224444"/>
        </a:xfrm>
        <a:prstGeom xmlns:a="http://schemas.openxmlformats.org/drawingml/2006/main" prst="rect">
          <a:avLst/>
        </a:prstGeom>
      </cdr:spPr>
      <cdr:txBody>
        <a:bodyPr xmlns:a="http://schemas.openxmlformats.org/drawingml/2006/main" vertOverflow="clip" wrap="square" lIns="0" rtlCol="0"/>
        <a:lstStyle xmlns:a="http://schemas.openxmlformats.org/drawingml/2006/main"/>
        <a:p xmlns:a="http://schemas.openxmlformats.org/drawingml/2006/main">
          <a:r>
            <a:rPr lang="en-NZ" sz="1100"/>
            <a:t>Number</a:t>
          </a:r>
        </a:p>
      </cdr:txBody>
    </cdr:sp>
  </cdr:relSizeAnchor>
</c:userShapes>
</file>

<file path=word/drawings/drawing4.xml><?xml version="1.0" encoding="utf-8"?>
<c:userShapes xmlns:c="http://schemas.openxmlformats.org/drawingml/2006/chart">
  <cdr:relSizeAnchor xmlns:cdr="http://schemas.openxmlformats.org/drawingml/2006/chartDrawing">
    <cdr:from>
      <cdr:x>0.01061</cdr:x>
      <cdr:y>0</cdr:y>
    </cdr:from>
    <cdr:to>
      <cdr:x>0.31667</cdr:x>
      <cdr:y>0.06753</cdr:y>
    </cdr:to>
    <cdr:sp macro="" textlink="">
      <cdr:nvSpPr>
        <cdr:cNvPr id="2" name="Text Box 1"/>
        <cdr:cNvSpPr txBox="1"/>
      </cdr:nvSpPr>
      <cdr:spPr>
        <a:xfrm xmlns:a="http://schemas.openxmlformats.org/drawingml/2006/main">
          <a:off x="58189" y="0"/>
          <a:ext cx="1679171" cy="216131"/>
        </a:xfrm>
        <a:prstGeom xmlns:a="http://schemas.openxmlformats.org/drawingml/2006/main" prst="rect">
          <a:avLst/>
        </a:prstGeom>
      </cdr:spPr>
      <cdr:txBody>
        <a:bodyPr xmlns:a="http://schemas.openxmlformats.org/drawingml/2006/main" vertOverflow="clip" wrap="square" lIns="0" rtlCol="0"/>
        <a:lstStyle xmlns:a="http://schemas.openxmlformats.org/drawingml/2006/main"/>
        <a:p xmlns:a="http://schemas.openxmlformats.org/drawingml/2006/main">
          <a:r>
            <a:rPr lang="en-NZ" sz="1100"/>
            <a:t>Number</a:t>
          </a:r>
        </a:p>
      </cdr:txBody>
    </cdr:sp>
  </cdr:relSizeAnchor>
</c:userShapes>
</file>

<file path=word/drawings/drawing5.xml><?xml version="1.0" encoding="utf-8"?>
<c:userShapes xmlns:c="http://schemas.openxmlformats.org/drawingml/2006/chart">
  <cdr:relSizeAnchor xmlns:cdr="http://schemas.openxmlformats.org/drawingml/2006/chartDrawing">
    <cdr:from>
      <cdr:x>0.00772</cdr:x>
      <cdr:y>0</cdr:y>
    </cdr:from>
    <cdr:to>
      <cdr:x>0.2654</cdr:x>
      <cdr:y>0.07798</cdr:y>
    </cdr:to>
    <cdr:sp macro="" textlink="">
      <cdr:nvSpPr>
        <cdr:cNvPr id="2" name="Text Box 1"/>
        <cdr:cNvSpPr txBox="1"/>
      </cdr:nvSpPr>
      <cdr:spPr>
        <a:xfrm xmlns:a="http://schemas.openxmlformats.org/drawingml/2006/main">
          <a:off x="41564" y="0"/>
          <a:ext cx="1388225" cy="216130"/>
        </a:xfrm>
        <a:prstGeom xmlns:a="http://schemas.openxmlformats.org/drawingml/2006/main" prst="rect">
          <a:avLst/>
        </a:prstGeom>
      </cdr:spPr>
      <cdr:txBody>
        <a:bodyPr xmlns:a="http://schemas.openxmlformats.org/drawingml/2006/main" vertOverflow="clip" wrap="square" lIns="0" rtlCol="0"/>
        <a:lstStyle xmlns:a="http://schemas.openxmlformats.org/drawingml/2006/main"/>
        <a:p xmlns:a="http://schemas.openxmlformats.org/drawingml/2006/main">
          <a:r>
            <a:rPr lang="en-NZ" sz="1000">
              <a:latin typeface="Segoe UI" panose="020B0502040204020203" pitchFamily="34" charset="0"/>
              <a:cs typeface="Segoe UI" panose="020B0502040204020203" pitchFamily="34" charset="0"/>
            </a:rPr>
            <a:t>Number</a:t>
          </a:r>
        </a:p>
      </cdr:txBody>
    </cdr:sp>
  </cdr:relSizeAnchor>
</c:userShapes>
</file>

<file path=word/drawings/drawing6.xml><?xml version="1.0" encoding="utf-8"?>
<c:userShapes xmlns:c="http://schemas.openxmlformats.org/drawingml/2006/chart">
  <cdr:relSizeAnchor xmlns:cdr="http://schemas.openxmlformats.org/drawingml/2006/chartDrawing">
    <cdr:from>
      <cdr:x>0</cdr:x>
      <cdr:y>0</cdr:y>
    </cdr:from>
    <cdr:to>
      <cdr:x>0.24477</cdr:x>
      <cdr:y>0.09365</cdr:y>
    </cdr:to>
    <cdr:sp macro="" textlink="">
      <cdr:nvSpPr>
        <cdr:cNvPr id="2" name="Text Box 1"/>
        <cdr:cNvSpPr txBox="1"/>
      </cdr:nvSpPr>
      <cdr:spPr>
        <a:xfrm xmlns:a="http://schemas.openxmlformats.org/drawingml/2006/main">
          <a:off x="0" y="0"/>
          <a:ext cx="1253387" cy="232756"/>
        </a:xfrm>
        <a:prstGeom xmlns:a="http://schemas.openxmlformats.org/drawingml/2006/main" prst="rect">
          <a:avLst/>
        </a:prstGeom>
      </cdr:spPr>
      <cdr:txBody>
        <a:bodyPr xmlns:a="http://schemas.openxmlformats.org/drawingml/2006/main" vertOverflow="clip" wrap="square" lIns="0" rtlCol="0"/>
        <a:lstStyle xmlns:a="http://schemas.openxmlformats.org/drawingml/2006/main"/>
        <a:p xmlns:a="http://schemas.openxmlformats.org/drawingml/2006/main">
          <a:r>
            <a:rPr lang="en-NZ" sz="1000">
              <a:latin typeface="Segoe UI" panose="020B0502040204020203" pitchFamily="34" charset="0"/>
              <a:cs typeface="Segoe UI" panose="020B0502040204020203" pitchFamily="34" charset="0"/>
            </a:rPr>
            <a:t>Number</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4AD79-3E0A-4A36-9473-2117C96BF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12</TotalTime>
  <Pages>18</Pages>
  <Words>3171</Words>
  <Characters>18080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of New Regulatory Controls on High Power Laser Pointers: Year 5 (1 March 2018–28 February 2019)</dc:title>
  <dc:creator>Ministry of Health</dc:creator>
  <cp:lastModifiedBy>Berni Marwick</cp:lastModifiedBy>
  <cp:revision>4</cp:revision>
  <cp:lastPrinted>2015-11-17T05:02:00Z</cp:lastPrinted>
  <dcterms:created xsi:type="dcterms:W3CDTF">2019-06-09T22:11:00Z</dcterms:created>
  <dcterms:modified xsi:type="dcterms:W3CDTF">2019-06-12T00:51:00Z</dcterms:modified>
</cp:coreProperties>
</file>