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926083" w:rsidRDefault="00FC5571" w:rsidP="00926083">
      <w:pPr>
        <w:pStyle w:val="Title"/>
      </w:pPr>
      <w:r>
        <w:t>National Syphilis Action Plan</w:t>
      </w:r>
    </w:p>
    <w:p w:rsidR="00C05132" w:rsidRDefault="00FC5571" w:rsidP="00926083">
      <w:pPr>
        <w:pStyle w:val="Subhead"/>
      </w:pPr>
      <w:r>
        <w:t>An action plan to stop the syphilis epidemic in New Zealand</w:t>
      </w:r>
    </w:p>
    <w:p w:rsidR="00531E12" w:rsidRPr="00531E12" w:rsidRDefault="00FC5571" w:rsidP="00531E12">
      <w:pPr>
        <w:pStyle w:val="Year"/>
      </w:pPr>
      <w:r>
        <w:t>2019</w:t>
      </w:r>
    </w:p>
    <w:p w:rsidR="00C05132" w:rsidRDefault="00C05132" w:rsidP="00A06BE4"/>
    <w:p w:rsidR="00142954" w:rsidRPr="00142954" w:rsidRDefault="00142954" w:rsidP="00142954">
      <w:pPr>
        <w:sectPr w:rsidR="00142954" w:rsidRPr="00142954" w:rsidSect="00925892">
          <w:headerReference w:type="default" r:id="rId8"/>
          <w:footerReference w:type="default" r:id="rId9"/>
          <w:pgSz w:w="11907" w:h="16834" w:code="9"/>
          <w:pgMar w:top="5670" w:right="1134" w:bottom="1134" w:left="1134" w:header="567" w:footer="851" w:gutter="0"/>
          <w:pgNumType w:start="1"/>
          <w:cols w:space="720"/>
        </w:sectPr>
      </w:pPr>
    </w:p>
    <w:p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FC5571">
        <w:rPr>
          <w:rFonts w:cs="Segoe UI"/>
        </w:rPr>
        <w:t>2019</w:t>
      </w:r>
      <w:r w:rsidR="00442C1C" w:rsidRPr="00C05132">
        <w:rPr>
          <w:rFonts w:cs="Segoe UI"/>
        </w:rPr>
        <w:t xml:space="preserve">. </w:t>
      </w:r>
      <w:r w:rsidR="00FC5571">
        <w:rPr>
          <w:rFonts w:cs="Segoe UI"/>
          <w:i/>
        </w:rPr>
        <w:t>National Syphilis Action Plan</w:t>
      </w:r>
      <w:r w:rsidR="002B7BEC">
        <w:rPr>
          <w:rFonts w:cs="Segoe UI"/>
          <w:i/>
        </w:rPr>
        <w:t xml:space="preserve">: </w:t>
      </w:r>
      <w:r w:rsidR="00FC5571">
        <w:rPr>
          <w:rFonts w:cs="Segoe UI"/>
          <w:i/>
        </w:rPr>
        <w:t>An action plan to stop the syphilis epidemic in New Zealand</w:t>
      </w:r>
      <w:r w:rsidR="00442C1C" w:rsidRPr="00C05132">
        <w:rPr>
          <w:rFonts w:cs="Segoe UI"/>
        </w:rPr>
        <w:t>. Wellington: Ministry of Health.</w:t>
      </w:r>
    </w:p>
    <w:p w:rsidR="00C86248" w:rsidRDefault="00C86248">
      <w:pPr>
        <w:pStyle w:val="Imprint"/>
      </w:pPr>
      <w:r>
        <w:t xml:space="preserve">Published in </w:t>
      </w:r>
      <w:r w:rsidR="006908AF">
        <w:t>June</w:t>
      </w:r>
      <w:r w:rsidR="003235C6">
        <w:t xml:space="preserve"> 2019</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rsidR="00082CD6" w:rsidRPr="009C0F2D" w:rsidRDefault="00D863D0" w:rsidP="00082CD6">
      <w:pPr>
        <w:pStyle w:val="Imprint"/>
      </w:pPr>
      <w:r>
        <w:t>ISBN</w:t>
      </w:r>
      <w:r w:rsidR="00442C1C">
        <w:t xml:space="preserve"> </w:t>
      </w:r>
      <w:r w:rsidR="00B41605" w:rsidRPr="00B41605">
        <w:t>978-1-98-856876-8</w:t>
      </w:r>
      <w:r w:rsidR="002B7BEC">
        <w:t xml:space="preserve"> </w:t>
      </w:r>
      <w:r>
        <w:t>(</w:t>
      </w:r>
      <w:r w:rsidR="00442C1C">
        <w:t>online</w:t>
      </w:r>
      <w:proofErr w:type="gramStart"/>
      <w:r>
        <w:t>)</w:t>
      </w:r>
      <w:proofErr w:type="gramEnd"/>
      <w:r w:rsidR="00082CD6">
        <w:br/>
      </w:r>
      <w:r w:rsidR="00082CD6" w:rsidRPr="009C0F2D">
        <w:t xml:space="preserve">HP </w:t>
      </w:r>
      <w:r w:rsidR="00B41605">
        <w:t>7108</w:t>
      </w:r>
    </w:p>
    <w:p w:rsidR="00C86248" w:rsidRDefault="008C64C4" w:rsidP="00A63DFF">
      <w:r>
        <w:rPr>
          <w:noProof/>
          <w:lang w:eastAsia="en-NZ"/>
        </w:rPr>
        <w:drawing>
          <wp:inline distT="0" distB="0" distL="0" distR="0" wp14:anchorId="134BC601" wp14:editId="5CF7E163">
            <wp:extent cx="1413163" cy="576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rsidTr="00A63DFF">
        <w:trPr>
          <w:cantSplit/>
        </w:trPr>
        <w:tc>
          <w:tcPr>
            <w:tcW w:w="1526" w:type="dxa"/>
          </w:tcPr>
          <w:p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2C8E88AE" wp14:editId="731E3C65">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rsidR="007E74F1" w:rsidRPr="001F45A7" w:rsidRDefault="007E74F1" w:rsidP="00A63DFF"/>
    <w:p w:rsidR="00C86248" w:rsidRDefault="00C86248">
      <w:pPr>
        <w:jc w:val="center"/>
        <w:sectPr w:rsidR="00C86248" w:rsidSect="00925892">
          <w:footerReference w:type="even" r:id="rId12"/>
          <w:footerReference w:type="default" r:id="rId13"/>
          <w:pgSz w:w="11907" w:h="16834" w:code="9"/>
          <w:pgMar w:top="1701" w:right="2268" w:bottom="1134" w:left="2268" w:header="0" w:footer="0" w:gutter="0"/>
          <w:cols w:space="720"/>
          <w:vAlign w:val="bottom"/>
        </w:sectPr>
      </w:pPr>
    </w:p>
    <w:p w:rsidR="00C86248" w:rsidRDefault="00C86248" w:rsidP="00025A6F">
      <w:pPr>
        <w:pStyle w:val="IntroHead"/>
      </w:pPr>
      <w:bookmarkStart w:id="0" w:name="_Toc405792991"/>
      <w:bookmarkStart w:id="1" w:name="_Toc405793224"/>
      <w:r>
        <w:lastRenderedPageBreak/>
        <w:t>Contents</w:t>
      </w:r>
      <w:bookmarkEnd w:id="0"/>
      <w:bookmarkEnd w:id="1"/>
    </w:p>
    <w:p w:rsidR="00A93364" w:rsidRDefault="00A93364">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"1-3" \h \z \u </w:instrText>
      </w:r>
      <w:r>
        <w:rPr>
          <w:b/>
        </w:rPr>
        <w:fldChar w:fldCharType="separate"/>
      </w:r>
      <w:hyperlink w:anchor="_Toc12347667" w:history="1">
        <w:r w:rsidRPr="00B51008">
          <w:rPr>
            <w:rStyle w:val="Hyperlink"/>
            <w:noProof/>
          </w:rPr>
          <w:t>Introduction</w:t>
        </w:r>
        <w:r>
          <w:rPr>
            <w:noProof/>
            <w:webHidden/>
          </w:rPr>
          <w:tab/>
        </w:r>
        <w:r>
          <w:rPr>
            <w:noProof/>
            <w:webHidden/>
          </w:rPr>
          <w:fldChar w:fldCharType="begin"/>
        </w:r>
        <w:r>
          <w:rPr>
            <w:noProof/>
            <w:webHidden/>
          </w:rPr>
          <w:instrText xml:space="preserve"> PAGEREF _Toc12347667 \h </w:instrText>
        </w:r>
        <w:r>
          <w:rPr>
            <w:noProof/>
            <w:webHidden/>
          </w:rPr>
        </w:r>
        <w:r>
          <w:rPr>
            <w:noProof/>
            <w:webHidden/>
          </w:rPr>
          <w:fldChar w:fldCharType="separate"/>
        </w:r>
        <w:r>
          <w:rPr>
            <w:noProof/>
            <w:webHidden/>
          </w:rPr>
          <w:t>1</w:t>
        </w:r>
        <w:r>
          <w:rPr>
            <w:noProof/>
            <w:webHidden/>
          </w:rPr>
          <w:fldChar w:fldCharType="end"/>
        </w:r>
      </w:hyperlink>
    </w:p>
    <w:p w:rsidR="00A93364" w:rsidRDefault="00A93364">
      <w:pPr>
        <w:pStyle w:val="TOC2"/>
        <w:rPr>
          <w:rFonts w:asciiTheme="minorHAnsi" w:eastAsiaTheme="minorEastAsia" w:hAnsiTheme="minorHAnsi" w:cstheme="minorBidi"/>
          <w:noProof/>
          <w:szCs w:val="22"/>
          <w:lang w:eastAsia="en-NZ"/>
        </w:rPr>
      </w:pPr>
      <w:hyperlink w:anchor="_Toc12347668" w:history="1">
        <w:r w:rsidRPr="00B51008">
          <w:rPr>
            <w:rStyle w:val="Hyperlink"/>
            <w:noProof/>
          </w:rPr>
          <w:t>Understanding the epidemic</w:t>
        </w:r>
        <w:r>
          <w:rPr>
            <w:noProof/>
            <w:webHidden/>
          </w:rPr>
          <w:tab/>
        </w:r>
        <w:r>
          <w:rPr>
            <w:noProof/>
            <w:webHidden/>
          </w:rPr>
          <w:fldChar w:fldCharType="begin"/>
        </w:r>
        <w:r>
          <w:rPr>
            <w:noProof/>
            <w:webHidden/>
          </w:rPr>
          <w:instrText xml:space="preserve"> PAGEREF _Toc12347668 \h </w:instrText>
        </w:r>
        <w:r>
          <w:rPr>
            <w:noProof/>
            <w:webHidden/>
          </w:rPr>
        </w:r>
        <w:r>
          <w:rPr>
            <w:noProof/>
            <w:webHidden/>
          </w:rPr>
          <w:fldChar w:fldCharType="separate"/>
        </w:r>
        <w:r>
          <w:rPr>
            <w:noProof/>
            <w:webHidden/>
          </w:rPr>
          <w:t>1</w:t>
        </w:r>
        <w:r>
          <w:rPr>
            <w:noProof/>
            <w:webHidden/>
          </w:rPr>
          <w:fldChar w:fldCharType="end"/>
        </w:r>
      </w:hyperlink>
    </w:p>
    <w:p w:rsidR="00A93364" w:rsidRDefault="00A93364">
      <w:pPr>
        <w:pStyle w:val="TOC2"/>
        <w:rPr>
          <w:rFonts w:asciiTheme="minorHAnsi" w:eastAsiaTheme="minorEastAsia" w:hAnsiTheme="minorHAnsi" w:cstheme="minorBidi"/>
          <w:noProof/>
          <w:szCs w:val="22"/>
          <w:lang w:eastAsia="en-NZ"/>
        </w:rPr>
      </w:pPr>
      <w:hyperlink w:anchor="_Toc12347669" w:history="1">
        <w:r w:rsidRPr="00B51008">
          <w:rPr>
            <w:rStyle w:val="Hyperlink"/>
            <w:noProof/>
          </w:rPr>
          <w:t>Equity</w:t>
        </w:r>
        <w:r>
          <w:rPr>
            <w:noProof/>
            <w:webHidden/>
          </w:rPr>
          <w:tab/>
        </w:r>
        <w:r>
          <w:rPr>
            <w:noProof/>
            <w:webHidden/>
          </w:rPr>
          <w:fldChar w:fldCharType="begin"/>
        </w:r>
        <w:r>
          <w:rPr>
            <w:noProof/>
            <w:webHidden/>
          </w:rPr>
          <w:instrText xml:space="preserve"> PAGEREF _Toc12347669 \h </w:instrText>
        </w:r>
        <w:r>
          <w:rPr>
            <w:noProof/>
            <w:webHidden/>
          </w:rPr>
        </w:r>
        <w:r>
          <w:rPr>
            <w:noProof/>
            <w:webHidden/>
          </w:rPr>
          <w:fldChar w:fldCharType="separate"/>
        </w:r>
        <w:r>
          <w:rPr>
            <w:noProof/>
            <w:webHidden/>
          </w:rPr>
          <w:t>4</w:t>
        </w:r>
        <w:r>
          <w:rPr>
            <w:noProof/>
            <w:webHidden/>
          </w:rPr>
          <w:fldChar w:fldCharType="end"/>
        </w:r>
      </w:hyperlink>
    </w:p>
    <w:p w:rsidR="00A93364" w:rsidRDefault="00A93364">
      <w:pPr>
        <w:pStyle w:val="TOC2"/>
        <w:rPr>
          <w:rFonts w:asciiTheme="minorHAnsi" w:eastAsiaTheme="minorEastAsia" w:hAnsiTheme="minorHAnsi" w:cstheme="minorBidi"/>
          <w:noProof/>
          <w:szCs w:val="22"/>
          <w:lang w:eastAsia="en-NZ"/>
        </w:rPr>
      </w:pPr>
      <w:hyperlink w:anchor="_Toc12347670" w:history="1">
        <w:r w:rsidRPr="00B51008">
          <w:rPr>
            <w:rStyle w:val="Hyperlink"/>
            <w:noProof/>
          </w:rPr>
          <w:t>The big picture</w:t>
        </w:r>
        <w:r>
          <w:rPr>
            <w:noProof/>
            <w:webHidden/>
          </w:rPr>
          <w:tab/>
        </w:r>
        <w:r>
          <w:rPr>
            <w:noProof/>
            <w:webHidden/>
          </w:rPr>
          <w:fldChar w:fldCharType="begin"/>
        </w:r>
        <w:r>
          <w:rPr>
            <w:noProof/>
            <w:webHidden/>
          </w:rPr>
          <w:instrText xml:space="preserve"> PAGEREF _Toc12347670 \h </w:instrText>
        </w:r>
        <w:r>
          <w:rPr>
            <w:noProof/>
            <w:webHidden/>
          </w:rPr>
        </w:r>
        <w:r>
          <w:rPr>
            <w:noProof/>
            <w:webHidden/>
          </w:rPr>
          <w:fldChar w:fldCharType="separate"/>
        </w:r>
        <w:r>
          <w:rPr>
            <w:noProof/>
            <w:webHidden/>
          </w:rPr>
          <w:t>4</w:t>
        </w:r>
        <w:r>
          <w:rPr>
            <w:noProof/>
            <w:webHidden/>
          </w:rPr>
          <w:fldChar w:fldCharType="end"/>
        </w:r>
      </w:hyperlink>
    </w:p>
    <w:p w:rsidR="00A93364" w:rsidRDefault="00A93364">
      <w:pPr>
        <w:pStyle w:val="TOC2"/>
        <w:rPr>
          <w:rFonts w:asciiTheme="minorHAnsi" w:eastAsiaTheme="minorEastAsia" w:hAnsiTheme="minorHAnsi" w:cstheme="minorBidi"/>
          <w:noProof/>
          <w:szCs w:val="22"/>
          <w:lang w:eastAsia="en-NZ"/>
        </w:rPr>
      </w:pPr>
      <w:hyperlink w:anchor="_Toc12347671" w:history="1">
        <w:r w:rsidRPr="00B51008">
          <w:rPr>
            <w:rStyle w:val="Hyperlink"/>
            <w:noProof/>
          </w:rPr>
          <w:t>Aim and goals</w:t>
        </w:r>
        <w:r>
          <w:rPr>
            <w:noProof/>
            <w:webHidden/>
          </w:rPr>
          <w:tab/>
        </w:r>
        <w:r>
          <w:rPr>
            <w:noProof/>
            <w:webHidden/>
          </w:rPr>
          <w:fldChar w:fldCharType="begin"/>
        </w:r>
        <w:r>
          <w:rPr>
            <w:noProof/>
            <w:webHidden/>
          </w:rPr>
          <w:instrText xml:space="preserve"> PAGEREF _Toc12347671 \h </w:instrText>
        </w:r>
        <w:r>
          <w:rPr>
            <w:noProof/>
            <w:webHidden/>
          </w:rPr>
        </w:r>
        <w:r>
          <w:rPr>
            <w:noProof/>
            <w:webHidden/>
          </w:rPr>
          <w:fldChar w:fldCharType="separate"/>
        </w:r>
        <w:r>
          <w:rPr>
            <w:noProof/>
            <w:webHidden/>
          </w:rPr>
          <w:t>4</w:t>
        </w:r>
        <w:r>
          <w:rPr>
            <w:noProof/>
            <w:webHidden/>
          </w:rPr>
          <w:fldChar w:fldCharType="end"/>
        </w:r>
      </w:hyperlink>
    </w:p>
    <w:p w:rsidR="00A93364" w:rsidRDefault="00A93364">
      <w:pPr>
        <w:pStyle w:val="TOC2"/>
        <w:rPr>
          <w:rFonts w:asciiTheme="minorHAnsi" w:eastAsiaTheme="minorEastAsia" w:hAnsiTheme="minorHAnsi" w:cstheme="minorBidi"/>
          <w:noProof/>
          <w:szCs w:val="22"/>
          <w:lang w:eastAsia="en-NZ"/>
        </w:rPr>
      </w:pPr>
      <w:hyperlink w:anchor="_Toc12347672" w:history="1">
        <w:r w:rsidRPr="00B51008">
          <w:rPr>
            <w:rStyle w:val="Hyperlink"/>
            <w:noProof/>
          </w:rPr>
          <w:t>National and regional response needed</w:t>
        </w:r>
        <w:r>
          <w:rPr>
            <w:noProof/>
            <w:webHidden/>
          </w:rPr>
          <w:tab/>
        </w:r>
        <w:r>
          <w:rPr>
            <w:noProof/>
            <w:webHidden/>
          </w:rPr>
          <w:fldChar w:fldCharType="begin"/>
        </w:r>
        <w:r>
          <w:rPr>
            <w:noProof/>
            <w:webHidden/>
          </w:rPr>
          <w:instrText xml:space="preserve"> PAGEREF _Toc12347672 \h </w:instrText>
        </w:r>
        <w:r>
          <w:rPr>
            <w:noProof/>
            <w:webHidden/>
          </w:rPr>
        </w:r>
        <w:r>
          <w:rPr>
            <w:noProof/>
            <w:webHidden/>
          </w:rPr>
          <w:fldChar w:fldCharType="separate"/>
        </w:r>
        <w:r>
          <w:rPr>
            <w:noProof/>
            <w:webHidden/>
          </w:rPr>
          <w:t>5</w:t>
        </w:r>
        <w:r>
          <w:rPr>
            <w:noProof/>
            <w:webHidden/>
          </w:rPr>
          <w:fldChar w:fldCharType="end"/>
        </w:r>
      </w:hyperlink>
    </w:p>
    <w:p w:rsidR="00A93364" w:rsidRDefault="00A93364">
      <w:pPr>
        <w:pStyle w:val="TOC1"/>
        <w:rPr>
          <w:rFonts w:asciiTheme="minorHAnsi" w:eastAsiaTheme="minorEastAsia" w:hAnsiTheme="minorHAnsi" w:cstheme="minorBidi"/>
          <w:noProof/>
          <w:sz w:val="22"/>
          <w:szCs w:val="22"/>
          <w:lang w:eastAsia="en-NZ"/>
        </w:rPr>
      </w:pPr>
      <w:hyperlink w:anchor="_Toc12347673" w:history="1">
        <w:r w:rsidRPr="00B51008">
          <w:rPr>
            <w:rStyle w:val="Hyperlink"/>
            <w:noProof/>
          </w:rPr>
          <w:t>Action areas</w:t>
        </w:r>
        <w:r>
          <w:rPr>
            <w:noProof/>
            <w:webHidden/>
          </w:rPr>
          <w:tab/>
        </w:r>
        <w:r>
          <w:rPr>
            <w:noProof/>
            <w:webHidden/>
          </w:rPr>
          <w:fldChar w:fldCharType="begin"/>
        </w:r>
        <w:r>
          <w:rPr>
            <w:noProof/>
            <w:webHidden/>
          </w:rPr>
          <w:instrText xml:space="preserve"> PAGEREF _Toc12347673 \h </w:instrText>
        </w:r>
        <w:r>
          <w:rPr>
            <w:noProof/>
            <w:webHidden/>
          </w:rPr>
        </w:r>
        <w:r>
          <w:rPr>
            <w:noProof/>
            <w:webHidden/>
          </w:rPr>
          <w:fldChar w:fldCharType="separate"/>
        </w:r>
        <w:r>
          <w:rPr>
            <w:noProof/>
            <w:webHidden/>
          </w:rPr>
          <w:t>6</w:t>
        </w:r>
        <w:r>
          <w:rPr>
            <w:noProof/>
            <w:webHidden/>
          </w:rPr>
          <w:fldChar w:fldCharType="end"/>
        </w:r>
      </w:hyperlink>
    </w:p>
    <w:p w:rsidR="00A93364" w:rsidRDefault="00A93364">
      <w:pPr>
        <w:pStyle w:val="TOC2"/>
        <w:rPr>
          <w:rFonts w:asciiTheme="minorHAnsi" w:eastAsiaTheme="minorEastAsia" w:hAnsiTheme="minorHAnsi" w:cstheme="minorBidi"/>
          <w:noProof/>
          <w:szCs w:val="22"/>
          <w:lang w:eastAsia="en-NZ"/>
        </w:rPr>
      </w:pPr>
      <w:hyperlink w:anchor="_Toc12347674" w:history="1">
        <w:r w:rsidRPr="00B51008">
          <w:rPr>
            <w:rStyle w:val="Hyperlink"/>
            <w:noProof/>
          </w:rPr>
          <w:t>Action area 1: Primary prevention and health promotion</w:t>
        </w:r>
        <w:r>
          <w:rPr>
            <w:noProof/>
            <w:webHidden/>
          </w:rPr>
          <w:tab/>
        </w:r>
        <w:r>
          <w:rPr>
            <w:noProof/>
            <w:webHidden/>
          </w:rPr>
          <w:fldChar w:fldCharType="begin"/>
        </w:r>
        <w:r>
          <w:rPr>
            <w:noProof/>
            <w:webHidden/>
          </w:rPr>
          <w:instrText xml:space="preserve"> PAGEREF _Toc12347674 \h </w:instrText>
        </w:r>
        <w:r>
          <w:rPr>
            <w:noProof/>
            <w:webHidden/>
          </w:rPr>
        </w:r>
        <w:r>
          <w:rPr>
            <w:noProof/>
            <w:webHidden/>
          </w:rPr>
          <w:fldChar w:fldCharType="separate"/>
        </w:r>
        <w:r>
          <w:rPr>
            <w:noProof/>
            <w:webHidden/>
          </w:rPr>
          <w:t>6</w:t>
        </w:r>
        <w:r>
          <w:rPr>
            <w:noProof/>
            <w:webHidden/>
          </w:rPr>
          <w:fldChar w:fldCharType="end"/>
        </w:r>
      </w:hyperlink>
    </w:p>
    <w:p w:rsidR="00A93364" w:rsidRDefault="00A93364">
      <w:pPr>
        <w:pStyle w:val="TOC2"/>
        <w:rPr>
          <w:rFonts w:asciiTheme="minorHAnsi" w:eastAsiaTheme="minorEastAsia" w:hAnsiTheme="minorHAnsi" w:cstheme="minorBidi"/>
          <w:noProof/>
          <w:szCs w:val="22"/>
          <w:lang w:eastAsia="en-NZ"/>
        </w:rPr>
      </w:pPr>
      <w:hyperlink w:anchor="_Toc12347675" w:history="1">
        <w:r w:rsidRPr="00B51008">
          <w:rPr>
            <w:rStyle w:val="Hyperlink"/>
            <w:noProof/>
          </w:rPr>
          <w:t>Action area 2: Testing and management</w:t>
        </w:r>
        <w:r>
          <w:rPr>
            <w:noProof/>
            <w:webHidden/>
          </w:rPr>
          <w:tab/>
        </w:r>
        <w:r>
          <w:rPr>
            <w:noProof/>
            <w:webHidden/>
          </w:rPr>
          <w:fldChar w:fldCharType="begin"/>
        </w:r>
        <w:r>
          <w:rPr>
            <w:noProof/>
            <w:webHidden/>
          </w:rPr>
          <w:instrText xml:space="preserve"> PAGEREF _Toc12347675 \h </w:instrText>
        </w:r>
        <w:r>
          <w:rPr>
            <w:noProof/>
            <w:webHidden/>
          </w:rPr>
        </w:r>
        <w:r>
          <w:rPr>
            <w:noProof/>
            <w:webHidden/>
          </w:rPr>
          <w:fldChar w:fldCharType="separate"/>
        </w:r>
        <w:r>
          <w:rPr>
            <w:noProof/>
            <w:webHidden/>
          </w:rPr>
          <w:t>7</w:t>
        </w:r>
        <w:r>
          <w:rPr>
            <w:noProof/>
            <w:webHidden/>
          </w:rPr>
          <w:fldChar w:fldCharType="end"/>
        </w:r>
      </w:hyperlink>
    </w:p>
    <w:p w:rsidR="00A93364" w:rsidRDefault="00A93364">
      <w:pPr>
        <w:pStyle w:val="TOC2"/>
        <w:rPr>
          <w:rFonts w:asciiTheme="minorHAnsi" w:eastAsiaTheme="minorEastAsia" w:hAnsiTheme="minorHAnsi" w:cstheme="minorBidi"/>
          <w:noProof/>
          <w:szCs w:val="22"/>
          <w:lang w:eastAsia="en-NZ"/>
        </w:rPr>
      </w:pPr>
      <w:hyperlink w:anchor="_Toc12347676" w:history="1">
        <w:r w:rsidRPr="00B51008">
          <w:rPr>
            <w:rStyle w:val="Hyperlink"/>
            <w:noProof/>
          </w:rPr>
          <w:t>Action area 3: Preventing congenital syphilis</w:t>
        </w:r>
        <w:r>
          <w:rPr>
            <w:noProof/>
            <w:webHidden/>
          </w:rPr>
          <w:tab/>
        </w:r>
        <w:r>
          <w:rPr>
            <w:noProof/>
            <w:webHidden/>
          </w:rPr>
          <w:fldChar w:fldCharType="begin"/>
        </w:r>
        <w:r>
          <w:rPr>
            <w:noProof/>
            <w:webHidden/>
          </w:rPr>
          <w:instrText xml:space="preserve"> PAGEREF _Toc12347676 \h </w:instrText>
        </w:r>
        <w:r>
          <w:rPr>
            <w:noProof/>
            <w:webHidden/>
          </w:rPr>
        </w:r>
        <w:r>
          <w:rPr>
            <w:noProof/>
            <w:webHidden/>
          </w:rPr>
          <w:fldChar w:fldCharType="separate"/>
        </w:r>
        <w:r>
          <w:rPr>
            <w:noProof/>
            <w:webHidden/>
          </w:rPr>
          <w:t>10</w:t>
        </w:r>
        <w:r>
          <w:rPr>
            <w:noProof/>
            <w:webHidden/>
          </w:rPr>
          <w:fldChar w:fldCharType="end"/>
        </w:r>
      </w:hyperlink>
    </w:p>
    <w:p w:rsidR="00A93364" w:rsidRDefault="00A93364">
      <w:pPr>
        <w:pStyle w:val="TOC2"/>
        <w:rPr>
          <w:rFonts w:asciiTheme="minorHAnsi" w:eastAsiaTheme="minorEastAsia" w:hAnsiTheme="minorHAnsi" w:cstheme="minorBidi"/>
          <w:noProof/>
          <w:szCs w:val="22"/>
          <w:lang w:eastAsia="en-NZ"/>
        </w:rPr>
      </w:pPr>
      <w:hyperlink w:anchor="_Toc12347677" w:history="1">
        <w:r w:rsidRPr="00B51008">
          <w:rPr>
            <w:rStyle w:val="Hyperlink"/>
            <w:noProof/>
          </w:rPr>
          <w:t>Action area 4: Surveillance</w:t>
        </w:r>
        <w:r>
          <w:rPr>
            <w:noProof/>
            <w:webHidden/>
          </w:rPr>
          <w:tab/>
        </w:r>
        <w:r>
          <w:rPr>
            <w:noProof/>
            <w:webHidden/>
          </w:rPr>
          <w:fldChar w:fldCharType="begin"/>
        </w:r>
        <w:r>
          <w:rPr>
            <w:noProof/>
            <w:webHidden/>
          </w:rPr>
          <w:instrText xml:space="preserve"> PAGEREF _Toc12347677 \h </w:instrText>
        </w:r>
        <w:r>
          <w:rPr>
            <w:noProof/>
            <w:webHidden/>
          </w:rPr>
        </w:r>
        <w:r>
          <w:rPr>
            <w:noProof/>
            <w:webHidden/>
          </w:rPr>
          <w:fldChar w:fldCharType="separate"/>
        </w:r>
        <w:r>
          <w:rPr>
            <w:noProof/>
            <w:webHidden/>
          </w:rPr>
          <w:t>11</w:t>
        </w:r>
        <w:r>
          <w:rPr>
            <w:noProof/>
            <w:webHidden/>
          </w:rPr>
          <w:fldChar w:fldCharType="end"/>
        </w:r>
      </w:hyperlink>
    </w:p>
    <w:p w:rsidR="00A93364" w:rsidRDefault="00A93364">
      <w:pPr>
        <w:pStyle w:val="TOC1"/>
        <w:rPr>
          <w:rFonts w:asciiTheme="minorHAnsi" w:eastAsiaTheme="minorEastAsia" w:hAnsiTheme="minorHAnsi" w:cstheme="minorBidi"/>
          <w:noProof/>
          <w:sz w:val="22"/>
          <w:szCs w:val="22"/>
          <w:lang w:eastAsia="en-NZ"/>
        </w:rPr>
      </w:pPr>
      <w:hyperlink w:anchor="_Toc12347678" w:history="1">
        <w:r w:rsidRPr="00B51008">
          <w:rPr>
            <w:rStyle w:val="Hyperlink"/>
            <w:noProof/>
          </w:rPr>
          <w:t>References</w:t>
        </w:r>
        <w:r>
          <w:rPr>
            <w:noProof/>
            <w:webHidden/>
          </w:rPr>
          <w:tab/>
        </w:r>
        <w:r>
          <w:rPr>
            <w:noProof/>
            <w:webHidden/>
          </w:rPr>
          <w:fldChar w:fldCharType="begin"/>
        </w:r>
        <w:r>
          <w:rPr>
            <w:noProof/>
            <w:webHidden/>
          </w:rPr>
          <w:instrText xml:space="preserve"> PAGEREF _Toc12347678 \h </w:instrText>
        </w:r>
        <w:r>
          <w:rPr>
            <w:noProof/>
            <w:webHidden/>
          </w:rPr>
        </w:r>
        <w:r>
          <w:rPr>
            <w:noProof/>
            <w:webHidden/>
          </w:rPr>
          <w:fldChar w:fldCharType="separate"/>
        </w:r>
        <w:r>
          <w:rPr>
            <w:noProof/>
            <w:webHidden/>
          </w:rPr>
          <w:t>12</w:t>
        </w:r>
        <w:r>
          <w:rPr>
            <w:noProof/>
            <w:webHidden/>
          </w:rPr>
          <w:fldChar w:fldCharType="end"/>
        </w:r>
      </w:hyperlink>
    </w:p>
    <w:p w:rsidR="00C86248" w:rsidRDefault="00A93364">
      <w:r>
        <w:rPr>
          <w:rFonts w:ascii="Segoe UI Semibold" w:hAnsi="Segoe UI Semibold"/>
          <w:b/>
          <w:sz w:val="24"/>
        </w:rPr>
        <w:fldChar w:fldCharType="end"/>
      </w:r>
    </w:p>
    <w:p w:rsidR="000A0158" w:rsidRDefault="000A0158" w:rsidP="002B76A7">
      <w:pPr>
        <w:pStyle w:val="TOC1"/>
        <w:keepNext/>
      </w:pPr>
      <w:r>
        <w:t>List of Figures</w:t>
      </w:r>
    </w:p>
    <w:p w:rsidR="00B41605" w:rsidRDefault="00B41605">
      <w:pPr>
        <w:pStyle w:val="TOC3"/>
        <w:rPr>
          <w:rFonts w:asciiTheme="minorHAnsi" w:eastAsiaTheme="minorEastAsia" w:hAnsiTheme="minorHAnsi" w:cstheme="minorBidi"/>
          <w:noProof/>
          <w:sz w:val="22"/>
          <w:szCs w:val="22"/>
          <w:lang w:eastAsia="en-NZ"/>
        </w:rPr>
      </w:pPr>
      <w:r>
        <w:fldChar w:fldCharType="begin"/>
      </w:r>
      <w:r>
        <w:instrText xml:space="preserve"> TOC \h \z \t "Figure,3" </w:instrText>
      </w:r>
      <w:r>
        <w:fldChar w:fldCharType="separate"/>
      </w:r>
      <w:hyperlink w:anchor="_Toc5869627" w:history="1">
        <w:r w:rsidRPr="00A26B5F">
          <w:rPr>
            <w:rStyle w:val="Hyperlink"/>
            <w:noProof/>
          </w:rPr>
          <w:t>Figure 1: Infectious syphilis cases by sex and sexual behaviour, 2013–2018</w:t>
        </w:r>
        <w:r>
          <w:rPr>
            <w:noProof/>
            <w:webHidden/>
          </w:rPr>
          <w:tab/>
        </w:r>
        <w:r>
          <w:rPr>
            <w:noProof/>
            <w:webHidden/>
          </w:rPr>
          <w:fldChar w:fldCharType="begin"/>
        </w:r>
        <w:r>
          <w:rPr>
            <w:noProof/>
            <w:webHidden/>
          </w:rPr>
          <w:instrText xml:space="preserve"> PAGEREF _Toc5869627 \h </w:instrText>
        </w:r>
        <w:r>
          <w:rPr>
            <w:noProof/>
            <w:webHidden/>
          </w:rPr>
        </w:r>
        <w:r>
          <w:rPr>
            <w:noProof/>
            <w:webHidden/>
          </w:rPr>
          <w:fldChar w:fldCharType="separate"/>
        </w:r>
        <w:r w:rsidR="008A1FDE">
          <w:rPr>
            <w:noProof/>
            <w:webHidden/>
          </w:rPr>
          <w:t>2</w:t>
        </w:r>
        <w:r>
          <w:rPr>
            <w:noProof/>
            <w:webHidden/>
          </w:rPr>
          <w:fldChar w:fldCharType="end"/>
        </w:r>
      </w:hyperlink>
    </w:p>
    <w:p w:rsidR="00B41605" w:rsidRDefault="00A93364">
      <w:pPr>
        <w:pStyle w:val="TOC3"/>
        <w:rPr>
          <w:rFonts w:asciiTheme="minorHAnsi" w:eastAsiaTheme="minorEastAsia" w:hAnsiTheme="minorHAnsi" w:cstheme="minorBidi"/>
          <w:noProof/>
          <w:sz w:val="22"/>
          <w:szCs w:val="22"/>
          <w:lang w:eastAsia="en-NZ"/>
        </w:rPr>
      </w:pPr>
      <w:hyperlink w:anchor="_Toc5869628" w:history="1">
        <w:r w:rsidR="00B41605" w:rsidRPr="00A26B5F">
          <w:rPr>
            <w:rStyle w:val="Hyperlink"/>
            <w:rFonts w:eastAsia="Calibri"/>
            <w:noProof/>
          </w:rPr>
          <w:t>Figure 2: Infectious syphilis by District Health Board, number of cases, 2013–2018*</w:t>
        </w:r>
        <w:r w:rsidR="00B41605">
          <w:rPr>
            <w:noProof/>
            <w:webHidden/>
          </w:rPr>
          <w:tab/>
        </w:r>
        <w:r w:rsidR="00B41605">
          <w:rPr>
            <w:noProof/>
            <w:webHidden/>
          </w:rPr>
          <w:fldChar w:fldCharType="begin"/>
        </w:r>
        <w:r w:rsidR="00B41605">
          <w:rPr>
            <w:noProof/>
            <w:webHidden/>
          </w:rPr>
          <w:instrText xml:space="preserve"> PAGEREF _Toc5869628 \h </w:instrText>
        </w:r>
        <w:r w:rsidR="00B41605">
          <w:rPr>
            <w:noProof/>
            <w:webHidden/>
          </w:rPr>
        </w:r>
        <w:r w:rsidR="00B41605">
          <w:rPr>
            <w:noProof/>
            <w:webHidden/>
          </w:rPr>
          <w:fldChar w:fldCharType="separate"/>
        </w:r>
        <w:r w:rsidR="008A1FDE">
          <w:rPr>
            <w:noProof/>
            <w:webHidden/>
          </w:rPr>
          <w:t>3</w:t>
        </w:r>
        <w:r w:rsidR="00B41605">
          <w:rPr>
            <w:noProof/>
            <w:webHidden/>
          </w:rPr>
          <w:fldChar w:fldCharType="end"/>
        </w:r>
      </w:hyperlink>
    </w:p>
    <w:p w:rsidR="000A0158" w:rsidRPr="000A0158" w:rsidRDefault="00B41605" w:rsidP="000A0158">
      <w:r>
        <w:fldChar w:fldCharType="end"/>
      </w:r>
    </w:p>
    <w:p w:rsidR="001D3E4E" w:rsidRDefault="001D3E4E" w:rsidP="003A5FEA">
      <w:pPr>
        <w:sectPr w:rsidR="001D3E4E" w:rsidSect="00925892">
          <w:headerReference w:type="even" r:id="rId14"/>
          <w:headerReference w:type="default" r:id="rId15"/>
          <w:footerReference w:type="even" r:id="rId16"/>
          <w:footerReference w:type="default" r:id="rId17"/>
          <w:pgSz w:w="11907" w:h="16840" w:code="9"/>
          <w:pgMar w:top="1418" w:right="1701" w:bottom="1134" w:left="1843" w:header="284" w:footer="425" w:gutter="284"/>
          <w:pgNumType w:fmt="lowerRoman"/>
          <w:cols w:space="720"/>
        </w:sectPr>
      </w:pPr>
      <w:bookmarkStart w:id="2" w:name="_GoBack"/>
      <w:bookmarkEnd w:id="2"/>
    </w:p>
    <w:p w:rsidR="00A073CF" w:rsidRDefault="00A073CF" w:rsidP="00A073CF"/>
    <w:p w:rsidR="00A073CF" w:rsidRPr="00A073CF" w:rsidRDefault="00A073CF" w:rsidP="00A073CF">
      <w:pPr>
        <w:sectPr w:rsidR="00A073CF" w:rsidRPr="00A073CF" w:rsidSect="00925892">
          <w:footerReference w:type="even" r:id="rId18"/>
          <w:pgSz w:w="11907" w:h="16840" w:code="9"/>
          <w:pgMar w:top="1418" w:right="1701" w:bottom="1134" w:left="1843" w:header="284" w:footer="425" w:gutter="284"/>
          <w:pgNumType w:fmt="lowerRoman"/>
          <w:cols w:space="720"/>
        </w:sectPr>
      </w:pPr>
    </w:p>
    <w:p w:rsidR="008C2973" w:rsidRDefault="002B7BEC" w:rsidP="002575E8">
      <w:pPr>
        <w:pStyle w:val="Heading1"/>
      </w:pPr>
      <w:bookmarkStart w:id="3" w:name="_Toc12347667"/>
      <w:r>
        <w:lastRenderedPageBreak/>
        <w:t>Introduction</w:t>
      </w:r>
      <w:bookmarkEnd w:id="3"/>
    </w:p>
    <w:p w:rsidR="004B15E4" w:rsidRDefault="00FC5571" w:rsidP="00AA1698">
      <w:r w:rsidRPr="008D1F7C">
        <w:t>Syphilis incidence has been increasing in New Zealand since 2012 to the point that we now have a syphilis epidemic.</w:t>
      </w:r>
      <w:r w:rsidRPr="00AA1698">
        <w:rPr>
          <w:rStyle w:val="FootnoteReference"/>
        </w:rPr>
        <w:footnoteReference w:id="1"/>
      </w:r>
      <w:r w:rsidRPr="008D1F7C">
        <w:t xml:space="preserve"> Provisional data from the Institute of Environmental Science and Research Ltd (ESR) indicates that the number of syphilis cases reported in 2018 is more than double the number of cases reported in 2015. In 2018, New Zealand had 54</w:t>
      </w:r>
      <w:r>
        <w:t>3</w:t>
      </w:r>
      <w:r w:rsidRPr="008D1F7C">
        <w:t xml:space="preserve"> cases of syphilis – 45</w:t>
      </w:r>
      <w:r>
        <w:t>4</w:t>
      </w:r>
      <w:r w:rsidRPr="008D1F7C">
        <w:t xml:space="preserve"> in males and 89 in females</w:t>
      </w:r>
      <w:r>
        <w:t xml:space="preserve">. </w:t>
      </w:r>
    </w:p>
    <w:p w:rsidR="00AA1698" w:rsidRDefault="00AA1698" w:rsidP="00AA1698"/>
    <w:p w:rsidR="004B15E4" w:rsidRDefault="00FC5571" w:rsidP="00AA1698">
      <w:r w:rsidRPr="008D1F7C">
        <w:t>It is also highly concerning that we are now seeing cases of congenital syphilis in New Zealand – a completely preventable condition.</w:t>
      </w:r>
      <w:r w:rsidR="004B15E4">
        <w:t xml:space="preserve"> </w:t>
      </w:r>
      <w:r>
        <w:t xml:space="preserve">There were </w:t>
      </w:r>
      <w:r w:rsidR="00AF132A">
        <w:t xml:space="preserve">four reported cases of congenital syphilis in 2017 and </w:t>
      </w:r>
      <w:r>
        <w:t>five</w:t>
      </w:r>
      <w:r w:rsidRPr="008D1F7C">
        <w:t xml:space="preserve"> </w:t>
      </w:r>
      <w:r>
        <w:t xml:space="preserve">in 2018 compared to </w:t>
      </w:r>
      <w:r w:rsidR="00AF132A">
        <w:t xml:space="preserve">one case in 2016.  Prior to 2016, cases of congenital syphilis were very rare in New Zealand. </w:t>
      </w:r>
    </w:p>
    <w:p w:rsidR="00AA1698" w:rsidRDefault="00AA1698" w:rsidP="00AA1698"/>
    <w:p w:rsidR="00FC5571" w:rsidRPr="008D1F7C" w:rsidRDefault="00FC5571" w:rsidP="00AA1698">
      <w:pPr>
        <w:pStyle w:val="Heading2"/>
      </w:pPr>
      <w:bookmarkStart w:id="4" w:name="_Toc2923067"/>
      <w:bookmarkStart w:id="5" w:name="_Toc12347668"/>
      <w:r w:rsidRPr="008D1F7C">
        <w:t>Understanding the epidemic</w:t>
      </w:r>
      <w:bookmarkEnd w:id="4"/>
      <w:bookmarkEnd w:id="5"/>
    </w:p>
    <w:p w:rsidR="004B15E4" w:rsidRDefault="00FC5571" w:rsidP="00AA1698">
      <w:r w:rsidRPr="008D1F7C">
        <w:t>Understanding the epidemiology of the syphilis epidemic is vital to target actions to the populations in greatest need. Men who have sex with men (MSM) remain the group most affected by syphilis. However, over recent years the demographics of those affected by syphilis have become increasingly diverse, including a steady increase in cases contracted through heterosexual sex among both males and females (see Figure</w:t>
      </w:r>
      <w:r w:rsidR="00AA1698">
        <w:t> </w:t>
      </w:r>
      <w:r w:rsidRPr="008D1F7C">
        <w:t>1).</w:t>
      </w:r>
    </w:p>
    <w:p w:rsidR="00AA1698" w:rsidRDefault="00AA1698" w:rsidP="00AA1698"/>
    <w:p w:rsidR="00FC5571" w:rsidRPr="008D1F7C" w:rsidRDefault="00FC5571" w:rsidP="00AA1698">
      <w:pPr>
        <w:pStyle w:val="Figure"/>
      </w:pPr>
      <w:bookmarkStart w:id="6" w:name="_Toc5869627"/>
      <w:r w:rsidRPr="008D1F7C">
        <w:lastRenderedPageBreak/>
        <w:t>Figure 1: Infectious syphilis cases by sex and sexual behaviour, 2013–201</w:t>
      </w:r>
      <w:r>
        <w:t>8</w:t>
      </w:r>
      <w:bookmarkEnd w:id="6"/>
    </w:p>
    <w:p w:rsidR="00FC5571" w:rsidRPr="008D1F7C" w:rsidRDefault="000D65BC" w:rsidP="000D65BC">
      <w:r w:rsidRPr="000D65BC">
        <w:rPr>
          <w:noProof/>
          <w:lang w:eastAsia="en-NZ"/>
        </w:rPr>
        <w:drawing>
          <wp:inline distT="0" distB="0" distL="0" distR="0" wp14:anchorId="3C853E9A" wp14:editId="5EBF816B">
            <wp:extent cx="5130165" cy="3347762"/>
            <wp:effectExtent l="0" t="0" r="0" b="5080"/>
            <wp:docPr id="1" name="Picture 1" title="Figure 1: Infectious syphilis cases by sex and sexual behaviour, 2013–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130165" cy="3347762"/>
                    </a:xfrm>
                    <a:prstGeom prst="rect">
                      <a:avLst/>
                    </a:prstGeom>
                  </pic:spPr>
                </pic:pic>
              </a:graphicData>
            </a:graphic>
          </wp:inline>
        </w:drawing>
      </w:r>
    </w:p>
    <w:p w:rsidR="004B15E4" w:rsidRDefault="00FC5571" w:rsidP="00AA1698">
      <w:pPr>
        <w:pStyle w:val="Note"/>
      </w:pPr>
      <w:r w:rsidRPr="008D1F7C">
        <w:t>Data source: Enhanced surveillance of infectious syphilis</w:t>
      </w:r>
      <w:r>
        <w:t xml:space="preserve"> and STI Surveillance</w:t>
      </w:r>
      <w:r w:rsidRPr="008D1F7C">
        <w:t>, ESR.</w:t>
      </w:r>
    </w:p>
    <w:p w:rsidR="00FC5571" w:rsidRDefault="00FC5571" w:rsidP="00AA1698">
      <w:pPr>
        <w:pStyle w:val="Note"/>
      </w:pPr>
      <w:r>
        <w:t>Note:</w:t>
      </w:r>
    </w:p>
    <w:p w:rsidR="00FC5571" w:rsidRPr="0028127A" w:rsidRDefault="00AA1698" w:rsidP="00AF132A">
      <w:pPr>
        <w:pStyle w:val="Note"/>
        <w:spacing w:before="40"/>
      </w:pPr>
      <w:r>
        <w:t>1.</w:t>
      </w:r>
      <w:r>
        <w:tab/>
      </w:r>
      <w:r w:rsidR="00FC5571" w:rsidRPr="0028127A">
        <w:t>Data for 2017 and 2018 provisional.</w:t>
      </w:r>
    </w:p>
    <w:p w:rsidR="00FC5571" w:rsidRDefault="00AF132A" w:rsidP="00AA1698">
      <w:pPr>
        <w:pStyle w:val="Note"/>
        <w:spacing w:before="40"/>
      </w:pPr>
      <w:r>
        <w:t>2</w:t>
      </w:r>
      <w:r w:rsidR="00AA1698">
        <w:t>.</w:t>
      </w:r>
      <w:r w:rsidR="00AA1698">
        <w:tab/>
      </w:r>
      <w:r w:rsidR="00FC5571">
        <w:t xml:space="preserve">MSM – </w:t>
      </w:r>
      <w:r w:rsidR="00AA1698">
        <w:t>m</w:t>
      </w:r>
      <w:r w:rsidR="00FC5571">
        <w:t>en who report they have sex with men</w:t>
      </w:r>
      <w:r w:rsidR="00AA1698">
        <w:t>.</w:t>
      </w:r>
    </w:p>
    <w:p w:rsidR="004B15E4" w:rsidRDefault="00AF132A" w:rsidP="00AA1698">
      <w:pPr>
        <w:pStyle w:val="Note"/>
        <w:spacing w:before="40"/>
      </w:pPr>
      <w:r>
        <w:t>3</w:t>
      </w:r>
      <w:r w:rsidR="00AA1698">
        <w:t>.</w:t>
      </w:r>
      <w:r w:rsidR="00AA1698">
        <w:tab/>
      </w:r>
      <w:r w:rsidR="00FC5571" w:rsidRPr="0028127A">
        <w:t>Hetero</w:t>
      </w:r>
      <w:r w:rsidR="00FC5571">
        <w:t>sexual</w:t>
      </w:r>
      <w:r w:rsidR="00FC5571" w:rsidRPr="0028127A">
        <w:t xml:space="preserve"> </w:t>
      </w:r>
      <w:r w:rsidR="00FC5571">
        <w:t xml:space="preserve">males </w:t>
      </w:r>
      <w:r w:rsidR="00FC5571" w:rsidRPr="0028127A">
        <w:t xml:space="preserve">refers to </w:t>
      </w:r>
      <w:r w:rsidR="00FC5571">
        <w:t xml:space="preserve">males </w:t>
      </w:r>
      <w:r w:rsidR="00FC5571" w:rsidRPr="0028127A">
        <w:t xml:space="preserve">who report only having sex with </w:t>
      </w:r>
      <w:r w:rsidR="00FC5571">
        <w:t>females</w:t>
      </w:r>
      <w:r w:rsidR="00AA1698">
        <w:t>.</w:t>
      </w:r>
    </w:p>
    <w:p w:rsidR="004B15E4" w:rsidRDefault="00AF132A" w:rsidP="00AA1698">
      <w:pPr>
        <w:pStyle w:val="Note"/>
        <w:spacing w:before="40"/>
      </w:pPr>
      <w:r>
        <w:t>4</w:t>
      </w:r>
      <w:r w:rsidR="00AA1698">
        <w:t>.</w:t>
      </w:r>
      <w:r w:rsidR="00AA1698">
        <w:tab/>
      </w:r>
      <w:r w:rsidR="00FC5571">
        <w:t>Females includes females who have sex with males and females</w:t>
      </w:r>
      <w:r w:rsidR="00AA1698">
        <w:t>.</w:t>
      </w:r>
    </w:p>
    <w:p w:rsidR="004B15E4" w:rsidRDefault="00AF132A" w:rsidP="00AA1698">
      <w:pPr>
        <w:pStyle w:val="Note"/>
        <w:spacing w:before="40"/>
      </w:pPr>
      <w:r>
        <w:t>5</w:t>
      </w:r>
      <w:r w:rsidR="00AA1698">
        <w:t>.</w:t>
      </w:r>
      <w:r w:rsidR="00AA1698">
        <w:tab/>
      </w:r>
      <w:r w:rsidR="00FC5571">
        <w:t>Unknown sexual behaviour – includes transgender where sex is unknown</w:t>
      </w:r>
      <w:r w:rsidR="00AA1698">
        <w:t>.</w:t>
      </w:r>
    </w:p>
    <w:p w:rsidR="00FC5571" w:rsidRPr="008D1F7C" w:rsidRDefault="00FC5571" w:rsidP="00AA1698"/>
    <w:p w:rsidR="004B15E4" w:rsidRDefault="00FC5571" w:rsidP="00AA1698">
      <w:r w:rsidRPr="008D1F7C">
        <w:t xml:space="preserve">Rates of syphilis in New Zealand </w:t>
      </w:r>
      <w:r>
        <w:t>now show</w:t>
      </w:r>
      <w:r w:rsidRPr="008D1F7C">
        <w:t xml:space="preserve"> marked ethnic inequities. In particular, the number of cases of syphilis among Māori women has increased markedly, from f</w:t>
      </w:r>
      <w:r>
        <w:t>ive</w:t>
      </w:r>
      <w:r w:rsidRPr="008D1F7C">
        <w:t xml:space="preserve"> cases reported in 2016 to</w:t>
      </w:r>
      <w:r>
        <w:t xml:space="preserve"> 28 cases in 2017 and</w:t>
      </w:r>
      <w:r w:rsidRPr="008D1F7C">
        <w:t xml:space="preserve"> </w:t>
      </w:r>
      <w:r>
        <w:t xml:space="preserve">37 </w:t>
      </w:r>
      <w:r w:rsidRPr="008D1F7C">
        <w:t>cases reported in 201</w:t>
      </w:r>
      <w:r>
        <w:t>8</w:t>
      </w:r>
      <w:r w:rsidRPr="008D1F7C">
        <w:t>.</w:t>
      </w:r>
      <w:r w:rsidR="004B15E4">
        <w:t xml:space="preserve"> </w:t>
      </w:r>
      <w:r w:rsidRPr="008D1F7C">
        <w:t>As a result, Māori women now account for the</w:t>
      </w:r>
      <w:r>
        <w:t xml:space="preserve"> highest proportion of cases of</w:t>
      </w:r>
      <w:r w:rsidRPr="008D1F7C">
        <w:t xml:space="preserve"> syphilis </w:t>
      </w:r>
      <w:r>
        <w:t>in</w:t>
      </w:r>
      <w:r w:rsidRPr="008D1F7C">
        <w:t xml:space="preserve"> women in New Zealand</w:t>
      </w:r>
      <w:r>
        <w:t xml:space="preserve"> (45 percent of cases in 2018 compared to 19 percent in 2016)</w:t>
      </w:r>
      <w:r w:rsidRPr="008D1F7C">
        <w:t>.</w:t>
      </w:r>
      <w:r w:rsidR="004B15E4">
        <w:t xml:space="preserve"> </w:t>
      </w:r>
      <w:r>
        <w:t xml:space="preserve">Prior to 2017, over half of syphilis cases were in New Zealand European women. </w:t>
      </w:r>
      <w:r w:rsidRPr="008D1F7C">
        <w:t xml:space="preserve">Addressing this </w:t>
      </w:r>
      <w:r>
        <w:t xml:space="preserve">increasing </w:t>
      </w:r>
      <w:r w:rsidRPr="008D1F7C">
        <w:t>inequity needs to be a priority in the response to syphilis.</w:t>
      </w:r>
    </w:p>
    <w:p w:rsidR="00AA1698" w:rsidRDefault="00AA1698" w:rsidP="00AA1698"/>
    <w:p w:rsidR="004B15E4" w:rsidRDefault="00FC5571" w:rsidP="00AA1698">
      <w:r w:rsidRPr="008D1F7C">
        <w:t>In terms of age and gender, in 2017 the highest number of cases was reported in males aged 20–39 years, particularly those in the 25–29 age group.</w:t>
      </w:r>
    </w:p>
    <w:p w:rsidR="00AA1698" w:rsidRDefault="00AA1698" w:rsidP="00AA1698"/>
    <w:p w:rsidR="004B15E4" w:rsidRDefault="00FC5571" w:rsidP="00AA1698">
      <w:r w:rsidRPr="008D1F7C">
        <w:t>In terms of district health board (DHB) district or region, most of the syphilis cases occurred in the Auckland</w:t>
      </w:r>
      <w:r>
        <w:t xml:space="preserve"> region</w:t>
      </w:r>
      <w:r w:rsidRPr="008D1F7C">
        <w:t xml:space="preserve"> DHBs (Auckland, Counties </w:t>
      </w:r>
      <w:proofErr w:type="spellStart"/>
      <w:r w:rsidRPr="008D1F7C">
        <w:t>Manukau</w:t>
      </w:r>
      <w:proofErr w:type="spellEnd"/>
      <w:r w:rsidRPr="008D1F7C">
        <w:t xml:space="preserve"> and </w:t>
      </w:r>
      <w:proofErr w:type="spellStart"/>
      <w:r w:rsidRPr="008D1F7C">
        <w:t>Waitemata</w:t>
      </w:r>
      <w:proofErr w:type="spellEnd"/>
      <w:r w:rsidRPr="008D1F7C">
        <w:t xml:space="preserve"> DHBs), followed by the DHBs in the Wellington region (Hutt Valley and Capital &amp; Coast DHBs) (see Figure 2).</w:t>
      </w:r>
    </w:p>
    <w:p w:rsidR="00AA1698" w:rsidRDefault="00AA1698" w:rsidP="00AA1698"/>
    <w:p w:rsidR="00FC5571" w:rsidRPr="008D1F7C" w:rsidRDefault="00FC5571" w:rsidP="00AA1698">
      <w:pPr>
        <w:pStyle w:val="Figure"/>
        <w:rPr>
          <w:rFonts w:eastAsia="Calibri"/>
        </w:rPr>
      </w:pPr>
      <w:bookmarkStart w:id="7" w:name="_Toc5869628"/>
      <w:r w:rsidRPr="008D1F7C">
        <w:rPr>
          <w:rFonts w:eastAsia="Calibri"/>
        </w:rPr>
        <w:lastRenderedPageBreak/>
        <w:t xml:space="preserve">Figure 2: Infectious syphilis by </w:t>
      </w:r>
      <w:r>
        <w:rPr>
          <w:rFonts w:eastAsia="Calibri"/>
        </w:rPr>
        <w:t>District Health Board, number of cases</w:t>
      </w:r>
      <w:r w:rsidRPr="008D1F7C">
        <w:rPr>
          <w:rFonts w:eastAsia="Calibri"/>
        </w:rPr>
        <w:t>, 2013–</w:t>
      </w:r>
      <w:r>
        <w:rPr>
          <w:rFonts w:eastAsia="Calibri"/>
        </w:rPr>
        <w:t>2018</w:t>
      </w:r>
      <w:r w:rsidRPr="008D1F7C">
        <w:rPr>
          <w:rFonts w:eastAsia="Calibri"/>
        </w:rPr>
        <w:t>*</w:t>
      </w:r>
      <w:bookmarkEnd w:id="7"/>
    </w:p>
    <w:p w:rsidR="00FC5571" w:rsidRPr="008D1F7C" w:rsidRDefault="000D65BC" w:rsidP="000D65BC">
      <w:pPr>
        <w:rPr>
          <w:rFonts w:eastAsia="Calibri"/>
        </w:rPr>
      </w:pPr>
      <w:r w:rsidRPr="000D65BC">
        <w:rPr>
          <w:noProof/>
          <w:lang w:eastAsia="en-NZ"/>
        </w:rPr>
        <w:drawing>
          <wp:inline distT="0" distB="0" distL="0" distR="0" wp14:anchorId="61F3F5E8" wp14:editId="672DA9C2">
            <wp:extent cx="5130165" cy="3347762"/>
            <wp:effectExtent l="0" t="0" r="0" b="5080"/>
            <wp:docPr id="7" name="Picture 7" title="Figure 2: Infectious syphilis by District Health Board, number of cases, 2013–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130165" cy="3347762"/>
                    </a:xfrm>
                    <a:prstGeom prst="rect">
                      <a:avLst/>
                    </a:prstGeom>
                  </pic:spPr>
                </pic:pic>
              </a:graphicData>
            </a:graphic>
          </wp:inline>
        </w:drawing>
      </w:r>
    </w:p>
    <w:p w:rsidR="00FC5571" w:rsidRDefault="00FC5571" w:rsidP="00AA1698">
      <w:pPr>
        <w:pStyle w:val="Source"/>
        <w:rPr>
          <w:rFonts w:eastAsia="Calibri"/>
        </w:rPr>
      </w:pPr>
      <w:r w:rsidRPr="008D1F7C">
        <w:rPr>
          <w:rFonts w:eastAsia="Calibri"/>
        </w:rPr>
        <w:t xml:space="preserve">Data source: </w:t>
      </w:r>
      <w:r w:rsidRPr="0043611D">
        <w:rPr>
          <w:rFonts w:eastAsia="Calibri"/>
        </w:rPr>
        <w:t xml:space="preserve">Enhanced surveillance of infectious </w:t>
      </w:r>
      <w:r w:rsidR="00E441BC" w:rsidRPr="0043611D">
        <w:rPr>
          <w:rFonts w:eastAsia="Calibri"/>
        </w:rPr>
        <w:t>syphilis</w:t>
      </w:r>
      <w:r w:rsidRPr="0043611D">
        <w:rPr>
          <w:rFonts w:eastAsia="Calibri"/>
        </w:rPr>
        <w:t xml:space="preserve"> and STI Surveillance: Syphilis, ESR</w:t>
      </w:r>
    </w:p>
    <w:p w:rsidR="004B15E4" w:rsidRDefault="00FC5571" w:rsidP="00AA1698">
      <w:pPr>
        <w:pStyle w:val="Note"/>
        <w:rPr>
          <w:rFonts w:eastAsia="Calibri"/>
        </w:rPr>
      </w:pPr>
      <w:r w:rsidRPr="008D1F7C">
        <w:rPr>
          <w:rFonts w:eastAsia="Calibri"/>
        </w:rPr>
        <w:t>*</w:t>
      </w:r>
      <w:r w:rsidR="00AA1698">
        <w:rPr>
          <w:rFonts w:eastAsia="Calibri"/>
        </w:rPr>
        <w:tab/>
      </w:r>
      <w:r w:rsidRPr="008D1F7C">
        <w:rPr>
          <w:rFonts w:eastAsia="Calibri"/>
        </w:rPr>
        <w:t xml:space="preserve">Data for 2017 </w:t>
      </w:r>
      <w:r>
        <w:rPr>
          <w:rFonts w:eastAsia="Calibri"/>
        </w:rPr>
        <w:t xml:space="preserve">and 2018 </w:t>
      </w:r>
      <w:r w:rsidRPr="008D1F7C">
        <w:rPr>
          <w:rFonts w:eastAsia="Calibri"/>
        </w:rPr>
        <w:t>provisional.</w:t>
      </w:r>
    </w:p>
    <w:p w:rsidR="00AA1698" w:rsidRDefault="00AA1698" w:rsidP="00AA1698"/>
    <w:p w:rsidR="00FC5571" w:rsidRPr="008D1F7C" w:rsidRDefault="00FC5571" w:rsidP="00AA1698">
      <w:r w:rsidRPr="008D1F7C">
        <w:t>Based on currently available data, the populations most impacted by syphilis are:</w:t>
      </w:r>
    </w:p>
    <w:p w:rsidR="00FC5571" w:rsidRPr="008D1F7C" w:rsidRDefault="00FC5571" w:rsidP="00AA1698">
      <w:pPr>
        <w:pStyle w:val="Bullet"/>
      </w:pPr>
      <w:r w:rsidRPr="008D1F7C">
        <w:t>men who have sex with men – around 70% of reported cases</w:t>
      </w:r>
    </w:p>
    <w:p w:rsidR="00FC5571" w:rsidRPr="008D1F7C" w:rsidRDefault="00FC5571" w:rsidP="00AA1698">
      <w:pPr>
        <w:pStyle w:val="Bullet"/>
      </w:pPr>
      <w:r w:rsidRPr="008D1F7C">
        <w:t>Māori females – accounting for the largest numbe</w:t>
      </w:r>
      <w:r w:rsidR="00AF132A">
        <w:t>r of cases among females in 2018</w:t>
      </w:r>
    </w:p>
    <w:p w:rsidR="00FC5571" w:rsidRPr="008D1F7C" w:rsidRDefault="00FC5571" w:rsidP="00AA1698">
      <w:pPr>
        <w:pStyle w:val="Bullet"/>
      </w:pPr>
      <w:r w:rsidRPr="008D1F7C">
        <w:t>Asian and Māori males – accounting for a high proportion of cases relative to their population size</w:t>
      </w:r>
    </w:p>
    <w:p w:rsidR="00FC5571" w:rsidRPr="008D1F7C" w:rsidRDefault="00FC5571" w:rsidP="00AA1698">
      <w:pPr>
        <w:pStyle w:val="Bullet"/>
      </w:pPr>
      <w:r w:rsidRPr="008D1F7C">
        <w:t>pregnant women – who are a priority population for preventing congenital syphilis, with Māori pregnant women disproportionately impacted</w:t>
      </w:r>
    </w:p>
    <w:p w:rsidR="004B15E4" w:rsidRDefault="00FC5571" w:rsidP="00AA1698">
      <w:pPr>
        <w:pStyle w:val="Bullet"/>
      </w:pPr>
      <w:r w:rsidRPr="008D1F7C">
        <w:t>people who are incarcerated and those who are recently released from prison – based on anecdotal evidence from sexual health clinicians</w:t>
      </w:r>
    </w:p>
    <w:p w:rsidR="00FC5571" w:rsidRPr="008D1F7C" w:rsidRDefault="00FC5571" w:rsidP="00AA1698">
      <w:pPr>
        <w:pStyle w:val="Bullet"/>
      </w:pPr>
      <w:proofErr w:type="gramStart"/>
      <w:r w:rsidRPr="008D1F7C">
        <w:t>drug</w:t>
      </w:r>
      <w:proofErr w:type="gramEnd"/>
      <w:r w:rsidRPr="008D1F7C">
        <w:t xml:space="preserve"> users, particularly methamphetamine users – based on anecdotal evidence from sexual health clinicians.</w:t>
      </w:r>
    </w:p>
    <w:p w:rsidR="00AA1698" w:rsidRDefault="00AA1698" w:rsidP="00AA1698"/>
    <w:p w:rsidR="004B15E4" w:rsidRDefault="00FC5571" w:rsidP="00AA1698">
      <w:r w:rsidRPr="008D1F7C">
        <w:t xml:space="preserve">For further epidemiology, go to the ESR website: </w:t>
      </w:r>
      <w:hyperlink r:id="rId21" w:history="1">
        <w:r w:rsidRPr="00AA1698">
          <w:rPr>
            <w:rStyle w:val="Hyperlink"/>
          </w:rPr>
          <w:t>https://surv.esr.cri.nz/surveillance/annual_sti.php</w:t>
        </w:r>
      </w:hyperlink>
    </w:p>
    <w:p w:rsidR="00AA1698" w:rsidRDefault="00AA1698" w:rsidP="00AA1698"/>
    <w:p w:rsidR="00FC5571" w:rsidRPr="008D1F7C" w:rsidRDefault="00FC5571" w:rsidP="000D65BC">
      <w:r w:rsidRPr="008D1F7C">
        <w:t>Based on the priority populations we have identified above, the priority settings for providing health care to address the syphilis epidemic are:</w:t>
      </w:r>
    </w:p>
    <w:p w:rsidR="004B15E4" w:rsidRDefault="00FC5571" w:rsidP="000D65BC">
      <w:pPr>
        <w:pStyle w:val="Bullet"/>
      </w:pPr>
      <w:r w:rsidRPr="008D1F7C">
        <w:t>sexual health services</w:t>
      </w:r>
    </w:p>
    <w:p w:rsidR="00FC5571" w:rsidRPr="008D1F7C" w:rsidRDefault="00FC5571" w:rsidP="000D65BC">
      <w:pPr>
        <w:pStyle w:val="Bullet"/>
      </w:pPr>
      <w:r w:rsidRPr="008D1F7C">
        <w:t>non-governmental organisation providers of sexual and reproductive health services</w:t>
      </w:r>
    </w:p>
    <w:p w:rsidR="00FC5571" w:rsidRPr="008D1F7C" w:rsidRDefault="00FC5571" w:rsidP="00AA1698">
      <w:pPr>
        <w:pStyle w:val="Bullet"/>
      </w:pPr>
      <w:r w:rsidRPr="008D1F7C">
        <w:t>Māori health providers</w:t>
      </w:r>
    </w:p>
    <w:p w:rsidR="00FC5571" w:rsidRPr="008D1F7C" w:rsidRDefault="00FC5571" w:rsidP="00AA1698">
      <w:pPr>
        <w:pStyle w:val="Bullet"/>
      </w:pPr>
      <w:r w:rsidRPr="008D1F7C">
        <w:t>primary care</w:t>
      </w:r>
    </w:p>
    <w:p w:rsidR="004B15E4" w:rsidRDefault="00FC5571" w:rsidP="00AA1698">
      <w:pPr>
        <w:pStyle w:val="Bullet"/>
      </w:pPr>
      <w:r w:rsidRPr="008D1F7C">
        <w:t>maternity care</w:t>
      </w:r>
    </w:p>
    <w:p w:rsidR="00FC5571" w:rsidRPr="008D1F7C" w:rsidRDefault="00FC5571" w:rsidP="00AA1698">
      <w:pPr>
        <w:pStyle w:val="Bullet"/>
      </w:pPr>
      <w:r w:rsidRPr="008D1F7C">
        <w:t>prisons and probation programmes</w:t>
      </w:r>
    </w:p>
    <w:p w:rsidR="00FC5571" w:rsidRPr="008D1F7C" w:rsidRDefault="00FC5571" w:rsidP="00AA1698">
      <w:pPr>
        <w:pStyle w:val="Bullet"/>
      </w:pPr>
      <w:r w:rsidRPr="008D1F7C">
        <w:lastRenderedPageBreak/>
        <w:t>drug and alcohol services</w:t>
      </w:r>
    </w:p>
    <w:p w:rsidR="00FC5571" w:rsidRPr="008D1F7C" w:rsidRDefault="00FC5571" w:rsidP="00AA1698">
      <w:pPr>
        <w:pStyle w:val="Bullet"/>
      </w:pPr>
      <w:r w:rsidRPr="008D1F7C">
        <w:t>mental health services</w:t>
      </w:r>
    </w:p>
    <w:p w:rsidR="00FC5571" w:rsidRDefault="00FC5571" w:rsidP="00AA1698">
      <w:pPr>
        <w:pStyle w:val="Bullet"/>
      </w:pPr>
      <w:proofErr w:type="gramStart"/>
      <w:r w:rsidRPr="008D1F7C">
        <w:t>emergency</w:t>
      </w:r>
      <w:proofErr w:type="gramEnd"/>
      <w:r w:rsidRPr="008D1F7C">
        <w:t xml:space="preserve"> departments – which provide an opportunity to engage with those who don</w:t>
      </w:r>
      <w:r w:rsidR="004B15E4">
        <w:t>’</w:t>
      </w:r>
      <w:r w:rsidRPr="008D1F7C">
        <w:t>t access other health care services.</w:t>
      </w:r>
    </w:p>
    <w:p w:rsidR="00AA1698" w:rsidRPr="008D1F7C" w:rsidRDefault="00AA1698" w:rsidP="00AA1698"/>
    <w:p w:rsidR="00FC5571" w:rsidRPr="008D1F7C" w:rsidRDefault="00FC5571" w:rsidP="00AA1698">
      <w:pPr>
        <w:pStyle w:val="Heading2"/>
      </w:pPr>
      <w:bookmarkStart w:id="8" w:name="_Toc2923068"/>
      <w:bookmarkStart w:id="9" w:name="_Toc12347669"/>
      <w:r w:rsidRPr="008D1F7C">
        <w:t>Equity</w:t>
      </w:r>
      <w:bookmarkEnd w:id="8"/>
      <w:bookmarkEnd w:id="9"/>
    </w:p>
    <w:p w:rsidR="004B15E4" w:rsidRDefault="00FC5571" w:rsidP="00AA1698">
      <w:r>
        <w:t xml:space="preserve">The largest number of syphilis cases among women are in </w:t>
      </w:r>
      <w:r w:rsidRPr="008D1F7C">
        <w:t>Māori women</w:t>
      </w:r>
      <w:r>
        <w:t xml:space="preserve"> – these inequities are </w:t>
      </w:r>
      <w:r w:rsidRPr="008D1F7C">
        <w:t xml:space="preserve">unacceptable. The response to syphilis needs to be grounded in, and driven by, </w:t>
      </w:r>
      <w:proofErr w:type="spellStart"/>
      <w:r w:rsidRPr="008D1F7C">
        <w:t>Te</w:t>
      </w:r>
      <w:proofErr w:type="spellEnd"/>
      <w:r w:rsidRPr="008D1F7C">
        <w:t xml:space="preserve"> </w:t>
      </w:r>
      <w:proofErr w:type="spellStart"/>
      <w:r w:rsidRPr="008D1F7C">
        <w:t>Tiriti</w:t>
      </w:r>
      <w:proofErr w:type="spellEnd"/>
      <w:r w:rsidRPr="008D1F7C">
        <w:t xml:space="preserve"> o Waitangi (Treaty of Waitangi) principles with a key focus on decreasing inequities. As such, it is expected that the focus of all actions will include decreasing the impact of syphilis on Māori and improving equity.</w:t>
      </w:r>
    </w:p>
    <w:p w:rsidR="00AA1698" w:rsidRDefault="00AA1698" w:rsidP="00AA1698"/>
    <w:p w:rsidR="00FC5571" w:rsidRPr="008D1F7C" w:rsidRDefault="00FC5571" w:rsidP="00AA1698">
      <w:pPr>
        <w:pStyle w:val="Heading2"/>
      </w:pPr>
      <w:bookmarkStart w:id="10" w:name="_Toc2923069"/>
      <w:bookmarkStart w:id="11" w:name="_Toc12347670"/>
      <w:r w:rsidRPr="008D1F7C">
        <w:t>The big picture</w:t>
      </w:r>
      <w:bookmarkEnd w:id="10"/>
      <w:bookmarkEnd w:id="11"/>
    </w:p>
    <w:p w:rsidR="00FC5571" w:rsidRPr="008D1F7C" w:rsidRDefault="00FC5571" w:rsidP="00AA1698">
      <w:r w:rsidRPr="008D1F7C">
        <w:t xml:space="preserve">As well as an increase in syphilis, we are seeing an increase in other sexually transmitted infections (STIs) in New Zealand. Work to address syphilis fits within a broader context of decreasing the transmission of STIs generally and improving access to sexual and reproductive health </w:t>
      </w:r>
      <w:r>
        <w:t xml:space="preserve">services </w:t>
      </w:r>
      <w:r w:rsidRPr="008D1F7C">
        <w:t>in New Zealand, particularly for Māori. The Sustainability Development Goals set out this focus. Notably, one of the targets under Goal Three (good health and wellbeing) is:</w:t>
      </w:r>
    </w:p>
    <w:p w:rsidR="00FC5571" w:rsidRPr="008D1F7C" w:rsidRDefault="00FC5571" w:rsidP="00AA1698">
      <w:pPr>
        <w:pStyle w:val="Quote"/>
      </w:pPr>
      <w:r w:rsidRPr="008D1F7C">
        <w:t>By 2030, ensure universal access to sexual and reproductive health-care services, including for family planning, information and education, and the integration of reproductive health into national strategies and programmes.</w:t>
      </w:r>
    </w:p>
    <w:p w:rsidR="00AA1698" w:rsidRDefault="00AA1698" w:rsidP="00AA1698"/>
    <w:p w:rsidR="00FC5571" w:rsidRDefault="00FC5571" w:rsidP="00AA1698">
      <w:r w:rsidRPr="008D1F7C">
        <w:t xml:space="preserve">The Ministry of Health is currently finalising a </w:t>
      </w:r>
      <w:r w:rsidR="00B41605">
        <w:t>5</w:t>
      </w:r>
      <w:r w:rsidRPr="008D1F7C">
        <w:t>-year Sexual and Reproductive Health Action Plan. We envisage that this National Syphilis Action Plan (action plan) will align and link in with broader Sexual and Reproductive Health Action Plan to improve sexual and reproductive health in New Zealand.</w:t>
      </w:r>
    </w:p>
    <w:p w:rsidR="00AA1698" w:rsidRPr="008D1F7C" w:rsidRDefault="00AA1698" w:rsidP="00AA1698"/>
    <w:p w:rsidR="00FC5571" w:rsidRPr="008D1F7C" w:rsidRDefault="00FC5571" w:rsidP="00AA1698">
      <w:pPr>
        <w:pStyle w:val="Heading2"/>
      </w:pPr>
      <w:bookmarkStart w:id="12" w:name="_Toc2923070"/>
      <w:bookmarkStart w:id="13" w:name="_Toc12347671"/>
      <w:r w:rsidRPr="008D1F7C">
        <w:t>Aim and goals</w:t>
      </w:r>
      <w:bookmarkEnd w:id="12"/>
      <w:bookmarkEnd w:id="13"/>
    </w:p>
    <w:p w:rsidR="004B15E4" w:rsidRDefault="00FC5571" w:rsidP="00AA1698">
      <w:r w:rsidRPr="008D1F7C">
        <w:t>The aim of this action plan is to guide a coordinated and systematic response to interrupt ongoing transmission of infectious syphilis and to prevent congenital syphilis. Responding effectively to the syphilis epidemic requires taking the right balance of short- and long-term actions.</w:t>
      </w:r>
    </w:p>
    <w:p w:rsidR="00AA1698" w:rsidRDefault="00AA1698" w:rsidP="00AA1698"/>
    <w:p w:rsidR="00FC5571" w:rsidRPr="008D1F7C" w:rsidRDefault="00FC5571" w:rsidP="00AA1698">
      <w:r w:rsidRPr="008D1F7C">
        <w:t>Once the rates of syphilis start to decrease, we will need to review ongoing STI control actions and consider how to better identify and respond to outbreaks in the future.</w:t>
      </w:r>
    </w:p>
    <w:p w:rsidR="00AA1698" w:rsidRDefault="00AA1698" w:rsidP="00AA1698"/>
    <w:p w:rsidR="00FC5571" w:rsidRPr="008D1F7C" w:rsidRDefault="00FC5571" w:rsidP="000D65BC">
      <w:pPr>
        <w:keepNext/>
      </w:pPr>
      <w:r w:rsidRPr="008D1F7C">
        <w:lastRenderedPageBreak/>
        <w:t>In responding to the syphilis epidemic now, the overall goals are to:</w:t>
      </w:r>
    </w:p>
    <w:p w:rsidR="00FC5571" w:rsidRPr="008D1F7C" w:rsidRDefault="00FC5571" w:rsidP="00AA1698">
      <w:pPr>
        <w:pStyle w:val="Number"/>
      </w:pPr>
      <w:r w:rsidRPr="008D1F7C">
        <w:t>stop the increase in syphilis</w:t>
      </w:r>
    </w:p>
    <w:p w:rsidR="004B15E4" w:rsidRDefault="00FC5571" w:rsidP="00AA1698">
      <w:pPr>
        <w:pStyle w:val="Number"/>
      </w:pPr>
      <w:r w:rsidRPr="008D1F7C">
        <w:t>eliminate ethnic inequities in syphilis</w:t>
      </w:r>
    </w:p>
    <w:p w:rsidR="00FC5571" w:rsidRPr="008D1F7C" w:rsidRDefault="00FC5571" w:rsidP="00AA1698">
      <w:pPr>
        <w:pStyle w:val="Number"/>
      </w:pPr>
      <w:r w:rsidRPr="008D1F7C">
        <w:t>eliminate congenital syphilis</w:t>
      </w:r>
    </w:p>
    <w:p w:rsidR="00FC5571" w:rsidRPr="008D1F7C" w:rsidRDefault="00FC5571" w:rsidP="00AA1698">
      <w:pPr>
        <w:pStyle w:val="Number"/>
      </w:pPr>
      <w:r w:rsidRPr="008D1F7C">
        <w:t>reduce morbidity associated with syphilis by improving testing and treatment</w:t>
      </w:r>
    </w:p>
    <w:p w:rsidR="00FC5571" w:rsidRDefault="00FC5571" w:rsidP="00AA1698">
      <w:pPr>
        <w:pStyle w:val="Number"/>
      </w:pPr>
      <w:proofErr w:type="gramStart"/>
      <w:r w:rsidRPr="008D1F7C">
        <w:t>ensure</w:t>
      </w:r>
      <w:proofErr w:type="gramEnd"/>
      <w:r w:rsidRPr="008D1F7C">
        <w:t xml:space="preserve"> New Zealand has high-quality syphilis surveillance.</w:t>
      </w:r>
    </w:p>
    <w:p w:rsidR="00AA1698" w:rsidRPr="008D1F7C" w:rsidRDefault="00AA1698" w:rsidP="00AA1698"/>
    <w:p w:rsidR="00FC5571" w:rsidRPr="008D1F7C" w:rsidRDefault="00FC5571" w:rsidP="00AA1698">
      <w:pPr>
        <w:pStyle w:val="Heading2"/>
      </w:pPr>
      <w:bookmarkStart w:id="14" w:name="_Toc2923071"/>
      <w:bookmarkStart w:id="15" w:name="_Toc12347672"/>
      <w:r w:rsidRPr="008D1F7C">
        <w:t>National and region</w:t>
      </w:r>
      <w:r w:rsidR="008A764D">
        <w:t>al</w:t>
      </w:r>
      <w:r w:rsidRPr="008D1F7C">
        <w:t xml:space="preserve"> response needed</w:t>
      </w:r>
      <w:bookmarkEnd w:id="14"/>
      <w:bookmarkEnd w:id="15"/>
    </w:p>
    <w:p w:rsidR="004B15E4" w:rsidRDefault="00FC5571" w:rsidP="00AA1698">
      <w:r w:rsidRPr="008D1F7C">
        <w:t xml:space="preserve">Effectively responding to the syphilis epidemic requires a combination of national and regional actions. </w:t>
      </w:r>
      <w:r>
        <w:t>I</w:t>
      </w:r>
      <w:r w:rsidRPr="008D1F7C">
        <w:t>t is important that work is undertaken at a regional level in partnership with communities</w:t>
      </w:r>
      <w:r>
        <w:t xml:space="preserve"> t</w:t>
      </w:r>
      <w:r w:rsidRPr="008D1F7C">
        <w:t>o increase testing and management. With this approach, the solutions developed will be appropriate for the populations within each region.</w:t>
      </w:r>
    </w:p>
    <w:p w:rsidR="00AA1698" w:rsidRDefault="00AA1698" w:rsidP="00AA1698"/>
    <w:p w:rsidR="004B15E4" w:rsidRDefault="00FC5571" w:rsidP="00AA1698">
      <w:r w:rsidRPr="008D1F7C">
        <w:t>The Ministry of Health, along with other national organisations, will lead national actions</w:t>
      </w:r>
      <w:r>
        <w:t>.</w:t>
      </w:r>
      <w:r w:rsidR="004B15E4">
        <w:t xml:space="preserve"> </w:t>
      </w:r>
      <w:r>
        <w:t>D</w:t>
      </w:r>
      <w:r w:rsidRPr="008D1F7C">
        <w:t xml:space="preserve">istrict health boards, public health units and specialist sexual health services </w:t>
      </w:r>
      <w:r>
        <w:t xml:space="preserve">are expected to </w:t>
      </w:r>
      <w:r w:rsidRPr="008D1F7C">
        <w:t>work collaboratively with other key stakeholders in their regions to ensure a regional response meets the specific needs of their communities. With this in mind, DHBs will have to develop and deliver local responses using existing contracts or through reprioritising DHB funding.</w:t>
      </w:r>
    </w:p>
    <w:p w:rsidR="00AA1698" w:rsidRDefault="00AA1698" w:rsidP="00AA1698"/>
    <w:p w:rsidR="00FC5571" w:rsidRPr="008D1F7C" w:rsidRDefault="00FC5571" w:rsidP="00AA1698">
      <w:pPr>
        <w:pStyle w:val="Heading1"/>
      </w:pPr>
      <w:bookmarkStart w:id="16" w:name="_Toc2923072"/>
      <w:bookmarkStart w:id="17" w:name="_Toc12347673"/>
      <w:r w:rsidRPr="008D1F7C">
        <w:lastRenderedPageBreak/>
        <w:t>Action areas</w:t>
      </w:r>
      <w:bookmarkEnd w:id="16"/>
      <w:bookmarkEnd w:id="17"/>
    </w:p>
    <w:p w:rsidR="004B15E4" w:rsidRDefault="00FC5571" w:rsidP="00AA1698">
      <w:r w:rsidRPr="008D1F7C">
        <w:t>Priority actions have been identified under four key action areas, with the aim of covering the full spectrum of syphilis prevention and care:</w:t>
      </w:r>
    </w:p>
    <w:p w:rsidR="00FC5571" w:rsidRPr="008D1F7C" w:rsidRDefault="00FC5571" w:rsidP="009101B9">
      <w:pPr>
        <w:pStyle w:val="Number"/>
        <w:numPr>
          <w:ilvl w:val="3"/>
          <w:numId w:val="6"/>
        </w:numPr>
      </w:pPr>
      <w:r w:rsidRPr="008D1F7C">
        <w:t>prevention and health promotion</w:t>
      </w:r>
    </w:p>
    <w:p w:rsidR="00FC5571" w:rsidRPr="008D1F7C" w:rsidRDefault="00FC5571" w:rsidP="009101B9">
      <w:pPr>
        <w:pStyle w:val="Number"/>
        <w:numPr>
          <w:ilvl w:val="3"/>
          <w:numId w:val="6"/>
        </w:numPr>
      </w:pPr>
      <w:r w:rsidRPr="008D1F7C">
        <w:t>testing and management</w:t>
      </w:r>
    </w:p>
    <w:p w:rsidR="00FC5571" w:rsidRPr="008D1F7C" w:rsidRDefault="00FC5571" w:rsidP="009101B9">
      <w:pPr>
        <w:pStyle w:val="Number"/>
        <w:numPr>
          <w:ilvl w:val="3"/>
          <w:numId w:val="6"/>
        </w:numPr>
      </w:pPr>
      <w:r w:rsidRPr="008D1F7C">
        <w:t>antenatal care</w:t>
      </w:r>
    </w:p>
    <w:p w:rsidR="00FC5571" w:rsidRPr="008D1F7C" w:rsidRDefault="00FC5571" w:rsidP="009101B9">
      <w:pPr>
        <w:pStyle w:val="Number"/>
        <w:numPr>
          <w:ilvl w:val="3"/>
          <w:numId w:val="6"/>
        </w:numPr>
      </w:pPr>
      <w:proofErr w:type="gramStart"/>
      <w:r w:rsidRPr="008D1F7C">
        <w:t>surveillance</w:t>
      </w:r>
      <w:proofErr w:type="gramEnd"/>
      <w:r w:rsidRPr="008D1F7C">
        <w:t xml:space="preserve"> and monitoring.</w:t>
      </w:r>
    </w:p>
    <w:p w:rsidR="00AA1698" w:rsidRDefault="00AA1698" w:rsidP="00AA1698"/>
    <w:p w:rsidR="004B15E4" w:rsidRDefault="00FC5571" w:rsidP="00AA1698">
      <w:r w:rsidRPr="008D1F7C">
        <w:t>Each action falls into one of the following timeframes, starting from March 2019:</w:t>
      </w:r>
    </w:p>
    <w:p w:rsidR="00FC5571" w:rsidRPr="008D1F7C" w:rsidRDefault="00FC5571" w:rsidP="00AA1698">
      <w:pPr>
        <w:pStyle w:val="Bullet"/>
      </w:pPr>
      <w:r w:rsidRPr="008D1F7C">
        <w:t>short term: immediate actions to complete by mid 2019</w:t>
      </w:r>
    </w:p>
    <w:p w:rsidR="004B15E4" w:rsidRDefault="00FC5571" w:rsidP="00AA1698">
      <w:pPr>
        <w:pStyle w:val="Bullet"/>
      </w:pPr>
      <w:r w:rsidRPr="008D1F7C">
        <w:t>medium term: actions to complete within one to two years</w:t>
      </w:r>
    </w:p>
    <w:p w:rsidR="00FC5571" w:rsidRPr="008D1F7C" w:rsidRDefault="00FC5571" w:rsidP="00AA1698">
      <w:pPr>
        <w:pStyle w:val="Bullet"/>
      </w:pPr>
      <w:proofErr w:type="gramStart"/>
      <w:r w:rsidRPr="008D1F7C">
        <w:t>long</w:t>
      </w:r>
      <w:proofErr w:type="gramEnd"/>
      <w:r w:rsidRPr="008D1F7C">
        <w:t xml:space="preserve"> term: actions to complete within three to five years.</w:t>
      </w:r>
    </w:p>
    <w:p w:rsidR="00AA1698" w:rsidRDefault="00AA1698" w:rsidP="00AA1698"/>
    <w:p w:rsidR="004B15E4" w:rsidRDefault="00FC5571" w:rsidP="00AA1698">
      <w:r w:rsidRPr="008D1F7C">
        <w:t>This action plan identifies lead agencies for the national actions. The lead agency is responsible for leading the action and engaging with other agencies for input as required. We expect that DHBs will develop regional actions collaboratively and prioritise them to meet the needs of each region.</w:t>
      </w:r>
    </w:p>
    <w:p w:rsidR="00AA1698" w:rsidRDefault="00AA1698" w:rsidP="00AA1698"/>
    <w:p w:rsidR="004B15E4" w:rsidRDefault="00FC5571" w:rsidP="00AA1698">
      <w:r>
        <w:t>The plan will be reviewed annually to ensure actions are being delivered.</w:t>
      </w:r>
    </w:p>
    <w:p w:rsidR="00AA1698" w:rsidRDefault="00AA1698" w:rsidP="00AA1698"/>
    <w:p w:rsidR="00FC5571" w:rsidRPr="008D1F7C" w:rsidRDefault="00FC5571" w:rsidP="00AA1698">
      <w:pPr>
        <w:pStyle w:val="Heading2"/>
      </w:pPr>
      <w:bookmarkStart w:id="18" w:name="_Toc2923073"/>
      <w:bookmarkStart w:id="19" w:name="_Toc12347674"/>
      <w:r w:rsidRPr="008D1F7C">
        <w:t>Action area 1: Primary prevention and health promotion</w:t>
      </w:r>
      <w:bookmarkEnd w:id="18"/>
      <w:bookmarkEnd w:id="19"/>
    </w:p>
    <w:p w:rsidR="004B15E4" w:rsidRDefault="00FC5571" w:rsidP="00AA1698">
      <w:r w:rsidRPr="008D1F7C">
        <w:t>Strengthening primary prevention by promoting a safe sex culture is a vital component of sustainably addressing the increase in syphilis cases. This includes improving knowledge and awareness of syphilis, promoting condom use and promoting regular testing for STIs.</w:t>
      </w:r>
    </w:p>
    <w:p w:rsidR="00AA1698" w:rsidRDefault="00AA1698" w:rsidP="00AA1698"/>
    <w:p w:rsidR="00FC5571" w:rsidRDefault="00FC5571" w:rsidP="00AA1698">
      <w:r>
        <w:t>To date, prevention strategies have focussed on MSM.</w:t>
      </w:r>
      <w:r w:rsidR="004B15E4">
        <w:t xml:space="preserve"> </w:t>
      </w:r>
      <w:r w:rsidRPr="008D1F7C">
        <w:t xml:space="preserve">Given the current increase in syphilis and cases of congenital syphilis, </w:t>
      </w:r>
      <w:r>
        <w:t>these strategies</w:t>
      </w:r>
      <w:r w:rsidRPr="008D1F7C">
        <w:t xml:space="preserve"> must include increasing awareness of syphilis among women of childbearing age, with a focus on Māori women.</w:t>
      </w:r>
    </w:p>
    <w:p w:rsidR="00AA1698" w:rsidRPr="008D1F7C" w:rsidRDefault="00AA1698" w:rsidP="00AD12DD"/>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03"/>
        <w:gridCol w:w="1418"/>
        <w:gridCol w:w="1559"/>
      </w:tblGrid>
      <w:tr w:rsidR="00FC5571" w:rsidRPr="00AD12DD" w:rsidTr="00AD12DD">
        <w:trPr>
          <w:cantSplit/>
        </w:trPr>
        <w:tc>
          <w:tcPr>
            <w:tcW w:w="8080" w:type="dxa"/>
            <w:gridSpan w:val="3"/>
            <w:tcBorders>
              <w:top w:val="nil"/>
              <w:left w:val="nil"/>
              <w:bottom w:val="nil"/>
              <w:right w:val="nil"/>
            </w:tcBorders>
            <w:shd w:val="clear" w:color="auto" w:fill="D9D9D9" w:themeFill="background1" w:themeFillShade="D9"/>
          </w:tcPr>
          <w:p w:rsidR="00FC5571" w:rsidRPr="00AD12DD" w:rsidRDefault="00FC5571" w:rsidP="00AD12DD">
            <w:pPr>
              <w:pStyle w:val="TableText"/>
              <w:keepNext/>
              <w:rPr>
                <w:b/>
              </w:rPr>
            </w:pPr>
            <w:r w:rsidRPr="00AD12DD">
              <w:rPr>
                <w:b/>
              </w:rPr>
              <w:lastRenderedPageBreak/>
              <w:t>Increasing public awareness</w:t>
            </w:r>
          </w:p>
        </w:tc>
      </w:tr>
      <w:tr w:rsidR="00AA1698" w:rsidRPr="00AD12DD" w:rsidTr="00AD12DD">
        <w:trPr>
          <w:cantSplit/>
        </w:trPr>
        <w:tc>
          <w:tcPr>
            <w:tcW w:w="5103" w:type="dxa"/>
            <w:tcBorders>
              <w:top w:val="nil"/>
              <w:left w:val="nil"/>
              <w:bottom w:val="nil"/>
              <w:right w:val="nil"/>
            </w:tcBorders>
            <w:shd w:val="clear" w:color="auto" w:fill="F2F2F2" w:themeFill="background1" w:themeFillShade="F2"/>
          </w:tcPr>
          <w:p w:rsidR="00FC5571" w:rsidRPr="00AD12DD" w:rsidRDefault="00FC5571" w:rsidP="00AD12DD">
            <w:pPr>
              <w:pStyle w:val="TableText"/>
              <w:keepNext/>
              <w:ind w:right="113"/>
              <w:rPr>
                <w:b/>
              </w:rPr>
            </w:pPr>
            <w:r w:rsidRPr="00AD12DD">
              <w:rPr>
                <w:b/>
              </w:rPr>
              <w:t>National actions</w:t>
            </w:r>
          </w:p>
        </w:tc>
        <w:tc>
          <w:tcPr>
            <w:tcW w:w="1418" w:type="dxa"/>
            <w:tcBorders>
              <w:top w:val="nil"/>
              <w:left w:val="nil"/>
              <w:bottom w:val="nil"/>
              <w:right w:val="nil"/>
            </w:tcBorders>
            <w:shd w:val="clear" w:color="auto" w:fill="F2F2F2" w:themeFill="background1" w:themeFillShade="F2"/>
          </w:tcPr>
          <w:p w:rsidR="00FC5571" w:rsidRPr="00AD12DD" w:rsidRDefault="00FC5571" w:rsidP="00AD12DD">
            <w:pPr>
              <w:pStyle w:val="TableText"/>
              <w:keepNext/>
              <w:rPr>
                <w:b/>
              </w:rPr>
            </w:pPr>
            <w:r w:rsidRPr="00AD12DD">
              <w:rPr>
                <w:b/>
              </w:rPr>
              <w:t>Timeline</w:t>
            </w:r>
          </w:p>
        </w:tc>
        <w:tc>
          <w:tcPr>
            <w:tcW w:w="1559" w:type="dxa"/>
            <w:tcBorders>
              <w:top w:val="nil"/>
              <w:left w:val="nil"/>
              <w:bottom w:val="nil"/>
              <w:right w:val="nil"/>
            </w:tcBorders>
            <w:shd w:val="clear" w:color="auto" w:fill="F2F2F2" w:themeFill="background1" w:themeFillShade="F2"/>
          </w:tcPr>
          <w:p w:rsidR="00FC5571" w:rsidRPr="00AD12DD" w:rsidRDefault="00FC5571" w:rsidP="00AD12DD">
            <w:pPr>
              <w:pStyle w:val="TableText"/>
              <w:keepNext/>
              <w:rPr>
                <w:b/>
              </w:rPr>
            </w:pPr>
            <w:r w:rsidRPr="00AD12DD">
              <w:rPr>
                <w:b/>
              </w:rPr>
              <w:t>Lead</w:t>
            </w:r>
          </w:p>
        </w:tc>
      </w:tr>
      <w:tr w:rsidR="00FC5571" w:rsidRPr="008D1F7C" w:rsidTr="00AD12DD">
        <w:trPr>
          <w:cantSplit/>
        </w:trPr>
        <w:tc>
          <w:tcPr>
            <w:tcW w:w="5103" w:type="dxa"/>
            <w:tcBorders>
              <w:top w:val="nil"/>
              <w:left w:val="nil"/>
              <w:bottom w:val="single" w:sz="4" w:space="0" w:color="A6A6A6" w:themeColor="background1" w:themeShade="A6"/>
              <w:right w:val="nil"/>
            </w:tcBorders>
            <w:shd w:val="clear" w:color="auto" w:fill="auto"/>
          </w:tcPr>
          <w:p w:rsidR="00FC5571" w:rsidRPr="00AD12DD" w:rsidRDefault="00FC5571" w:rsidP="00AD12DD">
            <w:pPr>
              <w:pStyle w:val="TableText"/>
              <w:ind w:right="113"/>
            </w:pPr>
            <w:r w:rsidRPr="00AD12DD">
              <w:t>Identify options and channels for national social marketing campaign to promote condom use</w:t>
            </w:r>
            <w:r w:rsidRPr="00AD12DD">
              <w:rPr>
                <w:rStyle w:val="FootnoteReference"/>
              </w:rPr>
              <w:footnoteReference w:id="2"/>
            </w:r>
            <w:r w:rsidRPr="00AD12DD">
              <w:t xml:space="preserve"> and regular STI testing among priority populations.</w:t>
            </w:r>
          </w:p>
        </w:tc>
        <w:tc>
          <w:tcPr>
            <w:tcW w:w="1418" w:type="dxa"/>
            <w:tcBorders>
              <w:top w:val="nil"/>
              <w:left w:val="nil"/>
              <w:bottom w:val="single" w:sz="4" w:space="0" w:color="A6A6A6" w:themeColor="background1" w:themeShade="A6"/>
              <w:right w:val="nil"/>
            </w:tcBorders>
            <w:shd w:val="clear" w:color="auto" w:fill="auto"/>
          </w:tcPr>
          <w:p w:rsidR="00FC5571" w:rsidRPr="008D1F7C" w:rsidRDefault="00FC5571" w:rsidP="00AA1698">
            <w:pPr>
              <w:pStyle w:val="TableText"/>
            </w:pPr>
            <w:r w:rsidRPr="008D1F7C">
              <w:t>Medium term</w:t>
            </w:r>
          </w:p>
        </w:tc>
        <w:tc>
          <w:tcPr>
            <w:tcW w:w="1559" w:type="dxa"/>
            <w:tcBorders>
              <w:top w:val="nil"/>
              <w:left w:val="nil"/>
              <w:bottom w:val="single" w:sz="4" w:space="0" w:color="A6A6A6" w:themeColor="background1" w:themeShade="A6"/>
              <w:right w:val="nil"/>
            </w:tcBorders>
            <w:shd w:val="clear" w:color="auto" w:fill="auto"/>
          </w:tcPr>
          <w:p w:rsidR="00FC5571" w:rsidRPr="008D1F7C" w:rsidRDefault="00FC5571" w:rsidP="00AA1698">
            <w:pPr>
              <w:pStyle w:val="TableText"/>
            </w:pPr>
            <w:r w:rsidRPr="008D1F7C">
              <w:t>Ministry of Health</w:t>
            </w:r>
          </w:p>
        </w:tc>
      </w:tr>
      <w:tr w:rsidR="00FC5571" w:rsidRPr="008D1F7C" w:rsidTr="00AD12DD">
        <w:trPr>
          <w:cantSplit/>
        </w:trPr>
        <w:tc>
          <w:tcPr>
            <w:tcW w:w="5103"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AD12DD" w:rsidRDefault="00FC5571" w:rsidP="00AD12DD">
            <w:pPr>
              <w:pStyle w:val="TableText"/>
              <w:ind w:right="113"/>
            </w:pPr>
            <w:r w:rsidRPr="00AD12DD">
              <w:t>Promote condom use and regular STI testing among MSM.</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AA1698">
            <w:pPr>
              <w:pStyle w:val="TableText"/>
            </w:pPr>
            <w:r w:rsidRPr="008D1F7C">
              <w:t>Ongoing</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AA1698">
            <w:pPr>
              <w:pStyle w:val="TableText"/>
            </w:pPr>
            <w:r w:rsidRPr="008D1F7C">
              <w:t>New Zealand AIDS Foundation (NZAF)</w:t>
            </w:r>
          </w:p>
        </w:tc>
      </w:tr>
      <w:tr w:rsidR="00FC5571" w:rsidRPr="008D1F7C" w:rsidTr="00AD12DD">
        <w:trPr>
          <w:cantSplit/>
        </w:trPr>
        <w:tc>
          <w:tcPr>
            <w:tcW w:w="5103"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AD12DD" w:rsidRDefault="00FC5571" w:rsidP="00AD12DD">
            <w:pPr>
              <w:pStyle w:val="TableText"/>
              <w:ind w:right="113"/>
            </w:pPr>
            <w:r w:rsidRPr="00AD12DD">
              <w:t>Promote STI screening for people who are on pre-exposure prophylaxis (</w:t>
            </w:r>
            <w:proofErr w:type="spellStart"/>
            <w:r w:rsidRPr="00AD12DD">
              <w:t>PrEP</w:t>
            </w:r>
            <w:proofErr w:type="spellEnd"/>
            <w:r w:rsidRPr="00AD12DD">
              <w:t>).</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AA1698">
            <w:pPr>
              <w:pStyle w:val="TableText"/>
            </w:pPr>
            <w:r w:rsidRPr="008D1F7C">
              <w:t>Ongoing</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AA1698">
            <w:pPr>
              <w:pStyle w:val="TableText"/>
            </w:pPr>
            <w:r w:rsidRPr="008D1F7C">
              <w:t>NZAF</w:t>
            </w:r>
          </w:p>
        </w:tc>
      </w:tr>
      <w:tr w:rsidR="00FC5571" w:rsidRPr="008D1F7C" w:rsidTr="00AD12DD">
        <w:trPr>
          <w:cantSplit/>
        </w:trPr>
        <w:tc>
          <w:tcPr>
            <w:tcW w:w="5103"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AD12DD" w:rsidRDefault="00FC5571" w:rsidP="00AD12DD">
            <w:pPr>
              <w:pStyle w:val="TableText"/>
              <w:ind w:right="113"/>
            </w:pPr>
            <w:r w:rsidRPr="00AD12DD">
              <w:t>Promote STI testing through dating and hook-up apps used by MSM and explore other options for engaging with apps for health promotion.</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AA1698">
            <w:pPr>
              <w:pStyle w:val="TableText"/>
            </w:pPr>
            <w:r w:rsidRPr="008D1F7C">
              <w:t>Ongoing</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AA1698">
            <w:pPr>
              <w:pStyle w:val="TableText"/>
            </w:pPr>
            <w:r w:rsidRPr="008D1F7C">
              <w:t>Body Positive and Ministry of Health</w:t>
            </w:r>
          </w:p>
        </w:tc>
      </w:tr>
      <w:tr w:rsidR="00FC5571" w:rsidRPr="008D1F7C" w:rsidTr="00AD12DD">
        <w:trPr>
          <w:cantSplit/>
        </w:trPr>
        <w:tc>
          <w:tcPr>
            <w:tcW w:w="5103"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AD12DD" w:rsidRDefault="00FC5571" w:rsidP="00AD12DD">
            <w:pPr>
              <w:pStyle w:val="TableText"/>
              <w:ind w:right="113"/>
            </w:pPr>
            <w:r w:rsidRPr="00AD12DD">
              <w:t>Work with Ministry of Education to ensure high-quality sexuality education in schools, linking in with the Sexual and Reproductive Health Action Plan.</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AA1698">
            <w:pPr>
              <w:pStyle w:val="TableText"/>
            </w:pPr>
            <w:r w:rsidRPr="008D1F7C">
              <w:t>Long term</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AD12DD">
            <w:pPr>
              <w:pStyle w:val="TableText"/>
            </w:pPr>
            <w:r w:rsidRPr="008D1F7C">
              <w:t>Ministry of Health</w:t>
            </w:r>
          </w:p>
        </w:tc>
      </w:tr>
      <w:tr w:rsidR="00FC5571" w:rsidRPr="008D1F7C" w:rsidTr="00AD12DD">
        <w:trPr>
          <w:cantSplit/>
        </w:trPr>
        <w:tc>
          <w:tcPr>
            <w:tcW w:w="5103" w:type="dxa"/>
            <w:tcBorders>
              <w:top w:val="single" w:sz="4" w:space="0" w:color="A6A6A6" w:themeColor="background1" w:themeShade="A6"/>
              <w:left w:val="nil"/>
              <w:bottom w:val="nil"/>
              <w:right w:val="nil"/>
            </w:tcBorders>
            <w:shd w:val="clear" w:color="auto" w:fill="auto"/>
          </w:tcPr>
          <w:p w:rsidR="00FC5571" w:rsidRPr="00AD12DD" w:rsidRDefault="00AF132A" w:rsidP="00AD12DD">
            <w:pPr>
              <w:pStyle w:val="TableText"/>
              <w:ind w:right="113"/>
            </w:pPr>
            <w:r w:rsidRPr="00AF132A">
              <w:t>Regularly review surveillance data to ensure that awareness raising activities are targeted appropriately.</w:t>
            </w:r>
          </w:p>
        </w:tc>
        <w:tc>
          <w:tcPr>
            <w:tcW w:w="1418" w:type="dxa"/>
            <w:tcBorders>
              <w:top w:val="single" w:sz="4" w:space="0" w:color="A6A6A6" w:themeColor="background1" w:themeShade="A6"/>
              <w:left w:val="nil"/>
              <w:bottom w:val="nil"/>
              <w:right w:val="nil"/>
            </w:tcBorders>
            <w:shd w:val="clear" w:color="auto" w:fill="auto"/>
          </w:tcPr>
          <w:p w:rsidR="00FC5571" w:rsidRPr="008D1F7C" w:rsidRDefault="00FC5571" w:rsidP="00AA1698">
            <w:pPr>
              <w:pStyle w:val="TableText"/>
            </w:pPr>
            <w:r w:rsidRPr="008D1F7C">
              <w:t>Medium term</w:t>
            </w:r>
          </w:p>
        </w:tc>
        <w:tc>
          <w:tcPr>
            <w:tcW w:w="1559" w:type="dxa"/>
            <w:tcBorders>
              <w:top w:val="single" w:sz="4" w:space="0" w:color="A6A6A6" w:themeColor="background1" w:themeShade="A6"/>
              <w:left w:val="nil"/>
              <w:bottom w:val="nil"/>
              <w:right w:val="nil"/>
            </w:tcBorders>
            <w:shd w:val="clear" w:color="auto" w:fill="auto"/>
          </w:tcPr>
          <w:p w:rsidR="00FC5571" w:rsidRPr="008D1F7C" w:rsidRDefault="00FC5571" w:rsidP="00AA1698">
            <w:pPr>
              <w:pStyle w:val="TableText"/>
            </w:pPr>
            <w:r w:rsidRPr="008D1F7C">
              <w:t>Ministry of Health</w:t>
            </w:r>
          </w:p>
        </w:tc>
      </w:tr>
      <w:tr w:rsidR="00AA1698" w:rsidRPr="00AD12DD" w:rsidTr="00AD12DD">
        <w:trPr>
          <w:cantSplit/>
        </w:trPr>
        <w:tc>
          <w:tcPr>
            <w:tcW w:w="5103" w:type="dxa"/>
            <w:tcBorders>
              <w:top w:val="nil"/>
              <w:left w:val="nil"/>
              <w:bottom w:val="nil"/>
              <w:right w:val="nil"/>
            </w:tcBorders>
            <w:shd w:val="clear" w:color="auto" w:fill="F2F2F2" w:themeFill="background1" w:themeFillShade="F2"/>
          </w:tcPr>
          <w:p w:rsidR="00FC5571" w:rsidRPr="00AD12DD" w:rsidRDefault="00AD12DD" w:rsidP="00AD12DD">
            <w:pPr>
              <w:pStyle w:val="TableText"/>
              <w:ind w:right="113"/>
              <w:rPr>
                <w:b/>
              </w:rPr>
            </w:pPr>
            <w:r w:rsidRPr="00AD12DD">
              <w:rPr>
                <w:b/>
              </w:rPr>
              <w:t>Regional actions</w:t>
            </w:r>
          </w:p>
        </w:tc>
        <w:tc>
          <w:tcPr>
            <w:tcW w:w="1418" w:type="dxa"/>
            <w:tcBorders>
              <w:top w:val="nil"/>
              <w:left w:val="nil"/>
              <w:bottom w:val="nil"/>
              <w:right w:val="nil"/>
            </w:tcBorders>
            <w:shd w:val="clear" w:color="auto" w:fill="F2F2F2" w:themeFill="background1" w:themeFillShade="F2"/>
          </w:tcPr>
          <w:p w:rsidR="00FC5571" w:rsidRPr="00AD12DD" w:rsidRDefault="00AD12DD" w:rsidP="00AA1698">
            <w:pPr>
              <w:pStyle w:val="TableText"/>
              <w:rPr>
                <w:b/>
              </w:rPr>
            </w:pPr>
            <w:r>
              <w:rPr>
                <w:b/>
              </w:rPr>
              <w:t>Timeline</w:t>
            </w:r>
          </w:p>
        </w:tc>
        <w:tc>
          <w:tcPr>
            <w:tcW w:w="1559" w:type="dxa"/>
            <w:tcBorders>
              <w:top w:val="nil"/>
              <w:left w:val="nil"/>
              <w:bottom w:val="nil"/>
              <w:right w:val="nil"/>
            </w:tcBorders>
            <w:shd w:val="clear" w:color="auto" w:fill="F2F2F2" w:themeFill="background1" w:themeFillShade="F2"/>
          </w:tcPr>
          <w:p w:rsidR="00FC5571" w:rsidRPr="00AD12DD" w:rsidRDefault="00AD12DD" w:rsidP="00AA1698">
            <w:pPr>
              <w:pStyle w:val="TableText"/>
              <w:rPr>
                <w:b/>
              </w:rPr>
            </w:pPr>
            <w:r>
              <w:rPr>
                <w:b/>
              </w:rPr>
              <w:t>Lead</w:t>
            </w:r>
          </w:p>
        </w:tc>
      </w:tr>
      <w:tr w:rsidR="00FC5571" w:rsidRPr="008D1F7C" w:rsidTr="00AD12DD">
        <w:trPr>
          <w:cantSplit/>
        </w:trPr>
        <w:tc>
          <w:tcPr>
            <w:tcW w:w="5103" w:type="dxa"/>
            <w:tcBorders>
              <w:top w:val="nil"/>
              <w:left w:val="nil"/>
              <w:bottom w:val="single" w:sz="4" w:space="0" w:color="A6A6A6" w:themeColor="background1" w:themeShade="A6"/>
              <w:right w:val="nil"/>
            </w:tcBorders>
            <w:shd w:val="clear" w:color="auto" w:fill="auto"/>
          </w:tcPr>
          <w:p w:rsidR="00FC5571" w:rsidRPr="00AD12DD" w:rsidRDefault="00FC5571" w:rsidP="00AD12DD">
            <w:pPr>
              <w:pStyle w:val="TableText"/>
              <w:ind w:right="113"/>
            </w:pPr>
            <w:r w:rsidRPr="00AD12DD">
              <w:t>Work locally with communities to increase awareness of STIs among high-risk groups and increase awareness of where to access condoms freely or on prescription, consideri</w:t>
            </w:r>
            <w:r w:rsidR="00AD12DD">
              <w:t>ng impact of actions on equity.</w:t>
            </w:r>
          </w:p>
        </w:tc>
        <w:tc>
          <w:tcPr>
            <w:tcW w:w="1418" w:type="dxa"/>
            <w:tcBorders>
              <w:top w:val="nil"/>
              <w:left w:val="nil"/>
              <w:bottom w:val="single" w:sz="4" w:space="0" w:color="A6A6A6" w:themeColor="background1" w:themeShade="A6"/>
              <w:right w:val="nil"/>
            </w:tcBorders>
            <w:shd w:val="clear" w:color="auto" w:fill="auto"/>
          </w:tcPr>
          <w:p w:rsidR="00FC5571" w:rsidRPr="008D1F7C" w:rsidRDefault="00FC5571" w:rsidP="00AA1698">
            <w:pPr>
              <w:pStyle w:val="TableText"/>
            </w:pPr>
            <w:r w:rsidRPr="008D1F7C">
              <w:t>Medium term</w:t>
            </w:r>
          </w:p>
        </w:tc>
        <w:tc>
          <w:tcPr>
            <w:tcW w:w="1559" w:type="dxa"/>
            <w:tcBorders>
              <w:top w:val="nil"/>
              <w:left w:val="nil"/>
              <w:bottom w:val="single" w:sz="4" w:space="0" w:color="A6A6A6" w:themeColor="background1" w:themeShade="A6"/>
              <w:right w:val="nil"/>
            </w:tcBorders>
            <w:shd w:val="clear" w:color="auto" w:fill="auto"/>
          </w:tcPr>
          <w:p w:rsidR="00FC5571" w:rsidRPr="008D1F7C" w:rsidRDefault="00FC5571" w:rsidP="00AA1698">
            <w:pPr>
              <w:pStyle w:val="TableText"/>
            </w:pPr>
            <w:r>
              <w:t>District Health Boards</w:t>
            </w:r>
          </w:p>
        </w:tc>
      </w:tr>
      <w:tr w:rsidR="00FC5571" w:rsidRPr="008D1F7C" w:rsidTr="00AD12DD">
        <w:trPr>
          <w:cantSplit/>
        </w:trPr>
        <w:tc>
          <w:tcPr>
            <w:tcW w:w="5103"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AD12DD" w:rsidRDefault="00FC5571" w:rsidP="00AD12DD">
            <w:pPr>
              <w:pStyle w:val="TableText"/>
              <w:ind w:right="113"/>
            </w:pPr>
            <w:r w:rsidRPr="00AD12DD">
              <w:t>Create safe-sex supporting environments by ensuring condoms are ava</w:t>
            </w:r>
            <w:r w:rsidR="00AD12DD">
              <w:t>ilable in sex-on-site premises.</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AF132A" w:rsidP="00AA1698">
            <w:pPr>
              <w:pStyle w:val="TableText"/>
            </w:pPr>
            <w:r>
              <w:t>Ongoing</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AD12DD" w:rsidP="00AA1698">
            <w:pPr>
              <w:pStyle w:val="TableText"/>
            </w:pPr>
            <w:r>
              <w:t>District Health Boards</w:t>
            </w:r>
          </w:p>
        </w:tc>
      </w:tr>
    </w:tbl>
    <w:p w:rsidR="00AD12DD" w:rsidRDefault="00AD12DD" w:rsidP="00AD12DD">
      <w:bookmarkStart w:id="20" w:name="_Toc2923074"/>
    </w:p>
    <w:p w:rsidR="00FC5571" w:rsidRPr="008D1F7C" w:rsidRDefault="00FC5571" w:rsidP="00AD12DD">
      <w:pPr>
        <w:pStyle w:val="Heading2"/>
      </w:pPr>
      <w:bookmarkStart w:id="21" w:name="_Toc12347675"/>
      <w:r w:rsidRPr="008D1F7C">
        <w:t>Action area 2:</w:t>
      </w:r>
      <w:r w:rsidR="00AD12DD">
        <w:t xml:space="preserve"> </w:t>
      </w:r>
      <w:r w:rsidRPr="008D1F7C">
        <w:t>Testing and management</w:t>
      </w:r>
      <w:bookmarkEnd w:id="20"/>
      <w:bookmarkEnd w:id="21"/>
    </w:p>
    <w:p w:rsidR="004B15E4" w:rsidRDefault="00FC5571" w:rsidP="00AD12DD">
      <w:r w:rsidRPr="008D1F7C">
        <w:t>Increasing testing coverage is crucial to interrupt the spread of syphilis and to reduce the risk of long-term effects from undiagnosed syphilis. Syphilis can be hard to diagnose, as it can present in many different ways, including with no symptoms.</w:t>
      </w:r>
    </w:p>
    <w:p w:rsidR="00AD12DD" w:rsidRDefault="00AD12DD" w:rsidP="00AD12DD"/>
    <w:p w:rsidR="00FC5571" w:rsidRPr="008D1F7C" w:rsidRDefault="00FC5571" w:rsidP="00AD12DD">
      <w:r w:rsidRPr="008D1F7C">
        <w:t>This action area needs to address four key aspects:</w:t>
      </w:r>
    </w:p>
    <w:p w:rsidR="00FC5571" w:rsidRPr="008D1F7C" w:rsidRDefault="00FC5571" w:rsidP="009101B9">
      <w:pPr>
        <w:pStyle w:val="Number"/>
        <w:numPr>
          <w:ilvl w:val="3"/>
          <w:numId w:val="7"/>
        </w:numPr>
      </w:pPr>
      <w:r w:rsidRPr="008D1F7C">
        <w:t>increasing availability of and ensuring equitable access to syphilis testing</w:t>
      </w:r>
    </w:p>
    <w:p w:rsidR="00FC5571" w:rsidRPr="008D1F7C" w:rsidRDefault="00FC5571" w:rsidP="009101B9">
      <w:pPr>
        <w:pStyle w:val="Number"/>
        <w:numPr>
          <w:ilvl w:val="3"/>
          <w:numId w:val="7"/>
        </w:numPr>
      </w:pPr>
      <w:r w:rsidRPr="008D1F7C">
        <w:t>increasing health professional awareness and understanding of syphilis so that they consider syphilis as a diagnosis, test for it and manage it appropriately</w:t>
      </w:r>
    </w:p>
    <w:p w:rsidR="004B15E4" w:rsidRDefault="00FC5571" w:rsidP="009101B9">
      <w:pPr>
        <w:pStyle w:val="Number"/>
        <w:numPr>
          <w:ilvl w:val="3"/>
          <w:numId w:val="7"/>
        </w:numPr>
      </w:pPr>
      <w:r w:rsidRPr="008D1F7C">
        <w:t>improving contact tracing</w:t>
      </w:r>
    </w:p>
    <w:p w:rsidR="00FC5571" w:rsidRDefault="00FC5571" w:rsidP="009101B9">
      <w:pPr>
        <w:pStyle w:val="Number"/>
        <w:numPr>
          <w:ilvl w:val="3"/>
          <w:numId w:val="7"/>
        </w:numPr>
      </w:pPr>
      <w:proofErr w:type="gramStart"/>
      <w:r w:rsidRPr="008D1F7C">
        <w:t>ensuring</w:t>
      </w:r>
      <w:proofErr w:type="gramEnd"/>
      <w:r w:rsidRPr="008D1F7C">
        <w:t xml:space="preserve"> availability of specialist sexual health advice and care.</w:t>
      </w:r>
    </w:p>
    <w:p w:rsidR="008A764D" w:rsidRDefault="008A764D">
      <w:r>
        <w:br w:type="page"/>
      </w:r>
    </w:p>
    <w:tbl>
      <w:tblPr>
        <w:tblW w:w="80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62"/>
        <w:gridCol w:w="1559"/>
        <w:gridCol w:w="1559"/>
      </w:tblGrid>
      <w:tr w:rsidR="00FC5571" w:rsidRPr="00863434" w:rsidTr="008A764D">
        <w:trPr>
          <w:cantSplit/>
        </w:trPr>
        <w:tc>
          <w:tcPr>
            <w:tcW w:w="8080" w:type="dxa"/>
            <w:gridSpan w:val="3"/>
            <w:tcBorders>
              <w:top w:val="nil"/>
              <w:left w:val="nil"/>
              <w:bottom w:val="nil"/>
              <w:right w:val="nil"/>
            </w:tcBorders>
            <w:shd w:val="clear" w:color="auto" w:fill="D9D9D9" w:themeFill="background1" w:themeFillShade="D9"/>
          </w:tcPr>
          <w:p w:rsidR="00FC5571" w:rsidRPr="00863434" w:rsidRDefault="00FC5571" w:rsidP="00863434">
            <w:pPr>
              <w:pStyle w:val="TableText"/>
              <w:rPr>
                <w:b/>
              </w:rPr>
            </w:pPr>
            <w:r w:rsidRPr="00863434">
              <w:rPr>
                <w:b/>
              </w:rPr>
              <w:lastRenderedPageBreak/>
              <w:t>Increasing availability of and ensuring equitable access to testing</w:t>
            </w:r>
          </w:p>
        </w:tc>
      </w:tr>
      <w:tr w:rsidR="00FC5571" w:rsidRPr="00863434" w:rsidTr="008A764D">
        <w:trPr>
          <w:cantSplit/>
        </w:trPr>
        <w:tc>
          <w:tcPr>
            <w:tcW w:w="4962" w:type="dxa"/>
            <w:tcBorders>
              <w:top w:val="nil"/>
              <w:left w:val="nil"/>
              <w:bottom w:val="nil"/>
              <w:right w:val="nil"/>
            </w:tcBorders>
            <w:shd w:val="clear" w:color="auto" w:fill="F2F2F2" w:themeFill="background1" w:themeFillShade="F2"/>
          </w:tcPr>
          <w:p w:rsidR="00FC5571" w:rsidRPr="00863434" w:rsidRDefault="00FC5571" w:rsidP="00863434">
            <w:pPr>
              <w:pStyle w:val="TableText"/>
              <w:ind w:right="113"/>
              <w:rPr>
                <w:b/>
              </w:rPr>
            </w:pPr>
            <w:r w:rsidRPr="00863434">
              <w:rPr>
                <w:b/>
              </w:rPr>
              <w:t>National actions</w:t>
            </w:r>
          </w:p>
        </w:tc>
        <w:tc>
          <w:tcPr>
            <w:tcW w:w="1559" w:type="dxa"/>
            <w:tcBorders>
              <w:top w:val="nil"/>
              <w:left w:val="nil"/>
              <w:bottom w:val="nil"/>
              <w:right w:val="nil"/>
            </w:tcBorders>
            <w:shd w:val="clear" w:color="auto" w:fill="F2F2F2" w:themeFill="background1" w:themeFillShade="F2"/>
          </w:tcPr>
          <w:p w:rsidR="00FC5571" w:rsidRPr="00863434" w:rsidRDefault="00FC5571" w:rsidP="00863434">
            <w:pPr>
              <w:pStyle w:val="TableText"/>
              <w:rPr>
                <w:b/>
              </w:rPr>
            </w:pPr>
            <w:r w:rsidRPr="00863434">
              <w:rPr>
                <w:b/>
              </w:rPr>
              <w:t>Timeline</w:t>
            </w:r>
          </w:p>
        </w:tc>
        <w:tc>
          <w:tcPr>
            <w:tcW w:w="1559" w:type="dxa"/>
            <w:tcBorders>
              <w:top w:val="nil"/>
              <w:left w:val="nil"/>
              <w:bottom w:val="nil"/>
              <w:right w:val="nil"/>
            </w:tcBorders>
            <w:shd w:val="clear" w:color="auto" w:fill="F2F2F2" w:themeFill="background1" w:themeFillShade="F2"/>
          </w:tcPr>
          <w:p w:rsidR="00FC5571" w:rsidRPr="00863434" w:rsidRDefault="00863434" w:rsidP="00863434">
            <w:pPr>
              <w:pStyle w:val="TableText"/>
              <w:rPr>
                <w:b/>
              </w:rPr>
            </w:pPr>
            <w:r>
              <w:rPr>
                <w:b/>
              </w:rPr>
              <w:t>Lead</w:t>
            </w:r>
          </w:p>
        </w:tc>
      </w:tr>
      <w:tr w:rsidR="00FC5571" w:rsidRPr="008D1F7C" w:rsidTr="008A764D">
        <w:trPr>
          <w:cantSplit/>
        </w:trPr>
        <w:tc>
          <w:tcPr>
            <w:tcW w:w="4962" w:type="dxa"/>
            <w:tcBorders>
              <w:top w:val="nil"/>
              <w:left w:val="nil"/>
              <w:bottom w:val="single" w:sz="4" w:space="0" w:color="A6A6A6" w:themeColor="background1" w:themeShade="A6"/>
              <w:right w:val="nil"/>
            </w:tcBorders>
            <w:shd w:val="clear" w:color="auto" w:fill="auto"/>
          </w:tcPr>
          <w:p w:rsidR="00FC5571" w:rsidRPr="00863434" w:rsidRDefault="00FC5571" w:rsidP="00863434">
            <w:pPr>
              <w:pStyle w:val="TableText"/>
              <w:ind w:right="113"/>
            </w:pPr>
            <w:r w:rsidRPr="00863434">
              <w:t>Work with Department of Corrections to consider including syphilis and other STI screening in prison health checks.</w:t>
            </w:r>
          </w:p>
        </w:tc>
        <w:tc>
          <w:tcPr>
            <w:tcW w:w="1559" w:type="dxa"/>
            <w:tcBorders>
              <w:top w:val="nil"/>
              <w:left w:val="nil"/>
              <w:bottom w:val="single" w:sz="4" w:space="0" w:color="A6A6A6" w:themeColor="background1" w:themeShade="A6"/>
              <w:right w:val="nil"/>
            </w:tcBorders>
            <w:shd w:val="clear" w:color="auto" w:fill="auto"/>
          </w:tcPr>
          <w:p w:rsidR="00FC5571" w:rsidRPr="008D1F7C" w:rsidRDefault="00FC5571" w:rsidP="00863434">
            <w:pPr>
              <w:pStyle w:val="TableText"/>
            </w:pPr>
            <w:r w:rsidRPr="008D1F7C">
              <w:t>Medium term</w:t>
            </w:r>
          </w:p>
        </w:tc>
        <w:tc>
          <w:tcPr>
            <w:tcW w:w="1559" w:type="dxa"/>
            <w:tcBorders>
              <w:top w:val="nil"/>
              <w:left w:val="nil"/>
              <w:bottom w:val="single" w:sz="4" w:space="0" w:color="A6A6A6" w:themeColor="background1" w:themeShade="A6"/>
              <w:right w:val="nil"/>
            </w:tcBorders>
            <w:shd w:val="clear" w:color="auto" w:fill="auto"/>
          </w:tcPr>
          <w:p w:rsidR="00FC5571" w:rsidRPr="008D1F7C" w:rsidRDefault="00FC5571" w:rsidP="00863434">
            <w:pPr>
              <w:pStyle w:val="TableText"/>
            </w:pPr>
            <w:r w:rsidRPr="008D1F7C">
              <w:t>Ministry of Health</w:t>
            </w:r>
          </w:p>
        </w:tc>
      </w:tr>
      <w:tr w:rsidR="00FC5571" w:rsidRPr="008D1F7C" w:rsidTr="008A764D">
        <w:trPr>
          <w:cantSplit/>
        </w:trPr>
        <w:tc>
          <w:tcPr>
            <w:tcW w:w="4962"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63434" w:rsidRDefault="00FC5571" w:rsidP="00863434">
            <w:pPr>
              <w:pStyle w:val="TableText"/>
              <w:ind w:right="113"/>
            </w:pPr>
            <w:r w:rsidRPr="00863434">
              <w:t>Provide free point-of-care testing for syphilis for MSM at NZAF testing centres and outreach testing services.</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863434">
            <w:pPr>
              <w:pStyle w:val="TableText"/>
            </w:pPr>
            <w:r w:rsidRPr="008D1F7C">
              <w:t>Ongoing</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863434">
            <w:pPr>
              <w:pStyle w:val="TableText"/>
            </w:pPr>
            <w:r w:rsidRPr="008D1F7C">
              <w:t>NZAF</w:t>
            </w:r>
          </w:p>
        </w:tc>
      </w:tr>
      <w:tr w:rsidR="00FC5571" w:rsidRPr="008D1F7C" w:rsidTr="008A764D">
        <w:trPr>
          <w:cantSplit/>
        </w:trPr>
        <w:tc>
          <w:tcPr>
            <w:tcW w:w="4962"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63434" w:rsidRDefault="00FC5571" w:rsidP="00863434">
            <w:pPr>
              <w:pStyle w:val="TableText"/>
              <w:ind w:right="113"/>
            </w:pPr>
            <w:r w:rsidRPr="00863434">
              <w:t>Investigate options around the use of point-of-care tests.</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863434">
            <w:pPr>
              <w:pStyle w:val="TableText"/>
            </w:pPr>
            <w:r w:rsidRPr="008D1F7C">
              <w:t>Medium term</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863434">
            <w:pPr>
              <w:pStyle w:val="TableText"/>
            </w:pPr>
            <w:r w:rsidRPr="008D1F7C">
              <w:t>Ministry of Health</w:t>
            </w:r>
          </w:p>
        </w:tc>
      </w:tr>
      <w:tr w:rsidR="00FC5571" w:rsidRPr="008D1F7C" w:rsidTr="008A764D">
        <w:trPr>
          <w:cantSplit/>
        </w:trPr>
        <w:tc>
          <w:tcPr>
            <w:tcW w:w="4962" w:type="dxa"/>
            <w:tcBorders>
              <w:top w:val="single" w:sz="4" w:space="0" w:color="A6A6A6" w:themeColor="background1" w:themeShade="A6"/>
              <w:left w:val="nil"/>
              <w:bottom w:val="nil"/>
              <w:right w:val="nil"/>
            </w:tcBorders>
            <w:shd w:val="clear" w:color="auto" w:fill="auto"/>
          </w:tcPr>
          <w:p w:rsidR="00FC5571" w:rsidRPr="00863434" w:rsidRDefault="00FC5571" w:rsidP="00863434">
            <w:pPr>
              <w:pStyle w:val="TableText"/>
              <w:ind w:right="113"/>
            </w:pPr>
            <w:r w:rsidRPr="00863434">
              <w:t>Increase awareness among health professionals on eligibility for testing for non-resident pregnant women.</w:t>
            </w:r>
          </w:p>
        </w:tc>
        <w:tc>
          <w:tcPr>
            <w:tcW w:w="1559" w:type="dxa"/>
            <w:tcBorders>
              <w:top w:val="single" w:sz="4" w:space="0" w:color="A6A6A6" w:themeColor="background1" w:themeShade="A6"/>
              <w:left w:val="nil"/>
              <w:bottom w:val="nil"/>
              <w:right w:val="nil"/>
            </w:tcBorders>
            <w:shd w:val="clear" w:color="auto" w:fill="auto"/>
          </w:tcPr>
          <w:p w:rsidR="00FC5571" w:rsidRPr="008D1F7C" w:rsidRDefault="00FC5571" w:rsidP="00863434">
            <w:pPr>
              <w:pStyle w:val="TableText"/>
            </w:pPr>
            <w:r w:rsidRPr="008D1F7C">
              <w:t>Short term</w:t>
            </w:r>
          </w:p>
        </w:tc>
        <w:tc>
          <w:tcPr>
            <w:tcW w:w="1559" w:type="dxa"/>
            <w:tcBorders>
              <w:top w:val="single" w:sz="4" w:space="0" w:color="A6A6A6" w:themeColor="background1" w:themeShade="A6"/>
              <w:left w:val="nil"/>
              <w:bottom w:val="nil"/>
              <w:right w:val="nil"/>
            </w:tcBorders>
            <w:shd w:val="clear" w:color="auto" w:fill="auto"/>
          </w:tcPr>
          <w:p w:rsidR="00FC5571" w:rsidRPr="008D1F7C" w:rsidRDefault="00FC5571" w:rsidP="00863434">
            <w:pPr>
              <w:pStyle w:val="TableText"/>
            </w:pPr>
            <w:r w:rsidRPr="008D1F7C">
              <w:t>Ministry of Health</w:t>
            </w:r>
          </w:p>
        </w:tc>
      </w:tr>
      <w:tr w:rsidR="00FC5571" w:rsidRPr="00863434" w:rsidTr="008A764D">
        <w:trPr>
          <w:cantSplit/>
        </w:trPr>
        <w:tc>
          <w:tcPr>
            <w:tcW w:w="4962" w:type="dxa"/>
            <w:tcBorders>
              <w:top w:val="nil"/>
              <w:left w:val="nil"/>
              <w:bottom w:val="nil"/>
              <w:right w:val="nil"/>
            </w:tcBorders>
            <w:shd w:val="clear" w:color="auto" w:fill="F2F2F2" w:themeFill="background1" w:themeFillShade="F2"/>
          </w:tcPr>
          <w:p w:rsidR="00FC5571" w:rsidRPr="00863434" w:rsidRDefault="00863434" w:rsidP="00863434">
            <w:pPr>
              <w:pStyle w:val="TableText"/>
              <w:ind w:right="113"/>
              <w:rPr>
                <w:b/>
              </w:rPr>
            </w:pPr>
            <w:r w:rsidRPr="00863434">
              <w:rPr>
                <w:b/>
              </w:rPr>
              <w:t>Regional actions</w:t>
            </w:r>
          </w:p>
        </w:tc>
        <w:tc>
          <w:tcPr>
            <w:tcW w:w="1559" w:type="dxa"/>
            <w:tcBorders>
              <w:top w:val="nil"/>
              <w:left w:val="nil"/>
              <w:bottom w:val="nil"/>
              <w:right w:val="nil"/>
            </w:tcBorders>
            <w:shd w:val="clear" w:color="auto" w:fill="F2F2F2" w:themeFill="background1" w:themeFillShade="F2"/>
          </w:tcPr>
          <w:p w:rsidR="00FC5571" w:rsidRPr="00863434" w:rsidRDefault="00FD1C08" w:rsidP="00863434">
            <w:pPr>
              <w:pStyle w:val="TableText"/>
              <w:rPr>
                <w:b/>
              </w:rPr>
            </w:pPr>
            <w:r>
              <w:rPr>
                <w:b/>
              </w:rPr>
              <w:t>Timeline</w:t>
            </w:r>
          </w:p>
        </w:tc>
        <w:tc>
          <w:tcPr>
            <w:tcW w:w="1559" w:type="dxa"/>
            <w:tcBorders>
              <w:top w:val="nil"/>
              <w:left w:val="nil"/>
              <w:bottom w:val="nil"/>
              <w:right w:val="nil"/>
            </w:tcBorders>
            <w:shd w:val="clear" w:color="auto" w:fill="F2F2F2" w:themeFill="background1" w:themeFillShade="F2"/>
          </w:tcPr>
          <w:p w:rsidR="00FC5571" w:rsidRPr="00863434" w:rsidRDefault="00FD1C08" w:rsidP="00863434">
            <w:pPr>
              <w:pStyle w:val="TableText"/>
              <w:rPr>
                <w:b/>
              </w:rPr>
            </w:pPr>
            <w:r>
              <w:rPr>
                <w:b/>
              </w:rPr>
              <w:t>Lead</w:t>
            </w:r>
          </w:p>
        </w:tc>
      </w:tr>
      <w:tr w:rsidR="00FC5571" w:rsidRPr="008D1F7C" w:rsidTr="008A764D">
        <w:trPr>
          <w:cantSplit/>
        </w:trPr>
        <w:tc>
          <w:tcPr>
            <w:tcW w:w="4962" w:type="dxa"/>
            <w:tcBorders>
              <w:top w:val="nil"/>
              <w:left w:val="nil"/>
              <w:bottom w:val="single" w:sz="4" w:space="0" w:color="A6A6A6" w:themeColor="background1" w:themeShade="A6"/>
              <w:right w:val="nil"/>
            </w:tcBorders>
            <w:shd w:val="clear" w:color="auto" w:fill="auto"/>
          </w:tcPr>
          <w:p w:rsidR="00FC5571" w:rsidRPr="00863434" w:rsidRDefault="00FC5571" w:rsidP="00863434">
            <w:pPr>
              <w:pStyle w:val="TableText"/>
              <w:ind w:right="113"/>
            </w:pPr>
            <w:r w:rsidRPr="00863434">
              <w:t>Work locally with high-risk and high-need populations who may benefit from community testing and develop targeted strategies to address this issue, with a focus on decreasing inequities.</w:t>
            </w:r>
          </w:p>
        </w:tc>
        <w:tc>
          <w:tcPr>
            <w:tcW w:w="1559" w:type="dxa"/>
            <w:tcBorders>
              <w:top w:val="nil"/>
              <w:left w:val="nil"/>
              <w:bottom w:val="single" w:sz="4" w:space="0" w:color="A6A6A6" w:themeColor="background1" w:themeShade="A6"/>
              <w:right w:val="nil"/>
            </w:tcBorders>
            <w:shd w:val="clear" w:color="auto" w:fill="auto"/>
          </w:tcPr>
          <w:p w:rsidR="00FC5571" w:rsidRPr="008D1F7C" w:rsidRDefault="00FC5571" w:rsidP="00863434">
            <w:pPr>
              <w:pStyle w:val="TableText"/>
            </w:pPr>
            <w:r w:rsidRPr="008D1F7C">
              <w:t>As per regional priorities</w:t>
            </w:r>
          </w:p>
        </w:tc>
        <w:tc>
          <w:tcPr>
            <w:tcW w:w="1559" w:type="dxa"/>
            <w:tcBorders>
              <w:top w:val="nil"/>
              <w:left w:val="nil"/>
              <w:bottom w:val="single" w:sz="4" w:space="0" w:color="A6A6A6" w:themeColor="background1" w:themeShade="A6"/>
              <w:right w:val="nil"/>
            </w:tcBorders>
            <w:shd w:val="clear" w:color="auto" w:fill="auto"/>
          </w:tcPr>
          <w:p w:rsidR="00FC5571" w:rsidRPr="008D1F7C" w:rsidRDefault="00FC5571" w:rsidP="00863434">
            <w:pPr>
              <w:pStyle w:val="TableText"/>
            </w:pPr>
            <w:r>
              <w:t>District Health Boards</w:t>
            </w:r>
          </w:p>
        </w:tc>
      </w:tr>
      <w:tr w:rsidR="00FC5571" w:rsidRPr="008D1F7C" w:rsidTr="008A764D">
        <w:trPr>
          <w:cantSplit/>
        </w:trPr>
        <w:tc>
          <w:tcPr>
            <w:tcW w:w="4962"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63434" w:rsidRDefault="00FC5571" w:rsidP="00863434">
            <w:pPr>
              <w:pStyle w:val="TableText"/>
              <w:ind w:right="113"/>
            </w:pPr>
            <w:r w:rsidRPr="00863434">
              <w:t>Investigate options for opportunistic screening in priority settings according to local need, such as mental health and addiction services.</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863434">
            <w:pPr>
              <w:pStyle w:val="TableText"/>
            </w:pPr>
            <w:r w:rsidRPr="008D1F7C">
              <w:t>As per regional priorities</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863434">
            <w:pPr>
              <w:pStyle w:val="TableText"/>
            </w:pPr>
            <w:r>
              <w:t>District Health Boards</w:t>
            </w:r>
          </w:p>
        </w:tc>
      </w:tr>
      <w:tr w:rsidR="00FC5571" w:rsidRPr="008D1F7C" w:rsidTr="008A764D">
        <w:trPr>
          <w:cantSplit/>
        </w:trPr>
        <w:tc>
          <w:tcPr>
            <w:tcW w:w="4962"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63434" w:rsidRDefault="00FC5571" w:rsidP="00863434">
            <w:pPr>
              <w:pStyle w:val="TableText"/>
              <w:ind w:right="113"/>
              <w:rPr>
                <w:spacing w:val="-2"/>
              </w:rPr>
            </w:pPr>
            <w:r w:rsidRPr="00863434">
              <w:rPr>
                <w:spacing w:val="-2"/>
              </w:rPr>
              <w:t>Consider developing or piloting innovative solutions, such as:</w:t>
            </w:r>
          </w:p>
          <w:p w:rsidR="004B15E4" w:rsidRPr="00863434" w:rsidRDefault="00FC5571" w:rsidP="00863434">
            <w:pPr>
              <w:pStyle w:val="TableBullet"/>
              <w:ind w:right="113"/>
            </w:pPr>
            <w:r w:rsidRPr="00863434">
              <w:t>electronic health information system prompts for primary care screening of priority populations</w:t>
            </w:r>
          </w:p>
          <w:p w:rsidR="00FC5571" w:rsidRPr="00863434" w:rsidRDefault="00FC5571" w:rsidP="00863434">
            <w:pPr>
              <w:pStyle w:val="TableBullet"/>
              <w:ind w:right="113"/>
            </w:pPr>
            <w:r w:rsidRPr="00863434">
              <w:t>text-based STI check reminder</w:t>
            </w:r>
          </w:p>
          <w:p w:rsidR="004B15E4" w:rsidRPr="00863434" w:rsidRDefault="00FC5571" w:rsidP="00863434">
            <w:pPr>
              <w:pStyle w:val="TableBullet"/>
              <w:ind w:right="113"/>
            </w:pPr>
            <w:r w:rsidRPr="00863434">
              <w:t>emerging testing technologies and models of testing such as computer assisted self-interview</w:t>
            </w:r>
          </w:p>
          <w:p w:rsidR="00FC5571" w:rsidRPr="00863434" w:rsidRDefault="00FC5571" w:rsidP="00863434">
            <w:pPr>
              <w:pStyle w:val="TableBullet"/>
              <w:ind w:right="113"/>
            </w:pPr>
            <w:r w:rsidRPr="00863434">
              <w:t>screening in emergency departments</w:t>
            </w:r>
          </w:p>
          <w:p w:rsidR="00FC5571" w:rsidRPr="00863434" w:rsidRDefault="00FC5571" w:rsidP="00863434">
            <w:pPr>
              <w:pStyle w:val="TableBullet"/>
              <w:ind w:right="113"/>
            </w:pPr>
            <w:proofErr w:type="gramStart"/>
            <w:r w:rsidRPr="00863434">
              <w:t>quality</w:t>
            </w:r>
            <w:proofErr w:type="gramEnd"/>
            <w:r w:rsidRPr="00863434">
              <w:t xml:space="preserve"> improvement initiatives to include syphilis in STI</w:t>
            </w:r>
            <w:r w:rsidR="00863434">
              <w:t> </w:t>
            </w:r>
            <w:r w:rsidRPr="00863434">
              <w:t>screening tests.</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863434">
            <w:pPr>
              <w:pStyle w:val="TableText"/>
            </w:pPr>
            <w:r w:rsidRPr="008D1F7C">
              <w:t>Long term</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863434">
            <w:pPr>
              <w:pStyle w:val="TableText"/>
            </w:pPr>
            <w:r>
              <w:t>District Health Boards</w:t>
            </w:r>
          </w:p>
        </w:tc>
      </w:tr>
    </w:tbl>
    <w:p w:rsidR="00863434" w:rsidRDefault="00863434" w:rsidP="00863434"/>
    <w:p w:rsidR="00FC5571" w:rsidRDefault="00FC5571" w:rsidP="00863434">
      <w:r w:rsidRPr="008D1F7C">
        <w:t>Access to affordable and appropriate health care remains an issue for a number of New</w:t>
      </w:r>
      <w:r w:rsidR="00863434">
        <w:t> </w:t>
      </w:r>
      <w:r w:rsidRPr="008D1F7C">
        <w:t>Zealanders, with 28 percent reporting an unmet need for primary health care in the 2017 New Zealand Health Survey (Ministry of Health 2017). Māori women are most likely to experience unmet need for health care, with 43</w:t>
      </w:r>
      <w:r w:rsidR="00863434">
        <w:t> percent</w:t>
      </w:r>
      <w:r w:rsidRPr="008D1F7C">
        <w:t xml:space="preserve"> reporting barriers to accessing primary care.</w:t>
      </w:r>
      <w:r w:rsidR="004B15E4">
        <w:t xml:space="preserve"> </w:t>
      </w:r>
      <w:r>
        <w:t>W</w:t>
      </w:r>
      <w:r w:rsidRPr="008D1F7C">
        <w:t xml:space="preserve">ork is needed to improve access to primary care </w:t>
      </w:r>
      <w:r>
        <w:t>in order t</w:t>
      </w:r>
      <w:r w:rsidRPr="008D1F7C">
        <w:t>o address the increase in syphilis and the disproportionately high rates of syphilis among Māori women. Other work programmes within the Ministry of Health are addressing this need as part of Government</w:t>
      </w:r>
      <w:r w:rsidR="004B15E4">
        <w:t>’</w:t>
      </w:r>
      <w:r w:rsidRPr="008D1F7C">
        <w:t>s focus on primary care.</w:t>
      </w:r>
      <w:r w:rsidRPr="00863434">
        <w:rPr>
          <w:rStyle w:val="FootnoteReference"/>
        </w:rPr>
        <w:footnoteReference w:id="3"/>
      </w:r>
    </w:p>
    <w:p w:rsidR="00863434" w:rsidRPr="008D1F7C" w:rsidRDefault="00863434" w:rsidP="00CF57D0"/>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20"/>
        <w:gridCol w:w="1701"/>
        <w:gridCol w:w="1559"/>
      </w:tblGrid>
      <w:tr w:rsidR="00FC5571" w:rsidRPr="00CF57D0" w:rsidTr="00CF57D0">
        <w:trPr>
          <w:cantSplit/>
        </w:trPr>
        <w:tc>
          <w:tcPr>
            <w:tcW w:w="8080" w:type="dxa"/>
            <w:gridSpan w:val="3"/>
            <w:tcBorders>
              <w:top w:val="nil"/>
              <w:left w:val="nil"/>
              <w:bottom w:val="nil"/>
              <w:right w:val="nil"/>
            </w:tcBorders>
            <w:shd w:val="clear" w:color="auto" w:fill="D9D9D9" w:themeFill="background1" w:themeFillShade="D9"/>
          </w:tcPr>
          <w:p w:rsidR="00FC5571" w:rsidRPr="00CF57D0" w:rsidRDefault="00FC5571" w:rsidP="00CF57D0">
            <w:pPr>
              <w:pStyle w:val="TableText"/>
              <w:keepNext/>
              <w:rPr>
                <w:b/>
              </w:rPr>
            </w:pPr>
            <w:r w:rsidRPr="00CF57D0">
              <w:rPr>
                <w:b/>
              </w:rPr>
              <w:lastRenderedPageBreak/>
              <w:t>Syphilis education for health professionals</w:t>
            </w:r>
          </w:p>
        </w:tc>
      </w:tr>
      <w:tr w:rsidR="00FC5571" w:rsidRPr="00CF57D0" w:rsidTr="00CF57D0">
        <w:trPr>
          <w:cantSplit/>
        </w:trPr>
        <w:tc>
          <w:tcPr>
            <w:tcW w:w="4820" w:type="dxa"/>
            <w:tcBorders>
              <w:top w:val="nil"/>
              <w:left w:val="nil"/>
              <w:bottom w:val="nil"/>
              <w:right w:val="nil"/>
            </w:tcBorders>
            <w:shd w:val="clear" w:color="auto" w:fill="F2F2F2" w:themeFill="background1" w:themeFillShade="F2"/>
          </w:tcPr>
          <w:p w:rsidR="00FC5571" w:rsidRPr="00CF57D0" w:rsidRDefault="00FC5571" w:rsidP="00CF57D0">
            <w:pPr>
              <w:pStyle w:val="TableText"/>
              <w:keepNext/>
              <w:rPr>
                <w:b/>
              </w:rPr>
            </w:pPr>
            <w:r w:rsidRPr="00CF57D0">
              <w:rPr>
                <w:b/>
              </w:rPr>
              <w:t>National actions</w:t>
            </w:r>
          </w:p>
        </w:tc>
        <w:tc>
          <w:tcPr>
            <w:tcW w:w="1701" w:type="dxa"/>
            <w:tcBorders>
              <w:top w:val="nil"/>
              <w:left w:val="nil"/>
              <w:bottom w:val="nil"/>
              <w:right w:val="nil"/>
            </w:tcBorders>
            <w:shd w:val="clear" w:color="auto" w:fill="F2F2F2" w:themeFill="background1" w:themeFillShade="F2"/>
          </w:tcPr>
          <w:p w:rsidR="00FC5571" w:rsidRPr="00CF57D0" w:rsidRDefault="00FC5571" w:rsidP="00CF57D0">
            <w:pPr>
              <w:pStyle w:val="TableText"/>
              <w:keepNext/>
              <w:rPr>
                <w:b/>
              </w:rPr>
            </w:pPr>
            <w:r w:rsidRPr="00CF57D0">
              <w:rPr>
                <w:b/>
              </w:rPr>
              <w:t>Timeline</w:t>
            </w:r>
          </w:p>
        </w:tc>
        <w:tc>
          <w:tcPr>
            <w:tcW w:w="1559" w:type="dxa"/>
            <w:tcBorders>
              <w:top w:val="nil"/>
              <w:left w:val="nil"/>
              <w:bottom w:val="nil"/>
              <w:right w:val="nil"/>
            </w:tcBorders>
            <w:shd w:val="clear" w:color="auto" w:fill="F2F2F2" w:themeFill="background1" w:themeFillShade="F2"/>
          </w:tcPr>
          <w:p w:rsidR="00FC5571" w:rsidRPr="00CF57D0" w:rsidRDefault="00CF57D0" w:rsidP="00CF57D0">
            <w:pPr>
              <w:pStyle w:val="TableText"/>
              <w:keepNext/>
              <w:rPr>
                <w:b/>
              </w:rPr>
            </w:pPr>
            <w:r>
              <w:rPr>
                <w:b/>
              </w:rPr>
              <w:t>Lead</w:t>
            </w:r>
          </w:p>
        </w:tc>
      </w:tr>
      <w:tr w:rsidR="00FC5571" w:rsidRPr="008D1F7C" w:rsidTr="00CF57D0">
        <w:trPr>
          <w:cantSplit/>
        </w:trPr>
        <w:tc>
          <w:tcPr>
            <w:tcW w:w="4820" w:type="dxa"/>
            <w:tcBorders>
              <w:top w:val="nil"/>
              <w:left w:val="nil"/>
              <w:bottom w:val="single" w:sz="4" w:space="0" w:color="A6A6A6" w:themeColor="background1" w:themeShade="A6"/>
              <w:right w:val="nil"/>
            </w:tcBorders>
            <w:shd w:val="clear" w:color="auto" w:fill="auto"/>
          </w:tcPr>
          <w:p w:rsidR="00FC5571" w:rsidRPr="00CF57D0" w:rsidRDefault="00FC5571" w:rsidP="00CF57D0">
            <w:pPr>
              <w:pStyle w:val="TableText"/>
              <w:keepNext/>
              <w:ind w:right="113"/>
            </w:pPr>
            <w:r w:rsidRPr="00CF57D0">
              <w:t>Produce podcast on syphilis diagnosis and management targeted at primary care.</w:t>
            </w:r>
          </w:p>
        </w:tc>
        <w:tc>
          <w:tcPr>
            <w:tcW w:w="1701" w:type="dxa"/>
            <w:tcBorders>
              <w:top w:val="nil"/>
              <w:left w:val="nil"/>
              <w:bottom w:val="single" w:sz="4" w:space="0" w:color="A6A6A6" w:themeColor="background1" w:themeShade="A6"/>
              <w:right w:val="nil"/>
            </w:tcBorders>
            <w:shd w:val="clear" w:color="auto" w:fill="auto"/>
          </w:tcPr>
          <w:p w:rsidR="00FC5571" w:rsidRPr="008D1F7C" w:rsidRDefault="00FC5571" w:rsidP="00CF57D0">
            <w:pPr>
              <w:pStyle w:val="TableText"/>
              <w:keepNext/>
            </w:pPr>
            <w:r w:rsidRPr="008D1F7C">
              <w:t>Short term</w:t>
            </w:r>
          </w:p>
        </w:tc>
        <w:tc>
          <w:tcPr>
            <w:tcW w:w="1559" w:type="dxa"/>
            <w:tcBorders>
              <w:top w:val="nil"/>
              <w:left w:val="nil"/>
              <w:bottom w:val="single" w:sz="4" w:space="0" w:color="A6A6A6" w:themeColor="background1" w:themeShade="A6"/>
              <w:right w:val="nil"/>
            </w:tcBorders>
            <w:shd w:val="clear" w:color="auto" w:fill="auto"/>
          </w:tcPr>
          <w:p w:rsidR="00FC5571" w:rsidRPr="008D1F7C" w:rsidRDefault="00CF57D0" w:rsidP="00CF57D0">
            <w:pPr>
              <w:pStyle w:val="TableText"/>
              <w:keepNext/>
            </w:pPr>
            <w:r>
              <w:t>Ministry of Health</w:t>
            </w:r>
          </w:p>
        </w:tc>
      </w:tr>
      <w:tr w:rsidR="00FC5571" w:rsidRPr="008D1F7C" w:rsidTr="00CF57D0">
        <w:trPr>
          <w:cantSplit/>
        </w:trPr>
        <w:tc>
          <w:tcPr>
            <w:tcW w:w="4820"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CF57D0" w:rsidRDefault="00FC5571" w:rsidP="00CF57D0">
            <w:pPr>
              <w:pStyle w:val="TableText"/>
              <w:keepNext/>
              <w:ind w:right="113"/>
            </w:pPr>
            <w:r w:rsidRPr="00CF57D0">
              <w:t>Make syphilis information, including case definitions and case report forms, easily accessible online.</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CF57D0">
            <w:pPr>
              <w:pStyle w:val="TableText"/>
              <w:keepNext/>
            </w:pPr>
            <w:r w:rsidRPr="008D1F7C">
              <w:t>Short term</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CF57D0">
            <w:pPr>
              <w:pStyle w:val="TableText"/>
              <w:keepNext/>
            </w:pPr>
            <w:r w:rsidRPr="008D1F7C">
              <w:t>Ministry of Health</w:t>
            </w:r>
          </w:p>
        </w:tc>
      </w:tr>
      <w:tr w:rsidR="00FC5571" w:rsidRPr="008D1F7C" w:rsidTr="00CF57D0">
        <w:trPr>
          <w:cantSplit/>
        </w:trPr>
        <w:tc>
          <w:tcPr>
            <w:tcW w:w="4820"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CF57D0" w:rsidRDefault="00FC5571" w:rsidP="00CF57D0">
            <w:pPr>
              <w:pStyle w:val="TableText"/>
              <w:ind w:right="113"/>
            </w:pPr>
            <w:r w:rsidRPr="00CF57D0">
              <w:t>Produce national messages for primary care.</w:t>
            </w:r>
            <w:r w:rsidR="00CF57D0" w:rsidRPr="00CF57D0">
              <w:br/>
            </w:r>
            <w:r w:rsidRPr="00CF57D0">
              <w:t>Key messages will include:</w:t>
            </w:r>
          </w:p>
          <w:p w:rsidR="00FC5571" w:rsidRPr="00CF57D0" w:rsidRDefault="00FC5571" w:rsidP="00CF57D0">
            <w:pPr>
              <w:pStyle w:val="TableBullet"/>
              <w:ind w:right="113"/>
            </w:pPr>
            <w:r w:rsidRPr="00CF57D0">
              <w:t>screen appropriately and recognise signs</w:t>
            </w:r>
          </w:p>
          <w:p w:rsidR="00FC5571" w:rsidRPr="00CF57D0" w:rsidRDefault="00FC5571" w:rsidP="00CF57D0">
            <w:pPr>
              <w:pStyle w:val="TableBullet"/>
              <w:ind w:right="113"/>
            </w:pPr>
            <w:r w:rsidRPr="00CF57D0">
              <w:t>STI screen is not complete without syphilis (and HIV) test</w:t>
            </w:r>
          </w:p>
          <w:p w:rsidR="00FC5571" w:rsidRPr="00CF57D0" w:rsidRDefault="00FC5571" w:rsidP="00CF57D0">
            <w:pPr>
              <w:pStyle w:val="TableBullet"/>
              <w:ind w:right="113"/>
            </w:pPr>
            <w:r w:rsidRPr="00CF57D0">
              <w:t>management of syphilis includes a proper conversation about partner notification or contact tracing</w:t>
            </w:r>
          </w:p>
          <w:p w:rsidR="00FC5571" w:rsidRPr="00CF57D0" w:rsidRDefault="00FC5571" w:rsidP="00CF57D0">
            <w:pPr>
              <w:pStyle w:val="TableBullet"/>
              <w:ind w:right="113"/>
            </w:pPr>
            <w:r w:rsidRPr="00CF57D0">
              <w:t>syphilis is a notifiable condition and completing case notification is a legal requirement.</w:t>
            </w:r>
          </w:p>
          <w:p w:rsidR="00FC5571" w:rsidRPr="00CF57D0" w:rsidRDefault="00FC5571" w:rsidP="00CF57D0">
            <w:pPr>
              <w:pStyle w:val="TableText"/>
              <w:ind w:right="113"/>
            </w:pPr>
            <w:r w:rsidRPr="00CF57D0">
              <w:t>The key messages could also provide a link to podcasts and other resources.</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CF57D0">
            <w:pPr>
              <w:pStyle w:val="TableText"/>
            </w:pPr>
            <w:r w:rsidRPr="008D1F7C">
              <w:t>Short term</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CF57D0">
            <w:pPr>
              <w:pStyle w:val="TableText"/>
            </w:pPr>
            <w:r w:rsidRPr="008D1F7C">
              <w:t>Ministry of Health</w:t>
            </w:r>
          </w:p>
        </w:tc>
      </w:tr>
      <w:tr w:rsidR="00FC5571" w:rsidRPr="008D1F7C" w:rsidTr="00CF57D0">
        <w:trPr>
          <w:cantSplit/>
        </w:trPr>
        <w:tc>
          <w:tcPr>
            <w:tcW w:w="4820"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CF57D0">
            <w:pPr>
              <w:pStyle w:val="TableText"/>
              <w:ind w:right="113"/>
            </w:pPr>
            <w:r w:rsidRPr="008D1F7C">
              <w:t>Provide guidelines and information on clinical management of syphilis</w:t>
            </w:r>
            <w:r>
              <w:t xml:space="preserve"> for primary care</w:t>
            </w:r>
            <w:r w:rsidRPr="008D1F7C">
              <w:t>.</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CF57D0">
            <w:pPr>
              <w:pStyle w:val="TableText"/>
            </w:pPr>
            <w:r w:rsidRPr="008D1F7C">
              <w:t>Ongoing</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CF57D0">
            <w:pPr>
              <w:pStyle w:val="TableText"/>
            </w:pPr>
            <w:r w:rsidRPr="008D1F7C">
              <w:t>New Zealand Sexual Health Society</w:t>
            </w:r>
            <w:r>
              <w:t xml:space="preserve"> (NZSHS)</w:t>
            </w:r>
          </w:p>
        </w:tc>
      </w:tr>
      <w:tr w:rsidR="00FC5571" w:rsidRPr="008D1F7C" w:rsidTr="00CF57D0">
        <w:trPr>
          <w:cantSplit/>
        </w:trPr>
        <w:tc>
          <w:tcPr>
            <w:tcW w:w="4820"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CF57D0" w:rsidRDefault="00FC5571" w:rsidP="00CF57D0">
            <w:pPr>
              <w:pStyle w:val="TableText"/>
              <w:ind w:right="113"/>
            </w:pPr>
            <w:r w:rsidRPr="00CF57D0">
              <w:t>Increase awareness among mental health and addiction service workers that their clients are high risk and that they need to consider screening for syphilis.</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CF57D0">
            <w:pPr>
              <w:pStyle w:val="TableText"/>
            </w:pPr>
            <w:r w:rsidRPr="008D1F7C">
              <w:t>Medium term</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CF57D0">
            <w:pPr>
              <w:pStyle w:val="TableText"/>
            </w:pPr>
            <w:r w:rsidRPr="008D1F7C">
              <w:t>Ministry of Health</w:t>
            </w:r>
          </w:p>
        </w:tc>
      </w:tr>
      <w:tr w:rsidR="00FC5571" w:rsidRPr="008D1F7C" w:rsidTr="00CF57D0">
        <w:trPr>
          <w:cantSplit/>
        </w:trPr>
        <w:tc>
          <w:tcPr>
            <w:tcW w:w="4820"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CF57D0" w:rsidRDefault="00FC5571" w:rsidP="00CF57D0">
            <w:pPr>
              <w:pStyle w:val="TableText"/>
              <w:ind w:right="113"/>
            </w:pPr>
            <w:r w:rsidRPr="00CF57D0">
              <w:t>Engage with other medical speciality bodies for targeted messaging relevant to their professions (</w:t>
            </w:r>
            <w:proofErr w:type="spellStart"/>
            <w:r w:rsidRPr="00CF57D0">
              <w:t>eg</w:t>
            </w:r>
            <w:proofErr w:type="spellEnd"/>
            <w:r w:rsidRPr="00CF57D0">
              <w:t>, rheumatology, neurology, ophthalmology).</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CF57D0">
            <w:pPr>
              <w:pStyle w:val="TableText"/>
            </w:pPr>
            <w:r w:rsidRPr="008D1F7C">
              <w:t>Medium term</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CF57D0">
            <w:pPr>
              <w:pStyle w:val="TableText"/>
            </w:pPr>
            <w:r w:rsidRPr="008D1F7C">
              <w:t>Ministry of Health</w:t>
            </w:r>
          </w:p>
        </w:tc>
      </w:tr>
      <w:tr w:rsidR="00FC5571" w:rsidRPr="008D1F7C" w:rsidTr="00CF57D0">
        <w:trPr>
          <w:cantSplit/>
        </w:trPr>
        <w:tc>
          <w:tcPr>
            <w:tcW w:w="4820" w:type="dxa"/>
            <w:tcBorders>
              <w:top w:val="single" w:sz="4" w:space="0" w:color="A6A6A6" w:themeColor="background1" w:themeShade="A6"/>
              <w:left w:val="nil"/>
              <w:bottom w:val="nil"/>
              <w:right w:val="nil"/>
            </w:tcBorders>
            <w:shd w:val="clear" w:color="auto" w:fill="auto"/>
          </w:tcPr>
          <w:p w:rsidR="00FC5571" w:rsidRPr="00CF57D0" w:rsidRDefault="00FC5571" w:rsidP="00CF57D0">
            <w:pPr>
              <w:pStyle w:val="TableText"/>
              <w:ind w:right="113"/>
            </w:pPr>
            <w:r w:rsidRPr="00CF57D0">
              <w:t>Identify opportunities to include more comprehensive sexual health, STI or syphilis education and training for medical and nursing students.</w:t>
            </w:r>
          </w:p>
        </w:tc>
        <w:tc>
          <w:tcPr>
            <w:tcW w:w="1701" w:type="dxa"/>
            <w:tcBorders>
              <w:top w:val="single" w:sz="4" w:space="0" w:color="A6A6A6" w:themeColor="background1" w:themeShade="A6"/>
              <w:left w:val="nil"/>
              <w:bottom w:val="nil"/>
              <w:right w:val="nil"/>
            </w:tcBorders>
            <w:shd w:val="clear" w:color="auto" w:fill="auto"/>
          </w:tcPr>
          <w:p w:rsidR="00FC5571" w:rsidRPr="008D1F7C" w:rsidRDefault="00CF57D0" w:rsidP="00CF57D0">
            <w:pPr>
              <w:pStyle w:val="TableText"/>
            </w:pPr>
            <w:r>
              <w:t>Long term</w:t>
            </w:r>
          </w:p>
        </w:tc>
        <w:tc>
          <w:tcPr>
            <w:tcW w:w="1559" w:type="dxa"/>
            <w:tcBorders>
              <w:top w:val="single" w:sz="4" w:space="0" w:color="A6A6A6" w:themeColor="background1" w:themeShade="A6"/>
              <w:left w:val="nil"/>
              <w:bottom w:val="nil"/>
              <w:right w:val="nil"/>
            </w:tcBorders>
            <w:shd w:val="clear" w:color="auto" w:fill="auto"/>
          </w:tcPr>
          <w:p w:rsidR="00FC5571" w:rsidRPr="008D1F7C" w:rsidRDefault="00FC5571" w:rsidP="00CF57D0">
            <w:pPr>
              <w:pStyle w:val="TableText"/>
            </w:pPr>
            <w:r w:rsidRPr="008D1F7C">
              <w:t>Ministry of Health</w:t>
            </w:r>
          </w:p>
        </w:tc>
      </w:tr>
      <w:tr w:rsidR="00FC5571" w:rsidRPr="00CF57D0" w:rsidTr="00CF57D0">
        <w:trPr>
          <w:cantSplit/>
        </w:trPr>
        <w:tc>
          <w:tcPr>
            <w:tcW w:w="4820" w:type="dxa"/>
            <w:tcBorders>
              <w:top w:val="nil"/>
              <w:left w:val="nil"/>
              <w:bottom w:val="nil"/>
              <w:right w:val="nil"/>
            </w:tcBorders>
            <w:shd w:val="clear" w:color="auto" w:fill="F2F2F2" w:themeFill="background1" w:themeFillShade="F2"/>
          </w:tcPr>
          <w:p w:rsidR="00FC5571" w:rsidRPr="00CF57D0" w:rsidRDefault="00FC5571" w:rsidP="00CF57D0">
            <w:pPr>
              <w:pStyle w:val="TableText"/>
              <w:rPr>
                <w:b/>
              </w:rPr>
            </w:pPr>
            <w:r w:rsidRPr="00CF57D0">
              <w:rPr>
                <w:b/>
              </w:rPr>
              <w:t>Regional actions</w:t>
            </w:r>
          </w:p>
        </w:tc>
        <w:tc>
          <w:tcPr>
            <w:tcW w:w="1701" w:type="dxa"/>
            <w:tcBorders>
              <w:top w:val="nil"/>
              <w:left w:val="nil"/>
              <w:bottom w:val="nil"/>
              <w:right w:val="nil"/>
            </w:tcBorders>
            <w:shd w:val="clear" w:color="auto" w:fill="F2F2F2" w:themeFill="background1" w:themeFillShade="F2"/>
          </w:tcPr>
          <w:p w:rsidR="00FC5571" w:rsidRPr="00CF57D0" w:rsidRDefault="00CF57D0" w:rsidP="00CF57D0">
            <w:pPr>
              <w:pStyle w:val="TableText"/>
              <w:rPr>
                <w:b/>
              </w:rPr>
            </w:pPr>
            <w:r>
              <w:rPr>
                <w:b/>
              </w:rPr>
              <w:t>Timeline</w:t>
            </w:r>
          </w:p>
        </w:tc>
        <w:tc>
          <w:tcPr>
            <w:tcW w:w="1559" w:type="dxa"/>
            <w:tcBorders>
              <w:top w:val="nil"/>
              <w:left w:val="nil"/>
              <w:bottom w:val="nil"/>
              <w:right w:val="nil"/>
            </w:tcBorders>
            <w:shd w:val="clear" w:color="auto" w:fill="F2F2F2" w:themeFill="background1" w:themeFillShade="F2"/>
          </w:tcPr>
          <w:p w:rsidR="00FC5571" w:rsidRPr="00CF57D0" w:rsidRDefault="00CF57D0" w:rsidP="00CF57D0">
            <w:pPr>
              <w:pStyle w:val="TableText"/>
              <w:rPr>
                <w:b/>
              </w:rPr>
            </w:pPr>
            <w:r>
              <w:rPr>
                <w:b/>
              </w:rPr>
              <w:t>Lead</w:t>
            </w:r>
          </w:p>
        </w:tc>
      </w:tr>
      <w:tr w:rsidR="00FC5571" w:rsidRPr="00CF57D0" w:rsidTr="00CF57D0">
        <w:trPr>
          <w:cantSplit/>
        </w:trPr>
        <w:tc>
          <w:tcPr>
            <w:tcW w:w="4820" w:type="dxa"/>
            <w:tcBorders>
              <w:top w:val="nil"/>
              <w:left w:val="nil"/>
              <w:bottom w:val="single" w:sz="4" w:space="0" w:color="A6A6A6" w:themeColor="background1" w:themeShade="A6"/>
              <w:right w:val="nil"/>
            </w:tcBorders>
            <w:shd w:val="clear" w:color="auto" w:fill="auto"/>
          </w:tcPr>
          <w:p w:rsidR="00FC5571" w:rsidRPr="00CF57D0" w:rsidRDefault="00FC5571" w:rsidP="00CF57D0">
            <w:pPr>
              <w:pStyle w:val="TableText"/>
              <w:ind w:right="113"/>
            </w:pPr>
            <w:r w:rsidRPr="00CF57D0">
              <w:t>Communicate locally with primary care (including midwifery) outlining local management and referral pathways.</w:t>
            </w:r>
          </w:p>
        </w:tc>
        <w:tc>
          <w:tcPr>
            <w:tcW w:w="1701" w:type="dxa"/>
            <w:tcBorders>
              <w:top w:val="nil"/>
              <w:left w:val="nil"/>
              <w:bottom w:val="single" w:sz="4" w:space="0" w:color="A6A6A6" w:themeColor="background1" w:themeShade="A6"/>
              <w:right w:val="nil"/>
            </w:tcBorders>
            <w:shd w:val="clear" w:color="auto" w:fill="auto"/>
          </w:tcPr>
          <w:p w:rsidR="00FC5571" w:rsidRPr="00CF57D0" w:rsidRDefault="00FC5571" w:rsidP="00CF57D0">
            <w:pPr>
              <w:pStyle w:val="TableText"/>
            </w:pPr>
            <w:r w:rsidRPr="00CF57D0">
              <w:t>Short term</w:t>
            </w:r>
          </w:p>
        </w:tc>
        <w:tc>
          <w:tcPr>
            <w:tcW w:w="1559" w:type="dxa"/>
            <w:tcBorders>
              <w:top w:val="nil"/>
              <w:left w:val="nil"/>
              <w:bottom w:val="single" w:sz="4" w:space="0" w:color="A6A6A6" w:themeColor="background1" w:themeShade="A6"/>
              <w:right w:val="nil"/>
            </w:tcBorders>
            <w:shd w:val="clear" w:color="auto" w:fill="auto"/>
          </w:tcPr>
          <w:p w:rsidR="00FC5571" w:rsidRPr="00CF57D0" w:rsidRDefault="00FC5571" w:rsidP="00CF57D0">
            <w:pPr>
              <w:pStyle w:val="TableText"/>
            </w:pPr>
            <w:r w:rsidRPr="00CF57D0">
              <w:t>District Health Boards</w:t>
            </w:r>
          </w:p>
        </w:tc>
      </w:tr>
    </w:tbl>
    <w:p w:rsidR="00FC5571" w:rsidRPr="008D1F7C" w:rsidRDefault="00FC5571" w:rsidP="00FD1C08"/>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20"/>
        <w:gridCol w:w="1701"/>
        <w:gridCol w:w="1559"/>
      </w:tblGrid>
      <w:tr w:rsidR="00FC5571" w:rsidRPr="00FD1C08" w:rsidTr="00FD1C08">
        <w:trPr>
          <w:cantSplit/>
        </w:trPr>
        <w:tc>
          <w:tcPr>
            <w:tcW w:w="8080" w:type="dxa"/>
            <w:gridSpan w:val="3"/>
            <w:tcBorders>
              <w:top w:val="nil"/>
              <w:left w:val="nil"/>
              <w:bottom w:val="nil"/>
              <w:right w:val="nil"/>
            </w:tcBorders>
            <w:shd w:val="clear" w:color="auto" w:fill="D9D9D9" w:themeFill="background1" w:themeFillShade="D9"/>
          </w:tcPr>
          <w:p w:rsidR="00FC5571" w:rsidRPr="00FD1C08" w:rsidRDefault="00FC5571" w:rsidP="00FD1C08">
            <w:pPr>
              <w:pStyle w:val="TableText"/>
              <w:rPr>
                <w:b/>
              </w:rPr>
            </w:pPr>
            <w:r w:rsidRPr="00FD1C08">
              <w:rPr>
                <w:b/>
              </w:rPr>
              <w:t>Contact tracing</w:t>
            </w:r>
          </w:p>
        </w:tc>
      </w:tr>
      <w:tr w:rsidR="00FC5571" w:rsidRPr="00FD1C08" w:rsidTr="00FD1C08">
        <w:trPr>
          <w:cantSplit/>
        </w:trPr>
        <w:tc>
          <w:tcPr>
            <w:tcW w:w="4820" w:type="dxa"/>
            <w:tcBorders>
              <w:top w:val="nil"/>
              <w:left w:val="nil"/>
              <w:bottom w:val="nil"/>
              <w:right w:val="nil"/>
            </w:tcBorders>
            <w:shd w:val="clear" w:color="auto" w:fill="F2F2F2" w:themeFill="background1" w:themeFillShade="F2"/>
          </w:tcPr>
          <w:p w:rsidR="00FC5571" w:rsidRPr="00FD1C08" w:rsidRDefault="00FC5571" w:rsidP="00FD1C08">
            <w:pPr>
              <w:pStyle w:val="TableText"/>
              <w:ind w:right="113"/>
              <w:rPr>
                <w:b/>
              </w:rPr>
            </w:pPr>
            <w:r w:rsidRPr="00FD1C08">
              <w:rPr>
                <w:b/>
              </w:rPr>
              <w:t>National actions</w:t>
            </w:r>
          </w:p>
        </w:tc>
        <w:tc>
          <w:tcPr>
            <w:tcW w:w="1701" w:type="dxa"/>
            <w:tcBorders>
              <w:top w:val="nil"/>
              <w:left w:val="nil"/>
              <w:bottom w:val="nil"/>
              <w:right w:val="nil"/>
            </w:tcBorders>
            <w:shd w:val="clear" w:color="auto" w:fill="F2F2F2" w:themeFill="background1" w:themeFillShade="F2"/>
          </w:tcPr>
          <w:p w:rsidR="00FC5571" w:rsidRPr="00FD1C08" w:rsidRDefault="00FC5571" w:rsidP="00FD1C08">
            <w:pPr>
              <w:pStyle w:val="TableText"/>
              <w:rPr>
                <w:b/>
              </w:rPr>
            </w:pPr>
            <w:r w:rsidRPr="00FD1C08">
              <w:rPr>
                <w:b/>
              </w:rPr>
              <w:t>Timeline</w:t>
            </w:r>
          </w:p>
        </w:tc>
        <w:tc>
          <w:tcPr>
            <w:tcW w:w="1559" w:type="dxa"/>
            <w:tcBorders>
              <w:top w:val="nil"/>
              <w:left w:val="nil"/>
              <w:bottom w:val="nil"/>
              <w:right w:val="nil"/>
            </w:tcBorders>
            <w:shd w:val="clear" w:color="auto" w:fill="F2F2F2" w:themeFill="background1" w:themeFillShade="F2"/>
          </w:tcPr>
          <w:p w:rsidR="00FC5571" w:rsidRPr="00FD1C08" w:rsidRDefault="00FD1C08" w:rsidP="00FD1C08">
            <w:pPr>
              <w:pStyle w:val="TableText"/>
              <w:rPr>
                <w:b/>
              </w:rPr>
            </w:pPr>
            <w:r>
              <w:rPr>
                <w:b/>
              </w:rPr>
              <w:t>Lead</w:t>
            </w:r>
          </w:p>
        </w:tc>
      </w:tr>
      <w:tr w:rsidR="00FC5571" w:rsidRPr="008D1F7C" w:rsidTr="00FD1C08">
        <w:trPr>
          <w:cantSplit/>
        </w:trPr>
        <w:tc>
          <w:tcPr>
            <w:tcW w:w="4820" w:type="dxa"/>
            <w:tcBorders>
              <w:top w:val="nil"/>
              <w:left w:val="nil"/>
              <w:bottom w:val="single" w:sz="4" w:space="0" w:color="A6A6A6" w:themeColor="background1" w:themeShade="A6"/>
              <w:right w:val="nil"/>
            </w:tcBorders>
            <w:shd w:val="clear" w:color="auto" w:fill="auto"/>
          </w:tcPr>
          <w:p w:rsidR="00FC5571" w:rsidRPr="00FD1C08" w:rsidRDefault="00FC5571" w:rsidP="00FD1C08">
            <w:pPr>
              <w:pStyle w:val="TableText"/>
              <w:ind w:right="113"/>
            </w:pPr>
            <w:r w:rsidRPr="00FD1C08">
              <w:t>Provide guidance and expectations on contact tracing for positive syphilis case, including access to information.</w:t>
            </w:r>
          </w:p>
        </w:tc>
        <w:tc>
          <w:tcPr>
            <w:tcW w:w="1701" w:type="dxa"/>
            <w:tcBorders>
              <w:top w:val="nil"/>
              <w:left w:val="nil"/>
              <w:bottom w:val="single" w:sz="4" w:space="0" w:color="A6A6A6" w:themeColor="background1" w:themeShade="A6"/>
              <w:right w:val="nil"/>
            </w:tcBorders>
            <w:shd w:val="clear" w:color="auto" w:fill="auto"/>
          </w:tcPr>
          <w:p w:rsidR="00FC5571" w:rsidRPr="008D1F7C" w:rsidRDefault="00FC5571" w:rsidP="00FD1C08">
            <w:pPr>
              <w:pStyle w:val="TableText"/>
            </w:pPr>
            <w:r w:rsidRPr="008D1F7C">
              <w:t>Short term</w:t>
            </w:r>
          </w:p>
        </w:tc>
        <w:tc>
          <w:tcPr>
            <w:tcW w:w="1559" w:type="dxa"/>
            <w:tcBorders>
              <w:top w:val="nil"/>
              <w:left w:val="nil"/>
              <w:bottom w:val="single" w:sz="4" w:space="0" w:color="A6A6A6" w:themeColor="background1" w:themeShade="A6"/>
              <w:right w:val="nil"/>
            </w:tcBorders>
            <w:shd w:val="clear" w:color="auto" w:fill="auto"/>
          </w:tcPr>
          <w:p w:rsidR="00FC5571" w:rsidRPr="008D1F7C" w:rsidRDefault="00FC5571" w:rsidP="00FD1C08">
            <w:pPr>
              <w:pStyle w:val="TableText"/>
            </w:pPr>
            <w:r w:rsidRPr="008D1F7C">
              <w:t>Ministry of Healt</w:t>
            </w:r>
            <w:r w:rsidR="00FD1C08">
              <w:t>h</w:t>
            </w:r>
          </w:p>
        </w:tc>
      </w:tr>
      <w:tr w:rsidR="00FC5571" w:rsidRPr="008D1F7C" w:rsidTr="00FD1C08">
        <w:trPr>
          <w:cantSplit/>
        </w:trPr>
        <w:tc>
          <w:tcPr>
            <w:tcW w:w="4820"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FD1C08" w:rsidRDefault="00FC5571" w:rsidP="00FD1C08">
            <w:pPr>
              <w:pStyle w:val="TableText"/>
              <w:ind w:right="113"/>
            </w:pPr>
            <w:r w:rsidRPr="00FD1C08">
              <w:t>Include information on online resources available for patients and their partners on the Ministry of Health website.</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FD1C08">
            <w:pPr>
              <w:pStyle w:val="TableText"/>
            </w:pPr>
            <w:r w:rsidRPr="008D1F7C">
              <w:t>Short term</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FD1C08">
            <w:pPr>
              <w:pStyle w:val="TableText"/>
            </w:pPr>
            <w:r w:rsidRPr="008D1F7C">
              <w:t>Ministry of Health</w:t>
            </w:r>
          </w:p>
        </w:tc>
      </w:tr>
      <w:tr w:rsidR="00FC5571" w:rsidRPr="008D1F7C" w:rsidTr="00FD1C08">
        <w:trPr>
          <w:cantSplit/>
        </w:trPr>
        <w:tc>
          <w:tcPr>
            <w:tcW w:w="4820" w:type="dxa"/>
            <w:tcBorders>
              <w:top w:val="single" w:sz="4" w:space="0" w:color="A6A6A6" w:themeColor="background1" w:themeShade="A6"/>
              <w:left w:val="nil"/>
              <w:bottom w:val="nil"/>
              <w:right w:val="nil"/>
            </w:tcBorders>
            <w:shd w:val="clear" w:color="auto" w:fill="auto"/>
          </w:tcPr>
          <w:p w:rsidR="00FC5571" w:rsidRPr="00FD1C08" w:rsidRDefault="00FC5571" w:rsidP="00FD1C08">
            <w:pPr>
              <w:pStyle w:val="TableText"/>
              <w:ind w:right="113"/>
            </w:pPr>
            <w:r w:rsidRPr="00FD1C08">
              <w:t>Identify options for online contact tracing as an additional approach to person-to-person contact tracing.</w:t>
            </w:r>
          </w:p>
        </w:tc>
        <w:tc>
          <w:tcPr>
            <w:tcW w:w="1701" w:type="dxa"/>
            <w:tcBorders>
              <w:top w:val="single" w:sz="4" w:space="0" w:color="A6A6A6" w:themeColor="background1" w:themeShade="A6"/>
              <w:left w:val="nil"/>
              <w:bottom w:val="nil"/>
              <w:right w:val="nil"/>
            </w:tcBorders>
            <w:shd w:val="clear" w:color="auto" w:fill="auto"/>
          </w:tcPr>
          <w:p w:rsidR="00FC5571" w:rsidRPr="008D1F7C" w:rsidRDefault="00FC5571" w:rsidP="00FD1C08">
            <w:pPr>
              <w:pStyle w:val="TableText"/>
            </w:pPr>
            <w:r w:rsidRPr="008D1F7C">
              <w:t>Medium term</w:t>
            </w:r>
          </w:p>
        </w:tc>
        <w:tc>
          <w:tcPr>
            <w:tcW w:w="1559" w:type="dxa"/>
            <w:tcBorders>
              <w:top w:val="single" w:sz="4" w:space="0" w:color="A6A6A6" w:themeColor="background1" w:themeShade="A6"/>
              <w:left w:val="nil"/>
              <w:bottom w:val="nil"/>
              <w:right w:val="nil"/>
            </w:tcBorders>
            <w:shd w:val="clear" w:color="auto" w:fill="auto"/>
          </w:tcPr>
          <w:p w:rsidR="00FC5571" w:rsidRPr="008D1F7C" w:rsidRDefault="00FC5571" w:rsidP="00FD1C08">
            <w:pPr>
              <w:pStyle w:val="TableText"/>
            </w:pPr>
            <w:r w:rsidRPr="008D1F7C">
              <w:t>Ministry of Health</w:t>
            </w:r>
          </w:p>
        </w:tc>
      </w:tr>
      <w:tr w:rsidR="00FC5571" w:rsidRPr="00FD1C08" w:rsidTr="00FD1C08">
        <w:trPr>
          <w:cantSplit/>
        </w:trPr>
        <w:tc>
          <w:tcPr>
            <w:tcW w:w="4820" w:type="dxa"/>
            <w:tcBorders>
              <w:top w:val="nil"/>
              <w:left w:val="nil"/>
              <w:bottom w:val="nil"/>
              <w:right w:val="nil"/>
            </w:tcBorders>
            <w:shd w:val="clear" w:color="auto" w:fill="F2F2F2" w:themeFill="background1" w:themeFillShade="F2"/>
          </w:tcPr>
          <w:p w:rsidR="00FC5571" w:rsidRPr="00FD1C08" w:rsidRDefault="00FC5571" w:rsidP="00FD1C08">
            <w:pPr>
              <w:pStyle w:val="TableText"/>
              <w:ind w:right="113"/>
              <w:rPr>
                <w:b/>
              </w:rPr>
            </w:pPr>
            <w:r w:rsidRPr="00FD1C08">
              <w:rPr>
                <w:b/>
              </w:rPr>
              <w:t>Regional action</w:t>
            </w:r>
          </w:p>
        </w:tc>
        <w:tc>
          <w:tcPr>
            <w:tcW w:w="1701" w:type="dxa"/>
            <w:tcBorders>
              <w:top w:val="nil"/>
              <w:left w:val="nil"/>
              <w:bottom w:val="nil"/>
              <w:right w:val="nil"/>
            </w:tcBorders>
            <w:shd w:val="clear" w:color="auto" w:fill="F2F2F2" w:themeFill="background1" w:themeFillShade="F2"/>
          </w:tcPr>
          <w:p w:rsidR="00FC5571" w:rsidRPr="00FD1C08" w:rsidRDefault="00FC5571" w:rsidP="00FD1C08">
            <w:pPr>
              <w:pStyle w:val="TableText"/>
              <w:rPr>
                <w:b/>
              </w:rPr>
            </w:pPr>
          </w:p>
        </w:tc>
        <w:tc>
          <w:tcPr>
            <w:tcW w:w="1559" w:type="dxa"/>
            <w:tcBorders>
              <w:top w:val="nil"/>
              <w:left w:val="nil"/>
              <w:bottom w:val="nil"/>
              <w:right w:val="nil"/>
            </w:tcBorders>
            <w:shd w:val="clear" w:color="auto" w:fill="F2F2F2" w:themeFill="background1" w:themeFillShade="F2"/>
          </w:tcPr>
          <w:p w:rsidR="00FC5571" w:rsidRPr="00FD1C08" w:rsidRDefault="00FC5571" w:rsidP="00FD1C08">
            <w:pPr>
              <w:pStyle w:val="TableText"/>
              <w:rPr>
                <w:b/>
              </w:rPr>
            </w:pPr>
          </w:p>
        </w:tc>
      </w:tr>
      <w:tr w:rsidR="00FC5571" w:rsidRPr="008D1F7C" w:rsidTr="00FD1C08">
        <w:trPr>
          <w:cantSplit/>
        </w:trPr>
        <w:tc>
          <w:tcPr>
            <w:tcW w:w="4820" w:type="dxa"/>
            <w:tcBorders>
              <w:top w:val="nil"/>
              <w:left w:val="nil"/>
              <w:bottom w:val="single" w:sz="4" w:space="0" w:color="A6A6A6" w:themeColor="background1" w:themeShade="A6"/>
              <w:right w:val="nil"/>
            </w:tcBorders>
            <w:shd w:val="clear" w:color="auto" w:fill="auto"/>
          </w:tcPr>
          <w:p w:rsidR="00FC5571" w:rsidRPr="00FD1C08" w:rsidRDefault="00FC5571" w:rsidP="00FD1C08">
            <w:pPr>
              <w:pStyle w:val="TableText"/>
              <w:ind w:right="113"/>
            </w:pPr>
            <w:r w:rsidRPr="00FD1C08">
              <w:t>Ensure contact tracing is appropriately resourced.</w:t>
            </w:r>
          </w:p>
        </w:tc>
        <w:tc>
          <w:tcPr>
            <w:tcW w:w="1701" w:type="dxa"/>
            <w:tcBorders>
              <w:top w:val="nil"/>
              <w:left w:val="nil"/>
              <w:bottom w:val="single" w:sz="4" w:space="0" w:color="A6A6A6" w:themeColor="background1" w:themeShade="A6"/>
              <w:right w:val="nil"/>
            </w:tcBorders>
            <w:shd w:val="clear" w:color="auto" w:fill="auto"/>
          </w:tcPr>
          <w:p w:rsidR="00FC5571" w:rsidRPr="008D1F7C" w:rsidRDefault="00FC5571" w:rsidP="00FD1C08">
            <w:pPr>
              <w:pStyle w:val="TableText"/>
            </w:pPr>
            <w:r w:rsidRPr="008D1F7C">
              <w:t>As per regional priorities</w:t>
            </w:r>
          </w:p>
        </w:tc>
        <w:tc>
          <w:tcPr>
            <w:tcW w:w="1559" w:type="dxa"/>
            <w:tcBorders>
              <w:top w:val="nil"/>
              <w:left w:val="nil"/>
              <w:bottom w:val="single" w:sz="4" w:space="0" w:color="A6A6A6" w:themeColor="background1" w:themeShade="A6"/>
              <w:right w:val="nil"/>
            </w:tcBorders>
            <w:shd w:val="clear" w:color="auto" w:fill="auto"/>
          </w:tcPr>
          <w:p w:rsidR="00FC5571" w:rsidRPr="008D1F7C" w:rsidRDefault="00FC5571" w:rsidP="00FD1C08">
            <w:pPr>
              <w:pStyle w:val="TableText"/>
            </w:pPr>
            <w:r>
              <w:t>District Health Boards</w:t>
            </w:r>
          </w:p>
        </w:tc>
      </w:tr>
    </w:tbl>
    <w:p w:rsidR="00FC5571" w:rsidRPr="008D1F7C" w:rsidRDefault="00FC5571" w:rsidP="00FD1C08"/>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03"/>
        <w:gridCol w:w="1418"/>
        <w:gridCol w:w="1559"/>
      </w:tblGrid>
      <w:tr w:rsidR="00FC5571" w:rsidRPr="00FD1C08" w:rsidTr="00597454">
        <w:trPr>
          <w:cantSplit/>
        </w:trPr>
        <w:tc>
          <w:tcPr>
            <w:tcW w:w="8080" w:type="dxa"/>
            <w:gridSpan w:val="3"/>
            <w:tcBorders>
              <w:top w:val="nil"/>
              <w:left w:val="nil"/>
              <w:bottom w:val="nil"/>
              <w:right w:val="nil"/>
            </w:tcBorders>
            <w:shd w:val="clear" w:color="auto" w:fill="D9D9D9" w:themeFill="background1" w:themeFillShade="D9"/>
          </w:tcPr>
          <w:p w:rsidR="00FC5571" w:rsidRPr="00FD1C08" w:rsidRDefault="00FC5571" w:rsidP="00FD1C08">
            <w:pPr>
              <w:pStyle w:val="TableText"/>
              <w:rPr>
                <w:b/>
              </w:rPr>
            </w:pPr>
            <w:r w:rsidRPr="00FD1C08">
              <w:rPr>
                <w:b/>
              </w:rPr>
              <w:lastRenderedPageBreak/>
              <w:t>Availability of specialist sexual health advice and care</w:t>
            </w:r>
          </w:p>
        </w:tc>
      </w:tr>
      <w:tr w:rsidR="00FC5571" w:rsidRPr="00FD1C08" w:rsidTr="00597454">
        <w:trPr>
          <w:cantSplit/>
        </w:trPr>
        <w:tc>
          <w:tcPr>
            <w:tcW w:w="5103" w:type="dxa"/>
            <w:tcBorders>
              <w:top w:val="nil"/>
              <w:left w:val="nil"/>
              <w:bottom w:val="nil"/>
              <w:right w:val="nil"/>
            </w:tcBorders>
            <w:shd w:val="clear" w:color="auto" w:fill="F2F2F2" w:themeFill="background1" w:themeFillShade="F2"/>
          </w:tcPr>
          <w:p w:rsidR="00FC5571" w:rsidRPr="00FD1C08" w:rsidRDefault="00FC5571" w:rsidP="00FD1C08">
            <w:pPr>
              <w:pStyle w:val="TableText"/>
              <w:rPr>
                <w:b/>
              </w:rPr>
            </w:pPr>
            <w:r w:rsidRPr="00FD1C08">
              <w:rPr>
                <w:b/>
              </w:rPr>
              <w:t>National actions</w:t>
            </w:r>
          </w:p>
        </w:tc>
        <w:tc>
          <w:tcPr>
            <w:tcW w:w="1418" w:type="dxa"/>
            <w:tcBorders>
              <w:top w:val="nil"/>
              <w:left w:val="nil"/>
              <w:bottom w:val="nil"/>
              <w:right w:val="nil"/>
            </w:tcBorders>
            <w:shd w:val="clear" w:color="auto" w:fill="F2F2F2" w:themeFill="background1" w:themeFillShade="F2"/>
          </w:tcPr>
          <w:p w:rsidR="00FC5571" w:rsidRPr="00FD1C08" w:rsidRDefault="00FC5571" w:rsidP="00FD1C08">
            <w:pPr>
              <w:pStyle w:val="TableText"/>
              <w:rPr>
                <w:b/>
              </w:rPr>
            </w:pPr>
            <w:r w:rsidRPr="00FD1C08">
              <w:rPr>
                <w:b/>
              </w:rPr>
              <w:t>Timeline</w:t>
            </w:r>
          </w:p>
        </w:tc>
        <w:tc>
          <w:tcPr>
            <w:tcW w:w="1559" w:type="dxa"/>
            <w:tcBorders>
              <w:top w:val="nil"/>
              <w:left w:val="nil"/>
              <w:bottom w:val="nil"/>
              <w:right w:val="nil"/>
            </w:tcBorders>
            <w:shd w:val="clear" w:color="auto" w:fill="F2F2F2" w:themeFill="background1" w:themeFillShade="F2"/>
          </w:tcPr>
          <w:p w:rsidR="00FC5571" w:rsidRPr="00FD1C08" w:rsidRDefault="00597454" w:rsidP="00FD1C08">
            <w:pPr>
              <w:pStyle w:val="TableText"/>
              <w:rPr>
                <w:b/>
              </w:rPr>
            </w:pPr>
            <w:r>
              <w:rPr>
                <w:b/>
              </w:rPr>
              <w:t>Lead</w:t>
            </w:r>
          </w:p>
        </w:tc>
      </w:tr>
      <w:tr w:rsidR="00FC5571" w:rsidRPr="008D1F7C" w:rsidTr="00597454">
        <w:trPr>
          <w:cantSplit/>
        </w:trPr>
        <w:tc>
          <w:tcPr>
            <w:tcW w:w="5103" w:type="dxa"/>
            <w:tcBorders>
              <w:top w:val="nil"/>
              <w:left w:val="nil"/>
              <w:bottom w:val="single" w:sz="4" w:space="0" w:color="A6A6A6" w:themeColor="background1" w:themeShade="A6"/>
              <w:right w:val="nil"/>
            </w:tcBorders>
            <w:shd w:val="clear" w:color="auto" w:fill="auto"/>
          </w:tcPr>
          <w:p w:rsidR="00FC5571" w:rsidRPr="00597454" w:rsidRDefault="00FC5571" w:rsidP="00597454">
            <w:pPr>
              <w:pStyle w:val="TableText"/>
              <w:ind w:right="113"/>
            </w:pPr>
            <w:r w:rsidRPr="00597454">
              <w:t>Ensure DHBs are aware of increase in syphilis and the requirement to provide appropriate sexual health services.</w:t>
            </w:r>
          </w:p>
        </w:tc>
        <w:tc>
          <w:tcPr>
            <w:tcW w:w="1418" w:type="dxa"/>
            <w:tcBorders>
              <w:top w:val="nil"/>
              <w:left w:val="nil"/>
              <w:bottom w:val="single" w:sz="4" w:space="0" w:color="A6A6A6" w:themeColor="background1" w:themeShade="A6"/>
              <w:right w:val="nil"/>
            </w:tcBorders>
            <w:shd w:val="clear" w:color="auto" w:fill="auto"/>
          </w:tcPr>
          <w:p w:rsidR="00FC5571" w:rsidRPr="008D1F7C" w:rsidRDefault="00FC5571" w:rsidP="00FD1C08">
            <w:pPr>
              <w:pStyle w:val="TableText"/>
            </w:pPr>
            <w:r w:rsidRPr="008D1F7C">
              <w:t>Short term</w:t>
            </w:r>
          </w:p>
        </w:tc>
        <w:tc>
          <w:tcPr>
            <w:tcW w:w="1559" w:type="dxa"/>
            <w:tcBorders>
              <w:top w:val="nil"/>
              <w:left w:val="nil"/>
              <w:bottom w:val="single" w:sz="4" w:space="0" w:color="A6A6A6" w:themeColor="background1" w:themeShade="A6"/>
              <w:right w:val="nil"/>
            </w:tcBorders>
            <w:shd w:val="clear" w:color="auto" w:fill="auto"/>
          </w:tcPr>
          <w:p w:rsidR="00FC5571" w:rsidRPr="008D1F7C" w:rsidRDefault="00597454" w:rsidP="00FD1C08">
            <w:pPr>
              <w:pStyle w:val="TableText"/>
            </w:pPr>
            <w:r>
              <w:t>Ministry of Health</w:t>
            </w:r>
          </w:p>
        </w:tc>
      </w:tr>
      <w:tr w:rsidR="00FC5571" w:rsidRPr="008D1F7C" w:rsidTr="00597454">
        <w:trPr>
          <w:cantSplit/>
        </w:trPr>
        <w:tc>
          <w:tcPr>
            <w:tcW w:w="5103" w:type="dxa"/>
            <w:tcBorders>
              <w:top w:val="single" w:sz="4" w:space="0" w:color="A6A6A6" w:themeColor="background1" w:themeShade="A6"/>
              <w:left w:val="nil"/>
              <w:bottom w:val="nil"/>
              <w:right w:val="nil"/>
            </w:tcBorders>
            <w:shd w:val="clear" w:color="auto" w:fill="auto"/>
          </w:tcPr>
          <w:p w:rsidR="00FC5571" w:rsidRPr="00597454" w:rsidRDefault="00FC5571" w:rsidP="00597454">
            <w:pPr>
              <w:pStyle w:val="TableText"/>
              <w:ind w:right="113"/>
            </w:pPr>
            <w:r w:rsidRPr="00597454">
              <w:t>Ensure syphilis management pathways are consistent across all regions, including timely access to advice and pathways for management of complicated syphilis.</w:t>
            </w:r>
          </w:p>
        </w:tc>
        <w:tc>
          <w:tcPr>
            <w:tcW w:w="1418" w:type="dxa"/>
            <w:tcBorders>
              <w:top w:val="single" w:sz="4" w:space="0" w:color="A6A6A6" w:themeColor="background1" w:themeShade="A6"/>
              <w:left w:val="nil"/>
              <w:bottom w:val="nil"/>
              <w:right w:val="nil"/>
            </w:tcBorders>
            <w:shd w:val="clear" w:color="auto" w:fill="auto"/>
          </w:tcPr>
          <w:p w:rsidR="00FC5571" w:rsidRPr="008D1F7C" w:rsidRDefault="00FC5571" w:rsidP="00FD1C08">
            <w:pPr>
              <w:pStyle w:val="TableText"/>
            </w:pPr>
            <w:r w:rsidRPr="008D1F7C">
              <w:t>Medium term</w:t>
            </w:r>
          </w:p>
        </w:tc>
        <w:tc>
          <w:tcPr>
            <w:tcW w:w="1559" w:type="dxa"/>
            <w:tcBorders>
              <w:top w:val="single" w:sz="4" w:space="0" w:color="A6A6A6" w:themeColor="background1" w:themeShade="A6"/>
              <w:left w:val="nil"/>
              <w:bottom w:val="nil"/>
              <w:right w:val="nil"/>
            </w:tcBorders>
            <w:shd w:val="clear" w:color="auto" w:fill="auto"/>
          </w:tcPr>
          <w:p w:rsidR="00FC5571" w:rsidRPr="008D1F7C" w:rsidRDefault="00FC5571" w:rsidP="00FD1C08">
            <w:pPr>
              <w:pStyle w:val="TableText"/>
            </w:pPr>
            <w:r w:rsidRPr="008D1F7C">
              <w:t>Ministry of Health</w:t>
            </w:r>
          </w:p>
        </w:tc>
      </w:tr>
      <w:tr w:rsidR="00FC5571" w:rsidRPr="00FD1C08" w:rsidTr="00597454">
        <w:trPr>
          <w:cantSplit/>
        </w:trPr>
        <w:tc>
          <w:tcPr>
            <w:tcW w:w="5103" w:type="dxa"/>
            <w:tcBorders>
              <w:top w:val="nil"/>
              <w:left w:val="nil"/>
              <w:bottom w:val="nil"/>
              <w:right w:val="nil"/>
            </w:tcBorders>
            <w:shd w:val="clear" w:color="auto" w:fill="F2F2F2" w:themeFill="background1" w:themeFillShade="F2"/>
          </w:tcPr>
          <w:p w:rsidR="00FC5571" w:rsidRPr="00FD1C08" w:rsidRDefault="00FD1C08" w:rsidP="00FD1C08">
            <w:pPr>
              <w:pStyle w:val="TableText"/>
              <w:rPr>
                <w:b/>
              </w:rPr>
            </w:pPr>
            <w:r>
              <w:rPr>
                <w:b/>
              </w:rPr>
              <w:t>Regional actions</w:t>
            </w:r>
          </w:p>
        </w:tc>
        <w:tc>
          <w:tcPr>
            <w:tcW w:w="1418" w:type="dxa"/>
            <w:tcBorders>
              <w:top w:val="nil"/>
              <w:left w:val="nil"/>
              <w:bottom w:val="nil"/>
              <w:right w:val="nil"/>
            </w:tcBorders>
            <w:shd w:val="clear" w:color="auto" w:fill="F2F2F2" w:themeFill="background1" w:themeFillShade="F2"/>
          </w:tcPr>
          <w:p w:rsidR="00FC5571" w:rsidRPr="00FD1C08" w:rsidRDefault="00FD1C08" w:rsidP="00FD1C08">
            <w:pPr>
              <w:pStyle w:val="TableText"/>
              <w:rPr>
                <w:b/>
              </w:rPr>
            </w:pPr>
            <w:r w:rsidRPr="00FD1C08">
              <w:rPr>
                <w:b/>
              </w:rPr>
              <w:t>Timeline</w:t>
            </w:r>
          </w:p>
        </w:tc>
        <w:tc>
          <w:tcPr>
            <w:tcW w:w="1559" w:type="dxa"/>
            <w:tcBorders>
              <w:top w:val="nil"/>
              <w:left w:val="nil"/>
              <w:bottom w:val="nil"/>
              <w:right w:val="nil"/>
            </w:tcBorders>
            <w:shd w:val="clear" w:color="auto" w:fill="F2F2F2" w:themeFill="background1" w:themeFillShade="F2"/>
          </w:tcPr>
          <w:p w:rsidR="00FC5571" w:rsidRPr="00FD1C08" w:rsidRDefault="00FD1C08" w:rsidP="00FD1C08">
            <w:pPr>
              <w:pStyle w:val="TableText"/>
              <w:rPr>
                <w:b/>
              </w:rPr>
            </w:pPr>
            <w:r w:rsidRPr="00FD1C08">
              <w:rPr>
                <w:b/>
              </w:rPr>
              <w:t>Lead</w:t>
            </w:r>
          </w:p>
        </w:tc>
      </w:tr>
      <w:tr w:rsidR="00FC5571" w:rsidRPr="008D1F7C" w:rsidTr="00597454">
        <w:trPr>
          <w:cantSplit/>
        </w:trPr>
        <w:tc>
          <w:tcPr>
            <w:tcW w:w="5103" w:type="dxa"/>
            <w:tcBorders>
              <w:top w:val="nil"/>
              <w:left w:val="nil"/>
              <w:bottom w:val="single" w:sz="4" w:space="0" w:color="A6A6A6" w:themeColor="background1" w:themeShade="A6"/>
              <w:right w:val="nil"/>
            </w:tcBorders>
            <w:shd w:val="clear" w:color="auto" w:fill="auto"/>
          </w:tcPr>
          <w:p w:rsidR="00FC5571" w:rsidRPr="008D1F7C" w:rsidRDefault="00FC5571" w:rsidP="00597454">
            <w:pPr>
              <w:pStyle w:val="TableText"/>
              <w:ind w:right="113"/>
            </w:pPr>
            <w:r w:rsidRPr="008D1F7C">
              <w:t>Resource sexual</w:t>
            </w:r>
            <w:r w:rsidR="00597454">
              <w:t xml:space="preserve"> health services appropriately.</w:t>
            </w:r>
          </w:p>
        </w:tc>
        <w:tc>
          <w:tcPr>
            <w:tcW w:w="1418" w:type="dxa"/>
            <w:tcBorders>
              <w:top w:val="nil"/>
              <w:left w:val="nil"/>
              <w:bottom w:val="single" w:sz="4" w:space="0" w:color="A6A6A6" w:themeColor="background1" w:themeShade="A6"/>
              <w:right w:val="nil"/>
            </w:tcBorders>
            <w:shd w:val="clear" w:color="auto" w:fill="auto"/>
          </w:tcPr>
          <w:p w:rsidR="00FC5571" w:rsidRPr="008D1F7C" w:rsidRDefault="00FC5571" w:rsidP="00FD1C08">
            <w:pPr>
              <w:pStyle w:val="TableText"/>
            </w:pPr>
            <w:r w:rsidRPr="008D1F7C">
              <w:t>As per regional priorities</w:t>
            </w:r>
          </w:p>
        </w:tc>
        <w:tc>
          <w:tcPr>
            <w:tcW w:w="1559" w:type="dxa"/>
            <w:tcBorders>
              <w:top w:val="nil"/>
              <w:left w:val="nil"/>
              <w:bottom w:val="single" w:sz="4" w:space="0" w:color="A6A6A6" w:themeColor="background1" w:themeShade="A6"/>
              <w:right w:val="nil"/>
            </w:tcBorders>
            <w:shd w:val="clear" w:color="auto" w:fill="auto"/>
          </w:tcPr>
          <w:p w:rsidR="00FC5571" w:rsidRPr="008D1F7C" w:rsidRDefault="00FC5571" w:rsidP="00FD1C08">
            <w:pPr>
              <w:pStyle w:val="TableText"/>
            </w:pPr>
            <w:r>
              <w:t>District Health Boards</w:t>
            </w:r>
          </w:p>
        </w:tc>
      </w:tr>
      <w:tr w:rsidR="00FC5571" w:rsidRPr="008D1F7C" w:rsidTr="00597454">
        <w:trPr>
          <w:cantSplit/>
        </w:trPr>
        <w:tc>
          <w:tcPr>
            <w:tcW w:w="5103"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597454" w:rsidRDefault="00FC5571" w:rsidP="00597454">
            <w:pPr>
              <w:pStyle w:val="TableText"/>
              <w:ind w:right="113"/>
            </w:pPr>
            <w:r w:rsidRPr="00597454">
              <w:t>Put management pathways in place for complicated syphilis.</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FD1C08">
            <w:pPr>
              <w:pStyle w:val="TableText"/>
            </w:pPr>
            <w:r w:rsidRPr="008D1F7C">
              <w:t>As per regional priorities</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FD1C08">
            <w:pPr>
              <w:pStyle w:val="TableText"/>
            </w:pPr>
            <w:r>
              <w:t>District Health Boards</w:t>
            </w:r>
          </w:p>
        </w:tc>
      </w:tr>
    </w:tbl>
    <w:p w:rsidR="00FC5571" w:rsidRDefault="00FC5571" w:rsidP="00597454">
      <w:bookmarkStart w:id="22" w:name="_Toc2923075"/>
    </w:p>
    <w:p w:rsidR="00FC5571" w:rsidRPr="008D1F7C" w:rsidRDefault="00FC5571" w:rsidP="00AD12DD">
      <w:pPr>
        <w:pStyle w:val="Heading2"/>
      </w:pPr>
      <w:bookmarkStart w:id="23" w:name="_Toc12347676"/>
      <w:r w:rsidRPr="008D1F7C">
        <w:t>Action area 3: Preventing congenital syphilis</w:t>
      </w:r>
      <w:bookmarkEnd w:id="22"/>
      <w:bookmarkEnd w:id="23"/>
    </w:p>
    <w:p w:rsidR="00FC5571" w:rsidRPr="008D1F7C" w:rsidRDefault="00FC5571" w:rsidP="00597454">
      <w:r w:rsidRPr="008D1F7C">
        <w:t>Congenital syphilis can be prevented through antenatal testing and appropriate treatment of syphilis during pregnancy. Most cases of congenital syphilis in 2017</w:t>
      </w:r>
      <w:r>
        <w:t xml:space="preserve"> and 20</w:t>
      </w:r>
      <w:r w:rsidRPr="008D1F7C">
        <w:t xml:space="preserve">18 received no antenatal care and presented to health services either in labour or in the week before labour. </w:t>
      </w:r>
      <w:r>
        <w:t>I</w:t>
      </w:r>
      <w:r w:rsidRPr="008D1F7C">
        <w:t>n some cases, positive antenatal syphilis tests were incorrectly managed or followed up.</w:t>
      </w:r>
    </w:p>
    <w:p w:rsidR="00597454" w:rsidRDefault="00597454" w:rsidP="00597454"/>
    <w:p w:rsidR="00FC5571" w:rsidRDefault="00FC5571" w:rsidP="00597454">
      <w:r>
        <w:t>Because c</w:t>
      </w:r>
      <w:r w:rsidRPr="008D1F7C">
        <w:t>ongenital syphilis disproportionately impacts Māori women</w:t>
      </w:r>
      <w:r>
        <w:t>, it i</w:t>
      </w:r>
      <w:r w:rsidRPr="008D1F7C">
        <w:t xml:space="preserve">s vital to develop actions </w:t>
      </w:r>
      <w:r>
        <w:t>that meet this group</w:t>
      </w:r>
      <w:r w:rsidR="004B15E4">
        <w:t>’</w:t>
      </w:r>
      <w:r>
        <w:t>s</w:t>
      </w:r>
      <w:r w:rsidRPr="008D1F7C">
        <w:t xml:space="preserve"> needs.</w:t>
      </w:r>
    </w:p>
    <w:p w:rsidR="00597454" w:rsidRPr="008D1F7C" w:rsidRDefault="00597454" w:rsidP="00597454"/>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061"/>
        <w:gridCol w:w="1411"/>
        <w:gridCol w:w="1550"/>
      </w:tblGrid>
      <w:tr w:rsidR="00FC5571" w:rsidRPr="00597454" w:rsidTr="00597454">
        <w:trPr>
          <w:cantSplit/>
        </w:trPr>
        <w:tc>
          <w:tcPr>
            <w:tcW w:w="8080" w:type="dxa"/>
            <w:gridSpan w:val="3"/>
            <w:tcBorders>
              <w:top w:val="nil"/>
              <w:left w:val="nil"/>
              <w:bottom w:val="nil"/>
              <w:right w:val="nil"/>
            </w:tcBorders>
            <w:shd w:val="clear" w:color="auto" w:fill="D9D9D9" w:themeFill="background1" w:themeFillShade="D9"/>
          </w:tcPr>
          <w:p w:rsidR="00FC5571" w:rsidRPr="00597454" w:rsidRDefault="00FC5571" w:rsidP="00597454">
            <w:pPr>
              <w:pStyle w:val="TableText"/>
              <w:rPr>
                <w:b/>
              </w:rPr>
            </w:pPr>
            <w:r w:rsidRPr="00597454">
              <w:rPr>
                <w:b/>
              </w:rPr>
              <w:t>Antenatal care</w:t>
            </w:r>
          </w:p>
        </w:tc>
      </w:tr>
      <w:tr w:rsidR="00FC5571" w:rsidRPr="00597454" w:rsidTr="00597454">
        <w:trPr>
          <w:cantSplit/>
        </w:trPr>
        <w:tc>
          <w:tcPr>
            <w:tcW w:w="5103" w:type="dxa"/>
            <w:tcBorders>
              <w:top w:val="nil"/>
              <w:left w:val="nil"/>
              <w:bottom w:val="nil"/>
              <w:right w:val="nil"/>
            </w:tcBorders>
            <w:shd w:val="clear" w:color="auto" w:fill="F2F2F2" w:themeFill="background1" w:themeFillShade="F2"/>
          </w:tcPr>
          <w:p w:rsidR="00FC5571" w:rsidRPr="00597454" w:rsidRDefault="00FC5571" w:rsidP="00597454">
            <w:pPr>
              <w:pStyle w:val="TableText"/>
              <w:ind w:right="113"/>
              <w:rPr>
                <w:b/>
              </w:rPr>
            </w:pPr>
            <w:r w:rsidRPr="00597454">
              <w:rPr>
                <w:b/>
              </w:rPr>
              <w:t>National actions</w:t>
            </w:r>
          </w:p>
        </w:tc>
        <w:tc>
          <w:tcPr>
            <w:tcW w:w="1418" w:type="dxa"/>
            <w:tcBorders>
              <w:top w:val="nil"/>
              <w:left w:val="nil"/>
              <w:bottom w:val="nil"/>
              <w:right w:val="nil"/>
            </w:tcBorders>
            <w:shd w:val="clear" w:color="auto" w:fill="F2F2F2" w:themeFill="background1" w:themeFillShade="F2"/>
          </w:tcPr>
          <w:p w:rsidR="00FC5571" w:rsidRPr="00597454" w:rsidRDefault="00FC5571" w:rsidP="00597454">
            <w:pPr>
              <w:pStyle w:val="TableText"/>
              <w:rPr>
                <w:b/>
              </w:rPr>
            </w:pPr>
            <w:r w:rsidRPr="00597454">
              <w:rPr>
                <w:b/>
              </w:rPr>
              <w:t>Timeline</w:t>
            </w:r>
          </w:p>
        </w:tc>
        <w:tc>
          <w:tcPr>
            <w:tcW w:w="1559" w:type="dxa"/>
            <w:tcBorders>
              <w:top w:val="nil"/>
              <w:left w:val="nil"/>
              <w:bottom w:val="nil"/>
              <w:right w:val="nil"/>
            </w:tcBorders>
            <w:shd w:val="clear" w:color="auto" w:fill="F2F2F2" w:themeFill="background1" w:themeFillShade="F2"/>
          </w:tcPr>
          <w:p w:rsidR="00FC5571" w:rsidRPr="00597454" w:rsidRDefault="00597454" w:rsidP="00597454">
            <w:pPr>
              <w:pStyle w:val="TableText"/>
              <w:rPr>
                <w:b/>
              </w:rPr>
            </w:pPr>
            <w:r>
              <w:rPr>
                <w:b/>
              </w:rPr>
              <w:t>Lead</w:t>
            </w:r>
          </w:p>
        </w:tc>
      </w:tr>
      <w:tr w:rsidR="00FC5571" w:rsidRPr="00597454" w:rsidTr="00597454">
        <w:trPr>
          <w:cantSplit/>
        </w:trPr>
        <w:tc>
          <w:tcPr>
            <w:tcW w:w="5103" w:type="dxa"/>
            <w:tcBorders>
              <w:top w:val="nil"/>
              <w:left w:val="nil"/>
              <w:bottom w:val="single" w:sz="4" w:space="0" w:color="A6A6A6" w:themeColor="background1" w:themeShade="A6"/>
              <w:right w:val="nil"/>
            </w:tcBorders>
            <w:shd w:val="clear" w:color="auto" w:fill="auto"/>
          </w:tcPr>
          <w:p w:rsidR="00FC5571" w:rsidRPr="00597454" w:rsidRDefault="00FC5571" w:rsidP="00597454">
            <w:pPr>
              <w:pStyle w:val="TableText"/>
              <w:ind w:right="113"/>
            </w:pPr>
            <w:r w:rsidRPr="00597454">
              <w:t>Review congenital syphilis cases to identify system issues that can be addressed and share results with relevant workforce.</w:t>
            </w:r>
          </w:p>
        </w:tc>
        <w:tc>
          <w:tcPr>
            <w:tcW w:w="1418" w:type="dxa"/>
            <w:tcBorders>
              <w:top w:val="nil"/>
              <w:left w:val="nil"/>
              <w:bottom w:val="single" w:sz="4" w:space="0" w:color="A6A6A6" w:themeColor="background1" w:themeShade="A6"/>
              <w:right w:val="nil"/>
            </w:tcBorders>
            <w:shd w:val="clear" w:color="auto" w:fill="auto"/>
          </w:tcPr>
          <w:p w:rsidR="00FC5571" w:rsidRPr="00597454" w:rsidRDefault="00FC5571" w:rsidP="00597454">
            <w:pPr>
              <w:pStyle w:val="TableText"/>
            </w:pPr>
            <w:r w:rsidRPr="00597454">
              <w:t>Ongoing</w:t>
            </w:r>
          </w:p>
        </w:tc>
        <w:tc>
          <w:tcPr>
            <w:tcW w:w="1559" w:type="dxa"/>
            <w:tcBorders>
              <w:top w:val="nil"/>
              <w:left w:val="nil"/>
              <w:bottom w:val="single" w:sz="4" w:space="0" w:color="A6A6A6" w:themeColor="background1" w:themeShade="A6"/>
              <w:right w:val="nil"/>
            </w:tcBorders>
            <w:shd w:val="clear" w:color="auto" w:fill="auto"/>
          </w:tcPr>
          <w:p w:rsidR="00FC5571" w:rsidRPr="00597454" w:rsidRDefault="00597454" w:rsidP="00597454">
            <w:pPr>
              <w:pStyle w:val="TableText"/>
            </w:pPr>
            <w:r>
              <w:t>Ministry of Health</w:t>
            </w:r>
          </w:p>
        </w:tc>
      </w:tr>
      <w:tr w:rsidR="00FC5571" w:rsidRPr="00597454" w:rsidTr="00597454">
        <w:trPr>
          <w:cantSplit/>
        </w:trPr>
        <w:tc>
          <w:tcPr>
            <w:tcW w:w="5103"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597454" w:rsidRDefault="00FC5571" w:rsidP="00597454">
            <w:pPr>
              <w:pStyle w:val="TableText"/>
              <w:ind w:right="113"/>
            </w:pPr>
            <w:r w:rsidRPr="00597454">
              <w:t>Support the development of maternal syphilis guidelines by the New Zealand Sexual Health Society to:</w:t>
            </w:r>
          </w:p>
          <w:p w:rsidR="00FC5571" w:rsidRPr="00597454" w:rsidRDefault="00597454" w:rsidP="00597454">
            <w:pPr>
              <w:pStyle w:val="TableBullet"/>
              <w:ind w:right="113"/>
            </w:pPr>
            <w:r>
              <w:t>p</w:t>
            </w:r>
            <w:r w:rsidR="00FC5571" w:rsidRPr="00597454">
              <w:t>rovide guidance on re-testing for syphilis during pregnancy</w:t>
            </w:r>
          </w:p>
          <w:p w:rsidR="00FC5571" w:rsidRPr="00597454" w:rsidRDefault="00597454" w:rsidP="00597454">
            <w:pPr>
              <w:pStyle w:val="TableBullet"/>
              <w:ind w:right="113"/>
            </w:pPr>
            <w:proofErr w:type="gramStart"/>
            <w:r>
              <w:t>e</w:t>
            </w:r>
            <w:r w:rsidR="00FC5571" w:rsidRPr="00597454">
              <w:t>nsure</w:t>
            </w:r>
            <w:proofErr w:type="gramEnd"/>
            <w:r w:rsidR="00FC5571" w:rsidRPr="00597454">
              <w:t xml:space="preserve"> consistency in syphilis management pathways in each region</w:t>
            </w:r>
            <w:r>
              <w:t>.</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597454" w:rsidRDefault="00FC5571" w:rsidP="00597454">
            <w:pPr>
              <w:pStyle w:val="TableText"/>
            </w:pPr>
            <w:r w:rsidRPr="00597454">
              <w:t>Medium term</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597454" w:rsidRDefault="00FC5571" w:rsidP="00597454">
            <w:pPr>
              <w:pStyle w:val="TableText"/>
            </w:pPr>
            <w:r w:rsidRPr="00597454">
              <w:t>Ministry of Health and NZSHS</w:t>
            </w:r>
          </w:p>
        </w:tc>
      </w:tr>
      <w:tr w:rsidR="00FC5571" w:rsidRPr="008D1F7C" w:rsidTr="00597454">
        <w:trPr>
          <w:cantSplit/>
        </w:trPr>
        <w:tc>
          <w:tcPr>
            <w:tcW w:w="5103"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597454" w:rsidRDefault="00FC5571" w:rsidP="00597454">
            <w:pPr>
              <w:pStyle w:val="TableText"/>
              <w:ind w:right="113"/>
            </w:pPr>
            <w:r w:rsidRPr="00597454">
              <w:t>Provide advice to midwives with update on syphilis and key practice points.</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597454">
            <w:pPr>
              <w:pStyle w:val="TableText"/>
            </w:pPr>
            <w:r w:rsidRPr="008D1F7C">
              <w:t>Short term</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8D1F7C" w:rsidRDefault="00FC5571" w:rsidP="00597454">
            <w:pPr>
              <w:pStyle w:val="TableText"/>
            </w:pPr>
            <w:r w:rsidRPr="008D1F7C">
              <w:t>NZCOM</w:t>
            </w:r>
          </w:p>
        </w:tc>
      </w:tr>
      <w:tr w:rsidR="00FC5571" w:rsidRPr="008D1F7C" w:rsidTr="00597454">
        <w:trPr>
          <w:cantSplit/>
        </w:trPr>
        <w:tc>
          <w:tcPr>
            <w:tcW w:w="5103" w:type="dxa"/>
            <w:tcBorders>
              <w:top w:val="single" w:sz="4" w:space="0" w:color="A6A6A6" w:themeColor="background1" w:themeShade="A6"/>
              <w:left w:val="nil"/>
              <w:bottom w:val="nil"/>
              <w:right w:val="nil"/>
            </w:tcBorders>
            <w:shd w:val="clear" w:color="auto" w:fill="auto"/>
          </w:tcPr>
          <w:p w:rsidR="00FC5571" w:rsidRPr="00597454" w:rsidRDefault="00FC5571" w:rsidP="00597454">
            <w:pPr>
              <w:pStyle w:val="TableText"/>
              <w:ind w:right="113"/>
            </w:pPr>
            <w:r w:rsidRPr="00597454">
              <w:t xml:space="preserve">Develop educational resources, </w:t>
            </w:r>
            <w:proofErr w:type="spellStart"/>
            <w:r w:rsidRPr="00597454">
              <w:t>eg</w:t>
            </w:r>
            <w:proofErr w:type="spellEnd"/>
            <w:r w:rsidRPr="00597454">
              <w:t>, a pod</w:t>
            </w:r>
            <w:r w:rsidR="00597454">
              <w:t>cast, on syphilis for midwives.</w:t>
            </w:r>
          </w:p>
        </w:tc>
        <w:tc>
          <w:tcPr>
            <w:tcW w:w="1418" w:type="dxa"/>
            <w:tcBorders>
              <w:top w:val="single" w:sz="4" w:space="0" w:color="A6A6A6" w:themeColor="background1" w:themeShade="A6"/>
              <w:left w:val="nil"/>
              <w:bottom w:val="nil"/>
              <w:right w:val="nil"/>
            </w:tcBorders>
            <w:shd w:val="clear" w:color="auto" w:fill="auto"/>
          </w:tcPr>
          <w:p w:rsidR="00FC5571" w:rsidRPr="008D1F7C" w:rsidRDefault="00FC5571" w:rsidP="00597454">
            <w:pPr>
              <w:pStyle w:val="TableText"/>
            </w:pPr>
            <w:r w:rsidRPr="008D1F7C">
              <w:t>Medium term</w:t>
            </w:r>
          </w:p>
        </w:tc>
        <w:tc>
          <w:tcPr>
            <w:tcW w:w="1559" w:type="dxa"/>
            <w:tcBorders>
              <w:top w:val="single" w:sz="4" w:space="0" w:color="A6A6A6" w:themeColor="background1" w:themeShade="A6"/>
              <w:left w:val="nil"/>
              <w:bottom w:val="nil"/>
              <w:right w:val="nil"/>
            </w:tcBorders>
            <w:shd w:val="clear" w:color="auto" w:fill="auto"/>
          </w:tcPr>
          <w:p w:rsidR="00FC5571" w:rsidRPr="008D1F7C" w:rsidRDefault="00FC5571" w:rsidP="00597454">
            <w:pPr>
              <w:pStyle w:val="TableText"/>
            </w:pPr>
            <w:r w:rsidRPr="008D1F7C">
              <w:t>NZCOM</w:t>
            </w:r>
          </w:p>
        </w:tc>
      </w:tr>
      <w:tr w:rsidR="00FC5571" w:rsidRPr="00597454" w:rsidTr="00597454">
        <w:trPr>
          <w:cantSplit/>
        </w:trPr>
        <w:tc>
          <w:tcPr>
            <w:tcW w:w="5103" w:type="dxa"/>
            <w:tcBorders>
              <w:top w:val="nil"/>
              <w:left w:val="nil"/>
              <w:bottom w:val="nil"/>
              <w:right w:val="nil"/>
            </w:tcBorders>
            <w:shd w:val="clear" w:color="auto" w:fill="F2F2F2" w:themeFill="background1" w:themeFillShade="F2"/>
          </w:tcPr>
          <w:p w:rsidR="00FC5571" w:rsidRPr="00597454" w:rsidRDefault="00FC5571" w:rsidP="00597454">
            <w:pPr>
              <w:pStyle w:val="TableText"/>
              <w:ind w:right="113"/>
              <w:rPr>
                <w:b/>
              </w:rPr>
            </w:pPr>
            <w:r w:rsidRPr="00597454">
              <w:rPr>
                <w:b/>
              </w:rPr>
              <w:t>Regional action</w:t>
            </w:r>
          </w:p>
        </w:tc>
        <w:tc>
          <w:tcPr>
            <w:tcW w:w="1418" w:type="dxa"/>
            <w:tcBorders>
              <w:top w:val="nil"/>
              <w:left w:val="nil"/>
              <w:bottom w:val="nil"/>
              <w:right w:val="nil"/>
            </w:tcBorders>
            <w:shd w:val="clear" w:color="auto" w:fill="F2F2F2" w:themeFill="background1" w:themeFillShade="F2"/>
          </w:tcPr>
          <w:p w:rsidR="00FC5571" w:rsidRPr="00597454" w:rsidRDefault="00597454" w:rsidP="00597454">
            <w:pPr>
              <w:pStyle w:val="TableText"/>
              <w:rPr>
                <w:b/>
              </w:rPr>
            </w:pPr>
            <w:r w:rsidRPr="00597454">
              <w:rPr>
                <w:b/>
              </w:rPr>
              <w:t>Timeline</w:t>
            </w:r>
          </w:p>
        </w:tc>
        <w:tc>
          <w:tcPr>
            <w:tcW w:w="1559" w:type="dxa"/>
            <w:tcBorders>
              <w:top w:val="nil"/>
              <w:left w:val="nil"/>
              <w:bottom w:val="nil"/>
              <w:right w:val="nil"/>
            </w:tcBorders>
            <w:shd w:val="clear" w:color="auto" w:fill="F2F2F2" w:themeFill="background1" w:themeFillShade="F2"/>
          </w:tcPr>
          <w:p w:rsidR="00FC5571" w:rsidRPr="00597454" w:rsidRDefault="00597454" w:rsidP="00597454">
            <w:pPr>
              <w:pStyle w:val="TableText"/>
              <w:rPr>
                <w:b/>
              </w:rPr>
            </w:pPr>
            <w:r w:rsidRPr="00597454">
              <w:rPr>
                <w:b/>
              </w:rPr>
              <w:t>Lead</w:t>
            </w:r>
          </w:p>
        </w:tc>
      </w:tr>
      <w:tr w:rsidR="00FC5571" w:rsidRPr="008D1F7C" w:rsidTr="00597454">
        <w:trPr>
          <w:cantSplit/>
        </w:trPr>
        <w:tc>
          <w:tcPr>
            <w:tcW w:w="5103" w:type="dxa"/>
            <w:tcBorders>
              <w:top w:val="nil"/>
              <w:left w:val="nil"/>
              <w:bottom w:val="single" w:sz="4" w:space="0" w:color="A6A6A6" w:themeColor="background1" w:themeShade="A6"/>
              <w:right w:val="nil"/>
            </w:tcBorders>
            <w:shd w:val="clear" w:color="auto" w:fill="auto"/>
          </w:tcPr>
          <w:p w:rsidR="00FC5571" w:rsidRPr="00597454" w:rsidRDefault="00FC5571" w:rsidP="00597454">
            <w:pPr>
              <w:pStyle w:val="TableText"/>
              <w:ind w:right="113"/>
            </w:pPr>
            <w:r w:rsidRPr="00597454">
              <w:t>Ensure that local management and referral pathways are shared with lead maternity carers.</w:t>
            </w:r>
          </w:p>
        </w:tc>
        <w:tc>
          <w:tcPr>
            <w:tcW w:w="1418" w:type="dxa"/>
            <w:tcBorders>
              <w:top w:val="nil"/>
              <w:left w:val="nil"/>
              <w:bottom w:val="single" w:sz="4" w:space="0" w:color="A6A6A6" w:themeColor="background1" w:themeShade="A6"/>
              <w:right w:val="nil"/>
            </w:tcBorders>
            <w:shd w:val="clear" w:color="auto" w:fill="auto"/>
          </w:tcPr>
          <w:p w:rsidR="00FC5571" w:rsidRPr="008D1F7C" w:rsidRDefault="00FC5571" w:rsidP="00597454">
            <w:pPr>
              <w:pStyle w:val="TableText"/>
            </w:pPr>
            <w:r w:rsidRPr="008D1F7C">
              <w:t>As per regional priorities</w:t>
            </w:r>
          </w:p>
        </w:tc>
        <w:tc>
          <w:tcPr>
            <w:tcW w:w="1559" w:type="dxa"/>
            <w:tcBorders>
              <w:top w:val="nil"/>
              <w:left w:val="nil"/>
              <w:bottom w:val="single" w:sz="4" w:space="0" w:color="A6A6A6" w:themeColor="background1" w:themeShade="A6"/>
              <w:right w:val="nil"/>
            </w:tcBorders>
            <w:shd w:val="clear" w:color="auto" w:fill="auto"/>
          </w:tcPr>
          <w:p w:rsidR="00FC5571" w:rsidRPr="008D1F7C" w:rsidRDefault="00FC5571" w:rsidP="00597454">
            <w:pPr>
              <w:pStyle w:val="TableText"/>
            </w:pPr>
            <w:r w:rsidRPr="008D1F7C">
              <w:t>Regional leads</w:t>
            </w:r>
          </w:p>
        </w:tc>
      </w:tr>
    </w:tbl>
    <w:p w:rsidR="00FC5571" w:rsidRDefault="00FC5571" w:rsidP="00597454">
      <w:pPr>
        <w:rPr>
          <w:rFonts w:eastAsiaTheme="majorEastAsia"/>
        </w:rPr>
      </w:pPr>
      <w:bookmarkStart w:id="24" w:name="_Toc2923076"/>
    </w:p>
    <w:p w:rsidR="00FC5571" w:rsidRPr="008D1F7C" w:rsidRDefault="00FC5571" w:rsidP="00AD12DD">
      <w:pPr>
        <w:pStyle w:val="Heading2"/>
      </w:pPr>
      <w:bookmarkStart w:id="25" w:name="_Toc12347677"/>
      <w:r w:rsidRPr="008D1F7C">
        <w:lastRenderedPageBreak/>
        <w:t>Action area 4: Surveillance</w:t>
      </w:r>
      <w:bookmarkEnd w:id="24"/>
      <w:bookmarkEnd w:id="25"/>
    </w:p>
    <w:p w:rsidR="00FC5571" w:rsidRDefault="00FC5571" w:rsidP="00597454">
      <w:r w:rsidRPr="008D1F7C">
        <w:t>Ready access to high-quality surveillance data will improve understanding of at-risk populations, improve planning and evaluation of prevention and control activities and also supply data for ongoing monitoring of the syphilis epidemic in New Zealand.</w:t>
      </w:r>
    </w:p>
    <w:p w:rsidR="00AD12DD" w:rsidRDefault="00AD12DD" w:rsidP="00597454"/>
    <w:p w:rsidR="00FC5571" w:rsidRDefault="00FC5571" w:rsidP="00597454">
      <w:r w:rsidRPr="008D1F7C">
        <w:t>In 2017, syphilis became a notifiable disease under the Health (Protection) Amendment Act 2016.</w:t>
      </w:r>
      <w:r w:rsidR="004B15E4">
        <w:t xml:space="preserve"> </w:t>
      </w:r>
      <w:r>
        <w:t xml:space="preserve">It is </w:t>
      </w:r>
      <w:r w:rsidRPr="008D1F7C">
        <w:t>a Section C disease, meaning it has to be notified without any identifiable patient information. ESR has developed an automated notification system for Section C diseases, but the system is not yet fully operational due to information technology difficulties. An interim solution went live on 1 November 2018, while the full system is anticipated to be operational during 2020. The Ministry of Health and ESR are working together to ensure the interim solution is effective in collecting the information needed for surveillance.</w:t>
      </w:r>
    </w:p>
    <w:p w:rsidR="00AD12DD" w:rsidRDefault="00AD12DD" w:rsidP="00597454"/>
    <w:p w:rsidR="00FC5571" w:rsidRPr="008D1F7C" w:rsidRDefault="00FC5571" w:rsidP="00597454">
      <w:r w:rsidRPr="008D1F7C">
        <w:t>Up until November 2018</w:t>
      </w:r>
      <w:r>
        <w:t>,</w:t>
      </w:r>
      <w:r w:rsidRPr="008D1F7C">
        <w:t xml:space="preserve"> syphilis surveillance had relied on sentinel surveillance from sexual health and family planning clinics. Because the sentinel surveillance system did not capture cases of syphilis that general practitioners diagnose and manage, it may have underestimated the true burden of syphilis in New Zealand.</w:t>
      </w:r>
      <w:r w:rsidR="004B15E4">
        <w:t xml:space="preserve"> </w:t>
      </w:r>
      <w:r>
        <w:t>As a result, caution is needed when comparing syphilis data before and after November 2018.</w:t>
      </w:r>
    </w:p>
    <w:p w:rsidR="00FC5571" w:rsidRPr="008D1F7C" w:rsidRDefault="00FC5571" w:rsidP="00597454"/>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45"/>
        <w:gridCol w:w="1276"/>
        <w:gridCol w:w="1559"/>
      </w:tblGrid>
      <w:tr w:rsidR="00FC5571" w:rsidRPr="00597454" w:rsidTr="00597454">
        <w:trPr>
          <w:cantSplit/>
        </w:trPr>
        <w:tc>
          <w:tcPr>
            <w:tcW w:w="8080" w:type="dxa"/>
            <w:gridSpan w:val="3"/>
            <w:tcBorders>
              <w:top w:val="nil"/>
              <w:left w:val="nil"/>
              <w:bottom w:val="nil"/>
              <w:right w:val="nil"/>
            </w:tcBorders>
            <w:shd w:val="clear" w:color="auto" w:fill="D9D9D9" w:themeFill="background1" w:themeFillShade="D9"/>
          </w:tcPr>
          <w:p w:rsidR="00FC5571" w:rsidRPr="00597454" w:rsidRDefault="00FC5571" w:rsidP="00597454">
            <w:pPr>
              <w:pStyle w:val="TableText"/>
              <w:rPr>
                <w:b/>
              </w:rPr>
            </w:pPr>
            <w:r w:rsidRPr="00597454">
              <w:rPr>
                <w:b/>
              </w:rPr>
              <w:t>High-qual</w:t>
            </w:r>
            <w:r w:rsidR="00597454">
              <w:rPr>
                <w:b/>
              </w:rPr>
              <w:t>ity surveillance data available</w:t>
            </w:r>
          </w:p>
        </w:tc>
      </w:tr>
      <w:tr w:rsidR="00FC5571" w:rsidRPr="00597454" w:rsidTr="00597454">
        <w:trPr>
          <w:cantSplit/>
        </w:trPr>
        <w:tc>
          <w:tcPr>
            <w:tcW w:w="5245" w:type="dxa"/>
            <w:tcBorders>
              <w:top w:val="nil"/>
              <w:left w:val="nil"/>
              <w:bottom w:val="nil"/>
              <w:right w:val="nil"/>
            </w:tcBorders>
            <w:shd w:val="clear" w:color="auto" w:fill="F2F2F2" w:themeFill="background1" w:themeFillShade="F2"/>
          </w:tcPr>
          <w:p w:rsidR="00FC5571" w:rsidRPr="00597454" w:rsidRDefault="00FC5571" w:rsidP="00597454">
            <w:pPr>
              <w:pStyle w:val="TableText"/>
              <w:rPr>
                <w:b/>
              </w:rPr>
            </w:pPr>
            <w:r w:rsidRPr="00597454">
              <w:rPr>
                <w:b/>
              </w:rPr>
              <w:t>National actions</w:t>
            </w:r>
          </w:p>
        </w:tc>
        <w:tc>
          <w:tcPr>
            <w:tcW w:w="1276" w:type="dxa"/>
            <w:tcBorders>
              <w:top w:val="nil"/>
              <w:left w:val="nil"/>
              <w:bottom w:val="nil"/>
              <w:right w:val="nil"/>
            </w:tcBorders>
            <w:shd w:val="clear" w:color="auto" w:fill="F2F2F2" w:themeFill="background1" w:themeFillShade="F2"/>
          </w:tcPr>
          <w:p w:rsidR="00FC5571" w:rsidRPr="00597454" w:rsidRDefault="00FC5571" w:rsidP="00597454">
            <w:pPr>
              <w:pStyle w:val="TableText"/>
              <w:rPr>
                <w:b/>
              </w:rPr>
            </w:pPr>
            <w:r w:rsidRPr="00597454">
              <w:rPr>
                <w:b/>
              </w:rPr>
              <w:t>Timeline</w:t>
            </w:r>
          </w:p>
        </w:tc>
        <w:tc>
          <w:tcPr>
            <w:tcW w:w="1559" w:type="dxa"/>
            <w:tcBorders>
              <w:top w:val="nil"/>
              <w:left w:val="nil"/>
              <w:bottom w:val="nil"/>
              <w:right w:val="nil"/>
            </w:tcBorders>
            <w:shd w:val="clear" w:color="auto" w:fill="F2F2F2" w:themeFill="background1" w:themeFillShade="F2"/>
          </w:tcPr>
          <w:p w:rsidR="00FC5571" w:rsidRPr="00597454" w:rsidRDefault="00597454" w:rsidP="00597454">
            <w:pPr>
              <w:pStyle w:val="TableText"/>
              <w:rPr>
                <w:b/>
              </w:rPr>
            </w:pPr>
            <w:r>
              <w:rPr>
                <w:b/>
              </w:rPr>
              <w:t>Lead</w:t>
            </w:r>
          </w:p>
        </w:tc>
      </w:tr>
      <w:tr w:rsidR="00FC5571" w:rsidRPr="008D1F7C" w:rsidTr="00597454">
        <w:trPr>
          <w:cantSplit/>
        </w:trPr>
        <w:tc>
          <w:tcPr>
            <w:tcW w:w="5245" w:type="dxa"/>
            <w:tcBorders>
              <w:top w:val="nil"/>
              <w:left w:val="nil"/>
              <w:bottom w:val="single" w:sz="4" w:space="0" w:color="A6A6A6" w:themeColor="background1" w:themeShade="A6"/>
              <w:right w:val="nil"/>
            </w:tcBorders>
            <w:shd w:val="clear" w:color="auto" w:fill="auto"/>
          </w:tcPr>
          <w:p w:rsidR="00FC5571" w:rsidRPr="00597454" w:rsidRDefault="00FC5571" w:rsidP="00597454">
            <w:pPr>
              <w:pStyle w:val="TableText"/>
              <w:ind w:right="113"/>
            </w:pPr>
            <w:r w:rsidRPr="00597454">
              <w:t>Develop monitoring framework for the delivery of the national syphilis action plan.</w:t>
            </w:r>
          </w:p>
        </w:tc>
        <w:tc>
          <w:tcPr>
            <w:tcW w:w="1276" w:type="dxa"/>
            <w:tcBorders>
              <w:top w:val="nil"/>
              <w:left w:val="nil"/>
              <w:bottom w:val="single" w:sz="4" w:space="0" w:color="A6A6A6" w:themeColor="background1" w:themeShade="A6"/>
              <w:right w:val="nil"/>
            </w:tcBorders>
            <w:shd w:val="clear" w:color="auto" w:fill="auto"/>
          </w:tcPr>
          <w:p w:rsidR="00FC5571" w:rsidRPr="00597454" w:rsidRDefault="00FC5571" w:rsidP="00597454">
            <w:pPr>
              <w:pStyle w:val="TableText"/>
            </w:pPr>
            <w:r w:rsidRPr="00597454">
              <w:t>Short term</w:t>
            </w:r>
          </w:p>
        </w:tc>
        <w:tc>
          <w:tcPr>
            <w:tcW w:w="1559" w:type="dxa"/>
            <w:tcBorders>
              <w:top w:val="nil"/>
              <w:left w:val="nil"/>
              <w:bottom w:val="single" w:sz="4" w:space="0" w:color="A6A6A6" w:themeColor="background1" w:themeShade="A6"/>
              <w:right w:val="nil"/>
            </w:tcBorders>
            <w:shd w:val="clear" w:color="auto" w:fill="auto"/>
          </w:tcPr>
          <w:p w:rsidR="00FC5571" w:rsidRPr="00597454" w:rsidRDefault="00FC5571" w:rsidP="00597454">
            <w:pPr>
              <w:pStyle w:val="TableText"/>
            </w:pPr>
            <w:r w:rsidRPr="00597454">
              <w:t>Ministry of Health</w:t>
            </w:r>
          </w:p>
        </w:tc>
      </w:tr>
      <w:tr w:rsidR="00FC5571" w:rsidRPr="008D1F7C" w:rsidTr="00597454">
        <w:trPr>
          <w:cantSplit/>
        </w:trPr>
        <w:tc>
          <w:tcPr>
            <w:tcW w:w="5245"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597454" w:rsidRDefault="00FC5571" w:rsidP="00597454">
            <w:pPr>
              <w:pStyle w:val="TableText"/>
              <w:ind w:right="113"/>
            </w:pPr>
            <w:r w:rsidRPr="00597454">
              <w:t>Work with ESR to resolve automated STI notification system issues.</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597454" w:rsidRDefault="00FC5571" w:rsidP="00597454">
            <w:pPr>
              <w:pStyle w:val="TableText"/>
            </w:pPr>
            <w:r w:rsidRPr="00597454">
              <w:t>Medium term</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597454" w:rsidRDefault="00FC5571" w:rsidP="00597454">
            <w:pPr>
              <w:pStyle w:val="TableText"/>
            </w:pPr>
            <w:r w:rsidRPr="00597454">
              <w:t>Ministry of Health and ESR</w:t>
            </w:r>
          </w:p>
        </w:tc>
      </w:tr>
      <w:tr w:rsidR="00FC5571" w:rsidRPr="008D1F7C" w:rsidTr="00597454">
        <w:trPr>
          <w:cantSplit/>
        </w:trPr>
        <w:tc>
          <w:tcPr>
            <w:tcW w:w="5245"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597454" w:rsidRDefault="00FC5571" w:rsidP="00597454">
            <w:pPr>
              <w:pStyle w:val="TableText"/>
              <w:ind w:right="113"/>
            </w:pPr>
            <w:r w:rsidRPr="00597454">
              <w:t xml:space="preserve">Until fully automated system is operational, work with ESR to make syphilis surveillance data </w:t>
            </w:r>
            <w:r w:rsidR="00597454">
              <w:t>accessible and fit for purpose.</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597454" w:rsidRDefault="00FC5571" w:rsidP="00597454">
            <w:pPr>
              <w:pStyle w:val="TableText"/>
            </w:pPr>
            <w:r w:rsidRPr="00597454">
              <w:t>Short term</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597454" w:rsidRDefault="00FC5571" w:rsidP="00597454">
            <w:pPr>
              <w:pStyle w:val="TableText"/>
            </w:pPr>
            <w:r w:rsidRPr="00597454">
              <w:t>Ministry of Health and ESR</w:t>
            </w:r>
          </w:p>
        </w:tc>
      </w:tr>
      <w:tr w:rsidR="00FC5571" w:rsidRPr="008D1F7C" w:rsidTr="00597454">
        <w:trPr>
          <w:cantSplit/>
        </w:trPr>
        <w:tc>
          <w:tcPr>
            <w:tcW w:w="5245"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597454" w:rsidRDefault="00FC5571" w:rsidP="00597454">
            <w:pPr>
              <w:pStyle w:val="TableText"/>
              <w:ind w:right="113"/>
            </w:pPr>
            <w:r w:rsidRPr="00597454">
              <w:t>Ensure timely delivery of fit for purpose STI annual reports.</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597454" w:rsidRDefault="00FC5571" w:rsidP="00597454">
            <w:pPr>
              <w:pStyle w:val="TableText"/>
            </w:pPr>
            <w:r w:rsidRPr="00597454">
              <w:t>Ongoing</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597454" w:rsidRDefault="00FC5571" w:rsidP="00597454">
            <w:pPr>
              <w:pStyle w:val="TableText"/>
            </w:pPr>
            <w:r w:rsidRPr="00597454">
              <w:t>Ministry of Health and ESR</w:t>
            </w:r>
          </w:p>
        </w:tc>
      </w:tr>
      <w:tr w:rsidR="00FC5571" w:rsidRPr="008D1F7C" w:rsidTr="00597454">
        <w:trPr>
          <w:cantSplit/>
        </w:trPr>
        <w:tc>
          <w:tcPr>
            <w:tcW w:w="5245"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597454" w:rsidRDefault="00FC5571" w:rsidP="00597454">
            <w:pPr>
              <w:pStyle w:val="TableText"/>
              <w:ind w:right="113"/>
            </w:pPr>
            <w:r w:rsidRPr="00597454">
              <w:t xml:space="preserve">Review options for including strain typing to monitor transmission networks and association with complications, </w:t>
            </w:r>
            <w:proofErr w:type="spellStart"/>
            <w:r w:rsidRPr="00597454">
              <w:t>eg</w:t>
            </w:r>
            <w:proofErr w:type="spellEnd"/>
            <w:r w:rsidRPr="00597454">
              <w:t xml:space="preserve">, ocular or </w:t>
            </w:r>
            <w:proofErr w:type="spellStart"/>
            <w:r w:rsidRPr="00597454">
              <w:t>neurosyphilis</w:t>
            </w:r>
            <w:proofErr w:type="spellEnd"/>
            <w:r w:rsidRPr="00597454">
              <w:t>.</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597454" w:rsidRDefault="00FC5571" w:rsidP="00597454">
            <w:pPr>
              <w:pStyle w:val="TableText"/>
            </w:pPr>
            <w:r w:rsidRPr="00597454">
              <w:t>Medium term</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rsidR="00FC5571" w:rsidRPr="00597454" w:rsidRDefault="00FC5571" w:rsidP="00597454">
            <w:pPr>
              <w:pStyle w:val="TableText"/>
            </w:pPr>
            <w:r w:rsidRPr="00597454">
              <w:t>Ministry of Health and ESR</w:t>
            </w:r>
          </w:p>
        </w:tc>
      </w:tr>
      <w:tr w:rsidR="00FC5571" w:rsidRPr="008D1F7C" w:rsidTr="00597454">
        <w:trPr>
          <w:cantSplit/>
        </w:trPr>
        <w:tc>
          <w:tcPr>
            <w:tcW w:w="5245" w:type="dxa"/>
            <w:tcBorders>
              <w:top w:val="single" w:sz="4" w:space="0" w:color="A6A6A6" w:themeColor="background1" w:themeShade="A6"/>
              <w:left w:val="nil"/>
              <w:bottom w:val="nil"/>
              <w:right w:val="nil"/>
            </w:tcBorders>
            <w:shd w:val="clear" w:color="auto" w:fill="auto"/>
          </w:tcPr>
          <w:p w:rsidR="00FC5571" w:rsidRPr="00597454" w:rsidRDefault="00FC5571" w:rsidP="00597454">
            <w:pPr>
              <w:pStyle w:val="TableText"/>
              <w:ind w:right="113"/>
            </w:pPr>
            <w:r w:rsidRPr="00597454">
              <w:t>Undertake a broader review of STI surveillance system.</w:t>
            </w:r>
          </w:p>
        </w:tc>
        <w:tc>
          <w:tcPr>
            <w:tcW w:w="1276" w:type="dxa"/>
            <w:tcBorders>
              <w:top w:val="single" w:sz="4" w:space="0" w:color="A6A6A6" w:themeColor="background1" w:themeShade="A6"/>
              <w:left w:val="nil"/>
              <w:bottom w:val="nil"/>
              <w:right w:val="nil"/>
            </w:tcBorders>
            <w:shd w:val="clear" w:color="auto" w:fill="auto"/>
          </w:tcPr>
          <w:p w:rsidR="00FC5571" w:rsidRPr="00597454" w:rsidRDefault="00FC5571" w:rsidP="00597454">
            <w:pPr>
              <w:pStyle w:val="TableText"/>
            </w:pPr>
            <w:r w:rsidRPr="00597454">
              <w:t>Medium term</w:t>
            </w:r>
          </w:p>
        </w:tc>
        <w:tc>
          <w:tcPr>
            <w:tcW w:w="1559" w:type="dxa"/>
            <w:tcBorders>
              <w:top w:val="single" w:sz="4" w:space="0" w:color="A6A6A6" w:themeColor="background1" w:themeShade="A6"/>
              <w:left w:val="nil"/>
              <w:bottom w:val="nil"/>
              <w:right w:val="nil"/>
            </w:tcBorders>
            <w:shd w:val="clear" w:color="auto" w:fill="auto"/>
          </w:tcPr>
          <w:p w:rsidR="00FC5571" w:rsidRPr="00597454" w:rsidRDefault="00FC5571" w:rsidP="00597454">
            <w:pPr>
              <w:pStyle w:val="TableText"/>
            </w:pPr>
            <w:r w:rsidRPr="00597454">
              <w:t>Ministry of Health and ESR</w:t>
            </w:r>
          </w:p>
        </w:tc>
      </w:tr>
      <w:tr w:rsidR="00FC5571" w:rsidRPr="00597454" w:rsidTr="00597454">
        <w:trPr>
          <w:cantSplit/>
        </w:trPr>
        <w:tc>
          <w:tcPr>
            <w:tcW w:w="5245" w:type="dxa"/>
            <w:tcBorders>
              <w:top w:val="nil"/>
              <w:left w:val="nil"/>
              <w:bottom w:val="nil"/>
              <w:right w:val="nil"/>
            </w:tcBorders>
            <w:shd w:val="clear" w:color="auto" w:fill="F2F2F2" w:themeFill="background1" w:themeFillShade="F2"/>
          </w:tcPr>
          <w:p w:rsidR="00FC5571" w:rsidRPr="00597454" w:rsidRDefault="00FC5571" w:rsidP="00597454">
            <w:pPr>
              <w:pStyle w:val="TableText"/>
              <w:rPr>
                <w:b/>
              </w:rPr>
            </w:pPr>
            <w:r w:rsidRPr="00597454">
              <w:rPr>
                <w:b/>
              </w:rPr>
              <w:t>Regional actions</w:t>
            </w:r>
          </w:p>
        </w:tc>
        <w:tc>
          <w:tcPr>
            <w:tcW w:w="1276" w:type="dxa"/>
            <w:tcBorders>
              <w:top w:val="nil"/>
              <w:left w:val="nil"/>
              <w:bottom w:val="nil"/>
              <w:right w:val="nil"/>
            </w:tcBorders>
            <w:shd w:val="clear" w:color="auto" w:fill="F2F2F2" w:themeFill="background1" w:themeFillShade="F2"/>
          </w:tcPr>
          <w:p w:rsidR="00FC5571" w:rsidRPr="00597454" w:rsidRDefault="00597454" w:rsidP="00597454">
            <w:pPr>
              <w:pStyle w:val="TableText"/>
              <w:rPr>
                <w:b/>
              </w:rPr>
            </w:pPr>
            <w:r w:rsidRPr="00597454">
              <w:rPr>
                <w:b/>
              </w:rPr>
              <w:t>Timeline</w:t>
            </w:r>
          </w:p>
        </w:tc>
        <w:tc>
          <w:tcPr>
            <w:tcW w:w="1559" w:type="dxa"/>
            <w:tcBorders>
              <w:top w:val="nil"/>
              <w:left w:val="nil"/>
              <w:bottom w:val="nil"/>
              <w:right w:val="nil"/>
            </w:tcBorders>
            <w:shd w:val="clear" w:color="auto" w:fill="F2F2F2" w:themeFill="background1" w:themeFillShade="F2"/>
          </w:tcPr>
          <w:p w:rsidR="00FC5571" w:rsidRPr="00597454" w:rsidRDefault="00597454" w:rsidP="00597454">
            <w:pPr>
              <w:pStyle w:val="TableText"/>
              <w:rPr>
                <w:b/>
              </w:rPr>
            </w:pPr>
            <w:r w:rsidRPr="00597454">
              <w:rPr>
                <w:b/>
              </w:rPr>
              <w:t>Lead</w:t>
            </w:r>
          </w:p>
        </w:tc>
      </w:tr>
      <w:tr w:rsidR="00FC5571" w:rsidRPr="008D1F7C" w:rsidTr="00597454">
        <w:trPr>
          <w:cantSplit/>
        </w:trPr>
        <w:tc>
          <w:tcPr>
            <w:tcW w:w="5245" w:type="dxa"/>
            <w:tcBorders>
              <w:top w:val="nil"/>
              <w:left w:val="nil"/>
              <w:bottom w:val="single" w:sz="4" w:space="0" w:color="A6A6A6" w:themeColor="background1" w:themeShade="A6"/>
              <w:right w:val="nil"/>
            </w:tcBorders>
            <w:shd w:val="clear" w:color="auto" w:fill="auto"/>
          </w:tcPr>
          <w:p w:rsidR="00FC5571" w:rsidRPr="00597454" w:rsidRDefault="00FC5571" w:rsidP="00597454">
            <w:pPr>
              <w:pStyle w:val="TableText"/>
              <w:ind w:right="113"/>
            </w:pPr>
            <w:r w:rsidRPr="00597454">
              <w:t>Monitor local trends and at-risk groups.</w:t>
            </w:r>
          </w:p>
        </w:tc>
        <w:tc>
          <w:tcPr>
            <w:tcW w:w="1276" w:type="dxa"/>
            <w:tcBorders>
              <w:top w:val="nil"/>
              <w:left w:val="nil"/>
              <w:bottom w:val="single" w:sz="4" w:space="0" w:color="A6A6A6" w:themeColor="background1" w:themeShade="A6"/>
              <w:right w:val="nil"/>
            </w:tcBorders>
            <w:shd w:val="clear" w:color="auto" w:fill="auto"/>
          </w:tcPr>
          <w:p w:rsidR="00FC5571" w:rsidRPr="00597454" w:rsidRDefault="00FC5571" w:rsidP="00597454">
            <w:pPr>
              <w:pStyle w:val="TableText"/>
            </w:pPr>
            <w:r w:rsidRPr="00597454">
              <w:t xml:space="preserve">Ongoing </w:t>
            </w:r>
          </w:p>
        </w:tc>
        <w:tc>
          <w:tcPr>
            <w:tcW w:w="1559" w:type="dxa"/>
            <w:tcBorders>
              <w:top w:val="nil"/>
              <w:left w:val="nil"/>
              <w:bottom w:val="single" w:sz="4" w:space="0" w:color="A6A6A6" w:themeColor="background1" w:themeShade="A6"/>
              <w:right w:val="nil"/>
            </w:tcBorders>
            <w:shd w:val="clear" w:color="auto" w:fill="auto"/>
          </w:tcPr>
          <w:p w:rsidR="00FC5571" w:rsidRPr="00597454" w:rsidRDefault="00FC5571" w:rsidP="00597454">
            <w:pPr>
              <w:pStyle w:val="TableText"/>
            </w:pPr>
            <w:r w:rsidRPr="00597454">
              <w:t>District Health Boards</w:t>
            </w:r>
          </w:p>
        </w:tc>
      </w:tr>
    </w:tbl>
    <w:p w:rsidR="00FC5571" w:rsidRPr="008D1F7C" w:rsidRDefault="00FC5571" w:rsidP="00597454">
      <w:pPr>
        <w:rPr>
          <w:rFonts w:eastAsiaTheme="majorEastAsia"/>
        </w:rPr>
      </w:pPr>
    </w:p>
    <w:p w:rsidR="00FC5571" w:rsidRPr="008D1F7C" w:rsidRDefault="00FC5571" w:rsidP="00AD12DD">
      <w:pPr>
        <w:pStyle w:val="Heading1"/>
      </w:pPr>
      <w:bookmarkStart w:id="26" w:name="_Toc2923077"/>
      <w:bookmarkStart w:id="27" w:name="_Toc12347678"/>
      <w:r w:rsidRPr="008D1F7C">
        <w:lastRenderedPageBreak/>
        <w:t>References</w:t>
      </w:r>
      <w:bookmarkEnd w:id="26"/>
      <w:bookmarkEnd w:id="27"/>
    </w:p>
    <w:p w:rsidR="00FC5571" w:rsidRPr="008D1F7C" w:rsidRDefault="00FC5571" w:rsidP="00AD12DD">
      <w:pPr>
        <w:pStyle w:val="References"/>
      </w:pPr>
      <w:r w:rsidRPr="008D1F7C">
        <w:t>Porta M (</w:t>
      </w:r>
      <w:proofErr w:type="spellStart"/>
      <w:proofErr w:type="gramStart"/>
      <w:r w:rsidRPr="008D1F7C">
        <w:t>ed</w:t>
      </w:r>
      <w:proofErr w:type="spellEnd"/>
      <w:proofErr w:type="gramEnd"/>
      <w:r w:rsidRPr="008D1F7C">
        <w:t xml:space="preserve">). 2014. </w:t>
      </w:r>
      <w:r w:rsidRPr="008D1F7C">
        <w:rPr>
          <w:i/>
          <w:iCs/>
        </w:rPr>
        <w:t>A Dictionary of Epidemiology</w:t>
      </w:r>
      <w:r w:rsidRPr="008D1F7C">
        <w:t>. Oxford: Oxford University Press.</w:t>
      </w:r>
    </w:p>
    <w:p w:rsidR="00FC5571" w:rsidRPr="008D1F7C" w:rsidRDefault="00FC5571" w:rsidP="00AD12DD">
      <w:pPr>
        <w:pStyle w:val="References"/>
      </w:pPr>
      <w:r w:rsidRPr="008D1F7C">
        <w:t xml:space="preserve">Ministry of Health. 2017. Annual Data Explorer 2016/17: New Zealand Health Survey [Data File]. URL: </w:t>
      </w:r>
      <w:r w:rsidRPr="009B4AF1">
        <w:t>https://www.health.govt.nz/nz-health-statistics/national-collections-and-surveys/surveys/new-zealand-health-survey#2016-17</w:t>
      </w:r>
      <w:r>
        <w:t>.</w:t>
      </w:r>
    </w:p>
    <w:p w:rsidR="00414C35" w:rsidRDefault="00414C35" w:rsidP="00AD12DD"/>
    <w:sectPr w:rsidR="00414C35" w:rsidSect="002B7BEC">
      <w:footerReference w:type="even" r:id="rId22"/>
      <w:footerReference w:type="default" r:id="rId23"/>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A56" w:rsidRDefault="00F92A56">
      <w:r>
        <w:separator/>
      </w:r>
    </w:p>
    <w:p w:rsidR="00F92A56" w:rsidRDefault="00F92A56"/>
  </w:endnote>
  <w:endnote w:type="continuationSeparator" w:id="0">
    <w:p w:rsidR="00F92A56" w:rsidRDefault="00F92A56">
      <w:r>
        <w:continuationSeparator/>
      </w:r>
    </w:p>
    <w:p w:rsidR="00F92A56" w:rsidRDefault="00F92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98" w:rsidRPr="00581136" w:rsidRDefault="00AA1698" w:rsidP="005A79E5">
    <w:pPr>
      <w:pStyle w:val="Footer"/>
      <w:pBdr>
        <w:bottom w:val="single" w:sz="4" w:space="1" w:color="auto"/>
      </w:pBdr>
      <w:tabs>
        <w:tab w:val="right" w:pos="9639"/>
      </w:tabs>
      <w:rPr>
        <w:b/>
      </w:rPr>
    </w:pPr>
    <w:r w:rsidRPr="00581136">
      <w:rPr>
        <w:b/>
      </w:rPr>
      <w:t>Released 201</w:t>
    </w:r>
    <w:r>
      <w:rPr>
        <w:b/>
      </w:rPr>
      <w:t>9</w:t>
    </w:r>
    <w:r w:rsidRPr="00581136">
      <w:rPr>
        <w:b/>
      </w:rPr>
      <w:tab/>
      <w:t>health.govt.nz</w:t>
    </w:r>
  </w:p>
  <w:p w:rsidR="00AA1698" w:rsidRPr="005A79E5" w:rsidRDefault="00AA1698">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98" w:rsidRDefault="00AA1698" w:rsidP="004D6689">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98" w:rsidRDefault="00AA16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AA1698" w:rsidTr="00D662F8">
      <w:trPr>
        <w:cantSplit/>
      </w:trPr>
      <w:tc>
        <w:tcPr>
          <w:tcW w:w="709" w:type="dxa"/>
          <w:vAlign w:val="center"/>
        </w:tcPr>
        <w:p w:rsidR="00AA1698" w:rsidRPr="00931466" w:rsidRDefault="00AA1698"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rsidR="00AA1698" w:rsidRDefault="00AA1698" w:rsidP="00926083">
          <w:pPr>
            <w:pStyle w:val="RectoFooter"/>
            <w:jc w:val="left"/>
          </w:pPr>
          <w:r>
            <w:t>[INSERT TITLE]</w:t>
          </w:r>
        </w:p>
      </w:tc>
    </w:tr>
  </w:tbl>
  <w:p w:rsidR="00AA1698" w:rsidRPr="00571223" w:rsidRDefault="00AA1698" w:rsidP="00571223">
    <w:pPr>
      <w:pStyle w:val="VersoFoote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AA1698" w:rsidTr="00D662F8">
      <w:trPr>
        <w:cantSplit/>
      </w:trPr>
      <w:tc>
        <w:tcPr>
          <w:tcW w:w="8080" w:type="dxa"/>
          <w:vAlign w:val="center"/>
        </w:tcPr>
        <w:p w:rsidR="00AA1698" w:rsidRDefault="00AA1698" w:rsidP="00926083">
          <w:pPr>
            <w:pStyle w:val="RectoFooter"/>
          </w:pPr>
          <w:r>
            <w:t>national syphilis action plan</w:t>
          </w:r>
        </w:p>
      </w:tc>
      <w:tc>
        <w:tcPr>
          <w:tcW w:w="709" w:type="dxa"/>
          <w:vAlign w:val="center"/>
        </w:tcPr>
        <w:p w:rsidR="00AA1698" w:rsidRPr="00931466" w:rsidRDefault="00AA1698"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93364">
            <w:rPr>
              <w:rStyle w:val="PageNumber"/>
              <w:noProof/>
            </w:rPr>
            <w:t>iii</w:t>
          </w:r>
          <w:r w:rsidRPr="00931466">
            <w:rPr>
              <w:rStyle w:val="PageNumber"/>
            </w:rPr>
            <w:fldChar w:fldCharType="end"/>
          </w:r>
        </w:p>
      </w:tc>
    </w:tr>
  </w:tbl>
  <w:p w:rsidR="00AA1698" w:rsidRPr="00581EB8" w:rsidRDefault="00AA1698" w:rsidP="00581EB8">
    <w:pPr>
      <w:pStyle w:val="Foote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98" w:rsidRPr="00571223" w:rsidRDefault="00AA1698" w:rsidP="00571223">
    <w:pPr>
      <w:pStyle w:val="VersoFoote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AA1698" w:rsidTr="00AA1698">
      <w:trPr>
        <w:cantSplit/>
      </w:trPr>
      <w:tc>
        <w:tcPr>
          <w:tcW w:w="709" w:type="dxa"/>
          <w:vAlign w:val="center"/>
        </w:tcPr>
        <w:p w:rsidR="00AA1698" w:rsidRPr="00931466" w:rsidRDefault="00AA1698" w:rsidP="00AA1698">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93364">
            <w:rPr>
              <w:rStyle w:val="PageNumber"/>
              <w:noProof/>
            </w:rPr>
            <w:t>12</w:t>
          </w:r>
          <w:r w:rsidRPr="00931466">
            <w:rPr>
              <w:rStyle w:val="PageNumber"/>
            </w:rPr>
            <w:fldChar w:fldCharType="end"/>
          </w:r>
        </w:p>
      </w:tc>
      <w:tc>
        <w:tcPr>
          <w:tcW w:w="8080" w:type="dxa"/>
          <w:vAlign w:val="center"/>
        </w:tcPr>
        <w:p w:rsidR="00AA1698" w:rsidRDefault="00AA1698" w:rsidP="00FC5571">
          <w:pPr>
            <w:pStyle w:val="RectoFooter"/>
            <w:jc w:val="left"/>
          </w:pPr>
          <w:r>
            <w:t>national syphilis action plan</w:t>
          </w:r>
        </w:p>
      </w:tc>
    </w:tr>
  </w:tbl>
  <w:p w:rsidR="00AA1698" w:rsidRPr="00571223" w:rsidRDefault="00AA1698" w:rsidP="00571223">
    <w:pPr>
      <w:pStyle w:val="VersoFoote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AA1698" w:rsidTr="00AA1698">
      <w:trPr>
        <w:cantSplit/>
      </w:trPr>
      <w:tc>
        <w:tcPr>
          <w:tcW w:w="8080" w:type="dxa"/>
          <w:vAlign w:val="center"/>
        </w:tcPr>
        <w:p w:rsidR="00AA1698" w:rsidRDefault="00AA1698" w:rsidP="002575E8">
          <w:pPr>
            <w:pStyle w:val="RectoFooter"/>
          </w:pPr>
          <w:r>
            <w:t>national syphilis action plan</w:t>
          </w:r>
        </w:p>
      </w:tc>
      <w:tc>
        <w:tcPr>
          <w:tcW w:w="709" w:type="dxa"/>
          <w:vAlign w:val="center"/>
        </w:tcPr>
        <w:p w:rsidR="00AA1698" w:rsidRPr="00931466" w:rsidRDefault="00AA1698" w:rsidP="00AA1698">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93364">
            <w:rPr>
              <w:rStyle w:val="PageNumber"/>
              <w:noProof/>
            </w:rPr>
            <w:t>11</w:t>
          </w:r>
          <w:r w:rsidRPr="00931466">
            <w:rPr>
              <w:rStyle w:val="PageNumber"/>
            </w:rPr>
            <w:fldChar w:fldCharType="end"/>
          </w:r>
        </w:p>
      </w:tc>
    </w:tr>
  </w:tbl>
  <w:p w:rsidR="00AA1698" w:rsidRPr="00581EB8" w:rsidRDefault="00AA1698" w:rsidP="00581EB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A56" w:rsidRPr="00A26E6B" w:rsidRDefault="00F92A56" w:rsidP="00A26E6B"/>
  </w:footnote>
  <w:footnote w:type="continuationSeparator" w:id="0">
    <w:p w:rsidR="00F92A56" w:rsidRDefault="00F92A56">
      <w:r>
        <w:continuationSeparator/>
      </w:r>
    </w:p>
    <w:p w:rsidR="00F92A56" w:rsidRDefault="00F92A56"/>
  </w:footnote>
  <w:footnote w:id="1">
    <w:p w:rsidR="00AA1698" w:rsidRDefault="00AA1698" w:rsidP="00AA1698">
      <w:pPr>
        <w:pStyle w:val="FootnoteText"/>
      </w:pPr>
      <w:r w:rsidRPr="00AA1698">
        <w:rPr>
          <w:rStyle w:val="FootnoteReference"/>
        </w:rPr>
        <w:footnoteRef/>
      </w:r>
      <w:r>
        <w:tab/>
        <w:t>An epidemic is defined as ‘the occurrence in a community or region of cases of an illness, specific health-related behaviour, or other health-related events clearly in excess of normal expectancy’ (</w:t>
      </w:r>
      <w:r>
        <w:rPr>
          <w:color w:val="222222"/>
        </w:rPr>
        <w:t>Porta 2014).</w:t>
      </w:r>
    </w:p>
  </w:footnote>
  <w:footnote w:id="2">
    <w:p w:rsidR="00AA1698" w:rsidRDefault="00AA1698" w:rsidP="00AA1698">
      <w:pPr>
        <w:pStyle w:val="FootnoteText"/>
      </w:pPr>
      <w:r w:rsidRPr="00AA1698">
        <w:rPr>
          <w:rStyle w:val="FootnoteReference"/>
        </w:rPr>
        <w:footnoteRef/>
      </w:r>
      <w:r>
        <w:rPr>
          <w:lang w:val="en"/>
        </w:rPr>
        <w:tab/>
        <w:t>Recent data from the New Zealand Health Survey indicates that o</w:t>
      </w:r>
      <w:r w:rsidRPr="00562D60">
        <w:rPr>
          <w:lang w:val="en"/>
        </w:rPr>
        <w:t>ver half (57</w:t>
      </w:r>
      <w:r>
        <w:rPr>
          <w:lang w:val="en"/>
        </w:rPr>
        <w:t xml:space="preserve"> percent</w:t>
      </w:r>
      <w:r w:rsidRPr="00562D60">
        <w:rPr>
          <w:lang w:val="en"/>
        </w:rPr>
        <w:t>) of people who had at least two sexual partners in the previous year didn</w:t>
      </w:r>
      <w:r>
        <w:rPr>
          <w:lang w:val="en"/>
        </w:rPr>
        <w:t>’</w:t>
      </w:r>
      <w:r w:rsidRPr="00562D60">
        <w:rPr>
          <w:lang w:val="en"/>
        </w:rPr>
        <w:t>t use a condom every time they had sex.</w:t>
      </w:r>
    </w:p>
  </w:footnote>
  <w:footnote w:id="3">
    <w:p w:rsidR="00AA1698" w:rsidRDefault="00AA1698" w:rsidP="00FC5571">
      <w:pPr>
        <w:pStyle w:val="FootnoteText"/>
      </w:pPr>
      <w:r w:rsidRPr="00863434">
        <w:rPr>
          <w:rStyle w:val="FootnoteReference"/>
        </w:rPr>
        <w:footnoteRef/>
      </w:r>
      <w:r w:rsidR="00863434" w:rsidRPr="00863434">
        <w:rPr>
          <w:rStyle w:val="Hyperlink"/>
        </w:rPr>
        <w:tab/>
      </w:r>
      <w:hyperlink r:id="rId1" w:history="1">
        <w:r w:rsidRPr="00863434">
          <w:rPr>
            <w:rStyle w:val="Hyperlink"/>
          </w:rPr>
          <w:t>www.health.govt.nz/about-ministry/what-we-do/work-programme-2018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AA1698" w:rsidTr="005A79E5">
      <w:trPr>
        <w:cantSplit/>
      </w:trPr>
      <w:tc>
        <w:tcPr>
          <w:tcW w:w="5210" w:type="dxa"/>
        </w:tcPr>
        <w:p w:rsidR="00AA1698" w:rsidRDefault="00AA1698" w:rsidP="008814E8">
          <w:pPr>
            <w:pStyle w:val="Header"/>
          </w:pPr>
          <w:r>
            <w:rPr>
              <w:noProof/>
              <w:lang w:eastAsia="en-NZ"/>
            </w:rPr>
            <w:drawing>
              <wp:inline distT="0" distB="0" distL="0" distR="0" wp14:anchorId="288A8EF2" wp14:editId="669AB327">
                <wp:extent cx="1395076" cy="57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rsidR="00AA1698" w:rsidRDefault="00AA1698" w:rsidP="008814E8">
          <w:pPr>
            <w:pStyle w:val="Header"/>
            <w:jc w:val="right"/>
          </w:pPr>
          <w:r>
            <w:rPr>
              <w:noProof/>
              <w:lang w:eastAsia="en-NZ"/>
            </w:rPr>
            <w:drawing>
              <wp:inline distT="0" distB="0" distL="0" distR="0" wp14:anchorId="57D7C5D2" wp14:editId="0BCCDD4A">
                <wp:extent cx="1720735" cy="17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rsidR="00AA1698" w:rsidRDefault="00AA16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98" w:rsidRDefault="00AA1698"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98" w:rsidRDefault="00AA1698" w:rsidP="009001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17C7"/>
    <w:multiLevelType w:val="multilevel"/>
    <w:tmpl w:val="5C0E148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2"/>
  </w:num>
  <w:num w:numId="3">
    <w:abstractNumId w:val="3"/>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25B8"/>
    <w:rsid w:val="00005BB5"/>
    <w:rsid w:val="00025A6F"/>
    <w:rsid w:val="0002618D"/>
    <w:rsid w:val="00030B26"/>
    <w:rsid w:val="00030E84"/>
    <w:rsid w:val="00032C0A"/>
    <w:rsid w:val="00035257"/>
    <w:rsid w:val="00035D68"/>
    <w:rsid w:val="00036027"/>
    <w:rsid w:val="00053921"/>
    <w:rsid w:val="00054B44"/>
    <w:rsid w:val="0006006B"/>
    <w:rsid w:val="0006228D"/>
    <w:rsid w:val="00072BD6"/>
    <w:rsid w:val="00075B78"/>
    <w:rsid w:val="000763E9"/>
    <w:rsid w:val="00082CD6"/>
    <w:rsid w:val="0008437D"/>
    <w:rsid w:val="00085AFE"/>
    <w:rsid w:val="00094800"/>
    <w:rsid w:val="000A0158"/>
    <w:rsid w:val="000A373D"/>
    <w:rsid w:val="000A41ED"/>
    <w:rsid w:val="000B0730"/>
    <w:rsid w:val="000D19F4"/>
    <w:rsid w:val="000D58DD"/>
    <w:rsid w:val="000D65BC"/>
    <w:rsid w:val="000F2AE2"/>
    <w:rsid w:val="000F2BFF"/>
    <w:rsid w:val="00102063"/>
    <w:rsid w:val="0010541C"/>
    <w:rsid w:val="00106F93"/>
    <w:rsid w:val="00111D50"/>
    <w:rsid w:val="00113B8E"/>
    <w:rsid w:val="0012053C"/>
    <w:rsid w:val="00122363"/>
    <w:rsid w:val="00125D45"/>
    <w:rsid w:val="001342C7"/>
    <w:rsid w:val="0013585C"/>
    <w:rsid w:val="00142261"/>
    <w:rsid w:val="00142954"/>
    <w:rsid w:val="001460E0"/>
    <w:rsid w:val="001472F0"/>
    <w:rsid w:val="00147F71"/>
    <w:rsid w:val="00150A6E"/>
    <w:rsid w:val="0016304B"/>
    <w:rsid w:val="0016468A"/>
    <w:rsid w:val="0017070E"/>
    <w:rsid w:val="0018376C"/>
    <w:rsid w:val="0018662D"/>
    <w:rsid w:val="00197427"/>
    <w:rsid w:val="001A21B4"/>
    <w:rsid w:val="001A5CF5"/>
    <w:rsid w:val="001B39D2"/>
    <w:rsid w:val="001B4BF8"/>
    <w:rsid w:val="001B7B14"/>
    <w:rsid w:val="001C4326"/>
    <w:rsid w:val="001C665E"/>
    <w:rsid w:val="001D3541"/>
    <w:rsid w:val="001D3E4E"/>
    <w:rsid w:val="001E254A"/>
    <w:rsid w:val="001E7386"/>
    <w:rsid w:val="001F45A7"/>
    <w:rsid w:val="0020027C"/>
    <w:rsid w:val="00201A01"/>
    <w:rsid w:val="0020754B"/>
    <w:rsid w:val="002104D3"/>
    <w:rsid w:val="00213A33"/>
    <w:rsid w:val="0021763B"/>
    <w:rsid w:val="00246DB1"/>
    <w:rsid w:val="002476B5"/>
    <w:rsid w:val="002520CC"/>
    <w:rsid w:val="00253ECF"/>
    <w:rsid w:val="00254044"/>
    <w:rsid w:val="002546A1"/>
    <w:rsid w:val="002575E8"/>
    <w:rsid w:val="002628F4"/>
    <w:rsid w:val="00275D08"/>
    <w:rsid w:val="002839AF"/>
    <w:rsid w:val="002858E3"/>
    <w:rsid w:val="0029190A"/>
    <w:rsid w:val="00292C5A"/>
    <w:rsid w:val="00295241"/>
    <w:rsid w:val="002A4DFC"/>
    <w:rsid w:val="002B047D"/>
    <w:rsid w:val="002B732B"/>
    <w:rsid w:val="002B76A7"/>
    <w:rsid w:val="002B7BEC"/>
    <w:rsid w:val="002C2219"/>
    <w:rsid w:val="002C2552"/>
    <w:rsid w:val="002C380A"/>
    <w:rsid w:val="002D0DF2"/>
    <w:rsid w:val="002D23BD"/>
    <w:rsid w:val="002E0B47"/>
    <w:rsid w:val="002F4685"/>
    <w:rsid w:val="002F7213"/>
    <w:rsid w:val="0030382F"/>
    <w:rsid w:val="0030408D"/>
    <w:rsid w:val="003060E4"/>
    <w:rsid w:val="003160E7"/>
    <w:rsid w:val="0031739E"/>
    <w:rsid w:val="003235C6"/>
    <w:rsid w:val="003309CA"/>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A26A5"/>
    <w:rsid w:val="003A3761"/>
    <w:rsid w:val="003A512D"/>
    <w:rsid w:val="003A5FEA"/>
    <w:rsid w:val="003A710B"/>
    <w:rsid w:val="003B1D10"/>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87C04"/>
    <w:rsid w:val="004907E1"/>
    <w:rsid w:val="00494C8E"/>
    <w:rsid w:val="004A035B"/>
    <w:rsid w:val="004A2108"/>
    <w:rsid w:val="004A38D7"/>
    <w:rsid w:val="004A778C"/>
    <w:rsid w:val="004B15E4"/>
    <w:rsid w:val="004B48C7"/>
    <w:rsid w:val="004C2E6A"/>
    <w:rsid w:val="004C64B8"/>
    <w:rsid w:val="004D2A2D"/>
    <w:rsid w:val="004D479F"/>
    <w:rsid w:val="004D6689"/>
    <w:rsid w:val="004E1D1D"/>
    <w:rsid w:val="004E7AC8"/>
    <w:rsid w:val="004F0C94"/>
    <w:rsid w:val="005019AE"/>
    <w:rsid w:val="00503749"/>
    <w:rsid w:val="00504CF4"/>
    <w:rsid w:val="0050635B"/>
    <w:rsid w:val="005075B3"/>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437F"/>
    <w:rsid w:val="00597454"/>
    <w:rsid w:val="005A27CA"/>
    <w:rsid w:val="005A43BD"/>
    <w:rsid w:val="005A79E5"/>
    <w:rsid w:val="005D034C"/>
    <w:rsid w:val="005E226E"/>
    <w:rsid w:val="005E2636"/>
    <w:rsid w:val="006015D7"/>
    <w:rsid w:val="00601B21"/>
    <w:rsid w:val="006041F0"/>
    <w:rsid w:val="00605C6D"/>
    <w:rsid w:val="006120CA"/>
    <w:rsid w:val="00624174"/>
    <w:rsid w:val="00626CF8"/>
    <w:rsid w:val="006314AF"/>
    <w:rsid w:val="00634003"/>
    <w:rsid w:val="00634ED8"/>
    <w:rsid w:val="00636D7D"/>
    <w:rsid w:val="00637408"/>
    <w:rsid w:val="00642868"/>
    <w:rsid w:val="00647AFE"/>
    <w:rsid w:val="00650417"/>
    <w:rsid w:val="006512BC"/>
    <w:rsid w:val="00653A5A"/>
    <w:rsid w:val="006554AC"/>
    <w:rsid w:val="006575F4"/>
    <w:rsid w:val="006579E6"/>
    <w:rsid w:val="00660682"/>
    <w:rsid w:val="00660F74"/>
    <w:rsid w:val="00663EDC"/>
    <w:rsid w:val="00671078"/>
    <w:rsid w:val="006758CA"/>
    <w:rsid w:val="00680A04"/>
    <w:rsid w:val="00686D80"/>
    <w:rsid w:val="006908AF"/>
    <w:rsid w:val="00694895"/>
    <w:rsid w:val="00697E2E"/>
    <w:rsid w:val="006A25A2"/>
    <w:rsid w:val="006A3B87"/>
    <w:rsid w:val="006B0A88"/>
    <w:rsid w:val="006B0E73"/>
    <w:rsid w:val="006B1E3D"/>
    <w:rsid w:val="006B4A4D"/>
    <w:rsid w:val="006B5695"/>
    <w:rsid w:val="006B7B2E"/>
    <w:rsid w:val="006C78EB"/>
    <w:rsid w:val="006D1660"/>
    <w:rsid w:val="006D63E5"/>
    <w:rsid w:val="006E1753"/>
    <w:rsid w:val="006E3911"/>
    <w:rsid w:val="006F1B67"/>
    <w:rsid w:val="006F4D9C"/>
    <w:rsid w:val="0070091D"/>
    <w:rsid w:val="00702854"/>
    <w:rsid w:val="0071741C"/>
    <w:rsid w:val="00742B90"/>
    <w:rsid w:val="0074434D"/>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52E1"/>
    <w:rsid w:val="00822F2C"/>
    <w:rsid w:val="00823DEE"/>
    <w:rsid w:val="008305E8"/>
    <w:rsid w:val="00836165"/>
    <w:rsid w:val="0084640C"/>
    <w:rsid w:val="00856088"/>
    <w:rsid w:val="00860826"/>
    <w:rsid w:val="00860E21"/>
    <w:rsid w:val="00863117"/>
    <w:rsid w:val="00863434"/>
    <w:rsid w:val="0086388B"/>
    <w:rsid w:val="008642E5"/>
    <w:rsid w:val="00864488"/>
    <w:rsid w:val="00870A36"/>
    <w:rsid w:val="00872D93"/>
    <w:rsid w:val="008740DB"/>
    <w:rsid w:val="00880470"/>
    <w:rsid w:val="00880D94"/>
    <w:rsid w:val="008814E8"/>
    <w:rsid w:val="00886F64"/>
    <w:rsid w:val="008924DE"/>
    <w:rsid w:val="008A1FDE"/>
    <w:rsid w:val="008A3755"/>
    <w:rsid w:val="008A764D"/>
    <w:rsid w:val="008B19DC"/>
    <w:rsid w:val="008B264F"/>
    <w:rsid w:val="008B6F83"/>
    <w:rsid w:val="008B7FD8"/>
    <w:rsid w:val="008C2973"/>
    <w:rsid w:val="008C6324"/>
    <w:rsid w:val="008C64C4"/>
    <w:rsid w:val="008D2CDD"/>
    <w:rsid w:val="008D74D5"/>
    <w:rsid w:val="008D7C9F"/>
    <w:rsid w:val="008E0ED1"/>
    <w:rsid w:val="008E3A07"/>
    <w:rsid w:val="008E537B"/>
    <w:rsid w:val="008F29BE"/>
    <w:rsid w:val="008F4AE5"/>
    <w:rsid w:val="008F51EB"/>
    <w:rsid w:val="00900197"/>
    <w:rsid w:val="00902F55"/>
    <w:rsid w:val="0090582B"/>
    <w:rsid w:val="009060C0"/>
    <w:rsid w:val="009101B9"/>
    <w:rsid w:val="009133F5"/>
    <w:rsid w:val="0091756F"/>
    <w:rsid w:val="00920A27"/>
    <w:rsid w:val="00921216"/>
    <w:rsid w:val="009216CC"/>
    <w:rsid w:val="00922E41"/>
    <w:rsid w:val="00924747"/>
    <w:rsid w:val="00925892"/>
    <w:rsid w:val="00926083"/>
    <w:rsid w:val="00926D08"/>
    <w:rsid w:val="00930D08"/>
    <w:rsid w:val="00931466"/>
    <w:rsid w:val="00932D69"/>
    <w:rsid w:val="00935589"/>
    <w:rsid w:val="00937408"/>
    <w:rsid w:val="009427FA"/>
    <w:rsid w:val="00944647"/>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41002"/>
    <w:rsid w:val="00A4201A"/>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364"/>
    <w:rsid w:val="00A93598"/>
    <w:rsid w:val="00AA1698"/>
    <w:rsid w:val="00AA240C"/>
    <w:rsid w:val="00AC101C"/>
    <w:rsid w:val="00AD12DD"/>
    <w:rsid w:val="00AD4CF1"/>
    <w:rsid w:val="00AD5988"/>
    <w:rsid w:val="00AD6293"/>
    <w:rsid w:val="00AE16AF"/>
    <w:rsid w:val="00AF132A"/>
    <w:rsid w:val="00AF7800"/>
    <w:rsid w:val="00B00CF5"/>
    <w:rsid w:val="00B072E0"/>
    <w:rsid w:val="00B1007E"/>
    <w:rsid w:val="00B253F6"/>
    <w:rsid w:val="00B26675"/>
    <w:rsid w:val="00B305DB"/>
    <w:rsid w:val="00B332F8"/>
    <w:rsid w:val="00B3492B"/>
    <w:rsid w:val="00B41605"/>
    <w:rsid w:val="00B4646F"/>
    <w:rsid w:val="00B55C7D"/>
    <w:rsid w:val="00B63038"/>
    <w:rsid w:val="00B64BD8"/>
    <w:rsid w:val="00B701D1"/>
    <w:rsid w:val="00B73AF2"/>
    <w:rsid w:val="00B7551A"/>
    <w:rsid w:val="00B773F1"/>
    <w:rsid w:val="00B86AB1"/>
    <w:rsid w:val="00B87726"/>
    <w:rsid w:val="00B91B22"/>
    <w:rsid w:val="00BA7EBA"/>
    <w:rsid w:val="00BB2A06"/>
    <w:rsid w:val="00BB2CBB"/>
    <w:rsid w:val="00BB4198"/>
    <w:rsid w:val="00BC03EE"/>
    <w:rsid w:val="00BC59F1"/>
    <w:rsid w:val="00BD488E"/>
    <w:rsid w:val="00BF3DE1"/>
    <w:rsid w:val="00BF4843"/>
    <w:rsid w:val="00BF5205"/>
    <w:rsid w:val="00C05132"/>
    <w:rsid w:val="00C12508"/>
    <w:rsid w:val="00C23728"/>
    <w:rsid w:val="00C3026C"/>
    <w:rsid w:val="00C313A9"/>
    <w:rsid w:val="00C347C8"/>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6427"/>
    <w:rsid w:val="00CC0FBE"/>
    <w:rsid w:val="00CD2119"/>
    <w:rsid w:val="00CD237A"/>
    <w:rsid w:val="00CD36AC"/>
    <w:rsid w:val="00CE13A3"/>
    <w:rsid w:val="00CE36BC"/>
    <w:rsid w:val="00CF1747"/>
    <w:rsid w:val="00CF57D0"/>
    <w:rsid w:val="00CF60ED"/>
    <w:rsid w:val="00D05D74"/>
    <w:rsid w:val="00D20C59"/>
    <w:rsid w:val="00D23323"/>
    <w:rsid w:val="00D2392A"/>
    <w:rsid w:val="00D25FFE"/>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B39CF"/>
    <w:rsid w:val="00DB7256"/>
    <w:rsid w:val="00DC0401"/>
    <w:rsid w:val="00DC20BD"/>
    <w:rsid w:val="00DD0BCD"/>
    <w:rsid w:val="00DD447A"/>
    <w:rsid w:val="00DE3B20"/>
    <w:rsid w:val="00DE6C94"/>
    <w:rsid w:val="00DE6FD7"/>
    <w:rsid w:val="00DF0C7C"/>
    <w:rsid w:val="00E10B18"/>
    <w:rsid w:val="00E23271"/>
    <w:rsid w:val="00E24F80"/>
    <w:rsid w:val="00E259F3"/>
    <w:rsid w:val="00E30985"/>
    <w:rsid w:val="00E33238"/>
    <w:rsid w:val="00E33934"/>
    <w:rsid w:val="00E376B7"/>
    <w:rsid w:val="00E42F5D"/>
    <w:rsid w:val="00E441BC"/>
    <w:rsid w:val="00E4486C"/>
    <w:rsid w:val="00E460B6"/>
    <w:rsid w:val="00E511D5"/>
    <w:rsid w:val="00E53A9F"/>
    <w:rsid w:val="00E60249"/>
    <w:rsid w:val="00E65269"/>
    <w:rsid w:val="00E76D66"/>
    <w:rsid w:val="00EA796A"/>
    <w:rsid w:val="00EB1856"/>
    <w:rsid w:val="00EC50CE"/>
    <w:rsid w:val="00EC5B34"/>
    <w:rsid w:val="00ED021E"/>
    <w:rsid w:val="00ED323C"/>
    <w:rsid w:val="00EE2D5C"/>
    <w:rsid w:val="00EE4ADE"/>
    <w:rsid w:val="00EE4DE8"/>
    <w:rsid w:val="00EE5CB7"/>
    <w:rsid w:val="00F000BF"/>
    <w:rsid w:val="00F024FE"/>
    <w:rsid w:val="00F05AD4"/>
    <w:rsid w:val="00F10EB6"/>
    <w:rsid w:val="00F13F07"/>
    <w:rsid w:val="00F140B2"/>
    <w:rsid w:val="00F25970"/>
    <w:rsid w:val="00F311A9"/>
    <w:rsid w:val="00F37381"/>
    <w:rsid w:val="00F5180D"/>
    <w:rsid w:val="00F63781"/>
    <w:rsid w:val="00F67496"/>
    <w:rsid w:val="00F7421E"/>
    <w:rsid w:val="00F801BA"/>
    <w:rsid w:val="00F807AD"/>
    <w:rsid w:val="00F92A56"/>
    <w:rsid w:val="00F9366A"/>
    <w:rsid w:val="00F946C9"/>
    <w:rsid w:val="00FA0EA5"/>
    <w:rsid w:val="00FA68C7"/>
    <w:rsid w:val="00FA74EE"/>
    <w:rsid w:val="00FC3711"/>
    <w:rsid w:val="00FC46E7"/>
    <w:rsid w:val="00FC5571"/>
    <w:rsid w:val="00FC5D25"/>
    <w:rsid w:val="00FD0D7E"/>
    <w:rsid w:val="00FD16C4"/>
    <w:rsid w:val="00FD1C08"/>
    <w:rsid w:val="00FD362F"/>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1875C52-2088-462E-B5E9-0A489F46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2575E8"/>
    <w:pPr>
      <w:pageBreakBefore/>
      <w:spacing w:after="360"/>
      <w:outlineLvl w:val="0"/>
    </w:pPr>
    <w:rPr>
      <w:b/>
      <w:color w:val="23305D"/>
      <w:spacing w:val="-10"/>
      <w:sz w:val="72"/>
    </w:rPr>
  </w:style>
  <w:style w:type="paragraph" w:styleId="Heading2">
    <w:name w:val="heading 2"/>
    <w:basedOn w:val="Normal"/>
    <w:next w:val="Normal"/>
    <w:link w:val="Heading2Char"/>
    <w:uiPriority w:val="9"/>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9"/>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9"/>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1B7B14"/>
    <w:pPr>
      <w:tabs>
        <w:tab w:val="right" w:pos="8080"/>
      </w:tabs>
      <w:spacing w:before="60"/>
      <w:ind w:left="284" w:right="567"/>
    </w:pPr>
    <w:rPr>
      <w:sz w:val="22"/>
    </w:rPr>
  </w:style>
  <w:style w:type="paragraph" w:styleId="TOC3">
    <w:name w:val="toc 3"/>
    <w:basedOn w:val="Normal"/>
    <w:next w:val="Normal"/>
    <w:uiPriority w:val="39"/>
    <w:rsid w:val="00924747"/>
    <w:pPr>
      <w:tabs>
        <w:tab w:val="right" w:pos="8080"/>
      </w:tabs>
      <w:spacing w:before="120"/>
      <w:ind w:left="992" w:right="567" w:hanging="992"/>
    </w:pPr>
  </w:style>
  <w:style w:type="paragraph" w:customStyle="1" w:styleId="Bullet">
    <w:name w:val="Bullet"/>
    <w:basedOn w:val="Normal"/>
    <w:link w:val="BulletChar"/>
    <w:qFormat/>
    <w:rsid w:val="00FA0EA5"/>
    <w:pPr>
      <w:numPr>
        <w:numId w:val="1"/>
      </w:numPr>
      <w:tabs>
        <w:tab w:val="clear" w:pos="284"/>
      </w:tabs>
      <w:spacing w:before="90"/>
    </w:pPr>
  </w:style>
  <w:style w:type="paragraph" w:styleId="Quote">
    <w:name w:val="Quote"/>
    <w:basedOn w:val="Normal"/>
    <w:next w:val="Normal"/>
    <w:link w:val="QuoteChar"/>
    <w:uiPriority w:val="29"/>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A1698"/>
    <w:pPr>
      <w:spacing w:before="80"/>
      <w:ind w:left="284" w:hanging="284"/>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A1698"/>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9427FA"/>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QuoteChar">
    <w:name w:val="Quote Char"/>
    <w:link w:val="Quote"/>
    <w:uiPriority w:val="29"/>
    <w:rsid w:val="00122363"/>
    <w:rPr>
      <w:rFonts w:ascii="Georgia" w:hAnsi="Georgia"/>
      <w:sz w:val="22"/>
      <w:lang w:eastAsia="en-GB"/>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Number">
    <w:name w:val="Number"/>
    <w:basedOn w:val="Normal"/>
    <w:rsid w:val="00AA1698"/>
    <w:pPr>
      <w:numPr>
        <w:ilvl w:val="3"/>
        <w:numId w:val="5"/>
      </w:numPr>
      <w:spacing w:before="9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character" w:customStyle="1" w:styleId="BulletChar">
    <w:name w:val="Bullet Char"/>
    <w:link w:val="Bullet"/>
    <w:locked/>
    <w:rsid w:val="002B7BEC"/>
    <w:rPr>
      <w:rFonts w:ascii="Segoe UI" w:hAnsi="Segoe UI"/>
      <w:sz w:val="21"/>
      <w:lang w:eastAsia="en-GB"/>
    </w:rPr>
  </w:style>
  <w:style w:type="character" w:customStyle="1" w:styleId="TableChar">
    <w:name w:val="Table Char"/>
    <w:link w:val="Table"/>
    <w:locked/>
    <w:rsid w:val="002B7BEC"/>
    <w:rPr>
      <w:rFonts w:ascii="Segoe UI" w:hAnsi="Segoe UI"/>
      <w:b/>
      <w:lang w:eastAsia="en-GB"/>
    </w:rPr>
  </w:style>
  <w:style w:type="character" w:customStyle="1" w:styleId="FigureChar">
    <w:name w:val="Figure Char"/>
    <w:link w:val="Figure"/>
    <w:locked/>
    <w:rsid w:val="002B7BEC"/>
    <w:rPr>
      <w:rFonts w:ascii="Segoe UI" w:hAnsi="Segoe UI"/>
      <w:b/>
      <w:lang w:eastAsia="en-GB"/>
    </w:rPr>
  </w:style>
  <w:style w:type="paragraph" w:styleId="BalloonText">
    <w:name w:val="Balloon Text"/>
    <w:basedOn w:val="Normal"/>
    <w:link w:val="BalloonTextChar"/>
    <w:uiPriority w:val="99"/>
    <w:semiHidden/>
    <w:unhideWhenUsed/>
    <w:rsid w:val="00AA1698"/>
    <w:rPr>
      <w:rFonts w:ascii="Tahoma" w:hAnsi="Tahoma" w:cs="Tahoma"/>
      <w:sz w:val="16"/>
      <w:szCs w:val="16"/>
    </w:rPr>
  </w:style>
  <w:style w:type="character" w:customStyle="1" w:styleId="BalloonTextChar">
    <w:name w:val="Balloon Text Char"/>
    <w:basedOn w:val="DefaultParagraphFont"/>
    <w:link w:val="BalloonText"/>
    <w:uiPriority w:val="99"/>
    <w:semiHidden/>
    <w:rsid w:val="00AA1698"/>
    <w:rPr>
      <w:rFonts w:ascii="Tahoma" w:hAnsi="Tahoma" w:cs="Tahoma"/>
      <w:sz w:val="16"/>
      <w:szCs w:val="16"/>
      <w:lang w:eastAsia="en-GB"/>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Segoe UI" w:hAnsi="Segoe UI"/>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surv.esr.cri.nz/surveillance/annual_sti.ph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t.nz/about-ministry/what-we-do/work-programme-201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AB01E-A2FC-4EFA-B308-518FE7A4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6</TotalTime>
  <Pages>16</Pages>
  <Words>3120</Words>
  <Characters>18874</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National Syphilis Action Plan: An action plan to stop the syphilis epidemic in New Zealand</vt:lpstr>
    </vt:vector>
  </TitlesOfParts>
  <Company>Microsoft</Company>
  <LinksUpToDate>false</LinksUpToDate>
  <CharactersWithSpaces>21951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Syphilis Action Plan: An action plan to stop the syphilis epidemic in New Zealand</dc:title>
  <dc:creator>ry of Health</dc:creator>
  <cp:lastModifiedBy>Berni Marwick</cp:lastModifiedBy>
  <cp:revision>3</cp:revision>
  <cp:lastPrinted>2019-04-10T22:43:00Z</cp:lastPrinted>
  <dcterms:created xsi:type="dcterms:W3CDTF">2019-06-24T21:29:00Z</dcterms:created>
  <dcterms:modified xsi:type="dcterms:W3CDTF">2019-06-24T21:35:00Z</dcterms:modified>
</cp:coreProperties>
</file>