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E147DE" w:rsidP="00926083">
      <w:pPr>
        <w:pStyle w:val="Title"/>
      </w:pPr>
      <w:r>
        <w:t>Medication Guidelines for the Home and Community Support Services Sector</w:t>
      </w:r>
    </w:p>
    <w:p w:rsidR="00C05132" w:rsidRDefault="00E147DE" w:rsidP="00926083">
      <w:pPr>
        <w:pStyle w:val="Subhead"/>
      </w:pPr>
      <w:r>
        <w:t>2019</w:t>
      </w:r>
    </w:p>
    <w:p w:rsidR="00C05132" w:rsidRDefault="00C05132" w:rsidP="00A06BE4"/>
    <w:p w:rsidR="00142954" w:rsidRPr="00142954" w:rsidRDefault="00142954" w:rsidP="00142954">
      <w:pPr>
        <w:sectPr w:rsidR="00142954" w:rsidRPr="00142954" w:rsidSect="006E252C">
          <w:headerReference w:type="default" r:id="rId8"/>
          <w:footerReference w:type="default" r:id="rId9"/>
          <w:pgSz w:w="11907" w:h="16834" w:code="9"/>
          <w:pgMar w:top="5670" w:right="1134" w:bottom="1134" w:left="1134" w:header="567" w:footer="851" w:gutter="0"/>
          <w:pgNumType w:start="1"/>
          <w:cols w:space="720"/>
        </w:sectPr>
      </w:pPr>
    </w:p>
    <w:p w:rsidR="002B7BEC" w:rsidRPr="00A63DFF" w:rsidRDefault="002B7BEC" w:rsidP="002B7BEC">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rsidR="00E147DE" w:rsidRPr="00A13F65" w:rsidRDefault="00E147DE" w:rsidP="00A13F65">
      <w:pPr>
        <w:spacing w:before="120" w:line="264" w:lineRule="auto"/>
        <w:rPr>
          <w:rFonts w:cs="Segoe UI"/>
          <w:sz w:val="19"/>
          <w:szCs w:val="19"/>
        </w:rPr>
      </w:pPr>
      <w:r w:rsidRPr="00A13F65">
        <w:rPr>
          <w:rFonts w:cs="Segoe UI"/>
          <w:sz w:val="19"/>
          <w:szCs w:val="19"/>
        </w:rPr>
        <w:t xml:space="preserve">Five homecare providers, with support from </w:t>
      </w:r>
      <w:proofErr w:type="spellStart"/>
      <w:r w:rsidRPr="00A13F65">
        <w:rPr>
          <w:rFonts w:cs="Segoe UI"/>
          <w:sz w:val="19"/>
          <w:szCs w:val="19"/>
        </w:rPr>
        <w:t>Waitemata</w:t>
      </w:r>
      <w:proofErr w:type="spellEnd"/>
      <w:r w:rsidRPr="00A13F65">
        <w:rPr>
          <w:rFonts w:cs="Segoe UI"/>
          <w:sz w:val="19"/>
          <w:szCs w:val="19"/>
        </w:rPr>
        <w:t xml:space="preserve"> District Health Board, collaboratively developed these guidelines:</w:t>
      </w:r>
    </w:p>
    <w:p w:rsidR="00E147DE" w:rsidRPr="00A13F65" w:rsidRDefault="00E147DE" w:rsidP="00A13F65">
      <w:pPr>
        <w:pStyle w:val="Bullet"/>
        <w:spacing w:before="40" w:line="264" w:lineRule="auto"/>
        <w:rPr>
          <w:sz w:val="19"/>
          <w:szCs w:val="19"/>
        </w:rPr>
      </w:pPr>
      <w:r w:rsidRPr="00A13F65">
        <w:rPr>
          <w:sz w:val="19"/>
          <w:szCs w:val="19"/>
        </w:rPr>
        <w:t>Geneva Healthcare (acting as lead provider)</w:t>
      </w:r>
    </w:p>
    <w:p w:rsidR="00E147DE" w:rsidRPr="00A13F65" w:rsidRDefault="00E147DE" w:rsidP="00A13F65">
      <w:pPr>
        <w:pStyle w:val="Bullet"/>
        <w:spacing w:before="40" w:line="264" w:lineRule="auto"/>
        <w:rPr>
          <w:sz w:val="19"/>
          <w:szCs w:val="19"/>
        </w:rPr>
      </w:pPr>
      <w:r w:rsidRPr="00A13F65">
        <w:rPr>
          <w:sz w:val="19"/>
          <w:szCs w:val="19"/>
        </w:rPr>
        <w:t xml:space="preserve">Access </w:t>
      </w:r>
      <w:proofErr w:type="spellStart"/>
      <w:r w:rsidRPr="00A13F65">
        <w:rPr>
          <w:sz w:val="19"/>
          <w:szCs w:val="19"/>
        </w:rPr>
        <w:t>Homehealth</w:t>
      </w:r>
      <w:proofErr w:type="spellEnd"/>
    </w:p>
    <w:p w:rsidR="00E147DE" w:rsidRPr="00A13F65" w:rsidRDefault="00E147DE" w:rsidP="00A13F65">
      <w:pPr>
        <w:pStyle w:val="Bullet"/>
        <w:spacing w:before="40" w:line="264" w:lineRule="auto"/>
        <w:rPr>
          <w:sz w:val="19"/>
          <w:szCs w:val="19"/>
        </w:rPr>
      </w:pPr>
      <w:r w:rsidRPr="00A13F65">
        <w:rPr>
          <w:sz w:val="19"/>
          <w:szCs w:val="19"/>
        </w:rPr>
        <w:t>HealthCare NZ</w:t>
      </w:r>
    </w:p>
    <w:p w:rsidR="00E147DE" w:rsidRPr="00A13F65" w:rsidRDefault="00E147DE" w:rsidP="00A13F65">
      <w:pPr>
        <w:pStyle w:val="Bullet"/>
        <w:spacing w:before="40" w:line="264" w:lineRule="auto"/>
        <w:rPr>
          <w:sz w:val="19"/>
          <w:szCs w:val="19"/>
        </w:rPr>
      </w:pPr>
      <w:r w:rsidRPr="00A13F65">
        <w:rPr>
          <w:sz w:val="19"/>
          <w:szCs w:val="19"/>
        </w:rPr>
        <w:t xml:space="preserve">Salvation Army </w:t>
      </w:r>
      <w:proofErr w:type="spellStart"/>
      <w:r w:rsidRPr="00A13F65">
        <w:rPr>
          <w:sz w:val="19"/>
          <w:szCs w:val="19"/>
        </w:rPr>
        <w:t>HomeCare</w:t>
      </w:r>
      <w:proofErr w:type="spellEnd"/>
    </w:p>
    <w:p w:rsidR="00E147DE" w:rsidRPr="00A13F65" w:rsidRDefault="00E147DE" w:rsidP="00A13F65">
      <w:pPr>
        <w:pStyle w:val="Bullet"/>
        <w:spacing w:before="40" w:line="264" w:lineRule="auto"/>
        <w:rPr>
          <w:sz w:val="19"/>
          <w:szCs w:val="19"/>
        </w:rPr>
      </w:pPr>
      <w:proofErr w:type="spellStart"/>
      <w:r w:rsidRPr="00A13F65">
        <w:rPr>
          <w:sz w:val="19"/>
          <w:szCs w:val="19"/>
        </w:rPr>
        <w:t>VisionWest</w:t>
      </w:r>
      <w:proofErr w:type="spellEnd"/>
      <w:r w:rsidRPr="00A13F65">
        <w:rPr>
          <w:sz w:val="19"/>
          <w:szCs w:val="19"/>
        </w:rPr>
        <w:t xml:space="preserve"> Baptist Homecare.</w:t>
      </w:r>
    </w:p>
    <w:p w:rsidR="00E147DE" w:rsidRPr="00A13F65" w:rsidRDefault="00E147DE" w:rsidP="00A13F65">
      <w:pPr>
        <w:spacing w:before="120" w:line="264" w:lineRule="auto"/>
        <w:rPr>
          <w:rFonts w:cs="Segoe UI"/>
          <w:sz w:val="19"/>
          <w:szCs w:val="19"/>
        </w:rPr>
      </w:pPr>
      <w:r w:rsidRPr="00A13F65">
        <w:rPr>
          <w:rFonts w:cs="Segoe UI"/>
          <w:sz w:val="19"/>
          <w:szCs w:val="19"/>
        </w:rPr>
        <w:t xml:space="preserve">We thank the following members of the working group for their contribution of time and expertise in developing these guidelines: Carmel </w:t>
      </w:r>
      <w:proofErr w:type="spellStart"/>
      <w:r w:rsidRPr="00A13F65">
        <w:rPr>
          <w:rFonts w:cs="Segoe UI"/>
          <w:sz w:val="19"/>
          <w:szCs w:val="19"/>
        </w:rPr>
        <w:t>Conaghan</w:t>
      </w:r>
      <w:proofErr w:type="spellEnd"/>
      <w:r w:rsidRPr="00A13F65">
        <w:rPr>
          <w:rFonts w:cs="Segoe UI"/>
          <w:sz w:val="19"/>
          <w:szCs w:val="19"/>
        </w:rPr>
        <w:t xml:space="preserve">, Sharon </w:t>
      </w:r>
      <w:proofErr w:type="spellStart"/>
      <w:r w:rsidRPr="00A13F65">
        <w:rPr>
          <w:rFonts w:cs="Segoe UI"/>
          <w:sz w:val="19"/>
          <w:szCs w:val="19"/>
        </w:rPr>
        <w:t>Mildon</w:t>
      </w:r>
      <w:proofErr w:type="spellEnd"/>
      <w:r w:rsidRPr="00A13F65">
        <w:rPr>
          <w:rFonts w:cs="Segoe UI"/>
          <w:sz w:val="19"/>
          <w:szCs w:val="19"/>
        </w:rPr>
        <w:t xml:space="preserve">, Cathy Leigh, Julie Martin, </w:t>
      </w:r>
      <w:proofErr w:type="spellStart"/>
      <w:r w:rsidRPr="00A13F65">
        <w:rPr>
          <w:rFonts w:cs="Segoe UI"/>
          <w:sz w:val="19"/>
          <w:szCs w:val="19"/>
        </w:rPr>
        <w:t>Lindie</w:t>
      </w:r>
      <w:proofErr w:type="spellEnd"/>
      <w:r w:rsidRPr="00A13F65">
        <w:rPr>
          <w:rFonts w:cs="Segoe UI"/>
          <w:sz w:val="19"/>
          <w:szCs w:val="19"/>
        </w:rPr>
        <w:t xml:space="preserve"> Van </w:t>
      </w:r>
      <w:proofErr w:type="spellStart"/>
      <w:r w:rsidRPr="00A13F65">
        <w:rPr>
          <w:rFonts w:cs="Segoe UI"/>
          <w:sz w:val="19"/>
          <w:szCs w:val="19"/>
        </w:rPr>
        <w:t>Wyk</w:t>
      </w:r>
      <w:proofErr w:type="spellEnd"/>
      <w:r w:rsidRPr="00A13F65">
        <w:rPr>
          <w:rFonts w:cs="Segoe UI"/>
          <w:sz w:val="19"/>
          <w:szCs w:val="19"/>
        </w:rPr>
        <w:t xml:space="preserve">, Yvonne </w:t>
      </w:r>
      <w:proofErr w:type="spellStart"/>
      <w:r w:rsidRPr="00A13F65">
        <w:rPr>
          <w:rFonts w:cs="Segoe UI"/>
          <w:sz w:val="19"/>
          <w:szCs w:val="19"/>
        </w:rPr>
        <w:t>Belworthy</w:t>
      </w:r>
      <w:proofErr w:type="spellEnd"/>
      <w:r w:rsidRPr="00A13F65">
        <w:rPr>
          <w:rFonts w:cs="Segoe UI"/>
          <w:sz w:val="19"/>
          <w:szCs w:val="19"/>
        </w:rPr>
        <w:t xml:space="preserve">, Fatima </w:t>
      </w:r>
      <w:proofErr w:type="spellStart"/>
      <w:r w:rsidRPr="00A13F65">
        <w:rPr>
          <w:rFonts w:cs="Segoe UI"/>
          <w:sz w:val="19"/>
          <w:szCs w:val="19"/>
        </w:rPr>
        <w:t>Juson</w:t>
      </w:r>
      <w:proofErr w:type="spellEnd"/>
      <w:r w:rsidRPr="00A13F65">
        <w:rPr>
          <w:rFonts w:cs="Segoe UI"/>
          <w:sz w:val="19"/>
          <w:szCs w:val="19"/>
        </w:rPr>
        <w:t xml:space="preserve">, Angela </w:t>
      </w:r>
      <w:proofErr w:type="spellStart"/>
      <w:r w:rsidRPr="00A13F65">
        <w:rPr>
          <w:rFonts w:cs="Segoe UI"/>
          <w:sz w:val="19"/>
          <w:szCs w:val="19"/>
        </w:rPr>
        <w:t>Lambie</w:t>
      </w:r>
      <w:proofErr w:type="spellEnd"/>
      <w:r w:rsidRPr="00A13F65">
        <w:rPr>
          <w:rFonts w:cs="Segoe UI"/>
          <w:sz w:val="19"/>
          <w:szCs w:val="19"/>
        </w:rPr>
        <w:t xml:space="preserve">, Katrina Lodge, Theresa </w:t>
      </w:r>
      <w:proofErr w:type="spellStart"/>
      <w:r w:rsidRPr="00A13F65">
        <w:rPr>
          <w:rFonts w:cs="Segoe UI"/>
          <w:sz w:val="19"/>
          <w:szCs w:val="19"/>
        </w:rPr>
        <w:t>Araullo</w:t>
      </w:r>
      <w:proofErr w:type="spellEnd"/>
      <w:r w:rsidRPr="00A13F65">
        <w:rPr>
          <w:rFonts w:cs="Segoe UI"/>
          <w:sz w:val="19"/>
          <w:szCs w:val="19"/>
        </w:rPr>
        <w:t xml:space="preserve">, </w:t>
      </w:r>
      <w:proofErr w:type="spellStart"/>
      <w:r w:rsidRPr="00A13F65">
        <w:rPr>
          <w:rFonts w:cs="Segoe UI"/>
          <w:sz w:val="19"/>
          <w:szCs w:val="19"/>
        </w:rPr>
        <w:t>Gwynneth</w:t>
      </w:r>
      <w:proofErr w:type="spellEnd"/>
      <w:r w:rsidRPr="00A13F65">
        <w:rPr>
          <w:rFonts w:cs="Segoe UI"/>
          <w:sz w:val="19"/>
          <w:szCs w:val="19"/>
        </w:rPr>
        <w:t xml:space="preserve"> Lynch, Bronwyn Barrow, Cara Kelly, Jacqui </w:t>
      </w:r>
      <w:proofErr w:type="spellStart"/>
      <w:r w:rsidRPr="00A13F65">
        <w:rPr>
          <w:rFonts w:cs="Segoe UI"/>
          <w:sz w:val="19"/>
          <w:szCs w:val="19"/>
        </w:rPr>
        <w:t>Shilliday</w:t>
      </w:r>
      <w:proofErr w:type="spellEnd"/>
      <w:r w:rsidRPr="00A13F65">
        <w:rPr>
          <w:rFonts w:cs="Segoe UI"/>
          <w:sz w:val="19"/>
          <w:szCs w:val="19"/>
        </w:rPr>
        <w:t xml:space="preserve">, </w:t>
      </w:r>
      <w:proofErr w:type="spellStart"/>
      <w:r w:rsidRPr="00A13F65">
        <w:rPr>
          <w:rFonts w:cs="Segoe UI"/>
          <w:sz w:val="19"/>
          <w:szCs w:val="19"/>
        </w:rPr>
        <w:t>Sujana</w:t>
      </w:r>
      <w:proofErr w:type="spellEnd"/>
      <w:r w:rsidRPr="00A13F65">
        <w:rPr>
          <w:rFonts w:cs="Segoe UI"/>
          <w:sz w:val="19"/>
          <w:szCs w:val="19"/>
        </w:rPr>
        <w:t xml:space="preserve"> Johns, Louise Dawson, Lea-Anne Morgan, and Katie Daniel.</w:t>
      </w:r>
    </w:p>
    <w:p w:rsidR="002B7BEC" w:rsidRPr="00A13F65" w:rsidRDefault="00E147DE" w:rsidP="00A13F65">
      <w:pPr>
        <w:spacing w:before="120" w:line="264" w:lineRule="auto"/>
        <w:rPr>
          <w:rFonts w:cs="Segoe UI"/>
          <w:sz w:val="19"/>
          <w:szCs w:val="19"/>
        </w:rPr>
      </w:pPr>
      <w:r w:rsidRPr="00A13F65">
        <w:rPr>
          <w:rFonts w:cs="Segoe UI"/>
          <w:sz w:val="19"/>
          <w:szCs w:val="19"/>
        </w:rPr>
        <w:t xml:space="preserve">We also thank the following facilitators of the national consultation process: Andrea McLeod (Chair of the Home and Community Health Association), Angela </w:t>
      </w:r>
      <w:proofErr w:type="spellStart"/>
      <w:r w:rsidRPr="00A13F65">
        <w:rPr>
          <w:rFonts w:cs="Segoe UI"/>
          <w:sz w:val="19"/>
          <w:szCs w:val="19"/>
        </w:rPr>
        <w:t>Lambie</w:t>
      </w:r>
      <w:proofErr w:type="spellEnd"/>
      <w:r w:rsidRPr="00A13F65">
        <w:rPr>
          <w:rFonts w:cs="Segoe UI"/>
          <w:sz w:val="19"/>
          <w:szCs w:val="19"/>
        </w:rPr>
        <w:t xml:space="preserve"> (</w:t>
      </w:r>
      <w:proofErr w:type="spellStart"/>
      <w:r w:rsidRPr="00A13F65">
        <w:rPr>
          <w:rFonts w:cs="Segoe UI"/>
          <w:sz w:val="19"/>
          <w:szCs w:val="19"/>
        </w:rPr>
        <w:t>Waitemata</w:t>
      </w:r>
      <w:proofErr w:type="spellEnd"/>
      <w:r w:rsidRPr="00A13F65">
        <w:rPr>
          <w:rFonts w:cs="Segoe UI"/>
          <w:sz w:val="19"/>
          <w:szCs w:val="19"/>
        </w:rPr>
        <w:t xml:space="preserve"> District Health Board), Carmel </w:t>
      </w:r>
      <w:proofErr w:type="spellStart"/>
      <w:r w:rsidRPr="00A13F65">
        <w:rPr>
          <w:rFonts w:cs="Segoe UI"/>
          <w:sz w:val="19"/>
          <w:szCs w:val="19"/>
        </w:rPr>
        <w:t>Conaghan</w:t>
      </w:r>
      <w:proofErr w:type="spellEnd"/>
      <w:r w:rsidRPr="00A13F65">
        <w:rPr>
          <w:rFonts w:cs="Segoe UI"/>
          <w:sz w:val="19"/>
          <w:szCs w:val="19"/>
        </w:rPr>
        <w:t xml:space="preserve"> (Royal District Nursing Service), Chris Jay (Pharmaceutical Society of New Zealand), Claire </w:t>
      </w:r>
      <w:proofErr w:type="spellStart"/>
      <w:r w:rsidRPr="00A13F65">
        <w:rPr>
          <w:rFonts w:cs="Segoe UI"/>
          <w:sz w:val="19"/>
          <w:szCs w:val="19"/>
        </w:rPr>
        <w:t>Cherrill</w:t>
      </w:r>
      <w:proofErr w:type="spellEnd"/>
      <w:r w:rsidRPr="00A13F65">
        <w:rPr>
          <w:rFonts w:cs="Segoe UI"/>
          <w:sz w:val="19"/>
          <w:szCs w:val="19"/>
        </w:rPr>
        <w:t xml:space="preserve"> (Bay of Plenty District Health Board), Christine Maxwell (HealthCare NZ), Glenda Rich (Access Community Health), Julie </w:t>
      </w:r>
      <w:proofErr w:type="spellStart"/>
      <w:r w:rsidRPr="00A13F65">
        <w:rPr>
          <w:rFonts w:cs="Segoe UI"/>
          <w:sz w:val="19"/>
          <w:szCs w:val="19"/>
        </w:rPr>
        <w:t>Haggie</w:t>
      </w:r>
      <w:proofErr w:type="spellEnd"/>
      <w:r w:rsidRPr="00A13F65">
        <w:rPr>
          <w:rFonts w:cs="Segoe UI"/>
          <w:sz w:val="19"/>
          <w:szCs w:val="19"/>
        </w:rPr>
        <w:t xml:space="preserve"> (Home and Community Health Association), Julie Martin (Access </w:t>
      </w:r>
      <w:proofErr w:type="spellStart"/>
      <w:r w:rsidRPr="00A13F65">
        <w:rPr>
          <w:rFonts w:cs="Segoe UI"/>
          <w:sz w:val="19"/>
          <w:szCs w:val="19"/>
        </w:rPr>
        <w:t>Homehealth</w:t>
      </w:r>
      <w:proofErr w:type="spellEnd"/>
      <w:r w:rsidRPr="00A13F65">
        <w:rPr>
          <w:rFonts w:cs="Segoe UI"/>
          <w:sz w:val="19"/>
          <w:szCs w:val="19"/>
        </w:rPr>
        <w:t>), Katie Daniel (</w:t>
      </w:r>
      <w:proofErr w:type="spellStart"/>
      <w:r w:rsidRPr="00A13F65">
        <w:rPr>
          <w:rFonts w:cs="Segoe UI"/>
          <w:sz w:val="19"/>
          <w:szCs w:val="19"/>
        </w:rPr>
        <w:t>Waitemata</w:t>
      </w:r>
      <w:proofErr w:type="spellEnd"/>
      <w:r w:rsidRPr="00A13F65">
        <w:rPr>
          <w:rFonts w:cs="Segoe UI"/>
          <w:sz w:val="19"/>
          <w:szCs w:val="19"/>
        </w:rPr>
        <w:t xml:space="preserve"> District Health Board), Lucy Fife (Nurse Maude), </w:t>
      </w:r>
      <w:proofErr w:type="spellStart"/>
      <w:r w:rsidRPr="00A13F65">
        <w:rPr>
          <w:rFonts w:cs="Segoe UI"/>
          <w:sz w:val="19"/>
          <w:szCs w:val="19"/>
        </w:rPr>
        <w:t>Ondine</w:t>
      </w:r>
      <w:proofErr w:type="spellEnd"/>
      <w:r w:rsidRPr="00A13F65">
        <w:rPr>
          <w:rFonts w:cs="Segoe UI"/>
          <w:sz w:val="19"/>
          <w:szCs w:val="19"/>
        </w:rPr>
        <w:t xml:space="preserve"> </w:t>
      </w:r>
      <w:proofErr w:type="spellStart"/>
      <w:r w:rsidRPr="00A13F65">
        <w:rPr>
          <w:rFonts w:cs="Segoe UI"/>
          <w:sz w:val="19"/>
          <w:szCs w:val="19"/>
        </w:rPr>
        <w:t>Claridge</w:t>
      </w:r>
      <w:proofErr w:type="spellEnd"/>
      <w:r w:rsidRPr="00A13F65">
        <w:rPr>
          <w:rFonts w:cs="Segoe UI"/>
          <w:sz w:val="19"/>
          <w:szCs w:val="19"/>
        </w:rPr>
        <w:t xml:space="preserve"> (Accident Compensation Corporation), Philippa Jones (Bay of Plenty District Health Board), Sharon </w:t>
      </w:r>
      <w:proofErr w:type="spellStart"/>
      <w:r w:rsidRPr="00A13F65">
        <w:rPr>
          <w:rFonts w:cs="Segoe UI"/>
          <w:sz w:val="19"/>
          <w:szCs w:val="19"/>
        </w:rPr>
        <w:t>Mildon</w:t>
      </w:r>
      <w:proofErr w:type="spellEnd"/>
      <w:r w:rsidRPr="00A13F65">
        <w:rPr>
          <w:rFonts w:cs="Segoe UI"/>
          <w:sz w:val="19"/>
          <w:szCs w:val="19"/>
        </w:rPr>
        <w:t xml:space="preserve"> (</w:t>
      </w:r>
      <w:proofErr w:type="spellStart"/>
      <w:r w:rsidRPr="00A13F65">
        <w:rPr>
          <w:rFonts w:cs="Segoe UI"/>
          <w:sz w:val="19"/>
          <w:szCs w:val="19"/>
        </w:rPr>
        <w:t>Waitemata</w:t>
      </w:r>
      <w:proofErr w:type="spellEnd"/>
      <w:r w:rsidRPr="00A13F65">
        <w:rPr>
          <w:rFonts w:cs="Segoe UI"/>
          <w:sz w:val="19"/>
          <w:szCs w:val="19"/>
        </w:rPr>
        <w:t xml:space="preserve"> District Health Board), </w:t>
      </w:r>
      <w:proofErr w:type="spellStart"/>
      <w:r w:rsidRPr="00A13F65">
        <w:rPr>
          <w:rFonts w:cs="Segoe UI"/>
          <w:sz w:val="19"/>
          <w:szCs w:val="19"/>
        </w:rPr>
        <w:t>Sunita</w:t>
      </w:r>
      <w:proofErr w:type="spellEnd"/>
      <w:r w:rsidRPr="00A13F65">
        <w:rPr>
          <w:rFonts w:cs="Segoe UI"/>
          <w:sz w:val="19"/>
          <w:szCs w:val="19"/>
        </w:rPr>
        <w:t xml:space="preserve"> Goyal (Accident Compensation Corporation), Rosie De Gregorio (Ministry of Health) and Donna Gordon (Ministry of Health).</w:t>
      </w:r>
    </w:p>
    <w:p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E147DE">
        <w:rPr>
          <w:rFonts w:cs="Segoe UI"/>
        </w:rPr>
        <w:t>2019</w:t>
      </w:r>
      <w:r w:rsidR="00442C1C" w:rsidRPr="00C05132">
        <w:rPr>
          <w:rFonts w:cs="Segoe UI"/>
        </w:rPr>
        <w:t xml:space="preserve">. </w:t>
      </w:r>
      <w:r w:rsidR="00E147DE">
        <w:rPr>
          <w:rFonts w:cs="Segoe UI"/>
          <w:i/>
        </w:rPr>
        <w:t>Medication Guidelines for the Home and Community Support Services Sector</w:t>
      </w:r>
      <w:r w:rsidR="00442C1C" w:rsidRPr="00C05132">
        <w:rPr>
          <w:rFonts w:cs="Segoe UI"/>
        </w:rPr>
        <w:t>. Wellington: Ministry of Health.</w:t>
      </w:r>
    </w:p>
    <w:p w:rsidR="00C86248" w:rsidRDefault="00C86248">
      <w:pPr>
        <w:pStyle w:val="Imprint"/>
      </w:pPr>
      <w:r>
        <w:t xml:space="preserve">Published in </w:t>
      </w:r>
      <w:r w:rsidR="00E147DE">
        <w:t xml:space="preserve">April </w:t>
      </w:r>
      <w:r w:rsidR="003235C6">
        <w:t>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D863D0" w:rsidP="00082CD6">
      <w:pPr>
        <w:pStyle w:val="Imprint"/>
      </w:pPr>
      <w:r>
        <w:t>ISBN</w:t>
      </w:r>
      <w:r w:rsidR="00442C1C">
        <w:t xml:space="preserve"> </w:t>
      </w:r>
      <w:r w:rsidR="00662EB9" w:rsidRPr="00662EB9">
        <w:t>978-1-98-856873-7</w:t>
      </w:r>
      <w:r w:rsidR="002B7BEC">
        <w:t xml:space="preserve"> </w:t>
      </w:r>
      <w:r>
        <w:t>(</w:t>
      </w:r>
      <w:r w:rsidR="00442C1C">
        <w:t>online</w:t>
      </w:r>
      <w:proofErr w:type="gramStart"/>
      <w:r>
        <w:t>)</w:t>
      </w:r>
      <w:proofErr w:type="gramEnd"/>
      <w:r w:rsidR="00082CD6">
        <w:br/>
      </w:r>
      <w:r w:rsidR="00082CD6" w:rsidRPr="009C0F2D">
        <w:t xml:space="preserve">HP </w:t>
      </w:r>
      <w:r w:rsidR="00662EB9">
        <w:t>7067</w:t>
      </w:r>
    </w:p>
    <w:p w:rsidR="00C86248" w:rsidRDefault="008C64C4" w:rsidP="00A63DFF">
      <w:r>
        <w:rPr>
          <w:noProof/>
          <w:lang w:eastAsia="en-NZ"/>
        </w:rPr>
        <w:drawing>
          <wp:inline distT="0" distB="0" distL="0" distR="0" wp14:anchorId="72635456" wp14:editId="67A75E73">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1ADF61AF" wp14:editId="06B32C6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6E252C">
          <w:footerReference w:type="even" r:id="rId12"/>
          <w:footerReference w:type="default" r:id="rId13"/>
          <w:pgSz w:w="11907" w:h="16834" w:code="9"/>
          <w:pgMar w:top="1701" w:right="2268" w:bottom="567" w:left="2268" w:header="0" w:footer="0" w:gutter="0"/>
          <w:cols w:space="720"/>
          <w:vAlign w:val="bottom"/>
        </w:sectPr>
      </w:pPr>
    </w:p>
    <w:p w:rsidR="00C86248" w:rsidRDefault="00C86248" w:rsidP="00025A6F">
      <w:pPr>
        <w:pStyle w:val="IntroHead"/>
      </w:pPr>
      <w:bookmarkStart w:id="0" w:name="_Toc405792991"/>
      <w:bookmarkStart w:id="1" w:name="_Toc405793224"/>
      <w:r>
        <w:lastRenderedPageBreak/>
        <w:t>Contents</w:t>
      </w:r>
      <w:bookmarkEnd w:id="0"/>
      <w:bookmarkEnd w:id="1"/>
    </w:p>
    <w:p w:rsidR="009076EB" w:rsidRDefault="009076EB">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7782218" w:history="1">
        <w:r w:rsidRPr="000A3A18">
          <w:rPr>
            <w:rStyle w:val="Hyperlink"/>
            <w:noProof/>
          </w:rPr>
          <w:t>Glossary of terms</w:t>
        </w:r>
        <w:r>
          <w:rPr>
            <w:noProof/>
            <w:webHidden/>
          </w:rPr>
          <w:tab/>
        </w:r>
        <w:r>
          <w:rPr>
            <w:noProof/>
            <w:webHidden/>
          </w:rPr>
          <w:fldChar w:fldCharType="begin"/>
        </w:r>
        <w:r>
          <w:rPr>
            <w:noProof/>
            <w:webHidden/>
          </w:rPr>
          <w:instrText xml:space="preserve"> PAGEREF _Toc7782218 \h </w:instrText>
        </w:r>
        <w:r>
          <w:rPr>
            <w:noProof/>
            <w:webHidden/>
          </w:rPr>
        </w:r>
        <w:r>
          <w:rPr>
            <w:noProof/>
            <w:webHidden/>
          </w:rPr>
          <w:fldChar w:fldCharType="separate"/>
        </w:r>
        <w:r>
          <w:rPr>
            <w:noProof/>
            <w:webHidden/>
          </w:rPr>
          <w:t>v</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19" w:history="1">
        <w:r w:rsidRPr="000A3A18">
          <w:rPr>
            <w:rStyle w:val="Hyperlink"/>
            <w:noProof/>
          </w:rPr>
          <w:t>Introduction</w:t>
        </w:r>
        <w:r>
          <w:rPr>
            <w:noProof/>
            <w:webHidden/>
          </w:rPr>
          <w:tab/>
        </w:r>
        <w:r>
          <w:rPr>
            <w:noProof/>
            <w:webHidden/>
          </w:rPr>
          <w:fldChar w:fldCharType="begin"/>
        </w:r>
        <w:r>
          <w:rPr>
            <w:noProof/>
            <w:webHidden/>
          </w:rPr>
          <w:instrText xml:space="preserve"> PAGEREF _Toc7782219 \h </w:instrText>
        </w:r>
        <w:r>
          <w:rPr>
            <w:noProof/>
            <w:webHidden/>
          </w:rPr>
        </w:r>
        <w:r>
          <w:rPr>
            <w:noProof/>
            <w:webHidden/>
          </w:rPr>
          <w:fldChar w:fldCharType="separate"/>
        </w:r>
        <w:r>
          <w:rPr>
            <w:noProof/>
            <w:webHidden/>
          </w:rPr>
          <w:t>1</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20" w:history="1">
        <w:r w:rsidRPr="000A3A18">
          <w:rPr>
            <w:rStyle w:val="Hyperlink"/>
            <w:noProof/>
          </w:rPr>
          <w:t>1</w:t>
        </w:r>
        <w:r>
          <w:rPr>
            <w:rFonts w:asciiTheme="minorHAnsi" w:eastAsiaTheme="minorEastAsia" w:hAnsiTheme="minorHAnsi" w:cstheme="minorBidi"/>
            <w:noProof/>
            <w:sz w:val="22"/>
            <w:szCs w:val="22"/>
            <w:lang w:eastAsia="en-NZ"/>
          </w:rPr>
          <w:tab/>
        </w:r>
        <w:r w:rsidRPr="000A3A18">
          <w:rPr>
            <w:rStyle w:val="Hyperlink"/>
            <w:noProof/>
          </w:rPr>
          <w:t>Roles and responsibilities</w:t>
        </w:r>
        <w:r>
          <w:rPr>
            <w:noProof/>
            <w:webHidden/>
          </w:rPr>
          <w:tab/>
        </w:r>
        <w:r>
          <w:rPr>
            <w:noProof/>
            <w:webHidden/>
          </w:rPr>
          <w:fldChar w:fldCharType="begin"/>
        </w:r>
        <w:r>
          <w:rPr>
            <w:noProof/>
            <w:webHidden/>
          </w:rPr>
          <w:instrText xml:space="preserve"> PAGEREF _Toc7782220 \h </w:instrText>
        </w:r>
        <w:r>
          <w:rPr>
            <w:noProof/>
            <w:webHidden/>
          </w:rPr>
        </w:r>
        <w:r>
          <w:rPr>
            <w:noProof/>
            <w:webHidden/>
          </w:rPr>
          <w:fldChar w:fldCharType="separate"/>
        </w:r>
        <w:r>
          <w:rPr>
            <w:noProof/>
            <w:webHidden/>
          </w:rPr>
          <w:t>2</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21" w:history="1">
        <w:r w:rsidRPr="000A3A18">
          <w:rPr>
            <w:rStyle w:val="Hyperlink"/>
            <w:noProof/>
          </w:rPr>
          <w:t>2</w:t>
        </w:r>
        <w:r>
          <w:rPr>
            <w:rFonts w:asciiTheme="minorHAnsi" w:eastAsiaTheme="minorEastAsia" w:hAnsiTheme="minorHAnsi" w:cstheme="minorBidi"/>
            <w:noProof/>
            <w:sz w:val="22"/>
            <w:szCs w:val="22"/>
            <w:lang w:eastAsia="en-NZ"/>
          </w:rPr>
          <w:tab/>
        </w:r>
        <w:r w:rsidRPr="000A3A18">
          <w:rPr>
            <w:rStyle w:val="Hyperlink"/>
            <w:noProof/>
          </w:rPr>
          <w:t>Medication support categories</w:t>
        </w:r>
        <w:r>
          <w:rPr>
            <w:noProof/>
            <w:webHidden/>
          </w:rPr>
          <w:tab/>
        </w:r>
        <w:r>
          <w:rPr>
            <w:noProof/>
            <w:webHidden/>
          </w:rPr>
          <w:fldChar w:fldCharType="begin"/>
        </w:r>
        <w:r>
          <w:rPr>
            <w:noProof/>
            <w:webHidden/>
          </w:rPr>
          <w:instrText xml:space="preserve"> PAGEREF _Toc7782221 \h </w:instrText>
        </w:r>
        <w:r>
          <w:rPr>
            <w:noProof/>
            <w:webHidden/>
          </w:rPr>
        </w:r>
        <w:r>
          <w:rPr>
            <w:noProof/>
            <w:webHidden/>
          </w:rPr>
          <w:fldChar w:fldCharType="separate"/>
        </w:r>
        <w:r>
          <w:rPr>
            <w:noProof/>
            <w:webHidden/>
          </w:rPr>
          <w:t>4</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22" w:history="1">
        <w:r w:rsidRPr="000A3A18">
          <w:rPr>
            <w:rStyle w:val="Hyperlink"/>
            <w:noProof/>
          </w:rPr>
          <w:t>3</w:t>
        </w:r>
        <w:r>
          <w:rPr>
            <w:rFonts w:asciiTheme="minorHAnsi" w:eastAsiaTheme="minorEastAsia" w:hAnsiTheme="minorHAnsi" w:cstheme="minorBidi"/>
            <w:noProof/>
            <w:sz w:val="22"/>
            <w:szCs w:val="22"/>
            <w:lang w:eastAsia="en-NZ"/>
          </w:rPr>
          <w:tab/>
        </w:r>
        <w:r w:rsidRPr="000A3A18">
          <w:rPr>
            <w:rStyle w:val="Hyperlink"/>
            <w:noProof/>
            <w:spacing w:val="-15"/>
          </w:rPr>
          <w:t>Medication competency assessment</w:t>
        </w:r>
        <w:r>
          <w:rPr>
            <w:noProof/>
            <w:webHidden/>
          </w:rPr>
          <w:tab/>
        </w:r>
        <w:r>
          <w:rPr>
            <w:noProof/>
            <w:webHidden/>
          </w:rPr>
          <w:fldChar w:fldCharType="begin"/>
        </w:r>
        <w:r>
          <w:rPr>
            <w:noProof/>
            <w:webHidden/>
          </w:rPr>
          <w:instrText xml:space="preserve"> PAGEREF _Toc7782222 \h </w:instrText>
        </w:r>
        <w:r>
          <w:rPr>
            <w:noProof/>
            <w:webHidden/>
          </w:rPr>
        </w:r>
        <w:r>
          <w:rPr>
            <w:noProof/>
            <w:webHidden/>
          </w:rPr>
          <w:fldChar w:fldCharType="separate"/>
        </w:r>
        <w:r>
          <w:rPr>
            <w:noProof/>
            <w:webHidden/>
          </w:rPr>
          <w:t>5</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23" w:history="1">
        <w:r w:rsidRPr="000A3A18">
          <w:rPr>
            <w:rStyle w:val="Hyperlink"/>
            <w:noProof/>
          </w:rPr>
          <w:t>4</w:t>
        </w:r>
        <w:r>
          <w:rPr>
            <w:rFonts w:asciiTheme="minorHAnsi" w:eastAsiaTheme="minorEastAsia" w:hAnsiTheme="minorHAnsi" w:cstheme="minorBidi"/>
            <w:noProof/>
            <w:sz w:val="22"/>
            <w:szCs w:val="22"/>
            <w:lang w:eastAsia="en-NZ"/>
          </w:rPr>
          <w:tab/>
        </w:r>
        <w:r w:rsidRPr="000A3A18">
          <w:rPr>
            <w:rStyle w:val="Hyperlink"/>
            <w:noProof/>
          </w:rPr>
          <w:t>Documentation</w:t>
        </w:r>
        <w:r>
          <w:rPr>
            <w:noProof/>
            <w:webHidden/>
          </w:rPr>
          <w:tab/>
        </w:r>
        <w:r>
          <w:rPr>
            <w:noProof/>
            <w:webHidden/>
          </w:rPr>
          <w:fldChar w:fldCharType="begin"/>
        </w:r>
        <w:r>
          <w:rPr>
            <w:noProof/>
            <w:webHidden/>
          </w:rPr>
          <w:instrText xml:space="preserve"> PAGEREF _Toc7782223 \h </w:instrText>
        </w:r>
        <w:r>
          <w:rPr>
            <w:noProof/>
            <w:webHidden/>
          </w:rPr>
        </w:r>
        <w:r>
          <w:rPr>
            <w:noProof/>
            <w:webHidden/>
          </w:rPr>
          <w:fldChar w:fldCharType="separate"/>
        </w:r>
        <w:r>
          <w:rPr>
            <w:noProof/>
            <w:webHidden/>
          </w:rPr>
          <w:t>8</w:t>
        </w:r>
        <w:r>
          <w:rPr>
            <w:noProof/>
            <w:webHidden/>
          </w:rPr>
          <w:fldChar w:fldCharType="end"/>
        </w:r>
      </w:hyperlink>
    </w:p>
    <w:p w:rsidR="009076EB" w:rsidRDefault="009076EB">
      <w:pPr>
        <w:pStyle w:val="TOC2"/>
        <w:tabs>
          <w:tab w:val="left" w:pos="1134"/>
        </w:tabs>
        <w:rPr>
          <w:rFonts w:asciiTheme="minorHAnsi" w:eastAsiaTheme="minorEastAsia" w:hAnsiTheme="minorHAnsi" w:cstheme="minorBidi"/>
          <w:noProof/>
          <w:szCs w:val="22"/>
          <w:lang w:eastAsia="en-NZ"/>
        </w:rPr>
      </w:pPr>
      <w:hyperlink w:anchor="_Toc7782224" w:history="1">
        <w:r w:rsidRPr="000A3A18">
          <w:rPr>
            <w:rStyle w:val="Hyperlink"/>
            <w:noProof/>
          </w:rPr>
          <w:t>4.1</w:t>
        </w:r>
        <w:r>
          <w:rPr>
            <w:rFonts w:asciiTheme="minorHAnsi" w:eastAsiaTheme="minorEastAsia" w:hAnsiTheme="minorHAnsi" w:cstheme="minorBidi"/>
            <w:noProof/>
            <w:szCs w:val="22"/>
            <w:lang w:eastAsia="en-NZ"/>
          </w:rPr>
          <w:tab/>
        </w:r>
        <w:r w:rsidRPr="000A3A18">
          <w:rPr>
            <w:rStyle w:val="Hyperlink"/>
            <w:noProof/>
          </w:rPr>
          <w:t>Medication orders</w:t>
        </w:r>
        <w:r>
          <w:rPr>
            <w:noProof/>
            <w:webHidden/>
          </w:rPr>
          <w:tab/>
        </w:r>
        <w:r>
          <w:rPr>
            <w:noProof/>
            <w:webHidden/>
          </w:rPr>
          <w:fldChar w:fldCharType="begin"/>
        </w:r>
        <w:r>
          <w:rPr>
            <w:noProof/>
            <w:webHidden/>
          </w:rPr>
          <w:instrText xml:space="preserve"> PAGEREF _Toc7782224 \h </w:instrText>
        </w:r>
        <w:r>
          <w:rPr>
            <w:noProof/>
            <w:webHidden/>
          </w:rPr>
        </w:r>
        <w:r>
          <w:rPr>
            <w:noProof/>
            <w:webHidden/>
          </w:rPr>
          <w:fldChar w:fldCharType="separate"/>
        </w:r>
        <w:r>
          <w:rPr>
            <w:noProof/>
            <w:webHidden/>
          </w:rPr>
          <w:t>8</w:t>
        </w:r>
        <w:r>
          <w:rPr>
            <w:noProof/>
            <w:webHidden/>
          </w:rPr>
          <w:fldChar w:fldCharType="end"/>
        </w:r>
      </w:hyperlink>
    </w:p>
    <w:p w:rsidR="009076EB" w:rsidRDefault="009076EB">
      <w:pPr>
        <w:pStyle w:val="TOC2"/>
        <w:tabs>
          <w:tab w:val="left" w:pos="1134"/>
        </w:tabs>
        <w:rPr>
          <w:rFonts w:asciiTheme="minorHAnsi" w:eastAsiaTheme="minorEastAsia" w:hAnsiTheme="minorHAnsi" w:cstheme="minorBidi"/>
          <w:noProof/>
          <w:szCs w:val="22"/>
          <w:lang w:eastAsia="en-NZ"/>
        </w:rPr>
      </w:pPr>
      <w:hyperlink w:anchor="_Toc7782225" w:history="1">
        <w:r w:rsidRPr="000A3A18">
          <w:rPr>
            <w:rStyle w:val="Hyperlink"/>
            <w:noProof/>
          </w:rPr>
          <w:t>4.2</w:t>
        </w:r>
        <w:r>
          <w:rPr>
            <w:rFonts w:asciiTheme="minorHAnsi" w:eastAsiaTheme="minorEastAsia" w:hAnsiTheme="minorHAnsi" w:cstheme="minorBidi"/>
            <w:noProof/>
            <w:szCs w:val="22"/>
            <w:lang w:eastAsia="en-NZ"/>
          </w:rPr>
          <w:tab/>
        </w:r>
        <w:r w:rsidRPr="000A3A18">
          <w:rPr>
            <w:rStyle w:val="Hyperlink"/>
            <w:noProof/>
          </w:rPr>
          <w:t>Medication errors</w:t>
        </w:r>
        <w:r>
          <w:rPr>
            <w:noProof/>
            <w:webHidden/>
          </w:rPr>
          <w:tab/>
        </w:r>
        <w:r>
          <w:rPr>
            <w:noProof/>
            <w:webHidden/>
          </w:rPr>
          <w:fldChar w:fldCharType="begin"/>
        </w:r>
        <w:r>
          <w:rPr>
            <w:noProof/>
            <w:webHidden/>
          </w:rPr>
          <w:instrText xml:space="preserve"> PAGEREF _Toc7782225 \h </w:instrText>
        </w:r>
        <w:r>
          <w:rPr>
            <w:noProof/>
            <w:webHidden/>
          </w:rPr>
        </w:r>
        <w:r>
          <w:rPr>
            <w:noProof/>
            <w:webHidden/>
          </w:rPr>
          <w:fldChar w:fldCharType="separate"/>
        </w:r>
        <w:r>
          <w:rPr>
            <w:noProof/>
            <w:webHidden/>
          </w:rPr>
          <w:t>9</w:t>
        </w:r>
        <w:r>
          <w:rPr>
            <w:noProof/>
            <w:webHidden/>
          </w:rPr>
          <w:fldChar w:fldCharType="end"/>
        </w:r>
      </w:hyperlink>
    </w:p>
    <w:p w:rsidR="009076EB" w:rsidRDefault="009076EB">
      <w:pPr>
        <w:pStyle w:val="TOC2"/>
        <w:tabs>
          <w:tab w:val="left" w:pos="1134"/>
        </w:tabs>
        <w:rPr>
          <w:rFonts w:asciiTheme="minorHAnsi" w:eastAsiaTheme="minorEastAsia" w:hAnsiTheme="minorHAnsi" w:cstheme="minorBidi"/>
          <w:noProof/>
          <w:szCs w:val="22"/>
          <w:lang w:eastAsia="en-NZ"/>
        </w:rPr>
      </w:pPr>
      <w:hyperlink w:anchor="_Toc7782226" w:history="1">
        <w:r w:rsidRPr="000A3A18">
          <w:rPr>
            <w:rStyle w:val="Hyperlink"/>
            <w:noProof/>
          </w:rPr>
          <w:t>4.3</w:t>
        </w:r>
        <w:r>
          <w:rPr>
            <w:rFonts w:asciiTheme="minorHAnsi" w:eastAsiaTheme="minorEastAsia" w:hAnsiTheme="minorHAnsi" w:cstheme="minorBidi"/>
            <w:noProof/>
            <w:szCs w:val="22"/>
            <w:lang w:eastAsia="en-NZ"/>
          </w:rPr>
          <w:tab/>
        </w:r>
        <w:r w:rsidRPr="000A3A18">
          <w:rPr>
            <w:rStyle w:val="Hyperlink"/>
            <w:noProof/>
          </w:rPr>
          <w:t>Medication not administered</w:t>
        </w:r>
        <w:r>
          <w:rPr>
            <w:noProof/>
            <w:webHidden/>
          </w:rPr>
          <w:tab/>
        </w:r>
        <w:r>
          <w:rPr>
            <w:noProof/>
            <w:webHidden/>
          </w:rPr>
          <w:fldChar w:fldCharType="begin"/>
        </w:r>
        <w:r>
          <w:rPr>
            <w:noProof/>
            <w:webHidden/>
          </w:rPr>
          <w:instrText xml:space="preserve"> PAGEREF _Toc7782226 \h </w:instrText>
        </w:r>
        <w:r>
          <w:rPr>
            <w:noProof/>
            <w:webHidden/>
          </w:rPr>
        </w:r>
        <w:r>
          <w:rPr>
            <w:noProof/>
            <w:webHidden/>
          </w:rPr>
          <w:fldChar w:fldCharType="separate"/>
        </w:r>
        <w:r>
          <w:rPr>
            <w:noProof/>
            <w:webHidden/>
          </w:rPr>
          <w:t>10</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27" w:history="1">
        <w:r w:rsidRPr="000A3A18">
          <w:rPr>
            <w:rStyle w:val="Hyperlink"/>
            <w:noProof/>
          </w:rPr>
          <w:t>5</w:t>
        </w:r>
        <w:r>
          <w:rPr>
            <w:rFonts w:asciiTheme="minorHAnsi" w:eastAsiaTheme="minorEastAsia" w:hAnsiTheme="minorHAnsi" w:cstheme="minorBidi"/>
            <w:noProof/>
            <w:sz w:val="22"/>
            <w:szCs w:val="22"/>
            <w:lang w:eastAsia="en-NZ"/>
          </w:rPr>
          <w:tab/>
        </w:r>
        <w:r w:rsidRPr="000A3A18">
          <w:rPr>
            <w:rStyle w:val="Hyperlink"/>
            <w:noProof/>
          </w:rPr>
          <w:t>Adverse reactions</w:t>
        </w:r>
        <w:r>
          <w:rPr>
            <w:noProof/>
            <w:webHidden/>
          </w:rPr>
          <w:tab/>
        </w:r>
        <w:r>
          <w:rPr>
            <w:noProof/>
            <w:webHidden/>
          </w:rPr>
          <w:fldChar w:fldCharType="begin"/>
        </w:r>
        <w:r>
          <w:rPr>
            <w:noProof/>
            <w:webHidden/>
          </w:rPr>
          <w:instrText xml:space="preserve"> PAGEREF _Toc7782227 \h </w:instrText>
        </w:r>
        <w:r>
          <w:rPr>
            <w:noProof/>
            <w:webHidden/>
          </w:rPr>
        </w:r>
        <w:r>
          <w:rPr>
            <w:noProof/>
            <w:webHidden/>
          </w:rPr>
          <w:fldChar w:fldCharType="separate"/>
        </w:r>
        <w:r>
          <w:rPr>
            <w:noProof/>
            <w:webHidden/>
          </w:rPr>
          <w:t>11</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28" w:history="1">
        <w:r w:rsidRPr="000A3A18">
          <w:rPr>
            <w:rStyle w:val="Hyperlink"/>
            <w:noProof/>
          </w:rPr>
          <w:t>6</w:t>
        </w:r>
        <w:r>
          <w:rPr>
            <w:rFonts w:asciiTheme="minorHAnsi" w:eastAsiaTheme="minorEastAsia" w:hAnsiTheme="minorHAnsi" w:cstheme="minorBidi"/>
            <w:noProof/>
            <w:sz w:val="22"/>
            <w:szCs w:val="22"/>
            <w:lang w:eastAsia="en-NZ"/>
          </w:rPr>
          <w:tab/>
        </w:r>
        <w:r w:rsidRPr="000A3A18">
          <w:rPr>
            <w:rStyle w:val="Hyperlink"/>
            <w:noProof/>
          </w:rPr>
          <w:t>High-risk medications and controlled drugs</w:t>
        </w:r>
        <w:r>
          <w:rPr>
            <w:noProof/>
            <w:webHidden/>
          </w:rPr>
          <w:tab/>
        </w:r>
        <w:r>
          <w:rPr>
            <w:noProof/>
            <w:webHidden/>
          </w:rPr>
          <w:fldChar w:fldCharType="begin"/>
        </w:r>
        <w:r>
          <w:rPr>
            <w:noProof/>
            <w:webHidden/>
          </w:rPr>
          <w:instrText xml:space="preserve"> PAGEREF _Toc7782228 \h </w:instrText>
        </w:r>
        <w:r>
          <w:rPr>
            <w:noProof/>
            <w:webHidden/>
          </w:rPr>
        </w:r>
        <w:r>
          <w:rPr>
            <w:noProof/>
            <w:webHidden/>
          </w:rPr>
          <w:fldChar w:fldCharType="separate"/>
        </w:r>
        <w:r>
          <w:rPr>
            <w:noProof/>
            <w:webHidden/>
          </w:rPr>
          <w:t>12</w:t>
        </w:r>
        <w:r>
          <w:rPr>
            <w:noProof/>
            <w:webHidden/>
          </w:rPr>
          <w:fldChar w:fldCharType="end"/>
        </w:r>
      </w:hyperlink>
    </w:p>
    <w:p w:rsidR="009076EB" w:rsidRDefault="009076EB">
      <w:pPr>
        <w:pStyle w:val="TOC2"/>
        <w:tabs>
          <w:tab w:val="left" w:pos="1134"/>
        </w:tabs>
        <w:rPr>
          <w:rFonts w:asciiTheme="minorHAnsi" w:eastAsiaTheme="minorEastAsia" w:hAnsiTheme="minorHAnsi" w:cstheme="minorBidi"/>
          <w:noProof/>
          <w:szCs w:val="22"/>
          <w:lang w:eastAsia="en-NZ"/>
        </w:rPr>
      </w:pPr>
      <w:hyperlink w:anchor="_Toc7782229" w:history="1">
        <w:r w:rsidRPr="000A3A18">
          <w:rPr>
            <w:rStyle w:val="Hyperlink"/>
            <w:noProof/>
          </w:rPr>
          <w:t>6.1</w:t>
        </w:r>
        <w:r>
          <w:rPr>
            <w:rFonts w:asciiTheme="minorHAnsi" w:eastAsiaTheme="minorEastAsia" w:hAnsiTheme="minorHAnsi" w:cstheme="minorBidi"/>
            <w:noProof/>
            <w:szCs w:val="22"/>
            <w:lang w:eastAsia="en-NZ"/>
          </w:rPr>
          <w:tab/>
        </w:r>
        <w:r w:rsidRPr="000A3A18">
          <w:rPr>
            <w:rStyle w:val="Hyperlink"/>
            <w:noProof/>
          </w:rPr>
          <w:t>Medication-specific guidance</w:t>
        </w:r>
        <w:r>
          <w:rPr>
            <w:noProof/>
            <w:webHidden/>
          </w:rPr>
          <w:tab/>
        </w:r>
        <w:r>
          <w:rPr>
            <w:noProof/>
            <w:webHidden/>
          </w:rPr>
          <w:fldChar w:fldCharType="begin"/>
        </w:r>
        <w:r>
          <w:rPr>
            <w:noProof/>
            <w:webHidden/>
          </w:rPr>
          <w:instrText xml:space="preserve"> PAGEREF _Toc7782229 \h </w:instrText>
        </w:r>
        <w:r>
          <w:rPr>
            <w:noProof/>
            <w:webHidden/>
          </w:rPr>
        </w:r>
        <w:r>
          <w:rPr>
            <w:noProof/>
            <w:webHidden/>
          </w:rPr>
          <w:fldChar w:fldCharType="separate"/>
        </w:r>
        <w:r>
          <w:rPr>
            <w:noProof/>
            <w:webHidden/>
          </w:rPr>
          <w:t>13</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30" w:history="1">
        <w:r w:rsidRPr="000A3A18">
          <w:rPr>
            <w:rStyle w:val="Hyperlink"/>
            <w:noProof/>
          </w:rPr>
          <w:t>7</w:t>
        </w:r>
        <w:r>
          <w:rPr>
            <w:rFonts w:asciiTheme="minorHAnsi" w:eastAsiaTheme="minorEastAsia" w:hAnsiTheme="minorHAnsi" w:cstheme="minorBidi"/>
            <w:noProof/>
            <w:sz w:val="22"/>
            <w:szCs w:val="22"/>
            <w:lang w:eastAsia="en-NZ"/>
          </w:rPr>
          <w:tab/>
        </w:r>
        <w:r w:rsidRPr="000A3A18">
          <w:rPr>
            <w:rStyle w:val="Hyperlink"/>
            <w:noProof/>
          </w:rPr>
          <w:t>Non-pre-packaged medications</w:t>
        </w:r>
        <w:r>
          <w:rPr>
            <w:noProof/>
            <w:webHidden/>
          </w:rPr>
          <w:tab/>
        </w:r>
        <w:r>
          <w:rPr>
            <w:noProof/>
            <w:webHidden/>
          </w:rPr>
          <w:fldChar w:fldCharType="begin"/>
        </w:r>
        <w:r>
          <w:rPr>
            <w:noProof/>
            <w:webHidden/>
          </w:rPr>
          <w:instrText xml:space="preserve"> PAGEREF _Toc7782230 \h </w:instrText>
        </w:r>
        <w:r>
          <w:rPr>
            <w:noProof/>
            <w:webHidden/>
          </w:rPr>
        </w:r>
        <w:r>
          <w:rPr>
            <w:noProof/>
            <w:webHidden/>
          </w:rPr>
          <w:fldChar w:fldCharType="separate"/>
        </w:r>
        <w:r>
          <w:rPr>
            <w:noProof/>
            <w:webHidden/>
          </w:rPr>
          <w:t>14</w:t>
        </w:r>
        <w:r>
          <w:rPr>
            <w:noProof/>
            <w:webHidden/>
          </w:rPr>
          <w:fldChar w:fldCharType="end"/>
        </w:r>
      </w:hyperlink>
    </w:p>
    <w:p w:rsidR="009076EB" w:rsidRDefault="009076EB">
      <w:pPr>
        <w:pStyle w:val="TOC2"/>
        <w:tabs>
          <w:tab w:val="left" w:pos="1134"/>
        </w:tabs>
        <w:rPr>
          <w:rFonts w:asciiTheme="minorHAnsi" w:eastAsiaTheme="minorEastAsia" w:hAnsiTheme="minorHAnsi" w:cstheme="minorBidi"/>
          <w:noProof/>
          <w:szCs w:val="22"/>
          <w:lang w:eastAsia="en-NZ"/>
        </w:rPr>
      </w:pPr>
      <w:hyperlink w:anchor="_Toc7782231" w:history="1">
        <w:r w:rsidRPr="000A3A18">
          <w:rPr>
            <w:rStyle w:val="Hyperlink"/>
            <w:noProof/>
          </w:rPr>
          <w:t>7.1</w:t>
        </w:r>
        <w:r>
          <w:rPr>
            <w:rFonts w:asciiTheme="minorHAnsi" w:eastAsiaTheme="minorEastAsia" w:hAnsiTheme="minorHAnsi" w:cstheme="minorBidi"/>
            <w:noProof/>
            <w:szCs w:val="22"/>
            <w:lang w:eastAsia="en-NZ"/>
          </w:rPr>
          <w:tab/>
        </w:r>
        <w:r w:rsidRPr="000A3A18">
          <w:rPr>
            <w:rStyle w:val="Hyperlink"/>
            <w:noProof/>
          </w:rPr>
          <w:t>Medication-specific guidance</w:t>
        </w:r>
        <w:r>
          <w:rPr>
            <w:noProof/>
            <w:webHidden/>
          </w:rPr>
          <w:tab/>
        </w:r>
        <w:r>
          <w:rPr>
            <w:noProof/>
            <w:webHidden/>
          </w:rPr>
          <w:fldChar w:fldCharType="begin"/>
        </w:r>
        <w:r>
          <w:rPr>
            <w:noProof/>
            <w:webHidden/>
          </w:rPr>
          <w:instrText xml:space="preserve"> PAGEREF _Toc7782231 \h </w:instrText>
        </w:r>
        <w:r>
          <w:rPr>
            <w:noProof/>
            <w:webHidden/>
          </w:rPr>
        </w:r>
        <w:r>
          <w:rPr>
            <w:noProof/>
            <w:webHidden/>
          </w:rPr>
          <w:fldChar w:fldCharType="separate"/>
        </w:r>
        <w:r>
          <w:rPr>
            <w:noProof/>
            <w:webHidden/>
          </w:rPr>
          <w:t>14</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32" w:history="1">
        <w:r w:rsidRPr="000A3A18">
          <w:rPr>
            <w:rStyle w:val="Hyperlink"/>
            <w:noProof/>
          </w:rPr>
          <w:t>8</w:t>
        </w:r>
        <w:r>
          <w:rPr>
            <w:rFonts w:asciiTheme="minorHAnsi" w:eastAsiaTheme="minorEastAsia" w:hAnsiTheme="minorHAnsi" w:cstheme="minorBidi"/>
            <w:noProof/>
            <w:sz w:val="22"/>
            <w:szCs w:val="22"/>
            <w:lang w:eastAsia="en-NZ"/>
          </w:rPr>
          <w:tab/>
        </w:r>
        <w:r w:rsidRPr="000A3A18">
          <w:rPr>
            <w:rStyle w:val="Hyperlink"/>
            <w:noProof/>
          </w:rPr>
          <w:t>Supply, checking, storage and returns</w:t>
        </w:r>
        <w:r>
          <w:rPr>
            <w:noProof/>
            <w:webHidden/>
          </w:rPr>
          <w:tab/>
        </w:r>
        <w:r>
          <w:rPr>
            <w:noProof/>
            <w:webHidden/>
          </w:rPr>
          <w:fldChar w:fldCharType="begin"/>
        </w:r>
        <w:r>
          <w:rPr>
            <w:noProof/>
            <w:webHidden/>
          </w:rPr>
          <w:instrText xml:space="preserve"> PAGEREF _Toc7782232 \h </w:instrText>
        </w:r>
        <w:r>
          <w:rPr>
            <w:noProof/>
            <w:webHidden/>
          </w:rPr>
        </w:r>
        <w:r>
          <w:rPr>
            <w:noProof/>
            <w:webHidden/>
          </w:rPr>
          <w:fldChar w:fldCharType="separate"/>
        </w:r>
        <w:r>
          <w:rPr>
            <w:noProof/>
            <w:webHidden/>
          </w:rPr>
          <w:t>15</w:t>
        </w:r>
        <w:r>
          <w:rPr>
            <w:noProof/>
            <w:webHidden/>
          </w:rPr>
          <w:fldChar w:fldCharType="end"/>
        </w:r>
      </w:hyperlink>
    </w:p>
    <w:p w:rsidR="009076EB" w:rsidRDefault="009076EB">
      <w:pPr>
        <w:pStyle w:val="TOC2"/>
        <w:tabs>
          <w:tab w:val="left" w:pos="1134"/>
        </w:tabs>
        <w:rPr>
          <w:rFonts w:asciiTheme="minorHAnsi" w:eastAsiaTheme="minorEastAsia" w:hAnsiTheme="minorHAnsi" w:cstheme="minorBidi"/>
          <w:noProof/>
          <w:szCs w:val="22"/>
          <w:lang w:eastAsia="en-NZ"/>
        </w:rPr>
      </w:pPr>
      <w:hyperlink w:anchor="_Toc7782233" w:history="1">
        <w:r w:rsidRPr="000A3A18">
          <w:rPr>
            <w:rStyle w:val="Hyperlink"/>
            <w:noProof/>
          </w:rPr>
          <w:t>8.1</w:t>
        </w:r>
        <w:r>
          <w:rPr>
            <w:rFonts w:asciiTheme="minorHAnsi" w:eastAsiaTheme="minorEastAsia" w:hAnsiTheme="minorHAnsi" w:cstheme="minorBidi"/>
            <w:noProof/>
            <w:szCs w:val="22"/>
            <w:lang w:eastAsia="en-NZ"/>
          </w:rPr>
          <w:tab/>
        </w:r>
        <w:r w:rsidRPr="000A3A18">
          <w:rPr>
            <w:rStyle w:val="Hyperlink"/>
            <w:noProof/>
          </w:rPr>
          <w:t>Supply</w:t>
        </w:r>
        <w:r>
          <w:rPr>
            <w:noProof/>
            <w:webHidden/>
          </w:rPr>
          <w:tab/>
        </w:r>
        <w:r>
          <w:rPr>
            <w:noProof/>
            <w:webHidden/>
          </w:rPr>
          <w:fldChar w:fldCharType="begin"/>
        </w:r>
        <w:r>
          <w:rPr>
            <w:noProof/>
            <w:webHidden/>
          </w:rPr>
          <w:instrText xml:space="preserve"> PAGEREF _Toc7782233 \h </w:instrText>
        </w:r>
        <w:r>
          <w:rPr>
            <w:noProof/>
            <w:webHidden/>
          </w:rPr>
        </w:r>
        <w:r>
          <w:rPr>
            <w:noProof/>
            <w:webHidden/>
          </w:rPr>
          <w:fldChar w:fldCharType="separate"/>
        </w:r>
        <w:r>
          <w:rPr>
            <w:noProof/>
            <w:webHidden/>
          </w:rPr>
          <w:t>15</w:t>
        </w:r>
        <w:r>
          <w:rPr>
            <w:noProof/>
            <w:webHidden/>
          </w:rPr>
          <w:fldChar w:fldCharType="end"/>
        </w:r>
      </w:hyperlink>
    </w:p>
    <w:p w:rsidR="009076EB" w:rsidRDefault="009076EB">
      <w:pPr>
        <w:pStyle w:val="TOC2"/>
        <w:tabs>
          <w:tab w:val="left" w:pos="1134"/>
        </w:tabs>
        <w:rPr>
          <w:rFonts w:asciiTheme="minorHAnsi" w:eastAsiaTheme="minorEastAsia" w:hAnsiTheme="minorHAnsi" w:cstheme="minorBidi"/>
          <w:noProof/>
          <w:szCs w:val="22"/>
          <w:lang w:eastAsia="en-NZ"/>
        </w:rPr>
      </w:pPr>
      <w:hyperlink w:anchor="_Toc7782234" w:history="1">
        <w:r w:rsidRPr="000A3A18">
          <w:rPr>
            <w:rStyle w:val="Hyperlink"/>
            <w:noProof/>
          </w:rPr>
          <w:t>8.2</w:t>
        </w:r>
        <w:r>
          <w:rPr>
            <w:rFonts w:asciiTheme="minorHAnsi" w:eastAsiaTheme="minorEastAsia" w:hAnsiTheme="minorHAnsi" w:cstheme="minorBidi"/>
            <w:noProof/>
            <w:szCs w:val="22"/>
            <w:lang w:eastAsia="en-NZ"/>
          </w:rPr>
          <w:tab/>
        </w:r>
        <w:r w:rsidRPr="000A3A18">
          <w:rPr>
            <w:rStyle w:val="Hyperlink"/>
            <w:noProof/>
          </w:rPr>
          <w:t>Checking</w:t>
        </w:r>
        <w:r>
          <w:rPr>
            <w:noProof/>
            <w:webHidden/>
          </w:rPr>
          <w:tab/>
        </w:r>
        <w:r>
          <w:rPr>
            <w:noProof/>
            <w:webHidden/>
          </w:rPr>
          <w:fldChar w:fldCharType="begin"/>
        </w:r>
        <w:r>
          <w:rPr>
            <w:noProof/>
            <w:webHidden/>
          </w:rPr>
          <w:instrText xml:space="preserve"> PAGEREF _Toc7782234 \h </w:instrText>
        </w:r>
        <w:r>
          <w:rPr>
            <w:noProof/>
            <w:webHidden/>
          </w:rPr>
        </w:r>
        <w:r>
          <w:rPr>
            <w:noProof/>
            <w:webHidden/>
          </w:rPr>
          <w:fldChar w:fldCharType="separate"/>
        </w:r>
        <w:r>
          <w:rPr>
            <w:noProof/>
            <w:webHidden/>
          </w:rPr>
          <w:t>15</w:t>
        </w:r>
        <w:r>
          <w:rPr>
            <w:noProof/>
            <w:webHidden/>
          </w:rPr>
          <w:fldChar w:fldCharType="end"/>
        </w:r>
      </w:hyperlink>
    </w:p>
    <w:p w:rsidR="009076EB" w:rsidRDefault="009076EB">
      <w:pPr>
        <w:pStyle w:val="TOC2"/>
        <w:tabs>
          <w:tab w:val="left" w:pos="1134"/>
        </w:tabs>
        <w:rPr>
          <w:rFonts w:asciiTheme="minorHAnsi" w:eastAsiaTheme="minorEastAsia" w:hAnsiTheme="minorHAnsi" w:cstheme="minorBidi"/>
          <w:noProof/>
          <w:szCs w:val="22"/>
          <w:lang w:eastAsia="en-NZ"/>
        </w:rPr>
      </w:pPr>
      <w:hyperlink w:anchor="_Toc7782235" w:history="1">
        <w:r w:rsidRPr="000A3A18">
          <w:rPr>
            <w:rStyle w:val="Hyperlink"/>
            <w:noProof/>
          </w:rPr>
          <w:t>8.3</w:t>
        </w:r>
        <w:r>
          <w:rPr>
            <w:rFonts w:asciiTheme="minorHAnsi" w:eastAsiaTheme="minorEastAsia" w:hAnsiTheme="minorHAnsi" w:cstheme="minorBidi"/>
            <w:noProof/>
            <w:szCs w:val="22"/>
            <w:lang w:eastAsia="en-NZ"/>
          </w:rPr>
          <w:tab/>
        </w:r>
        <w:r w:rsidRPr="000A3A18">
          <w:rPr>
            <w:rStyle w:val="Hyperlink"/>
            <w:noProof/>
          </w:rPr>
          <w:t>Storage</w:t>
        </w:r>
        <w:r>
          <w:rPr>
            <w:noProof/>
            <w:webHidden/>
          </w:rPr>
          <w:tab/>
        </w:r>
        <w:r>
          <w:rPr>
            <w:noProof/>
            <w:webHidden/>
          </w:rPr>
          <w:fldChar w:fldCharType="begin"/>
        </w:r>
        <w:r>
          <w:rPr>
            <w:noProof/>
            <w:webHidden/>
          </w:rPr>
          <w:instrText xml:space="preserve"> PAGEREF _Toc7782235 \h </w:instrText>
        </w:r>
        <w:r>
          <w:rPr>
            <w:noProof/>
            <w:webHidden/>
          </w:rPr>
        </w:r>
        <w:r>
          <w:rPr>
            <w:noProof/>
            <w:webHidden/>
          </w:rPr>
          <w:fldChar w:fldCharType="separate"/>
        </w:r>
        <w:r>
          <w:rPr>
            <w:noProof/>
            <w:webHidden/>
          </w:rPr>
          <w:t>16</w:t>
        </w:r>
        <w:r>
          <w:rPr>
            <w:noProof/>
            <w:webHidden/>
          </w:rPr>
          <w:fldChar w:fldCharType="end"/>
        </w:r>
      </w:hyperlink>
    </w:p>
    <w:p w:rsidR="009076EB" w:rsidRDefault="009076EB">
      <w:pPr>
        <w:pStyle w:val="TOC2"/>
        <w:tabs>
          <w:tab w:val="left" w:pos="1134"/>
        </w:tabs>
        <w:rPr>
          <w:rFonts w:asciiTheme="minorHAnsi" w:eastAsiaTheme="minorEastAsia" w:hAnsiTheme="minorHAnsi" w:cstheme="minorBidi"/>
          <w:noProof/>
          <w:szCs w:val="22"/>
          <w:lang w:eastAsia="en-NZ"/>
        </w:rPr>
      </w:pPr>
      <w:hyperlink w:anchor="_Toc7782236" w:history="1">
        <w:r w:rsidRPr="000A3A18">
          <w:rPr>
            <w:rStyle w:val="Hyperlink"/>
            <w:noProof/>
          </w:rPr>
          <w:t>8.4</w:t>
        </w:r>
        <w:r>
          <w:rPr>
            <w:rFonts w:asciiTheme="minorHAnsi" w:eastAsiaTheme="minorEastAsia" w:hAnsiTheme="minorHAnsi" w:cstheme="minorBidi"/>
            <w:noProof/>
            <w:szCs w:val="22"/>
            <w:lang w:eastAsia="en-NZ"/>
          </w:rPr>
          <w:tab/>
        </w:r>
        <w:r w:rsidRPr="000A3A18">
          <w:rPr>
            <w:rStyle w:val="Hyperlink"/>
            <w:noProof/>
          </w:rPr>
          <w:t>Returns</w:t>
        </w:r>
        <w:r>
          <w:rPr>
            <w:noProof/>
            <w:webHidden/>
          </w:rPr>
          <w:tab/>
        </w:r>
        <w:r>
          <w:rPr>
            <w:noProof/>
            <w:webHidden/>
          </w:rPr>
          <w:fldChar w:fldCharType="begin"/>
        </w:r>
        <w:r>
          <w:rPr>
            <w:noProof/>
            <w:webHidden/>
          </w:rPr>
          <w:instrText xml:space="preserve"> PAGEREF _Toc7782236 \h </w:instrText>
        </w:r>
        <w:r>
          <w:rPr>
            <w:noProof/>
            <w:webHidden/>
          </w:rPr>
        </w:r>
        <w:r>
          <w:rPr>
            <w:noProof/>
            <w:webHidden/>
          </w:rPr>
          <w:fldChar w:fldCharType="separate"/>
        </w:r>
        <w:r>
          <w:rPr>
            <w:noProof/>
            <w:webHidden/>
          </w:rPr>
          <w:t>16</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37" w:history="1">
        <w:r w:rsidRPr="000A3A18">
          <w:rPr>
            <w:rStyle w:val="Hyperlink"/>
            <w:noProof/>
          </w:rPr>
          <w:t>9</w:t>
        </w:r>
        <w:r>
          <w:rPr>
            <w:rFonts w:asciiTheme="minorHAnsi" w:eastAsiaTheme="minorEastAsia" w:hAnsiTheme="minorHAnsi" w:cstheme="minorBidi"/>
            <w:noProof/>
            <w:sz w:val="22"/>
            <w:szCs w:val="22"/>
            <w:lang w:eastAsia="en-NZ"/>
          </w:rPr>
          <w:tab/>
        </w:r>
        <w:r w:rsidRPr="000A3A18">
          <w:rPr>
            <w:rStyle w:val="Hyperlink"/>
            <w:noProof/>
          </w:rPr>
          <w:t>Medication review</w:t>
        </w:r>
        <w:r>
          <w:rPr>
            <w:noProof/>
            <w:webHidden/>
          </w:rPr>
          <w:tab/>
        </w:r>
        <w:r>
          <w:rPr>
            <w:noProof/>
            <w:webHidden/>
          </w:rPr>
          <w:fldChar w:fldCharType="begin"/>
        </w:r>
        <w:r>
          <w:rPr>
            <w:noProof/>
            <w:webHidden/>
          </w:rPr>
          <w:instrText xml:space="preserve"> PAGEREF _Toc7782237 \h </w:instrText>
        </w:r>
        <w:r>
          <w:rPr>
            <w:noProof/>
            <w:webHidden/>
          </w:rPr>
        </w:r>
        <w:r>
          <w:rPr>
            <w:noProof/>
            <w:webHidden/>
          </w:rPr>
          <w:fldChar w:fldCharType="separate"/>
        </w:r>
        <w:r>
          <w:rPr>
            <w:noProof/>
            <w:webHidden/>
          </w:rPr>
          <w:t>17</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38" w:history="1">
        <w:r w:rsidRPr="000A3A18">
          <w:rPr>
            <w:rStyle w:val="Hyperlink"/>
            <w:noProof/>
          </w:rPr>
          <w:t>10</w:t>
        </w:r>
        <w:r>
          <w:rPr>
            <w:rFonts w:asciiTheme="minorHAnsi" w:eastAsiaTheme="minorEastAsia" w:hAnsiTheme="minorHAnsi" w:cstheme="minorBidi"/>
            <w:noProof/>
            <w:sz w:val="22"/>
            <w:szCs w:val="22"/>
            <w:lang w:eastAsia="en-NZ"/>
          </w:rPr>
          <w:tab/>
        </w:r>
        <w:r w:rsidRPr="000A3A18">
          <w:rPr>
            <w:rStyle w:val="Hyperlink"/>
            <w:noProof/>
          </w:rPr>
          <w:t>Transcribing of medicines</w:t>
        </w:r>
        <w:r>
          <w:rPr>
            <w:noProof/>
            <w:webHidden/>
          </w:rPr>
          <w:tab/>
        </w:r>
        <w:r>
          <w:rPr>
            <w:noProof/>
            <w:webHidden/>
          </w:rPr>
          <w:fldChar w:fldCharType="begin"/>
        </w:r>
        <w:r>
          <w:rPr>
            <w:noProof/>
            <w:webHidden/>
          </w:rPr>
          <w:instrText xml:space="preserve"> PAGEREF _Toc7782238 \h </w:instrText>
        </w:r>
        <w:r>
          <w:rPr>
            <w:noProof/>
            <w:webHidden/>
          </w:rPr>
        </w:r>
        <w:r>
          <w:rPr>
            <w:noProof/>
            <w:webHidden/>
          </w:rPr>
          <w:fldChar w:fldCharType="separate"/>
        </w:r>
        <w:r>
          <w:rPr>
            <w:noProof/>
            <w:webHidden/>
          </w:rPr>
          <w:t>18</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39" w:history="1">
        <w:r w:rsidRPr="000A3A18">
          <w:rPr>
            <w:rStyle w:val="Hyperlink"/>
            <w:noProof/>
          </w:rPr>
          <w:t>References</w:t>
        </w:r>
        <w:r>
          <w:rPr>
            <w:noProof/>
            <w:webHidden/>
          </w:rPr>
          <w:tab/>
        </w:r>
        <w:r>
          <w:rPr>
            <w:noProof/>
            <w:webHidden/>
          </w:rPr>
          <w:fldChar w:fldCharType="begin"/>
        </w:r>
        <w:r>
          <w:rPr>
            <w:noProof/>
            <w:webHidden/>
          </w:rPr>
          <w:instrText xml:space="preserve"> PAGEREF _Toc7782239 \h </w:instrText>
        </w:r>
        <w:r>
          <w:rPr>
            <w:noProof/>
            <w:webHidden/>
          </w:rPr>
        </w:r>
        <w:r>
          <w:rPr>
            <w:noProof/>
            <w:webHidden/>
          </w:rPr>
          <w:fldChar w:fldCharType="separate"/>
        </w:r>
        <w:r>
          <w:rPr>
            <w:noProof/>
            <w:webHidden/>
          </w:rPr>
          <w:t>19</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40" w:history="1">
        <w:r w:rsidRPr="000A3A18">
          <w:rPr>
            <w:rStyle w:val="Hyperlink"/>
            <w:noProof/>
          </w:rPr>
          <w:t>Appendix 1: Minimum requirements for best practice according to category</w:t>
        </w:r>
        <w:r>
          <w:rPr>
            <w:noProof/>
            <w:webHidden/>
          </w:rPr>
          <w:tab/>
        </w:r>
        <w:r>
          <w:rPr>
            <w:noProof/>
            <w:webHidden/>
          </w:rPr>
          <w:fldChar w:fldCharType="begin"/>
        </w:r>
        <w:r>
          <w:rPr>
            <w:noProof/>
            <w:webHidden/>
          </w:rPr>
          <w:instrText xml:space="preserve"> PAGEREF _Toc7782240 \h </w:instrText>
        </w:r>
        <w:r>
          <w:rPr>
            <w:noProof/>
            <w:webHidden/>
          </w:rPr>
        </w:r>
        <w:r>
          <w:rPr>
            <w:noProof/>
            <w:webHidden/>
          </w:rPr>
          <w:fldChar w:fldCharType="separate"/>
        </w:r>
        <w:r>
          <w:rPr>
            <w:noProof/>
            <w:webHidden/>
          </w:rPr>
          <w:t>21</w:t>
        </w:r>
        <w:r>
          <w:rPr>
            <w:noProof/>
            <w:webHidden/>
          </w:rPr>
          <w:fldChar w:fldCharType="end"/>
        </w:r>
      </w:hyperlink>
    </w:p>
    <w:p w:rsidR="009076EB" w:rsidRDefault="009076EB">
      <w:pPr>
        <w:pStyle w:val="TOC1"/>
        <w:rPr>
          <w:rFonts w:asciiTheme="minorHAnsi" w:eastAsiaTheme="minorEastAsia" w:hAnsiTheme="minorHAnsi" w:cstheme="minorBidi"/>
          <w:noProof/>
          <w:sz w:val="22"/>
          <w:szCs w:val="22"/>
          <w:lang w:eastAsia="en-NZ"/>
        </w:rPr>
      </w:pPr>
      <w:hyperlink w:anchor="_Toc7782241" w:history="1">
        <w:r w:rsidRPr="000A3A18">
          <w:rPr>
            <w:rStyle w:val="Hyperlink"/>
            <w:noProof/>
          </w:rPr>
          <w:t>Appendix 2: Reporting adverse medicine reactions</w:t>
        </w:r>
        <w:r>
          <w:rPr>
            <w:noProof/>
            <w:webHidden/>
          </w:rPr>
          <w:tab/>
        </w:r>
        <w:r>
          <w:rPr>
            <w:noProof/>
            <w:webHidden/>
          </w:rPr>
          <w:fldChar w:fldCharType="begin"/>
        </w:r>
        <w:r>
          <w:rPr>
            <w:noProof/>
            <w:webHidden/>
          </w:rPr>
          <w:instrText xml:space="preserve"> PAGEREF _Toc7782241 \h </w:instrText>
        </w:r>
        <w:r>
          <w:rPr>
            <w:noProof/>
            <w:webHidden/>
          </w:rPr>
        </w:r>
        <w:r>
          <w:rPr>
            <w:noProof/>
            <w:webHidden/>
          </w:rPr>
          <w:fldChar w:fldCharType="separate"/>
        </w:r>
        <w:r>
          <w:rPr>
            <w:noProof/>
            <w:webHidden/>
          </w:rPr>
          <w:t>22</w:t>
        </w:r>
        <w:r>
          <w:rPr>
            <w:noProof/>
            <w:webHidden/>
          </w:rPr>
          <w:fldChar w:fldCharType="end"/>
        </w:r>
      </w:hyperlink>
    </w:p>
    <w:p w:rsidR="002B76A7" w:rsidRDefault="009076EB" w:rsidP="003A5FEA">
      <w:r>
        <w:rPr>
          <w:rFonts w:ascii="Segoe UI Semibold" w:hAnsi="Segoe UI Semibold"/>
          <w:b/>
          <w:sz w:val="24"/>
        </w:rPr>
        <w:fldChar w:fldCharType="end"/>
      </w:r>
    </w:p>
    <w:p w:rsidR="001D3E4E" w:rsidRDefault="001D3E4E" w:rsidP="003A5FEA">
      <w:pPr>
        <w:sectPr w:rsidR="001D3E4E" w:rsidSect="006E252C">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rsidR="00A073CF" w:rsidRDefault="00A073CF" w:rsidP="00A073CF"/>
    <w:p w:rsidR="00A073CF" w:rsidRPr="00A073CF" w:rsidRDefault="00A073CF" w:rsidP="00A073CF">
      <w:pPr>
        <w:sectPr w:rsidR="00A073CF" w:rsidRPr="00A073CF" w:rsidSect="006E252C">
          <w:footerReference w:type="even" r:id="rId18"/>
          <w:pgSz w:w="11907" w:h="16840" w:code="9"/>
          <w:pgMar w:top="1418" w:right="1701" w:bottom="1134" w:left="1843" w:header="284" w:footer="425" w:gutter="284"/>
          <w:pgNumType w:fmt="lowerRoman"/>
          <w:cols w:space="720"/>
        </w:sectPr>
      </w:pPr>
    </w:p>
    <w:p w:rsidR="001D3E4E" w:rsidRDefault="00E147DE" w:rsidP="00E147DE">
      <w:pPr>
        <w:pStyle w:val="Heading1"/>
      </w:pPr>
      <w:bookmarkStart w:id="2" w:name="_Toc7782218"/>
      <w:r>
        <w:lastRenderedPageBreak/>
        <w:t>Glossary of terms</w:t>
      </w:r>
      <w:bookmarkEnd w:id="2"/>
    </w:p>
    <w:tbl>
      <w:tblPr>
        <w:tblW w:w="8472" w:type="dxa"/>
        <w:tblLayout w:type="fixed"/>
        <w:tblLook w:val="04A0" w:firstRow="1" w:lastRow="0" w:firstColumn="1" w:lastColumn="0" w:noHBand="0" w:noVBand="1"/>
      </w:tblPr>
      <w:tblGrid>
        <w:gridCol w:w="2235"/>
        <w:gridCol w:w="6237"/>
      </w:tblGrid>
      <w:tr w:rsidR="00E147DE" w:rsidRPr="00A37BF2" w:rsidTr="00E147DE">
        <w:trPr>
          <w:cantSplit/>
        </w:trPr>
        <w:tc>
          <w:tcPr>
            <w:tcW w:w="2235" w:type="dxa"/>
            <w:shd w:val="clear" w:color="auto" w:fill="auto"/>
          </w:tcPr>
          <w:p w:rsidR="00E147DE" w:rsidRPr="00E147DE" w:rsidRDefault="00E147DE" w:rsidP="00E147DE">
            <w:pPr>
              <w:rPr>
                <w:rFonts w:cs="Segoe UI"/>
                <w:sz w:val="19"/>
                <w:szCs w:val="19"/>
              </w:rPr>
            </w:pPr>
            <w:r w:rsidRPr="00E147DE">
              <w:rPr>
                <w:rFonts w:cs="Segoe UI"/>
                <w:sz w:val="19"/>
                <w:szCs w:val="19"/>
              </w:rPr>
              <w:t>Authorised prescriber</w:t>
            </w:r>
          </w:p>
        </w:tc>
        <w:tc>
          <w:tcPr>
            <w:tcW w:w="6237" w:type="dxa"/>
            <w:shd w:val="clear" w:color="auto" w:fill="auto"/>
          </w:tcPr>
          <w:p w:rsidR="00E147DE" w:rsidRPr="00E147DE" w:rsidRDefault="00E147DE" w:rsidP="00E147DE">
            <w:pPr>
              <w:rPr>
                <w:rFonts w:cs="Segoe UI"/>
                <w:sz w:val="19"/>
                <w:szCs w:val="19"/>
                <w:lang w:eastAsia="en-NZ"/>
              </w:rPr>
            </w:pPr>
            <w:r w:rsidRPr="00E147DE">
              <w:rPr>
                <w:rFonts w:cs="Segoe UI"/>
                <w:sz w:val="19"/>
                <w:szCs w:val="19"/>
              </w:rPr>
              <w:t>Defined in the Medicines Act 1981 (</w:t>
            </w:r>
            <w:proofErr w:type="gramStart"/>
            <w:r w:rsidRPr="00E147DE">
              <w:rPr>
                <w:rFonts w:cs="Segoe UI"/>
                <w:sz w:val="19"/>
                <w:szCs w:val="19"/>
              </w:rPr>
              <w:t>s2(</w:t>
            </w:r>
            <w:proofErr w:type="gramEnd"/>
            <w:r w:rsidRPr="00E147DE">
              <w:rPr>
                <w:rFonts w:cs="Segoe UI"/>
                <w:sz w:val="19"/>
                <w:szCs w:val="19"/>
              </w:rPr>
              <w:t>1)) as a nurse practitioner, an optometrist, a practitioner, a registered midwife or a designated prescriber</w:t>
            </w:r>
            <w:r>
              <w:rPr>
                <w:rFonts w:cs="Segoe UI"/>
                <w:sz w:val="19"/>
                <w:szCs w:val="19"/>
              </w:rPr>
              <w:t>.</w:t>
            </w:r>
          </w:p>
        </w:tc>
      </w:tr>
      <w:tr w:rsidR="00E147DE" w:rsidRPr="00A37BF2" w:rsidTr="00E147DE">
        <w:trPr>
          <w:cantSplit/>
        </w:trPr>
        <w:tc>
          <w:tcPr>
            <w:tcW w:w="2235" w:type="dxa"/>
            <w:shd w:val="clear" w:color="auto" w:fill="auto"/>
          </w:tcPr>
          <w:p w:rsidR="00E147DE" w:rsidRPr="00E147DE" w:rsidRDefault="00E147DE" w:rsidP="00E147DE">
            <w:pPr>
              <w:spacing w:before="120"/>
              <w:rPr>
                <w:rFonts w:cs="Segoe UI"/>
                <w:sz w:val="19"/>
                <w:szCs w:val="19"/>
              </w:rPr>
            </w:pPr>
            <w:r w:rsidRPr="00E147DE">
              <w:rPr>
                <w:rFonts w:cs="Segoe UI"/>
                <w:sz w:val="19"/>
                <w:szCs w:val="19"/>
              </w:rPr>
              <w:t>Delegation</w:t>
            </w:r>
            <w:r w:rsidRPr="00E147DE">
              <w:rPr>
                <w:rFonts w:cs="Segoe UI"/>
                <w:noProof/>
                <w:sz w:val="19"/>
                <w:szCs w:val="19"/>
                <w:vertAlign w:val="superscript"/>
              </w:rPr>
              <w:t xml:space="preserve"> </w:t>
            </w:r>
          </w:p>
        </w:tc>
        <w:tc>
          <w:tcPr>
            <w:tcW w:w="6237" w:type="dxa"/>
            <w:shd w:val="clear" w:color="auto" w:fill="auto"/>
          </w:tcPr>
          <w:p w:rsidR="00E147DE" w:rsidRPr="00E147DE" w:rsidRDefault="00E147DE" w:rsidP="00E147DE">
            <w:pPr>
              <w:spacing w:before="120"/>
              <w:rPr>
                <w:rFonts w:cs="Segoe UI"/>
                <w:sz w:val="19"/>
                <w:szCs w:val="19"/>
                <w:lang w:eastAsia="en-NZ"/>
              </w:rPr>
            </w:pPr>
            <w:r w:rsidRPr="00E147DE">
              <w:rPr>
                <w:rFonts w:cs="Segoe UI"/>
                <w:sz w:val="19"/>
                <w:szCs w:val="19"/>
                <w:lang w:eastAsia="en-NZ"/>
              </w:rPr>
              <w:t>The transfer of responsibility for the performance of an activity from one person to another with the former retaining accountability for the outcome (</w:t>
            </w:r>
            <w:proofErr w:type="spellStart"/>
            <w:r w:rsidRPr="00E147DE">
              <w:rPr>
                <w:rFonts w:cs="Segoe UI"/>
                <w:sz w:val="19"/>
                <w:szCs w:val="19"/>
                <w:lang w:eastAsia="en-NZ"/>
              </w:rPr>
              <w:t>eg</w:t>
            </w:r>
            <w:proofErr w:type="spellEnd"/>
            <w:r w:rsidRPr="00E147DE">
              <w:rPr>
                <w:rFonts w:cs="Segoe UI"/>
                <w:sz w:val="19"/>
                <w:szCs w:val="19"/>
                <w:lang w:eastAsia="en-NZ"/>
              </w:rPr>
              <w:t>, a registered nurse (RN) requesting a home support worker (HSW) to administer medication to a person) (NZNO 2012)</w:t>
            </w:r>
            <w:r>
              <w:rPr>
                <w:rFonts w:cs="Segoe UI"/>
                <w:sz w:val="19"/>
                <w:szCs w:val="19"/>
                <w:lang w:eastAsia="en-NZ"/>
              </w:rPr>
              <w:t>.</w:t>
            </w:r>
          </w:p>
        </w:tc>
      </w:tr>
      <w:tr w:rsidR="00E147DE" w:rsidRPr="00AB1A2D" w:rsidTr="00E147DE">
        <w:trPr>
          <w:cantSplit/>
        </w:trPr>
        <w:tc>
          <w:tcPr>
            <w:tcW w:w="2235" w:type="dxa"/>
            <w:shd w:val="clear" w:color="auto" w:fill="auto"/>
          </w:tcPr>
          <w:p w:rsidR="00E147DE" w:rsidRPr="00E147DE" w:rsidRDefault="00E147DE" w:rsidP="00E147DE">
            <w:pPr>
              <w:spacing w:before="120"/>
              <w:rPr>
                <w:rFonts w:cs="Segoe UI"/>
                <w:sz w:val="19"/>
                <w:szCs w:val="19"/>
              </w:rPr>
            </w:pPr>
            <w:r w:rsidRPr="00E147DE">
              <w:rPr>
                <w:rFonts w:cs="Segoe UI"/>
                <w:sz w:val="19"/>
                <w:szCs w:val="19"/>
              </w:rPr>
              <w:t>Delegated prescriber</w:t>
            </w:r>
          </w:p>
        </w:tc>
        <w:tc>
          <w:tcPr>
            <w:tcW w:w="6237" w:type="dxa"/>
            <w:shd w:val="clear" w:color="auto" w:fill="auto"/>
          </w:tcPr>
          <w:p w:rsidR="00E147DE" w:rsidRPr="00E147DE" w:rsidRDefault="00E147DE" w:rsidP="00E147DE">
            <w:pPr>
              <w:spacing w:before="120"/>
              <w:rPr>
                <w:rFonts w:cs="Segoe UI"/>
                <w:sz w:val="19"/>
                <w:szCs w:val="19"/>
                <w:lang w:eastAsia="en-NZ"/>
              </w:rPr>
            </w:pPr>
            <w:r w:rsidRPr="00E147DE">
              <w:rPr>
                <w:rFonts w:cs="Segoe UI"/>
                <w:sz w:val="19"/>
                <w:szCs w:val="19"/>
              </w:rPr>
              <w:t xml:space="preserve">A health </w:t>
            </w:r>
            <w:r w:rsidR="00A13E94" w:rsidRPr="00E147DE">
              <w:rPr>
                <w:rFonts w:cs="Segoe UI"/>
                <w:sz w:val="19"/>
                <w:szCs w:val="19"/>
              </w:rPr>
              <w:t>pract</w:t>
            </w:r>
            <w:r w:rsidR="00A13E94">
              <w:rPr>
                <w:rFonts w:cs="Segoe UI"/>
                <w:sz w:val="19"/>
                <w:szCs w:val="19"/>
              </w:rPr>
              <w:t>i</w:t>
            </w:r>
            <w:r w:rsidR="00A13E94" w:rsidRPr="00E147DE">
              <w:rPr>
                <w:rFonts w:cs="Segoe UI"/>
                <w:sz w:val="19"/>
                <w:szCs w:val="19"/>
              </w:rPr>
              <w:t>tioner</w:t>
            </w:r>
            <w:r w:rsidRPr="00E147DE">
              <w:rPr>
                <w:rFonts w:cs="Segoe UI"/>
                <w:sz w:val="19"/>
                <w:szCs w:val="19"/>
              </w:rPr>
              <w:t xml:space="preserve"> to whom a delegated prescribing order has been issued</w:t>
            </w:r>
          </w:p>
        </w:tc>
      </w:tr>
      <w:tr w:rsidR="00E147DE" w:rsidRPr="00AB1A2D" w:rsidTr="00E147DE">
        <w:trPr>
          <w:cantSplit/>
        </w:trPr>
        <w:tc>
          <w:tcPr>
            <w:tcW w:w="2235" w:type="dxa"/>
            <w:shd w:val="clear" w:color="auto" w:fill="auto"/>
          </w:tcPr>
          <w:p w:rsidR="00E147DE" w:rsidRPr="00E147DE" w:rsidRDefault="00E147DE" w:rsidP="00E147DE">
            <w:pPr>
              <w:spacing w:before="120"/>
              <w:rPr>
                <w:rFonts w:cs="Segoe UI"/>
                <w:sz w:val="19"/>
                <w:szCs w:val="19"/>
              </w:rPr>
            </w:pPr>
            <w:r w:rsidRPr="00E147DE">
              <w:rPr>
                <w:rFonts w:cs="Segoe UI"/>
                <w:sz w:val="19"/>
                <w:szCs w:val="19"/>
              </w:rPr>
              <w:t>Designated prescriber</w:t>
            </w:r>
          </w:p>
        </w:tc>
        <w:tc>
          <w:tcPr>
            <w:tcW w:w="6237" w:type="dxa"/>
            <w:shd w:val="clear" w:color="auto" w:fill="auto"/>
          </w:tcPr>
          <w:p w:rsidR="00E147DE" w:rsidRPr="00E147DE" w:rsidRDefault="00E147DE" w:rsidP="00E147DE">
            <w:pPr>
              <w:spacing w:before="120"/>
              <w:rPr>
                <w:rFonts w:cs="Segoe UI"/>
                <w:sz w:val="19"/>
                <w:szCs w:val="19"/>
                <w:lang w:eastAsia="en-NZ"/>
              </w:rPr>
            </w:pPr>
            <w:r w:rsidRPr="00E147DE">
              <w:rPr>
                <w:rFonts w:cs="Segoe UI"/>
                <w:sz w:val="19"/>
                <w:szCs w:val="19"/>
              </w:rPr>
              <w:t>A person other than a practitioner, nurse practitioner, optometrist or registered midwife who is a registered health professional authorised to prescribe subject to the requirements specified in the regulations and who meets relevant requirements of training and competency</w:t>
            </w:r>
            <w:r>
              <w:rPr>
                <w:rFonts w:cs="Segoe UI"/>
                <w:sz w:val="19"/>
                <w:szCs w:val="19"/>
              </w:rPr>
              <w:t>.</w:t>
            </w:r>
          </w:p>
        </w:tc>
      </w:tr>
      <w:tr w:rsidR="00E147DE" w:rsidRPr="00247159" w:rsidTr="00E147DE">
        <w:trPr>
          <w:cantSplit/>
        </w:trPr>
        <w:tc>
          <w:tcPr>
            <w:tcW w:w="2235" w:type="dxa"/>
            <w:shd w:val="clear" w:color="auto" w:fill="auto"/>
          </w:tcPr>
          <w:p w:rsidR="00E147DE" w:rsidRPr="00E147DE" w:rsidRDefault="00E147DE" w:rsidP="00E147DE">
            <w:pPr>
              <w:spacing w:before="120"/>
              <w:rPr>
                <w:rFonts w:cs="Segoe UI"/>
                <w:sz w:val="19"/>
                <w:szCs w:val="19"/>
              </w:rPr>
            </w:pPr>
            <w:r w:rsidRPr="00E147DE">
              <w:rPr>
                <w:rFonts w:cs="Segoe UI"/>
                <w:bCs/>
                <w:sz w:val="19"/>
                <w:szCs w:val="19"/>
                <w:lang w:eastAsia="en-NZ"/>
              </w:rPr>
              <w:t>Direction</w:t>
            </w:r>
          </w:p>
        </w:tc>
        <w:tc>
          <w:tcPr>
            <w:tcW w:w="6237" w:type="dxa"/>
            <w:shd w:val="clear" w:color="auto" w:fill="auto"/>
          </w:tcPr>
          <w:p w:rsidR="00E147DE" w:rsidRPr="00E147DE" w:rsidRDefault="00E147DE" w:rsidP="00E147DE">
            <w:pPr>
              <w:spacing w:before="120"/>
              <w:rPr>
                <w:rFonts w:cs="Segoe UI"/>
                <w:sz w:val="19"/>
                <w:szCs w:val="19"/>
              </w:rPr>
            </w:pPr>
            <w:r w:rsidRPr="00E147DE">
              <w:rPr>
                <w:rFonts w:cs="Segoe UI"/>
                <w:sz w:val="19"/>
                <w:szCs w:val="19"/>
                <w:lang w:eastAsia="en-NZ"/>
              </w:rPr>
              <w:t>The active process of guiding, monitoring and evaluating the nursing activities performed by another. Direction is provided directly when the RN is actually present, observes, works with and directs the person;</w:t>
            </w:r>
            <w:r w:rsidR="00A13F65">
              <w:rPr>
                <w:rFonts w:cs="Segoe UI"/>
                <w:sz w:val="19"/>
                <w:szCs w:val="19"/>
                <w:lang w:eastAsia="en-NZ"/>
              </w:rPr>
              <w:t xml:space="preserve"> </w:t>
            </w:r>
            <w:r w:rsidRPr="00E147DE">
              <w:rPr>
                <w:rFonts w:cs="Segoe UI"/>
                <w:sz w:val="19"/>
                <w:szCs w:val="19"/>
                <w:lang w:eastAsia="en-NZ"/>
              </w:rPr>
              <w:t xml:space="preserve">and/or indirectly when the RN works in the same facility or organisation as the supervised person but does not constantly observe his/her activities. The RN must be available for consultation as required, </w:t>
            </w:r>
            <w:proofErr w:type="spellStart"/>
            <w:r w:rsidRPr="00E147DE">
              <w:rPr>
                <w:rFonts w:cs="Segoe UI"/>
                <w:sz w:val="19"/>
                <w:szCs w:val="19"/>
                <w:lang w:eastAsia="en-NZ"/>
              </w:rPr>
              <w:t>ie</w:t>
            </w:r>
            <w:proofErr w:type="spellEnd"/>
            <w:r w:rsidRPr="00E147DE">
              <w:rPr>
                <w:rFonts w:cs="Segoe UI"/>
                <w:sz w:val="19"/>
                <w:szCs w:val="19"/>
                <w:lang w:eastAsia="en-NZ"/>
              </w:rPr>
              <w:t>, must be available at all times on the premises or contactable by telephone (in community settings)</w:t>
            </w:r>
            <w:r>
              <w:rPr>
                <w:rFonts w:cs="Segoe UI"/>
                <w:sz w:val="19"/>
                <w:szCs w:val="19"/>
                <w:lang w:eastAsia="en-NZ"/>
              </w:rPr>
              <w:t>.</w:t>
            </w:r>
          </w:p>
        </w:tc>
      </w:tr>
      <w:tr w:rsidR="00E147DE" w:rsidRPr="00247159" w:rsidTr="00E147DE">
        <w:trPr>
          <w:cantSplit/>
        </w:trPr>
        <w:tc>
          <w:tcPr>
            <w:tcW w:w="2235" w:type="dxa"/>
            <w:shd w:val="clear" w:color="auto" w:fill="auto"/>
          </w:tcPr>
          <w:p w:rsidR="00E147DE" w:rsidRPr="00E147DE" w:rsidRDefault="00E147DE" w:rsidP="00E147DE">
            <w:pPr>
              <w:spacing w:before="120"/>
              <w:rPr>
                <w:rFonts w:cs="Segoe UI"/>
                <w:sz w:val="19"/>
                <w:szCs w:val="19"/>
              </w:rPr>
            </w:pPr>
            <w:r w:rsidRPr="00E147DE">
              <w:rPr>
                <w:rFonts w:cs="Segoe UI"/>
                <w:sz w:val="19"/>
                <w:szCs w:val="19"/>
              </w:rPr>
              <w:t>Enrolled nurse</w:t>
            </w:r>
            <w:r w:rsidRPr="00E147DE">
              <w:rPr>
                <w:rStyle w:val="FootnoteReference"/>
                <w:sz w:val="19"/>
                <w:szCs w:val="19"/>
              </w:rPr>
              <w:footnoteReference w:id="1"/>
            </w:r>
            <w:r w:rsidRPr="00E147DE">
              <w:rPr>
                <w:rFonts w:cs="Segoe UI"/>
                <w:sz w:val="19"/>
                <w:szCs w:val="19"/>
              </w:rPr>
              <w:t xml:space="preserve"> (EN)</w:t>
            </w:r>
          </w:p>
        </w:tc>
        <w:tc>
          <w:tcPr>
            <w:tcW w:w="6237" w:type="dxa"/>
            <w:shd w:val="clear" w:color="auto" w:fill="auto"/>
          </w:tcPr>
          <w:p w:rsidR="00E147DE" w:rsidRPr="00E147DE" w:rsidRDefault="00E147DE" w:rsidP="00E147DE">
            <w:pPr>
              <w:spacing w:before="120"/>
              <w:rPr>
                <w:rFonts w:cs="Segoe UI"/>
                <w:sz w:val="19"/>
                <w:szCs w:val="19"/>
              </w:rPr>
            </w:pPr>
            <w:r w:rsidRPr="00E147DE">
              <w:rPr>
                <w:rFonts w:cs="Segoe UI"/>
                <w:color w:val="000000"/>
                <w:sz w:val="19"/>
                <w:szCs w:val="19"/>
              </w:rPr>
              <w:t>A person who has successfully completed a diploma in New Zealand or equivalent diploma from overseas for enrolled nursing. For entry into the enrolled nurse scope of practice, he or she must pass the state final registration examination. Practice as an EN requires registration with the Nursing Council of New Zealand and a current annual practising certificate</w:t>
            </w:r>
            <w:r>
              <w:rPr>
                <w:rFonts w:cs="Segoe UI"/>
                <w:color w:val="000000"/>
                <w:sz w:val="19"/>
                <w:szCs w:val="19"/>
              </w:rPr>
              <w:t>.</w:t>
            </w:r>
          </w:p>
        </w:tc>
      </w:tr>
      <w:tr w:rsidR="00E147DE" w:rsidRPr="00601405" w:rsidTr="00E147DE">
        <w:trPr>
          <w:cantSplit/>
        </w:trPr>
        <w:tc>
          <w:tcPr>
            <w:tcW w:w="2235" w:type="dxa"/>
            <w:shd w:val="clear" w:color="auto" w:fill="auto"/>
          </w:tcPr>
          <w:p w:rsidR="00E147DE" w:rsidRPr="00E147DE" w:rsidRDefault="00E147DE" w:rsidP="00E147DE">
            <w:pPr>
              <w:spacing w:before="120"/>
              <w:rPr>
                <w:rFonts w:cs="Segoe UI"/>
                <w:sz w:val="19"/>
                <w:szCs w:val="19"/>
              </w:rPr>
            </w:pPr>
            <w:r w:rsidRPr="00E147DE">
              <w:rPr>
                <w:rFonts w:cs="Segoe UI"/>
                <w:bCs/>
                <w:sz w:val="19"/>
                <w:szCs w:val="19"/>
                <w:lang w:eastAsia="en-NZ"/>
              </w:rPr>
              <w:t>Home support worker (HSW)</w:t>
            </w:r>
          </w:p>
        </w:tc>
        <w:tc>
          <w:tcPr>
            <w:tcW w:w="6237" w:type="dxa"/>
            <w:shd w:val="clear" w:color="auto" w:fill="auto"/>
          </w:tcPr>
          <w:p w:rsidR="00E147DE" w:rsidRPr="00E147DE" w:rsidRDefault="00E147DE" w:rsidP="00E147DE">
            <w:pPr>
              <w:spacing w:before="120"/>
              <w:rPr>
                <w:rFonts w:cs="Segoe UI"/>
                <w:sz w:val="19"/>
                <w:szCs w:val="19"/>
              </w:rPr>
            </w:pPr>
            <w:r w:rsidRPr="00E147DE">
              <w:rPr>
                <w:rFonts w:cs="Segoe UI"/>
                <w:sz w:val="19"/>
                <w:szCs w:val="19"/>
                <w:lang w:eastAsia="en-NZ"/>
              </w:rPr>
              <w:t xml:space="preserve">A person employed within the community context </w:t>
            </w:r>
            <w:r w:rsidR="00A13F65">
              <w:rPr>
                <w:rFonts w:cs="Segoe UI"/>
                <w:sz w:val="19"/>
                <w:szCs w:val="19"/>
                <w:lang w:eastAsia="en-NZ"/>
              </w:rPr>
              <w:t>‘</w:t>
            </w:r>
            <w:r w:rsidRPr="00E147DE">
              <w:rPr>
                <w:rFonts w:cs="Segoe UI"/>
                <w:sz w:val="19"/>
                <w:szCs w:val="19"/>
                <w:lang w:eastAsia="en-NZ"/>
              </w:rPr>
              <w:t>who undertakes a component of direct care and is not regulated in law by a regulated authority</w:t>
            </w:r>
            <w:r w:rsidR="00A13F65">
              <w:rPr>
                <w:rFonts w:cs="Segoe UI"/>
                <w:sz w:val="19"/>
                <w:szCs w:val="19"/>
                <w:lang w:eastAsia="en-NZ"/>
              </w:rPr>
              <w:t>’</w:t>
            </w:r>
            <w:r w:rsidRPr="00E147DE">
              <w:rPr>
                <w:rFonts w:cs="Segoe UI"/>
                <w:sz w:val="19"/>
                <w:szCs w:val="19"/>
                <w:lang w:eastAsia="en-NZ"/>
              </w:rPr>
              <w:t xml:space="preserve"> (Nursing Council of New Zealand, 2012). Other titles for this role in New Zealand include </w:t>
            </w:r>
            <w:r w:rsidR="00A13F65">
              <w:rPr>
                <w:rFonts w:cs="Segoe UI"/>
                <w:sz w:val="19"/>
                <w:szCs w:val="19"/>
                <w:lang w:eastAsia="en-NZ"/>
              </w:rPr>
              <w:t>‘</w:t>
            </w:r>
            <w:r w:rsidRPr="00E147DE">
              <w:rPr>
                <w:rFonts w:cs="Segoe UI"/>
                <w:sz w:val="19"/>
                <w:szCs w:val="19"/>
                <w:lang w:eastAsia="en-NZ"/>
              </w:rPr>
              <w:t>health care assistant</w:t>
            </w:r>
            <w:r w:rsidR="00A13F65">
              <w:rPr>
                <w:rFonts w:cs="Segoe UI"/>
                <w:sz w:val="19"/>
                <w:szCs w:val="19"/>
                <w:lang w:eastAsia="en-NZ"/>
              </w:rPr>
              <w:t>’</w:t>
            </w:r>
            <w:r w:rsidRPr="00E147DE">
              <w:rPr>
                <w:rFonts w:cs="Segoe UI"/>
                <w:sz w:val="19"/>
                <w:szCs w:val="19"/>
                <w:lang w:eastAsia="en-NZ"/>
              </w:rPr>
              <w:t xml:space="preserve">, </w:t>
            </w:r>
            <w:r w:rsidR="00A13F65">
              <w:rPr>
                <w:rFonts w:cs="Segoe UI"/>
                <w:sz w:val="19"/>
                <w:szCs w:val="19"/>
                <w:lang w:eastAsia="en-NZ"/>
              </w:rPr>
              <w:t>‘</w:t>
            </w:r>
            <w:proofErr w:type="spellStart"/>
            <w:r w:rsidRPr="00E147DE">
              <w:rPr>
                <w:rFonts w:cs="Segoe UI"/>
                <w:sz w:val="19"/>
                <w:szCs w:val="19"/>
                <w:lang w:eastAsia="en-NZ"/>
              </w:rPr>
              <w:t>kaiāwhina</w:t>
            </w:r>
            <w:proofErr w:type="spellEnd"/>
            <w:r w:rsidR="00A13F65">
              <w:rPr>
                <w:rFonts w:cs="Segoe UI"/>
                <w:sz w:val="19"/>
                <w:szCs w:val="19"/>
                <w:lang w:eastAsia="en-NZ"/>
              </w:rPr>
              <w:t>’</w:t>
            </w:r>
            <w:r w:rsidRPr="00E147DE">
              <w:rPr>
                <w:rFonts w:cs="Segoe UI"/>
                <w:sz w:val="19"/>
                <w:szCs w:val="19"/>
                <w:lang w:eastAsia="en-NZ"/>
              </w:rPr>
              <w:t xml:space="preserve"> and </w:t>
            </w:r>
            <w:r w:rsidR="00A13F65">
              <w:rPr>
                <w:rFonts w:cs="Segoe UI"/>
                <w:sz w:val="19"/>
                <w:szCs w:val="19"/>
                <w:lang w:eastAsia="en-NZ"/>
              </w:rPr>
              <w:t>‘</w:t>
            </w:r>
            <w:r w:rsidRPr="00E147DE">
              <w:rPr>
                <w:rFonts w:cs="Segoe UI"/>
                <w:sz w:val="19"/>
                <w:szCs w:val="19"/>
                <w:lang w:eastAsia="en-NZ"/>
              </w:rPr>
              <w:t>community support worker</w:t>
            </w:r>
            <w:r w:rsidR="00A13F65">
              <w:rPr>
                <w:rFonts w:cs="Segoe UI"/>
                <w:sz w:val="19"/>
                <w:szCs w:val="19"/>
                <w:lang w:eastAsia="en-NZ"/>
              </w:rPr>
              <w:t>’</w:t>
            </w:r>
            <w:r w:rsidRPr="00E147DE">
              <w:rPr>
                <w:rFonts w:cs="Segoe UI"/>
                <w:sz w:val="19"/>
                <w:szCs w:val="19"/>
                <w:lang w:eastAsia="en-NZ"/>
              </w:rPr>
              <w:t xml:space="preserve">. For consistency with publications of the Home and Community Health Association, these guidelines use only </w:t>
            </w:r>
            <w:r w:rsidR="00A13F65">
              <w:rPr>
                <w:rFonts w:cs="Segoe UI"/>
                <w:sz w:val="19"/>
                <w:szCs w:val="19"/>
                <w:lang w:eastAsia="en-NZ"/>
              </w:rPr>
              <w:t>‘</w:t>
            </w:r>
            <w:r w:rsidRPr="00E147DE">
              <w:rPr>
                <w:rFonts w:cs="Segoe UI"/>
                <w:sz w:val="19"/>
                <w:szCs w:val="19"/>
                <w:lang w:eastAsia="en-NZ"/>
              </w:rPr>
              <w:t>home support worker</w:t>
            </w:r>
            <w:r w:rsidR="00A13F65">
              <w:rPr>
                <w:rFonts w:cs="Segoe UI"/>
                <w:sz w:val="19"/>
                <w:szCs w:val="19"/>
                <w:lang w:eastAsia="en-NZ"/>
              </w:rPr>
              <w:t>’</w:t>
            </w:r>
            <w:r w:rsidRPr="00E147DE">
              <w:rPr>
                <w:rFonts w:cs="Segoe UI"/>
                <w:sz w:val="19"/>
                <w:szCs w:val="19"/>
                <w:lang w:eastAsia="en-NZ"/>
              </w:rPr>
              <w:t xml:space="preserve"> or </w:t>
            </w:r>
            <w:r w:rsidR="00A13F65">
              <w:rPr>
                <w:rFonts w:cs="Segoe UI"/>
                <w:sz w:val="19"/>
                <w:szCs w:val="19"/>
                <w:lang w:eastAsia="en-NZ"/>
              </w:rPr>
              <w:t>‘</w:t>
            </w:r>
            <w:r w:rsidRPr="00E147DE">
              <w:rPr>
                <w:rFonts w:cs="Segoe UI"/>
                <w:sz w:val="19"/>
                <w:szCs w:val="19"/>
                <w:lang w:eastAsia="en-NZ"/>
              </w:rPr>
              <w:t>HSW</w:t>
            </w:r>
            <w:r w:rsidR="00A13F65">
              <w:rPr>
                <w:rFonts w:cs="Segoe UI"/>
                <w:sz w:val="19"/>
                <w:szCs w:val="19"/>
                <w:lang w:eastAsia="en-NZ"/>
              </w:rPr>
              <w:t>’</w:t>
            </w:r>
            <w:r>
              <w:rPr>
                <w:rFonts w:cs="Segoe UI"/>
                <w:sz w:val="19"/>
                <w:szCs w:val="19"/>
                <w:lang w:eastAsia="en-NZ"/>
              </w:rPr>
              <w:t>.</w:t>
            </w:r>
          </w:p>
        </w:tc>
      </w:tr>
      <w:tr w:rsidR="00E147DE" w:rsidRPr="00601405" w:rsidTr="00E147DE">
        <w:trPr>
          <w:cantSplit/>
        </w:trPr>
        <w:tc>
          <w:tcPr>
            <w:tcW w:w="2235" w:type="dxa"/>
            <w:shd w:val="clear" w:color="auto" w:fill="auto"/>
          </w:tcPr>
          <w:p w:rsidR="00E147DE" w:rsidRPr="00E147DE" w:rsidRDefault="00E147DE" w:rsidP="00E147DE">
            <w:pPr>
              <w:spacing w:before="120"/>
              <w:rPr>
                <w:rFonts w:cs="Segoe UI"/>
                <w:bCs/>
                <w:sz w:val="19"/>
                <w:szCs w:val="19"/>
                <w:lang w:eastAsia="en-NZ"/>
              </w:rPr>
            </w:pPr>
            <w:r w:rsidRPr="00E147DE">
              <w:rPr>
                <w:rFonts w:cs="Segoe UI"/>
                <w:bCs/>
                <w:sz w:val="19"/>
                <w:szCs w:val="19"/>
                <w:lang w:eastAsia="en-NZ"/>
              </w:rPr>
              <w:t>Informed consent</w:t>
            </w:r>
          </w:p>
        </w:tc>
        <w:tc>
          <w:tcPr>
            <w:tcW w:w="6237" w:type="dxa"/>
            <w:shd w:val="clear" w:color="auto" w:fill="auto"/>
          </w:tcPr>
          <w:p w:rsidR="00E147DE" w:rsidRPr="00E147DE" w:rsidRDefault="00E147DE" w:rsidP="00E147DE">
            <w:pPr>
              <w:spacing w:before="120"/>
              <w:rPr>
                <w:rFonts w:cs="Segoe UI"/>
                <w:sz w:val="19"/>
                <w:szCs w:val="19"/>
                <w:lang w:eastAsia="en-NZ"/>
              </w:rPr>
            </w:pPr>
            <w:r w:rsidRPr="00E147DE">
              <w:rPr>
                <w:rFonts w:cs="Segoe UI"/>
                <w:sz w:val="19"/>
                <w:szCs w:val="19"/>
                <w:lang w:eastAsia="en-NZ"/>
              </w:rPr>
              <w:t>Defined in the Code of Health and Disability Services Consumers</w:t>
            </w:r>
            <w:r w:rsidR="00A13F65">
              <w:rPr>
                <w:rFonts w:cs="Segoe UI"/>
                <w:sz w:val="19"/>
                <w:szCs w:val="19"/>
                <w:lang w:eastAsia="en-NZ"/>
              </w:rPr>
              <w:t>’</w:t>
            </w:r>
            <w:r w:rsidRPr="00E147DE">
              <w:rPr>
                <w:rFonts w:cs="Segoe UI"/>
                <w:sz w:val="19"/>
                <w:szCs w:val="19"/>
                <w:lang w:eastAsia="en-NZ"/>
              </w:rPr>
              <w:t xml:space="preserve"> Rights 1996 (the Code) as a process rather than a one-off event, involving effective communication, full information and freely given, competent consent (Rights</w:t>
            </w:r>
            <w:r>
              <w:rPr>
                <w:rFonts w:cs="Segoe UI"/>
                <w:sz w:val="19"/>
                <w:szCs w:val="19"/>
                <w:lang w:eastAsia="en-NZ"/>
              </w:rPr>
              <w:t> </w:t>
            </w:r>
            <w:r w:rsidRPr="00E147DE">
              <w:rPr>
                <w:rFonts w:cs="Segoe UI"/>
                <w:sz w:val="19"/>
                <w:szCs w:val="19"/>
                <w:lang w:eastAsia="en-NZ"/>
              </w:rPr>
              <w:t>5, 6 and 7 respectively). A signature on a consent form is not, of itself, conclusive evidence that informed consent has been given (NZS 8134: 2008: Health and Disability Services Standards)</w:t>
            </w:r>
            <w:r>
              <w:rPr>
                <w:rFonts w:cs="Segoe UI"/>
                <w:sz w:val="19"/>
                <w:szCs w:val="19"/>
                <w:lang w:eastAsia="en-NZ"/>
              </w:rPr>
              <w:t>.</w:t>
            </w:r>
          </w:p>
        </w:tc>
      </w:tr>
      <w:tr w:rsidR="00E147DE" w:rsidRPr="00247159" w:rsidTr="00E147DE">
        <w:trPr>
          <w:cantSplit/>
        </w:trPr>
        <w:tc>
          <w:tcPr>
            <w:tcW w:w="2235" w:type="dxa"/>
            <w:shd w:val="clear" w:color="auto" w:fill="auto"/>
          </w:tcPr>
          <w:p w:rsidR="00E147DE" w:rsidRPr="00E147DE" w:rsidRDefault="00E147DE" w:rsidP="00E147DE">
            <w:pPr>
              <w:spacing w:before="120"/>
              <w:rPr>
                <w:rFonts w:cs="Segoe UI"/>
                <w:sz w:val="19"/>
                <w:szCs w:val="19"/>
              </w:rPr>
            </w:pPr>
            <w:r w:rsidRPr="00E147DE">
              <w:rPr>
                <w:rFonts w:cs="Segoe UI"/>
                <w:sz w:val="19"/>
                <w:szCs w:val="19"/>
              </w:rPr>
              <w:t>Medication administration record (</w:t>
            </w:r>
            <w:r w:rsidR="00A13F65">
              <w:rPr>
                <w:rFonts w:cs="Segoe UI"/>
                <w:sz w:val="19"/>
                <w:szCs w:val="19"/>
              </w:rPr>
              <w:t>‘</w:t>
            </w:r>
            <w:r w:rsidRPr="00E147DE">
              <w:rPr>
                <w:rFonts w:cs="Segoe UI"/>
                <w:sz w:val="19"/>
                <w:szCs w:val="19"/>
              </w:rPr>
              <w:t>MAR)</w:t>
            </w:r>
          </w:p>
        </w:tc>
        <w:tc>
          <w:tcPr>
            <w:tcW w:w="6237" w:type="dxa"/>
            <w:shd w:val="clear" w:color="auto" w:fill="auto"/>
          </w:tcPr>
          <w:p w:rsidR="00E147DE" w:rsidRPr="00E147DE" w:rsidRDefault="00E147DE" w:rsidP="00E147DE">
            <w:pPr>
              <w:spacing w:before="120"/>
              <w:rPr>
                <w:rFonts w:cs="Segoe UI"/>
                <w:sz w:val="19"/>
                <w:szCs w:val="19"/>
              </w:rPr>
            </w:pPr>
            <w:r w:rsidRPr="00E147DE">
              <w:rPr>
                <w:rFonts w:cs="Segoe UI"/>
                <w:sz w:val="19"/>
                <w:szCs w:val="19"/>
                <w:lang w:val="en"/>
              </w:rPr>
              <w:t xml:space="preserve">A </w:t>
            </w:r>
            <w:r w:rsidRPr="00E147DE">
              <w:rPr>
                <w:rFonts w:cs="Segoe UI"/>
                <w:bCs/>
                <w:sz w:val="19"/>
                <w:szCs w:val="19"/>
                <w:lang w:val="en"/>
              </w:rPr>
              <w:t>MAR</w:t>
            </w:r>
            <w:r w:rsidRPr="00E147DE">
              <w:rPr>
                <w:rFonts w:cs="Segoe UI"/>
                <w:sz w:val="19"/>
                <w:szCs w:val="19"/>
                <w:lang w:val="en"/>
              </w:rPr>
              <w:t xml:space="preserve"> (</w:t>
            </w:r>
            <w:proofErr w:type="spellStart"/>
            <w:r w:rsidRPr="00E147DE">
              <w:rPr>
                <w:rFonts w:cs="Segoe UI"/>
                <w:bCs/>
                <w:sz w:val="19"/>
                <w:szCs w:val="19"/>
                <w:lang w:val="en"/>
              </w:rPr>
              <w:t>eMAR</w:t>
            </w:r>
            <w:proofErr w:type="spellEnd"/>
            <w:r w:rsidRPr="00E147DE">
              <w:rPr>
                <w:rFonts w:cs="Segoe UI"/>
                <w:sz w:val="19"/>
                <w:szCs w:val="19"/>
                <w:lang w:val="en"/>
              </w:rPr>
              <w:t xml:space="preserve"> for electronic versions) is the document that serves as a record of the medication administered, may be referred to as a signing sheet</w:t>
            </w:r>
            <w:r>
              <w:rPr>
                <w:rFonts w:cs="Segoe UI"/>
                <w:sz w:val="19"/>
                <w:szCs w:val="19"/>
                <w:lang w:val="en"/>
              </w:rPr>
              <w:t>.</w:t>
            </w:r>
          </w:p>
        </w:tc>
      </w:tr>
      <w:tr w:rsidR="00E147DE" w:rsidRPr="00247159" w:rsidTr="00E147DE">
        <w:trPr>
          <w:cantSplit/>
        </w:trPr>
        <w:tc>
          <w:tcPr>
            <w:tcW w:w="2235" w:type="dxa"/>
            <w:shd w:val="clear" w:color="auto" w:fill="auto"/>
          </w:tcPr>
          <w:p w:rsidR="00E147DE" w:rsidRPr="00E147DE" w:rsidRDefault="00E147DE" w:rsidP="00E147DE">
            <w:pPr>
              <w:spacing w:before="120"/>
              <w:rPr>
                <w:rFonts w:cs="Segoe UI"/>
                <w:sz w:val="19"/>
                <w:szCs w:val="19"/>
              </w:rPr>
            </w:pPr>
            <w:r w:rsidRPr="00E147DE">
              <w:rPr>
                <w:rFonts w:cs="Segoe UI"/>
                <w:sz w:val="19"/>
                <w:szCs w:val="19"/>
              </w:rPr>
              <w:lastRenderedPageBreak/>
              <w:t>Medication order</w:t>
            </w:r>
          </w:p>
        </w:tc>
        <w:tc>
          <w:tcPr>
            <w:tcW w:w="6237" w:type="dxa"/>
            <w:shd w:val="clear" w:color="auto" w:fill="auto"/>
          </w:tcPr>
          <w:p w:rsidR="00E147DE" w:rsidRPr="00E147DE" w:rsidRDefault="00E147DE" w:rsidP="00E147DE">
            <w:pPr>
              <w:spacing w:before="120"/>
              <w:rPr>
                <w:rFonts w:cs="Segoe UI"/>
                <w:sz w:val="19"/>
                <w:szCs w:val="19"/>
              </w:rPr>
            </w:pPr>
            <w:r w:rsidRPr="00E147DE">
              <w:rPr>
                <w:rFonts w:cs="Segoe UI"/>
                <w:color w:val="222222"/>
                <w:sz w:val="19"/>
                <w:szCs w:val="19"/>
              </w:rPr>
              <w:t xml:space="preserve">Documented directions provided by a prescriber for </w:t>
            </w:r>
            <w:r w:rsidRPr="00E147DE">
              <w:rPr>
                <w:rFonts w:cs="Segoe UI"/>
                <w:bCs/>
                <w:color w:val="222222"/>
                <w:sz w:val="19"/>
                <w:szCs w:val="19"/>
              </w:rPr>
              <w:t>medication</w:t>
            </w:r>
            <w:r w:rsidRPr="00E147DE">
              <w:rPr>
                <w:rFonts w:cs="Segoe UI"/>
                <w:color w:val="222222"/>
                <w:sz w:val="19"/>
                <w:szCs w:val="19"/>
              </w:rPr>
              <w:t xml:space="preserve"> to be administered to an individual</w:t>
            </w:r>
            <w:r>
              <w:rPr>
                <w:rFonts w:cs="Segoe UI"/>
                <w:color w:val="222222"/>
                <w:sz w:val="19"/>
                <w:szCs w:val="19"/>
              </w:rPr>
              <w:t>.</w:t>
            </w:r>
          </w:p>
        </w:tc>
      </w:tr>
      <w:tr w:rsidR="00E147DE" w:rsidRPr="00695B7C" w:rsidTr="00E147DE">
        <w:trPr>
          <w:cantSplit/>
        </w:trPr>
        <w:tc>
          <w:tcPr>
            <w:tcW w:w="2235" w:type="dxa"/>
            <w:shd w:val="clear" w:color="auto" w:fill="auto"/>
          </w:tcPr>
          <w:p w:rsidR="00E147DE" w:rsidRPr="00E147DE" w:rsidRDefault="00E147DE" w:rsidP="00E147DE">
            <w:pPr>
              <w:spacing w:before="120"/>
              <w:rPr>
                <w:rFonts w:cs="Segoe UI"/>
                <w:sz w:val="19"/>
                <w:szCs w:val="19"/>
              </w:rPr>
            </w:pPr>
            <w:r w:rsidRPr="00E147DE">
              <w:rPr>
                <w:rFonts w:cs="Segoe UI"/>
                <w:sz w:val="19"/>
                <w:szCs w:val="19"/>
              </w:rPr>
              <w:t>Open disclosure</w:t>
            </w:r>
          </w:p>
        </w:tc>
        <w:tc>
          <w:tcPr>
            <w:tcW w:w="6237" w:type="dxa"/>
            <w:shd w:val="clear" w:color="auto" w:fill="auto"/>
          </w:tcPr>
          <w:p w:rsidR="00E147DE" w:rsidRPr="00E147DE" w:rsidRDefault="00E147DE" w:rsidP="00E147DE">
            <w:pPr>
              <w:spacing w:before="120"/>
              <w:rPr>
                <w:rFonts w:cs="Segoe UI"/>
                <w:color w:val="222222"/>
                <w:sz w:val="19"/>
                <w:szCs w:val="19"/>
              </w:rPr>
            </w:pPr>
            <w:r w:rsidRPr="00E147DE">
              <w:rPr>
                <w:rFonts w:cs="Segoe UI"/>
                <w:color w:val="222222"/>
                <w:sz w:val="19"/>
                <w:szCs w:val="19"/>
              </w:rPr>
              <w:t>A timely and transparent approach to communicating with, and supporting, consumers when things go wrong; includes a factual explanation of what happened, an apology and a list of actions to be taken that deal with the actual and potential consequences. An important aspect of open disclosure is explaining to consumers how the incident has been reviewed and what systems will be changed to make sure similar incidents will not happen again (NZS 8158:2012: Home and Community Support Sector Standard)</w:t>
            </w:r>
            <w:r>
              <w:rPr>
                <w:rFonts w:cs="Segoe UI"/>
                <w:color w:val="222222"/>
                <w:sz w:val="19"/>
                <w:szCs w:val="19"/>
              </w:rPr>
              <w:t>.</w:t>
            </w:r>
          </w:p>
        </w:tc>
      </w:tr>
      <w:tr w:rsidR="00E147DE" w:rsidRPr="009470FC" w:rsidTr="00E147DE">
        <w:trPr>
          <w:cantSplit/>
        </w:trPr>
        <w:tc>
          <w:tcPr>
            <w:tcW w:w="2235" w:type="dxa"/>
            <w:shd w:val="clear" w:color="auto" w:fill="auto"/>
          </w:tcPr>
          <w:p w:rsidR="00E147DE" w:rsidRPr="00E147DE" w:rsidRDefault="00E147DE" w:rsidP="00E147DE">
            <w:pPr>
              <w:spacing w:before="120"/>
              <w:rPr>
                <w:rFonts w:cs="Segoe UI"/>
                <w:sz w:val="19"/>
                <w:szCs w:val="19"/>
              </w:rPr>
            </w:pPr>
            <w:r w:rsidRPr="00E147DE">
              <w:rPr>
                <w:rFonts w:cs="Segoe UI"/>
                <w:sz w:val="19"/>
                <w:szCs w:val="19"/>
                <w:lang w:eastAsia="en-NZ"/>
              </w:rPr>
              <w:t>Person</w:t>
            </w:r>
          </w:p>
        </w:tc>
        <w:tc>
          <w:tcPr>
            <w:tcW w:w="6237" w:type="dxa"/>
            <w:shd w:val="clear" w:color="auto" w:fill="auto"/>
          </w:tcPr>
          <w:p w:rsidR="00E147DE" w:rsidRPr="00E147DE" w:rsidRDefault="00E147DE" w:rsidP="00E147DE">
            <w:pPr>
              <w:spacing w:before="120"/>
              <w:rPr>
                <w:rFonts w:cs="Segoe UI"/>
                <w:sz w:val="19"/>
                <w:szCs w:val="19"/>
              </w:rPr>
            </w:pPr>
            <w:r w:rsidRPr="00E147DE">
              <w:rPr>
                <w:rFonts w:cs="Segoe UI"/>
                <w:sz w:val="19"/>
                <w:szCs w:val="19"/>
                <w:lang w:eastAsia="en-NZ"/>
              </w:rPr>
              <w:t xml:space="preserve">A person accessing home care services. Equivalent terms include </w:t>
            </w:r>
            <w:r w:rsidR="00A13F65">
              <w:rPr>
                <w:rFonts w:cs="Segoe UI"/>
                <w:sz w:val="19"/>
                <w:szCs w:val="19"/>
                <w:lang w:eastAsia="en-NZ"/>
              </w:rPr>
              <w:t>‘</w:t>
            </w:r>
            <w:r w:rsidRPr="00E147DE">
              <w:rPr>
                <w:rFonts w:cs="Segoe UI"/>
                <w:sz w:val="19"/>
                <w:szCs w:val="19"/>
                <w:lang w:eastAsia="en-NZ"/>
              </w:rPr>
              <w:t>client</w:t>
            </w:r>
            <w:r w:rsidR="00A13F65">
              <w:rPr>
                <w:rFonts w:cs="Segoe UI"/>
                <w:sz w:val="19"/>
                <w:szCs w:val="19"/>
                <w:lang w:eastAsia="en-NZ"/>
              </w:rPr>
              <w:t>’</w:t>
            </w:r>
            <w:r w:rsidRPr="00E147DE">
              <w:rPr>
                <w:rFonts w:cs="Segoe UI"/>
                <w:sz w:val="19"/>
                <w:szCs w:val="19"/>
                <w:lang w:eastAsia="en-NZ"/>
              </w:rPr>
              <w:t xml:space="preserve">, </w:t>
            </w:r>
            <w:r w:rsidR="00A13F65">
              <w:rPr>
                <w:rFonts w:cs="Segoe UI"/>
                <w:sz w:val="19"/>
                <w:szCs w:val="19"/>
                <w:lang w:eastAsia="en-NZ"/>
              </w:rPr>
              <w:t>‘</w:t>
            </w:r>
            <w:r w:rsidRPr="00E147DE">
              <w:rPr>
                <w:rFonts w:cs="Segoe UI"/>
                <w:sz w:val="19"/>
                <w:szCs w:val="19"/>
                <w:lang w:eastAsia="en-NZ"/>
              </w:rPr>
              <w:t>consumer</w:t>
            </w:r>
            <w:r w:rsidR="00A13F65">
              <w:rPr>
                <w:rFonts w:cs="Segoe UI"/>
                <w:sz w:val="19"/>
                <w:szCs w:val="19"/>
                <w:lang w:eastAsia="en-NZ"/>
              </w:rPr>
              <w:t>’</w:t>
            </w:r>
            <w:r w:rsidRPr="00E147DE">
              <w:rPr>
                <w:rFonts w:cs="Segoe UI"/>
                <w:sz w:val="19"/>
                <w:szCs w:val="19"/>
                <w:lang w:eastAsia="en-NZ"/>
              </w:rPr>
              <w:t xml:space="preserve">, </w:t>
            </w:r>
            <w:r w:rsidR="00A13F65">
              <w:rPr>
                <w:rFonts w:cs="Segoe UI"/>
                <w:sz w:val="19"/>
                <w:szCs w:val="19"/>
                <w:lang w:eastAsia="en-NZ"/>
              </w:rPr>
              <w:t>‘</w:t>
            </w:r>
            <w:r w:rsidRPr="00E147DE">
              <w:rPr>
                <w:rFonts w:cs="Segoe UI"/>
                <w:sz w:val="19"/>
                <w:szCs w:val="19"/>
                <w:lang w:eastAsia="en-NZ"/>
              </w:rPr>
              <w:t>customer</w:t>
            </w:r>
            <w:r w:rsidR="00A13F65">
              <w:rPr>
                <w:rFonts w:cs="Segoe UI"/>
                <w:sz w:val="19"/>
                <w:szCs w:val="19"/>
                <w:lang w:eastAsia="en-NZ"/>
              </w:rPr>
              <w:t>’</w:t>
            </w:r>
            <w:r w:rsidRPr="00E147DE">
              <w:rPr>
                <w:rFonts w:cs="Segoe UI"/>
                <w:sz w:val="19"/>
                <w:szCs w:val="19"/>
                <w:lang w:eastAsia="en-NZ"/>
              </w:rPr>
              <w:t xml:space="preserve">, </w:t>
            </w:r>
            <w:r w:rsidR="00A13F65">
              <w:rPr>
                <w:rFonts w:cs="Segoe UI"/>
                <w:sz w:val="19"/>
                <w:szCs w:val="19"/>
                <w:lang w:eastAsia="en-NZ"/>
              </w:rPr>
              <w:t>‘</w:t>
            </w:r>
            <w:r w:rsidRPr="00E147DE">
              <w:rPr>
                <w:rFonts w:cs="Segoe UI"/>
                <w:sz w:val="19"/>
                <w:szCs w:val="19"/>
                <w:lang w:eastAsia="en-NZ"/>
              </w:rPr>
              <w:t>patient</w:t>
            </w:r>
            <w:r w:rsidR="00A13F65">
              <w:rPr>
                <w:rFonts w:cs="Segoe UI"/>
                <w:sz w:val="19"/>
                <w:szCs w:val="19"/>
                <w:lang w:eastAsia="en-NZ"/>
              </w:rPr>
              <w:t>’</w:t>
            </w:r>
            <w:r w:rsidRPr="00E147DE">
              <w:rPr>
                <w:rFonts w:cs="Segoe UI"/>
                <w:sz w:val="19"/>
                <w:szCs w:val="19"/>
                <w:lang w:eastAsia="en-NZ"/>
              </w:rPr>
              <w:t xml:space="preserve">, </w:t>
            </w:r>
            <w:r w:rsidR="00A13F65">
              <w:rPr>
                <w:rFonts w:cs="Segoe UI"/>
                <w:sz w:val="19"/>
                <w:szCs w:val="19"/>
                <w:lang w:eastAsia="en-NZ"/>
              </w:rPr>
              <w:t>‘</w:t>
            </w:r>
            <w:r w:rsidRPr="00E147DE">
              <w:rPr>
                <w:rFonts w:cs="Segoe UI"/>
                <w:sz w:val="19"/>
                <w:szCs w:val="19"/>
                <w:lang w:eastAsia="en-NZ"/>
              </w:rPr>
              <w:t>individual</w:t>
            </w:r>
            <w:r w:rsidR="00A13F65">
              <w:rPr>
                <w:rFonts w:cs="Segoe UI"/>
                <w:sz w:val="19"/>
                <w:szCs w:val="19"/>
                <w:lang w:eastAsia="en-NZ"/>
              </w:rPr>
              <w:t>’</w:t>
            </w:r>
            <w:r w:rsidRPr="00E147DE">
              <w:rPr>
                <w:rFonts w:cs="Segoe UI"/>
                <w:sz w:val="19"/>
                <w:szCs w:val="19"/>
                <w:lang w:eastAsia="en-NZ"/>
              </w:rPr>
              <w:t xml:space="preserve">, </w:t>
            </w:r>
            <w:r w:rsidR="00A13F65">
              <w:rPr>
                <w:rFonts w:cs="Segoe UI"/>
                <w:sz w:val="19"/>
                <w:szCs w:val="19"/>
                <w:lang w:eastAsia="en-NZ"/>
              </w:rPr>
              <w:t>‘</w:t>
            </w:r>
            <w:r w:rsidRPr="00E147DE">
              <w:rPr>
                <w:rFonts w:cs="Segoe UI"/>
                <w:sz w:val="19"/>
                <w:szCs w:val="19"/>
                <w:lang w:eastAsia="en-NZ"/>
              </w:rPr>
              <w:t>service user</w:t>
            </w:r>
            <w:r w:rsidR="00A13F65">
              <w:rPr>
                <w:rFonts w:cs="Segoe UI"/>
                <w:sz w:val="19"/>
                <w:szCs w:val="19"/>
                <w:lang w:eastAsia="en-NZ"/>
              </w:rPr>
              <w:t>’</w:t>
            </w:r>
            <w:r w:rsidRPr="00E147DE">
              <w:rPr>
                <w:rFonts w:cs="Segoe UI"/>
                <w:sz w:val="19"/>
                <w:szCs w:val="19"/>
                <w:lang w:eastAsia="en-NZ"/>
              </w:rPr>
              <w:t xml:space="preserve">, </w:t>
            </w:r>
            <w:r w:rsidR="00A13F65">
              <w:rPr>
                <w:rFonts w:cs="Segoe UI"/>
                <w:sz w:val="19"/>
                <w:szCs w:val="19"/>
                <w:lang w:eastAsia="en-NZ"/>
              </w:rPr>
              <w:t>‘</w:t>
            </w:r>
            <w:proofErr w:type="spellStart"/>
            <w:r w:rsidRPr="00E147DE">
              <w:rPr>
                <w:rFonts w:cs="Segoe UI"/>
                <w:sz w:val="19"/>
                <w:szCs w:val="19"/>
                <w:lang w:eastAsia="en-NZ"/>
              </w:rPr>
              <w:t>tūroro</w:t>
            </w:r>
            <w:proofErr w:type="spellEnd"/>
            <w:r w:rsidR="00A13F65">
              <w:rPr>
                <w:rFonts w:cs="Segoe UI"/>
                <w:sz w:val="19"/>
                <w:szCs w:val="19"/>
                <w:lang w:eastAsia="en-NZ"/>
              </w:rPr>
              <w:t>’</w:t>
            </w:r>
            <w:r w:rsidRPr="00E147DE">
              <w:rPr>
                <w:rFonts w:cs="Segoe UI"/>
                <w:sz w:val="19"/>
                <w:szCs w:val="19"/>
                <w:lang w:eastAsia="en-NZ"/>
              </w:rPr>
              <w:t xml:space="preserve"> or </w:t>
            </w:r>
            <w:r w:rsidR="00A13F65">
              <w:rPr>
                <w:rFonts w:cs="Segoe UI"/>
                <w:sz w:val="19"/>
                <w:szCs w:val="19"/>
                <w:lang w:eastAsia="en-NZ"/>
              </w:rPr>
              <w:t>‘</w:t>
            </w:r>
            <w:proofErr w:type="spellStart"/>
            <w:r w:rsidRPr="00E147DE">
              <w:rPr>
                <w:rFonts w:cs="Segoe UI"/>
                <w:sz w:val="19"/>
                <w:szCs w:val="19"/>
                <w:lang w:eastAsia="en-NZ"/>
              </w:rPr>
              <w:t>tangata</w:t>
            </w:r>
            <w:proofErr w:type="spellEnd"/>
            <w:r w:rsidRPr="00E147DE">
              <w:rPr>
                <w:rFonts w:cs="Segoe UI"/>
                <w:sz w:val="19"/>
                <w:szCs w:val="19"/>
                <w:lang w:eastAsia="en-NZ"/>
              </w:rPr>
              <w:t xml:space="preserve"> </w:t>
            </w:r>
            <w:proofErr w:type="spellStart"/>
            <w:r w:rsidRPr="00E147DE">
              <w:rPr>
                <w:rFonts w:cs="Segoe UI"/>
                <w:sz w:val="19"/>
                <w:szCs w:val="19"/>
                <w:lang w:eastAsia="en-NZ"/>
              </w:rPr>
              <w:t>whai</w:t>
            </w:r>
            <w:proofErr w:type="spellEnd"/>
            <w:r w:rsidRPr="00E147DE">
              <w:rPr>
                <w:rFonts w:cs="Segoe UI"/>
                <w:sz w:val="19"/>
                <w:szCs w:val="19"/>
                <w:lang w:eastAsia="en-NZ"/>
              </w:rPr>
              <w:t xml:space="preserve"> </w:t>
            </w:r>
            <w:proofErr w:type="spellStart"/>
            <w:r w:rsidRPr="00E147DE">
              <w:rPr>
                <w:rFonts w:cs="Segoe UI"/>
                <w:sz w:val="19"/>
                <w:szCs w:val="19"/>
                <w:lang w:eastAsia="en-NZ"/>
              </w:rPr>
              <w:t>ora</w:t>
            </w:r>
            <w:proofErr w:type="spellEnd"/>
            <w:r w:rsidR="00A13F65">
              <w:rPr>
                <w:rFonts w:cs="Segoe UI"/>
                <w:sz w:val="19"/>
                <w:szCs w:val="19"/>
                <w:lang w:eastAsia="en-NZ"/>
              </w:rPr>
              <w:t>’</w:t>
            </w:r>
            <w:r>
              <w:rPr>
                <w:rFonts w:cs="Segoe UI"/>
                <w:sz w:val="19"/>
                <w:szCs w:val="19"/>
                <w:lang w:eastAsia="en-NZ"/>
              </w:rPr>
              <w:t>.</w:t>
            </w:r>
          </w:p>
        </w:tc>
      </w:tr>
      <w:tr w:rsidR="00E147DE" w:rsidRPr="002569DB" w:rsidTr="00E147DE">
        <w:trPr>
          <w:cantSplit/>
        </w:trPr>
        <w:tc>
          <w:tcPr>
            <w:tcW w:w="2235" w:type="dxa"/>
            <w:shd w:val="clear" w:color="auto" w:fill="auto"/>
          </w:tcPr>
          <w:p w:rsidR="00E147DE" w:rsidRPr="00E147DE" w:rsidRDefault="00E147DE" w:rsidP="00E147DE">
            <w:pPr>
              <w:spacing w:before="120"/>
              <w:rPr>
                <w:rFonts w:cs="Segoe UI"/>
                <w:color w:val="00124A"/>
                <w:sz w:val="19"/>
                <w:szCs w:val="19"/>
                <w:lang w:eastAsia="en-NZ"/>
              </w:rPr>
            </w:pPr>
            <w:r w:rsidRPr="00E147DE">
              <w:rPr>
                <w:rFonts w:cs="Segoe UI"/>
                <w:color w:val="000000"/>
                <w:sz w:val="19"/>
                <w:szCs w:val="19"/>
              </w:rPr>
              <w:t>Pharmacist</w:t>
            </w:r>
          </w:p>
        </w:tc>
        <w:tc>
          <w:tcPr>
            <w:tcW w:w="6237" w:type="dxa"/>
            <w:shd w:val="clear" w:color="auto" w:fill="auto"/>
          </w:tcPr>
          <w:p w:rsidR="00E147DE" w:rsidRPr="00E147DE" w:rsidRDefault="00E147DE" w:rsidP="00E147DE">
            <w:pPr>
              <w:spacing w:before="120"/>
              <w:rPr>
                <w:rFonts w:cs="Segoe UI"/>
                <w:color w:val="00124A"/>
                <w:sz w:val="19"/>
                <w:szCs w:val="19"/>
                <w:lang w:eastAsia="en-NZ"/>
              </w:rPr>
            </w:pPr>
            <w:r w:rsidRPr="00E147DE">
              <w:rPr>
                <w:rFonts w:cs="Segoe UI"/>
                <w:color w:val="000000"/>
                <w:sz w:val="19"/>
                <w:szCs w:val="19"/>
              </w:rPr>
              <w:t>A person professionally qualified to practise in pharmacy, registered with the Pharmacy Council of New Zealand and holding an annual practising certificate</w:t>
            </w:r>
            <w:r>
              <w:rPr>
                <w:rFonts w:cs="Segoe UI"/>
                <w:color w:val="000000"/>
                <w:sz w:val="19"/>
                <w:szCs w:val="19"/>
              </w:rPr>
              <w:t>.</w:t>
            </w:r>
          </w:p>
        </w:tc>
      </w:tr>
      <w:tr w:rsidR="00E147DE" w:rsidRPr="002569DB" w:rsidTr="00E147DE">
        <w:trPr>
          <w:cantSplit/>
        </w:trPr>
        <w:tc>
          <w:tcPr>
            <w:tcW w:w="2235" w:type="dxa"/>
            <w:shd w:val="clear" w:color="auto" w:fill="auto"/>
          </w:tcPr>
          <w:p w:rsidR="00E147DE" w:rsidRPr="00E147DE" w:rsidRDefault="00E147DE" w:rsidP="00E147DE">
            <w:pPr>
              <w:spacing w:before="120"/>
              <w:rPr>
                <w:rFonts w:cs="Segoe UI"/>
                <w:color w:val="000000"/>
                <w:sz w:val="19"/>
                <w:szCs w:val="19"/>
              </w:rPr>
            </w:pPr>
            <w:r w:rsidRPr="00E147DE">
              <w:rPr>
                <w:rFonts w:cs="Segoe UI"/>
                <w:color w:val="000000"/>
                <w:sz w:val="19"/>
                <w:szCs w:val="19"/>
              </w:rPr>
              <w:t>Practitioner</w:t>
            </w:r>
          </w:p>
        </w:tc>
        <w:tc>
          <w:tcPr>
            <w:tcW w:w="6237" w:type="dxa"/>
            <w:shd w:val="clear" w:color="auto" w:fill="auto"/>
          </w:tcPr>
          <w:p w:rsidR="00E147DE" w:rsidRPr="00E147DE" w:rsidRDefault="00E147DE" w:rsidP="00E147DE">
            <w:pPr>
              <w:spacing w:before="120"/>
              <w:rPr>
                <w:rFonts w:cs="Segoe UI"/>
                <w:color w:val="000000"/>
                <w:sz w:val="19"/>
                <w:szCs w:val="19"/>
              </w:rPr>
            </w:pPr>
            <w:r w:rsidRPr="00E147DE">
              <w:rPr>
                <w:rFonts w:cs="Segoe UI"/>
                <w:color w:val="000000"/>
                <w:sz w:val="19"/>
                <w:szCs w:val="19"/>
              </w:rPr>
              <w:t>Medical practitioner or dentist</w:t>
            </w:r>
            <w:r>
              <w:rPr>
                <w:rFonts w:cs="Segoe UI"/>
                <w:color w:val="000000"/>
                <w:sz w:val="19"/>
                <w:szCs w:val="19"/>
              </w:rPr>
              <w:t>.</w:t>
            </w:r>
          </w:p>
        </w:tc>
      </w:tr>
      <w:tr w:rsidR="00E147DE" w:rsidRPr="00A37BF2" w:rsidTr="00E147DE">
        <w:trPr>
          <w:cantSplit/>
        </w:trPr>
        <w:tc>
          <w:tcPr>
            <w:tcW w:w="2235" w:type="dxa"/>
            <w:shd w:val="clear" w:color="auto" w:fill="auto"/>
          </w:tcPr>
          <w:p w:rsidR="00E147DE" w:rsidRPr="00E147DE" w:rsidRDefault="00E147DE" w:rsidP="00E147DE">
            <w:pPr>
              <w:spacing w:before="120"/>
              <w:rPr>
                <w:rFonts w:cs="Segoe UI"/>
                <w:color w:val="00124A"/>
                <w:sz w:val="19"/>
                <w:szCs w:val="19"/>
                <w:lang w:eastAsia="en-NZ"/>
              </w:rPr>
            </w:pPr>
            <w:r w:rsidRPr="00E147DE">
              <w:rPr>
                <w:rFonts w:cs="Segoe UI"/>
                <w:sz w:val="19"/>
                <w:szCs w:val="19"/>
              </w:rPr>
              <w:t>Pre-packaged medications, blister packs or robotics</w:t>
            </w:r>
          </w:p>
        </w:tc>
        <w:tc>
          <w:tcPr>
            <w:tcW w:w="6237" w:type="dxa"/>
            <w:shd w:val="clear" w:color="auto" w:fill="auto"/>
          </w:tcPr>
          <w:p w:rsidR="00E147DE" w:rsidRPr="00E147DE" w:rsidRDefault="00E147DE" w:rsidP="00E147DE">
            <w:pPr>
              <w:spacing w:before="120"/>
              <w:rPr>
                <w:rFonts w:cs="Segoe UI"/>
                <w:color w:val="00124A"/>
                <w:sz w:val="19"/>
                <w:szCs w:val="19"/>
                <w:lang w:eastAsia="en-NZ"/>
              </w:rPr>
            </w:pPr>
            <w:r w:rsidRPr="00E147DE">
              <w:rPr>
                <w:rFonts w:cs="Segoe UI"/>
                <w:color w:val="000000"/>
                <w:sz w:val="19"/>
                <w:szCs w:val="19"/>
              </w:rPr>
              <w:t>Pre-packaged medicines prepared for a person by, or under the direct supervision of, a registered pharmacist, and containing instructions for the person for whom the medication is prescribed</w:t>
            </w:r>
            <w:r>
              <w:rPr>
                <w:rFonts w:cs="Segoe UI"/>
                <w:color w:val="000000"/>
                <w:sz w:val="19"/>
                <w:szCs w:val="19"/>
              </w:rPr>
              <w:t>.</w:t>
            </w:r>
          </w:p>
        </w:tc>
      </w:tr>
      <w:tr w:rsidR="00E147DE" w:rsidRPr="00A37BF2" w:rsidTr="00E147DE">
        <w:trPr>
          <w:cantSplit/>
        </w:trPr>
        <w:tc>
          <w:tcPr>
            <w:tcW w:w="2235" w:type="dxa"/>
            <w:shd w:val="clear" w:color="auto" w:fill="auto"/>
          </w:tcPr>
          <w:p w:rsidR="00E147DE" w:rsidRPr="00E147DE" w:rsidRDefault="00E147DE" w:rsidP="00E147DE">
            <w:pPr>
              <w:spacing w:before="120"/>
              <w:rPr>
                <w:rFonts w:cs="Segoe UI"/>
                <w:color w:val="00124A"/>
                <w:sz w:val="19"/>
                <w:szCs w:val="19"/>
                <w:lang w:eastAsia="en-NZ"/>
              </w:rPr>
            </w:pPr>
            <w:r w:rsidRPr="00E147DE">
              <w:rPr>
                <w:rFonts w:cs="Segoe UI"/>
                <w:sz w:val="19"/>
                <w:szCs w:val="19"/>
              </w:rPr>
              <w:t>Prescribed medication</w:t>
            </w:r>
          </w:p>
        </w:tc>
        <w:tc>
          <w:tcPr>
            <w:tcW w:w="6237" w:type="dxa"/>
            <w:shd w:val="clear" w:color="auto" w:fill="auto"/>
          </w:tcPr>
          <w:p w:rsidR="00E147DE" w:rsidRPr="00E147DE" w:rsidRDefault="00E147DE" w:rsidP="00E147DE">
            <w:pPr>
              <w:spacing w:before="120"/>
              <w:rPr>
                <w:rFonts w:cs="Segoe UI"/>
                <w:color w:val="00124A"/>
                <w:sz w:val="19"/>
                <w:szCs w:val="19"/>
                <w:lang w:eastAsia="en-NZ"/>
              </w:rPr>
            </w:pPr>
            <w:r w:rsidRPr="00E147DE">
              <w:rPr>
                <w:rFonts w:cs="Segoe UI"/>
                <w:sz w:val="19"/>
                <w:szCs w:val="19"/>
              </w:rPr>
              <w:t>Defined in the Medicines Act 1981 (s3) as medication supplied only on the prescription of a prescriber</w:t>
            </w:r>
            <w:r>
              <w:rPr>
                <w:rFonts w:cs="Segoe UI"/>
                <w:sz w:val="19"/>
                <w:szCs w:val="19"/>
              </w:rPr>
              <w:t>.</w:t>
            </w:r>
          </w:p>
        </w:tc>
      </w:tr>
      <w:tr w:rsidR="00E147DE" w:rsidRPr="00A37BF2" w:rsidTr="00E147DE">
        <w:trPr>
          <w:cantSplit/>
        </w:trPr>
        <w:tc>
          <w:tcPr>
            <w:tcW w:w="2235" w:type="dxa"/>
            <w:shd w:val="clear" w:color="auto" w:fill="auto"/>
          </w:tcPr>
          <w:p w:rsidR="00E147DE" w:rsidRPr="00E147DE" w:rsidRDefault="00E147DE" w:rsidP="00E147DE">
            <w:pPr>
              <w:spacing w:before="120"/>
              <w:rPr>
                <w:rFonts w:cs="Segoe UI"/>
                <w:color w:val="00124A"/>
                <w:sz w:val="19"/>
                <w:szCs w:val="19"/>
                <w:lang w:eastAsia="en-NZ"/>
              </w:rPr>
            </w:pPr>
            <w:r w:rsidRPr="00E147DE">
              <w:rPr>
                <w:rFonts w:cs="Segoe UI"/>
                <w:sz w:val="19"/>
                <w:szCs w:val="19"/>
              </w:rPr>
              <w:t>Provider organisation (provider)</w:t>
            </w:r>
          </w:p>
        </w:tc>
        <w:tc>
          <w:tcPr>
            <w:tcW w:w="6237" w:type="dxa"/>
            <w:shd w:val="clear" w:color="auto" w:fill="auto"/>
          </w:tcPr>
          <w:p w:rsidR="00E147DE" w:rsidRPr="00E147DE" w:rsidRDefault="00E147DE" w:rsidP="00E147DE">
            <w:pPr>
              <w:spacing w:before="120"/>
              <w:rPr>
                <w:rFonts w:cs="Segoe UI"/>
                <w:color w:val="00124A"/>
                <w:sz w:val="19"/>
                <w:szCs w:val="19"/>
                <w:lang w:eastAsia="en-NZ"/>
              </w:rPr>
            </w:pPr>
            <w:r w:rsidRPr="00E147DE">
              <w:rPr>
                <w:rFonts w:cs="Segoe UI"/>
                <w:sz w:val="19"/>
                <w:szCs w:val="19"/>
              </w:rPr>
              <w:t>An association, agency, group, independent practitioner or individual legally responsible for the provision of a service to a person (NZS</w:t>
            </w:r>
            <w:r>
              <w:rPr>
                <w:rFonts w:cs="Segoe UI"/>
                <w:sz w:val="19"/>
                <w:szCs w:val="19"/>
              </w:rPr>
              <w:t> </w:t>
            </w:r>
            <w:r w:rsidRPr="00E147DE">
              <w:rPr>
                <w:rFonts w:cs="Segoe UI"/>
                <w:sz w:val="19"/>
                <w:szCs w:val="19"/>
              </w:rPr>
              <w:t>8158:2012)</w:t>
            </w:r>
            <w:r>
              <w:rPr>
                <w:rFonts w:cs="Segoe UI"/>
                <w:sz w:val="19"/>
                <w:szCs w:val="19"/>
              </w:rPr>
              <w:t>.</w:t>
            </w:r>
          </w:p>
        </w:tc>
      </w:tr>
      <w:tr w:rsidR="00E147DE" w:rsidRPr="00A37BF2" w:rsidTr="00E147DE">
        <w:trPr>
          <w:cantSplit/>
        </w:trPr>
        <w:tc>
          <w:tcPr>
            <w:tcW w:w="2235" w:type="dxa"/>
            <w:shd w:val="clear" w:color="auto" w:fill="auto"/>
          </w:tcPr>
          <w:p w:rsidR="00E147DE" w:rsidRPr="00E147DE" w:rsidRDefault="00E147DE" w:rsidP="00E147DE">
            <w:pPr>
              <w:spacing w:before="120"/>
              <w:rPr>
                <w:rFonts w:cs="Segoe UI"/>
                <w:color w:val="00124A"/>
                <w:sz w:val="19"/>
                <w:szCs w:val="19"/>
                <w:lang w:eastAsia="en-NZ"/>
              </w:rPr>
            </w:pPr>
            <w:r w:rsidRPr="00E147DE">
              <w:rPr>
                <w:rFonts w:cs="Segoe UI"/>
                <w:sz w:val="19"/>
                <w:szCs w:val="19"/>
              </w:rPr>
              <w:t xml:space="preserve">Pro re </w:t>
            </w:r>
            <w:proofErr w:type="spellStart"/>
            <w:r w:rsidRPr="00E147DE">
              <w:rPr>
                <w:rFonts w:cs="Segoe UI"/>
                <w:sz w:val="19"/>
                <w:szCs w:val="19"/>
              </w:rPr>
              <w:t>nata</w:t>
            </w:r>
            <w:proofErr w:type="spellEnd"/>
            <w:r w:rsidRPr="00E147DE">
              <w:rPr>
                <w:rFonts w:cs="Segoe UI"/>
                <w:sz w:val="19"/>
                <w:szCs w:val="19"/>
              </w:rPr>
              <w:t xml:space="preserve"> (PRN)</w:t>
            </w:r>
          </w:p>
        </w:tc>
        <w:tc>
          <w:tcPr>
            <w:tcW w:w="6237" w:type="dxa"/>
            <w:shd w:val="clear" w:color="auto" w:fill="auto"/>
          </w:tcPr>
          <w:p w:rsidR="00E147DE" w:rsidRPr="00E147DE" w:rsidRDefault="00E147DE" w:rsidP="00E147DE">
            <w:pPr>
              <w:spacing w:before="120"/>
              <w:rPr>
                <w:rFonts w:cs="Segoe UI"/>
                <w:color w:val="00124A"/>
                <w:sz w:val="19"/>
                <w:szCs w:val="19"/>
                <w:lang w:eastAsia="en-NZ"/>
              </w:rPr>
            </w:pPr>
            <w:r w:rsidRPr="00E147DE">
              <w:rPr>
                <w:rFonts w:cs="Segoe UI"/>
                <w:sz w:val="19"/>
                <w:szCs w:val="19"/>
              </w:rPr>
              <w:t xml:space="preserve">A Latin phrase meaning </w:t>
            </w:r>
            <w:r w:rsidR="00A13F65">
              <w:rPr>
                <w:rFonts w:cs="Segoe UI"/>
                <w:sz w:val="19"/>
                <w:szCs w:val="19"/>
              </w:rPr>
              <w:t>‘</w:t>
            </w:r>
            <w:r w:rsidRPr="00E147DE">
              <w:rPr>
                <w:rFonts w:cs="Segoe UI"/>
                <w:sz w:val="19"/>
                <w:szCs w:val="19"/>
              </w:rPr>
              <w:t>as needed</w:t>
            </w:r>
            <w:r w:rsidR="00A13F65">
              <w:rPr>
                <w:rFonts w:cs="Segoe UI"/>
                <w:sz w:val="19"/>
                <w:szCs w:val="19"/>
              </w:rPr>
              <w:t>’</w:t>
            </w:r>
            <w:r w:rsidRPr="00E147DE">
              <w:rPr>
                <w:rFonts w:cs="Segoe UI"/>
                <w:sz w:val="19"/>
                <w:szCs w:val="19"/>
              </w:rPr>
              <w:t>, often used as an abbreviation on prescriptions</w:t>
            </w:r>
            <w:r>
              <w:rPr>
                <w:rFonts w:cs="Segoe UI"/>
                <w:sz w:val="19"/>
                <w:szCs w:val="19"/>
              </w:rPr>
              <w:t>.</w:t>
            </w:r>
          </w:p>
        </w:tc>
      </w:tr>
      <w:tr w:rsidR="00E147DE" w:rsidRPr="00A37BF2" w:rsidTr="00E147DE">
        <w:trPr>
          <w:cantSplit/>
        </w:trPr>
        <w:tc>
          <w:tcPr>
            <w:tcW w:w="2235" w:type="dxa"/>
            <w:shd w:val="clear" w:color="auto" w:fill="auto"/>
          </w:tcPr>
          <w:p w:rsidR="00E147DE" w:rsidRPr="00E147DE" w:rsidRDefault="00E147DE" w:rsidP="00E147DE">
            <w:pPr>
              <w:spacing w:before="120"/>
              <w:rPr>
                <w:rFonts w:cs="Segoe UI"/>
                <w:sz w:val="19"/>
                <w:szCs w:val="19"/>
              </w:rPr>
            </w:pPr>
            <w:r w:rsidRPr="00E147DE">
              <w:rPr>
                <w:rFonts w:cs="Segoe UI"/>
                <w:bCs/>
                <w:sz w:val="19"/>
                <w:szCs w:val="19"/>
                <w:lang w:eastAsia="en-NZ"/>
              </w:rPr>
              <w:t>Registered health professional</w:t>
            </w:r>
          </w:p>
        </w:tc>
        <w:tc>
          <w:tcPr>
            <w:tcW w:w="6237" w:type="dxa"/>
            <w:shd w:val="clear" w:color="auto" w:fill="auto"/>
          </w:tcPr>
          <w:p w:rsidR="00E147DE" w:rsidRPr="00E147DE" w:rsidRDefault="00E147DE" w:rsidP="00E147DE">
            <w:pPr>
              <w:spacing w:before="120"/>
              <w:rPr>
                <w:rFonts w:cs="Segoe UI"/>
                <w:sz w:val="19"/>
                <w:szCs w:val="19"/>
              </w:rPr>
            </w:pPr>
            <w:r w:rsidRPr="00E147DE">
              <w:rPr>
                <w:rFonts w:cs="Segoe UI"/>
                <w:sz w:val="19"/>
                <w:szCs w:val="19"/>
              </w:rPr>
              <w:t>A health professional registered with a relevant health regulator authority. Such professionals are subject to the requirements of the Health Practitioners Competence Assurance Act 2003</w:t>
            </w:r>
            <w:r>
              <w:rPr>
                <w:rFonts w:cs="Segoe UI"/>
                <w:sz w:val="19"/>
                <w:szCs w:val="19"/>
              </w:rPr>
              <w:t>.</w:t>
            </w:r>
          </w:p>
        </w:tc>
      </w:tr>
      <w:tr w:rsidR="00E147DE" w:rsidRPr="00A13F65" w:rsidTr="00E147DE">
        <w:trPr>
          <w:cantSplit/>
        </w:trPr>
        <w:tc>
          <w:tcPr>
            <w:tcW w:w="2235" w:type="dxa"/>
            <w:shd w:val="clear" w:color="auto" w:fill="auto"/>
          </w:tcPr>
          <w:p w:rsidR="00E147DE" w:rsidRPr="00E147DE" w:rsidRDefault="00E147DE" w:rsidP="00E147DE">
            <w:pPr>
              <w:spacing w:before="120"/>
              <w:rPr>
                <w:rFonts w:cs="Segoe UI"/>
                <w:bCs/>
                <w:sz w:val="19"/>
                <w:szCs w:val="19"/>
                <w:lang w:eastAsia="en-NZ"/>
              </w:rPr>
            </w:pPr>
            <w:r w:rsidRPr="00E147DE">
              <w:rPr>
                <w:rFonts w:cs="Segoe UI"/>
                <w:bCs/>
                <w:sz w:val="19"/>
                <w:szCs w:val="19"/>
                <w:lang w:eastAsia="en-NZ"/>
              </w:rPr>
              <w:t>Registered nurse (RN)</w:t>
            </w:r>
            <w:r w:rsidRPr="00E147DE">
              <w:rPr>
                <w:rStyle w:val="FootnoteReference"/>
                <w:sz w:val="19"/>
                <w:szCs w:val="19"/>
              </w:rPr>
              <w:footnoteReference w:id="2"/>
            </w:r>
          </w:p>
        </w:tc>
        <w:tc>
          <w:tcPr>
            <w:tcW w:w="6237" w:type="dxa"/>
            <w:shd w:val="clear" w:color="auto" w:fill="auto"/>
          </w:tcPr>
          <w:p w:rsidR="00E147DE" w:rsidRPr="00A13F65" w:rsidRDefault="00E147DE" w:rsidP="00E147DE">
            <w:pPr>
              <w:spacing w:before="120"/>
              <w:rPr>
                <w:rFonts w:cs="Segoe UI"/>
                <w:sz w:val="19"/>
                <w:szCs w:val="19"/>
              </w:rPr>
            </w:pPr>
            <w:r w:rsidRPr="00E147DE">
              <w:rPr>
                <w:rFonts w:cs="Segoe UI"/>
                <w:sz w:val="19"/>
                <w:szCs w:val="19"/>
              </w:rPr>
              <w:t>A nurse who has successfully completed an approved programme of study in New Zealand and is registered in the scope of practice for which their qualification is prescribed. Registered nurses from overseas must meet requirements set out by the Nursing Council of New Zealand. Anyone practising as a nurse must hold a practising certificate</w:t>
            </w:r>
            <w:r>
              <w:rPr>
                <w:rFonts w:cs="Segoe UI"/>
                <w:sz w:val="19"/>
                <w:szCs w:val="19"/>
              </w:rPr>
              <w:t>.</w:t>
            </w:r>
          </w:p>
        </w:tc>
      </w:tr>
      <w:tr w:rsidR="00E147DE" w:rsidRPr="00247159" w:rsidTr="00E147DE">
        <w:trPr>
          <w:cantSplit/>
        </w:trPr>
        <w:tc>
          <w:tcPr>
            <w:tcW w:w="2235" w:type="dxa"/>
            <w:shd w:val="clear" w:color="auto" w:fill="auto"/>
          </w:tcPr>
          <w:p w:rsidR="00E147DE" w:rsidRPr="00E147DE" w:rsidRDefault="00E147DE" w:rsidP="00E147DE">
            <w:pPr>
              <w:spacing w:before="120"/>
              <w:rPr>
                <w:rFonts w:cs="Segoe UI"/>
                <w:sz w:val="19"/>
                <w:szCs w:val="19"/>
              </w:rPr>
            </w:pPr>
            <w:r w:rsidRPr="00E147DE">
              <w:rPr>
                <w:rFonts w:cs="Segoe UI"/>
                <w:bCs/>
                <w:sz w:val="19"/>
                <w:szCs w:val="19"/>
                <w:lang w:eastAsia="en-NZ"/>
              </w:rPr>
              <w:t>Support plan</w:t>
            </w:r>
          </w:p>
        </w:tc>
        <w:tc>
          <w:tcPr>
            <w:tcW w:w="6237" w:type="dxa"/>
            <w:shd w:val="clear" w:color="auto" w:fill="auto"/>
          </w:tcPr>
          <w:p w:rsidR="00E147DE" w:rsidRPr="00E147DE" w:rsidRDefault="00E147DE" w:rsidP="00E147DE">
            <w:pPr>
              <w:spacing w:before="120"/>
              <w:rPr>
                <w:rFonts w:cs="Segoe UI"/>
                <w:sz w:val="19"/>
                <w:szCs w:val="19"/>
              </w:rPr>
            </w:pPr>
            <w:r w:rsidRPr="00E147DE">
              <w:rPr>
                <w:rFonts w:cs="Segoe UI"/>
                <w:sz w:val="19"/>
                <w:szCs w:val="19"/>
              </w:rPr>
              <w:t>A plan that outlines a person</w:t>
            </w:r>
            <w:r w:rsidR="00A13F65">
              <w:rPr>
                <w:rFonts w:cs="Segoe UI"/>
                <w:sz w:val="19"/>
                <w:szCs w:val="19"/>
              </w:rPr>
              <w:t>’</w:t>
            </w:r>
            <w:r w:rsidRPr="00E147DE">
              <w:rPr>
                <w:rFonts w:cs="Segoe UI"/>
                <w:sz w:val="19"/>
                <w:szCs w:val="19"/>
              </w:rPr>
              <w:t>s goals, support needs and requirements, developed and agreed with a person and his or her family/whānau prior to service delivery, and clearly detailing actions the service provider will take.</w:t>
            </w:r>
            <w:r w:rsidRPr="00E147DE">
              <w:rPr>
                <w:rStyle w:val="FootnoteReference"/>
                <w:sz w:val="19"/>
                <w:szCs w:val="19"/>
              </w:rPr>
              <w:footnoteReference w:id="3"/>
            </w:r>
          </w:p>
        </w:tc>
      </w:tr>
    </w:tbl>
    <w:p w:rsidR="002B7BEC" w:rsidRDefault="002B7BEC" w:rsidP="002B7BEC"/>
    <w:p w:rsidR="001D3E4E" w:rsidRDefault="001D3E4E" w:rsidP="003A5FEA">
      <w:pPr>
        <w:sectPr w:rsidR="001D3E4E" w:rsidSect="006E252C">
          <w:footerReference w:type="even" r:id="rId19"/>
          <w:pgSz w:w="11907" w:h="16840" w:code="9"/>
          <w:pgMar w:top="1418" w:right="1701" w:bottom="1134" w:left="1843" w:header="284" w:footer="425" w:gutter="284"/>
          <w:pgNumType w:fmt="lowerRoman"/>
          <w:cols w:space="720"/>
        </w:sectPr>
      </w:pPr>
    </w:p>
    <w:p w:rsidR="008C2973" w:rsidRDefault="002B7BEC" w:rsidP="002575E8">
      <w:pPr>
        <w:pStyle w:val="Heading1"/>
      </w:pPr>
      <w:bookmarkStart w:id="3" w:name="_Toc7782219"/>
      <w:r>
        <w:lastRenderedPageBreak/>
        <w:t>Introduction</w:t>
      </w:r>
      <w:bookmarkEnd w:id="3"/>
    </w:p>
    <w:p w:rsidR="00E147DE" w:rsidRDefault="00E147DE" w:rsidP="00E147DE">
      <w:r>
        <w:t xml:space="preserve">A collaborative of five home and community support sector (HCSS) providers, alongside </w:t>
      </w:r>
      <w:proofErr w:type="spellStart"/>
      <w:r>
        <w:t>Waitemata</w:t>
      </w:r>
      <w:proofErr w:type="spellEnd"/>
      <w:r>
        <w:t xml:space="preserve"> District Health Board (DHB), developed these Medication Guidelines (Guidelines) for the HCSS Sector. The providers developed the guidelines through discussion and consensus, and focused on best practice rather than the current service environment. The ground-up approach meant that the collaborative felt comfortable that the guidelines did have national applicability.</w:t>
      </w:r>
    </w:p>
    <w:p w:rsidR="00E147DE" w:rsidRDefault="00E147DE" w:rsidP="00E147DE"/>
    <w:p w:rsidR="00E147DE" w:rsidRDefault="00E147DE" w:rsidP="00E147DE">
      <w:r>
        <w:t>The Guidelines aim to guide HCSS providers in providing medication support for people at home.</w:t>
      </w:r>
      <w:r w:rsidR="0031381E" w:rsidRPr="0031381E">
        <w:rPr>
          <w:rStyle w:val="FootnoteReference"/>
        </w:rPr>
        <w:footnoteReference w:id="4"/>
      </w:r>
      <w:r>
        <w:t xml:space="preserve"> The Guidelines reflect the Home and Community Support Sector Standard (NZS 8158:2012), and are based on current evidence of best practice and relevant legislation. They should serve as a reference tool for HCSS providers, to support safe medication practice, policies and processes.</w:t>
      </w:r>
    </w:p>
    <w:p w:rsidR="00E147DE" w:rsidRDefault="00E147DE" w:rsidP="00E147DE"/>
    <w:p w:rsidR="003E74E2" w:rsidRDefault="00E147DE" w:rsidP="00E147DE">
      <w:r>
        <w:t xml:space="preserve">The Guidelines align with the recommendations of a literature review commissioned by the Home and Community Health Association on the role of home support workers (HSWs) in medication support (Roy </w:t>
      </w:r>
      <w:r w:rsidR="00252C43">
        <w:t>and</w:t>
      </w:r>
      <w:r>
        <w:t xml:space="preserve"> </w:t>
      </w:r>
      <w:proofErr w:type="spellStart"/>
      <w:r>
        <w:t>McKechnie</w:t>
      </w:r>
      <w:proofErr w:type="spellEnd"/>
      <w:r>
        <w:t xml:space="preserve"> 2016). The Ministry of Health</w:t>
      </w:r>
      <w:r w:rsidR="00A13F65">
        <w:t>’</w:t>
      </w:r>
      <w:r>
        <w:t>s Medicines Care Guides for Residential Aged Care (Ministry of Health 2011) guided the structure, to provide consistency; however, the content of these Guidelines is specific to the HCSS sector. The Guidelines do not replace sound clinical judgement.</w:t>
      </w:r>
    </w:p>
    <w:p w:rsidR="002575E8" w:rsidRDefault="002575E8" w:rsidP="00252C43"/>
    <w:p w:rsidR="0031381E" w:rsidRDefault="00A13F65" w:rsidP="00A04D80">
      <w:pPr>
        <w:pStyle w:val="Heading1"/>
        <w:ind w:left="851" w:hanging="851"/>
      </w:pPr>
      <w:bookmarkStart w:id="4" w:name="_Toc7782220"/>
      <w:r>
        <w:lastRenderedPageBreak/>
        <w:t>1</w:t>
      </w:r>
      <w:r>
        <w:tab/>
      </w:r>
      <w:r w:rsidR="0031381E">
        <w:t>Roles and responsibilities</w:t>
      </w:r>
      <w:bookmarkEnd w:id="4"/>
    </w:p>
    <w:tbl>
      <w:tblPr>
        <w:tblW w:w="4931"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119"/>
        <w:gridCol w:w="6849"/>
      </w:tblGrid>
      <w:tr w:rsidR="00A13F65" w:rsidRPr="00A13F65" w:rsidTr="00A13F65">
        <w:trPr>
          <w:cantSplit/>
          <w:tblHeader/>
        </w:trPr>
        <w:tc>
          <w:tcPr>
            <w:tcW w:w="702" w:type="pct"/>
            <w:tcBorders>
              <w:top w:val="nil"/>
              <w:bottom w:val="nil"/>
            </w:tcBorders>
            <w:shd w:val="clear" w:color="auto" w:fill="D9D9D9" w:themeFill="background1" w:themeFillShade="D9"/>
          </w:tcPr>
          <w:p w:rsidR="0031381E" w:rsidRPr="00A04D80" w:rsidRDefault="0031381E" w:rsidP="00A04D80">
            <w:pPr>
              <w:pStyle w:val="TableText"/>
              <w:spacing w:before="50" w:after="50"/>
              <w:ind w:right="113"/>
              <w:rPr>
                <w:b/>
                <w:bCs/>
                <w:sz w:val="17"/>
                <w:szCs w:val="17"/>
                <w:lang w:eastAsia="en-NZ"/>
              </w:rPr>
            </w:pPr>
            <w:r w:rsidRPr="00A04D80">
              <w:rPr>
                <w:b/>
                <w:sz w:val="17"/>
                <w:szCs w:val="17"/>
                <w:lang w:eastAsia="en-NZ"/>
              </w:rPr>
              <w:t>Role</w:t>
            </w:r>
          </w:p>
        </w:tc>
        <w:tc>
          <w:tcPr>
            <w:tcW w:w="4298" w:type="pct"/>
            <w:tcBorders>
              <w:top w:val="nil"/>
              <w:bottom w:val="nil"/>
            </w:tcBorders>
            <w:shd w:val="clear" w:color="auto" w:fill="D9D9D9" w:themeFill="background1" w:themeFillShade="D9"/>
          </w:tcPr>
          <w:p w:rsidR="0031381E" w:rsidRPr="00A04D80" w:rsidRDefault="0031381E" w:rsidP="00A04D80">
            <w:pPr>
              <w:pStyle w:val="TableText"/>
              <w:spacing w:before="50" w:after="50"/>
              <w:rPr>
                <w:b/>
                <w:bCs/>
                <w:sz w:val="17"/>
                <w:szCs w:val="17"/>
                <w:lang w:eastAsia="en-NZ"/>
              </w:rPr>
            </w:pPr>
            <w:r w:rsidRPr="00A04D80">
              <w:rPr>
                <w:b/>
                <w:sz w:val="17"/>
                <w:szCs w:val="17"/>
                <w:lang w:eastAsia="en-NZ"/>
              </w:rPr>
              <w:t>Responsibilities</w:t>
            </w:r>
          </w:p>
        </w:tc>
      </w:tr>
      <w:tr w:rsidR="0031381E" w:rsidRPr="001E52E3" w:rsidTr="00A13F65">
        <w:trPr>
          <w:cantSplit/>
        </w:trPr>
        <w:tc>
          <w:tcPr>
            <w:tcW w:w="702" w:type="pct"/>
            <w:tcBorders>
              <w:top w:val="nil"/>
            </w:tcBorders>
            <w:shd w:val="clear" w:color="auto" w:fill="auto"/>
          </w:tcPr>
          <w:p w:rsidR="0031381E" w:rsidRPr="00A04D80" w:rsidRDefault="0031381E" w:rsidP="00A04D80">
            <w:pPr>
              <w:pStyle w:val="TableText"/>
              <w:spacing w:before="50" w:after="50"/>
              <w:ind w:right="113"/>
              <w:rPr>
                <w:bCs/>
                <w:sz w:val="17"/>
                <w:szCs w:val="17"/>
                <w:lang w:eastAsia="en-NZ"/>
              </w:rPr>
            </w:pPr>
            <w:r w:rsidRPr="00A04D80">
              <w:rPr>
                <w:sz w:val="17"/>
                <w:szCs w:val="17"/>
                <w:lang w:eastAsia="en-NZ"/>
              </w:rPr>
              <w:t>HCSS provider</w:t>
            </w:r>
          </w:p>
        </w:tc>
        <w:tc>
          <w:tcPr>
            <w:tcW w:w="4298" w:type="pct"/>
            <w:tcBorders>
              <w:top w:val="nil"/>
            </w:tcBorders>
            <w:shd w:val="clear" w:color="auto" w:fill="auto"/>
          </w:tcPr>
          <w:p w:rsidR="0031381E" w:rsidRPr="00A04D80" w:rsidRDefault="0031381E" w:rsidP="00A04D80">
            <w:pPr>
              <w:pStyle w:val="TableText"/>
              <w:spacing w:before="50" w:after="50"/>
              <w:rPr>
                <w:sz w:val="17"/>
                <w:szCs w:val="17"/>
                <w:lang w:eastAsia="en-NZ"/>
              </w:rPr>
            </w:pPr>
            <w:r w:rsidRPr="00A04D80">
              <w:rPr>
                <w:sz w:val="17"/>
                <w:szCs w:val="17"/>
                <w:lang w:eastAsia="en-NZ"/>
              </w:rPr>
              <w:t>To implement medication practice policies and processes that reflect current legislation, standards and these Guidelines</w:t>
            </w:r>
          </w:p>
          <w:p w:rsidR="00A13F65" w:rsidRPr="00A04D80" w:rsidRDefault="0031381E" w:rsidP="00A04D80">
            <w:pPr>
              <w:pStyle w:val="TableText"/>
              <w:spacing w:before="50" w:after="50"/>
              <w:rPr>
                <w:sz w:val="17"/>
                <w:szCs w:val="17"/>
                <w:lang w:eastAsia="en-NZ"/>
              </w:rPr>
            </w:pPr>
            <w:r w:rsidRPr="00A04D80">
              <w:rPr>
                <w:sz w:val="17"/>
                <w:szCs w:val="17"/>
                <w:lang w:eastAsia="en-NZ"/>
              </w:rPr>
              <w:t xml:space="preserve">To ensure the medication policies and processes are aligned to </w:t>
            </w:r>
            <w:proofErr w:type="spellStart"/>
            <w:r w:rsidRPr="00A04D80">
              <w:rPr>
                <w:sz w:val="17"/>
                <w:szCs w:val="17"/>
                <w:lang w:eastAsia="en-NZ"/>
              </w:rPr>
              <w:t>tikanga</w:t>
            </w:r>
            <w:proofErr w:type="spellEnd"/>
            <w:r w:rsidRPr="00A04D80">
              <w:rPr>
                <w:sz w:val="17"/>
                <w:szCs w:val="17"/>
                <w:lang w:eastAsia="en-NZ"/>
              </w:rPr>
              <w:t xml:space="preserve"> and other specific cultural customs and values</w:t>
            </w:r>
          </w:p>
          <w:p w:rsidR="0031381E" w:rsidRPr="00A04D80" w:rsidRDefault="0031381E" w:rsidP="00A04D80">
            <w:pPr>
              <w:pStyle w:val="TableText"/>
              <w:spacing w:before="50" w:after="50"/>
              <w:rPr>
                <w:sz w:val="17"/>
                <w:szCs w:val="17"/>
                <w:lang w:eastAsia="en-NZ"/>
              </w:rPr>
            </w:pPr>
            <w:r w:rsidRPr="00A04D80">
              <w:rPr>
                <w:sz w:val="17"/>
                <w:szCs w:val="17"/>
                <w:lang w:eastAsia="en-NZ"/>
              </w:rPr>
              <w:t>To implement systems to identify and document all people who receive medication support from the provider</w:t>
            </w:r>
          </w:p>
          <w:p w:rsidR="00A13F65" w:rsidRPr="00A04D80" w:rsidRDefault="0031381E" w:rsidP="00A04D80">
            <w:pPr>
              <w:pStyle w:val="TableText"/>
              <w:spacing w:before="50" w:after="50"/>
              <w:rPr>
                <w:sz w:val="17"/>
                <w:szCs w:val="17"/>
                <w:lang w:eastAsia="en-NZ"/>
              </w:rPr>
            </w:pPr>
            <w:r w:rsidRPr="00A04D80">
              <w:rPr>
                <w:rFonts w:eastAsia="Calibri"/>
                <w:sz w:val="17"/>
                <w:szCs w:val="17"/>
                <w:lang w:eastAsia="en-NZ"/>
              </w:rPr>
              <w:t>To implement an incident reporting process and an internal auditing system to monitor and support the correction of all identified medication error</w:t>
            </w:r>
            <w:r w:rsidRPr="00A04D80">
              <w:rPr>
                <w:sz w:val="17"/>
                <w:szCs w:val="17"/>
                <w:lang w:eastAsia="en-NZ"/>
              </w:rPr>
              <w:t>s</w:t>
            </w:r>
          </w:p>
          <w:p w:rsidR="0031381E" w:rsidRPr="00A04D80" w:rsidRDefault="0031381E" w:rsidP="00A04D80">
            <w:pPr>
              <w:pStyle w:val="TableText"/>
              <w:spacing w:before="50" w:after="50"/>
              <w:rPr>
                <w:sz w:val="17"/>
                <w:szCs w:val="17"/>
                <w:lang w:eastAsia="en-NZ"/>
              </w:rPr>
            </w:pPr>
            <w:r w:rsidRPr="00A04D80">
              <w:rPr>
                <w:sz w:val="17"/>
                <w:szCs w:val="17"/>
                <w:lang w:eastAsia="en-NZ"/>
              </w:rPr>
              <w:t>To learn from preventable errors and mitigate against their recurrence</w:t>
            </w:r>
          </w:p>
          <w:p w:rsidR="00A13F65" w:rsidRPr="00A04D80" w:rsidRDefault="0031381E" w:rsidP="00A04D80">
            <w:pPr>
              <w:pStyle w:val="TableText"/>
              <w:spacing w:before="50" w:after="50"/>
              <w:rPr>
                <w:sz w:val="17"/>
                <w:szCs w:val="17"/>
                <w:lang w:eastAsia="en-NZ"/>
              </w:rPr>
            </w:pPr>
            <w:r w:rsidRPr="00A04D80">
              <w:rPr>
                <w:sz w:val="17"/>
                <w:szCs w:val="17"/>
                <w:lang w:eastAsia="en-NZ"/>
              </w:rPr>
              <w:t>To clearly outline employees</w:t>
            </w:r>
            <w:r w:rsidR="00A13F65" w:rsidRPr="00A04D80">
              <w:rPr>
                <w:sz w:val="17"/>
                <w:szCs w:val="17"/>
                <w:lang w:eastAsia="en-NZ"/>
              </w:rPr>
              <w:t>’</w:t>
            </w:r>
            <w:r w:rsidRPr="00A04D80">
              <w:rPr>
                <w:sz w:val="17"/>
                <w:szCs w:val="17"/>
                <w:lang w:eastAsia="en-NZ"/>
              </w:rPr>
              <w:t xml:space="preserve"> responsibilities and obligations for each medication support category (</w:t>
            </w:r>
            <w:proofErr w:type="spellStart"/>
            <w:r w:rsidRPr="00A04D80">
              <w:rPr>
                <w:sz w:val="17"/>
                <w:szCs w:val="17"/>
                <w:lang w:eastAsia="en-NZ"/>
              </w:rPr>
              <w:t>ie</w:t>
            </w:r>
            <w:proofErr w:type="spellEnd"/>
            <w:r w:rsidRPr="00A04D80">
              <w:rPr>
                <w:sz w:val="17"/>
                <w:szCs w:val="17"/>
                <w:lang w:eastAsia="en-NZ"/>
              </w:rPr>
              <w:t>, Independent, Prompting/supervision and Administration: see section 2)</w:t>
            </w:r>
          </w:p>
          <w:p w:rsidR="00A13F65" w:rsidRPr="00A04D80" w:rsidRDefault="0031381E" w:rsidP="00A04D80">
            <w:pPr>
              <w:pStyle w:val="TableText"/>
              <w:spacing w:before="50" w:after="50"/>
              <w:rPr>
                <w:rFonts w:eastAsia="Calibri"/>
                <w:sz w:val="17"/>
                <w:szCs w:val="17"/>
                <w:lang w:eastAsia="en-NZ"/>
              </w:rPr>
            </w:pPr>
            <w:r w:rsidRPr="00A04D80">
              <w:rPr>
                <w:rFonts w:eastAsia="Calibri"/>
                <w:sz w:val="17"/>
                <w:szCs w:val="17"/>
                <w:lang w:eastAsia="en-NZ"/>
              </w:rPr>
              <w:t>To ensure training is in place and employees are verified as competent to perform medication support functions</w:t>
            </w:r>
          </w:p>
          <w:p w:rsidR="00A13F65" w:rsidRPr="00A04D80" w:rsidRDefault="0031381E" w:rsidP="00A04D80">
            <w:pPr>
              <w:pStyle w:val="TableText"/>
              <w:spacing w:before="50" w:after="50"/>
              <w:rPr>
                <w:rFonts w:eastAsia="Calibri"/>
                <w:sz w:val="17"/>
                <w:szCs w:val="17"/>
                <w:lang w:eastAsia="en-NZ"/>
              </w:rPr>
            </w:pPr>
            <w:r w:rsidRPr="00A04D80">
              <w:rPr>
                <w:rFonts w:eastAsia="Calibri"/>
                <w:sz w:val="17"/>
                <w:szCs w:val="17"/>
                <w:lang w:eastAsia="en-NZ"/>
              </w:rPr>
              <w:t>To maintain accurate education, training and competency records</w:t>
            </w:r>
          </w:p>
          <w:p w:rsidR="0031381E" w:rsidRPr="00A04D80" w:rsidRDefault="0031381E" w:rsidP="00A04D80">
            <w:pPr>
              <w:pStyle w:val="TableText"/>
              <w:spacing w:before="50" w:after="50"/>
              <w:rPr>
                <w:sz w:val="17"/>
                <w:szCs w:val="17"/>
                <w:lang w:eastAsia="en-NZ"/>
              </w:rPr>
            </w:pPr>
            <w:r w:rsidRPr="00A04D80">
              <w:rPr>
                <w:sz w:val="17"/>
                <w:szCs w:val="17"/>
                <w:lang w:eastAsia="en-NZ"/>
              </w:rPr>
              <w:t>To ensure that, where appropriate, employees have access to an RN, either onsite, by telephone or electronically</w:t>
            </w:r>
          </w:p>
          <w:p w:rsidR="0031381E" w:rsidRPr="00A04D80" w:rsidRDefault="0031381E" w:rsidP="00A04D80">
            <w:pPr>
              <w:pStyle w:val="TableText"/>
              <w:spacing w:before="50" w:after="50"/>
              <w:rPr>
                <w:sz w:val="17"/>
                <w:szCs w:val="17"/>
                <w:lang w:eastAsia="en-NZ"/>
              </w:rPr>
            </w:pPr>
            <w:r w:rsidRPr="00A04D80">
              <w:rPr>
                <w:sz w:val="17"/>
                <w:szCs w:val="17"/>
                <w:lang w:eastAsia="en-NZ"/>
              </w:rPr>
              <w:t>To liaise with primary care and relevant pharmacists and prescribers</w:t>
            </w:r>
          </w:p>
        </w:tc>
      </w:tr>
      <w:tr w:rsidR="0031381E" w:rsidRPr="001E52E3" w:rsidTr="00A13F65">
        <w:trPr>
          <w:cantSplit/>
        </w:trPr>
        <w:tc>
          <w:tcPr>
            <w:tcW w:w="702" w:type="pct"/>
            <w:shd w:val="clear" w:color="auto" w:fill="auto"/>
          </w:tcPr>
          <w:p w:rsidR="0031381E" w:rsidRPr="00A04D80" w:rsidRDefault="0031381E" w:rsidP="00A04D80">
            <w:pPr>
              <w:pStyle w:val="TableText"/>
              <w:spacing w:before="50" w:after="50"/>
              <w:ind w:right="113"/>
              <w:rPr>
                <w:b/>
                <w:bCs/>
                <w:sz w:val="17"/>
                <w:szCs w:val="17"/>
                <w:lang w:eastAsia="en-NZ"/>
              </w:rPr>
            </w:pPr>
            <w:r w:rsidRPr="00A04D80">
              <w:rPr>
                <w:sz w:val="17"/>
                <w:szCs w:val="17"/>
                <w:lang w:eastAsia="en-NZ"/>
              </w:rPr>
              <w:t>Registered nurse (RN)</w:t>
            </w:r>
          </w:p>
        </w:tc>
        <w:tc>
          <w:tcPr>
            <w:tcW w:w="4298" w:type="pct"/>
            <w:shd w:val="clear" w:color="auto" w:fill="auto"/>
          </w:tcPr>
          <w:p w:rsidR="0031381E" w:rsidRPr="00A04D80" w:rsidRDefault="0031381E" w:rsidP="00A04D80">
            <w:pPr>
              <w:pStyle w:val="TableText"/>
              <w:spacing w:before="50" w:after="50"/>
              <w:rPr>
                <w:sz w:val="17"/>
                <w:szCs w:val="17"/>
                <w:lang w:eastAsia="en-NZ"/>
              </w:rPr>
            </w:pPr>
            <w:r w:rsidRPr="00A04D80">
              <w:rPr>
                <w:sz w:val="17"/>
                <w:szCs w:val="17"/>
                <w:lang w:eastAsia="en-NZ"/>
              </w:rPr>
              <w:t>To work within their scope of practice and understand their responsibilities in relation to medication support, including direction and delegation to enrolled nurses and the unregulated workforce</w:t>
            </w:r>
          </w:p>
          <w:p w:rsidR="0031381E" w:rsidRPr="00A04D80" w:rsidRDefault="0031381E" w:rsidP="00A04D80">
            <w:pPr>
              <w:pStyle w:val="TableText"/>
              <w:spacing w:before="50" w:after="50"/>
              <w:rPr>
                <w:sz w:val="17"/>
                <w:szCs w:val="17"/>
                <w:lang w:eastAsia="en-NZ"/>
              </w:rPr>
            </w:pPr>
            <w:r w:rsidRPr="00A04D80">
              <w:rPr>
                <w:sz w:val="17"/>
                <w:szCs w:val="17"/>
                <w:lang w:eastAsia="en-NZ"/>
              </w:rPr>
              <w:t>To support and promote people</w:t>
            </w:r>
            <w:r w:rsidR="00A13F65" w:rsidRPr="00A04D80">
              <w:rPr>
                <w:sz w:val="17"/>
                <w:szCs w:val="17"/>
                <w:lang w:eastAsia="en-NZ"/>
              </w:rPr>
              <w:t>’</w:t>
            </w:r>
            <w:r w:rsidRPr="00A04D80">
              <w:rPr>
                <w:sz w:val="17"/>
                <w:szCs w:val="17"/>
                <w:lang w:eastAsia="en-NZ"/>
              </w:rPr>
              <w:t>s independence in terms of their medication</w:t>
            </w:r>
          </w:p>
          <w:p w:rsidR="0031381E" w:rsidRPr="00A04D80" w:rsidRDefault="0031381E" w:rsidP="00A04D80">
            <w:pPr>
              <w:pStyle w:val="TableText"/>
              <w:spacing w:before="50" w:after="50"/>
              <w:rPr>
                <w:sz w:val="17"/>
                <w:szCs w:val="17"/>
                <w:lang w:eastAsia="en-NZ"/>
              </w:rPr>
            </w:pPr>
            <w:r w:rsidRPr="00A04D80">
              <w:rPr>
                <w:sz w:val="17"/>
                <w:szCs w:val="17"/>
                <w:lang w:eastAsia="en-NZ"/>
              </w:rPr>
              <w:t>To implement organisational processes and systems to support independence</w:t>
            </w:r>
          </w:p>
          <w:p w:rsidR="0031381E" w:rsidRPr="00A04D80" w:rsidRDefault="0031381E" w:rsidP="00A04D80">
            <w:pPr>
              <w:pStyle w:val="TableText"/>
              <w:spacing w:before="50" w:after="50"/>
              <w:rPr>
                <w:sz w:val="17"/>
                <w:szCs w:val="17"/>
                <w:lang w:eastAsia="en-NZ"/>
              </w:rPr>
            </w:pPr>
            <w:r w:rsidRPr="00A04D80">
              <w:rPr>
                <w:sz w:val="17"/>
                <w:szCs w:val="17"/>
                <w:lang w:eastAsia="en-NZ"/>
              </w:rPr>
              <w:t>To ensure people receiving support with medication have a medication administration record (MAR)</w:t>
            </w:r>
          </w:p>
          <w:p w:rsidR="0031381E" w:rsidRPr="00A04D80" w:rsidRDefault="0031381E" w:rsidP="00A04D80">
            <w:pPr>
              <w:pStyle w:val="TableText"/>
              <w:spacing w:before="50" w:after="50"/>
              <w:rPr>
                <w:sz w:val="17"/>
                <w:szCs w:val="17"/>
                <w:lang w:eastAsia="en-NZ"/>
              </w:rPr>
            </w:pPr>
            <w:r w:rsidRPr="00A04D80">
              <w:rPr>
                <w:sz w:val="17"/>
                <w:szCs w:val="17"/>
                <w:lang w:eastAsia="en-NZ"/>
              </w:rPr>
              <w:t>To ensure people receiving support with medication have support plans that clearly identifies the categories of medication support they require</w:t>
            </w:r>
          </w:p>
          <w:p w:rsidR="0031381E" w:rsidRPr="00A04D80" w:rsidRDefault="0031381E" w:rsidP="00A04D80">
            <w:pPr>
              <w:pStyle w:val="TableText"/>
              <w:spacing w:before="50" w:after="50"/>
              <w:rPr>
                <w:sz w:val="17"/>
                <w:szCs w:val="17"/>
                <w:lang w:eastAsia="en-NZ"/>
              </w:rPr>
            </w:pPr>
            <w:r w:rsidRPr="00A04D80">
              <w:rPr>
                <w:sz w:val="17"/>
                <w:szCs w:val="17"/>
                <w:lang w:eastAsia="en-NZ"/>
              </w:rPr>
              <w:t>To accurately communicate instructions regarding medications to people</w:t>
            </w:r>
            <w:r w:rsidR="00A13F65" w:rsidRPr="00A04D80">
              <w:rPr>
                <w:sz w:val="17"/>
                <w:szCs w:val="17"/>
                <w:lang w:eastAsia="en-NZ"/>
              </w:rPr>
              <w:t>’</w:t>
            </w:r>
            <w:r w:rsidRPr="00A04D80">
              <w:rPr>
                <w:sz w:val="17"/>
                <w:szCs w:val="17"/>
                <w:lang w:eastAsia="en-NZ"/>
              </w:rPr>
              <w:t>s main caregivers</w:t>
            </w:r>
          </w:p>
        </w:tc>
      </w:tr>
      <w:tr w:rsidR="0031381E" w:rsidRPr="001E52E3" w:rsidTr="00A13F65">
        <w:trPr>
          <w:cantSplit/>
        </w:trPr>
        <w:tc>
          <w:tcPr>
            <w:tcW w:w="702" w:type="pct"/>
            <w:shd w:val="clear" w:color="auto" w:fill="auto"/>
          </w:tcPr>
          <w:p w:rsidR="0031381E" w:rsidRPr="00A04D80" w:rsidRDefault="0031381E" w:rsidP="00A04D80">
            <w:pPr>
              <w:pStyle w:val="TableText"/>
              <w:spacing w:before="50" w:after="50"/>
              <w:ind w:right="113"/>
              <w:rPr>
                <w:b/>
                <w:bCs/>
                <w:sz w:val="17"/>
                <w:szCs w:val="17"/>
                <w:lang w:eastAsia="en-NZ"/>
              </w:rPr>
            </w:pPr>
            <w:r w:rsidRPr="00A04D80">
              <w:rPr>
                <w:sz w:val="17"/>
                <w:szCs w:val="17"/>
                <w:lang w:eastAsia="en-NZ"/>
              </w:rPr>
              <w:t>Enrolled nurse</w:t>
            </w:r>
            <w:r w:rsidR="00A13F65" w:rsidRPr="00A04D80">
              <w:rPr>
                <w:sz w:val="17"/>
                <w:szCs w:val="17"/>
                <w:lang w:eastAsia="en-NZ"/>
              </w:rPr>
              <w:t xml:space="preserve"> </w:t>
            </w:r>
            <w:r w:rsidRPr="00A04D80">
              <w:rPr>
                <w:sz w:val="17"/>
                <w:szCs w:val="17"/>
                <w:lang w:eastAsia="en-NZ"/>
              </w:rPr>
              <w:t>(EN)</w:t>
            </w:r>
          </w:p>
        </w:tc>
        <w:tc>
          <w:tcPr>
            <w:tcW w:w="4298" w:type="pct"/>
            <w:shd w:val="clear" w:color="auto" w:fill="auto"/>
          </w:tcPr>
          <w:p w:rsidR="00A13F65" w:rsidRPr="00A04D80" w:rsidRDefault="0031381E" w:rsidP="00A04D80">
            <w:pPr>
              <w:pStyle w:val="TableText"/>
              <w:spacing w:before="50" w:after="50"/>
              <w:rPr>
                <w:sz w:val="17"/>
                <w:szCs w:val="17"/>
                <w:lang w:eastAsia="en-NZ"/>
              </w:rPr>
            </w:pPr>
            <w:r w:rsidRPr="00A04D80">
              <w:rPr>
                <w:sz w:val="17"/>
                <w:szCs w:val="17"/>
                <w:lang w:eastAsia="en-NZ"/>
              </w:rPr>
              <w:t>To work within their scope of practice and understand their responsibilities in relation to medication support</w:t>
            </w:r>
          </w:p>
          <w:p w:rsidR="0031381E" w:rsidRPr="00A04D80" w:rsidRDefault="0031381E" w:rsidP="00A04D80">
            <w:pPr>
              <w:pStyle w:val="TableText"/>
              <w:spacing w:before="50" w:after="50"/>
              <w:rPr>
                <w:sz w:val="17"/>
                <w:szCs w:val="17"/>
                <w:lang w:eastAsia="en-NZ"/>
              </w:rPr>
            </w:pPr>
            <w:r w:rsidRPr="00A04D80">
              <w:rPr>
                <w:sz w:val="17"/>
                <w:szCs w:val="17"/>
                <w:lang w:eastAsia="en-NZ"/>
              </w:rPr>
              <w:t>To escalate issues or adverse events to the RN responsible for their practice</w:t>
            </w:r>
          </w:p>
          <w:p w:rsidR="00A13F65" w:rsidRPr="00A04D80" w:rsidRDefault="0031381E" w:rsidP="00A04D80">
            <w:pPr>
              <w:pStyle w:val="TableText"/>
              <w:spacing w:before="50" w:after="50"/>
              <w:rPr>
                <w:sz w:val="17"/>
                <w:szCs w:val="17"/>
                <w:lang w:eastAsia="en-NZ"/>
              </w:rPr>
            </w:pPr>
            <w:r w:rsidRPr="00A04D80">
              <w:rPr>
                <w:sz w:val="17"/>
                <w:szCs w:val="17"/>
                <w:lang w:eastAsia="en-NZ"/>
              </w:rPr>
              <w:t>To work under the direction/delegation of an RN at all times</w:t>
            </w:r>
          </w:p>
          <w:p w:rsidR="0031381E" w:rsidRPr="00A04D80" w:rsidRDefault="0031381E" w:rsidP="00A04D80">
            <w:pPr>
              <w:pStyle w:val="TableText"/>
              <w:spacing w:before="50" w:after="50"/>
              <w:rPr>
                <w:i/>
                <w:sz w:val="17"/>
                <w:szCs w:val="17"/>
                <w:lang w:eastAsia="en-NZ"/>
              </w:rPr>
            </w:pPr>
            <w:r w:rsidRPr="00A04D80">
              <w:rPr>
                <w:b/>
                <w:i/>
                <w:sz w:val="17"/>
                <w:szCs w:val="17"/>
                <w:lang w:eastAsia="en-NZ"/>
              </w:rPr>
              <w:t>Note:</w:t>
            </w:r>
            <w:r w:rsidRPr="00A04D80">
              <w:rPr>
                <w:i/>
                <w:sz w:val="17"/>
                <w:szCs w:val="17"/>
                <w:lang w:eastAsia="en-NZ"/>
              </w:rPr>
              <w:t xml:space="preserve"> An enrolled nurse cannot direct unregulated staff to administer medications, or delegate the task to them</w:t>
            </w:r>
          </w:p>
        </w:tc>
      </w:tr>
      <w:tr w:rsidR="0031381E" w:rsidRPr="001E52E3" w:rsidTr="00A13F65">
        <w:trPr>
          <w:cantSplit/>
        </w:trPr>
        <w:tc>
          <w:tcPr>
            <w:tcW w:w="702" w:type="pct"/>
            <w:shd w:val="clear" w:color="auto" w:fill="auto"/>
          </w:tcPr>
          <w:p w:rsidR="0031381E" w:rsidRPr="00A04D80" w:rsidRDefault="0031381E" w:rsidP="00A04D80">
            <w:pPr>
              <w:pStyle w:val="TableText"/>
              <w:spacing w:before="50" w:after="50"/>
              <w:ind w:right="113"/>
              <w:rPr>
                <w:b/>
                <w:bCs/>
                <w:sz w:val="17"/>
                <w:szCs w:val="17"/>
                <w:lang w:eastAsia="en-NZ"/>
              </w:rPr>
            </w:pPr>
            <w:r w:rsidRPr="00A04D80">
              <w:rPr>
                <w:sz w:val="17"/>
                <w:szCs w:val="17"/>
                <w:lang w:eastAsia="en-NZ"/>
              </w:rPr>
              <w:t>Home support worker (HSW)</w:t>
            </w:r>
            <w:r w:rsidRPr="00A04D80">
              <w:rPr>
                <w:rStyle w:val="FootnoteReference"/>
                <w:sz w:val="17"/>
                <w:szCs w:val="17"/>
              </w:rPr>
              <w:footnoteReference w:id="5"/>
            </w:r>
          </w:p>
        </w:tc>
        <w:tc>
          <w:tcPr>
            <w:tcW w:w="4298" w:type="pct"/>
            <w:shd w:val="clear" w:color="auto" w:fill="auto"/>
          </w:tcPr>
          <w:p w:rsidR="0031381E" w:rsidRPr="00A04D80" w:rsidRDefault="0031381E" w:rsidP="00A04D80">
            <w:pPr>
              <w:pStyle w:val="TableText"/>
              <w:spacing w:before="50" w:after="50"/>
              <w:rPr>
                <w:sz w:val="17"/>
                <w:szCs w:val="17"/>
                <w:lang w:eastAsia="en-NZ"/>
              </w:rPr>
            </w:pPr>
            <w:r w:rsidRPr="00A04D80">
              <w:rPr>
                <w:sz w:val="17"/>
                <w:szCs w:val="17"/>
                <w:lang w:eastAsia="en-NZ"/>
              </w:rPr>
              <w:t>To pass an annual medication competency as appropriate</w:t>
            </w:r>
          </w:p>
          <w:p w:rsidR="00A13F65" w:rsidRPr="00A04D80" w:rsidRDefault="0031381E" w:rsidP="00A04D80">
            <w:pPr>
              <w:pStyle w:val="TableText"/>
              <w:spacing w:before="50" w:after="50"/>
              <w:rPr>
                <w:sz w:val="17"/>
                <w:szCs w:val="17"/>
                <w:lang w:eastAsia="en-NZ"/>
              </w:rPr>
            </w:pPr>
            <w:r w:rsidRPr="00A04D80">
              <w:rPr>
                <w:sz w:val="17"/>
                <w:szCs w:val="17"/>
                <w:lang w:eastAsia="en-NZ"/>
              </w:rPr>
              <w:t>To adhere to the support plan</w:t>
            </w:r>
          </w:p>
          <w:p w:rsidR="00A13F65" w:rsidRPr="00A04D80" w:rsidRDefault="0031381E" w:rsidP="00A04D80">
            <w:pPr>
              <w:pStyle w:val="TableText"/>
              <w:spacing w:before="50" w:after="50"/>
              <w:rPr>
                <w:spacing w:val="-2"/>
                <w:sz w:val="17"/>
                <w:szCs w:val="17"/>
                <w:lang w:eastAsia="en-NZ"/>
              </w:rPr>
            </w:pPr>
            <w:r w:rsidRPr="00A04D80">
              <w:rPr>
                <w:spacing w:val="-2"/>
                <w:sz w:val="17"/>
                <w:szCs w:val="17"/>
                <w:lang w:eastAsia="en-NZ"/>
              </w:rPr>
              <w:t>Where the HSW is assisting with medicatio</w:t>
            </w:r>
            <w:r w:rsidR="00A04D80" w:rsidRPr="00A04D80">
              <w:rPr>
                <w:spacing w:val="-2"/>
                <w:sz w:val="17"/>
                <w:szCs w:val="17"/>
                <w:lang w:eastAsia="en-NZ"/>
              </w:rPr>
              <w:t>n, to work under the direction/</w:t>
            </w:r>
            <w:r w:rsidRPr="00A04D80">
              <w:rPr>
                <w:spacing w:val="-2"/>
                <w:sz w:val="17"/>
                <w:szCs w:val="17"/>
                <w:lang w:eastAsia="en-NZ"/>
              </w:rPr>
              <w:t>delegation of an RN</w:t>
            </w:r>
          </w:p>
          <w:p w:rsidR="00A13F65" w:rsidRPr="00A04D80" w:rsidRDefault="0031381E" w:rsidP="00A04D80">
            <w:pPr>
              <w:pStyle w:val="TableText"/>
              <w:spacing w:before="50" w:after="50"/>
              <w:rPr>
                <w:sz w:val="17"/>
                <w:szCs w:val="17"/>
                <w:lang w:eastAsia="en-NZ"/>
              </w:rPr>
            </w:pPr>
            <w:r w:rsidRPr="00A04D80">
              <w:rPr>
                <w:sz w:val="17"/>
                <w:szCs w:val="17"/>
                <w:lang w:eastAsia="en-NZ"/>
              </w:rPr>
              <w:t>To escalate issues or adverse events to the RN/person responsible</w:t>
            </w:r>
          </w:p>
          <w:p w:rsidR="0031381E" w:rsidRPr="00A04D80" w:rsidRDefault="0031381E" w:rsidP="00A04D80">
            <w:pPr>
              <w:pStyle w:val="TableText"/>
              <w:spacing w:before="50" w:after="50"/>
              <w:rPr>
                <w:sz w:val="17"/>
                <w:szCs w:val="17"/>
                <w:lang w:eastAsia="en-NZ"/>
              </w:rPr>
            </w:pPr>
            <w:r w:rsidRPr="00A04D80">
              <w:rPr>
                <w:sz w:val="17"/>
                <w:szCs w:val="17"/>
                <w:lang w:eastAsia="en-NZ"/>
              </w:rPr>
              <w:t>To seek training and support as required</w:t>
            </w:r>
          </w:p>
        </w:tc>
      </w:tr>
    </w:tbl>
    <w:p w:rsidR="0031381E" w:rsidRDefault="0031381E" w:rsidP="00A04D80"/>
    <w:p w:rsidR="0031381E" w:rsidRPr="009F6579" w:rsidRDefault="0031381E" w:rsidP="00A04D80">
      <w:pPr>
        <w:pStyle w:val="Heading1"/>
        <w:ind w:left="851" w:hanging="851"/>
      </w:pPr>
      <w:bookmarkStart w:id="5" w:name="_Toc2771069"/>
      <w:bookmarkStart w:id="6" w:name="_Toc2771777"/>
      <w:bookmarkStart w:id="7" w:name="_Toc7782221"/>
      <w:r>
        <w:lastRenderedPageBreak/>
        <w:t>2</w:t>
      </w:r>
      <w:r w:rsidRPr="009C5C9F">
        <w:tab/>
      </w:r>
      <w:r w:rsidRPr="006640C3">
        <w:t xml:space="preserve">Medication </w:t>
      </w:r>
      <w:r>
        <w:t>support</w:t>
      </w:r>
      <w:r w:rsidRPr="006640C3">
        <w:t xml:space="preserve"> </w:t>
      </w:r>
      <w:r>
        <w:t>c</w:t>
      </w:r>
      <w:r w:rsidRPr="006640C3">
        <w:t>ategories</w:t>
      </w:r>
      <w:bookmarkEnd w:id="5"/>
      <w:bookmarkEnd w:id="6"/>
      <w:bookmarkEnd w:id="7"/>
    </w:p>
    <w:p w:rsidR="00A13F65" w:rsidRDefault="0031381E" w:rsidP="00A04D80">
      <w:r>
        <w:t xml:space="preserve">Providers should encourage </w:t>
      </w:r>
      <w:r w:rsidRPr="00C7494F">
        <w:t xml:space="preserve">people to </w:t>
      </w:r>
      <w:r>
        <w:t>actively participate in their own care. They should foster people</w:t>
      </w:r>
      <w:r w:rsidR="00A13F65">
        <w:t>’</w:t>
      </w:r>
      <w:r>
        <w:t>s independence, choice and control in relation to their medication. For the purposes of these Guidelines, p</w:t>
      </w:r>
      <w:r w:rsidRPr="00C7494F">
        <w:t>eople</w:t>
      </w:r>
      <w:r>
        <w:t xml:space="preserve"> using medication at home</w:t>
      </w:r>
      <w:r w:rsidRPr="00C7494F">
        <w:t xml:space="preserve"> fall into three </w:t>
      </w:r>
      <w:r>
        <w:t xml:space="preserve">distinct medication support </w:t>
      </w:r>
      <w:r w:rsidRPr="00C7494F">
        <w:t>categories</w:t>
      </w:r>
      <w:r>
        <w:t>, following an assessment:</w:t>
      </w:r>
    </w:p>
    <w:p w:rsidR="0031381E" w:rsidRPr="00547540" w:rsidRDefault="0031381E" w:rsidP="00A04D80">
      <w:pPr>
        <w:pStyle w:val="Number"/>
      </w:pPr>
      <w:r w:rsidRPr="00547540">
        <w:t>Independent</w:t>
      </w:r>
    </w:p>
    <w:p w:rsidR="00A13F65" w:rsidRDefault="0031381E" w:rsidP="00A04D80">
      <w:pPr>
        <w:pStyle w:val="Number"/>
      </w:pPr>
      <w:r w:rsidRPr="00547540">
        <w:t>Prompting/supervision</w:t>
      </w:r>
    </w:p>
    <w:p w:rsidR="00A13F65" w:rsidRDefault="0031381E" w:rsidP="00A04D80">
      <w:pPr>
        <w:pStyle w:val="Number"/>
      </w:pPr>
      <w:r w:rsidRPr="00547540">
        <w:t>Administration.</w:t>
      </w:r>
    </w:p>
    <w:p w:rsidR="0031381E" w:rsidRDefault="0031381E" w:rsidP="00A04D80"/>
    <w:p w:rsidR="00A13F65" w:rsidRDefault="0031381E" w:rsidP="00A04D80">
      <w:r>
        <w:t>Support plans</w:t>
      </w:r>
      <w:r w:rsidRPr="005841D7">
        <w:t xml:space="preserve"> </w:t>
      </w:r>
      <w:r>
        <w:t>must note the relevant category. People may move between categories over time.</w:t>
      </w:r>
    </w:p>
    <w:p w:rsidR="0031381E" w:rsidRDefault="0031381E" w:rsidP="00A04D80"/>
    <w:p w:rsidR="0031381E" w:rsidRPr="002674FB" w:rsidRDefault="0031381E" w:rsidP="00A04D80">
      <w:r>
        <w:t>The categories are defined as follows.</w:t>
      </w:r>
    </w:p>
    <w:p w:rsidR="0031381E" w:rsidRDefault="0031381E" w:rsidP="00A04D80"/>
    <w:p w:rsidR="0031381E" w:rsidRPr="005841D7" w:rsidRDefault="0031381E" w:rsidP="00A04D80">
      <w:r>
        <w:rPr>
          <w:b/>
        </w:rPr>
        <w:t>Independent</w:t>
      </w:r>
      <w:r w:rsidRPr="005841D7">
        <w:rPr>
          <w:b/>
        </w:rPr>
        <w:t>:</w:t>
      </w:r>
      <w:r w:rsidRPr="005841D7">
        <w:t xml:space="preserve"> </w:t>
      </w:r>
      <w:r>
        <w:t>This person is safe to independently administer their own medication or they have a reliable family/wh</w:t>
      </w:r>
      <w:r w:rsidRPr="000B7B2D">
        <w:t>ā</w:t>
      </w:r>
      <w:r>
        <w:t>nau member or friend who can assist them. The person does not require any assistance from an HCSS provider.</w:t>
      </w:r>
    </w:p>
    <w:p w:rsidR="0031381E" w:rsidRPr="005841D7" w:rsidRDefault="0031381E" w:rsidP="00A04D80"/>
    <w:p w:rsidR="00A13F65" w:rsidRPr="00A04D80" w:rsidRDefault="0031381E" w:rsidP="00A04D80">
      <w:pPr>
        <w:ind w:right="-142"/>
        <w:rPr>
          <w:spacing w:val="-2"/>
        </w:rPr>
      </w:pPr>
      <w:r w:rsidRPr="00A04D80">
        <w:rPr>
          <w:b/>
          <w:spacing w:val="-2"/>
        </w:rPr>
        <w:t>Prompting/supervision:</w:t>
      </w:r>
      <w:r w:rsidRPr="00A04D80">
        <w:rPr>
          <w:spacing w:val="-2"/>
        </w:rPr>
        <w:t xml:space="preserve"> It has been determined that the person cannot reliably remember to take their medications on their own and they do not have a reliable family/whānau member or friend to assist them. A HSW prompts or supervises the person to safely administer medication according to the support plan developed by an RN.</w:t>
      </w:r>
    </w:p>
    <w:p w:rsidR="00A13F65" w:rsidRDefault="00A13F65" w:rsidP="00A04D80"/>
    <w:p w:rsidR="0031381E" w:rsidRDefault="0031381E" w:rsidP="00A04D80">
      <w:r w:rsidRPr="005841D7">
        <w:rPr>
          <w:b/>
        </w:rPr>
        <w:t>Administration:</w:t>
      </w:r>
      <w:r w:rsidRPr="001472BA">
        <w:t xml:space="preserve"> </w:t>
      </w:r>
      <w:r>
        <w:t xml:space="preserve">It has been determined that, due to physical, </w:t>
      </w:r>
      <w:r w:rsidRPr="005841D7">
        <w:t>cognitive</w:t>
      </w:r>
      <w:r>
        <w:t xml:space="preserve"> or </w:t>
      </w:r>
      <w:r w:rsidRPr="005841D7">
        <w:t xml:space="preserve">behavioural </w:t>
      </w:r>
      <w:r>
        <w:t>ability, the person cannot safely administer medication, and they do not have a reliable family/wh</w:t>
      </w:r>
      <w:r w:rsidRPr="000B7B2D">
        <w:t>ā</w:t>
      </w:r>
      <w:r>
        <w:t>nau member or friend to assist them. A HSW physically assists the person to safely administer medication according to the support plan developed by the RN.</w:t>
      </w:r>
    </w:p>
    <w:p w:rsidR="00A13F65" w:rsidRDefault="00A13F65" w:rsidP="00A04D80"/>
    <w:p w:rsidR="0031381E" w:rsidRPr="00A04D80" w:rsidRDefault="0031381E" w:rsidP="00A04D80">
      <w:pPr>
        <w:pStyle w:val="Heading1"/>
        <w:ind w:left="851" w:right="-709" w:hanging="851"/>
        <w:rPr>
          <w:spacing w:val="-15"/>
        </w:rPr>
      </w:pPr>
      <w:bookmarkStart w:id="8" w:name="_Toc2771070"/>
      <w:bookmarkStart w:id="9" w:name="_Toc2771778"/>
      <w:bookmarkStart w:id="10" w:name="_Toc7782222"/>
      <w:r>
        <w:lastRenderedPageBreak/>
        <w:t>3</w:t>
      </w:r>
      <w:r>
        <w:tab/>
      </w:r>
      <w:r w:rsidRPr="00A04D80">
        <w:rPr>
          <w:spacing w:val="-15"/>
        </w:rPr>
        <w:t>Medication competency assessment</w:t>
      </w:r>
      <w:bookmarkEnd w:id="8"/>
      <w:bookmarkEnd w:id="9"/>
      <w:bookmarkEnd w:id="10"/>
    </w:p>
    <w:p w:rsidR="00A13F65" w:rsidRDefault="0031381E" w:rsidP="00A04D80">
      <w:pPr>
        <w:rPr>
          <w:szCs w:val="22"/>
        </w:rPr>
      </w:pPr>
      <w:r>
        <w:t xml:space="preserve">Best practice indicates that providers must be able to provide evidence that </w:t>
      </w:r>
      <w:r w:rsidRPr="008F72FD">
        <w:t xml:space="preserve">all staff </w:t>
      </w:r>
      <w:r>
        <w:t>involved in supporting people with medication are verified as competent to do so.</w:t>
      </w:r>
      <w:r w:rsidRPr="008F72FD">
        <w:t xml:space="preserve"> </w:t>
      </w:r>
      <w:r>
        <w:rPr>
          <w:szCs w:val="22"/>
        </w:rPr>
        <w:t>Providers should develop their own medication competency assessment, appropriate to their specific services.</w:t>
      </w:r>
    </w:p>
    <w:p w:rsidR="0031381E" w:rsidRDefault="0031381E" w:rsidP="00A04D80"/>
    <w:p w:rsidR="00A13F65" w:rsidRDefault="0031381E" w:rsidP="00A04D80">
      <w:r>
        <w:t xml:space="preserve">Registered nurses </w:t>
      </w:r>
      <w:r w:rsidRPr="008F72FD">
        <w:t>who ha</w:t>
      </w:r>
      <w:r>
        <w:t>ve themselves</w:t>
      </w:r>
      <w:r w:rsidRPr="008F72FD">
        <w:t xml:space="preserve"> demonstrated competency</w:t>
      </w:r>
      <w:r>
        <w:t xml:space="preserve"> should assess the competency of HSWs.</w:t>
      </w:r>
      <w:r w:rsidRPr="008F72FD">
        <w:t xml:space="preserve"> Competency sign</w:t>
      </w:r>
      <w:r>
        <w:t>-</w:t>
      </w:r>
      <w:r w:rsidRPr="008F72FD">
        <w:t xml:space="preserve">off for </w:t>
      </w:r>
      <w:r>
        <w:t>staff must include the core competency minimum requirements set out here. These are divided into 1) theory and 2) practical components.</w:t>
      </w:r>
    </w:p>
    <w:p w:rsidR="0031381E" w:rsidRDefault="0031381E" w:rsidP="00A04D80"/>
    <w:p w:rsidR="00A13F65" w:rsidRDefault="0031381E" w:rsidP="00A04D80">
      <w:r w:rsidRPr="009A40B2">
        <w:t xml:space="preserve">Competency training </w:t>
      </w:r>
      <w:r>
        <w:t>must</w:t>
      </w:r>
      <w:r w:rsidRPr="009A40B2">
        <w:t xml:space="preserve"> include understanding of how to respect </w:t>
      </w:r>
      <w:r>
        <w:t>a person</w:t>
      </w:r>
      <w:r w:rsidR="00A13F65">
        <w:t>’</w:t>
      </w:r>
      <w:r>
        <w:t>s</w:t>
      </w:r>
      <w:r w:rsidRPr="009A40B2">
        <w:t xml:space="preserve"> dignity, individuality and cultural needs and values.</w:t>
      </w:r>
    </w:p>
    <w:p w:rsidR="0031381E" w:rsidRDefault="0031381E" w:rsidP="00A04D80"/>
    <w:p w:rsidR="00A13F65" w:rsidRDefault="0031381E" w:rsidP="00A04D80">
      <w:r>
        <w:t>Home support workers must receive training according to the individual support plans they are involved with (</w:t>
      </w:r>
      <w:proofErr w:type="spellStart"/>
      <w:r>
        <w:t>eg</w:t>
      </w:r>
      <w:proofErr w:type="spellEnd"/>
      <w:r>
        <w:t>, where a person is prescribed high-risk and non-pre-packaged medications</w:t>
      </w:r>
      <w:r w:rsidRPr="00612EFE">
        <w:t xml:space="preserve">, </w:t>
      </w:r>
      <w:r>
        <w:t xml:space="preserve">their HSW should have received </w:t>
      </w:r>
      <w:r w:rsidRPr="00612EFE">
        <w:t>specific training</w:t>
      </w:r>
      <w:r>
        <w:t xml:space="preserve"> on this)</w:t>
      </w:r>
      <w:r w:rsidRPr="00612EFE">
        <w:t>.</w:t>
      </w:r>
    </w:p>
    <w:p w:rsidR="0031381E" w:rsidRDefault="0031381E" w:rsidP="00A04D80"/>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4"/>
        <w:gridCol w:w="7546"/>
      </w:tblGrid>
      <w:tr w:rsidR="0031381E" w:rsidRPr="00A04D80" w:rsidTr="00A04D80">
        <w:trPr>
          <w:cantSplit/>
        </w:trPr>
        <w:tc>
          <w:tcPr>
            <w:tcW w:w="8080" w:type="dxa"/>
            <w:gridSpan w:val="2"/>
            <w:tcBorders>
              <w:top w:val="nil"/>
              <w:left w:val="nil"/>
              <w:bottom w:val="nil"/>
              <w:right w:val="nil"/>
            </w:tcBorders>
            <w:shd w:val="clear" w:color="auto" w:fill="D9D9D9" w:themeFill="background1" w:themeFillShade="D9"/>
          </w:tcPr>
          <w:p w:rsidR="0031381E" w:rsidRPr="00A04D80" w:rsidRDefault="0031381E" w:rsidP="00A04D80">
            <w:pPr>
              <w:pStyle w:val="TableText"/>
              <w:keepNext/>
              <w:rPr>
                <w:b/>
              </w:rPr>
            </w:pPr>
            <w:r w:rsidRPr="00A04D80">
              <w:rPr>
                <w:b/>
              </w:rPr>
              <w:lastRenderedPageBreak/>
              <w:t>Theory</w:t>
            </w:r>
          </w:p>
        </w:tc>
      </w:tr>
      <w:tr w:rsidR="00A04D80" w:rsidRPr="001E52E3" w:rsidTr="00A04D80">
        <w:trPr>
          <w:cantSplit/>
        </w:trPr>
        <w:tc>
          <w:tcPr>
            <w:tcW w:w="8080" w:type="dxa"/>
            <w:gridSpan w:val="2"/>
            <w:tcBorders>
              <w:top w:val="nil"/>
              <w:left w:val="nil"/>
              <w:bottom w:val="single" w:sz="4" w:space="0" w:color="A6A6A6" w:themeColor="background1" w:themeShade="A6"/>
              <w:right w:val="nil"/>
            </w:tcBorders>
            <w:shd w:val="clear" w:color="auto" w:fill="auto"/>
          </w:tcPr>
          <w:p w:rsidR="00A04D80" w:rsidRPr="00A13F65" w:rsidRDefault="00A04D80" w:rsidP="00A04D80">
            <w:pPr>
              <w:pStyle w:val="TableText"/>
              <w:keepNext/>
            </w:pPr>
            <w:r w:rsidRPr="001E52E3">
              <w:t>The HSW demonstrates their understanding of:</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A13F65" w:rsidRDefault="0031381E" w:rsidP="00A04D80">
            <w:pPr>
              <w:pStyle w:val="TableText"/>
              <w:keepNext/>
            </w:pPr>
            <w:r w:rsidRPr="00A13F65">
              <w:t>1</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A13F65" w:rsidRDefault="0031381E" w:rsidP="00A04D80">
            <w:pPr>
              <w:pStyle w:val="TableText"/>
              <w:keepNext/>
            </w:pPr>
            <w:r w:rsidRPr="00A13F65">
              <w:t>the three categories of medication support:</w:t>
            </w:r>
          </w:p>
          <w:p w:rsidR="0031381E" w:rsidRPr="00A13F65" w:rsidRDefault="0031381E" w:rsidP="00A04D80">
            <w:pPr>
              <w:pStyle w:val="TableBullet"/>
              <w:keepNext/>
            </w:pPr>
            <w:r w:rsidRPr="00A13F65">
              <w:t>Independent</w:t>
            </w:r>
          </w:p>
          <w:p w:rsidR="0031381E" w:rsidRPr="00A13F65" w:rsidRDefault="0031381E" w:rsidP="00A04D80">
            <w:pPr>
              <w:pStyle w:val="TableBullet"/>
              <w:keepNext/>
            </w:pPr>
            <w:r w:rsidRPr="00A13F65">
              <w:t>Prompting/Supervision</w:t>
            </w:r>
          </w:p>
          <w:p w:rsidR="0031381E" w:rsidRPr="001E52E3" w:rsidRDefault="0031381E" w:rsidP="00A04D80">
            <w:pPr>
              <w:pStyle w:val="TableBullet"/>
              <w:keepNext/>
            </w:pPr>
            <w:r w:rsidRPr="00A13F65">
              <w:t>Administration</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A13F65" w:rsidRDefault="0031381E" w:rsidP="00A04D80">
            <w:pPr>
              <w:pStyle w:val="TableText"/>
              <w:keepNext/>
            </w:pPr>
            <w:r w:rsidRPr="00A13F65">
              <w:t>2</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A13F65" w:rsidRPr="00A13F65" w:rsidRDefault="0031381E" w:rsidP="00A04D80">
            <w:pPr>
              <w:pStyle w:val="TableText"/>
              <w:keepNext/>
            </w:pPr>
            <w:r w:rsidRPr="00A13F65">
              <w:t>The five + three rights (</w:t>
            </w:r>
            <w:proofErr w:type="spellStart"/>
            <w:r w:rsidRPr="00A13F65">
              <w:t>Rs</w:t>
            </w:r>
            <w:proofErr w:type="spellEnd"/>
            <w:r w:rsidRPr="00A13F65">
              <w:t>):</w:t>
            </w:r>
          </w:p>
          <w:p w:rsidR="0031381E" w:rsidRPr="00A13F65" w:rsidRDefault="0031381E" w:rsidP="00A04D80">
            <w:pPr>
              <w:pStyle w:val="TableBullet"/>
              <w:keepNext/>
            </w:pPr>
            <w:r w:rsidRPr="00A13F65">
              <w:t>right person</w:t>
            </w:r>
          </w:p>
          <w:p w:rsidR="0031381E" w:rsidRPr="00A13F65" w:rsidRDefault="0031381E" w:rsidP="00A04D80">
            <w:pPr>
              <w:pStyle w:val="TableBullet"/>
              <w:keepNext/>
            </w:pPr>
            <w:r w:rsidRPr="00A13F65">
              <w:t>right medication</w:t>
            </w:r>
          </w:p>
          <w:p w:rsidR="0031381E" w:rsidRPr="00A13F65" w:rsidRDefault="0031381E" w:rsidP="00A04D80">
            <w:pPr>
              <w:pStyle w:val="TableBullet"/>
              <w:keepNext/>
            </w:pPr>
            <w:r w:rsidRPr="00A13F65">
              <w:t>right dose</w:t>
            </w:r>
          </w:p>
          <w:p w:rsidR="0031381E" w:rsidRPr="00A13F65" w:rsidRDefault="0031381E" w:rsidP="00A04D80">
            <w:pPr>
              <w:pStyle w:val="TableBullet"/>
              <w:keepNext/>
            </w:pPr>
            <w:r w:rsidRPr="00A13F65">
              <w:t>right time</w:t>
            </w:r>
          </w:p>
          <w:p w:rsidR="0031381E" w:rsidRPr="00A13F65" w:rsidRDefault="0031381E" w:rsidP="00A04D80">
            <w:pPr>
              <w:pStyle w:val="TableBullet"/>
              <w:keepNext/>
            </w:pPr>
            <w:r w:rsidRPr="00A13F65">
              <w:t>right route</w:t>
            </w:r>
          </w:p>
          <w:p w:rsidR="0031381E" w:rsidRPr="00A13F65" w:rsidRDefault="0031381E" w:rsidP="00A04D80">
            <w:pPr>
              <w:pStyle w:val="TableBullet"/>
              <w:keepNext/>
            </w:pPr>
            <w:r w:rsidRPr="00A13F65">
              <w:t>right to refuse</w:t>
            </w:r>
          </w:p>
          <w:p w:rsidR="0031381E" w:rsidRPr="00A13F65" w:rsidRDefault="0031381E" w:rsidP="00A04D80">
            <w:pPr>
              <w:pStyle w:val="TableBullet"/>
              <w:keepNext/>
            </w:pPr>
            <w:r w:rsidRPr="00A13F65">
              <w:t>right indication</w:t>
            </w:r>
          </w:p>
          <w:p w:rsidR="0031381E" w:rsidRPr="001E52E3" w:rsidRDefault="0031381E" w:rsidP="00A04D80">
            <w:pPr>
              <w:pStyle w:val="TableBullet"/>
              <w:keepNext/>
            </w:pPr>
            <w:r w:rsidRPr="00A13F65">
              <w:t>right documentation</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A13F65" w:rsidRDefault="0031381E" w:rsidP="00A04D80">
            <w:pPr>
              <w:pStyle w:val="TableText"/>
              <w:keepNext/>
            </w:pPr>
            <w:r w:rsidRPr="00A13F65">
              <w:t>3</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A13F65" w:rsidRDefault="0031381E" w:rsidP="00A04D80">
            <w:pPr>
              <w:pStyle w:val="TableText"/>
              <w:keepNext/>
            </w:pPr>
            <w:r w:rsidRPr="00A13F65">
              <w:t>correct document</w:t>
            </w:r>
            <w:r w:rsidR="00A04D80">
              <w:t>ation of the type of medication</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pPr>
            <w:r w:rsidRPr="001E52E3">
              <w:t>4</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A13F65" w:rsidRPr="00A13F65" w:rsidRDefault="0031381E" w:rsidP="00A04D80">
            <w:pPr>
              <w:pStyle w:val="TableText"/>
            </w:pPr>
            <w:r>
              <w:t>t</w:t>
            </w:r>
            <w:r w:rsidRPr="001E52E3">
              <w:t xml:space="preserve">he correct </w:t>
            </w:r>
            <w:r w:rsidRPr="00A13F65">
              <w:t>process to follow and document if:</w:t>
            </w:r>
          </w:p>
          <w:p w:rsidR="0031381E" w:rsidRPr="00A13F65" w:rsidRDefault="0031381E" w:rsidP="00A04D80">
            <w:pPr>
              <w:pStyle w:val="TableBullet"/>
            </w:pPr>
            <w:r w:rsidRPr="00A13F65">
              <w:t xml:space="preserve">the medication has specific instructions, </w:t>
            </w:r>
            <w:proofErr w:type="spellStart"/>
            <w:r w:rsidRPr="00A13F65">
              <w:t>eg</w:t>
            </w:r>
            <w:proofErr w:type="spellEnd"/>
            <w:r w:rsidRPr="00A13F65">
              <w:t xml:space="preserve">, </w:t>
            </w:r>
            <w:r w:rsidR="00A13F65" w:rsidRPr="00A13F65">
              <w:t>‘</w:t>
            </w:r>
            <w:r w:rsidRPr="00A13F65">
              <w:t>take with food</w:t>
            </w:r>
            <w:r w:rsidR="00A13F65" w:rsidRPr="00A13F65">
              <w:t>’</w:t>
            </w:r>
          </w:p>
          <w:p w:rsidR="0031381E" w:rsidRPr="00A13F65" w:rsidRDefault="0031381E" w:rsidP="00A04D80">
            <w:pPr>
              <w:pStyle w:val="TableBullet"/>
            </w:pPr>
            <w:r w:rsidRPr="00A13F65">
              <w:t>the medication is not in a pre-packaged medication blister pack</w:t>
            </w:r>
          </w:p>
          <w:p w:rsidR="0031381E" w:rsidRPr="00A13F65" w:rsidRDefault="0031381E" w:rsidP="00A04D80">
            <w:pPr>
              <w:pStyle w:val="TableBullet"/>
            </w:pPr>
            <w:r w:rsidRPr="00A13F65">
              <w:t>a medication error occurs or is detected</w:t>
            </w:r>
          </w:p>
          <w:p w:rsidR="0031381E" w:rsidRPr="00A13F65" w:rsidRDefault="0031381E" w:rsidP="00A04D80">
            <w:pPr>
              <w:pStyle w:val="TableBullet"/>
            </w:pPr>
            <w:r w:rsidRPr="00A13F65">
              <w:t>the person is refusing to take his/her medication</w:t>
            </w:r>
          </w:p>
          <w:p w:rsidR="0031381E" w:rsidRPr="00A13F65" w:rsidRDefault="0031381E" w:rsidP="00A04D80">
            <w:pPr>
              <w:pStyle w:val="TableBullet"/>
            </w:pPr>
            <w:r w:rsidRPr="00A13F65">
              <w:t>the person is reporting or exhibiting side effects or adverse effects</w:t>
            </w:r>
          </w:p>
          <w:p w:rsidR="0031381E" w:rsidRPr="00A13F65" w:rsidRDefault="0031381E" w:rsidP="00A04D80">
            <w:pPr>
              <w:pStyle w:val="TableBullet"/>
            </w:pPr>
            <w:r w:rsidRPr="00A13F65">
              <w:t>the medication has an expired date</w:t>
            </w:r>
          </w:p>
          <w:p w:rsidR="0031381E" w:rsidRPr="001E52E3" w:rsidRDefault="0031381E" w:rsidP="00A04D80">
            <w:pPr>
              <w:pStyle w:val="TableBullet"/>
            </w:pPr>
            <w:r w:rsidRPr="00A13F65">
              <w:t>the HSW is being asked to administer medication and has not completed their medication competency</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A13F65" w:rsidRDefault="0031381E" w:rsidP="00A04D80">
            <w:pPr>
              <w:pStyle w:val="TableText"/>
            </w:pPr>
            <w:r w:rsidRPr="00A13F65">
              <w:t>5</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pPr>
            <w:r w:rsidRPr="00A13F65">
              <w:t>the difference between prescribed medication and a person</w:t>
            </w:r>
            <w:r w:rsidR="00A13F65" w:rsidRPr="00A13F65">
              <w:t>’</w:t>
            </w:r>
            <w:r w:rsidRPr="00A13F65">
              <w:t>s own over-the-counter medication – wha</w:t>
            </w:r>
            <w:r w:rsidR="00A04D80">
              <w:t>t you can and cannot administer</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pPr>
            <w:r w:rsidRPr="001E52E3">
              <w:t>6</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A13F65" w:rsidRDefault="0031381E" w:rsidP="00A04D80">
            <w:pPr>
              <w:pStyle w:val="TableText"/>
            </w:pPr>
            <w:r>
              <w:t>the r</w:t>
            </w:r>
            <w:r w:rsidRPr="001E52E3">
              <w:t xml:space="preserve">isks associated with medication administration and how to minimise/remove </w:t>
            </w:r>
            <w:r>
              <w:t>them</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Default="0031381E" w:rsidP="00A04D80">
            <w:pPr>
              <w:pStyle w:val="TableText"/>
            </w:pPr>
            <w:r>
              <w:t>7</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Default="0031381E" w:rsidP="00A04D80">
            <w:pPr>
              <w:pStyle w:val="TableText"/>
            </w:pPr>
            <w:r>
              <w:t>the importance of respecting people</w:t>
            </w:r>
            <w:r w:rsidR="00A13F65">
              <w:t>’</w:t>
            </w:r>
            <w:r>
              <w:t>s dignity, individualit</w:t>
            </w:r>
            <w:r w:rsidR="00A04D80">
              <w:t>y and cultural needs and values</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pPr>
            <w:r>
              <w:t>8</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pPr>
            <w:r>
              <w:t>informed consent, including people</w:t>
            </w:r>
            <w:r w:rsidR="00A13F65">
              <w:t>’</w:t>
            </w:r>
            <w:r>
              <w:t>s right to actively participate in decision-making on service delivery</w:t>
            </w:r>
          </w:p>
        </w:tc>
      </w:tr>
    </w:tbl>
    <w:p w:rsidR="0031381E" w:rsidRDefault="0031381E" w:rsidP="00A04D80"/>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4"/>
        <w:gridCol w:w="7546"/>
      </w:tblGrid>
      <w:tr w:rsidR="00A04D80" w:rsidRPr="00A04D80" w:rsidTr="00A04D80">
        <w:trPr>
          <w:cantSplit/>
        </w:trPr>
        <w:tc>
          <w:tcPr>
            <w:tcW w:w="8080" w:type="dxa"/>
            <w:gridSpan w:val="2"/>
            <w:tcBorders>
              <w:top w:val="nil"/>
              <w:left w:val="nil"/>
              <w:bottom w:val="nil"/>
              <w:right w:val="nil"/>
            </w:tcBorders>
            <w:shd w:val="clear" w:color="auto" w:fill="D9D9D9" w:themeFill="background1" w:themeFillShade="D9"/>
          </w:tcPr>
          <w:p w:rsidR="00A04D80" w:rsidRPr="00A04D80" w:rsidRDefault="00A04D80" w:rsidP="00A04D80">
            <w:pPr>
              <w:pStyle w:val="TableText"/>
              <w:keepNext/>
              <w:rPr>
                <w:b/>
              </w:rPr>
            </w:pPr>
            <w:r w:rsidRPr="00A04D80">
              <w:rPr>
                <w:b/>
              </w:rPr>
              <w:lastRenderedPageBreak/>
              <w:t>Practical</w:t>
            </w:r>
          </w:p>
        </w:tc>
      </w:tr>
      <w:tr w:rsidR="0031381E" w:rsidRPr="001E52E3" w:rsidTr="00A04D80">
        <w:trPr>
          <w:cantSplit/>
        </w:trPr>
        <w:tc>
          <w:tcPr>
            <w:tcW w:w="8080" w:type="dxa"/>
            <w:gridSpan w:val="2"/>
            <w:tcBorders>
              <w:top w:val="nil"/>
              <w:left w:val="nil"/>
              <w:bottom w:val="single" w:sz="4" w:space="0" w:color="A6A6A6" w:themeColor="background1" w:themeShade="A6"/>
              <w:right w:val="nil"/>
            </w:tcBorders>
            <w:shd w:val="clear" w:color="auto" w:fill="auto"/>
          </w:tcPr>
          <w:p w:rsidR="0031381E" w:rsidRPr="001E52E3" w:rsidRDefault="0031381E" w:rsidP="00A04D80">
            <w:pPr>
              <w:pStyle w:val="TableText"/>
              <w:keepNext/>
            </w:pPr>
            <w:r w:rsidRPr="001E52E3">
              <w:br w:type="page"/>
            </w:r>
            <w:r w:rsidRPr="00A13F65">
              <w:t xml:space="preserve">Under the observation of a RN (who has also completed a medication competency and has been deemed </w:t>
            </w:r>
            <w:r w:rsidR="00A13F65" w:rsidRPr="00A13F65">
              <w:t>‘</w:t>
            </w:r>
            <w:r w:rsidRPr="00A13F65">
              <w:t>competent</w:t>
            </w:r>
            <w:r w:rsidR="00A13F65" w:rsidRPr="00A13F65">
              <w:t>’</w:t>
            </w:r>
            <w:r w:rsidRPr="00A13F65">
              <w:t>) the HSW demonstrates that they are competent with:</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A13F65" w:rsidRDefault="0031381E" w:rsidP="00A04D80">
            <w:pPr>
              <w:pStyle w:val="TableText"/>
              <w:keepNext/>
            </w:pPr>
            <w:r w:rsidRPr="00A13F65">
              <w:t>1</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keepNext/>
            </w:pPr>
            <w:r w:rsidRPr="00A13F65">
              <w:t>obtaining consent and demonstrating awareness of a person</w:t>
            </w:r>
            <w:r w:rsidR="00A13F65" w:rsidRPr="00A13F65">
              <w:t>’</w:t>
            </w:r>
            <w:r w:rsidRPr="00A13F65">
              <w:t>s cultural values, privacy and personal circumstances</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keepNext/>
            </w:pPr>
            <w:r w:rsidRPr="001E52E3">
              <w:t>2</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A13F65" w:rsidRDefault="0031381E" w:rsidP="00A04D80">
            <w:pPr>
              <w:pStyle w:val="TableText"/>
              <w:keepNext/>
            </w:pPr>
            <w:r>
              <w:t>u</w:t>
            </w:r>
            <w:r w:rsidRPr="001E52E3">
              <w:t>nderstanding the person</w:t>
            </w:r>
            <w:r w:rsidR="00A13F65">
              <w:t>’</w:t>
            </w:r>
            <w:r w:rsidRPr="001E52E3">
              <w:t xml:space="preserve">s </w:t>
            </w:r>
            <w:r>
              <w:t>support plan</w:t>
            </w:r>
            <w:r w:rsidRPr="001E52E3">
              <w:t>/</w:t>
            </w:r>
            <w:r>
              <w:t>m</w:t>
            </w:r>
            <w:r w:rsidRPr="001E52E3">
              <w:t xml:space="preserve">edication </w:t>
            </w:r>
            <w:r>
              <w:t>o</w:t>
            </w:r>
            <w:r w:rsidRPr="001E52E3">
              <w:t>rde</w:t>
            </w:r>
            <w:r w:rsidR="00A04D80">
              <w:t>r requirements</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keepNext/>
            </w:pPr>
            <w:r w:rsidRPr="001E52E3">
              <w:t>3</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keepNext/>
            </w:pPr>
            <w:r w:rsidRPr="001E52E3">
              <w:t xml:space="preserve">appropriate </w:t>
            </w:r>
            <w:r>
              <w:t>i</w:t>
            </w:r>
            <w:r w:rsidRPr="001E52E3">
              <w:t xml:space="preserve">nfection </w:t>
            </w:r>
            <w:r>
              <w:t>prevention and c</w:t>
            </w:r>
            <w:r w:rsidRPr="001E52E3">
              <w:t>ontrol practice</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keepNext/>
            </w:pPr>
            <w:r w:rsidRPr="001E52E3">
              <w:t>4</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keepNext/>
            </w:pPr>
            <w:r>
              <w:t xml:space="preserve">applying </w:t>
            </w:r>
            <w:r w:rsidRPr="001E52E3">
              <w:t xml:space="preserve">the </w:t>
            </w:r>
            <w:r>
              <w:t>five + three</w:t>
            </w:r>
            <w:r w:rsidRPr="001E52E3">
              <w:t xml:space="preserve"> </w:t>
            </w:r>
            <w:proofErr w:type="spellStart"/>
            <w:r w:rsidRPr="001E52E3">
              <w:t>Rs</w:t>
            </w:r>
            <w:proofErr w:type="spellEnd"/>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keepNext/>
            </w:pPr>
            <w:r w:rsidRPr="001E52E3">
              <w:t>5</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keepNext/>
            </w:pPr>
            <w:r>
              <w:t>c</w:t>
            </w:r>
            <w:r w:rsidRPr="001E52E3">
              <w:t>orrect</w:t>
            </w:r>
            <w:r>
              <w:t>ly</w:t>
            </w:r>
            <w:r w:rsidRPr="001E52E3">
              <w:t xml:space="preserve"> document</w:t>
            </w:r>
            <w:r>
              <w:t>ing</w:t>
            </w:r>
            <w:r w:rsidRPr="001E52E3">
              <w:t xml:space="preserve"> </w:t>
            </w:r>
            <w:r>
              <w:t>medication support tasks</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A13F65" w:rsidRDefault="0031381E" w:rsidP="00A04D80">
            <w:pPr>
              <w:pStyle w:val="TableText"/>
            </w:pPr>
            <w:r w:rsidRPr="00A13F65">
              <w:t>6</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A13F65" w:rsidRDefault="0031381E" w:rsidP="00A04D80">
            <w:pPr>
              <w:pStyle w:val="TableText"/>
            </w:pPr>
            <w:r w:rsidRPr="00A13F65">
              <w:t>prompting/supervision and administration of:</w:t>
            </w:r>
          </w:p>
          <w:p w:rsidR="0031381E" w:rsidRPr="00A13F65" w:rsidRDefault="0031381E" w:rsidP="00A04D80">
            <w:pPr>
              <w:pStyle w:val="TableBullet"/>
            </w:pPr>
            <w:r w:rsidRPr="00A13F65">
              <w:t>oral medications (tablets and liquids)</w:t>
            </w:r>
          </w:p>
          <w:p w:rsidR="0031381E" w:rsidRPr="00A13F65" w:rsidRDefault="0031381E" w:rsidP="00A04D80">
            <w:pPr>
              <w:pStyle w:val="TableBullet"/>
            </w:pPr>
            <w:r w:rsidRPr="00A13F65">
              <w:t>eye drops/ointment</w:t>
            </w:r>
          </w:p>
          <w:p w:rsidR="0031381E" w:rsidRPr="00A13F65" w:rsidRDefault="0031381E" w:rsidP="00A04D80">
            <w:pPr>
              <w:pStyle w:val="TableBullet"/>
            </w:pPr>
            <w:r w:rsidRPr="00A13F65">
              <w:t>inhalers/nebulisers</w:t>
            </w:r>
          </w:p>
          <w:p w:rsidR="0031381E" w:rsidRPr="00A13F65" w:rsidRDefault="0031381E" w:rsidP="00A04D80">
            <w:pPr>
              <w:pStyle w:val="TableBullet"/>
            </w:pPr>
            <w:r w:rsidRPr="00A13F65">
              <w:t>ear drops</w:t>
            </w:r>
          </w:p>
          <w:p w:rsidR="0031381E" w:rsidRPr="00A13F65" w:rsidRDefault="0031381E" w:rsidP="00A04D80">
            <w:pPr>
              <w:pStyle w:val="TableBullet"/>
            </w:pPr>
            <w:r w:rsidRPr="00A13F65">
              <w:t>topical medications</w:t>
            </w:r>
          </w:p>
          <w:p w:rsidR="00A13F65" w:rsidRPr="00A13F65" w:rsidRDefault="0031381E" w:rsidP="00A04D80">
            <w:pPr>
              <w:pStyle w:val="TableBullet"/>
            </w:pPr>
            <w:r w:rsidRPr="00A13F65">
              <w:t>pessaries/suppositories</w:t>
            </w:r>
          </w:p>
          <w:p w:rsidR="00A13F65" w:rsidRPr="00A13F65" w:rsidRDefault="0031381E" w:rsidP="00A04D80">
            <w:pPr>
              <w:pStyle w:val="TableBullet"/>
            </w:pPr>
            <w:r w:rsidRPr="00A13F65">
              <w:t>enemas</w:t>
            </w:r>
          </w:p>
          <w:p w:rsidR="0031381E" w:rsidRPr="001E52E3" w:rsidRDefault="0031381E" w:rsidP="00A04D80">
            <w:pPr>
              <w:pStyle w:val="TableBullet"/>
              <w:rPr>
                <w:i/>
              </w:rPr>
            </w:pPr>
            <w:r w:rsidRPr="00A13F65">
              <w:t>pre-packaged medication</w:t>
            </w:r>
          </w:p>
        </w:tc>
      </w:tr>
      <w:tr w:rsidR="0031381E" w:rsidRPr="001E52E3" w:rsidTr="00A04D80">
        <w:trPr>
          <w:cantSplit/>
        </w:trPr>
        <w:tc>
          <w:tcPr>
            <w:tcW w:w="534"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pPr>
            <w:r w:rsidRPr="001E52E3">
              <w:t>7</w:t>
            </w:r>
          </w:p>
        </w:tc>
        <w:tc>
          <w:tcPr>
            <w:tcW w:w="7546" w:type="dxa"/>
            <w:tcBorders>
              <w:top w:val="single" w:sz="4" w:space="0" w:color="A6A6A6" w:themeColor="background1" w:themeShade="A6"/>
              <w:left w:val="nil"/>
              <w:bottom w:val="single" w:sz="4" w:space="0" w:color="A6A6A6" w:themeColor="background1" w:themeShade="A6"/>
              <w:right w:val="nil"/>
            </w:tcBorders>
            <w:shd w:val="clear" w:color="auto" w:fill="auto"/>
          </w:tcPr>
          <w:p w:rsidR="0031381E" w:rsidRPr="001E52E3" w:rsidRDefault="0031381E" w:rsidP="00A04D80">
            <w:pPr>
              <w:pStyle w:val="TableText"/>
            </w:pPr>
            <w:r w:rsidRPr="001E52E3">
              <w:t>safe storage of medications</w:t>
            </w:r>
          </w:p>
        </w:tc>
      </w:tr>
    </w:tbl>
    <w:p w:rsidR="0031381E" w:rsidRDefault="0031381E" w:rsidP="00A04D80"/>
    <w:p w:rsidR="00A13F65" w:rsidRDefault="0031381E" w:rsidP="00C50F0A">
      <w:pPr>
        <w:pStyle w:val="Heading1"/>
        <w:ind w:left="851" w:hanging="851"/>
      </w:pPr>
      <w:bookmarkStart w:id="11" w:name="_Toc2771071"/>
      <w:bookmarkStart w:id="12" w:name="_Toc2771779"/>
      <w:bookmarkStart w:id="13" w:name="_Toc7782223"/>
      <w:r w:rsidRPr="00FB0A48">
        <w:lastRenderedPageBreak/>
        <w:t>4</w:t>
      </w:r>
      <w:r w:rsidRPr="00FB0A48">
        <w:tab/>
        <w:t>Documentation</w:t>
      </w:r>
      <w:bookmarkEnd w:id="11"/>
      <w:bookmarkEnd w:id="12"/>
      <w:bookmarkEnd w:id="13"/>
    </w:p>
    <w:p w:rsidR="00A13F65" w:rsidRDefault="0031381E" w:rsidP="00C50F0A">
      <w:r>
        <w:t>Home and community support services providers are responsible for implementing policies and processes that outline clear and concise documentation of people</w:t>
      </w:r>
      <w:r w:rsidR="00A13F65">
        <w:t>’</w:t>
      </w:r>
      <w:r>
        <w:t>s medication support needs.</w:t>
      </w:r>
    </w:p>
    <w:p w:rsidR="0031381E" w:rsidRPr="00A455BB" w:rsidRDefault="0031381E" w:rsidP="00C50F0A"/>
    <w:p w:rsidR="0031381E" w:rsidRPr="006640C3" w:rsidRDefault="0031381E" w:rsidP="00C50F0A">
      <w:pPr>
        <w:pStyle w:val="Heading2"/>
      </w:pPr>
      <w:bookmarkStart w:id="14" w:name="_Toc2771072"/>
      <w:bookmarkStart w:id="15" w:name="_Toc2771780"/>
      <w:bookmarkStart w:id="16" w:name="_Toc7782224"/>
      <w:r>
        <w:t>4.1</w:t>
      </w:r>
      <w:r>
        <w:tab/>
      </w:r>
      <w:r w:rsidRPr="006640C3">
        <w:t xml:space="preserve">Medication </w:t>
      </w:r>
      <w:r>
        <w:t>o</w:t>
      </w:r>
      <w:r w:rsidRPr="006640C3">
        <w:t>rders</w:t>
      </w:r>
      <w:bookmarkEnd w:id="14"/>
      <w:bookmarkEnd w:id="15"/>
      <w:bookmarkEnd w:id="16"/>
    </w:p>
    <w:p w:rsidR="00A13F65" w:rsidRDefault="0031381E" w:rsidP="00C50F0A">
      <w:r w:rsidRPr="00A455BB">
        <w:t xml:space="preserve">The </w:t>
      </w:r>
      <w:r w:rsidRPr="00CC3324">
        <w:t>Medicines Act 1981 Section</w:t>
      </w:r>
      <w:r w:rsidRPr="00A455BB">
        <w:t xml:space="preserve"> 19 state</w:t>
      </w:r>
      <w:r>
        <w:t xml:space="preserve">s that a prescription medicine may only </w:t>
      </w:r>
      <w:r w:rsidRPr="00A455BB">
        <w:t>be administered to a person in accordance with the directions of the authorised prescriber or delegated</w:t>
      </w:r>
      <w:r>
        <w:t xml:space="preserve"> </w:t>
      </w:r>
      <w:r w:rsidRPr="00A455BB">
        <w:t xml:space="preserve">prescriber </w:t>
      </w:r>
      <w:r>
        <w:t>of</w:t>
      </w:r>
      <w:r w:rsidRPr="00A455BB">
        <w:t xml:space="preserve"> the medicine.</w:t>
      </w:r>
      <w:r>
        <w:rPr>
          <w:noProof/>
        </w:rPr>
        <w:t xml:space="preserve"> </w:t>
      </w:r>
      <w:r>
        <w:t>Any</w:t>
      </w:r>
      <w:r w:rsidRPr="00A455BB">
        <w:t xml:space="preserve"> person who</w:t>
      </w:r>
      <w:r>
        <w:t>se</w:t>
      </w:r>
      <w:r w:rsidRPr="00A455BB">
        <w:t xml:space="preserve"> </w:t>
      </w:r>
      <w:r>
        <w:t>medication support category is A</w:t>
      </w:r>
      <w:r w:rsidRPr="00A455BB">
        <w:t xml:space="preserve">dministration </w:t>
      </w:r>
      <w:r>
        <w:t xml:space="preserve">or Prompting/supervision </w:t>
      </w:r>
      <w:r w:rsidRPr="00A455BB">
        <w:t>requires a signed medication order.</w:t>
      </w:r>
    </w:p>
    <w:p w:rsidR="0031381E" w:rsidRDefault="0031381E" w:rsidP="00C50F0A"/>
    <w:p w:rsidR="0031381E" w:rsidRPr="00D97B11" w:rsidRDefault="0031381E" w:rsidP="00C50F0A">
      <w:pPr>
        <w:pStyle w:val="Heading3"/>
      </w:pPr>
      <w:r>
        <w:t>4.1.1</w:t>
      </w:r>
      <w:r>
        <w:tab/>
        <w:t xml:space="preserve">Pro re </w:t>
      </w:r>
      <w:proofErr w:type="spellStart"/>
      <w:r>
        <w:t>nata</w:t>
      </w:r>
      <w:proofErr w:type="spellEnd"/>
      <w:r>
        <w:t xml:space="preserve"> or </w:t>
      </w:r>
      <w:r w:rsidR="00A13F65">
        <w:t>‘</w:t>
      </w:r>
      <w:r>
        <w:t>as needed</w:t>
      </w:r>
      <w:r w:rsidR="00A13F65">
        <w:t>’</w:t>
      </w:r>
      <w:r>
        <w:t xml:space="preserve"> medications</w:t>
      </w:r>
    </w:p>
    <w:p w:rsidR="00A13F65" w:rsidRDefault="0031381E" w:rsidP="00C50F0A">
      <w:r>
        <w:t>The medication order</w:t>
      </w:r>
      <w:r w:rsidRPr="00A455BB">
        <w:t xml:space="preserve"> may include </w:t>
      </w:r>
      <w:r>
        <w:t xml:space="preserve">pro re </w:t>
      </w:r>
      <w:proofErr w:type="spellStart"/>
      <w:r>
        <w:t>nata</w:t>
      </w:r>
      <w:proofErr w:type="spellEnd"/>
      <w:r>
        <w:t xml:space="preserve"> (PRN) or </w:t>
      </w:r>
      <w:r w:rsidR="00A13F65">
        <w:t>‘</w:t>
      </w:r>
      <w:r>
        <w:t>as needed</w:t>
      </w:r>
      <w:r w:rsidR="00A13F65">
        <w:t>’</w:t>
      </w:r>
      <w:r>
        <w:t xml:space="preserve"> medication</w:t>
      </w:r>
      <w:r w:rsidRPr="00A455BB">
        <w:t xml:space="preserve">. If </w:t>
      </w:r>
      <w:r w:rsidR="00A13F65">
        <w:t>‘</w:t>
      </w:r>
      <w:r w:rsidRPr="00A455BB">
        <w:t>as needed</w:t>
      </w:r>
      <w:r w:rsidR="00A13F65">
        <w:t>’</w:t>
      </w:r>
      <w:r w:rsidRPr="00A455BB">
        <w:t xml:space="preserve"> medic</w:t>
      </w:r>
      <w:r>
        <w:t>ation is</w:t>
      </w:r>
      <w:r w:rsidRPr="00A455BB">
        <w:t xml:space="preserve"> </w:t>
      </w:r>
      <w:r>
        <w:t>prescribed,</w:t>
      </w:r>
      <w:r w:rsidRPr="00A455BB">
        <w:t xml:space="preserve"> the </w:t>
      </w:r>
      <w:r>
        <w:t xml:space="preserve">designated prescriber </w:t>
      </w:r>
      <w:r w:rsidRPr="00A455BB">
        <w:t>must include clear instructions</w:t>
      </w:r>
      <w:r>
        <w:t xml:space="preserve">. These may include: recognising </w:t>
      </w:r>
      <w:r w:rsidRPr="00A455BB">
        <w:t xml:space="preserve">specific symptoms </w:t>
      </w:r>
      <w:r>
        <w:t xml:space="preserve">that suggest </w:t>
      </w:r>
      <w:r w:rsidRPr="00A455BB">
        <w:t>medication</w:t>
      </w:r>
      <w:r>
        <w:t xml:space="preserve"> is needed</w:t>
      </w:r>
      <w:r w:rsidRPr="00A455BB">
        <w:t>, the frequency</w:t>
      </w:r>
      <w:r>
        <w:t xml:space="preserve"> of doses, the minimum time between doses,</w:t>
      </w:r>
      <w:r w:rsidRPr="00A455BB">
        <w:t xml:space="preserve"> </w:t>
      </w:r>
      <w:r>
        <w:t xml:space="preserve">the </w:t>
      </w:r>
      <w:r w:rsidRPr="00A455BB">
        <w:t xml:space="preserve">dose range and the </w:t>
      </w:r>
      <w:r>
        <w:t>maximum dose allowed in 24 hours.</w:t>
      </w:r>
    </w:p>
    <w:p w:rsidR="0031381E" w:rsidRDefault="0031381E" w:rsidP="00C50F0A"/>
    <w:p w:rsidR="00A13F65" w:rsidRDefault="0031381E" w:rsidP="00C50F0A">
      <w:r w:rsidRPr="007B744B">
        <w:rPr>
          <w:b/>
        </w:rPr>
        <w:t>Note:</w:t>
      </w:r>
      <w:r w:rsidRPr="007B744B">
        <w:t xml:space="preserve"> </w:t>
      </w:r>
      <w:r>
        <w:t xml:space="preserve">Registered nurses may need to </w:t>
      </w:r>
      <w:r w:rsidRPr="007B744B">
        <w:t xml:space="preserve">monitor the use of </w:t>
      </w:r>
      <w:r w:rsidR="00A13F65">
        <w:t>‘</w:t>
      </w:r>
      <w:r w:rsidRPr="007B744B">
        <w:t>as needed</w:t>
      </w:r>
      <w:r w:rsidR="00A13F65">
        <w:t>’</w:t>
      </w:r>
      <w:r w:rsidRPr="007B744B">
        <w:t xml:space="preserve"> medication </w:t>
      </w:r>
      <w:r>
        <w:t>in individual cases to determine whether the prescriber needs to review the m</w:t>
      </w:r>
      <w:r w:rsidRPr="007B744B">
        <w:t>edic</w:t>
      </w:r>
      <w:r>
        <w:t>ation o</w:t>
      </w:r>
      <w:r w:rsidRPr="007B744B">
        <w:t>rder.</w:t>
      </w:r>
    </w:p>
    <w:p w:rsidR="0031381E" w:rsidRDefault="0031381E" w:rsidP="00C50F0A"/>
    <w:p w:rsidR="00A13F65" w:rsidRDefault="0031381E" w:rsidP="00C50F0A">
      <w:pPr>
        <w:pStyle w:val="Heading3"/>
      </w:pPr>
      <w:r>
        <w:t>4.1.2</w:t>
      </w:r>
      <w:r>
        <w:tab/>
      </w:r>
      <w:r w:rsidRPr="00A455BB">
        <w:t xml:space="preserve">Medication </w:t>
      </w:r>
      <w:r>
        <w:t>a</w:t>
      </w:r>
      <w:r w:rsidRPr="00A455BB">
        <w:t xml:space="preserve">dministration </w:t>
      </w:r>
      <w:r>
        <w:t>record</w:t>
      </w:r>
    </w:p>
    <w:p w:rsidR="0031381E" w:rsidRPr="00A455BB" w:rsidRDefault="0031381E" w:rsidP="00C50F0A">
      <w:r>
        <w:t>A medication administration record (MAR)</w:t>
      </w:r>
      <w:r w:rsidRPr="00A455BB">
        <w:t xml:space="preserve"> </w:t>
      </w:r>
      <w:r>
        <w:t>is</w:t>
      </w:r>
      <w:r w:rsidRPr="00A455BB">
        <w:t xml:space="preserve"> used to </w:t>
      </w:r>
      <w:r>
        <w:t>document that a prescribed medication</w:t>
      </w:r>
      <w:r w:rsidRPr="00A455BB">
        <w:t xml:space="preserve"> has been administered to a person. </w:t>
      </w:r>
      <w:r>
        <w:t>Documentation on t</w:t>
      </w:r>
      <w:r w:rsidRPr="00A455BB">
        <w:t xml:space="preserve">he </w:t>
      </w:r>
      <w:r>
        <w:t>MAR must include the</w:t>
      </w:r>
      <w:r w:rsidRPr="00A455BB">
        <w:t xml:space="preserve"> following:</w:t>
      </w:r>
    </w:p>
    <w:p w:rsidR="00A13F65" w:rsidRDefault="0031381E" w:rsidP="00C50F0A">
      <w:pPr>
        <w:pStyle w:val="Bullet"/>
      </w:pPr>
      <w:r>
        <w:t xml:space="preserve">the date and </w:t>
      </w:r>
      <w:r w:rsidRPr="00A455BB">
        <w:t>time the medication was given</w:t>
      </w:r>
    </w:p>
    <w:p w:rsidR="0031381E" w:rsidRDefault="0031381E" w:rsidP="00C50F0A">
      <w:pPr>
        <w:pStyle w:val="Bullet"/>
      </w:pPr>
      <w:r>
        <w:t>the d</w:t>
      </w:r>
      <w:r w:rsidRPr="00A455BB">
        <w:t xml:space="preserve">ose </w:t>
      </w:r>
      <w:r>
        <w:t>given</w:t>
      </w:r>
      <w:r w:rsidRPr="00A455BB">
        <w:t xml:space="preserve"> </w:t>
      </w:r>
      <w:r>
        <w:t>(only for non-packaged medication)</w:t>
      </w:r>
    </w:p>
    <w:p w:rsidR="0031381E" w:rsidRPr="00A455BB" w:rsidRDefault="0031381E" w:rsidP="00C50F0A">
      <w:pPr>
        <w:pStyle w:val="Bullet"/>
      </w:pPr>
      <w:proofErr w:type="gramStart"/>
      <w:r>
        <w:t>the</w:t>
      </w:r>
      <w:proofErr w:type="gramEnd"/>
      <w:r>
        <w:t xml:space="preserve"> signature or initials, name, and designation of the staff member administering the medication.</w:t>
      </w:r>
    </w:p>
    <w:p w:rsidR="0031381E" w:rsidRDefault="0031381E" w:rsidP="00C50F0A"/>
    <w:p w:rsidR="00A13F65" w:rsidRDefault="0031381E" w:rsidP="00C50F0A">
      <w:pPr>
        <w:pStyle w:val="Heading2"/>
      </w:pPr>
      <w:bookmarkStart w:id="17" w:name="_Toc2771073"/>
      <w:bookmarkStart w:id="18" w:name="_Toc2771781"/>
      <w:bookmarkStart w:id="19" w:name="_Toc7782225"/>
      <w:r w:rsidRPr="00A455BB">
        <w:lastRenderedPageBreak/>
        <w:t>4.2</w:t>
      </w:r>
      <w:r w:rsidRPr="00A455BB">
        <w:tab/>
      </w:r>
      <w:r>
        <w:t>Medication errors</w:t>
      </w:r>
      <w:bookmarkEnd w:id="17"/>
      <w:bookmarkEnd w:id="18"/>
      <w:bookmarkEnd w:id="19"/>
    </w:p>
    <w:p w:rsidR="0031381E" w:rsidRDefault="0031381E" w:rsidP="00C50F0A">
      <w:r>
        <w:t xml:space="preserve">Providers must implement organisation-wide procedures for detecting, documenting, reporting and analysing medication errors, to improve the system and reduce the likelihood of repeating errors. The procedure must document the </w:t>
      </w:r>
      <w:r w:rsidRPr="00A455BB">
        <w:t xml:space="preserve">steps </w:t>
      </w:r>
      <w:r>
        <w:t xml:space="preserve">to be followed (including open disclosure, reporting, and quality-improvement processes) when </w:t>
      </w:r>
      <w:r w:rsidRPr="00A455BB">
        <w:t>medication error</w:t>
      </w:r>
      <w:r>
        <w:t>s occur.</w:t>
      </w:r>
    </w:p>
    <w:p w:rsidR="0031381E" w:rsidRDefault="0031381E" w:rsidP="00C50F0A"/>
    <w:p w:rsidR="0031381E" w:rsidRPr="00A455BB" w:rsidRDefault="0031381E" w:rsidP="00C50F0A">
      <w:r>
        <w:t xml:space="preserve">The term </w:t>
      </w:r>
      <w:r w:rsidR="00A13F65">
        <w:t>‘</w:t>
      </w:r>
      <w:r>
        <w:t>error</w:t>
      </w:r>
      <w:r w:rsidR="00A13F65">
        <w:t>’</w:t>
      </w:r>
      <w:r>
        <w:t xml:space="preserve"> refers to a</w:t>
      </w:r>
      <w:r w:rsidRPr="00A455BB">
        <w:t xml:space="preserve"> person </w:t>
      </w:r>
      <w:r>
        <w:t>taking</w:t>
      </w:r>
      <w:r w:rsidRPr="00A455BB">
        <w:t xml:space="preserve"> </w:t>
      </w:r>
      <w:r>
        <w:t>or being given:</w:t>
      </w:r>
    </w:p>
    <w:p w:rsidR="0031381E" w:rsidRPr="00A455BB" w:rsidRDefault="0031381E" w:rsidP="00C50F0A">
      <w:pPr>
        <w:pStyle w:val="Bullet"/>
      </w:pPr>
      <w:r>
        <w:t>th</w:t>
      </w:r>
      <w:r w:rsidRPr="00A455BB">
        <w:t>e wrong medic</w:t>
      </w:r>
      <w:r>
        <w:t>ation</w:t>
      </w:r>
    </w:p>
    <w:p w:rsidR="0031381E" w:rsidRDefault="0031381E" w:rsidP="00C50F0A">
      <w:pPr>
        <w:pStyle w:val="Bullet"/>
      </w:pPr>
      <w:r>
        <w:t>m</w:t>
      </w:r>
      <w:r w:rsidRPr="00A455BB">
        <w:t>edic</w:t>
      </w:r>
      <w:r>
        <w:t xml:space="preserve">ation at </w:t>
      </w:r>
      <w:r w:rsidRPr="00A455BB">
        <w:t>the wrong dose</w:t>
      </w:r>
    </w:p>
    <w:p w:rsidR="00A13F65" w:rsidRDefault="0031381E" w:rsidP="00C50F0A">
      <w:pPr>
        <w:pStyle w:val="Bullet"/>
      </w:pPr>
      <w:r>
        <w:t>m</w:t>
      </w:r>
      <w:r w:rsidRPr="00AE59B2" w:rsidDel="00D73E3D">
        <w:t>edication at the wrong time</w:t>
      </w:r>
    </w:p>
    <w:p w:rsidR="00A13F65" w:rsidRDefault="0031381E" w:rsidP="00C50F0A">
      <w:pPr>
        <w:pStyle w:val="Bullet"/>
      </w:pPr>
      <w:r>
        <w:t>m</w:t>
      </w:r>
      <w:r w:rsidRPr="00A455BB">
        <w:t>edic</w:t>
      </w:r>
      <w:r>
        <w:t xml:space="preserve">ation via </w:t>
      </w:r>
      <w:r w:rsidRPr="00A455BB">
        <w:t>the wrong route</w:t>
      </w:r>
    </w:p>
    <w:p w:rsidR="0031381E" w:rsidRPr="00AE59B2" w:rsidRDefault="0031381E" w:rsidP="00C50F0A">
      <w:pPr>
        <w:spacing w:before="90"/>
      </w:pPr>
      <w:proofErr w:type="gramStart"/>
      <w:r>
        <w:t>o</w:t>
      </w:r>
      <w:r w:rsidRPr="00AE59B2">
        <w:t>r</w:t>
      </w:r>
      <w:proofErr w:type="gramEnd"/>
      <w:r w:rsidRPr="00AE59B2">
        <w:t xml:space="preserve"> not </w:t>
      </w:r>
      <w:r>
        <w:t xml:space="preserve">receiving </w:t>
      </w:r>
      <w:r w:rsidRPr="00AE59B2">
        <w:t>the medication at all</w:t>
      </w:r>
      <w:r>
        <w:t>.</w:t>
      </w:r>
    </w:p>
    <w:p w:rsidR="0031381E" w:rsidRDefault="0031381E" w:rsidP="00C50F0A"/>
    <w:p w:rsidR="00A13F65" w:rsidRDefault="0031381E" w:rsidP="00C50F0A">
      <w:pPr>
        <w:pStyle w:val="Heading3"/>
      </w:pPr>
      <w:r>
        <w:t>4.2.1</w:t>
      </w:r>
      <w:r>
        <w:tab/>
        <w:t>Detection of errors</w:t>
      </w:r>
    </w:p>
    <w:p w:rsidR="00A13F65" w:rsidRDefault="0031381E" w:rsidP="00C50F0A">
      <w:r>
        <w:t>Medication errors</w:t>
      </w:r>
      <w:r w:rsidRPr="00A455BB">
        <w:t xml:space="preserve"> </w:t>
      </w:r>
      <w:r>
        <w:t>may</w:t>
      </w:r>
      <w:r w:rsidRPr="00A455BB">
        <w:t xml:space="preserve"> be detected by </w:t>
      </w:r>
      <w:r>
        <w:t xml:space="preserve">a staff member prompting, supervising or administering the medication, by the </w:t>
      </w:r>
      <w:r w:rsidRPr="00A455BB">
        <w:t xml:space="preserve">next </w:t>
      </w:r>
      <w:r>
        <w:t xml:space="preserve">staff member to visit the person </w:t>
      </w:r>
      <w:r w:rsidRPr="00A455BB">
        <w:t xml:space="preserve">or </w:t>
      </w:r>
      <w:r>
        <w:t xml:space="preserve">by </w:t>
      </w:r>
      <w:r w:rsidRPr="00A455BB">
        <w:t xml:space="preserve">the </w:t>
      </w:r>
      <w:r>
        <w:t>RN</w:t>
      </w:r>
      <w:r w:rsidRPr="00A455BB">
        <w:t xml:space="preserve"> who checks the completed sheet</w:t>
      </w:r>
      <w:r>
        <w:t>. Additionally, the person, or a family/wh</w:t>
      </w:r>
      <w:r w:rsidRPr="000B7B2D">
        <w:t>ā</w:t>
      </w:r>
      <w:r>
        <w:t>nau member or friend, may detect an error.</w:t>
      </w:r>
    </w:p>
    <w:p w:rsidR="0031381E" w:rsidRDefault="0031381E" w:rsidP="00C50F0A"/>
    <w:p w:rsidR="00A13F65" w:rsidRDefault="0031381E" w:rsidP="00C50F0A">
      <w:r>
        <w:t>Detection of errors can occur</w:t>
      </w:r>
      <w:r w:rsidRPr="00A455BB">
        <w:t xml:space="preserve"> </w:t>
      </w:r>
      <w:r>
        <w:t>at any time including:</w:t>
      </w:r>
    </w:p>
    <w:p w:rsidR="0031381E" w:rsidRPr="00A455BB" w:rsidRDefault="0031381E" w:rsidP="00C50F0A">
      <w:pPr>
        <w:pStyle w:val="Bullet"/>
      </w:pPr>
      <w:r>
        <w:t>the m</w:t>
      </w:r>
      <w:r w:rsidRPr="00A455BB">
        <w:t xml:space="preserve">edication </w:t>
      </w:r>
      <w:r>
        <w:t>o</w:t>
      </w:r>
      <w:r w:rsidRPr="00A455BB">
        <w:t>rder is completed</w:t>
      </w:r>
      <w:r>
        <w:t xml:space="preserve"> </w:t>
      </w:r>
      <w:r w:rsidRPr="00A455BB">
        <w:t>by the prescriber</w:t>
      </w:r>
    </w:p>
    <w:p w:rsidR="0031381E" w:rsidRPr="00A455BB" w:rsidRDefault="0031381E" w:rsidP="00C50F0A">
      <w:pPr>
        <w:pStyle w:val="Bullet"/>
      </w:pPr>
      <w:r>
        <w:t xml:space="preserve">the medication </w:t>
      </w:r>
      <w:r w:rsidRPr="00A455BB">
        <w:t xml:space="preserve">is dispensed </w:t>
      </w:r>
      <w:r>
        <w:t>at</w:t>
      </w:r>
      <w:r w:rsidRPr="00A455BB">
        <w:t xml:space="preserve"> the pharmacy</w:t>
      </w:r>
    </w:p>
    <w:p w:rsidR="0031381E" w:rsidRDefault="0031381E" w:rsidP="00C50F0A">
      <w:pPr>
        <w:pStyle w:val="Bullet"/>
      </w:pPr>
      <w:r>
        <w:t>the medication</w:t>
      </w:r>
      <w:r w:rsidRPr="00A455BB">
        <w:t xml:space="preserve">s are checked against the </w:t>
      </w:r>
      <w:r>
        <w:t>m</w:t>
      </w:r>
      <w:r w:rsidRPr="00A455BB">
        <w:t>edication</w:t>
      </w:r>
      <w:r>
        <w:t xml:space="preserve"> order prior to administration</w:t>
      </w:r>
    </w:p>
    <w:p w:rsidR="0031381E" w:rsidRPr="00A455BB" w:rsidRDefault="0031381E" w:rsidP="00C50F0A">
      <w:pPr>
        <w:pStyle w:val="Bullet"/>
      </w:pPr>
      <w:proofErr w:type="gramStart"/>
      <w:r w:rsidRPr="00A455BB">
        <w:t>the</w:t>
      </w:r>
      <w:proofErr w:type="gramEnd"/>
      <w:r w:rsidRPr="00A455BB">
        <w:t xml:space="preserve"> </w:t>
      </w:r>
      <w:r>
        <w:t>MAR is signed</w:t>
      </w:r>
      <w:r w:rsidR="00C50F0A">
        <w:t>.</w:t>
      </w:r>
    </w:p>
    <w:p w:rsidR="0031381E" w:rsidRDefault="0031381E" w:rsidP="00C50F0A"/>
    <w:p w:rsidR="00A13F65" w:rsidRDefault="0031381E" w:rsidP="00C50F0A">
      <w:pPr>
        <w:pStyle w:val="Heading3"/>
      </w:pPr>
      <w:r>
        <w:t>4.2.2</w:t>
      </w:r>
      <w:r>
        <w:tab/>
        <w:t>Mitigating errors</w:t>
      </w:r>
    </w:p>
    <w:p w:rsidR="00A13F65" w:rsidRDefault="0031381E" w:rsidP="00C50F0A">
      <w:r>
        <w:t>In circumstances where there is more than one person requiring medication administration living in the same house, the provider must have a system in place to ensure that staff check people</w:t>
      </w:r>
      <w:r w:rsidR="00A13F65">
        <w:t>’</w:t>
      </w:r>
      <w:r>
        <w:t>s identities prior to having their medications administered.</w:t>
      </w:r>
    </w:p>
    <w:p w:rsidR="0031381E" w:rsidRDefault="0031381E" w:rsidP="00C50F0A"/>
    <w:p w:rsidR="0031381E" w:rsidRPr="00D97B11" w:rsidRDefault="0031381E" w:rsidP="00C50F0A">
      <w:r>
        <w:rPr>
          <w:b/>
          <w:bCs/>
        </w:rPr>
        <w:t>Note</w:t>
      </w:r>
      <w:r w:rsidRPr="00D97B11">
        <w:rPr>
          <w:b/>
          <w:bCs/>
        </w:rPr>
        <w:t>:</w:t>
      </w:r>
      <w:r w:rsidRPr="00D97B11">
        <w:rPr>
          <w:bCs/>
        </w:rPr>
        <w:t xml:space="preserve"> </w:t>
      </w:r>
      <w:r>
        <w:rPr>
          <w:bCs/>
        </w:rPr>
        <w:t>Providers could make use of p</w:t>
      </w:r>
      <w:r w:rsidRPr="00D97B11">
        <w:rPr>
          <w:bCs/>
        </w:rPr>
        <w:t xml:space="preserve">hotographs </w:t>
      </w:r>
      <w:r w:rsidRPr="00D97B11">
        <w:t xml:space="preserve">where circumstances require identification of </w:t>
      </w:r>
      <w:r>
        <w:t xml:space="preserve">a </w:t>
      </w:r>
      <w:r w:rsidRPr="00D97B11">
        <w:t>person prior to medication administration.</w:t>
      </w:r>
    </w:p>
    <w:p w:rsidR="0031381E" w:rsidRPr="00A455BB" w:rsidRDefault="0031381E" w:rsidP="00C50F0A"/>
    <w:p w:rsidR="0031381E" w:rsidRPr="00E677A1" w:rsidRDefault="0031381E" w:rsidP="00C50F0A">
      <w:pPr>
        <w:pStyle w:val="Heading2"/>
      </w:pPr>
      <w:bookmarkStart w:id="20" w:name="_Toc2771074"/>
      <w:bookmarkStart w:id="21" w:name="_Toc2771782"/>
      <w:bookmarkStart w:id="22" w:name="_Toc7782226"/>
      <w:r>
        <w:lastRenderedPageBreak/>
        <w:t>4</w:t>
      </w:r>
      <w:r w:rsidRPr="00E677A1">
        <w:t>.3</w:t>
      </w:r>
      <w:r w:rsidRPr="00E677A1">
        <w:tab/>
        <w:t>Medication not administered</w:t>
      </w:r>
      <w:bookmarkEnd w:id="20"/>
      <w:bookmarkEnd w:id="21"/>
      <w:bookmarkEnd w:id="22"/>
    </w:p>
    <w:p w:rsidR="0031381E" w:rsidRDefault="0031381E" w:rsidP="00C50F0A">
      <w:pPr>
        <w:keepNext/>
      </w:pPr>
      <w:r>
        <w:t>Reasons for medication not being administered may include:</w:t>
      </w:r>
    </w:p>
    <w:p w:rsidR="00A13F65" w:rsidRDefault="0031381E" w:rsidP="00C50F0A">
      <w:pPr>
        <w:pStyle w:val="Bullet"/>
      </w:pPr>
      <w:r>
        <w:t>the person not being available</w:t>
      </w:r>
    </w:p>
    <w:p w:rsidR="0031381E" w:rsidRDefault="0031381E" w:rsidP="00C50F0A">
      <w:pPr>
        <w:pStyle w:val="Bullet"/>
      </w:pPr>
      <w:r>
        <w:t>medication being dropped or spilt</w:t>
      </w:r>
    </w:p>
    <w:p w:rsidR="0031381E" w:rsidRDefault="0031381E" w:rsidP="00C50F0A">
      <w:pPr>
        <w:pStyle w:val="Bullet"/>
      </w:pPr>
      <w:r>
        <w:t>medication missing</w:t>
      </w:r>
    </w:p>
    <w:p w:rsidR="00A13F65" w:rsidRDefault="0031381E" w:rsidP="00C50F0A">
      <w:pPr>
        <w:pStyle w:val="Bullet"/>
      </w:pPr>
      <w:r>
        <w:t>the person refusing medication</w:t>
      </w:r>
    </w:p>
    <w:p w:rsidR="0031381E" w:rsidRDefault="0031381E" w:rsidP="00C50F0A">
      <w:pPr>
        <w:pStyle w:val="Bullet"/>
      </w:pPr>
      <w:r>
        <w:t>medication expired</w:t>
      </w:r>
    </w:p>
    <w:p w:rsidR="0031381E" w:rsidRDefault="0031381E" w:rsidP="00C50F0A">
      <w:pPr>
        <w:pStyle w:val="Bullet"/>
      </w:pPr>
      <w:r>
        <w:t>medication being stopped/withheld by the prescriber</w:t>
      </w:r>
    </w:p>
    <w:p w:rsidR="00A13F65" w:rsidRDefault="0031381E" w:rsidP="00C50F0A">
      <w:pPr>
        <w:pStyle w:val="Bullet"/>
      </w:pPr>
      <w:proofErr w:type="gramStart"/>
      <w:r>
        <w:t>medication</w:t>
      </w:r>
      <w:proofErr w:type="gramEnd"/>
      <w:r>
        <w:t xml:space="preserve"> being stopped/withheld on advice from an RN.</w:t>
      </w:r>
    </w:p>
    <w:p w:rsidR="0031381E" w:rsidRPr="00247159" w:rsidRDefault="0031381E" w:rsidP="00C50F0A"/>
    <w:p w:rsidR="00A13F65" w:rsidRDefault="0031381E" w:rsidP="00C50F0A">
      <w:r w:rsidRPr="00247159">
        <w:t>A process must be developed to guide staff when medication has not been administered. The process must include</w:t>
      </w:r>
      <w:r>
        <w:t xml:space="preserve"> documenting the non-administration, </w:t>
      </w:r>
      <w:r w:rsidRPr="00247159">
        <w:t xml:space="preserve">informing the responsible </w:t>
      </w:r>
      <w:r>
        <w:t>RN</w:t>
      </w:r>
      <w:r w:rsidRPr="00247159">
        <w:t xml:space="preserve"> of the incident and taking advice to ensure the safety of the person.</w:t>
      </w:r>
    </w:p>
    <w:p w:rsidR="00C50F0A" w:rsidRDefault="00C50F0A" w:rsidP="00C50F0A"/>
    <w:p w:rsidR="00A13F65" w:rsidRDefault="0031381E" w:rsidP="006E252C">
      <w:pPr>
        <w:pStyle w:val="Heading1"/>
        <w:ind w:left="851" w:hanging="851"/>
      </w:pPr>
      <w:bookmarkStart w:id="23" w:name="_Toc2771075"/>
      <w:bookmarkStart w:id="24" w:name="_Toc2771783"/>
      <w:bookmarkStart w:id="25" w:name="_Toc7782227"/>
      <w:r>
        <w:lastRenderedPageBreak/>
        <w:t>5</w:t>
      </w:r>
      <w:r w:rsidRPr="006640C3">
        <w:tab/>
        <w:t>Adverse reactions</w:t>
      </w:r>
      <w:bookmarkEnd w:id="23"/>
      <w:bookmarkEnd w:id="24"/>
      <w:bookmarkEnd w:id="25"/>
    </w:p>
    <w:p w:rsidR="0031381E" w:rsidRDefault="0031381E" w:rsidP="00C50F0A">
      <w:r>
        <w:t xml:space="preserve">The World Health Organization definition of an </w:t>
      </w:r>
      <w:r w:rsidR="00A13F65">
        <w:t>‘</w:t>
      </w:r>
      <w:r>
        <w:t>adverse drug reaction</w:t>
      </w:r>
      <w:r w:rsidR="00A13F65">
        <w:t>’</w:t>
      </w:r>
      <w:r>
        <w:t xml:space="preserve"> is </w:t>
      </w:r>
      <w:r w:rsidR="00A13F65">
        <w:t>‘</w:t>
      </w:r>
      <w:r w:rsidRPr="000E2A66">
        <w:t>A response to a drug which is noxious and unintended, and which occurs at doses normally used in man</w:t>
      </w:r>
      <w:r w:rsidR="00A13F65">
        <w:t>’</w:t>
      </w:r>
      <w:r>
        <w:t xml:space="preserve"> (WHO 1972)</w:t>
      </w:r>
      <w:r w:rsidRPr="000E2A66">
        <w:t>.</w:t>
      </w:r>
      <w:r>
        <w:rPr>
          <w:i/>
        </w:rPr>
        <w:t xml:space="preserve"> </w:t>
      </w:r>
      <w:r>
        <w:t>An adverse response to medicine is always undesirable, and may not be predictable. Such a response may result in temporary or permanent harm, disability or even death; it may necessitate acute admission to hospital.</w:t>
      </w:r>
    </w:p>
    <w:p w:rsidR="00C50F0A" w:rsidRDefault="00C50F0A" w:rsidP="00C50F0A"/>
    <w:p w:rsidR="00A13F65" w:rsidRDefault="0031381E" w:rsidP="00C50F0A">
      <w:r w:rsidRPr="005C3796">
        <w:t>In emergency situations</w:t>
      </w:r>
      <w:r>
        <w:t xml:space="preserve"> involving adverse reactions,</w:t>
      </w:r>
      <w:r w:rsidRPr="005C3796">
        <w:t xml:space="preserve"> </w:t>
      </w:r>
      <w:r>
        <w:t>HSWs</w:t>
      </w:r>
      <w:r w:rsidRPr="005C3796">
        <w:t xml:space="preserve"> </w:t>
      </w:r>
      <w:r>
        <w:t xml:space="preserve">must call 111 and </w:t>
      </w:r>
      <w:r w:rsidRPr="005C3796">
        <w:t xml:space="preserve">follow the instructions </w:t>
      </w:r>
      <w:r>
        <w:t>they receive</w:t>
      </w:r>
      <w:r w:rsidRPr="005C3796">
        <w:t xml:space="preserve"> over the phone</w:t>
      </w:r>
      <w:r>
        <w:t>.</w:t>
      </w:r>
    </w:p>
    <w:p w:rsidR="0031381E" w:rsidRDefault="0031381E" w:rsidP="00C50F0A"/>
    <w:p w:rsidR="0031381E" w:rsidRDefault="0031381E" w:rsidP="00C50F0A">
      <w:r>
        <w:t>Home support workers must report suspected adverse reactions to the responsible RN, and HCSS providers are responsible for reporting them to the Centre for Adverse Reactions Monitoring: see Appendix 2</w:t>
      </w:r>
      <w:r w:rsidR="00C50F0A">
        <w:t>.</w:t>
      </w:r>
      <w:r w:rsidRPr="00C50F0A">
        <w:rPr>
          <w:rStyle w:val="FootnoteReference"/>
        </w:rPr>
        <w:footnoteReference w:id="6"/>
      </w:r>
    </w:p>
    <w:p w:rsidR="0031381E" w:rsidRDefault="0031381E" w:rsidP="00C50F0A"/>
    <w:p w:rsidR="0031381E" w:rsidRDefault="0031381E" w:rsidP="006E252C">
      <w:pPr>
        <w:pStyle w:val="Heading1"/>
        <w:ind w:left="851" w:right="-567" w:hanging="851"/>
      </w:pPr>
      <w:bookmarkStart w:id="26" w:name="_Toc2771076"/>
      <w:bookmarkStart w:id="27" w:name="_Toc2771784"/>
      <w:bookmarkStart w:id="28" w:name="_Toc7782228"/>
      <w:r>
        <w:lastRenderedPageBreak/>
        <w:t>6</w:t>
      </w:r>
      <w:r>
        <w:tab/>
        <w:t>High-risk medications and controlled drugs</w:t>
      </w:r>
      <w:bookmarkEnd w:id="26"/>
      <w:bookmarkEnd w:id="27"/>
      <w:bookmarkEnd w:id="28"/>
    </w:p>
    <w:p w:rsidR="00A13F65" w:rsidRDefault="0031381E" w:rsidP="006E252C">
      <w:r w:rsidRPr="00092ECC">
        <w:t>High</w:t>
      </w:r>
      <w:r>
        <w:t>-</w:t>
      </w:r>
      <w:r w:rsidRPr="00092ECC">
        <w:t xml:space="preserve">risk medicines </w:t>
      </w:r>
      <w:r w:rsidRPr="007D4A4D">
        <w:t>are most</w:t>
      </w:r>
      <w:r w:rsidRPr="00CD66B4">
        <w:t xml:space="preserve"> </w:t>
      </w:r>
      <w:r>
        <w:t>commonly implicated for causing serious adverse drug events.</w:t>
      </w:r>
      <w:r>
        <w:rPr>
          <w:noProof/>
        </w:rPr>
        <w:t xml:space="preserve"> </w:t>
      </w:r>
      <w:r>
        <w:t xml:space="preserve">Such medications </w:t>
      </w:r>
      <w:r w:rsidRPr="00CD66B4">
        <w:t xml:space="preserve">can potentially cause significant harm even when </w:t>
      </w:r>
      <w:r>
        <w:t xml:space="preserve">they are </w:t>
      </w:r>
      <w:r w:rsidRPr="00CD66B4">
        <w:t>used as intended.</w:t>
      </w:r>
    </w:p>
    <w:p w:rsidR="0031381E" w:rsidRDefault="0031381E" w:rsidP="006E252C"/>
    <w:p w:rsidR="0031381E" w:rsidRPr="000E2A66" w:rsidRDefault="0031381E" w:rsidP="006E252C">
      <w:r w:rsidRPr="000E2A66">
        <w:rPr>
          <w:lang w:val="en" w:eastAsia="en-NZ"/>
        </w:rPr>
        <w:t>Controlled drugs are medications that are classified under the Misuse of Drugs Act 1975 and that have some potential for abuse or dependence. Prescribing of controlled drugs is more tightly controlled than prescribing of other medicines, reflecting the risk that they pose.</w:t>
      </w:r>
    </w:p>
    <w:p w:rsidR="0031381E" w:rsidRDefault="0031381E" w:rsidP="006E252C"/>
    <w:p w:rsidR="0031381E" w:rsidRPr="00665E09" w:rsidRDefault="0031381E" w:rsidP="006E252C">
      <w:r>
        <w:t xml:space="preserve">High-risk medications and controlled drugs </w:t>
      </w:r>
      <w:r w:rsidRPr="00665E09">
        <w:t>include but are not limited to the following:</w:t>
      </w:r>
    </w:p>
    <w:p w:rsidR="00A13F65" w:rsidRDefault="0031381E" w:rsidP="006E252C">
      <w:pPr>
        <w:pStyle w:val="Bullet"/>
      </w:pPr>
      <w:r w:rsidRPr="00B34C96">
        <w:t>Warfarin</w:t>
      </w:r>
    </w:p>
    <w:p w:rsidR="00A13F65" w:rsidRDefault="0031381E" w:rsidP="006E252C">
      <w:pPr>
        <w:pStyle w:val="Bullet"/>
      </w:pPr>
      <w:r>
        <w:t>i</w:t>
      </w:r>
      <w:r w:rsidRPr="00B34C96">
        <w:t>nsulin</w:t>
      </w:r>
    </w:p>
    <w:p w:rsidR="0031381E" w:rsidRPr="00B34C96" w:rsidRDefault="0031381E" w:rsidP="006E252C">
      <w:pPr>
        <w:pStyle w:val="Bullet"/>
      </w:pPr>
      <w:r>
        <w:t>e</w:t>
      </w:r>
      <w:r w:rsidRPr="00B34C96">
        <w:t xml:space="preserve">nteral nutrition </w:t>
      </w:r>
      <w:r>
        <w:t>(non-pre-packaged)</w:t>
      </w:r>
    </w:p>
    <w:p w:rsidR="00A13F65" w:rsidRDefault="0031381E" w:rsidP="006E252C">
      <w:pPr>
        <w:pStyle w:val="Bullet"/>
      </w:pPr>
      <w:r>
        <w:t>c</w:t>
      </w:r>
      <w:r w:rsidRPr="00B34C96">
        <w:t>ytotoxic medicines</w:t>
      </w:r>
    </w:p>
    <w:p w:rsidR="00A13F65" w:rsidRDefault="0031381E" w:rsidP="006E252C">
      <w:pPr>
        <w:pStyle w:val="Bullet"/>
      </w:pPr>
      <w:r>
        <w:t>f</w:t>
      </w:r>
      <w:r w:rsidRPr="00B34C96">
        <w:t>entanyl</w:t>
      </w:r>
    </w:p>
    <w:p w:rsidR="0031381E" w:rsidRDefault="0031381E" w:rsidP="006E252C">
      <w:pPr>
        <w:pStyle w:val="Bullet"/>
      </w:pPr>
      <w:r>
        <w:t>morphine</w:t>
      </w:r>
    </w:p>
    <w:p w:rsidR="00A13F65" w:rsidRDefault="0031381E" w:rsidP="006E252C">
      <w:pPr>
        <w:pStyle w:val="Bullet"/>
      </w:pPr>
      <w:proofErr w:type="gramStart"/>
      <w:r>
        <w:t>m</w:t>
      </w:r>
      <w:r w:rsidRPr="00B34C96">
        <w:t>edications</w:t>
      </w:r>
      <w:proofErr w:type="gramEnd"/>
      <w:r w:rsidRPr="00B34C96">
        <w:t xml:space="preserve"> </w:t>
      </w:r>
      <w:r>
        <w:t xml:space="preserve">with a variable </w:t>
      </w:r>
      <w:r w:rsidRPr="00B34C96">
        <w:t>dose</w:t>
      </w:r>
      <w:r>
        <w:t>.</w:t>
      </w:r>
    </w:p>
    <w:p w:rsidR="0031381E" w:rsidRDefault="0031381E" w:rsidP="006E252C"/>
    <w:p w:rsidR="0031381E" w:rsidRDefault="0031381E" w:rsidP="006E252C">
      <w:pPr>
        <w:rPr>
          <w:color w:val="000000"/>
        </w:rPr>
      </w:pPr>
      <w:r w:rsidRPr="00EF51CB">
        <w:t>Training and competency assessment for administration of high</w:t>
      </w:r>
      <w:r>
        <w:t>-</w:t>
      </w:r>
      <w:r w:rsidRPr="00EF51CB">
        <w:t>risk medications</w:t>
      </w:r>
      <w:r>
        <w:t xml:space="preserve"> and controlled drugs</w:t>
      </w:r>
      <w:r w:rsidRPr="00EF51CB">
        <w:t xml:space="preserve"> needs to reflect the level of risk</w:t>
      </w:r>
      <w:r>
        <w:t>,</w:t>
      </w:r>
      <w:r w:rsidRPr="00EF51CB">
        <w:t xml:space="preserve"> and must be both medication</w:t>
      </w:r>
      <w:r>
        <w:t>-</w:t>
      </w:r>
      <w:r w:rsidRPr="00EF51CB">
        <w:t>specific and p</w:t>
      </w:r>
      <w:r>
        <w:t>erson-</w:t>
      </w:r>
      <w:r w:rsidRPr="00EF51CB">
        <w:t>specific. The medication</w:t>
      </w:r>
      <w:r>
        <w:t>-</w:t>
      </w:r>
      <w:r w:rsidRPr="00EF51CB">
        <w:t xml:space="preserve">specific guidance </w:t>
      </w:r>
      <w:r>
        <w:t xml:space="preserve">in section 6.1 </w:t>
      </w:r>
      <w:r w:rsidRPr="00EF51CB">
        <w:t>below provides a broad overview only</w:t>
      </w:r>
      <w:r w:rsidR="006E252C">
        <w:t>.</w:t>
      </w:r>
      <w:r w:rsidRPr="006E252C">
        <w:rPr>
          <w:rStyle w:val="FootnoteReference"/>
        </w:rPr>
        <w:footnoteReference w:id="7"/>
      </w:r>
    </w:p>
    <w:p w:rsidR="0031381E" w:rsidRDefault="0031381E" w:rsidP="006E252C"/>
    <w:p w:rsidR="00A13F65" w:rsidRDefault="0031381E" w:rsidP="006E252C">
      <w:r>
        <w:t>Providers</w:t>
      </w:r>
      <w:r w:rsidRPr="00665E09">
        <w:t xml:space="preserve"> </w:t>
      </w:r>
      <w:r>
        <w:t>must</w:t>
      </w:r>
      <w:r w:rsidRPr="00665E09">
        <w:t xml:space="preserve"> </w:t>
      </w:r>
      <w:r>
        <w:t>implement</w:t>
      </w:r>
      <w:r w:rsidRPr="00665E09">
        <w:t xml:space="preserve"> </w:t>
      </w:r>
      <w:r>
        <w:t xml:space="preserve">processes </w:t>
      </w:r>
      <w:r w:rsidRPr="00665E09">
        <w:t>to manage the risks associated with these types of medications.</w:t>
      </w:r>
    </w:p>
    <w:p w:rsidR="0031381E" w:rsidRDefault="0031381E" w:rsidP="006E252C"/>
    <w:p w:rsidR="00A13F65" w:rsidRDefault="0031381E" w:rsidP="006E252C">
      <w:r>
        <w:t>Support plans</w:t>
      </w:r>
      <w:r w:rsidRPr="00665E09">
        <w:t xml:space="preserve"> </w:t>
      </w:r>
      <w:r>
        <w:t>for high-risk medications and controlled drugs must</w:t>
      </w:r>
      <w:r w:rsidRPr="00665E09">
        <w:t xml:space="preserve"> include full instructions, risk management assessment and contingencies for adverse events. A</w:t>
      </w:r>
      <w:r w:rsidR="006E252C">
        <w:t> </w:t>
      </w:r>
      <w:r w:rsidRPr="00665E09">
        <w:t xml:space="preserve">copy of </w:t>
      </w:r>
      <w:r>
        <w:t>the support plan</w:t>
      </w:r>
      <w:r w:rsidRPr="00665E09">
        <w:t xml:space="preserve"> </w:t>
      </w:r>
      <w:r>
        <w:t xml:space="preserve">must </w:t>
      </w:r>
      <w:r w:rsidRPr="00665E09">
        <w:t>be a</w:t>
      </w:r>
      <w:r>
        <w:t>ccessible</w:t>
      </w:r>
      <w:r w:rsidRPr="00665E09">
        <w:t xml:space="preserve"> at all times</w:t>
      </w:r>
      <w:r>
        <w:t xml:space="preserve">. </w:t>
      </w:r>
      <w:r w:rsidRPr="00665E09">
        <w:t xml:space="preserve">It also needs to outline channels of communication for the </w:t>
      </w:r>
      <w:r>
        <w:t>HSW</w:t>
      </w:r>
      <w:r w:rsidR="006E252C">
        <w:t>,</w:t>
      </w:r>
      <w:r>
        <w:t xml:space="preserve"> </w:t>
      </w:r>
      <w:proofErr w:type="spellStart"/>
      <w:r>
        <w:t>eg</w:t>
      </w:r>
      <w:proofErr w:type="spellEnd"/>
      <w:r w:rsidR="006E252C">
        <w:t>,</w:t>
      </w:r>
      <w:r>
        <w:t xml:space="preserve"> contact the delegated </w:t>
      </w:r>
      <w:r w:rsidRPr="00665E09">
        <w:t>RN available</w:t>
      </w:r>
      <w:r>
        <w:t xml:space="preserve"> immediately if adverse events occur</w:t>
      </w:r>
      <w:r w:rsidRPr="00665E09">
        <w:t>.</w:t>
      </w:r>
    </w:p>
    <w:p w:rsidR="0031381E" w:rsidRDefault="0031381E" w:rsidP="006E252C"/>
    <w:p w:rsidR="0031381E" w:rsidRPr="00665E09" w:rsidRDefault="0031381E" w:rsidP="006E252C">
      <w:pPr>
        <w:pStyle w:val="Heading2"/>
      </w:pPr>
      <w:bookmarkStart w:id="29" w:name="_Toc2771077"/>
      <w:bookmarkStart w:id="30" w:name="_Toc2771785"/>
      <w:bookmarkStart w:id="31" w:name="_Toc7782229"/>
      <w:r>
        <w:lastRenderedPageBreak/>
        <w:t>6.1</w:t>
      </w:r>
      <w:r>
        <w:tab/>
        <w:t>Medication-specific guidance</w:t>
      </w:r>
      <w:bookmarkEnd w:id="29"/>
      <w:bookmarkEnd w:id="30"/>
      <w:bookmarkEnd w:id="31"/>
    </w:p>
    <w:tbl>
      <w:tblPr>
        <w:tblW w:w="0" w:type="auto"/>
        <w:tblInd w:w="57"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1276"/>
        <w:gridCol w:w="6804"/>
      </w:tblGrid>
      <w:tr w:rsidR="0031381E" w:rsidRPr="006E252C" w:rsidTr="006E252C">
        <w:trPr>
          <w:cantSplit/>
          <w:tblHeader/>
        </w:trPr>
        <w:tc>
          <w:tcPr>
            <w:tcW w:w="1276" w:type="dxa"/>
            <w:tcBorders>
              <w:top w:val="nil"/>
              <w:bottom w:val="nil"/>
            </w:tcBorders>
            <w:shd w:val="clear" w:color="auto" w:fill="D9D9D9" w:themeFill="background1" w:themeFillShade="D9"/>
          </w:tcPr>
          <w:p w:rsidR="0031381E" w:rsidRPr="006E252C" w:rsidRDefault="0031381E" w:rsidP="006E252C">
            <w:pPr>
              <w:pStyle w:val="TableText"/>
              <w:rPr>
                <w:b/>
              </w:rPr>
            </w:pPr>
            <w:r w:rsidRPr="006E252C">
              <w:rPr>
                <w:b/>
              </w:rPr>
              <w:t>Medication</w:t>
            </w:r>
          </w:p>
        </w:tc>
        <w:tc>
          <w:tcPr>
            <w:tcW w:w="6804" w:type="dxa"/>
            <w:tcBorders>
              <w:top w:val="nil"/>
              <w:bottom w:val="nil"/>
            </w:tcBorders>
            <w:shd w:val="clear" w:color="auto" w:fill="D9D9D9" w:themeFill="background1" w:themeFillShade="D9"/>
          </w:tcPr>
          <w:p w:rsidR="0031381E" w:rsidRPr="006E252C" w:rsidRDefault="0031381E" w:rsidP="006E252C">
            <w:pPr>
              <w:pStyle w:val="TableText"/>
              <w:rPr>
                <w:b/>
              </w:rPr>
            </w:pPr>
            <w:r w:rsidRPr="006E252C">
              <w:rPr>
                <w:b/>
              </w:rPr>
              <w:t>Notes</w:t>
            </w:r>
          </w:p>
        </w:tc>
      </w:tr>
      <w:tr w:rsidR="0031381E" w:rsidRPr="001E52E3" w:rsidTr="006E252C">
        <w:trPr>
          <w:cantSplit/>
        </w:trPr>
        <w:tc>
          <w:tcPr>
            <w:tcW w:w="1276" w:type="dxa"/>
            <w:tcBorders>
              <w:top w:val="nil"/>
            </w:tcBorders>
            <w:shd w:val="clear" w:color="auto" w:fill="auto"/>
          </w:tcPr>
          <w:p w:rsidR="0031381E" w:rsidRPr="006E252C" w:rsidRDefault="0031381E" w:rsidP="006E252C">
            <w:pPr>
              <w:pStyle w:val="TableText"/>
            </w:pPr>
            <w:r w:rsidRPr="006E252C">
              <w:t>Warfarin</w:t>
            </w:r>
          </w:p>
        </w:tc>
        <w:tc>
          <w:tcPr>
            <w:tcW w:w="6804" w:type="dxa"/>
            <w:tcBorders>
              <w:top w:val="nil"/>
            </w:tcBorders>
            <w:shd w:val="clear" w:color="auto" w:fill="auto"/>
          </w:tcPr>
          <w:p w:rsidR="0031381E" w:rsidRPr="006E252C" w:rsidRDefault="0031381E" w:rsidP="006E252C">
            <w:pPr>
              <w:pStyle w:val="TableText"/>
            </w:pPr>
            <w:r w:rsidRPr="006E252C">
              <w:t>The dose of warfarin may vary, depending on the person</w:t>
            </w:r>
            <w:r w:rsidR="00A13F65" w:rsidRPr="006E252C">
              <w:t>’</w:t>
            </w:r>
            <w:r w:rsidRPr="006E252C">
              <w:t>s international normalised ratio (INR) blood results. A copy of the current prescriber</w:t>
            </w:r>
            <w:r w:rsidR="00A13F65" w:rsidRPr="006E252C">
              <w:t>’</w:t>
            </w:r>
            <w:r w:rsidRPr="006E252C">
              <w:t>s order must be available to ensure the correct dose is administered each day. Staff must record INR results and document the dose and time of administration of Warfarin, either in the MAR (if administered by a HSW or an RN) or in the person</w:t>
            </w:r>
            <w:r w:rsidR="00A13F65" w:rsidRPr="006E252C">
              <w:t>’</w:t>
            </w:r>
            <w:r w:rsidRPr="006E252C">
              <w:t>s Warfarin book (if administered by the person or their family/whānau)</w:t>
            </w:r>
            <w:r w:rsidR="006E252C" w:rsidRPr="006E252C">
              <w:t>.</w:t>
            </w:r>
          </w:p>
        </w:tc>
      </w:tr>
      <w:tr w:rsidR="0031381E" w:rsidRPr="001E52E3" w:rsidTr="006E252C">
        <w:trPr>
          <w:cantSplit/>
        </w:trPr>
        <w:tc>
          <w:tcPr>
            <w:tcW w:w="1276" w:type="dxa"/>
            <w:shd w:val="clear" w:color="auto" w:fill="auto"/>
          </w:tcPr>
          <w:p w:rsidR="0031381E" w:rsidRPr="006E252C" w:rsidRDefault="0031381E" w:rsidP="006E252C">
            <w:pPr>
              <w:pStyle w:val="TableText"/>
            </w:pPr>
            <w:r w:rsidRPr="006E252C">
              <w:t>Insulin</w:t>
            </w:r>
          </w:p>
        </w:tc>
        <w:tc>
          <w:tcPr>
            <w:tcW w:w="6804" w:type="dxa"/>
            <w:shd w:val="clear" w:color="auto" w:fill="auto"/>
          </w:tcPr>
          <w:p w:rsidR="0031381E" w:rsidRPr="006E252C" w:rsidRDefault="0031381E" w:rsidP="006E252C">
            <w:pPr>
              <w:pStyle w:val="TableText"/>
            </w:pPr>
            <w:r w:rsidRPr="006E252C">
              <w:t>The dose of insulin may vary depending on the person</w:t>
            </w:r>
            <w:r w:rsidR="00A13F65" w:rsidRPr="006E252C">
              <w:t>’</w:t>
            </w:r>
            <w:r w:rsidRPr="006E252C">
              <w:t>s blood sugar level (BSL). A copy of the current prescriber</w:t>
            </w:r>
            <w:r w:rsidR="00A13F65" w:rsidRPr="006E252C">
              <w:t>’</w:t>
            </w:r>
            <w:r w:rsidRPr="006E252C">
              <w:t>s order must be available to ensure the correct dose is administered at the correct time. Assistance may be required with BSL testing and insulin administration. Staff must document the insulin type, dose, time and BSL in a BSL record. The support plan must clearly document parameters for when insulin should be withheld.</w:t>
            </w:r>
          </w:p>
          <w:p w:rsidR="00A13F65" w:rsidRPr="006E252C" w:rsidRDefault="0031381E" w:rsidP="006E252C">
            <w:pPr>
              <w:pStyle w:val="TableText"/>
            </w:pPr>
            <w:r w:rsidRPr="006E252C">
              <w:t>The HSW is not expected to draw up insulin, but must use an insulin pen. The HSW administering insulin must know how to dial up an insulin pen and administer insulin, and must document the dose and time in the MAR. They may also complete a BSL record if the person is unable to.</w:t>
            </w:r>
          </w:p>
          <w:p w:rsidR="0031381E" w:rsidRPr="006E252C" w:rsidRDefault="0031381E" w:rsidP="006E252C">
            <w:pPr>
              <w:pStyle w:val="TableText"/>
            </w:pPr>
            <w:r w:rsidRPr="006E252C">
              <w:t>A sharps container for the safe disposal of needles must be available in the person</w:t>
            </w:r>
            <w:r w:rsidR="00A13F65" w:rsidRPr="006E252C">
              <w:t>’</w:t>
            </w:r>
            <w:r w:rsidRPr="006E252C">
              <w:t>s home</w:t>
            </w:r>
            <w:r w:rsidR="006E252C" w:rsidRPr="006E252C">
              <w:t>.</w:t>
            </w:r>
          </w:p>
        </w:tc>
      </w:tr>
      <w:tr w:rsidR="0031381E" w:rsidRPr="001E52E3" w:rsidTr="006E252C">
        <w:trPr>
          <w:cantSplit/>
        </w:trPr>
        <w:tc>
          <w:tcPr>
            <w:tcW w:w="1276" w:type="dxa"/>
            <w:shd w:val="clear" w:color="auto" w:fill="auto"/>
          </w:tcPr>
          <w:p w:rsidR="0031381E" w:rsidRPr="006E252C" w:rsidRDefault="0031381E" w:rsidP="006E252C">
            <w:pPr>
              <w:pStyle w:val="TableText"/>
            </w:pPr>
            <w:r w:rsidRPr="006E252C">
              <w:t>Cytotoxic medication</w:t>
            </w:r>
          </w:p>
        </w:tc>
        <w:tc>
          <w:tcPr>
            <w:tcW w:w="6804" w:type="dxa"/>
            <w:shd w:val="clear" w:color="auto" w:fill="auto"/>
          </w:tcPr>
          <w:p w:rsidR="0031381E" w:rsidRPr="006E252C" w:rsidRDefault="0031381E" w:rsidP="006E252C">
            <w:pPr>
              <w:pStyle w:val="TableText"/>
              <w:rPr>
                <w:spacing w:val="-2"/>
              </w:rPr>
            </w:pPr>
            <w:r w:rsidRPr="006E252C">
              <w:rPr>
                <w:spacing w:val="-2"/>
              </w:rPr>
              <w:t>Oral/topical cytotoxic medication needs to be in a separate pack and clearly labelled. The HSW must wear gloves while handling cytotoxic medication. It is advisable that pregnant women do not handle this medication. The HCSS provider must implement a procedure for the safe administration and disposal of cytotoxic medications</w:t>
            </w:r>
            <w:r w:rsidR="006E252C" w:rsidRPr="006E252C">
              <w:rPr>
                <w:spacing w:val="-2"/>
              </w:rPr>
              <w:t>.</w:t>
            </w:r>
          </w:p>
        </w:tc>
      </w:tr>
      <w:tr w:rsidR="0031381E" w:rsidRPr="001E52E3" w:rsidTr="006E252C">
        <w:trPr>
          <w:cantSplit/>
        </w:trPr>
        <w:tc>
          <w:tcPr>
            <w:tcW w:w="1276" w:type="dxa"/>
            <w:shd w:val="clear" w:color="auto" w:fill="auto"/>
          </w:tcPr>
          <w:p w:rsidR="0031381E" w:rsidRPr="006E252C" w:rsidRDefault="0031381E" w:rsidP="006E252C">
            <w:pPr>
              <w:pStyle w:val="TableText"/>
            </w:pPr>
            <w:r w:rsidRPr="006E252C">
              <w:t>Crushing medications</w:t>
            </w:r>
          </w:p>
        </w:tc>
        <w:tc>
          <w:tcPr>
            <w:tcW w:w="6804" w:type="dxa"/>
            <w:shd w:val="clear" w:color="auto" w:fill="auto"/>
          </w:tcPr>
          <w:p w:rsidR="00A13F65" w:rsidRPr="006E252C" w:rsidRDefault="0031381E" w:rsidP="006E252C">
            <w:pPr>
              <w:pStyle w:val="TableText"/>
            </w:pPr>
            <w:r w:rsidRPr="006E252C">
              <w:t>The crushing of solid medication (tablets and capsules) can alter its intended effects.</w:t>
            </w:r>
          </w:p>
          <w:p w:rsidR="0031381E" w:rsidRPr="006E252C" w:rsidRDefault="0031381E" w:rsidP="006E252C">
            <w:pPr>
              <w:pStyle w:val="TableText"/>
            </w:pPr>
            <w:r w:rsidRPr="006E252C">
              <w:t>If crushing is appropriate, the supervising RN is responsible for providing clear instructions to the HSW; these instructions must be recorded on the person</w:t>
            </w:r>
            <w:r w:rsidR="00A13F65" w:rsidRPr="006E252C">
              <w:t>’</w:t>
            </w:r>
            <w:r w:rsidRPr="006E252C">
              <w:t>s support p</w:t>
            </w:r>
            <w:r w:rsidR="006E252C" w:rsidRPr="006E252C">
              <w:t>lan.</w:t>
            </w:r>
          </w:p>
        </w:tc>
      </w:tr>
      <w:tr w:rsidR="0031381E" w:rsidRPr="001E52E3" w:rsidTr="006E252C">
        <w:trPr>
          <w:cantSplit/>
        </w:trPr>
        <w:tc>
          <w:tcPr>
            <w:tcW w:w="1276" w:type="dxa"/>
            <w:shd w:val="clear" w:color="auto" w:fill="auto"/>
          </w:tcPr>
          <w:p w:rsidR="0031381E" w:rsidRPr="006E252C" w:rsidRDefault="0031381E" w:rsidP="006E252C">
            <w:pPr>
              <w:pStyle w:val="TableText"/>
            </w:pPr>
            <w:r w:rsidRPr="006E252C">
              <w:t>Controlled drugs</w:t>
            </w:r>
          </w:p>
        </w:tc>
        <w:tc>
          <w:tcPr>
            <w:tcW w:w="6804" w:type="dxa"/>
            <w:shd w:val="clear" w:color="auto" w:fill="auto"/>
          </w:tcPr>
          <w:p w:rsidR="0031381E" w:rsidRPr="006E252C" w:rsidRDefault="0031381E" w:rsidP="006E252C">
            <w:pPr>
              <w:pStyle w:val="TableText"/>
            </w:pPr>
            <w:r w:rsidRPr="006E252C">
              <w:t>Where possible, the person or their family/whānau should be given the responsibility to monitor, count their stocks and manage safe storage of controlled drugs. If there is no other available person to monitor, count stocks, and manage safe storage of controlled drugs the supervising RN may need to assume this responsibility. This arrangement must be agreed on an individual basis between the provider, person</w:t>
            </w:r>
            <w:r w:rsidR="00A13F65" w:rsidRPr="006E252C">
              <w:t xml:space="preserve"> </w:t>
            </w:r>
            <w:r w:rsidRPr="006E252C">
              <w:t>and family/whānau and the referring agency. Where controlled drugs cannot be accounted for, providers should manage the event according to their own operational policies</w:t>
            </w:r>
            <w:r w:rsidR="006E252C" w:rsidRPr="006E252C">
              <w:t>.</w:t>
            </w:r>
          </w:p>
          <w:p w:rsidR="0031381E" w:rsidRPr="006E252C" w:rsidRDefault="0031381E" w:rsidP="006E252C">
            <w:pPr>
              <w:pStyle w:val="TableText"/>
            </w:pPr>
            <w:r w:rsidRPr="006E252C">
              <w:t>If the controlled drug is in liquid form (for oral use), best recommended practice is for the medication to be in a pre-packaged or single-dose container (</w:t>
            </w:r>
            <w:proofErr w:type="spellStart"/>
            <w:r w:rsidRPr="006E252C">
              <w:t>eg</w:t>
            </w:r>
            <w:proofErr w:type="spellEnd"/>
            <w:r w:rsidRPr="006E252C">
              <w:t>, a prefilled syringe). Providers should manage this according to their own policy and procedures</w:t>
            </w:r>
            <w:r w:rsidR="006E252C" w:rsidRPr="006E252C">
              <w:t>.</w:t>
            </w:r>
          </w:p>
          <w:p w:rsidR="0031381E" w:rsidRPr="006E252C" w:rsidRDefault="0031381E" w:rsidP="006E252C">
            <w:pPr>
              <w:pStyle w:val="TableText"/>
            </w:pPr>
            <w:r w:rsidRPr="006E252C">
              <w:rPr>
                <w:b/>
                <w:i/>
                <w:iCs/>
              </w:rPr>
              <w:t>Note:</w:t>
            </w:r>
            <w:r w:rsidRPr="006E252C">
              <w:rPr>
                <w:i/>
                <w:iCs/>
              </w:rPr>
              <w:t xml:space="preserve"> HSWs are not permitted to assist with medications administered via a syringe pump</w:t>
            </w:r>
            <w:r w:rsidR="006E252C" w:rsidRPr="006E252C">
              <w:rPr>
                <w:i/>
                <w:iCs/>
              </w:rPr>
              <w:t>.</w:t>
            </w:r>
          </w:p>
          <w:p w:rsidR="0031381E" w:rsidRPr="006E252C" w:rsidRDefault="0031381E" w:rsidP="006E252C">
            <w:pPr>
              <w:pStyle w:val="TableText"/>
              <w:rPr>
                <w:i/>
              </w:rPr>
            </w:pPr>
            <w:r w:rsidRPr="006E252C">
              <w:t xml:space="preserve">Support plans must specify in what situations/and for what symptoms PRN controlled drugs are needed. All people administering PRNs (including HSW and family/whānau members and visiting clinicians) should adhere to the Providers support plan and </w:t>
            </w:r>
            <w:r w:rsidR="006E252C" w:rsidRPr="006E252C">
              <w:t>the documentation requirements.</w:t>
            </w:r>
          </w:p>
        </w:tc>
      </w:tr>
      <w:tr w:rsidR="0031381E" w:rsidRPr="001E52E3" w:rsidTr="006E252C">
        <w:trPr>
          <w:cantSplit/>
        </w:trPr>
        <w:tc>
          <w:tcPr>
            <w:tcW w:w="1276" w:type="dxa"/>
            <w:shd w:val="clear" w:color="auto" w:fill="auto"/>
          </w:tcPr>
          <w:p w:rsidR="0031381E" w:rsidRPr="006E252C" w:rsidRDefault="0031381E" w:rsidP="006E252C">
            <w:pPr>
              <w:pStyle w:val="TableText"/>
            </w:pPr>
            <w:r w:rsidRPr="006E252C">
              <w:t>Patches (</w:t>
            </w:r>
            <w:proofErr w:type="spellStart"/>
            <w:r w:rsidRPr="006E252C">
              <w:t>eg</w:t>
            </w:r>
            <w:proofErr w:type="spellEnd"/>
            <w:r w:rsidRPr="006E252C">
              <w:t>, fentanyl)</w:t>
            </w:r>
          </w:p>
        </w:tc>
        <w:tc>
          <w:tcPr>
            <w:tcW w:w="6804" w:type="dxa"/>
            <w:shd w:val="clear" w:color="auto" w:fill="auto"/>
          </w:tcPr>
          <w:p w:rsidR="00A13F65" w:rsidRPr="006E252C" w:rsidRDefault="0031381E" w:rsidP="006E252C">
            <w:pPr>
              <w:pStyle w:val="TableText"/>
            </w:pPr>
            <w:r w:rsidRPr="006E252C">
              <w:t>It is important that the patch is applied as per written instructions on the pack, as different patches vary in the time of administration and place of application.</w:t>
            </w:r>
          </w:p>
          <w:p w:rsidR="0031381E" w:rsidRPr="006E252C" w:rsidRDefault="0031381E" w:rsidP="006E252C">
            <w:pPr>
              <w:pStyle w:val="TableText"/>
            </w:pPr>
            <w:r w:rsidRPr="006E252C">
              <w:t>Providers must implement a procedure for the safe application and disposal of patches</w:t>
            </w:r>
          </w:p>
        </w:tc>
      </w:tr>
    </w:tbl>
    <w:p w:rsidR="0031381E" w:rsidRDefault="0031381E" w:rsidP="006E252C"/>
    <w:p w:rsidR="0031381E" w:rsidRDefault="0031381E" w:rsidP="006E252C">
      <w:pPr>
        <w:pStyle w:val="Heading1"/>
        <w:ind w:left="992" w:hanging="992"/>
      </w:pPr>
      <w:bookmarkStart w:id="32" w:name="_Toc2771078"/>
      <w:bookmarkStart w:id="33" w:name="_Toc2771786"/>
      <w:bookmarkStart w:id="34" w:name="_Toc7782230"/>
      <w:r>
        <w:lastRenderedPageBreak/>
        <w:t>7</w:t>
      </w:r>
      <w:r w:rsidR="006E252C">
        <w:tab/>
      </w:r>
      <w:r>
        <w:t>Non-pre-packaged medications</w:t>
      </w:r>
      <w:bookmarkEnd w:id="32"/>
      <w:bookmarkEnd w:id="33"/>
      <w:bookmarkEnd w:id="34"/>
    </w:p>
    <w:p w:rsidR="0031381E" w:rsidRDefault="0031381E" w:rsidP="006E252C">
      <w:bookmarkStart w:id="35" w:name="_Toc2771079"/>
      <w:r w:rsidRPr="00FC0188">
        <w:t xml:space="preserve">This section refers to the support of people under </w:t>
      </w:r>
      <w:r w:rsidR="00A13F65">
        <w:t>‘</w:t>
      </w:r>
      <w:r w:rsidRPr="00FC0188">
        <w:t>prompting/supervision</w:t>
      </w:r>
      <w:r w:rsidR="00A13F65">
        <w:t>’</w:t>
      </w:r>
      <w:r w:rsidRPr="00FC0188">
        <w:t xml:space="preserve"> or </w:t>
      </w:r>
      <w:r w:rsidR="00A13F65">
        <w:t>‘</w:t>
      </w:r>
      <w:r w:rsidRPr="00FC0188">
        <w:t>administration</w:t>
      </w:r>
      <w:r w:rsidR="00A13F65">
        <w:t>’</w:t>
      </w:r>
      <w:r w:rsidRPr="00FC0188">
        <w:t xml:space="preserve"> medication categories when their medications are not in a blister pack. The following are examples of non-re-</w:t>
      </w:r>
      <w:r w:rsidR="00A13E94" w:rsidRPr="00FC0188">
        <w:t>packaged</w:t>
      </w:r>
      <w:r w:rsidRPr="00FC0188">
        <w:t xml:space="preserve"> medications</w:t>
      </w:r>
      <w:r w:rsidRPr="006E252C">
        <w:t>.</w:t>
      </w:r>
      <w:bookmarkEnd w:id="35"/>
    </w:p>
    <w:p w:rsidR="006E252C" w:rsidRPr="006E252C" w:rsidRDefault="006E252C" w:rsidP="006E252C"/>
    <w:p w:rsidR="0031381E" w:rsidRDefault="0031381E" w:rsidP="006E252C">
      <w:pPr>
        <w:pStyle w:val="Heading2"/>
      </w:pPr>
      <w:bookmarkStart w:id="36" w:name="_Toc2771080"/>
      <w:bookmarkStart w:id="37" w:name="_Toc2771787"/>
      <w:bookmarkStart w:id="38" w:name="_Toc7782231"/>
      <w:r>
        <w:t>7.1</w:t>
      </w:r>
      <w:r>
        <w:tab/>
        <w:t>Medication-specific guidance</w:t>
      </w:r>
      <w:bookmarkEnd w:id="36"/>
      <w:bookmarkEnd w:id="37"/>
      <w:bookmarkEnd w:id="38"/>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43"/>
        <w:gridCol w:w="6237"/>
      </w:tblGrid>
      <w:tr w:rsidR="0031381E" w:rsidRPr="006E252C" w:rsidTr="006E252C">
        <w:trPr>
          <w:cantSplit/>
        </w:trPr>
        <w:tc>
          <w:tcPr>
            <w:tcW w:w="1843" w:type="dxa"/>
            <w:tcBorders>
              <w:top w:val="nil"/>
              <w:bottom w:val="nil"/>
            </w:tcBorders>
            <w:shd w:val="clear" w:color="auto" w:fill="D9D9D9" w:themeFill="background1" w:themeFillShade="D9"/>
          </w:tcPr>
          <w:p w:rsidR="0031381E" w:rsidRPr="006E252C" w:rsidRDefault="0031381E" w:rsidP="006E252C">
            <w:pPr>
              <w:pStyle w:val="TableText"/>
              <w:ind w:right="113"/>
              <w:rPr>
                <w:b/>
              </w:rPr>
            </w:pPr>
            <w:r w:rsidRPr="006E252C">
              <w:rPr>
                <w:b/>
              </w:rPr>
              <w:t>Medication</w:t>
            </w:r>
          </w:p>
        </w:tc>
        <w:tc>
          <w:tcPr>
            <w:tcW w:w="6237" w:type="dxa"/>
            <w:tcBorders>
              <w:top w:val="nil"/>
              <w:bottom w:val="nil"/>
            </w:tcBorders>
            <w:shd w:val="clear" w:color="auto" w:fill="D9D9D9" w:themeFill="background1" w:themeFillShade="D9"/>
          </w:tcPr>
          <w:p w:rsidR="0031381E" w:rsidRPr="006E252C" w:rsidRDefault="0031381E" w:rsidP="006E252C">
            <w:pPr>
              <w:pStyle w:val="TableText"/>
              <w:rPr>
                <w:b/>
              </w:rPr>
            </w:pPr>
            <w:r w:rsidRPr="006E252C">
              <w:rPr>
                <w:b/>
              </w:rPr>
              <w:t>Notes</w:t>
            </w:r>
          </w:p>
        </w:tc>
      </w:tr>
      <w:tr w:rsidR="0031381E" w:rsidRPr="001E52E3" w:rsidTr="006E252C">
        <w:trPr>
          <w:cantSplit/>
        </w:trPr>
        <w:tc>
          <w:tcPr>
            <w:tcW w:w="1843" w:type="dxa"/>
            <w:tcBorders>
              <w:top w:val="nil"/>
            </w:tcBorders>
            <w:shd w:val="clear" w:color="auto" w:fill="auto"/>
          </w:tcPr>
          <w:p w:rsidR="0031381E" w:rsidRPr="001E52E3" w:rsidRDefault="0031381E" w:rsidP="006E252C">
            <w:pPr>
              <w:pStyle w:val="TableText"/>
              <w:ind w:right="113"/>
            </w:pPr>
            <w:r w:rsidRPr="001E52E3">
              <w:t xml:space="preserve">Enteral </w:t>
            </w:r>
            <w:r>
              <w:t>n</w:t>
            </w:r>
            <w:r w:rsidRPr="001E52E3">
              <w:t>utrition</w:t>
            </w:r>
          </w:p>
        </w:tc>
        <w:tc>
          <w:tcPr>
            <w:tcW w:w="6237" w:type="dxa"/>
            <w:tcBorders>
              <w:top w:val="nil"/>
            </w:tcBorders>
            <w:shd w:val="clear" w:color="auto" w:fill="auto"/>
          </w:tcPr>
          <w:p w:rsidR="0031381E" w:rsidRPr="001E52E3" w:rsidRDefault="0031381E" w:rsidP="006E252C">
            <w:pPr>
              <w:pStyle w:val="TableText"/>
            </w:pPr>
            <w:r w:rsidRPr="00EC16DF">
              <w:t>The person</w:t>
            </w:r>
            <w:r w:rsidR="00A13F65">
              <w:t>’</w:t>
            </w:r>
            <w:r w:rsidRPr="00EC16DF">
              <w:t xml:space="preserve">s </w:t>
            </w:r>
            <w:r>
              <w:t>s</w:t>
            </w:r>
            <w:r w:rsidRPr="00EC16DF">
              <w:t xml:space="preserve">upport </w:t>
            </w:r>
            <w:r>
              <w:t>p</w:t>
            </w:r>
            <w:r w:rsidRPr="00EC16DF">
              <w:t>lan/</w:t>
            </w:r>
            <w:r>
              <w:t>m</w:t>
            </w:r>
            <w:r w:rsidRPr="00EC16DF">
              <w:t xml:space="preserve">edication </w:t>
            </w:r>
            <w:r>
              <w:t>o</w:t>
            </w:r>
            <w:r w:rsidRPr="00EC16DF">
              <w:t>rder must specify the appropriate quantity and frequency of enteral nutrition and supplements to be given</w:t>
            </w:r>
            <w:r w:rsidR="006E252C">
              <w:t>.</w:t>
            </w:r>
          </w:p>
        </w:tc>
      </w:tr>
      <w:tr w:rsidR="0031381E" w:rsidRPr="001E52E3" w:rsidTr="006E252C">
        <w:trPr>
          <w:cantSplit/>
        </w:trPr>
        <w:tc>
          <w:tcPr>
            <w:tcW w:w="1843" w:type="dxa"/>
            <w:shd w:val="clear" w:color="auto" w:fill="auto"/>
          </w:tcPr>
          <w:p w:rsidR="0031381E" w:rsidRPr="001E52E3" w:rsidRDefault="0031381E" w:rsidP="006E252C">
            <w:pPr>
              <w:pStyle w:val="TableText"/>
              <w:ind w:right="113"/>
            </w:pPr>
            <w:r w:rsidRPr="001E52E3">
              <w:t>Eye drops/ ointment</w:t>
            </w:r>
          </w:p>
        </w:tc>
        <w:tc>
          <w:tcPr>
            <w:tcW w:w="6237" w:type="dxa"/>
            <w:shd w:val="clear" w:color="auto" w:fill="auto"/>
          </w:tcPr>
          <w:p w:rsidR="0031381E" w:rsidRPr="001E52E3" w:rsidRDefault="0031381E" w:rsidP="006E252C">
            <w:pPr>
              <w:pStyle w:val="TableText"/>
            </w:pPr>
            <w:r w:rsidRPr="00A17128">
              <w:t>The person</w:t>
            </w:r>
            <w:r w:rsidR="00A13F65">
              <w:t>’</w:t>
            </w:r>
            <w:r w:rsidRPr="00A17128">
              <w:t xml:space="preserve">s </w:t>
            </w:r>
            <w:r>
              <w:t>s</w:t>
            </w:r>
            <w:r w:rsidRPr="00A17128">
              <w:t xml:space="preserve">upport </w:t>
            </w:r>
            <w:r>
              <w:t>p</w:t>
            </w:r>
            <w:r w:rsidRPr="00A17128">
              <w:t>lan/</w:t>
            </w:r>
            <w:r>
              <w:t>m</w:t>
            </w:r>
            <w:r w:rsidRPr="00A17128">
              <w:t xml:space="preserve">edication </w:t>
            </w:r>
            <w:r>
              <w:t>o</w:t>
            </w:r>
            <w:r w:rsidRPr="00A17128">
              <w:t>rder must provide clear instructions</w:t>
            </w:r>
            <w:r>
              <w:t>,</w:t>
            </w:r>
            <w:r w:rsidRPr="00A17128">
              <w:t xml:space="preserve"> including which eye(s) the medication is to be administered to and how much </w:t>
            </w:r>
            <w:r>
              <w:t xml:space="preserve">medication is to be administered </w:t>
            </w:r>
            <w:r w:rsidRPr="00A17128">
              <w:t>(</w:t>
            </w:r>
            <w:proofErr w:type="spellStart"/>
            <w:r w:rsidRPr="00A17128">
              <w:t>eg</w:t>
            </w:r>
            <w:proofErr w:type="spellEnd"/>
            <w:r>
              <w:t>,</w:t>
            </w:r>
            <w:r w:rsidRPr="00A17128">
              <w:t xml:space="preserve"> how many drops). Training and assessment must include the correct techniques for the safe administration of eye drops and eye ointment</w:t>
            </w:r>
            <w:r w:rsidR="006E252C">
              <w:t>.</w:t>
            </w:r>
          </w:p>
        </w:tc>
      </w:tr>
      <w:tr w:rsidR="0031381E" w:rsidRPr="001E52E3" w:rsidTr="006E252C">
        <w:trPr>
          <w:cantSplit/>
        </w:trPr>
        <w:tc>
          <w:tcPr>
            <w:tcW w:w="1843" w:type="dxa"/>
            <w:shd w:val="clear" w:color="auto" w:fill="auto"/>
          </w:tcPr>
          <w:p w:rsidR="0031381E" w:rsidRPr="001E52E3" w:rsidRDefault="0031381E" w:rsidP="006E252C">
            <w:pPr>
              <w:pStyle w:val="TableText"/>
              <w:ind w:right="113"/>
            </w:pPr>
            <w:r w:rsidRPr="001E52E3">
              <w:t>Ear drops</w:t>
            </w:r>
          </w:p>
        </w:tc>
        <w:tc>
          <w:tcPr>
            <w:tcW w:w="6237" w:type="dxa"/>
            <w:shd w:val="clear" w:color="auto" w:fill="auto"/>
          </w:tcPr>
          <w:p w:rsidR="0031381E" w:rsidRPr="001E52E3" w:rsidRDefault="0031381E" w:rsidP="006E252C">
            <w:pPr>
              <w:pStyle w:val="TableText"/>
            </w:pPr>
            <w:r w:rsidRPr="00AB6151">
              <w:t>The person</w:t>
            </w:r>
            <w:r w:rsidR="00A13F65">
              <w:t>’</w:t>
            </w:r>
            <w:r w:rsidRPr="00AB6151">
              <w:t xml:space="preserve">s </w:t>
            </w:r>
            <w:r>
              <w:t>s</w:t>
            </w:r>
            <w:r w:rsidRPr="00AB6151">
              <w:t xml:space="preserve">upport </w:t>
            </w:r>
            <w:r>
              <w:t>p</w:t>
            </w:r>
            <w:r w:rsidRPr="00AB6151">
              <w:t>lan/</w:t>
            </w:r>
            <w:r>
              <w:t>m</w:t>
            </w:r>
            <w:r w:rsidRPr="00AB6151">
              <w:t xml:space="preserve">edication </w:t>
            </w:r>
            <w:r>
              <w:t>o</w:t>
            </w:r>
            <w:r w:rsidRPr="00AB6151">
              <w:t>rder must provide clear instructions</w:t>
            </w:r>
            <w:r>
              <w:t>,</w:t>
            </w:r>
            <w:r w:rsidRPr="00AB6151">
              <w:t xml:space="preserve"> including which ear(s) the medication is to be administered to and how much </w:t>
            </w:r>
            <w:r>
              <w:t xml:space="preserve">medication is to be administered </w:t>
            </w:r>
            <w:r w:rsidRPr="00AB6151">
              <w:t>(</w:t>
            </w:r>
            <w:proofErr w:type="spellStart"/>
            <w:r w:rsidRPr="00AB6151">
              <w:t>eg</w:t>
            </w:r>
            <w:proofErr w:type="spellEnd"/>
            <w:r>
              <w:t>,</w:t>
            </w:r>
            <w:r w:rsidRPr="00AB6151">
              <w:t xml:space="preserve"> how many drops). Training and assessment must include the correct techniques for the safe administration of ear drops</w:t>
            </w:r>
            <w:r w:rsidR="006E252C">
              <w:t>.</w:t>
            </w:r>
          </w:p>
        </w:tc>
      </w:tr>
      <w:tr w:rsidR="0031381E" w:rsidRPr="001E52E3" w:rsidTr="006E252C">
        <w:trPr>
          <w:cantSplit/>
        </w:trPr>
        <w:tc>
          <w:tcPr>
            <w:tcW w:w="1843" w:type="dxa"/>
            <w:shd w:val="clear" w:color="auto" w:fill="auto"/>
          </w:tcPr>
          <w:p w:rsidR="0031381E" w:rsidRPr="001E52E3" w:rsidRDefault="0031381E" w:rsidP="006E252C">
            <w:pPr>
              <w:pStyle w:val="TableText"/>
              <w:ind w:right="113"/>
            </w:pPr>
            <w:r w:rsidRPr="001E52E3">
              <w:t xml:space="preserve">Nasal sprays/ </w:t>
            </w:r>
            <w:r>
              <w:t>n</w:t>
            </w:r>
            <w:r w:rsidRPr="001E52E3">
              <w:t xml:space="preserve">ebulisers/ </w:t>
            </w:r>
            <w:r>
              <w:t>i</w:t>
            </w:r>
            <w:r w:rsidRPr="001E52E3">
              <w:t xml:space="preserve">nhalers / </w:t>
            </w:r>
            <w:r>
              <w:t>o</w:t>
            </w:r>
            <w:r w:rsidRPr="001E52E3">
              <w:t>xygen</w:t>
            </w:r>
          </w:p>
        </w:tc>
        <w:tc>
          <w:tcPr>
            <w:tcW w:w="6237" w:type="dxa"/>
            <w:shd w:val="clear" w:color="auto" w:fill="auto"/>
          </w:tcPr>
          <w:p w:rsidR="0031381E" w:rsidRPr="00A66205" w:rsidRDefault="0031381E" w:rsidP="006E252C">
            <w:pPr>
              <w:pStyle w:val="TableText"/>
            </w:pPr>
            <w:r w:rsidRPr="00A66205">
              <w:t>The person</w:t>
            </w:r>
            <w:r w:rsidR="00A13F65">
              <w:t>’</w:t>
            </w:r>
            <w:r w:rsidRPr="00A66205">
              <w:t xml:space="preserve">s </w:t>
            </w:r>
            <w:r>
              <w:t>s</w:t>
            </w:r>
            <w:r w:rsidRPr="00A66205">
              <w:t xml:space="preserve">upport </w:t>
            </w:r>
            <w:r>
              <w:t>p</w:t>
            </w:r>
            <w:r w:rsidRPr="00A66205">
              <w:t>lan/</w:t>
            </w:r>
            <w:r>
              <w:t>m</w:t>
            </w:r>
            <w:r w:rsidRPr="00A66205">
              <w:t xml:space="preserve">edication </w:t>
            </w:r>
            <w:r>
              <w:t>o</w:t>
            </w:r>
            <w:r w:rsidRPr="00A66205">
              <w:t>rder must provide clear instructions</w:t>
            </w:r>
            <w:r>
              <w:t>,</w:t>
            </w:r>
            <w:r w:rsidRPr="00A66205">
              <w:t xml:space="preserve"> including how much medication is to be administered. Training and assessment must include the correct techniques for the safe administration of medication via these routes</w:t>
            </w:r>
            <w:r w:rsidR="006E252C">
              <w:t>.</w:t>
            </w:r>
          </w:p>
        </w:tc>
      </w:tr>
      <w:tr w:rsidR="0031381E" w:rsidRPr="001E52E3" w:rsidTr="006E252C">
        <w:trPr>
          <w:cantSplit/>
        </w:trPr>
        <w:tc>
          <w:tcPr>
            <w:tcW w:w="1843" w:type="dxa"/>
            <w:shd w:val="clear" w:color="auto" w:fill="auto"/>
          </w:tcPr>
          <w:p w:rsidR="0031381E" w:rsidRPr="001E52E3" w:rsidRDefault="0031381E" w:rsidP="006E252C">
            <w:pPr>
              <w:pStyle w:val="TableText"/>
              <w:ind w:right="113"/>
            </w:pPr>
            <w:r w:rsidRPr="001E52E3">
              <w:t xml:space="preserve">Suppositories/ </w:t>
            </w:r>
            <w:r>
              <w:t>e</w:t>
            </w:r>
            <w:r w:rsidRPr="001E52E3">
              <w:t xml:space="preserve">nemas/ </w:t>
            </w:r>
            <w:r>
              <w:t>p</w:t>
            </w:r>
            <w:r w:rsidRPr="001E52E3">
              <w:t>essaries</w:t>
            </w:r>
          </w:p>
        </w:tc>
        <w:tc>
          <w:tcPr>
            <w:tcW w:w="6237" w:type="dxa"/>
            <w:shd w:val="clear" w:color="auto" w:fill="auto"/>
          </w:tcPr>
          <w:p w:rsidR="0031381E" w:rsidRPr="001E52E3" w:rsidRDefault="0031381E" w:rsidP="006E252C">
            <w:pPr>
              <w:pStyle w:val="TableText"/>
            </w:pPr>
            <w:r w:rsidRPr="00E8503F">
              <w:t>The person</w:t>
            </w:r>
            <w:r w:rsidR="00A13F65">
              <w:t>’</w:t>
            </w:r>
            <w:r w:rsidRPr="00E8503F">
              <w:t xml:space="preserve">s </w:t>
            </w:r>
            <w:r>
              <w:t>s</w:t>
            </w:r>
            <w:r w:rsidRPr="00E8503F">
              <w:t xml:space="preserve">upport </w:t>
            </w:r>
            <w:r>
              <w:t>p</w:t>
            </w:r>
            <w:r w:rsidRPr="00E8503F">
              <w:t>lan/</w:t>
            </w:r>
            <w:r>
              <w:t>m</w:t>
            </w:r>
            <w:r w:rsidRPr="00E8503F">
              <w:t xml:space="preserve">edication </w:t>
            </w:r>
            <w:r>
              <w:t>o</w:t>
            </w:r>
            <w:r w:rsidRPr="00E8503F">
              <w:t>rder must provide clear instructions</w:t>
            </w:r>
            <w:r>
              <w:t>,</w:t>
            </w:r>
            <w:r w:rsidRPr="00E8503F">
              <w:t xml:space="preserve"> including how many dose units are to be administered and how often. Training and assessment must include the correct techniques for the safe administration of suppositories, enemas and pessaries, including the correct positioning of the person</w:t>
            </w:r>
            <w:r w:rsidR="006E252C">
              <w:t>.</w:t>
            </w:r>
          </w:p>
        </w:tc>
      </w:tr>
      <w:tr w:rsidR="0031381E" w:rsidRPr="001E52E3" w:rsidTr="006E252C">
        <w:trPr>
          <w:cantSplit/>
        </w:trPr>
        <w:tc>
          <w:tcPr>
            <w:tcW w:w="1843" w:type="dxa"/>
            <w:shd w:val="clear" w:color="auto" w:fill="auto"/>
          </w:tcPr>
          <w:p w:rsidR="0031381E" w:rsidRPr="001E52E3" w:rsidRDefault="0031381E" w:rsidP="006E252C">
            <w:pPr>
              <w:pStyle w:val="TableText"/>
              <w:ind w:right="113"/>
            </w:pPr>
            <w:r>
              <w:t>Topical preparations</w:t>
            </w:r>
            <w:r w:rsidR="00A13F65">
              <w:t xml:space="preserve"> </w:t>
            </w:r>
            <w:r>
              <w:t>(</w:t>
            </w:r>
            <w:proofErr w:type="spellStart"/>
            <w:r>
              <w:t>eg</w:t>
            </w:r>
            <w:proofErr w:type="spellEnd"/>
            <w:r>
              <w:t>, creams, lotions, ointments)</w:t>
            </w:r>
          </w:p>
        </w:tc>
        <w:tc>
          <w:tcPr>
            <w:tcW w:w="6237" w:type="dxa"/>
            <w:shd w:val="clear" w:color="auto" w:fill="auto"/>
          </w:tcPr>
          <w:p w:rsidR="0031381E" w:rsidRPr="000B0C54" w:rsidRDefault="0031381E" w:rsidP="006E252C">
            <w:pPr>
              <w:pStyle w:val="TableText"/>
            </w:pPr>
            <w:r w:rsidRPr="000B0C54">
              <w:t>The person</w:t>
            </w:r>
            <w:r w:rsidR="00A13F65">
              <w:t>’</w:t>
            </w:r>
            <w:r w:rsidRPr="000B0C54">
              <w:t xml:space="preserve">s </w:t>
            </w:r>
            <w:r>
              <w:t>s</w:t>
            </w:r>
            <w:r w:rsidRPr="000B0C54">
              <w:t xml:space="preserve">upport </w:t>
            </w:r>
            <w:r>
              <w:t>p</w:t>
            </w:r>
            <w:r w:rsidRPr="000B0C54">
              <w:t>lan</w:t>
            </w:r>
            <w:r>
              <w:t>/medication order</w:t>
            </w:r>
            <w:r w:rsidRPr="000B0C54">
              <w:t xml:space="preserve"> must provide clear instructions</w:t>
            </w:r>
            <w:r>
              <w:t>,</w:t>
            </w:r>
            <w:r w:rsidRPr="000B0C54">
              <w:t xml:space="preserve"> including how much of the product is to be applied. Training and assessment must include the correct techniques for the safe administration of topical medications</w:t>
            </w:r>
            <w:r w:rsidR="006E252C">
              <w:t>.</w:t>
            </w:r>
          </w:p>
        </w:tc>
      </w:tr>
      <w:tr w:rsidR="0031381E" w:rsidRPr="001E52E3" w:rsidTr="006E252C">
        <w:trPr>
          <w:cantSplit/>
        </w:trPr>
        <w:tc>
          <w:tcPr>
            <w:tcW w:w="1843" w:type="dxa"/>
            <w:shd w:val="clear" w:color="auto" w:fill="auto"/>
          </w:tcPr>
          <w:p w:rsidR="0031381E" w:rsidRPr="001E52E3" w:rsidRDefault="0031381E" w:rsidP="006E252C">
            <w:pPr>
              <w:pStyle w:val="TableText"/>
              <w:ind w:right="113"/>
            </w:pPr>
            <w:r w:rsidRPr="001E52E3">
              <w:t>Sublingual</w:t>
            </w:r>
            <w:r w:rsidR="00A13F65">
              <w:t xml:space="preserve"> </w:t>
            </w:r>
            <w:r w:rsidRPr="001E52E3">
              <w:t>tablets/ sprays</w:t>
            </w:r>
          </w:p>
        </w:tc>
        <w:tc>
          <w:tcPr>
            <w:tcW w:w="6237" w:type="dxa"/>
            <w:shd w:val="clear" w:color="auto" w:fill="auto"/>
          </w:tcPr>
          <w:p w:rsidR="0031381E" w:rsidRPr="000B0C54" w:rsidRDefault="0031381E" w:rsidP="006E252C">
            <w:pPr>
              <w:pStyle w:val="TableText"/>
            </w:pPr>
            <w:r w:rsidRPr="000B0C54">
              <w:t>The person</w:t>
            </w:r>
            <w:r w:rsidR="00A13F65">
              <w:t>’</w:t>
            </w:r>
            <w:r w:rsidRPr="000B0C54">
              <w:t xml:space="preserve">s </w:t>
            </w:r>
            <w:r>
              <w:t>s</w:t>
            </w:r>
            <w:r w:rsidRPr="000B0C54">
              <w:t xml:space="preserve">upport </w:t>
            </w:r>
            <w:r>
              <w:t>p</w:t>
            </w:r>
            <w:r w:rsidRPr="000B0C54">
              <w:t>lan/</w:t>
            </w:r>
            <w:r>
              <w:t>m</w:t>
            </w:r>
            <w:r w:rsidRPr="000B0C54">
              <w:t xml:space="preserve">edication </w:t>
            </w:r>
            <w:r>
              <w:t>o</w:t>
            </w:r>
            <w:r w:rsidRPr="000B0C54">
              <w:t>rder must provide clear instructions</w:t>
            </w:r>
            <w:r>
              <w:t>,</w:t>
            </w:r>
            <w:r w:rsidRPr="000B0C54">
              <w:t xml:space="preserve"> including when and how much medication is to be administered. Training and assessment must include the correct techniques for the safe administration of medication via these routes</w:t>
            </w:r>
            <w:r w:rsidR="006E252C">
              <w:t>.</w:t>
            </w:r>
          </w:p>
        </w:tc>
      </w:tr>
    </w:tbl>
    <w:p w:rsidR="0031381E" w:rsidRPr="00E46327" w:rsidRDefault="0031381E" w:rsidP="006E252C"/>
    <w:p w:rsidR="00A13F65" w:rsidRDefault="0031381E" w:rsidP="006E252C">
      <w:pPr>
        <w:pStyle w:val="Heading1"/>
        <w:ind w:left="992" w:hanging="992"/>
      </w:pPr>
      <w:bookmarkStart w:id="39" w:name="_Toc2771081"/>
      <w:bookmarkStart w:id="40" w:name="_Toc2771788"/>
      <w:bookmarkStart w:id="41" w:name="_Toc7782232"/>
      <w:r>
        <w:lastRenderedPageBreak/>
        <w:t>8</w:t>
      </w:r>
      <w:r w:rsidRPr="00092ECC">
        <w:tab/>
        <w:t>Supply, checking, storage and returns</w:t>
      </w:r>
      <w:bookmarkEnd w:id="39"/>
      <w:bookmarkEnd w:id="40"/>
      <w:bookmarkEnd w:id="41"/>
    </w:p>
    <w:p w:rsidR="00A13F65" w:rsidRDefault="0031381E" w:rsidP="006E252C">
      <w:r>
        <w:t>T</w:t>
      </w:r>
      <w:r w:rsidRPr="00021A90">
        <w:t>he person or their family/wh</w:t>
      </w:r>
      <w:r w:rsidRPr="000B7B2D">
        <w:t>ā</w:t>
      </w:r>
      <w:r w:rsidRPr="00021A90">
        <w:t xml:space="preserve">nau </w:t>
      </w:r>
      <w:r>
        <w:t>is</w:t>
      </w:r>
      <w:r w:rsidRPr="00021A90">
        <w:t xml:space="preserve"> responsible for their</w:t>
      </w:r>
      <w:r>
        <w:t xml:space="preserve"> </w:t>
      </w:r>
      <w:r w:rsidRPr="00021A90">
        <w:t>medication supply, checking, storage and return of medications.</w:t>
      </w:r>
    </w:p>
    <w:p w:rsidR="0031381E" w:rsidRPr="00021A90" w:rsidRDefault="0031381E" w:rsidP="006E252C"/>
    <w:p w:rsidR="0031381E" w:rsidRPr="00247159" w:rsidRDefault="0031381E" w:rsidP="006E252C">
      <w:pPr>
        <w:pStyle w:val="Heading2"/>
      </w:pPr>
      <w:bookmarkStart w:id="42" w:name="_Toc2771082"/>
      <w:bookmarkStart w:id="43" w:name="_Toc2771789"/>
      <w:bookmarkStart w:id="44" w:name="_Toc7782233"/>
      <w:r>
        <w:t>8.1</w:t>
      </w:r>
      <w:r w:rsidRPr="00247159">
        <w:tab/>
        <w:t>Supply</w:t>
      </w:r>
      <w:bookmarkEnd w:id="42"/>
      <w:bookmarkEnd w:id="43"/>
      <w:bookmarkEnd w:id="44"/>
    </w:p>
    <w:p w:rsidR="00A13F65" w:rsidRDefault="0031381E" w:rsidP="006E252C">
      <w:r w:rsidRPr="00021A90">
        <w:t xml:space="preserve">Medication </w:t>
      </w:r>
      <w:r>
        <w:t xml:space="preserve">should </w:t>
      </w:r>
      <w:r w:rsidRPr="00021A90">
        <w:t xml:space="preserve">be collected </w:t>
      </w:r>
      <w:r>
        <w:t xml:space="preserve">from the issuing pharmacy </w:t>
      </w:r>
      <w:r w:rsidRPr="00021A90">
        <w:t>by a family</w:t>
      </w:r>
      <w:r>
        <w:t>/</w:t>
      </w:r>
      <w:r w:rsidRPr="00021A90">
        <w:t>wh</w:t>
      </w:r>
      <w:r w:rsidRPr="000B7B2D">
        <w:t>ā</w:t>
      </w:r>
      <w:r w:rsidRPr="00021A90">
        <w:t>nau member or delegated contact</w:t>
      </w:r>
      <w:r>
        <w:t>,</w:t>
      </w:r>
      <w:r w:rsidRPr="00021A90">
        <w:t xml:space="preserve"> or delivered by the pharmacy.</w:t>
      </w:r>
    </w:p>
    <w:p w:rsidR="006E252C" w:rsidRDefault="006E252C" w:rsidP="006E252C"/>
    <w:p w:rsidR="00A13F65" w:rsidRDefault="0031381E" w:rsidP="006E252C">
      <w:pPr>
        <w:rPr>
          <w:szCs w:val="22"/>
        </w:rPr>
      </w:pPr>
      <w:r w:rsidRPr="00021A90">
        <w:t>If the person or their family/wh</w:t>
      </w:r>
      <w:r w:rsidRPr="000B7B2D">
        <w:t>ā</w:t>
      </w:r>
      <w:r w:rsidRPr="00021A90">
        <w:t xml:space="preserve">nau are unable to </w:t>
      </w:r>
      <w:r>
        <w:t>do so,</w:t>
      </w:r>
      <w:r w:rsidRPr="00021A90">
        <w:t xml:space="preserve"> </w:t>
      </w:r>
      <w:r>
        <w:t xml:space="preserve">and </w:t>
      </w:r>
      <w:r w:rsidRPr="00021A90">
        <w:t xml:space="preserve">there is no other delegated person, the </w:t>
      </w:r>
      <w:r>
        <w:t>RN</w:t>
      </w:r>
      <w:r w:rsidRPr="00021A90">
        <w:t xml:space="preserve"> may be required to liaise with the prescriber or the pharmacist to ensure continuity of supply (</w:t>
      </w:r>
      <w:proofErr w:type="spellStart"/>
      <w:r w:rsidRPr="00021A90">
        <w:t>ie</w:t>
      </w:r>
      <w:proofErr w:type="spellEnd"/>
      <w:r>
        <w:t>,</w:t>
      </w:r>
      <w:r w:rsidRPr="00021A90">
        <w:t xml:space="preserve"> when new prescriptions </w:t>
      </w:r>
      <w:r w:rsidRPr="00E663B4">
        <w:rPr>
          <w:szCs w:val="22"/>
        </w:rPr>
        <w:t>are required).</w:t>
      </w:r>
      <w:r>
        <w:rPr>
          <w:szCs w:val="22"/>
        </w:rPr>
        <w:t xml:space="preserve"> In this instance, t</w:t>
      </w:r>
      <w:r w:rsidRPr="00E61EC2">
        <w:rPr>
          <w:szCs w:val="22"/>
        </w:rPr>
        <w:t xml:space="preserve">he service agreement/consent and </w:t>
      </w:r>
      <w:r>
        <w:rPr>
          <w:szCs w:val="22"/>
        </w:rPr>
        <w:t>support plan</w:t>
      </w:r>
      <w:r w:rsidRPr="00E61EC2">
        <w:rPr>
          <w:szCs w:val="22"/>
        </w:rPr>
        <w:t xml:space="preserve"> must specify the responsibilities of each party regarding the services to be provided</w:t>
      </w:r>
      <w:r>
        <w:rPr>
          <w:szCs w:val="22"/>
        </w:rPr>
        <w:t>,</w:t>
      </w:r>
      <w:r w:rsidRPr="00E61EC2">
        <w:rPr>
          <w:szCs w:val="22"/>
        </w:rPr>
        <w:t xml:space="preserve"> and </w:t>
      </w:r>
      <w:r>
        <w:rPr>
          <w:szCs w:val="22"/>
        </w:rPr>
        <w:t xml:space="preserve">how </w:t>
      </w:r>
      <w:r w:rsidRPr="00E61EC2">
        <w:rPr>
          <w:szCs w:val="22"/>
        </w:rPr>
        <w:t>costs associated with delivery of medication</w:t>
      </w:r>
      <w:r>
        <w:rPr>
          <w:szCs w:val="22"/>
        </w:rPr>
        <w:t xml:space="preserve"> will be met</w:t>
      </w:r>
      <w:r w:rsidRPr="00E61EC2">
        <w:rPr>
          <w:szCs w:val="22"/>
        </w:rPr>
        <w:t>.</w:t>
      </w:r>
    </w:p>
    <w:p w:rsidR="006E252C" w:rsidRDefault="006E252C" w:rsidP="006E252C"/>
    <w:p w:rsidR="0031381E" w:rsidRDefault="0031381E" w:rsidP="006E252C">
      <w:r w:rsidRPr="00E61EC2">
        <w:t>When a new supply of medication arrive</w:t>
      </w:r>
      <w:r>
        <w:t>s</w:t>
      </w:r>
      <w:r w:rsidRPr="00E61EC2">
        <w:t>, a designated staff member</w:t>
      </w:r>
      <w:r w:rsidRPr="006E252C">
        <w:rPr>
          <w:rStyle w:val="FootnoteReference"/>
        </w:rPr>
        <w:footnoteReference w:id="8"/>
      </w:r>
      <w:r>
        <w:t xml:space="preserve"> must </w:t>
      </w:r>
      <w:r w:rsidRPr="00E61EC2">
        <w:t xml:space="preserve">check the medication is correct </w:t>
      </w:r>
      <w:r>
        <w:t>according to individual m</w:t>
      </w:r>
      <w:r w:rsidRPr="00E61EC2">
        <w:t xml:space="preserve">edication </w:t>
      </w:r>
      <w:r>
        <w:t>o</w:t>
      </w:r>
      <w:r w:rsidRPr="00E61EC2">
        <w:t>rder</w:t>
      </w:r>
      <w:r>
        <w:t>s</w:t>
      </w:r>
      <w:r w:rsidRPr="00E61EC2">
        <w:t>.</w:t>
      </w:r>
    </w:p>
    <w:p w:rsidR="0031381E" w:rsidRPr="00205DD4" w:rsidRDefault="0031381E" w:rsidP="006E252C"/>
    <w:p w:rsidR="00A13F65" w:rsidRDefault="0031381E" w:rsidP="006E252C">
      <w:pPr>
        <w:pStyle w:val="Heading2"/>
      </w:pPr>
      <w:bookmarkStart w:id="45" w:name="_Toc2771083"/>
      <w:bookmarkStart w:id="46" w:name="_Toc2771790"/>
      <w:bookmarkStart w:id="47" w:name="_Toc7782234"/>
      <w:r>
        <w:t>8.2</w:t>
      </w:r>
      <w:r w:rsidRPr="00247159">
        <w:tab/>
      </w:r>
      <w:r>
        <w:t>Checking</w:t>
      </w:r>
      <w:bookmarkEnd w:id="45"/>
      <w:bookmarkEnd w:id="46"/>
      <w:bookmarkEnd w:id="47"/>
    </w:p>
    <w:p w:rsidR="00A13F65" w:rsidRDefault="0031381E" w:rsidP="006E252C">
      <w:r>
        <w:t>Medication orders and reconciliation are the responsibility of the prescriber.</w:t>
      </w:r>
    </w:p>
    <w:p w:rsidR="006E252C" w:rsidRDefault="006E252C" w:rsidP="006E252C"/>
    <w:p w:rsidR="0031381E" w:rsidRDefault="0031381E" w:rsidP="006E252C">
      <w:r>
        <w:t>The HCSS provider must implement operating policies on managing medication discrepancies.</w:t>
      </w:r>
    </w:p>
    <w:p w:rsidR="006E252C" w:rsidRDefault="006E252C" w:rsidP="006E252C"/>
    <w:p w:rsidR="00A13F65" w:rsidRDefault="0031381E" w:rsidP="006E252C">
      <w:r>
        <w:t>When a change in medication occurs for a person within the Prompting/supervision or Administration categories, the RN is responsible for updating the person</w:t>
      </w:r>
      <w:r w:rsidR="00A13F65">
        <w:t>’</w:t>
      </w:r>
      <w:r>
        <w:t>s support plan and communicating changes to the HSW.</w:t>
      </w:r>
    </w:p>
    <w:p w:rsidR="0031381E" w:rsidRDefault="0031381E" w:rsidP="006E252C"/>
    <w:p w:rsidR="0031381E" w:rsidRPr="00247159" w:rsidRDefault="0031381E" w:rsidP="006E252C">
      <w:pPr>
        <w:pStyle w:val="Heading2"/>
      </w:pPr>
      <w:bookmarkStart w:id="48" w:name="_Toc2771084"/>
      <w:bookmarkStart w:id="49" w:name="_Toc2771791"/>
      <w:bookmarkStart w:id="50" w:name="_Toc7782235"/>
      <w:r>
        <w:lastRenderedPageBreak/>
        <w:t>8.3</w:t>
      </w:r>
      <w:r w:rsidRPr="00247159">
        <w:tab/>
        <w:t>Storage</w:t>
      </w:r>
      <w:bookmarkEnd w:id="48"/>
      <w:bookmarkEnd w:id="49"/>
      <w:bookmarkEnd w:id="50"/>
    </w:p>
    <w:p w:rsidR="0031381E" w:rsidRPr="00E61EC2" w:rsidRDefault="0031381E" w:rsidP="006E252C">
      <w:pPr>
        <w:keepLines/>
      </w:pPr>
      <w:r w:rsidRPr="00E61EC2">
        <w:t xml:space="preserve">Medications </w:t>
      </w:r>
      <w:r>
        <w:t>should</w:t>
      </w:r>
      <w:r w:rsidRPr="00E61EC2">
        <w:t xml:space="preserve"> be stored safely</w:t>
      </w:r>
      <w:r>
        <w:t xml:space="preserve"> and securely</w:t>
      </w:r>
      <w:r w:rsidRPr="00E61EC2">
        <w:t xml:space="preserve"> in a suitable location under appropriate conditions according to the person</w:t>
      </w:r>
      <w:r w:rsidR="00A13F65">
        <w:t>’</w:t>
      </w:r>
      <w:r w:rsidRPr="00E61EC2">
        <w:t>s social and environmental situation and pharmacy instructions. Prescribed medication</w:t>
      </w:r>
      <w:r>
        <w:t>s</w:t>
      </w:r>
      <w:r w:rsidRPr="00E61EC2">
        <w:t xml:space="preserve"> must be stored in their original pharmacy</w:t>
      </w:r>
      <w:r>
        <w:t>-</w:t>
      </w:r>
      <w:r w:rsidRPr="00E61EC2">
        <w:t>dispensed packaging.</w:t>
      </w:r>
    </w:p>
    <w:p w:rsidR="006E252C" w:rsidRDefault="006E252C" w:rsidP="006E252C"/>
    <w:p w:rsidR="0031381E" w:rsidRPr="00E61EC2" w:rsidRDefault="0031381E" w:rsidP="006E252C">
      <w:r w:rsidRPr="00E61EC2">
        <w:t xml:space="preserve">Storage </w:t>
      </w:r>
      <w:r>
        <w:t>considerations</w:t>
      </w:r>
      <w:r w:rsidRPr="00E61EC2">
        <w:t xml:space="preserve"> include:</w:t>
      </w:r>
    </w:p>
    <w:p w:rsidR="0031381E" w:rsidRPr="00E61EC2" w:rsidRDefault="0031381E" w:rsidP="006E252C">
      <w:pPr>
        <w:pStyle w:val="Bullet"/>
      </w:pPr>
      <w:r>
        <w:t>s</w:t>
      </w:r>
      <w:r w:rsidRPr="00E61EC2">
        <w:t xml:space="preserve">toring the medicines in a place unable to be accessed by children </w:t>
      </w:r>
      <w:r>
        <w:t xml:space="preserve">or </w:t>
      </w:r>
      <w:r w:rsidRPr="00E61EC2">
        <w:t>vulnerable or unauthorised people</w:t>
      </w:r>
    </w:p>
    <w:p w:rsidR="00A13F65" w:rsidRDefault="0031381E" w:rsidP="006E252C">
      <w:pPr>
        <w:pStyle w:val="Bullet"/>
      </w:pPr>
      <w:r>
        <w:t>t</w:t>
      </w:r>
      <w:r w:rsidRPr="00E61EC2">
        <w:t>he use of a lock box</w:t>
      </w:r>
    </w:p>
    <w:p w:rsidR="00A13F65" w:rsidRDefault="0031381E" w:rsidP="006E252C">
      <w:pPr>
        <w:pStyle w:val="Bullet"/>
      </w:pPr>
      <w:proofErr w:type="gramStart"/>
      <w:r>
        <w:t>f</w:t>
      </w:r>
      <w:r w:rsidRPr="00E61EC2">
        <w:t>ollowing</w:t>
      </w:r>
      <w:proofErr w:type="gramEnd"/>
      <w:r w:rsidRPr="00E61EC2">
        <w:t xml:space="preserve"> special instructions for correct storage. Generally</w:t>
      </w:r>
      <w:r>
        <w:t>,</w:t>
      </w:r>
      <w:r w:rsidRPr="00E61EC2">
        <w:t xml:space="preserve"> medications are stored at room temperature unless otherwise specified.</w:t>
      </w:r>
    </w:p>
    <w:p w:rsidR="0031381E" w:rsidRPr="00E61EC2" w:rsidRDefault="0031381E" w:rsidP="006E252C"/>
    <w:p w:rsidR="0031381E" w:rsidRPr="00DB5A3A" w:rsidRDefault="0031381E" w:rsidP="006E252C">
      <w:r w:rsidRPr="00DB5A3A">
        <w:rPr>
          <w:b/>
        </w:rPr>
        <w:t>Note:</w:t>
      </w:r>
      <w:r w:rsidRPr="00DB5A3A">
        <w:t xml:space="preserve"> </w:t>
      </w:r>
      <w:r>
        <w:t xml:space="preserve">According to </w:t>
      </w:r>
      <w:proofErr w:type="spellStart"/>
      <w:r>
        <w:t>t</w:t>
      </w:r>
      <w:r w:rsidRPr="00DB5A3A">
        <w:t>ikanga</w:t>
      </w:r>
      <w:proofErr w:type="spellEnd"/>
      <w:r w:rsidRPr="00DB5A3A">
        <w:t xml:space="preserve"> best</w:t>
      </w:r>
      <w:r>
        <w:t>-</w:t>
      </w:r>
      <w:r w:rsidRPr="00DB5A3A">
        <w:t>practice guidelines</w:t>
      </w:r>
      <w:r>
        <w:t>,</w:t>
      </w:r>
      <w:r w:rsidRPr="00FF4FBA">
        <w:t xml:space="preserve"> </w:t>
      </w:r>
      <w:r w:rsidRPr="00DB5A3A">
        <w:t>where fridges and freezers are used to store food, drink and medication for human consumption, they should be clearly marked and not used for any other purpose (</w:t>
      </w:r>
      <w:proofErr w:type="spellStart"/>
      <w:r w:rsidRPr="00DB5A3A">
        <w:rPr>
          <w:noProof/>
        </w:rPr>
        <w:t>Te</w:t>
      </w:r>
      <w:proofErr w:type="spellEnd"/>
      <w:r w:rsidRPr="00DB5A3A">
        <w:rPr>
          <w:noProof/>
        </w:rPr>
        <w:t xml:space="preserve"> Rūnanga o Ngāti Whātua 2014).</w:t>
      </w:r>
    </w:p>
    <w:p w:rsidR="0031381E" w:rsidRPr="00D84A40" w:rsidRDefault="0031381E" w:rsidP="006E252C"/>
    <w:p w:rsidR="0031381E" w:rsidRPr="00205DD4" w:rsidRDefault="0031381E" w:rsidP="006E252C">
      <w:pPr>
        <w:pStyle w:val="Heading2"/>
      </w:pPr>
      <w:bookmarkStart w:id="51" w:name="_Toc2771085"/>
      <w:bookmarkStart w:id="52" w:name="_Toc2771792"/>
      <w:bookmarkStart w:id="53" w:name="_Toc7782236"/>
      <w:r>
        <w:t>8.4</w:t>
      </w:r>
      <w:r w:rsidRPr="00205DD4">
        <w:tab/>
        <w:t>Returns</w:t>
      </w:r>
      <w:bookmarkEnd w:id="51"/>
      <w:bookmarkEnd w:id="52"/>
      <w:bookmarkEnd w:id="53"/>
    </w:p>
    <w:p w:rsidR="0031381E" w:rsidRDefault="0031381E" w:rsidP="006E252C">
      <w:r w:rsidRPr="00E61EC2">
        <w:t>Medications that are no longer needed, or no longer prescribed, should be separated from normal supply and returned to the pharmac</w:t>
      </w:r>
      <w:r>
        <w:t>y</w:t>
      </w:r>
      <w:r w:rsidRPr="00E61EC2">
        <w:t xml:space="preserve"> for safe disposal. The return of medications to a pharmacy is primarily the responsibility of </w:t>
      </w:r>
      <w:r>
        <w:t xml:space="preserve">a person </w:t>
      </w:r>
      <w:r w:rsidRPr="00E61EC2">
        <w:t>or their family/wh</w:t>
      </w:r>
      <w:r w:rsidRPr="000B7B2D">
        <w:t>ā</w:t>
      </w:r>
      <w:r w:rsidRPr="00E61EC2">
        <w:t xml:space="preserve">nau. </w:t>
      </w:r>
      <w:r>
        <w:t>If this is not possible (</w:t>
      </w:r>
      <w:proofErr w:type="spellStart"/>
      <w:r>
        <w:t>ie</w:t>
      </w:r>
      <w:proofErr w:type="spellEnd"/>
      <w:r>
        <w:t>, if a person or their family is unable to take responsibility for this for whatever reason)</w:t>
      </w:r>
      <w:r w:rsidRPr="00E61EC2">
        <w:t>, the HSW should inform the RN of medication to be returned.</w:t>
      </w:r>
    </w:p>
    <w:p w:rsidR="006E252C" w:rsidRPr="00E61EC2" w:rsidRDefault="006E252C" w:rsidP="006E252C"/>
    <w:p w:rsidR="0031381E" w:rsidRPr="009A2454" w:rsidRDefault="0031381E" w:rsidP="00531BA5">
      <w:pPr>
        <w:pStyle w:val="Heading1"/>
        <w:ind w:left="992" w:hanging="992"/>
      </w:pPr>
      <w:bookmarkStart w:id="54" w:name="_Toc2771086"/>
      <w:bookmarkStart w:id="55" w:name="_Toc2771793"/>
      <w:bookmarkStart w:id="56" w:name="_Toc7782237"/>
      <w:r>
        <w:lastRenderedPageBreak/>
        <w:t>9</w:t>
      </w:r>
      <w:r w:rsidRPr="009A2454">
        <w:tab/>
      </w:r>
      <w:r>
        <w:t xml:space="preserve">Medication </w:t>
      </w:r>
      <w:r w:rsidRPr="009A2454">
        <w:t>review</w:t>
      </w:r>
      <w:bookmarkEnd w:id="54"/>
      <w:bookmarkEnd w:id="55"/>
      <w:bookmarkEnd w:id="56"/>
    </w:p>
    <w:p w:rsidR="00A13F65" w:rsidRDefault="0031381E" w:rsidP="00531BA5">
      <w:r>
        <w:t xml:space="preserve">The authorised prescriber is responsible for </w:t>
      </w:r>
      <w:r w:rsidRPr="005841D7">
        <w:t>review</w:t>
      </w:r>
      <w:r>
        <w:t>ing</w:t>
      </w:r>
      <w:r w:rsidRPr="005841D7">
        <w:t xml:space="preserve"> </w:t>
      </w:r>
      <w:r>
        <w:t>a</w:t>
      </w:r>
      <w:r w:rsidRPr="005841D7">
        <w:t xml:space="preserve"> person</w:t>
      </w:r>
      <w:r w:rsidR="00A13F65">
        <w:t>’</w:t>
      </w:r>
      <w:r w:rsidRPr="005841D7">
        <w:t xml:space="preserve">s </w:t>
      </w:r>
      <w:r>
        <w:t>medications.</w:t>
      </w:r>
    </w:p>
    <w:p w:rsidR="00531BA5" w:rsidRDefault="00531BA5" w:rsidP="00531BA5"/>
    <w:p w:rsidR="00A13F65" w:rsidRDefault="0031381E" w:rsidP="00531BA5">
      <w:r w:rsidRPr="005841D7">
        <w:t xml:space="preserve">The responsible </w:t>
      </w:r>
      <w:r>
        <w:t>RN</w:t>
      </w:r>
      <w:r w:rsidRPr="005841D7">
        <w:t xml:space="preserve"> </w:t>
      </w:r>
      <w:r>
        <w:t xml:space="preserve">must </w:t>
      </w:r>
      <w:r w:rsidRPr="005841D7">
        <w:t>ensure that people receive continuity of service</w:t>
      </w:r>
      <w:r>
        <w:t>,</w:t>
      </w:r>
      <w:r w:rsidRPr="005841D7">
        <w:t xml:space="preserve"> through effective links with the person</w:t>
      </w:r>
      <w:r w:rsidR="00A13F65">
        <w:t>’</w:t>
      </w:r>
      <w:r w:rsidRPr="005841D7">
        <w:t xml:space="preserve">s </w:t>
      </w:r>
      <w:r>
        <w:t>prescriber</w:t>
      </w:r>
      <w:r w:rsidRPr="005841D7">
        <w:t xml:space="preserve"> and </w:t>
      </w:r>
      <w:r>
        <w:t>pharmacy</w:t>
      </w:r>
      <w:r w:rsidRPr="005841D7">
        <w:t>.</w:t>
      </w:r>
      <w:r>
        <w:t xml:space="preserve"> The RN needs to provide feedback to the prescriber if they have any concerns, to ensure risks to the person are minimised.</w:t>
      </w:r>
    </w:p>
    <w:p w:rsidR="0031381E" w:rsidRPr="005841D7" w:rsidRDefault="0031381E" w:rsidP="00531BA5"/>
    <w:p w:rsidR="00A13F65" w:rsidRDefault="0031381E" w:rsidP="00531BA5">
      <w:pPr>
        <w:pStyle w:val="Heading1"/>
        <w:ind w:left="1134" w:hanging="1134"/>
      </w:pPr>
      <w:bookmarkStart w:id="57" w:name="_Toc2771087"/>
      <w:bookmarkStart w:id="58" w:name="_Toc2771794"/>
      <w:bookmarkStart w:id="59" w:name="_Toc7782238"/>
      <w:r>
        <w:lastRenderedPageBreak/>
        <w:t>10</w:t>
      </w:r>
      <w:r w:rsidRPr="00D31BEC">
        <w:tab/>
        <w:t>Transcribing of medicines</w:t>
      </w:r>
      <w:bookmarkEnd w:id="57"/>
      <w:bookmarkEnd w:id="58"/>
      <w:bookmarkEnd w:id="59"/>
    </w:p>
    <w:p w:rsidR="00A13F65" w:rsidRDefault="0031381E" w:rsidP="00531BA5">
      <w:pPr>
        <w:rPr>
          <w:lang w:eastAsia="en-US"/>
        </w:rPr>
      </w:pPr>
      <w:r>
        <w:rPr>
          <w:lang w:eastAsia="en-US"/>
        </w:rPr>
        <w:t>T</w:t>
      </w:r>
      <w:r w:rsidRPr="00BC2B2F">
        <w:rPr>
          <w:lang w:eastAsia="en-US"/>
        </w:rPr>
        <w:t xml:space="preserve">he </w:t>
      </w:r>
      <w:r>
        <w:rPr>
          <w:lang w:eastAsia="en-US"/>
        </w:rPr>
        <w:t xml:space="preserve">New Zealand Nurses Organisation does not support transcribing as a </w:t>
      </w:r>
      <w:r w:rsidRPr="00BC2B2F">
        <w:rPr>
          <w:lang w:eastAsia="en-US"/>
        </w:rPr>
        <w:t>routine practice</w:t>
      </w:r>
      <w:r>
        <w:rPr>
          <w:lang w:eastAsia="en-US"/>
        </w:rPr>
        <w:t xml:space="preserve">, but </w:t>
      </w:r>
      <w:r w:rsidRPr="00BC2B2F">
        <w:rPr>
          <w:lang w:eastAsia="en-US"/>
        </w:rPr>
        <w:t>acknowledge</w:t>
      </w:r>
      <w:r>
        <w:rPr>
          <w:lang w:eastAsia="en-US"/>
        </w:rPr>
        <w:t>s</w:t>
      </w:r>
      <w:r w:rsidRPr="00BC2B2F">
        <w:rPr>
          <w:lang w:eastAsia="en-US"/>
        </w:rPr>
        <w:t xml:space="preserve"> </w:t>
      </w:r>
      <w:r>
        <w:rPr>
          <w:lang w:eastAsia="en-US"/>
        </w:rPr>
        <w:t xml:space="preserve">that </w:t>
      </w:r>
      <w:r w:rsidRPr="00BC2B2F">
        <w:rPr>
          <w:lang w:eastAsia="en-US"/>
        </w:rPr>
        <w:t xml:space="preserve">there may be </w:t>
      </w:r>
      <w:r>
        <w:rPr>
          <w:lang w:eastAsia="en-US"/>
        </w:rPr>
        <w:t xml:space="preserve">circumstances in which it is appropriate, where relevant </w:t>
      </w:r>
      <w:r w:rsidRPr="00BC2B2F">
        <w:rPr>
          <w:lang w:eastAsia="en-US"/>
        </w:rPr>
        <w:t xml:space="preserve">guidance, education, policies and procedures </w:t>
      </w:r>
      <w:r>
        <w:rPr>
          <w:lang w:eastAsia="en-US"/>
        </w:rPr>
        <w:t xml:space="preserve">are </w:t>
      </w:r>
      <w:r w:rsidRPr="00BC2B2F">
        <w:rPr>
          <w:lang w:eastAsia="en-US"/>
        </w:rPr>
        <w:t>in place</w:t>
      </w:r>
      <w:r>
        <w:rPr>
          <w:lang w:eastAsia="en-US"/>
        </w:rPr>
        <w:t xml:space="preserve"> (New Zealand Nurses Organisation 2016).</w:t>
      </w:r>
    </w:p>
    <w:p w:rsidR="00531BA5" w:rsidRDefault="00531BA5" w:rsidP="00531BA5">
      <w:pPr>
        <w:rPr>
          <w:lang w:eastAsia="en-US"/>
        </w:rPr>
      </w:pPr>
    </w:p>
    <w:p w:rsidR="00A13F65" w:rsidRDefault="0031381E" w:rsidP="00531BA5">
      <w:pPr>
        <w:rPr>
          <w:lang w:eastAsia="en-US"/>
        </w:rPr>
      </w:pPr>
      <w:r w:rsidRPr="00BC2B2F">
        <w:rPr>
          <w:lang w:eastAsia="en-US"/>
        </w:rPr>
        <w:t xml:space="preserve">Each </w:t>
      </w:r>
      <w:r>
        <w:rPr>
          <w:lang w:eastAsia="en-US"/>
        </w:rPr>
        <w:t xml:space="preserve">HCSS Provider is </w:t>
      </w:r>
      <w:r w:rsidRPr="00BC2B2F">
        <w:rPr>
          <w:lang w:eastAsia="en-US"/>
        </w:rPr>
        <w:t xml:space="preserve">responsible for </w:t>
      </w:r>
      <w:r>
        <w:rPr>
          <w:lang w:eastAsia="en-US"/>
        </w:rPr>
        <w:t>implementing policies and procedures that outline if and how transcribing is practiced within their organisation.</w:t>
      </w:r>
    </w:p>
    <w:p w:rsidR="00531BA5" w:rsidRDefault="00531BA5" w:rsidP="00531BA5">
      <w:pPr>
        <w:rPr>
          <w:lang w:eastAsia="en-US"/>
        </w:rPr>
      </w:pPr>
    </w:p>
    <w:p w:rsidR="00A13F65" w:rsidRDefault="0031381E" w:rsidP="00531BA5">
      <w:pPr>
        <w:pStyle w:val="Heading1"/>
      </w:pPr>
      <w:bookmarkStart w:id="60" w:name="_Toc2771088"/>
      <w:bookmarkStart w:id="61" w:name="_Toc2771795"/>
      <w:bookmarkStart w:id="62" w:name="_Toc7782239"/>
      <w:r w:rsidRPr="00884EA4">
        <w:lastRenderedPageBreak/>
        <w:t>References</w:t>
      </w:r>
      <w:bookmarkEnd w:id="60"/>
      <w:bookmarkEnd w:id="61"/>
      <w:bookmarkEnd w:id="62"/>
    </w:p>
    <w:p w:rsidR="0031381E" w:rsidRPr="008851DD" w:rsidRDefault="0031381E" w:rsidP="00531BA5">
      <w:pPr>
        <w:pStyle w:val="References"/>
        <w:rPr>
          <w:noProof/>
        </w:rPr>
      </w:pPr>
      <w:r w:rsidRPr="008851DD">
        <w:rPr>
          <w:noProof/>
        </w:rPr>
        <w:fldChar w:fldCharType="begin"/>
      </w:r>
      <w:r w:rsidRPr="008851DD">
        <w:rPr>
          <w:noProof/>
        </w:rPr>
        <w:instrText xml:space="preserve"> BIBLIOGRAPHY  \l 5129 </w:instrText>
      </w:r>
      <w:r w:rsidRPr="008851DD">
        <w:rPr>
          <w:noProof/>
        </w:rPr>
        <w:fldChar w:fldCharType="separate"/>
      </w:r>
      <w:r w:rsidRPr="008851DD">
        <w:rPr>
          <w:noProof/>
        </w:rPr>
        <w:t xml:space="preserve">Careerforce. 2015. </w:t>
      </w:r>
      <w:r w:rsidRPr="008851DD">
        <w:rPr>
          <w:i/>
          <w:iCs/>
          <w:noProof/>
        </w:rPr>
        <w:t>Learning Guide: Pre-packaged medication</w:t>
      </w:r>
      <w:r w:rsidRPr="008851DD">
        <w:rPr>
          <w:iCs/>
          <w:noProof/>
        </w:rPr>
        <w:t>.</w:t>
      </w:r>
      <w:r w:rsidRPr="008851DD">
        <w:rPr>
          <w:noProof/>
        </w:rPr>
        <w:t xml:space="preserve"> URL: </w:t>
      </w:r>
      <w:r w:rsidRPr="00531BA5">
        <w:rPr>
          <w:rStyle w:val="Hyperlink"/>
        </w:rPr>
        <w:t>http://library.careerforce.org.nz/Learning%20Assessment%20Resources/LG23685-3.0.pdf</w:t>
      </w:r>
      <w:r w:rsidRPr="008851DD">
        <w:rPr>
          <w:noProof/>
        </w:rPr>
        <w:t xml:space="preserve"> (a</w:t>
      </w:r>
      <w:r w:rsidR="00531BA5">
        <w:rPr>
          <w:noProof/>
        </w:rPr>
        <w:t>c</w:t>
      </w:r>
      <w:r w:rsidRPr="008851DD">
        <w:rPr>
          <w:noProof/>
        </w:rPr>
        <w:t>cessed 23 January 2019).</w:t>
      </w:r>
    </w:p>
    <w:p w:rsidR="0031381E" w:rsidRDefault="0031381E" w:rsidP="00531BA5">
      <w:pPr>
        <w:pStyle w:val="References"/>
        <w:rPr>
          <w:noProof/>
        </w:rPr>
      </w:pPr>
      <w:r w:rsidRPr="008851DD">
        <w:rPr>
          <w:noProof/>
        </w:rPr>
        <w:t xml:space="preserve">Health &amp; Disability Commissioner. </w:t>
      </w:r>
      <w:r w:rsidRPr="008851DD">
        <w:rPr>
          <w:noProof/>
        </w:rPr>
        <w:fldChar w:fldCharType="end"/>
      </w:r>
      <w:r w:rsidRPr="008851DD">
        <w:rPr>
          <w:noProof/>
        </w:rPr>
        <w:t>C</w:t>
      </w:r>
      <w:r>
        <w:rPr>
          <w:noProof/>
        </w:rPr>
        <w:t>ode of Health and Disability Services Consumers</w:t>
      </w:r>
      <w:r w:rsidR="00A13F65">
        <w:rPr>
          <w:noProof/>
        </w:rPr>
        <w:t>’</w:t>
      </w:r>
      <w:r>
        <w:rPr>
          <w:noProof/>
        </w:rPr>
        <w:t xml:space="preserve"> Rights (the Code) 1996. ULR:</w:t>
      </w:r>
      <w:r w:rsidR="00A13F65">
        <w:rPr>
          <w:noProof/>
        </w:rPr>
        <w:t xml:space="preserve"> </w:t>
      </w:r>
      <w:hyperlink r:id="rId20" w:history="1">
        <w:r w:rsidRPr="003031FA">
          <w:rPr>
            <w:rStyle w:val="Hyperlink"/>
            <w:noProof/>
          </w:rPr>
          <w:t>https://www.hdc.org.nz/disability/the-code-and-your-rights/</w:t>
        </w:r>
      </w:hyperlink>
      <w:r>
        <w:rPr>
          <w:noProof/>
        </w:rPr>
        <w:t xml:space="preserve"> (accessed 6 March 2019).</w:t>
      </w:r>
    </w:p>
    <w:p w:rsidR="0031381E" w:rsidRPr="00B87FFB" w:rsidRDefault="0031381E" w:rsidP="00531BA5">
      <w:pPr>
        <w:pStyle w:val="References"/>
      </w:pPr>
      <w:r w:rsidRPr="00B87FFB">
        <w:t>Health</w:t>
      </w:r>
      <w:r>
        <w:t xml:space="preserve"> Practitioners Competence Assurance Act 2003. URL: </w:t>
      </w:r>
      <w:hyperlink r:id="rId21" w:history="1">
        <w:r w:rsidRPr="003031FA">
          <w:rPr>
            <w:rStyle w:val="Hyperlink"/>
          </w:rPr>
          <w:t>http://www.legislation.govt.nz/act/public/2003/0048/latest/DLM203312.html?search=sw_096be8ed8166e49d_registered+health+professional_50_se&amp;p=1</w:t>
        </w:r>
      </w:hyperlink>
      <w:r>
        <w:t xml:space="preserve"> (accessed 6 March 2019).</w:t>
      </w:r>
    </w:p>
    <w:p w:rsidR="0031381E" w:rsidRDefault="0031381E" w:rsidP="00531BA5">
      <w:pPr>
        <w:pStyle w:val="References"/>
        <w:rPr>
          <w:noProof/>
        </w:rPr>
      </w:pPr>
      <w:r>
        <w:rPr>
          <w:noProof/>
        </w:rPr>
        <w:t xml:space="preserve">Medicines Act 1981. URL: </w:t>
      </w:r>
      <w:hyperlink r:id="rId22" w:history="1">
        <w:r w:rsidRPr="003031FA">
          <w:rPr>
            <w:rStyle w:val="Hyperlink"/>
            <w:noProof/>
          </w:rPr>
          <w:t>http://www.legislation.govt.nz/act/public/1981/0118/69.0/DLM53790.html</w:t>
        </w:r>
      </w:hyperlink>
      <w:r>
        <w:rPr>
          <w:noProof/>
        </w:rPr>
        <w:t xml:space="preserve"> (accessed 6 March 2019).</w:t>
      </w:r>
    </w:p>
    <w:p w:rsidR="0031381E" w:rsidRDefault="0031381E" w:rsidP="00531BA5">
      <w:pPr>
        <w:pStyle w:val="References"/>
        <w:rPr>
          <w:noProof/>
        </w:rPr>
      </w:pPr>
      <w:r>
        <w:rPr>
          <w:noProof/>
        </w:rPr>
        <w:t xml:space="preserve">Medsafe. 2015. </w:t>
      </w:r>
      <w:r>
        <w:rPr>
          <w:i/>
          <w:noProof/>
        </w:rPr>
        <w:t xml:space="preserve">Reporting Adverse Medicine Reactions. </w:t>
      </w:r>
      <w:r>
        <w:rPr>
          <w:noProof/>
        </w:rPr>
        <w:t xml:space="preserve">Wellington: Medsafe. </w:t>
      </w:r>
      <w:r w:rsidRPr="00531BA5">
        <w:rPr>
          <w:rStyle w:val="Hyperlink"/>
        </w:rPr>
        <w:t>https://www.medsafe.govt.nz/profs/adverse/reactions.asp</w:t>
      </w:r>
    </w:p>
    <w:p w:rsidR="0031381E" w:rsidRPr="00DB5A3A" w:rsidRDefault="0031381E" w:rsidP="00531BA5">
      <w:pPr>
        <w:pStyle w:val="References"/>
        <w:rPr>
          <w:noProof/>
        </w:rPr>
      </w:pPr>
      <w:r>
        <w:rPr>
          <w:noProof/>
        </w:rPr>
        <w:t xml:space="preserve">Ministry of Health. 2011. </w:t>
      </w:r>
      <w:r>
        <w:rPr>
          <w:i/>
          <w:noProof/>
        </w:rPr>
        <w:t>Medicines Care Guides for Residential Aged Care</w:t>
      </w:r>
      <w:r>
        <w:rPr>
          <w:noProof/>
        </w:rPr>
        <w:t>. Wellington: Ministry of Health.</w:t>
      </w:r>
    </w:p>
    <w:p w:rsidR="0031381E" w:rsidRDefault="0031381E" w:rsidP="00531BA5">
      <w:pPr>
        <w:pStyle w:val="References"/>
        <w:rPr>
          <w:noProof/>
        </w:rPr>
      </w:pPr>
      <w:r>
        <w:rPr>
          <w:noProof/>
        </w:rPr>
        <w:t xml:space="preserve">Ministry of Health. 2013. </w:t>
      </w:r>
      <w:r w:rsidRPr="00DB5A3A">
        <w:rPr>
          <w:i/>
          <w:noProof/>
        </w:rPr>
        <w:t>Medicines Management Guide for Community Residential and Facility-based Respite Services</w:t>
      </w:r>
      <w:r>
        <w:rPr>
          <w:noProof/>
        </w:rPr>
        <w:t>. Wellington: Ministry of Health.</w:t>
      </w:r>
    </w:p>
    <w:p w:rsidR="00A13F65" w:rsidRDefault="0031381E" w:rsidP="00531BA5">
      <w:pPr>
        <w:pStyle w:val="References"/>
        <w:rPr>
          <w:noProof/>
        </w:rPr>
      </w:pPr>
      <w:r>
        <w:rPr>
          <w:noProof/>
        </w:rPr>
        <w:t xml:space="preserve">NCNZ. 2012. </w:t>
      </w:r>
      <w:r w:rsidRPr="00C4478F">
        <w:rPr>
          <w:i/>
          <w:noProof/>
        </w:rPr>
        <w:t>Competencies for Enrolled Nurses</w:t>
      </w:r>
      <w:r>
        <w:rPr>
          <w:noProof/>
        </w:rPr>
        <w:t>. Wellington: Nursing Council of New</w:t>
      </w:r>
      <w:r w:rsidR="00531BA5">
        <w:rPr>
          <w:noProof/>
        </w:rPr>
        <w:t> </w:t>
      </w:r>
      <w:r>
        <w:rPr>
          <w:noProof/>
        </w:rPr>
        <w:t>Zealand.</w:t>
      </w:r>
    </w:p>
    <w:p w:rsidR="0031381E" w:rsidRPr="00B87FFB" w:rsidRDefault="0031381E" w:rsidP="00531BA5">
      <w:pPr>
        <w:pStyle w:val="References"/>
      </w:pPr>
      <w:r>
        <w:t>NCNZ</w:t>
      </w:r>
      <w:r w:rsidR="00531BA5">
        <w:t>.</w:t>
      </w:r>
      <w:r>
        <w:t xml:space="preserve"> 2012. </w:t>
      </w:r>
      <w:r w:rsidRPr="0091305D">
        <w:rPr>
          <w:i/>
        </w:rPr>
        <w:t>Competencies for Registered Nurses</w:t>
      </w:r>
      <w:r>
        <w:rPr>
          <w:i/>
        </w:rPr>
        <w:t xml:space="preserve">. </w:t>
      </w:r>
      <w:r>
        <w:t>Wellington: Nursing Council of New</w:t>
      </w:r>
      <w:r w:rsidR="00531BA5">
        <w:t> </w:t>
      </w:r>
      <w:r>
        <w:t>Zealand.</w:t>
      </w:r>
    </w:p>
    <w:p w:rsidR="0031381E" w:rsidRDefault="0031381E" w:rsidP="00531BA5">
      <w:pPr>
        <w:pStyle w:val="References"/>
        <w:rPr>
          <w:noProof/>
        </w:rPr>
      </w:pPr>
      <w:r>
        <w:rPr>
          <w:noProof/>
        </w:rPr>
        <w:t xml:space="preserve">NCNZ. 2012. </w:t>
      </w:r>
      <w:r>
        <w:rPr>
          <w:i/>
          <w:iCs/>
          <w:noProof/>
        </w:rPr>
        <w:t xml:space="preserve">Guideline: </w:t>
      </w:r>
      <w:r w:rsidR="004554F5">
        <w:rPr>
          <w:i/>
          <w:iCs/>
          <w:noProof/>
        </w:rPr>
        <w:t>D</w:t>
      </w:r>
      <w:r>
        <w:rPr>
          <w:i/>
          <w:iCs/>
          <w:noProof/>
        </w:rPr>
        <w:t>elegation of care by a registered nurse to a health care assistant.</w:t>
      </w:r>
      <w:r>
        <w:rPr>
          <w:noProof/>
        </w:rPr>
        <w:t xml:space="preserve"> Wellington: Nursing Council of New Zealand.</w:t>
      </w:r>
    </w:p>
    <w:p w:rsidR="0031381E" w:rsidRDefault="0031381E" w:rsidP="00531BA5">
      <w:pPr>
        <w:pStyle w:val="References"/>
        <w:rPr>
          <w:noProof/>
        </w:rPr>
      </w:pPr>
      <w:r>
        <w:rPr>
          <w:noProof/>
        </w:rPr>
        <w:t xml:space="preserve">New Zealand Nurses Organisation. 2016. </w:t>
      </w:r>
      <w:r>
        <w:rPr>
          <w:i/>
          <w:iCs/>
          <w:noProof/>
        </w:rPr>
        <w:t>Transcribing Medicines</w:t>
      </w:r>
      <w:r w:rsidRPr="00DB5A3A">
        <w:rPr>
          <w:iCs/>
          <w:noProof/>
        </w:rPr>
        <w:t>.</w:t>
      </w:r>
      <w:r>
        <w:rPr>
          <w:i/>
          <w:iCs/>
          <w:noProof/>
        </w:rPr>
        <w:t xml:space="preserve"> </w:t>
      </w:r>
      <w:r>
        <w:rPr>
          <w:noProof/>
        </w:rPr>
        <w:t xml:space="preserve">URL: </w:t>
      </w:r>
      <w:r w:rsidRPr="004554F5">
        <w:rPr>
          <w:rStyle w:val="Hyperlink"/>
        </w:rPr>
        <w:t>www.nzno.org.nz/Portals/0/publications/Guideline%20-%20Transcribing%20N2016.pdf?ver=2017-12-21-120235-460</w:t>
      </w:r>
      <w:r>
        <w:rPr>
          <w:noProof/>
        </w:rPr>
        <w:t xml:space="preserve"> (accessed 24 January 2019).</w:t>
      </w:r>
    </w:p>
    <w:p w:rsidR="0031381E" w:rsidRDefault="0031381E" w:rsidP="00531BA5">
      <w:pPr>
        <w:pStyle w:val="References"/>
        <w:rPr>
          <w:noProof/>
        </w:rPr>
      </w:pPr>
      <w:r>
        <w:rPr>
          <w:noProof/>
        </w:rPr>
        <w:t xml:space="preserve">Roy DE, McKechnie RC. 2016. </w:t>
      </w:r>
      <w:r w:rsidRPr="00DB5A3A">
        <w:rPr>
          <w:iCs/>
          <w:noProof/>
        </w:rPr>
        <w:t xml:space="preserve">Non-regulated Home Support Worker </w:t>
      </w:r>
      <w:r w:rsidR="004554F5">
        <w:rPr>
          <w:iCs/>
          <w:noProof/>
        </w:rPr>
        <w:t>R</w:t>
      </w:r>
      <w:r w:rsidRPr="00DB5A3A">
        <w:rPr>
          <w:iCs/>
          <w:noProof/>
        </w:rPr>
        <w:t xml:space="preserve">ole in </w:t>
      </w:r>
      <w:r w:rsidR="004554F5">
        <w:rPr>
          <w:iCs/>
          <w:noProof/>
        </w:rPr>
        <w:t>M</w:t>
      </w:r>
      <w:r w:rsidRPr="00DB5A3A">
        <w:rPr>
          <w:iCs/>
          <w:noProof/>
        </w:rPr>
        <w:t xml:space="preserve">edication </w:t>
      </w:r>
      <w:r w:rsidR="004554F5">
        <w:rPr>
          <w:iCs/>
          <w:noProof/>
        </w:rPr>
        <w:t>S</w:t>
      </w:r>
      <w:r w:rsidRPr="00DB5A3A">
        <w:rPr>
          <w:iCs/>
          <w:noProof/>
        </w:rPr>
        <w:t xml:space="preserve">upport and </w:t>
      </w:r>
      <w:r w:rsidR="004554F5">
        <w:rPr>
          <w:iCs/>
          <w:noProof/>
        </w:rPr>
        <w:t>A</w:t>
      </w:r>
      <w:r w:rsidRPr="00DB5A3A">
        <w:rPr>
          <w:iCs/>
          <w:noProof/>
        </w:rPr>
        <w:t>dministration: A scoping review of the literature prepared for the Home &amp; Community Health Association.</w:t>
      </w:r>
      <w:r w:rsidRPr="003F1BBE">
        <w:rPr>
          <w:noProof/>
        </w:rPr>
        <w:t xml:space="preserve"> </w:t>
      </w:r>
      <w:r w:rsidRPr="003F1BBE">
        <w:rPr>
          <w:i/>
          <w:noProof/>
        </w:rPr>
        <w:t>Unitec ePress Metro Report Series (2)</w:t>
      </w:r>
      <w:r>
        <w:rPr>
          <w:noProof/>
        </w:rPr>
        <w:t>.</w:t>
      </w:r>
    </w:p>
    <w:p w:rsidR="0031381E" w:rsidRPr="00786A08" w:rsidRDefault="0031381E" w:rsidP="00531BA5">
      <w:pPr>
        <w:pStyle w:val="References"/>
      </w:pPr>
      <w:r>
        <w:t xml:space="preserve">Standards New Zealand. 2008. </w:t>
      </w:r>
      <w:r w:rsidRPr="0066452F">
        <w:rPr>
          <w:i/>
        </w:rPr>
        <w:t>NZS 8134: 2008: Health and Disability Services Standards</w:t>
      </w:r>
      <w:r>
        <w:t>. Wellington: Standards New Zealand.</w:t>
      </w:r>
    </w:p>
    <w:p w:rsidR="0031381E" w:rsidRDefault="0031381E" w:rsidP="00531BA5">
      <w:pPr>
        <w:pStyle w:val="References"/>
        <w:rPr>
          <w:noProof/>
        </w:rPr>
      </w:pPr>
      <w:r>
        <w:rPr>
          <w:noProof/>
        </w:rPr>
        <w:t xml:space="preserve">Standards New Zealand. 2012. </w:t>
      </w:r>
      <w:r w:rsidRPr="00DB5A3A">
        <w:rPr>
          <w:i/>
          <w:noProof/>
        </w:rPr>
        <w:t>NZS 8158:2012: Home and Community Support Sector Standard</w:t>
      </w:r>
      <w:r>
        <w:rPr>
          <w:noProof/>
        </w:rPr>
        <w:t>. Wellington: Standards New Zealand.</w:t>
      </w:r>
    </w:p>
    <w:p w:rsidR="0031381E" w:rsidRDefault="0031381E" w:rsidP="00531BA5">
      <w:pPr>
        <w:pStyle w:val="References"/>
        <w:rPr>
          <w:noProof/>
        </w:rPr>
      </w:pPr>
      <w:r>
        <w:rPr>
          <w:noProof/>
        </w:rPr>
        <w:lastRenderedPageBreak/>
        <w:t xml:space="preserve">Te Rūnanga o Ngāti Whātua. 2014. </w:t>
      </w:r>
      <w:r>
        <w:rPr>
          <w:i/>
          <w:iCs/>
          <w:noProof/>
        </w:rPr>
        <w:t>Tikanga Best Practice for Primary and Community Healthcare in the rohe of Ngāti Whātua</w:t>
      </w:r>
      <w:r w:rsidRPr="00DB5A3A">
        <w:rPr>
          <w:iCs/>
          <w:noProof/>
        </w:rPr>
        <w:t>.</w:t>
      </w:r>
      <w:r>
        <w:rPr>
          <w:noProof/>
        </w:rPr>
        <w:t xml:space="preserve"> Whangarei: Te Rūnanga o Ngāti Whātua.</w:t>
      </w:r>
    </w:p>
    <w:p w:rsidR="0031381E" w:rsidRDefault="0031381E" w:rsidP="00531BA5">
      <w:pPr>
        <w:pStyle w:val="References"/>
        <w:rPr>
          <w:noProof/>
        </w:rPr>
      </w:pPr>
      <w:r>
        <w:rPr>
          <w:noProof/>
        </w:rPr>
        <w:t xml:space="preserve">World Health Organization. 1972. International drug monitoring: The role of national centers. </w:t>
      </w:r>
      <w:r w:rsidRPr="00DB5A3A">
        <w:rPr>
          <w:i/>
          <w:noProof/>
        </w:rPr>
        <w:t>World Health Organization Technical Report Series</w:t>
      </w:r>
      <w:r>
        <w:rPr>
          <w:noProof/>
        </w:rPr>
        <w:t xml:space="preserve"> 498: 1–25.</w:t>
      </w:r>
    </w:p>
    <w:p w:rsidR="0031381E" w:rsidRDefault="0031381E" w:rsidP="004554F5"/>
    <w:p w:rsidR="00EC5B40" w:rsidRDefault="00EC5B40" w:rsidP="00EC5B40">
      <w:pPr>
        <w:pStyle w:val="Heading1"/>
        <w:sectPr w:rsidR="00EC5B40" w:rsidSect="006E252C">
          <w:footerReference w:type="even" r:id="rId23"/>
          <w:footerReference w:type="default" r:id="rId24"/>
          <w:pgSz w:w="11907" w:h="16834" w:code="9"/>
          <w:pgMar w:top="1418" w:right="1701" w:bottom="1134" w:left="1843" w:header="284" w:footer="425" w:gutter="284"/>
          <w:pgNumType w:start="1"/>
          <w:cols w:space="720"/>
          <w:docGrid w:linePitch="286"/>
        </w:sectPr>
      </w:pPr>
      <w:bookmarkStart w:id="63" w:name="_Toc501440518"/>
      <w:bookmarkStart w:id="64" w:name="_Toc2771089"/>
      <w:bookmarkStart w:id="65" w:name="_Toc2771796"/>
    </w:p>
    <w:p w:rsidR="0031381E" w:rsidRDefault="0031381E" w:rsidP="00EC5B40">
      <w:pPr>
        <w:pStyle w:val="Heading1"/>
      </w:pPr>
      <w:bookmarkStart w:id="66" w:name="_Toc7782240"/>
      <w:r>
        <w:lastRenderedPageBreak/>
        <w:t>Appendix 1</w:t>
      </w:r>
      <w:bookmarkEnd w:id="63"/>
      <w:proofErr w:type="gramStart"/>
      <w:r>
        <w:t>:</w:t>
      </w:r>
      <w:proofErr w:type="gramEnd"/>
      <w:r w:rsidR="00EC5B40">
        <w:br/>
      </w:r>
      <w:r>
        <w:t>Minimum requirements for best practice according to category</w:t>
      </w:r>
      <w:bookmarkEnd w:id="64"/>
      <w:bookmarkEnd w:id="65"/>
      <w:bookmarkEnd w:id="66"/>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560"/>
        <w:gridCol w:w="1488"/>
        <w:gridCol w:w="1488"/>
        <w:gridCol w:w="1914"/>
        <w:gridCol w:w="1914"/>
        <w:gridCol w:w="1559"/>
        <w:gridCol w:w="1559"/>
        <w:gridCol w:w="1559"/>
        <w:gridCol w:w="1560"/>
      </w:tblGrid>
      <w:tr w:rsidR="00EC5B40" w:rsidRPr="00EC5B40" w:rsidTr="00EC5B40">
        <w:trPr>
          <w:cantSplit/>
        </w:trPr>
        <w:tc>
          <w:tcPr>
            <w:tcW w:w="1560" w:type="dxa"/>
            <w:tcBorders>
              <w:top w:val="nil"/>
              <w:bottom w:val="nil"/>
            </w:tcBorders>
            <w:shd w:val="clear" w:color="auto" w:fill="D9D9D9" w:themeFill="background1" w:themeFillShade="D9"/>
          </w:tcPr>
          <w:p w:rsidR="0031381E" w:rsidRPr="00EC5B40" w:rsidRDefault="00EC5B40" w:rsidP="00EC5B40">
            <w:pPr>
              <w:pStyle w:val="TableText"/>
              <w:rPr>
                <w:b/>
              </w:rPr>
            </w:pPr>
            <w:r w:rsidRPr="00EC5B40">
              <w:rPr>
                <w:b/>
              </w:rPr>
              <w:t>Category</w:t>
            </w:r>
          </w:p>
        </w:tc>
        <w:tc>
          <w:tcPr>
            <w:tcW w:w="1488" w:type="dxa"/>
            <w:tcBorders>
              <w:top w:val="nil"/>
              <w:bottom w:val="nil"/>
            </w:tcBorders>
            <w:shd w:val="clear" w:color="auto" w:fill="D9D9D9" w:themeFill="background1" w:themeFillShade="D9"/>
          </w:tcPr>
          <w:p w:rsidR="0031381E" w:rsidRPr="00EC5B40" w:rsidRDefault="0031381E" w:rsidP="00EC5B40">
            <w:pPr>
              <w:pStyle w:val="TableText"/>
              <w:jc w:val="center"/>
              <w:rPr>
                <w:b/>
              </w:rPr>
            </w:pPr>
            <w:r w:rsidRPr="00EC5B40">
              <w:rPr>
                <w:b/>
              </w:rPr>
              <w:t>Medication guideline policies</w:t>
            </w:r>
          </w:p>
        </w:tc>
        <w:tc>
          <w:tcPr>
            <w:tcW w:w="1488" w:type="dxa"/>
            <w:tcBorders>
              <w:top w:val="nil"/>
              <w:bottom w:val="nil"/>
            </w:tcBorders>
            <w:shd w:val="clear" w:color="auto" w:fill="D9D9D9" w:themeFill="background1" w:themeFillShade="D9"/>
          </w:tcPr>
          <w:p w:rsidR="0031381E" w:rsidRPr="00EC5B40" w:rsidRDefault="0031381E" w:rsidP="00EC5B40">
            <w:pPr>
              <w:pStyle w:val="TableText"/>
              <w:jc w:val="center"/>
              <w:rPr>
                <w:b/>
              </w:rPr>
            </w:pPr>
            <w:r w:rsidRPr="00EC5B40">
              <w:rPr>
                <w:b/>
              </w:rPr>
              <w:t>Medication training</w:t>
            </w:r>
          </w:p>
        </w:tc>
        <w:tc>
          <w:tcPr>
            <w:tcW w:w="1914" w:type="dxa"/>
            <w:tcBorders>
              <w:top w:val="nil"/>
              <w:bottom w:val="nil"/>
            </w:tcBorders>
            <w:shd w:val="clear" w:color="auto" w:fill="D9D9D9" w:themeFill="background1" w:themeFillShade="D9"/>
          </w:tcPr>
          <w:p w:rsidR="0031381E" w:rsidRPr="00EC5B40" w:rsidRDefault="0031381E" w:rsidP="00EC5B40">
            <w:pPr>
              <w:pStyle w:val="TableText"/>
              <w:jc w:val="center"/>
              <w:rPr>
                <w:b/>
              </w:rPr>
            </w:pPr>
            <w:r w:rsidRPr="00EC5B40">
              <w:rPr>
                <w:b/>
              </w:rPr>
              <w:t>Annual medication competency for HSWs</w:t>
            </w:r>
          </w:p>
        </w:tc>
        <w:tc>
          <w:tcPr>
            <w:tcW w:w="1914" w:type="dxa"/>
            <w:tcBorders>
              <w:top w:val="nil"/>
              <w:bottom w:val="nil"/>
            </w:tcBorders>
            <w:shd w:val="clear" w:color="auto" w:fill="D9D9D9" w:themeFill="background1" w:themeFillShade="D9"/>
          </w:tcPr>
          <w:p w:rsidR="0031381E" w:rsidRPr="00EC5B40" w:rsidRDefault="0031381E" w:rsidP="00EC5B40">
            <w:pPr>
              <w:pStyle w:val="TableText"/>
              <w:jc w:val="center"/>
              <w:rPr>
                <w:b/>
              </w:rPr>
            </w:pPr>
            <w:r w:rsidRPr="00EC5B40">
              <w:rPr>
                <w:b/>
              </w:rPr>
              <w:t>Annual medication competency for</w:t>
            </w:r>
            <w:r w:rsidR="00EC5B40">
              <w:rPr>
                <w:b/>
              </w:rPr>
              <w:br/>
            </w:r>
            <w:r w:rsidRPr="00EC5B40">
              <w:rPr>
                <w:b/>
              </w:rPr>
              <w:t>ENs</w:t>
            </w:r>
          </w:p>
        </w:tc>
        <w:tc>
          <w:tcPr>
            <w:tcW w:w="1559" w:type="dxa"/>
            <w:tcBorders>
              <w:top w:val="nil"/>
              <w:bottom w:val="nil"/>
            </w:tcBorders>
            <w:shd w:val="clear" w:color="auto" w:fill="D9D9D9" w:themeFill="background1" w:themeFillShade="D9"/>
          </w:tcPr>
          <w:p w:rsidR="0031381E" w:rsidRPr="00EC5B40" w:rsidRDefault="0031381E" w:rsidP="00EC5B40">
            <w:pPr>
              <w:pStyle w:val="TableText"/>
              <w:jc w:val="center"/>
              <w:rPr>
                <w:b/>
              </w:rPr>
            </w:pPr>
            <w:r w:rsidRPr="00EC5B40">
              <w:rPr>
                <w:b/>
              </w:rPr>
              <w:t>Medication competency for RNs</w:t>
            </w:r>
            <w:r w:rsidRPr="00EC5B40">
              <w:rPr>
                <w:rStyle w:val="FootnoteReference"/>
              </w:rPr>
              <w:footnoteReference w:id="9"/>
            </w:r>
          </w:p>
        </w:tc>
        <w:tc>
          <w:tcPr>
            <w:tcW w:w="1559" w:type="dxa"/>
            <w:tcBorders>
              <w:top w:val="nil"/>
              <w:bottom w:val="nil"/>
            </w:tcBorders>
            <w:shd w:val="clear" w:color="auto" w:fill="D9D9D9" w:themeFill="background1" w:themeFillShade="D9"/>
          </w:tcPr>
          <w:p w:rsidR="0031381E" w:rsidRPr="00EC5B40" w:rsidRDefault="0031381E" w:rsidP="00EC5B40">
            <w:pPr>
              <w:pStyle w:val="TableText"/>
              <w:jc w:val="center"/>
              <w:rPr>
                <w:b/>
              </w:rPr>
            </w:pPr>
            <w:r w:rsidRPr="00EC5B40">
              <w:rPr>
                <w:b/>
              </w:rPr>
              <w:t>Medication orders</w:t>
            </w:r>
          </w:p>
        </w:tc>
        <w:tc>
          <w:tcPr>
            <w:tcW w:w="1559" w:type="dxa"/>
            <w:tcBorders>
              <w:top w:val="nil"/>
              <w:bottom w:val="nil"/>
            </w:tcBorders>
            <w:shd w:val="clear" w:color="auto" w:fill="D9D9D9" w:themeFill="background1" w:themeFillShade="D9"/>
          </w:tcPr>
          <w:p w:rsidR="0031381E" w:rsidRPr="00EC5B40" w:rsidRDefault="0031381E" w:rsidP="00EC5B40">
            <w:pPr>
              <w:pStyle w:val="TableText"/>
              <w:jc w:val="center"/>
              <w:rPr>
                <w:b/>
              </w:rPr>
            </w:pPr>
            <w:r w:rsidRPr="00EC5B40">
              <w:rPr>
                <w:b/>
              </w:rPr>
              <w:t xml:space="preserve">Signing of </w:t>
            </w:r>
            <w:r w:rsidR="00EC5B40">
              <w:rPr>
                <w:b/>
              </w:rPr>
              <w:t>MAR</w:t>
            </w:r>
          </w:p>
        </w:tc>
        <w:tc>
          <w:tcPr>
            <w:tcW w:w="1560" w:type="dxa"/>
            <w:tcBorders>
              <w:top w:val="nil"/>
              <w:bottom w:val="nil"/>
            </w:tcBorders>
            <w:shd w:val="clear" w:color="auto" w:fill="D9D9D9" w:themeFill="background1" w:themeFillShade="D9"/>
          </w:tcPr>
          <w:p w:rsidR="0031381E" w:rsidRPr="00EC5B40" w:rsidRDefault="0031381E" w:rsidP="00EC5B40">
            <w:pPr>
              <w:pStyle w:val="TableText"/>
              <w:jc w:val="center"/>
              <w:rPr>
                <w:b/>
              </w:rPr>
            </w:pPr>
            <w:r w:rsidRPr="00EC5B40">
              <w:rPr>
                <w:b/>
              </w:rPr>
              <w:t>Recording of medication errors</w:t>
            </w:r>
          </w:p>
        </w:tc>
      </w:tr>
      <w:tr w:rsidR="0031381E" w:rsidRPr="001E52E3" w:rsidTr="00EC5B40">
        <w:trPr>
          <w:cantSplit/>
        </w:trPr>
        <w:tc>
          <w:tcPr>
            <w:tcW w:w="1560" w:type="dxa"/>
            <w:tcBorders>
              <w:top w:val="nil"/>
            </w:tcBorders>
            <w:shd w:val="clear" w:color="auto" w:fill="auto"/>
          </w:tcPr>
          <w:p w:rsidR="0031381E" w:rsidRPr="001E52E3" w:rsidRDefault="0031381E" w:rsidP="00EC5B40">
            <w:pPr>
              <w:pStyle w:val="TableText"/>
            </w:pPr>
            <w:r w:rsidRPr="001E52E3">
              <w:t>Independent</w:t>
            </w:r>
          </w:p>
        </w:tc>
        <w:tc>
          <w:tcPr>
            <w:tcW w:w="1488" w:type="dxa"/>
            <w:tcBorders>
              <w:top w:val="nil"/>
            </w:tcBorders>
            <w:shd w:val="clear" w:color="auto" w:fill="auto"/>
          </w:tcPr>
          <w:p w:rsidR="0031381E" w:rsidRPr="001E52E3" w:rsidRDefault="0031381E" w:rsidP="00EC5B40">
            <w:pPr>
              <w:pStyle w:val="TableText"/>
              <w:jc w:val="center"/>
            </w:pPr>
            <w:r w:rsidRPr="001E52E3">
              <w:t>Yes</w:t>
            </w:r>
          </w:p>
        </w:tc>
        <w:tc>
          <w:tcPr>
            <w:tcW w:w="1488" w:type="dxa"/>
            <w:tcBorders>
              <w:top w:val="nil"/>
            </w:tcBorders>
            <w:shd w:val="clear" w:color="auto" w:fill="auto"/>
          </w:tcPr>
          <w:p w:rsidR="0031381E" w:rsidRPr="001E52E3" w:rsidRDefault="0031381E" w:rsidP="00EC5B40">
            <w:pPr>
              <w:pStyle w:val="TableText"/>
              <w:jc w:val="center"/>
              <w:rPr>
                <w:color w:val="E36C0A"/>
              </w:rPr>
            </w:pPr>
            <w:r w:rsidRPr="001E52E3">
              <w:rPr>
                <w:color w:val="E36C0A"/>
              </w:rPr>
              <w:t>No</w:t>
            </w:r>
          </w:p>
        </w:tc>
        <w:tc>
          <w:tcPr>
            <w:tcW w:w="1914" w:type="dxa"/>
            <w:tcBorders>
              <w:top w:val="nil"/>
            </w:tcBorders>
            <w:shd w:val="clear" w:color="auto" w:fill="auto"/>
          </w:tcPr>
          <w:p w:rsidR="0031381E" w:rsidRPr="001E52E3" w:rsidRDefault="0031381E" w:rsidP="00EC5B40">
            <w:pPr>
              <w:pStyle w:val="TableText"/>
              <w:jc w:val="center"/>
              <w:rPr>
                <w:color w:val="E36C0A"/>
              </w:rPr>
            </w:pPr>
            <w:r w:rsidRPr="001E52E3">
              <w:rPr>
                <w:color w:val="E36C0A"/>
              </w:rPr>
              <w:t>No</w:t>
            </w:r>
          </w:p>
        </w:tc>
        <w:tc>
          <w:tcPr>
            <w:tcW w:w="1914" w:type="dxa"/>
            <w:tcBorders>
              <w:top w:val="nil"/>
            </w:tcBorders>
            <w:shd w:val="clear" w:color="auto" w:fill="auto"/>
          </w:tcPr>
          <w:p w:rsidR="0031381E" w:rsidRPr="001E52E3" w:rsidRDefault="0031381E" w:rsidP="00EC5B40">
            <w:pPr>
              <w:pStyle w:val="TableText"/>
              <w:jc w:val="center"/>
              <w:rPr>
                <w:color w:val="E36C0A"/>
              </w:rPr>
            </w:pPr>
            <w:r>
              <w:rPr>
                <w:color w:val="E36C0A"/>
              </w:rPr>
              <w:t>No</w:t>
            </w:r>
          </w:p>
        </w:tc>
        <w:tc>
          <w:tcPr>
            <w:tcW w:w="1559" w:type="dxa"/>
            <w:tcBorders>
              <w:top w:val="nil"/>
            </w:tcBorders>
            <w:shd w:val="clear" w:color="auto" w:fill="auto"/>
          </w:tcPr>
          <w:p w:rsidR="0031381E" w:rsidRPr="001E52E3" w:rsidRDefault="0031381E" w:rsidP="00EC5B40">
            <w:pPr>
              <w:pStyle w:val="TableText"/>
              <w:jc w:val="center"/>
              <w:rPr>
                <w:color w:val="E36C0A"/>
              </w:rPr>
            </w:pPr>
            <w:r w:rsidRPr="001E52E3">
              <w:rPr>
                <w:color w:val="E36C0A"/>
              </w:rPr>
              <w:t>No</w:t>
            </w:r>
          </w:p>
        </w:tc>
        <w:tc>
          <w:tcPr>
            <w:tcW w:w="1559" w:type="dxa"/>
            <w:tcBorders>
              <w:top w:val="nil"/>
            </w:tcBorders>
            <w:shd w:val="clear" w:color="auto" w:fill="auto"/>
          </w:tcPr>
          <w:p w:rsidR="0031381E" w:rsidRPr="001E52E3" w:rsidRDefault="0031381E" w:rsidP="00EC5B40">
            <w:pPr>
              <w:pStyle w:val="TableText"/>
              <w:jc w:val="center"/>
              <w:rPr>
                <w:color w:val="E36C0A"/>
              </w:rPr>
            </w:pPr>
            <w:r w:rsidRPr="001E52E3">
              <w:rPr>
                <w:color w:val="E36C0A"/>
              </w:rPr>
              <w:t>No</w:t>
            </w:r>
          </w:p>
        </w:tc>
        <w:tc>
          <w:tcPr>
            <w:tcW w:w="1559" w:type="dxa"/>
            <w:tcBorders>
              <w:top w:val="nil"/>
            </w:tcBorders>
            <w:shd w:val="clear" w:color="auto" w:fill="auto"/>
          </w:tcPr>
          <w:p w:rsidR="0031381E" w:rsidRPr="001E52E3" w:rsidRDefault="0031381E" w:rsidP="00EC5B40">
            <w:pPr>
              <w:pStyle w:val="TableText"/>
              <w:jc w:val="center"/>
              <w:rPr>
                <w:color w:val="E36C0A"/>
              </w:rPr>
            </w:pPr>
            <w:r w:rsidRPr="001E52E3">
              <w:rPr>
                <w:color w:val="E36C0A"/>
              </w:rPr>
              <w:t>No</w:t>
            </w:r>
          </w:p>
        </w:tc>
        <w:tc>
          <w:tcPr>
            <w:tcW w:w="1560" w:type="dxa"/>
            <w:tcBorders>
              <w:top w:val="nil"/>
            </w:tcBorders>
            <w:shd w:val="clear" w:color="auto" w:fill="auto"/>
          </w:tcPr>
          <w:p w:rsidR="0031381E" w:rsidRPr="001E52E3" w:rsidRDefault="0031381E" w:rsidP="00EC5B40">
            <w:pPr>
              <w:pStyle w:val="TableText"/>
              <w:jc w:val="center"/>
            </w:pPr>
            <w:r w:rsidRPr="001E52E3">
              <w:t>Yes</w:t>
            </w:r>
          </w:p>
        </w:tc>
      </w:tr>
      <w:tr w:rsidR="0031381E" w:rsidRPr="001E52E3" w:rsidTr="00EC5B40">
        <w:trPr>
          <w:cantSplit/>
        </w:trPr>
        <w:tc>
          <w:tcPr>
            <w:tcW w:w="1560" w:type="dxa"/>
            <w:shd w:val="clear" w:color="auto" w:fill="auto"/>
          </w:tcPr>
          <w:p w:rsidR="0031381E" w:rsidRPr="001E52E3" w:rsidRDefault="0031381E" w:rsidP="00EC5B40">
            <w:pPr>
              <w:pStyle w:val="TableText"/>
            </w:pPr>
            <w:r w:rsidRPr="001E52E3">
              <w:t>Prompting</w:t>
            </w:r>
            <w:r>
              <w:t>/ supervision</w:t>
            </w:r>
          </w:p>
        </w:tc>
        <w:tc>
          <w:tcPr>
            <w:tcW w:w="1488" w:type="dxa"/>
            <w:shd w:val="clear" w:color="auto" w:fill="auto"/>
          </w:tcPr>
          <w:p w:rsidR="0031381E" w:rsidRPr="001E52E3" w:rsidRDefault="0031381E" w:rsidP="00EC5B40">
            <w:pPr>
              <w:pStyle w:val="TableText"/>
              <w:jc w:val="center"/>
            </w:pPr>
            <w:r w:rsidRPr="001E52E3">
              <w:t>Yes</w:t>
            </w:r>
          </w:p>
        </w:tc>
        <w:tc>
          <w:tcPr>
            <w:tcW w:w="1488" w:type="dxa"/>
            <w:shd w:val="clear" w:color="auto" w:fill="auto"/>
          </w:tcPr>
          <w:p w:rsidR="0031381E" w:rsidRPr="001E52E3" w:rsidRDefault="0031381E" w:rsidP="00EC5B40">
            <w:pPr>
              <w:pStyle w:val="TableText"/>
              <w:jc w:val="center"/>
            </w:pPr>
            <w:r w:rsidRPr="001E52E3">
              <w:t>Yes</w:t>
            </w:r>
          </w:p>
        </w:tc>
        <w:tc>
          <w:tcPr>
            <w:tcW w:w="1914" w:type="dxa"/>
            <w:shd w:val="clear" w:color="auto" w:fill="auto"/>
          </w:tcPr>
          <w:p w:rsidR="0031381E" w:rsidRPr="001E52E3" w:rsidRDefault="0031381E" w:rsidP="00EC5B40">
            <w:pPr>
              <w:pStyle w:val="TableText"/>
              <w:jc w:val="center"/>
            </w:pPr>
            <w:r w:rsidRPr="001E52E3">
              <w:t>Yes</w:t>
            </w:r>
            <w:r w:rsidR="00EC5B40">
              <w:br/>
            </w:r>
            <w:r>
              <w:t>(as appropriate)</w:t>
            </w:r>
          </w:p>
        </w:tc>
        <w:tc>
          <w:tcPr>
            <w:tcW w:w="1914" w:type="dxa"/>
            <w:shd w:val="clear" w:color="auto" w:fill="auto"/>
          </w:tcPr>
          <w:p w:rsidR="0031381E" w:rsidRPr="001E52E3" w:rsidDel="00BA2289" w:rsidRDefault="0031381E" w:rsidP="00EC5B40">
            <w:pPr>
              <w:pStyle w:val="TableText"/>
              <w:jc w:val="center"/>
            </w:pPr>
            <w:r>
              <w:t>Yes</w:t>
            </w:r>
            <w:r w:rsidR="00EC5B40">
              <w:br/>
            </w:r>
            <w:r>
              <w:t>(as appropriate)</w:t>
            </w:r>
          </w:p>
        </w:tc>
        <w:tc>
          <w:tcPr>
            <w:tcW w:w="1559" w:type="dxa"/>
            <w:shd w:val="clear" w:color="auto" w:fill="auto"/>
          </w:tcPr>
          <w:p w:rsidR="0031381E" w:rsidRPr="001E52E3" w:rsidRDefault="0031381E" w:rsidP="00EC5B40">
            <w:pPr>
              <w:pStyle w:val="TableText"/>
              <w:jc w:val="center"/>
            </w:pPr>
            <w:r>
              <w:t>Yes</w:t>
            </w:r>
          </w:p>
        </w:tc>
        <w:tc>
          <w:tcPr>
            <w:tcW w:w="1559" w:type="dxa"/>
            <w:shd w:val="clear" w:color="auto" w:fill="auto"/>
          </w:tcPr>
          <w:p w:rsidR="0031381E" w:rsidRPr="001E52E3" w:rsidRDefault="0031381E" w:rsidP="00EC5B40">
            <w:pPr>
              <w:pStyle w:val="TableText"/>
              <w:jc w:val="center"/>
            </w:pPr>
            <w:r w:rsidRPr="001E52E3">
              <w:t>Yes</w:t>
            </w:r>
          </w:p>
        </w:tc>
        <w:tc>
          <w:tcPr>
            <w:tcW w:w="1559" w:type="dxa"/>
            <w:shd w:val="clear" w:color="auto" w:fill="auto"/>
          </w:tcPr>
          <w:p w:rsidR="0031381E" w:rsidRPr="001E52E3" w:rsidRDefault="0031381E" w:rsidP="00EC5B40">
            <w:pPr>
              <w:pStyle w:val="TableText"/>
              <w:jc w:val="center"/>
            </w:pPr>
            <w:r>
              <w:t>Yes</w:t>
            </w:r>
          </w:p>
        </w:tc>
        <w:tc>
          <w:tcPr>
            <w:tcW w:w="1560" w:type="dxa"/>
            <w:shd w:val="clear" w:color="auto" w:fill="auto"/>
          </w:tcPr>
          <w:p w:rsidR="0031381E" w:rsidRPr="001E52E3" w:rsidRDefault="0031381E" w:rsidP="00EC5B40">
            <w:pPr>
              <w:pStyle w:val="TableText"/>
              <w:jc w:val="center"/>
            </w:pPr>
            <w:r w:rsidRPr="001E52E3">
              <w:t>Yes</w:t>
            </w:r>
          </w:p>
        </w:tc>
      </w:tr>
      <w:tr w:rsidR="0031381E" w:rsidRPr="001E52E3" w:rsidTr="00EC5B40">
        <w:trPr>
          <w:cantSplit/>
        </w:trPr>
        <w:tc>
          <w:tcPr>
            <w:tcW w:w="1560" w:type="dxa"/>
            <w:shd w:val="clear" w:color="auto" w:fill="auto"/>
          </w:tcPr>
          <w:p w:rsidR="0031381E" w:rsidRPr="001E52E3" w:rsidRDefault="0031381E" w:rsidP="00EC5B40">
            <w:pPr>
              <w:pStyle w:val="TableText"/>
            </w:pPr>
            <w:r w:rsidRPr="001E52E3">
              <w:t>Administration</w:t>
            </w:r>
          </w:p>
        </w:tc>
        <w:tc>
          <w:tcPr>
            <w:tcW w:w="1488" w:type="dxa"/>
            <w:shd w:val="clear" w:color="auto" w:fill="auto"/>
          </w:tcPr>
          <w:p w:rsidR="0031381E" w:rsidRPr="001E52E3" w:rsidRDefault="0031381E" w:rsidP="00EC5B40">
            <w:pPr>
              <w:pStyle w:val="TableText"/>
              <w:jc w:val="center"/>
            </w:pPr>
            <w:r w:rsidRPr="001E52E3">
              <w:t>Yes</w:t>
            </w:r>
          </w:p>
        </w:tc>
        <w:tc>
          <w:tcPr>
            <w:tcW w:w="1488" w:type="dxa"/>
            <w:shd w:val="clear" w:color="auto" w:fill="auto"/>
          </w:tcPr>
          <w:p w:rsidR="0031381E" w:rsidRPr="001E52E3" w:rsidRDefault="0031381E" w:rsidP="00EC5B40">
            <w:pPr>
              <w:pStyle w:val="TableText"/>
              <w:jc w:val="center"/>
            </w:pPr>
            <w:r w:rsidRPr="001E52E3">
              <w:t>Yes</w:t>
            </w:r>
          </w:p>
        </w:tc>
        <w:tc>
          <w:tcPr>
            <w:tcW w:w="1914" w:type="dxa"/>
            <w:shd w:val="clear" w:color="auto" w:fill="auto"/>
          </w:tcPr>
          <w:p w:rsidR="0031381E" w:rsidRPr="001E52E3" w:rsidRDefault="0031381E" w:rsidP="00EC5B40">
            <w:pPr>
              <w:pStyle w:val="TableText"/>
              <w:jc w:val="center"/>
            </w:pPr>
            <w:r w:rsidRPr="001E52E3">
              <w:t>Yes</w:t>
            </w:r>
            <w:r w:rsidR="00EC5B40">
              <w:br/>
            </w:r>
            <w:r>
              <w:t>(as appropriate)</w:t>
            </w:r>
          </w:p>
        </w:tc>
        <w:tc>
          <w:tcPr>
            <w:tcW w:w="1914" w:type="dxa"/>
            <w:shd w:val="clear" w:color="auto" w:fill="auto"/>
          </w:tcPr>
          <w:p w:rsidR="0031381E" w:rsidRPr="001E52E3" w:rsidDel="00BA2289" w:rsidRDefault="0031381E" w:rsidP="00EC5B40">
            <w:pPr>
              <w:pStyle w:val="TableText"/>
              <w:jc w:val="center"/>
            </w:pPr>
            <w:r w:rsidRPr="001E52E3">
              <w:t>Yes</w:t>
            </w:r>
            <w:r w:rsidR="00EC5B40">
              <w:br/>
            </w:r>
            <w:r>
              <w:t>(as appropriate)</w:t>
            </w:r>
          </w:p>
        </w:tc>
        <w:tc>
          <w:tcPr>
            <w:tcW w:w="1559" w:type="dxa"/>
            <w:shd w:val="clear" w:color="auto" w:fill="auto"/>
          </w:tcPr>
          <w:p w:rsidR="0031381E" w:rsidRPr="001E52E3" w:rsidRDefault="0031381E" w:rsidP="00EC5B40">
            <w:pPr>
              <w:pStyle w:val="TableText"/>
              <w:jc w:val="center"/>
            </w:pPr>
            <w:r>
              <w:t>Yes</w:t>
            </w:r>
          </w:p>
        </w:tc>
        <w:tc>
          <w:tcPr>
            <w:tcW w:w="1559" w:type="dxa"/>
            <w:shd w:val="clear" w:color="auto" w:fill="auto"/>
          </w:tcPr>
          <w:p w:rsidR="0031381E" w:rsidRPr="001E52E3" w:rsidRDefault="0031381E" w:rsidP="00EC5B40">
            <w:pPr>
              <w:pStyle w:val="TableText"/>
              <w:jc w:val="center"/>
            </w:pPr>
            <w:r w:rsidRPr="001E52E3">
              <w:t>Yes</w:t>
            </w:r>
          </w:p>
        </w:tc>
        <w:tc>
          <w:tcPr>
            <w:tcW w:w="1559" w:type="dxa"/>
            <w:shd w:val="clear" w:color="auto" w:fill="auto"/>
          </w:tcPr>
          <w:p w:rsidR="0031381E" w:rsidRPr="001E52E3" w:rsidRDefault="0031381E" w:rsidP="00EC5B40">
            <w:pPr>
              <w:pStyle w:val="TableText"/>
              <w:jc w:val="center"/>
            </w:pPr>
            <w:r w:rsidRPr="001E52E3">
              <w:t>Yes</w:t>
            </w:r>
          </w:p>
        </w:tc>
        <w:tc>
          <w:tcPr>
            <w:tcW w:w="1560" w:type="dxa"/>
            <w:shd w:val="clear" w:color="auto" w:fill="auto"/>
          </w:tcPr>
          <w:p w:rsidR="0031381E" w:rsidRPr="001E52E3" w:rsidRDefault="0031381E" w:rsidP="00EC5B40">
            <w:pPr>
              <w:pStyle w:val="TableText"/>
              <w:jc w:val="center"/>
            </w:pPr>
            <w:r w:rsidRPr="001E52E3">
              <w:t>Yes</w:t>
            </w:r>
          </w:p>
        </w:tc>
      </w:tr>
      <w:tr w:rsidR="0031381E" w:rsidRPr="001E52E3" w:rsidTr="00EC5B40">
        <w:trPr>
          <w:cantSplit/>
        </w:trPr>
        <w:tc>
          <w:tcPr>
            <w:tcW w:w="1560" w:type="dxa"/>
            <w:shd w:val="clear" w:color="auto" w:fill="auto"/>
          </w:tcPr>
          <w:p w:rsidR="0031381E" w:rsidRPr="001E52E3" w:rsidRDefault="0031381E" w:rsidP="00EC5B40">
            <w:pPr>
              <w:pStyle w:val="TableText"/>
            </w:pPr>
            <w:r w:rsidRPr="001E52E3">
              <w:t>High</w:t>
            </w:r>
            <w:r>
              <w:t>-</w:t>
            </w:r>
            <w:r w:rsidRPr="001E52E3">
              <w:t>risk medications</w:t>
            </w:r>
            <w:r>
              <w:t>/ controlled drugs</w:t>
            </w:r>
          </w:p>
        </w:tc>
        <w:tc>
          <w:tcPr>
            <w:tcW w:w="1488" w:type="dxa"/>
            <w:shd w:val="clear" w:color="auto" w:fill="auto"/>
          </w:tcPr>
          <w:p w:rsidR="0031381E" w:rsidRPr="001E52E3" w:rsidRDefault="0031381E" w:rsidP="00EC5B40">
            <w:pPr>
              <w:pStyle w:val="TableText"/>
              <w:jc w:val="center"/>
            </w:pPr>
            <w:r w:rsidRPr="001E52E3">
              <w:t>Yes</w:t>
            </w:r>
          </w:p>
        </w:tc>
        <w:tc>
          <w:tcPr>
            <w:tcW w:w="1488" w:type="dxa"/>
            <w:shd w:val="clear" w:color="auto" w:fill="auto"/>
          </w:tcPr>
          <w:p w:rsidR="0031381E" w:rsidRPr="001E52E3" w:rsidRDefault="0031381E" w:rsidP="00EC5B40">
            <w:pPr>
              <w:pStyle w:val="TableText"/>
              <w:jc w:val="center"/>
            </w:pPr>
            <w:r w:rsidRPr="001E52E3">
              <w:t>Yes</w:t>
            </w:r>
          </w:p>
          <w:p w:rsidR="00A13F65" w:rsidRDefault="0031381E" w:rsidP="00EC5B40">
            <w:pPr>
              <w:pStyle w:val="TableText"/>
              <w:jc w:val="center"/>
            </w:pPr>
            <w:r w:rsidRPr="001E52E3">
              <w:t>AND</w:t>
            </w:r>
          </w:p>
          <w:p w:rsidR="0031381E" w:rsidRPr="001E52E3" w:rsidRDefault="0031381E" w:rsidP="00EC5B40">
            <w:pPr>
              <w:pStyle w:val="TableText"/>
              <w:jc w:val="center"/>
            </w:pPr>
            <w:r>
              <w:t>S</w:t>
            </w:r>
            <w:r w:rsidRPr="001E52E3">
              <w:t>pecific</w:t>
            </w:r>
            <w:r>
              <w:t xml:space="preserve"> to the person</w:t>
            </w:r>
          </w:p>
        </w:tc>
        <w:tc>
          <w:tcPr>
            <w:tcW w:w="1914" w:type="dxa"/>
            <w:shd w:val="clear" w:color="auto" w:fill="auto"/>
          </w:tcPr>
          <w:p w:rsidR="0031381E" w:rsidRPr="001E52E3" w:rsidRDefault="0031381E" w:rsidP="00EC5B40">
            <w:pPr>
              <w:pStyle w:val="TableText"/>
              <w:jc w:val="center"/>
            </w:pPr>
            <w:r w:rsidRPr="001E52E3">
              <w:t>Yes</w:t>
            </w:r>
            <w:r w:rsidR="00EC5B40">
              <w:br/>
            </w:r>
            <w:r>
              <w:t>(as appropriate)</w:t>
            </w:r>
          </w:p>
          <w:p w:rsidR="00A13F65" w:rsidRDefault="0031381E" w:rsidP="00EC5B40">
            <w:pPr>
              <w:pStyle w:val="TableText"/>
              <w:jc w:val="center"/>
            </w:pPr>
            <w:r w:rsidRPr="001E52E3">
              <w:t>AND</w:t>
            </w:r>
          </w:p>
          <w:p w:rsidR="0031381E" w:rsidRPr="001E52E3" w:rsidRDefault="0031381E" w:rsidP="00EC5B40">
            <w:pPr>
              <w:pStyle w:val="TableText"/>
              <w:jc w:val="center"/>
            </w:pPr>
            <w:r w:rsidRPr="001E52E3">
              <w:t>Specific</w:t>
            </w:r>
            <w:r>
              <w:t xml:space="preserve"> to the person</w:t>
            </w:r>
          </w:p>
        </w:tc>
        <w:tc>
          <w:tcPr>
            <w:tcW w:w="1914" w:type="dxa"/>
            <w:shd w:val="clear" w:color="auto" w:fill="auto"/>
          </w:tcPr>
          <w:p w:rsidR="0031381E" w:rsidRPr="001E52E3" w:rsidRDefault="0031381E" w:rsidP="00EC5B40">
            <w:pPr>
              <w:pStyle w:val="TableText"/>
              <w:jc w:val="center"/>
            </w:pPr>
            <w:r w:rsidRPr="001E52E3">
              <w:t>Yes</w:t>
            </w:r>
            <w:r w:rsidR="00EC5B40">
              <w:br/>
            </w:r>
            <w:r>
              <w:t>(as appropriate)</w:t>
            </w:r>
          </w:p>
          <w:p w:rsidR="0031381E" w:rsidRPr="001E52E3" w:rsidRDefault="0031381E" w:rsidP="00EC5B40">
            <w:pPr>
              <w:pStyle w:val="TableText"/>
              <w:jc w:val="center"/>
            </w:pPr>
            <w:r w:rsidRPr="001E52E3">
              <w:t>AND</w:t>
            </w:r>
          </w:p>
          <w:p w:rsidR="0031381E" w:rsidRPr="001E52E3" w:rsidDel="00BA2289" w:rsidRDefault="0031381E" w:rsidP="00EC5B40">
            <w:pPr>
              <w:pStyle w:val="TableText"/>
              <w:jc w:val="center"/>
            </w:pPr>
            <w:r>
              <w:t>S</w:t>
            </w:r>
            <w:r w:rsidRPr="001E52E3">
              <w:t>pecific</w:t>
            </w:r>
            <w:r>
              <w:t xml:space="preserve"> to the person</w:t>
            </w:r>
          </w:p>
        </w:tc>
        <w:tc>
          <w:tcPr>
            <w:tcW w:w="1559" w:type="dxa"/>
            <w:shd w:val="clear" w:color="auto" w:fill="auto"/>
          </w:tcPr>
          <w:p w:rsidR="0031381E" w:rsidRPr="001E52E3" w:rsidRDefault="0031381E" w:rsidP="00EC5B40">
            <w:pPr>
              <w:pStyle w:val="TableText"/>
              <w:jc w:val="center"/>
            </w:pPr>
            <w:r>
              <w:t>Yes</w:t>
            </w:r>
          </w:p>
          <w:p w:rsidR="0031381E" w:rsidRPr="001E52E3" w:rsidRDefault="0031381E" w:rsidP="00EC5B40">
            <w:pPr>
              <w:pStyle w:val="TableText"/>
              <w:jc w:val="center"/>
            </w:pPr>
            <w:r w:rsidRPr="001E52E3">
              <w:t>AND</w:t>
            </w:r>
          </w:p>
          <w:p w:rsidR="0031381E" w:rsidRPr="001E52E3" w:rsidRDefault="0031381E" w:rsidP="00EC5B40">
            <w:pPr>
              <w:pStyle w:val="TableText"/>
              <w:jc w:val="center"/>
            </w:pPr>
            <w:r>
              <w:t>S</w:t>
            </w:r>
            <w:r w:rsidRPr="001E52E3">
              <w:t>pecific</w:t>
            </w:r>
            <w:r>
              <w:t xml:space="preserve"> to the person</w:t>
            </w:r>
          </w:p>
        </w:tc>
        <w:tc>
          <w:tcPr>
            <w:tcW w:w="1559" w:type="dxa"/>
            <w:shd w:val="clear" w:color="auto" w:fill="auto"/>
          </w:tcPr>
          <w:p w:rsidR="0031381E" w:rsidRPr="001E52E3" w:rsidRDefault="0031381E" w:rsidP="00EC5B40">
            <w:pPr>
              <w:pStyle w:val="TableText"/>
              <w:jc w:val="center"/>
            </w:pPr>
            <w:r w:rsidRPr="001E52E3">
              <w:t>Yes</w:t>
            </w:r>
          </w:p>
        </w:tc>
        <w:tc>
          <w:tcPr>
            <w:tcW w:w="1559" w:type="dxa"/>
            <w:shd w:val="clear" w:color="auto" w:fill="auto"/>
          </w:tcPr>
          <w:p w:rsidR="0031381E" w:rsidRPr="001E52E3" w:rsidRDefault="0031381E" w:rsidP="00EC5B40">
            <w:pPr>
              <w:pStyle w:val="TableText"/>
              <w:jc w:val="center"/>
            </w:pPr>
            <w:r w:rsidRPr="001E52E3">
              <w:t>Yes</w:t>
            </w:r>
          </w:p>
        </w:tc>
        <w:tc>
          <w:tcPr>
            <w:tcW w:w="1560" w:type="dxa"/>
            <w:shd w:val="clear" w:color="auto" w:fill="auto"/>
          </w:tcPr>
          <w:p w:rsidR="0031381E" w:rsidRPr="001E52E3" w:rsidRDefault="0031381E" w:rsidP="00EC5B40">
            <w:pPr>
              <w:pStyle w:val="TableText"/>
              <w:jc w:val="center"/>
            </w:pPr>
            <w:r w:rsidRPr="001E52E3">
              <w:t>Yes</w:t>
            </w:r>
          </w:p>
        </w:tc>
      </w:tr>
    </w:tbl>
    <w:p w:rsidR="0031381E" w:rsidRDefault="0031381E" w:rsidP="00EC5B40"/>
    <w:p w:rsidR="005246E7" w:rsidRDefault="005246E7" w:rsidP="005246E7">
      <w:pPr>
        <w:pStyle w:val="Heading1"/>
        <w:sectPr w:rsidR="005246E7" w:rsidSect="00EC5B40">
          <w:pgSz w:w="16834" w:h="11907" w:orient="landscape" w:code="9"/>
          <w:pgMar w:top="1134" w:right="1134" w:bottom="1134" w:left="1134" w:header="284" w:footer="425" w:gutter="0"/>
          <w:cols w:space="720"/>
          <w:docGrid w:linePitch="286"/>
        </w:sectPr>
      </w:pPr>
      <w:bookmarkStart w:id="67" w:name="_Toc2771090"/>
      <w:bookmarkStart w:id="68" w:name="_Toc2771797"/>
    </w:p>
    <w:p w:rsidR="0031381E" w:rsidRDefault="0031381E" w:rsidP="005246E7">
      <w:pPr>
        <w:pStyle w:val="Heading1"/>
      </w:pPr>
      <w:bookmarkStart w:id="69" w:name="_Toc7782241"/>
      <w:r>
        <w:lastRenderedPageBreak/>
        <w:t>Appendix 2</w:t>
      </w:r>
      <w:proofErr w:type="gramStart"/>
      <w:r>
        <w:t>:</w:t>
      </w:r>
      <w:proofErr w:type="gramEnd"/>
      <w:r w:rsidR="005246E7">
        <w:br/>
      </w:r>
      <w:r>
        <w:t>Reporting adverse medicine reactions</w:t>
      </w:r>
      <w:bookmarkEnd w:id="67"/>
      <w:bookmarkEnd w:id="68"/>
      <w:bookmarkEnd w:id="69"/>
    </w:p>
    <w:p w:rsidR="0031381E" w:rsidRDefault="0031381E" w:rsidP="005246E7">
      <w:pPr>
        <w:spacing w:after="240"/>
      </w:pPr>
      <w:r>
        <w:t>The following provides advice of how to report adverse medicine reactions.</w:t>
      </w:r>
    </w:p>
    <w:tbl>
      <w:tblPr>
        <w:tblStyle w:val="TableGrid"/>
        <w:tblW w:w="8295"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295"/>
      </w:tblGrid>
      <w:tr w:rsidR="005246E7" w:rsidTr="005246E7">
        <w:trPr>
          <w:cantSplit/>
        </w:trPr>
        <w:tc>
          <w:tcPr>
            <w:tcW w:w="8295" w:type="dxa"/>
            <w:tcBorders>
              <w:top w:val="single" w:sz="4" w:space="0" w:color="23305D"/>
              <w:left w:val="single" w:sz="4" w:space="0" w:color="23305D"/>
              <w:bottom w:val="single" w:sz="4" w:space="0" w:color="23305D"/>
              <w:right w:val="single" w:sz="4" w:space="0" w:color="23305D"/>
            </w:tcBorders>
          </w:tcPr>
          <w:p w:rsidR="005246E7" w:rsidRPr="005246E7" w:rsidRDefault="005246E7" w:rsidP="005246E7">
            <w:pPr>
              <w:pStyle w:val="TableText"/>
              <w:spacing w:before="120" w:after="120"/>
              <w:jc w:val="center"/>
              <w:rPr>
                <w:color w:val="23305D"/>
              </w:rPr>
            </w:pPr>
            <w:r w:rsidRPr="005246E7">
              <w:rPr>
                <w:color w:val="23305D"/>
              </w:rPr>
              <w:t>Suspected adverse reaction to a medicine experienced</w:t>
            </w:r>
          </w:p>
        </w:tc>
      </w:tr>
      <w:tr w:rsidR="005246E7" w:rsidTr="005246E7">
        <w:trPr>
          <w:cantSplit/>
        </w:trPr>
        <w:tc>
          <w:tcPr>
            <w:tcW w:w="8295" w:type="dxa"/>
            <w:tcBorders>
              <w:top w:val="single" w:sz="4" w:space="0" w:color="23305D"/>
              <w:bottom w:val="single" w:sz="4" w:space="0" w:color="23305D"/>
            </w:tcBorders>
          </w:tcPr>
          <w:p w:rsidR="005246E7" w:rsidRDefault="005246E7" w:rsidP="005246E7">
            <w:pPr>
              <w:pStyle w:val="TableText"/>
              <w:jc w:val="center"/>
            </w:pPr>
            <w:r>
              <w:rPr>
                <w:noProof/>
                <w:lang w:eastAsia="en-NZ"/>
              </w:rPr>
              <mc:AlternateContent>
                <mc:Choice Requires="wps">
                  <w:drawing>
                    <wp:inline distT="0" distB="0" distL="0" distR="0">
                      <wp:extent cx="0" cy="498764"/>
                      <wp:effectExtent l="76200" t="0" r="57150" b="53975"/>
                      <wp:docPr id="8" name="Straight Arrow Connector 8"/>
                      <wp:cNvGraphicFramePr/>
                      <a:graphic xmlns:a="http://schemas.openxmlformats.org/drawingml/2006/main">
                        <a:graphicData uri="http://schemas.microsoft.com/office/word/2010/wordprocessingShape">
                          <wps:wsp>
                            <wps:cNvCnPr/>
                            <wps:spPr>
                              <a:xfrm>
                                <a:off x="0" y="0"/>
                                <a:ext cx="0" cy="498764"/>
                              </a:xfrm>
                              <a:prstGeom prst="straightConnector1">
                                <a:avLst/>
                              </a:prstGeom>
                              <a:ln>
                                <a:solidFill>
                                  <a:srgbClr val="23305D"/>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6B7C5342" id="_x0000_t32" coordsize="21600,21600" o:spt="32" o:oned="t" path="m,l21600,21600e" filled="f">
                      <v:path arrowok="t" fillok="f" o:connecttype="none"/>
                      <o:lock v:ext="edit" shapetype="t"/>
                    </v:shapetype>
                    <v:shape id="Straight Arrow Connector 8" o:spid="_x0000_s1026" type="#_x0000_t32" style="width:0;height:39.2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" strokecolor="#23305d">
                      <v:stroke endarrow="block"/>
                      <w10:anchorlock/>
                    </v:shape>
                  </w:pict>
                </mc:Fallback>
              </mc:AlternateContent>
            </w:r>
          </w:p>
        </w:tc>
      </w:tr>
      <w:tr w:rsidR="005246E7" w:rsidTr="005246E7">
        <w:trPr>
          <w:cantSplit/>
        </w:trPr>
        <w:tc>
          <w:tcPr>
            <w:tcW w:w="8295" w:type="dxa"/>
            <w:tcBorders>
              <w:top w:val="single" w:sz="4" w:space="0" w:color="23305D"/>
              <w:left w:val="single" w:sz="4" w:space="0" w:color="23305D"/>
              <w:bottom w:val="single" w:sz="4" w:space="0" w:color="23305D"/>
              <w:right w:val="single" w:sz="4" w:space="0" w:color="23305D"/>
            </w:tcBorders>
          </w:tcPr>
          <w:p w:rsidR="005246E7" w:rsidRPr="00A8672C" w:rsidRDefault="009076EB" w:rsidP="00A8672C">
            <w:pPr>
              <w:pStyle w:val="TableText"/>
              <w:spacing w:before="120" w:after="120"/>
              <w:jc w:val="center"/>
              <w:rPr>
                <w:color w:val="23305D"/>
              </w:rPr>
            </w:pPr>
            <w:hyperlink r:id="rId25" w:tgtFrame="_blank" w:history="1">
              <w:r w:rsidR="005246E7" w:rsidRPr="005246E7">
                <w:rPr>
                  <w:b/>
                  <w:color w:val="23305D"/>
                  <w:u w:val="single"/>
                </w:rPr>
                <w:t>Report</w:t>
              </w:r>
              <w:r w:rsidR="005246E7" w:rsidRPr="005246E7">
                <w:rPr>
                  <w:rStyle w:val="Hyperlink"/>
                  <w:b w:val="0"/>
                  <w:color w:val="23305D"/>
                </w:rPr>
                <w:t xml:space="preserve"> the adverse event online</w:t>
              </w:r>
            </w:hyperlink>
            <w:r w:rsidR="00A8672C">
              <w:rPr>
                <w:rStyle w:val="Hyperlink"/>
                <w:b w:val="0"/>
                <w:color w:val="23305D"/>
              </w:rPr>
              <w:br/>
            </w:r>
            <w:r w:rsidR="005246E7" w:rsidRPr="00A8672C">
              <w:rPr>
                <w:color w:val="23305D"/>
              </w:rPr>
              <w:t>(</w:t>
            </w:r>
            <w:r w:rsidR="005246E7" w:rsidRPr="005246E7">
              <w:rPr>
                <w:b/>
                <w:color w:val="23305D"/>
              </w:rPr>
              <w:t>https://nzphvc.otago.ac.nz/consumer-reporting/</w:t>
            </w:r>
            <w:r w:rsidR="005246E7" w:rsidRPr="00A8672C">
              <w:rPr>
                <w:color w:val="23305D"/>
              </w:rPr>
              <w:t>)</w:t>
            </w:r>
            <w:r w:rsidR="005246E7" w:rsidRPr="00A8672C">
              <w:rPr>
                <w:color w:val="23305D"/>
              </w:rPr>
              <w:br/>
              <w:t>or</w:t>
            </w:r>
            <w:r w:rsidR="00A8672C">
              <w:rPr>
                <w:color w:val="23305D"/>
              </w:rPr>
              <w:br/>
            </w:r>
            <w:hyperlink r:id="rId26" w:tgtFrame="_blank" w:history="1">
              <w:r w:rsidR="005246E7" w:rsidRPr="005246E7">
                <w:rPr>
                  <w:rStyle w:val="Hyperlink"/>
                  <w:b w:val="0"/>
                  <w:color w:val="23305D"/>
                </w:rPr>
                <w:t>on the adverse reaction reporting form</w:t>
              </w:r>
            </w:hyperlink>
            <w:r w:rsidR="00A8672C">
              <w:rPr>
                <w:rStyle w:val="Hyperlink"/>
                <w:b w:val="0"/>
                <w:color w:val="23305D"/>
              </w:rPr>
              <w:br/>
            </w:r>
            <w:r w:rsidR="005246E7" w:rsidRPr="00A8672C">
              <w:rPr>
                <w:color w:val="23305D"/>
              </w:rPr>
              <w:t>(</w:t>
            </w:r>
            <w:r w:rsidR="005246E7" w:rsidRPr="005246E7">
              <w:rPr>
                <w:b/>
                <w:color w:val="23305D"/>
              </w:rPr>
              <w:t>https://nzphvc.otago.ac.nz/wp-content/uploads/2013/12/Report.pdf</w:t>
            </w:r>
            <w:r w:rsidR="005246E7" w:rsidRPr="00A8672C">
              <w:rPr>
                <w:color w:val="23305D"/>
              </w:rPr>
              <w:t>)</w:t>
            </w:r>
          </w:p>
          <w:p w:rsidR="005246E7" w:rsidRPr="00A8672C" w:rsidRDefault="005246E7" w:rsidP="00A8672C">
            <w:pPr>
              <w:pStyle w:val="TableText"/>
              <w:spacing w:before="120"/>
              <w:jc w:val="center"/>
              <w:rPr>
                <w:color w:val="23305D"/>
              </w:rPr>
            </w:pPr>
            <w:r w:rsidRPr="00A8672C">
              <w:rPr>
                <w:color w:val="23305D"/>
              </w:rPr>
              <w:t>Fax the form to (03) 479-7150 or post it to:</w:t>
            </w:r>
          </w:p>
          <w:p w:rsidR="005246E7" w:rsidRPr="00A8672C" w:rsidRDefault="005246E7" w:rsidP="005246E7">
            <w:pPr>
              <w:pStyle w:val="TableText"/>
              <w:spacing w:after="120"/>
              <w:jc w:val="center"/>
              <w:rPr>
                <w:color w:val="23305D"/>
              </w:rPr>
            </w:pPr>
            <w:r w:rsidRPr="00A8672C">
              <w:rPr>
                <w:color w:val="23305D"/>
              </w:rPr>
              <w:t>The Medical Assessor</w:t>
            </w:r>
            <w:r w:rsidRPr="00A8672C">
              <w:rPr>
                <w:color w:val="23305D"/>
              </w:rPr>
              <w:br/>
            </w:r>
            <w:hyperlink r:id="rId27" w:tgtFrame="_blank" w:history="1">
              <w:r w:rsidRPr="00A8672C">
                <w:rPr>
                  <w:rStyle w:val="Hyperlink"/>
                  <w:b w:val="0"/>
                  <w:color w:val="23305D"/>
                </w:rPr>
                <w:t>Centre for Adverse Reactions Monitoring</w:t>
              </w:r>
            </w:hyperlink>
            <w:r w:rsidRPr="00A8672C">
              <w:rPr>
                <w:b/>
                <w:color w:val="23305D"/>
              </w:rPr>
              <w:br/>
            </w:r>
            <w:r w:rsidRPr="00A8672C">
              <w:rPr>
                <w:color w:val="23305D"/>
              </w:rPr>
              <w:t>PO Box 913</w:t>
            </w:r>
            <w:r w:rsidRPr="00A8672C">
              <w:rPr>
                <w:color w:val="23305D"/>
              </w:rPr>
              <w:br/>
              <w:t>DUNEDIN</w:t>
            </w:r>
          </w:p>
        </w:tc>
      </w:tr>
      <w:tr w:rsidR="005246E7" w:rsidTr="005246E7">
        <w:trPr>
          <w:cantSplit/>
        </w:trPr>
        <w:tc>
          <w:tcPr>
            <w:tcW w:w="8295" w:type="dxa"/>
            <w:tcBorders>
              <w:top w:val="single" w:sz="4" w:space="0" w:color="23305D"/>
              <w:bottom w:val="single" w:sz="4" w:space="0" w:color="23305D"/>
            </w:tcBorders>
          </w:tcPr>
          <w:p w:rsidR="005246E7" w:rsidRDefault="005246E7" w:rsidP="005246E7">
            <w:pPr>
              <w:pStyle w:val="TableText"/>
              <w:jc w:val="center"/>
            </w:pPr>
            <w:r>
              <w:rPr>
                <w:noProof/>
                <w:lang w:eastAsia="en-NZ"/>
              </w:rPr>
              <mc:AlternateContent>
                <mc:Choice Requires="wps">
                  <w:drawing>
                    <wp:inline distT="0" distB="0" distL="0" distR="0" wp14:anchorId="5E57C373" wp14:editId="67F20737">
                      <wp:extent cx="0" cy="498764"/>
                      <wp:effectExtent l="76200" t="0" r="57150" b="53975"/>
                      <wp:docPr id="9" name="Straight Arrow Connector 9"/>
                      <wp:cNvGraphicFramePr/>
                      <a:graphic xmlns:a="http://schemas.openxmlformats.org/drawingml/2006/main">
                        <a:graphicData uri="http://schemas.microsoft.com/office/word/2010/wordprocessingShape">
                          <wps:wsp>
                            <wps:cNvCnPr/>
                            <wps:spPr>
                              <a:xfrm>
                                <a:off x="0" y="0"/>
                                <a:ext cx="0" cy="498764"/>
                              </a:xfrm>
                              <a:prstGeom prst="straightConnector1">
                                <a:avLst/>
                              </a:prstGeom>
                              <a:ln>
                                <a:solidFill>
                                  <a:srgbClr val="23305D"/>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0BCFBE9D" id="Straight Arrow Connector 9" o:spid="_x0000_s1026" type="#_x0000_t32" style="width:0;height:39.2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" strokecolor="#23305d">
                      <v:stroke endarrow="block"/>
                      <w10:anchorlock/>
                    </v:shape>
                  </w:pict>
                </mc:Fallback>
              </mc:AlternateContent>
            </w:r>
          </w:p>
        </w:tc>
      </w:tr>
      <w:tr w:rsidR="00A8672C" w:rsidRPr="00A8672C" w:rsidTr="005246E7">
        <w:trPr>
          <w:cantSplit/>
        </w:trPr>
        <w:tc>
          <w:tcPr>
            <w:tcW w:w="8295" w:type="dxa"/>
            <w:tcBorders>
              <w:top w:val="single" w:sz="4" w:space="0" w:color="23305D"/>
              <w:left w:val="single" w:sz="4" w:space="0" w:color="23305D"/>
              <w:bottom w:val="single" w:sz="4" w:space="0" w:color="23305D"/>
              <w:right w:val="single" w:sz="4" w:space="0" w:color="23305D"/>
            </w:tcBorders>
          </w:tcPr>
          <w:p w:rsidR="00A8672C" w:rsidRPr="00A8672C" w:rsidRDefault="00A8672C" w:rsidP="00A8672C">
            <w:pPr>
              <w:pStyle w:val="TableText"/>
              <w:spacing w:before="120"/>
              <w:ind w:left="1134"/>
              <w:rPr>
                <w:color w:val="23305D"/>
              </w:rPr>
            </w:pPr>
            <w:r w:rsidRPr="00A8672C">
              <w:rPr>
                <w:color w:val="23305D"/>
              </w:rPr>
              <w:t>A response will be sent to you.</w:t>
            </w:r>
          </w:p>
          <w:p w:rsidR="00A8672C" w:rsidRPr="00A8672C" w:rsidRDefault="00A8672C" w:rsidP="00A8672C">
            <w:pPr>
              <w:pStyle w:val="TableText"/>
              <w:ind w:left="1134"/>
              <w:rPr>
                <w:color w:val="23305D"/>
              </w:rPr>
            </w:pPr>
            <w:r w:rsidRPr="00A8672C">
              <w:rPr>
                <w:color w:val="23305D"/>
              </w:rPr>
              <w:t>The letter will comment on:</w:t>
            </w:r>
          </w:p>
          <w:p w:rsidR="00A8672C" w:rsidRPr="00A8672C" w:rsidRDefault="00A8672C" w:rsidP="00A8672C">
            <w:pPr>
              <w:pStyle w:val="TableBullet"/>
              <w:ind w:left="1418"/>
              <w:rPr>
                <w:color w:val="23305D"/>
              </w:rPr>
            </w:pPr>
            <w:r w:rsidRPr="00A8672C">
              <w:rPr>
                <w:color w:val="23305D"/>
              </w:rPr>
              <w:t>causality</w:t>
            </w:r>
          </w:p>
          <w:p w:rsidR="00A8672C" w:rsidRPr="00A8672C" w:rsidRDefault="00A8672C" w:rsidP="00A8672C">
            <w:pPr>
              <w:pStyle w:val="TableBullet"/>
              <w:ind w:left="1418"/>
              <w:rPr>
                <w:color w:val="23305D"/>
              </w:rPr>
            </w:pPr>
            <w:r w:rsidRPr="00A8672C">
              <w:rPr>
                <w:color w:val="23305D"/>
              </w:rPr>
              <w:t>number of similar reports in the New Zealand and/or WHO databases</w:t>
            </w:r>
          </w:p>
          <w:p w:rsidR="005246E7" w:rsidRPr="00A8672C" w:rsidRDefault="00A8672C" w:rsidP="00A8672C">
            <w:pPr>
              <w:pStyle w:val="TableBullet"/>
              <w:spacing w:after="120"/>
              <w:ind w:left="1418"/>
              <w:rPr>
                <w:color w:val="23305D"/>
              </w:rPr>
            </w:pPr>
            <w:proofErr w:type="gramStart"/>
            <w:r w:rsidRPr="00A8672C">
              <w:rPr>
                <w:color w:val="23305D"/>
              </w:rPr>
              <w:t>any</w:t>
            </w:r>
            <w:proofErr w:type="gramEnd"/>
            <w:r w:rsidRPr="00A8672C">
              <w:rPr>
                <w:color w:val="23305D"/>
              </w:rPr>
              <w:t xml:space="preserve"> additional relevant information.</w:t>
            </w:r>
          </w:p>
        </w:tc>
      </w:tr>
    </w:tbl>
    <w:p w:rsidR="005246E7" w:rsidRPr="00724B8F" w:rsidRDefault="005246E7" w:rsidP="00A8672C">
      <w:bookmarkStart w:id="70" w:name="_GoBack"/>
      <w:bookmarkEnd w:id="70"/>
    </w:p>
    <w:sectPr w:rsidR="005246E7" w:rsidRPr="00724B8F" w:rsidSect="005246E7">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61F" w:rsidRDefault="000F161F">
      <w:r>
        <w:separator/>
      </w:r>
    </w:p>
    <w:p w:rsidR="000F161F" w:rsidRDefault="000F161F"/>
  </w:endnote>
  <w:endnote w:type="continuationSeparator" w:id="0">
    <w:p w:rsidR="000F161F" w:rsidRDefault="000F161F">
      <w:r>
        <w:continuationSeparator/>
      </w:r>
    </w:p>
    <w:p w:rsidR="000F161F" w:rsidRDefault="000F1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65" w:rsidRPr="00581136" w:rsidRDefault="00A13F65"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A13F65" w:rsidRPr="005A79E5" w:rsidRDefault="00A13F6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65" w:rsidRDefault="00A13F65"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65" w:rsidRDefault="00A13F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13F65" w:rsidTr="00D662F8">
      <w:trPr>
        <w:cantSplit/>
      </w:trPr>
      <w:tc>
        <w:tcPr>
          <w:tcW w:w="709" w:type="dxa"/>
          <w:vAlign w:val="center"/>
        </w:tcPr>
        <w:p w:rsidR="00A13F65" w:rsidRPr="00931466" w:rsidRDefault="00A13F6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66E0A">
            <w:rPr>
              <w:rStyle w:val="PageNumber"/>
              <w:noProof/>
            </w:rPr>
            <w:t>iv</w:t>
          </w:r>
          <w:r w:rsidRPr="00931466">
            <w:rPr>
              <w:rStyle w:val="PageNumber"/>
            </w:rPr>
            <w:fldChar w:fldCharType="end"/>
          </w:r>
        </w:p>
      </w:tc>
      <w:tc>
        <w:tcPr>
          <w:tcW w:w="8080" w:type="dxa"/>
          <w:vAlign w:val="center"/>
        </w:tcPr>
        <w:p w:rsidR="00A13F65" w:rsidRDefault="00A13F65" w:rsidP="00926083">
          <w:pPr>
            <w:pStyle w:val="RectoFooter"/>
            <w:jc w:val="left"/>
          </w:pPr>
          <w:r>
            <w:t>[INSERT TITLE]</w:t>
          </w:r>
        </w:p>
      </w:tc>
    </w:tr>
  </w:tbl>
  <w:p w:rsidR="00A13F65" w:rsidRPr="00571223" w:rsidRDefault="00A13F65"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13F65" w:rsidTr="00D662F8">
      <w:trPr>
        <w:cantSplit/>
      </w:trPr>
      <w:tc>
        <w:tcPr>
          <w:tcW w:w="8080" w:type="dxa"/>
          <w:vAlign w:val="center"/>
        </w:tcPr>
        <w:p w:rsidR="00A13F65" w:rsidRDefault="00A13F65" w:rsidP="00E147DE">
          <w:pPr>
            <w:pStyle w:val="RectoFooter"/>
          </w:pPr>
          <w:r>
            <w:t>MEDICATION GUIDELINES FOR THE HOME AND COMMUNITY SUPPORT SERVICES SECTOR</w:t>
          </w:r>
        </w:p>
      </w:tc>
      <w:tc>
        <w:tcPr>
          <w:tcW w:w="709" w:type="dxa"/>
          <w:vAlign w:val="center"/>
        </w:tcPr>
        <w:p w:rsidR="00A13F65" w:rsidRPr="00931466" w:rsidRDefault="00A13F65"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076EB">
            <w:rPr>
              <w:rStyle w:val="PageNumber"/>
              <w:noProof/>
            </w:rPr>
            <w:t>v</w:t>
          </w:r>
          <w:r w:rsidRPr="00931466">
            <w:rPr>
              <w:rStyle w:val="PageNumber"/>
            </w:rPr>
            <w:fldChar w:fldCharType="end"/>
          </w:r>
        </w:p>
      </w:tc>
    </w:tr>
  </w:tbl>
  <w:p w:rsidR="00A13F65" w:rsidRPr="00581EB8" w:rsidRDefault="00A13F65"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65" w:rsidRPr="00571223" w:rsidRDefault="00A13F65"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1D6409" w:rsidTr="005A524E">
      <w:trPr>
        <w:cantSplit/>
      </w:trPr>
      <w:tc>
        <w:tcPr>
          <w:tcW w:w="675" w:type="dxa"/>
          <w:vAlign w:val="center"/>
        </w:tcPr>
        <w:p w:rsidR="001D6409" w:rsidRPr="00931466" w:rsidRDefault="001D6409" w:rsidP="005A524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076EB">
            <w:rPr>
              <w:rStyle w:val="PageNumber"/>
              <w:noProof/>
            </w:rPr>
            <w:t>vi</w:t>
          </w:r>
          <w:r w:rsidRPr="00931466">
            <w:rPr>
              <w:rStyle w:val="PageNumber"/>
            </w:rPr>
            <w:fldChar w:fldCharType="end"/>
          </w:r>
        </w:p>
      </w:tc>
      <w:tc>
        <w:tcPr>
          <w:tcW w:w="9072" w:type="dxa"/>
          <w:vAlign w:val="center"/>
        </w:tcPr>
        <w:p w:rsidR="001D6409" w:rsidRDefault="001D6409" w:rsidP="001D6409">
          <w:pPr>
            <w:pStyle w:val="RectoFooter"/>
            <w:ind w:left="-108"/>
            <w:jc w:val="left"/>
          </w:pPr>
          <w:r>
            <w:t>MEDICATION GUIDELINES FOR THE HOME AND COMMUNITY SUPPORT SERVICES SECTOR</w:t>
          </w:r>
        </w:p>
      </w:tc>
    </w:tr>
  </w:tbl>
  <w:p w:rsidR="001D6409" w:rsidRPr="00571223" w:rsidRDefault="001D6409" w:rsidP="001D6409">
    <w:pPr>
      <w:pStyle w:val="Verso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1D6409" w:rsidTr="005A524E">
      <w:trPr>
        <w:cantSplit/>
      </w:trPr>
      <w:tc>
        <w:tcPr>
          <w:tcW w:w="675" w:type="dxa"/>
          <w:vAlign w:val="center"/>
        </w:tcPr>
        <w:p w:rsidR="001D6409" w:rsidRPr="00931466" w:rsidRDefault="001D6409" w:rsidP="005A524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076EB">
            <w:rPr>
              <w:rStyle w:val="PageNumber"/>
              <w:noProof/>
            </w:rPr>
            <w:t>14</w:t>
          </w:r>
          <w:r w:rsidRPr="00931466">
            <w:rPr>
              <w:rStyle w:val="PageNumber"/>
            </w:rPr>
            <w:fldChar w:fldCharType="end"/>
          </w:r>
        </w:p>
      </w:tc>
      <w:tc>
        <w:tcPr>
          <w:tcW w:w="9072" w:type="dxa"/>
          <w:vAlign w:val="center"/>
        </w:tcPr>
        <w:p w:rsidR="001D6409" w:rsidRDefault="001D6409" w:rsidP="001D6409">
          <w:pPr>
            <w:pStyle w:val="RectoFooter"/>
            <w:ind w:left="-108"/>
            <w:jc w:val="left"/>
          </w:pPr>
          <w:r>
            <w:t>MEDICATION GUIDELINES FOR THE HOME AND COMMUNITY SUPPORT SERVICES SECTOR</w:t>
          </w:r>
        </w:p>
      </w:tc>
    </w:tr>
  </w:tbl>
  <w:p w:rsidR="001D6409" w:rsidRPr="00571223" w:rsidRDefault="001D6409" w:rsidP="001D6409">
    <w:pPr>
      <w:pStyle w:val="VersoFoote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13F65" w:rsidTr="00A13F65">
      <w:trPr>
        <w:cantSplit/>
      </w:trPr>
      <w:tc>
        <w:tcPr>
          <w:tcW w:w="8080" w:type="dxa"/>
          <w:vAlign w:val="center"/>
        </w:tcPr>
        <w:p w:rsidR="00A13F65" w:rsidRDefault="00A13F65" w:rsidP="002575E8">
          <w:pPr>
            <w:pStyle w:val="RectoFooter"/>
          </w:pPr>
          <w:r>
            <w:t>MEDICATION GUIDELINES FOR THE HOME AND COMMUNITY SUPPORT SERVICES SECTOR</w:t>
          </w:r>
        </w:p>
      </w:tc>
      <w:tc>
        <w:tcPr>
          <w:tcW w:w="709" w:type="dxa"/>
          <w:vAlign w:val="center"/>
        </w:tcPr>
        <w:p w:rsidR="00A13F65" w:rsidRPr="00931466" w:rsidRDefault="00A13F65" w:rsidP="00A13F65">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076EB">
            <w:rPr>
              <w:rStyle w:val="PageNumber"/>
              <w:noProof/>
            </w:rPr>
            <w:t>15</w:t>
          </w:r>
          <w:r w:rsidRPr="00931466">
            <w:rPr>
              <w:rStyle w:val="PageNumber"/>
            </w:rPr>
            <w:fldChar w:fldCharType="end"/>
          </w:r>
        </w:p>
      </w:tc>
    </w:tr>
  </w:tbl>
  <w:p w:rsidR="00A13F65" w:rsidRPr="00581EB8" w:rsidRDefault="00A13F65"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61F" w:rsidRPr="00A26E6B" w:rsidRDefault="000F161F" w:rsidP="00A26E6B"/>
  </w:footnote>
  <w:footnote w:type="continuationSeparator" w:id="0">
    <w:p w:rsidR="000F161F" w:rsidRDefault="000F161F">
      <w:r>
        <w:continuationSeparator/>
      </w:r>
    </w:p>
    <w:p w:rsidR="000F161F" w:rsidRDefault="000F161F"/>
  </w:footnote>
  <w:footnote w:id="1">
    <w:p w:rsidR="00A13F65" w:rsidRDefault="00A13F65" w:rsidP="00E147DE">
      <w:pPr>
        <w:pStyle w:val="FootnoteText"/>
      </w:pPr>
      <w:r w:rsidRPr="00E147DE">
        <w:rPr>
          <w:rStyle w:val="FootnoteReference"/>
        </w:rPr>
        <w:footnoteRef/>
      </w:r>
      <w:r>
        <w:tab/>
        <w:t>Note the Nursing Council of New Zealand</w:t>
      </w:r>
      <w:r w:rsidRPr="00531E0D">
        <w:t xml:space="preserve"> </w:t>
      </w:r>
      <w:r>
        <w:t xml:space="preserve">(NCNZ) </w:t>
      </w:r>
      <w:r w:rsidRPr="00531E0D">
        <w:t xml:space="preserve">does not provide a definition for an </w:t>
      </w:r>
      <w:r>
        <w:t>EN</w:t>
      </w:r>
      <w:r w:rsidRPr="00531E0D">
        <w:t xml:space="preserve">. </w:t>
      </w:r>
      <w:r>
        <w:t xml:space="preserve">The EN scope of practice is outlined in </w:t>
      </w:r>
      <w:r w:rsidRPr="00097A7B">
        <w:rPr>
          <w:i/>
        </w:rPr>
        <w:t>Competencies for Enrolled Nurses</w:t>
      </w:r>
      <w:r>
        <w:t xml:space="preserve"> (NCNZ 2012).</w:t>
      </w:r>
    </w:p>
  </w:footnote>
  <w:footnote w:id="2">
    <w:p w:rsidR="00A13F65" w:rsidRDefault="00A13F65" w:rsidP="00E147DE">
      <w:pPr>
        <w:pStyle w:val="FootnoteText"/>
      </w:pPr>
      <w:r w:rsidRPr="00E147DE">
        <w:rPr>
          <w:rStyle w:val="FootnoteReference"/>
        </w:rPr>
        <w:footnoteRef/>
      </w:r>
      <w:r>
        <w:tab/>
        <w:t xml:space="preserve">Note the NCNZ does not provide a definition for an RN. The RN scope of practice is outlined in </w:t>
      </w:r>
      <w:r w:rsidRPr="0091305D">
        <w:rPr>
          <w:i/>
        </w:rPr>
        <w:t>Competencies for Registered Nurses</w:t>
      </w:r>
      <w:r>
        <w:t xml:space="preserve"> (NCNZ 2012).</w:t>
      </w:r>
    </w:p>
  </w:footnote>
  <w:footnote w:id="3">
    <w:p w:rsidR="00A13F65" w:rsidRDefault="00A13F65" w:rsidP="00E147DE">
      <w:pPr>
        <w:pStyle w:val="FootnoteText"/>
      </w:pPr>
      <w:r w:rsidRPr="00E147DE">
        <w:rPr>
          <w:rStyle w:val="FootnoteReference"/>
        </w:rPr>
        <w:footnoteRef/>
      </w:r>
      <w:r>
        <w:tab/>
        <w:t>If a person is under 18 years of age, where a power of attorney or guardianship is in place, a separate process may be required.</w:t>
      </w:r>
    </w:p>
  </w:footnote>
  <w:footnote w:id="4">
    <w:p w:rsidR="00A13F65" w:rsidRPr="00F14BC1" w:rsidRDefault="00A13F65" w:rsidP="0031381E">
      <w:pPr>
        <w:pStyle w:val="FootnoteText"/>
      </w:pPr>
      <w:r w:rsidRPr="0031381E">
        <w:rPr>
          <w:rStyle w:val="FootnoteReference"/>
        </w:rPr>
        <w:footnoteRef/>
      </w:r>
      <w:r>
        <w:tab/>
        <w:t>The guidelines exclude</w:t>
      </w:r>
      <w:r w:rsidRPr="00677087">
        <w:t xml:space="preserve"> residents living in </w:t>
      </w:r>
      <w:r>
        <w:t xml:space="preserve">certified aged </w:t>
      </w:r>
      <w:r w:rsidRPr="00677087">
        <w:t xml:space="preserve">residential care facilities </w:t>
      </w:r>
      <w:r>
        <w:t xml:space="preserve">(such facilities are certified where they have two or more hospital residents and/or three or more rest home residents), </w:t>
      </w:r>
      <w:r w:rsidRPr="00677087">
        <w:t xml:space="preserve">as the </w:t>
      </w:r>
      <w:r w:rsidRPr="00677087">
        <w:rPr>
          <w:i/>
        </w:rPr>
        <w:t>Medicines Care Guides for Residential Aged Care</w:t>
      </w:r>
      <w:r w:rsidRPr="00677087">
        <w:t xml:space="preserve"> (Ministry of Health</w:t>
      </w:r>
      <w:r>
        <w:t xml:space="preserve"> </w:t>
      </w:r>
      <w:r w:rsidRPr="00677087">
        <w:t>2011)</w:t>
      </w:r>
      <w:r>
        <w:t xml:space="preserve"> apply in this situation. They also </w:t>
      </w:r>
      <w:r w:rsidRPr="00677087">
        <w:t>exclude residents receiving residential care</w:t>
      </w:r>
      <w:r>
        <w:t>,</w:t>
      </w:r>
      <w:r w:rsidRPr="00677087">
        <w:t xml:space="preserve"> as the </w:t>
      </w:r>
      <w:r w:rsidRPr="00677087">
        <w:rPr>
          <w:i/>
        </w:rPr>
        <w:t>Medicines Management Guide for Community Residential and Facility-based Respite Services</w:t>
      </w:r>
      <w:r w:rsidRPr="00677087">
        <w:t xml:space="preserve"> (M</w:t>
      </w:r>
      <w:r>
        <w:t>inistry of Health 2013) apply in this situation.</w:t>
      </w:r>
    </w:p>
  </w:footnote>
  <w:footnote w:id="5">
    <w:p w:rsidR="00A13F65" w:rsidRDefault="00A13F65" w:rsidP="00A04D80">
      <w:pPr>
        <w:pStyle w:val="FootnoteText"/>
      </w:pPr>
      <w:r w:rsidRPr="00A04D80">
        <w:rPr>
          <w:rStyle w:val="FootnoteReference"/>
        </w:rPr>
        <w:footnoteRef/>
      </w:r>
      <w:r w:rsidR="00A04D80">
        <w:tab/>
      </w:r>
      <w:r w:rsidRPr="00A37BF2">
        <w:t xml:space="preserve">It is recognised that </w:t>
      </w:r>
      <w:r>
        <w:t>HSWs</w:t>
      </w:r>
      <w:r w:rsidRPr="00A37BF2">
        <w:t xml:space="preserve"> do not have specialist nursing knowledge, skill or judgement regarding medication administration</w:t>
      </w:r>
      <w:r>
        <w:t xml:space="preserve">; even so, </w:t>
      </w:r>
      <w:r w:rsidRPr="00A37BF2">
        <w:t>they are accountable under the Health and Disability Commissioner Act 1994 and must adhere to the Code of Health and Disability Services Consumers</w:t>
      </w:r>
      <w:r>
        <w:t>’</w:t>
      </w:r>
      <w:r w:rsidRPr="00A37BF2">
        <w:t xml:space="preserve"> Rights.</w:t>
      </w:r>
    </w:p>
  </w:footnote>
  <w:footnote w:id="6">
    <w:p w:rsidR="00A13F65" w:rsidRDefault="00A13F65" w:rsidP="00646FEF">
      <w:pPr>
        <w:pStyle w:val="FootnoteText"/>
      </w:pPr>
      <w:r w:rsidRPr="00646FEF">
        <w:rPr>
          <w:rStyle w:val="FootnoteReference"/>
        </w:rPr>
        <w:footnoteRef/>
      </w:r>
      <w:r w:rsidR="00646FEF">
        <w:tab/>
      </w:r>
      <w:r>
        <w:t xml:space="preserve">The New Zealand Formulary lists known adverse reactions: see </w:t>
      </w:r>
      <w:r w:rsidRPr="00D07A5B">
        <w:t>www.nzformulary.org</w:t>
      </w:r>
      <w:r>
        <w:t xml:space="preserve"> (accessed 24 January 2019).</w:t>
      </w:r>
    </w:p>
  </w:footnote>
  <w:footnote w:id="7">
    <w:p w:rsidR="00A13F65" w:rsidRDefault="00A13F65" w:rsidP="006E252C">
      <w:pPr>
        <w:pStyle w:val="FootnoteText"/>
      </w:pPr>
      <w:r w:rsidRPr="006E252C">
        <w:rPr>
          <w:rStyle w:val="FootnoteReference"/>
        </w:rPr>
        <w:footnoteRef/>
      </w:r>
      <w:r w:rsidR="006E252C">
        <w:tab/>
      </w:r>
      <w:r w:rsidRPr="00EF51CB">
        <w:t xml:space="preserve">Some </w:t>
      </w:r>
      <w:r>
        <w:t xml:space="preserve">DHBs </w:t>
      </w:r>
      <w:r w:rsidRPr="00EF51CB">
        <w:t xml:space="preserve">may require </w:t>
      </w:r>
      <w:r>
        <w:t xml:space="preserve">funders to individually sign off on the </w:t>
      </w:r>
      <w:r w:rsidRPr="00EF51CB">
        <w:t>training and competencies of support staff who are administering high</w:t>
      </w:r>
      <w:r>
        <w:t>-</w:t>
      </w:r>
      <w:r w:rsidRPr="00EF51CB">
        <w:t>risk medications.</w:t>
      </w:r>
    </w:p>
  </w:footnote>
  <w:footnote w:id="8">
    <w:p w:rsidR="00A13F65" w:rsidRDefault="00A13F65" w:rsidP="006E252C">
      <w:pPr>
        <w:pStyle w:val="FootnoteText"/>
      </w:pPr>
      <w:r w:rsidRPr="006E252C">
        <w:rPr>
          <w:rStyle w:val="FootnoteReference"/>
        </w:rPr>
        <w:footnoteRef/>
      </w:r>
      <w:r w:rsidR="006E252C">
        <w:tab/>
      </w:r>
      <w:r>
        <w:t>This should be a registered health professional, not a support worker.</w:t>
      </w:r>
    </w:p>
  </w:footnote>
  <w:footnote w:id="9">
    <w:p w:rsidR="00A13F65" w:rsidRDefault="00A13F65" w:rsidP="00EC5B40">
      <w:pPr>
        <w:pStyle w:val="FootnoteText"/>
      </w:pPr>
      <w:r w:rsidRPr="00EC5B40">
        <w:rPr>
          <w:rStyle w:val="FootnoteReference"/>
        </w:rPr>
        <w:footnoteRef/>
      </w:r>
      <w:r w:rsidR="00EC5B40">
        <w:tab/>
      </w:r>
      <w:r>
        <w:t>Providers must ensure the competency of RNs to manage medication administration and high-risk medications/controlled drugs.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A13F65" w:rsidTr="005A79E5">
      <w:trPr>
        <w:cantSplit/>
      </w:trPr>
      <w:tc>
        <w:tcPr>
          <w:tcW w:w="5210" w:type="dxa"/>
        </w:tcPr>
        <w:p w:rsidR="00A13F65" w:rsidRDefault="00A13F65" w:rsidP="008814E8">
          <w:pPr>
            <w:pStyle w:val="Header"/>
          </w:pPr>
          <w:r>
            <w:rPr>
              <w:noProof/>
              <w:lang w:eastAsia="en-NZ"/>
            </w:rPr>
            <w:drawing>
              <wp:inline distT="0" distB="0" distL="0" distR="0" wp14:anchorId="0D9AE54A" wp14:editId="0A5B0720">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A13F65" w:rsidRDefault="00A13F65" w:rsidP="008814E8">
          <w:pPr>
            <w:pStyle w:val="Header"/>
            <w:jc w:val="right"/>
          </w:pPr>
          <w:r>
            <w:rPr>
              <w:noProof/>
              <w:lang w:eastAsia="en-NZ"/>
            </w:rPr>
            <w:drawing>
              <wp:inline distT="0" distB="0" distL="0" distR="0" wp14:anchorId="612D15CA" wp14:editId="19A9C4F2">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A13F65" w:rsidRDefault="00A13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65" w:rsidRDefault="00A13F65"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65" w:rsidRDefault="00A13F65" w:rsidP="0090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7CE"/>
    <w:multiLevelType w:val="hybridMultilevel"/>
    <w:tmpl w:val="E32A4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D817C7"/>
    <w:multiLevelType w:val="multilevel"/>
    <w:tmpl w:val="5C0E14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3C05C9"/>
    <w:multiLevelType w:val="hybridMultilevel"/>
    <w:tmpl w:val="025017A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 w15:restartNumberingAfterBreak="0">
    <w:nsid w:val="01EB3954"/>
    <w:multiLevelType w:val="hybridMultilevel"/>
    <w:tmpl w:val="288277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F81E56"/>
    <w:multiLevelType w:val="hybridMultilevel"/>
    <w:tmpl w:val="05C6C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7613D6E"/>
    <w:multiLevelType w:val="hybridMultilevel"/>
    <w:tmpl w:val="EB6E9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3728A6"/>
    <w:multiLevelType w:val="hybridMultilevel"/>
    <w:tmpl w:val="3E360B72"/>
    <w:lvl w:ilvl="0" w:tplc="08090001">
      <w:start w:val="1"/>
      <w:numFmt w:val="bullet"/>
      <w:lvlText w:val=""/>
      <w:lvlJc w:val="left"/>
      <w:pPr>
        <w:ind w:left="351"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8" w15:restartNumberingAfterBreak="0">
    <w:nsid w:val="0D757B8F"/>
    <w:multiLevelType w:val="hybridMultilevel"/>
    <w:tmpl w:val="33B299D8"/>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EA75EC0"/>
    <w:multiLevelType w:val="hybridMultilevel"/>
    <w:tmpl w:val="8286F4F6"/>
    <w:lvl w:ilvl="0" w:tplc="14090001">
      <w:start w:val="1"/>
      <w:numFmt w:val="bullet"/>
      <w:lvlText w:val=""/>
      <w:lvlJc w:val="left"/>
      <w:pPr>
        <w:ind w:left="35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84EBD"/>
    <w:multiLevelType w:val="hybridMultilevel"/>
    <w:tmpl w:val="EBDE2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925DE4"/>
    <w:multiLevelType w:val="hybridMultilevel"/>
    <w:tmpl w:val="8D3EF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5BD282C"/>
    <w:multiLevelType w:val="hybridMultilevel"/>
    <w:tmpl w:val="E6C0F9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E349B2"/>
    <w:multiLevelType w:val="hybridMultilevel"/>
    <w:tmpl w:val="E8D2653A"/>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18594514"/>
    <w:multiLevelType w:val="hybridMultilevel"/>
    <w:tmpl w:val="88268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E23621A"/>
    <w:multiLevelType w:val="multilevel"/>
    <w:tmpl w:val="A2A8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672613"/>
    <w:multiLevelType w:val="hybridMultilevel"/>
    <w:tmpl w:val="CF1634E2"/>
    <w:lvl w:ilvl="0" w:tplc="08090001">
      <w:start w:val="1"/>
      <w:numFmt w:val="bullet"/>
      <w:lvlText w:val=""/>
      <w:lvlJc w:val="left"/>
      <w:pPr>
        <w:ind w:left="354"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274F3D86"/>
    <w:multiLevelType w:val="hybridMultilevel"/>
    <w:tmpl w:val="DA220E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957185D"/>
    <w:multiLevelType w:val="hybridMultilevel"/>
    <w:tmpl w:val="C916E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B958CC"/>
    <w:multiLevelType w:val="hybridMultilevel"/>
    <w:tmpl w:val="818A0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F336C6A"/>
    <w:multiLevelType w:val="hybridMultilevel"/>
    <w:tmpl w:val="DE6EAB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F690E44"/>
    <w:multiLevelType w:val="hybridMultilevel"/>
    <w:tmpl w:val="CF72E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FC54637"/>
    <w:multiLevelType w:val="hybridMultilevel"/>
    <w:tmpl w:val="F8B00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85D39"/>
    <w:multiLevelType w:val="hybridMultilevel"/>
    <w:tmpl w:val="582614FE"/>
    <w:lvl w:ilvl="0" w:tplc="08090001">
      <w:start w:val="1"/>
      <w:numFmt w:val="bullet"/>
      <w:lvlText w:val=""/>
      <w:lvlJc w:val="left"/>
      <w:pPr>
        <w:ind w:left="46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2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C564FC"/>
    <w:multiLevelType w:val="hybridMultilevel"/>
    <w:tmpl w:val="C248F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EB189320">
      <w:numFmt w:val="bullet"/>
      <w:lvlText w:val="•"/>
      <w:lvlJc w:val="left"/>
      <w:pPr>
        <w:ind w:left="1800" w:hanging="360"/>
      </w:pPr>
      <w:rPr>
        <w:rFonts w:ascii="Segoe UI" w:eastAsia="Times New Roman" w:hAnsi="Segoe UI"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E64769"/>
    <w:multiLevelType w:val="hybridMultilevel"/>
    <w:tmpl w:val="02C0F6A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F2E59E0"/>
    <w:multiLevelType w:val="hybridMultilevel"/>
    <w:tmpl w:val="44B2EFC6"/>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D44E86"/>
    <w:multiLevelType w:val="hybridMultilevel"/>
    <w:tmpl w:val="515EE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BD95910"/>
    <w:multiLevelType w:val="hybridMultilevel"/>
    <w:tmpl w:val="1A860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2132EDA"/>
    <w:multiLevelType w:val="hybridMultilevel"/>
    <w:tmpl w:val="45B49088"/>
    <w:lvl w:ilvl="0" w:tplc="08090001">
      <w:start w:val="1"/>
      <w:numFmt w:val="bullet"/>
      <w:lvlText w:val=""/>
      <w:lvlJc w:val="left"/>
      <w:pPr>
        <w:ind w:left="35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B866E5"/>
    <w:multiLevelType w:val="hybridMultilevel"/>
    <w:tmpl w:val="5D924470"/>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D5EC1"/>
    <w:multiLevelType w:val="hybridMultilevel"/>
    <w:tmpl w:val="951237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8F00BD9"/>
    <w:multiLevelType w:val="hybridMultilevel"/>
    <w:tmpl w:val="7136B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A660635"/>
    <w:multiLevelType w:val="hybridMultilevel"/>
    <w:tmpl w:val="BA6C3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FFE4619"/>
    <w:multiLevelType w:val="hybridMultilevel"/>
    <w:tmpl w:val="CE52D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10061DB"/>
    <w:multiLevelType w:val="hybridMultilevel"/>
    <w:tmpl w:val="D1D6A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84C5C1F"/>
    <w:multiLevelType w:val="hybridMultilevel"/>
    <w:tmpl w:val="C1AC9E0A"/>
    <w:lvl w:ilvl="0" w:tplc="08090001">
      <w:start w:val="1"/>
      <w:numFmt w:val="bullet"/>
      <w:lvlText w:val=""/>
      <w:lvlJc w:val="left"/>
      <w:pPr>
        <w:ind w:left="35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0" w15:restartNumberingAfterBreak="0">
    <w:nsid w:val="7DF02633"/>
    <w:multiLevelType w:val="hybridMultilevel"/>
    <w:tmpl w:val="C23272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25"/>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6"/>
  </w:num>
  <w:num w:numId="9">
    <w:abstractNumId w:val="9"/>
  </w:num>
  <w:num w:numId="10">
    <w:abstractNumId w:val="2"/>
  </w:num>
  <w:num w:numId="11">
    <w:abstractNumId w:val="16"/>
  </w:num>
  <w:num w:numId="12">
    <w:abstractNumId w:val="7"/>
  </w:num>
  <w:num w:numId="13">
    <w:abstractNumId w:val="38"/>
  </w:num>
  <w:num w:numId="14">
    <w:abstractNumId w:val="31"/>
  </w:num>
  <w:num w:numId="15">
    <w:abstractNumId w:val="18"/>
  </w:num>
  <w:num w:numId="16">
    <w:abstractNumId w:val="14"/>
  </w:num>
  <w:num w:numId="17">
    <w:abstractNumId w:val="37"/>
  </w:num>
  <w:num w:numId="18">
    <w:abstractNumId w:val="40"/>
  </w:num>
  <w:num w:numId="19">
    <w:abstractNumId w:val="0"/>
  </w:num>
  <w:num w:numId="20">
    <w:abstractNumId w:val="28"/>
  </w:num>
  <w:num w:numId="21">
    <w:abstractNumId w:val="24"/>
  </w:num>
  <w:num w:numId="22">
    <w:abstractNumId w:val="15"/>
  </w:num>
  <w:num w:numId="23">
    <w:abstractNumId w:val="12"/>
  </w:num>
  <w:num w:numId="24">
    <w:abstractNumId w:val="6"/>
  </w:num>
  <w:num w:numId="25">
    <w:abstractNumId w:val="29"/>
  </w:num>
  <w:num w:numId="26">
    <w:abstractNumId w:val="5"/>
  </w:num>
  <w:num w:numId="27">
    <w:abstractNumId w:val="3"/>
  </w:num>
  <w:num w:numId="28">
    <w:abstractNumId w:val="30"/>
  </w:num>
  <w:num w:numId="29">
    <w:abstractNumId w:val="36"/>
  </w:num>
  <w:num w:numId="30">
    <w:abstractNumId w:val="20"/>
  </w:num>
  <w:num w:numId="31">
    <w:abstractNumId w:val="19"/>
  </w:num>
  <w:num w:numId="32">
    <w:abstractNumId w:val="34"/>
  </w:num>
  <w:num w:numId="33">
    <w:abstractNumId w:val="35"/>
  </w:num>
  <w:num w:numId="34">
    <w:abstractNumId w:val="22"/>
  </w:num>
  <w:num w:numId="35">
    <w:abstractNumId w:val="21"/>
  </w:num>
  <w:num w:numId="36">
    <w:abstractNumId w:val="11"/>
  </w:num>
  <w:num w:numId="37">
    <w:abstractNumId w:val="10"/>
  </w:num>
  <w:num w:numId="38">
    <w:abstractNumId w:val="17"/>
  </w:num>
  <w:num w:numId="39">
    <w:abstractNumId w:val="27"/>
  </w:num>
  <w:num w:numId="40">
    <w:abstractNumId w:val="8"/>
  </w:num>
  <w:num w:numId="41">
    <w:abstractNumId w:val="33"/>
  </w:num>
  <w:num w:numId="4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F161F"/>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7070E"/>
    <w:rsid w:val="0018376C"/>
    <w:rsid w:val="0018662D"/>
    <w:rsid w:val="00197427"/>
    <w:rsid w:val="001A21B4"/>
    <w:rsid w:val="001A5CF5"/>
    <w:rsid w:val="001B39D2"/>
    <w:rsid w:val="001B4BF8"/>
    <w:rsid w:val="001C4326"/>
    <w:rsid w:val="001C665E"/>
    <w:rsid w:val="001D3541"/>
    <w:rsid w:val="001D3E4E"/>
    <w:rsid w:val="001D6409"/>
    <w:rsid w:val="001E254A"/>
    <w:rsid w:val="001E7386"/>
    <w:rsid w:val="001F45A7"/>
    <w:rsid w:val="0020027C"/>
    <w:rsid w:val="00201A01"/>
    <w:rsid w:val="0020754B"/>
    <w:rsid w:val="002104D3"/>
    <w:rsid w:val="00213A33"/>
    <w:rsid w:val="0021763B"/>
    <w:rsid w:val="00246DB1"/>
    <w:rsid w:val="002476B5"/>
    <w:rsid w:val="002520CC"/>
    <w:rsid w:val="00252C43"/>
    <w:rsid w:val="00253ECF"/>
    <w:rsid w:val="002546A1"/>
    <w:rsid w:val="002575E8"/>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4685"/>
    <w:rsid w:val="002F7213"/>
    <w:rsid w:val="0030382F"/>
    <w:rsid w:val="0030408D"/>
    <w:rsid w:val="003060E4"/>
    <w:rsid w:val="0031381E"/>
    <w:rsid w:val="003160E7"/>
    <w:rsid w:val="0031739E"/>
    <w:rsid w:val="003235C6"/>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301C6"/>
    <w:rsid w:val="0043478F"/>
    <w:rsid w:val="0043602B"/>
    <w:rsid w:val="004367D2"/>
    <w:rsid w:val="00440BE0"/>
    <w:rsid w:val="00442A06"/>
    <w:rsid w:val="00442C1C"/>
    <w:rsid w:val="0044584B"/>
    <w:rsid w:val="00447CB7"/>
    <w:rsid w:val="004554F5"/>
    <w:rsid w:val="00455CC9"/>
    <w:rsid w:val="00460826"/>
    <w:rsid w:val="00460B1E"/>
    <w:rsid w:val="00460EA7"/>
    <w:rsid w:val="0046195B"/>
    <w:rsid w:val="0046362D"/>
    <w:rsid w:val="0046596D"/>
    <w:rsid w:val="00487C04"/>
    <w:rsid w:val="004907E1"/>
    <w:rsid w:val="00494C8E"/>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51C2"/>
    <w:rsid w:val="005246E7"/>
    <w:rsid w:val="0053199F"/>
    <w:rsid w:val="00531BA5"/>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437F"/>
    <w:rsid w:val="005A27CA"/>
    <w:rsid w:val="005A43BD"/>
    <w:rsid w:val="005A79E5"/>
    <w:rsid w:val="005D034C"/>
    <w:rsid w:val="005E226E"/>
    <w:rsid w:val="005E2636"/>
    <w:rsid w:val="006015D7"/>
    <w:rsid w:val="00601B21"/>
    <w:rsid w:val="006041F0"/>
    <w:rsid w:val="00605C6D"/>
    <w:rsid w:val="006120CA"/>
    <w:rsid w:val="00624174"/>
    <w:rsid w:val="00626CF8"/>
    <w:rsid w:val="006314AF"/>
    <w:rsid w:val="00634003"/>
    <w:rsid w:val="00634ED8"/>
    <w:rsid w:val="00636D7D"/>
    <w:rsid w:val="00637408"/>
    <w:rsid w:val="00642868"/>
    <w:rsid w:val="00646FEF"/>
    <w:rsid w:val="00647AFE"/>
    <w:rsid w:val="006512BC"/>
    <w:rsid w:val="00653A5A"/>
    <w:rsid w:val="006554AC"/>
    <w:rsid w:val="006575F4"/>
    <w:rsid w:val="006579E6"/>
    <w:rsid w:val="00660682"/>
    <w:rsid w:val="00660F74"/>
    <w:rsid w:val="00662EB9"/>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7B2E"/>
    <w:rsid w:val="006C78EB"/>
    <w:rsid w:val="006D1660"/>
    <w:rsid w:val="006D63E5"/>
    <w:rsid w:val="006E1753"/>
    <w:rsid w:val="006E252C"/>
    <w:rsid w:val="006E3911"/>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66E0A"/>
    <w:rsid w:val="00870A36"/>
    <w:rsid w:val="00872D93"/>
    <w:rsid w:val="00880470"/>
    <w:rsid w:val="00880D94"/>
    <w:rsid w:val="008814E8"/>
    <w:rsid w:val="00886F64"/>
    <w:rsid w:val="008924DE"/>
    <w:rsid w:val="008A3755"/>
    <w:rsid w:val="008B19DC"/>
    <w:rsid w:val="008B264F"/>
    <w:rsid w:val="008B6F83"/>
    <w:rsid w:val="008B7FD8"/>
    <w:rsid w:val="008C2973"/>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076EB"/>
    <w:rsid w:val="009133F5"/>
    <w:rsid w:val="0091756F"/>
    <w:rsid w:val="00920A27"/>
    <w:rsid w:val="00921216"/>
    <w:rsid w:val="009216CC"/>
    <w:rsid w:val="00922E41"/>
    <w:rsid w:val="00925892"/>
    <w:rsid w:val="00926083"/>
    <w:rsid w:val="00930D08"/>
    <w:rsid w:val="00931466"/>
    <w:rsid w:val="00932D69"/>
    <w:rsid w:val="00935589"/>
    <w:rsid w:val="00937408"/>
    <w:rsid w:val="009427FA"/>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60A"/>
    <w:rsid w:val="00A043FB"/>
    <w:rsid w:val="00A04D80"/>
    <w:rsid w:val="00A06BE4"/>
    <w:rsid w:val="00A0729C"/>
    <w:rsid w:val="00A073CF"/>
    <w:rsid w:val="00A07779"/>
    <w:rsid w:val="00A1166A"/>
    <w:rsid w:val="00A13E94"/>
    <w:rsid w:val="00A13F65"/>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672C"/>
    <w:rsid w:val="00A87C05"/>
    <w:rsid w:val="00A9169D"/>
    <w:rsid w:val="00A93598"/>
    <w:rsid w:val="00AA240C"/>
    <w:rsid w:val="00AC101C"/>
    <w:rsid w:val="00AD4CF1"/>
    <w:rsid w:val="00AD5988"/>
    <w:rsid w:val="00AD6293"/>
    <w:rsid w:val="00AF7800"/>
    <w:rsid w:val="00B00CF5"/>
    <w:rsid w:val="00B072E0"/>
    <w:rsid w:val="00B1007E"/>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441CF"/>
    <w:rsid w:val="00C45AA2"/>
    <w:rsid w:val="00C4792C"/>
    <w:rsid w:val="00C50F0A"/>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7256"/>
    <w:rsid w:val="00DC0401"/>
    <w:rsid w:val="00DC20BD"/>
    <w:rsid w:val="00DD0BCD"/>
    <w:rsid w:val="00DD447A"/>
    <w:rsid w:val="00DE3B20"/>
    <w:rsid w:val="00DE6C94"/>
    <w:rsid w:val="00DE6FD7"/>
    <w:rsid w:val="00DF0C7C"/>
    <w:rsid w:val="00E147DE"/>
    <w:rsid w:val="00E23271"/>
    <w:rsid w:val="00E24F80"/>
    <w:rsid w:val="00E259F3"/>
    <w:rsid w:val="00E30985"/>
    <w:rsid w:val="00E33238"/>
    <w:rsid w:val="00E33934"/>
    <w:rsid w:val="00E376B7"/>
    <w:rsid w:val="00E42F5D"/>
    <w:rsid w:val="00E4486C"/>
    <w:rsid w:val="00E460B6"/>
    <w:rsid w:val="00E511D5"/>
    <w:rsid w:val="00E53A9F"/>
    <w:rsid w:val="00E60249"/>
    <w:rsid w:val="00E65269"/>
    <w:rsid w:val="00E76D66"/>
    <w:rsid w:val="00EA796A"/>
    <w:rsid w:val="00EB1856"/>
    <w:rsid w:val="00EC50CE"/>
    <w:rsid w:val="00EC5B34"/>
    <w:rsid w:val="00EC5B40"/>
    <w:rsid w:val="00ED021E"/>
    <w:rsid w:val="00ED323C"/>
    <w:rsid w:val="00EE2D5C"/>
    <w:rsid w:val="00EE4ADE"/>
    <w:rsid w:val="00EE4DE8"/>
    <w:rsid w:val="00EE5CB7"/>
    <w:rsid w:val="00F024FE"/>
    <w:rsid w:val="00F05AD4"/>
    <w:rsid w:val="00F10EB6"/>
    <w:rsid w:val="00F13F07"/>
    <w:rsid w:val="00F140B2"/>
    <w:rsid w:val="00F25970"/>
    <w:rsid w:val="00F311A9"/>
    <w:rsid w:val="00F37381"/>
    <w:rsid w:val="00F5180D"/>
    <w:rsid w:val="00F63781"/>
    <w:rsid w:val="00F67496"/>
    <w:rsid w:val="00F801BA"/>
    <w:rsid w:val="00F807AD"/>
    <w:rsid w:val="00F9366A"/>
    <w:rsid w:val="00F946C9"/>
    <w:rsid w:val="00FA0EA5"/>
    <w:rsid w:val="00FA68C7"/>
    <w:rsid w:val="00FA74EE"/>
    <w:rsid w:val="00FC31D6"/>
    <w:rsid w:val="00FC3711"/>
    <w:rsid w:val="00FC46E7"/>
    <w:rsid w:val="00FC5D25"/>
    <w:rsid w:val="00FD0D7E"/>
    <w:rsid w:val="00FD16C4"/>
    <w:rsid w:val="00FD362F"/>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E9CD144-A66D-42F5-A94F-F9285005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2575E8"/>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C50F0A"/>
    <w:pPr>
      <w:keepNext/>
      <w:spacing w:before="480" w:after="180"/>
      <w:ind w:left="992" w:hanging="992"/>
      <w:outlineLvl w:val="1"/>
    </w:pPr>
    <w:rPr>
      <w:b/>
      <w:color w:val="0A6AB4"/>
      <w:spacing w:val="-5"/>
      <w:sz w:val="48"/>
    </w:rPr>
  </w:style>
  <w:style w:type="paragraph" w:styleId="Heading3">
    <w:name w:val="heading 3"/>
    <w:basedOn w:val="Normal"/>
    <w:next w:val="Normal"/>
    <w:link w:val="Heading3Char"/>
    <w:uiPriority w:val="1"/>
    <w:qFormat/>
    <w:rsid w:val="00C50F0A"/>
    <w:pPr>
      <w:keepNext/>
      <w:numPr>
        <w:ilvl w:val="2"/>
        <w:numId w:val="5"/>
      </w:numPr>
      <w:spacing w:before="360" w:after="180"/>
      <w:ind w:left="992" w:hanging="992"/>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D16C4"/>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5075B3"/>
    <w:pPr>
      <w:tabs>
        <w:tab w:val="right" w:pos="8080"/>
      </w:tabs>
      <w:spacing w:before="60"/>
      <w:ind w:left="567" w:right="567"/>
    </w:pPr>
    <w:rPr>
      <w:sz w:val="22"/>
    </w:rPr>
  </w:style>
  <w:style w:type="paragraph" w:styleId="TOC3">
    <w:name w:val="toc 3"/>
    <w:basedOn w:val="Normal"/>
    <w:next w:val="Normal"/>
    <w:uiPriority w:val="39"/>
    <w:rsid w:val="000A0158"/>
    <w:pPr>
      <w:tabs>
        <w:tab w:val="right" w:pos="8080"/>
      </w:tabs>
      <w:spacing w:before="120"/>
      <w:ind w:left="1134" w:right="567" w:hanging="1134"/>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C50F0A"/>
    <w:rPr>
      <w:rFonts w:ascii="Segoe UI" w:hAnsi="Segoe UI"/>
      <w:b/>
      <w:color w:val="0A6AB4"/>
      <w:spacing w:val="-5"/>
      <w:sz w:val="48"/>
      <w:lang w:eastAsia="en-GB"/>
    </w:rPr>
  </w:style>
  <w:style w:type="character" w:customStyle="1" w:styleId="Heading3Char">
    <w:name w:val="Heading 3 Char"/>
    <w:link w:val="Heading3"/>
    <w:uiPriority w:val="1"/>
    <w:rsid w:val="00C50F0A"/>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A04D80"/>
    <w:pPr>
      <w:numPr>
        <w:ilvl w:val="3"/>
        <w:numId w:val="5"/>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character" w:customStyle="1" w:styleId="BulletChar">
    <w:name w:val="Bullet Char"/>
    <w:link w:val="Bullet"/>
    <w:locked/>
    <w:rsid w:val="002B7BEC"/>
    <w:rPr>
      <w:rFonts w:ascii="Segoe UI" w:hAnsi="Segoe UI"/>
      <w:sz w:val="21"/>
      <w:lang w:eastAsia="en-GB"/>
    </w:rPr>
  </w:style>
  <w:style w:type="character" w:customStyle="1" w:styleId="TableChar">
    <w:name w:val="Table Char"/>
    <w:link w:val="Table"/>
    <w:locked/>
    <w:rsid w:val="002B7BEC"/>
    <w:rPr>
      <w:rFonts w:ascii="Segoe UI" w:hAnsi="Segoe UI"/>
      <w:b/>
      <w:lang w:eastAsia="en-GB"/>
    </w:rPr>
  </w:style>
  <w:style w:type="character" w:customStyle="1" w:styleId="FigureChar">
    <w:name w:val="Figure Char"/>
    <w:link w:val="Figure"/>
    <w:locked/>
    <w:rsid w:val="002B7BEC"/>
    <w:rPr>
      <w:rFonts w:ascii="Segoe UI" w:hAnsi="Segoe UI"/>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nzphvc.otago.ac.nz/wp-content/uploads/2013/12/Report.pdf" TargetMode="External"/><Relationship Id="rId3" Type="http://schemas.openxmlformats.org/officeDocument/2006/relationships/styles" Target="styles.xml"/><Relationship Id="rId21" Type="http://schemas.openxmlformats.org/officeDocument/2006/relationships/hyperlink" Target="http://www.legislation.govt.nz/act/public/2003/0048/latest/DLM203312.html?search=sw_096be8ed8166e49d_registered+health+professional_50_se&amp;p=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nzphvc.otago.ac.nz/report/"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hdc.org.nz/disability/the-code-and-your-righ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legislation.govt.nz/act/public/1981/0118/69.0/DLM53790.html" TargetMode="External"/><Relationship Id="rId27" Type="http://schemas.openxmlformats.org/officeDocument/2006/relationships/hyperlink" Target="https://nzphvc.otago.ac.nz/repo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Car15</b:Tag>
    <b:SourceType>DocumentFromInternetSite</b:SourceType>
    <b:Guid>{4219F060-BC8D-4CC1-91F4-47640AF2B404}</b:Guid>
    <b:Title>Learning Guide - Pre-packaged medication</b:Title>
    <b:Year>2015</b:Year>
    <b:Month>April</b:Month>
    <b:YearAccessed>2017</b:YearAccessed>
    <b:MonthAccessed>April</b:MonthAccessed>
    <b:DayAccessed>06</b:DayAccessed>
    <b:URL>http://library.careerforce.org.nz/Learning%20Assessment%20Resources/LG23685-3.0.pdf</b:URL>
    <b:Author>
      <b:Author>
        <b:Corporate>Careerforce</b:Corporate>
      </b:Author>
    </b:Author>
    <b:RefOrder>1</b:RefOrder>
  </b:Source>
  <b:Source>
    <b:Tag>Whā14</b:Tag>
    <b:SourceType>Report</b:SourceType>
    <b:Guid>{76DAA4AE-460A-4086-B175-FFD6B876EEEE}</b:Guid>
    <b:Title>Tikanga Best Practice for Primary and Community Healthcare in the rohe of Ngāti Whātua</b:Title>
    <b:Year>2014</b:Year>
    <b:Author>
      <b:Author>
        <b:NameList>
          <b:Person>
            <b:Last>Te Rūnanga o Ngāti Whātua</b:Last>
          </b:Person>
        </b:NameList>
      </b:Author>
    </b:Author>
    <b:RefOrder>2</b:RefOrder>
  </b:Source>
</b:Sources>
</file>

<file path=customXml/itemProps1.xml><?xml version="1.0" encoding="utf-8"?>
<ds:datastoreItem xmlns:ds="http://schemas.openxmlformats.org/officeDocument/2006/customXml" ds:itemID="{5274157B-0B0E-47EF-BE5B-E5BD363A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28</Pages>
  <Words>5119</Words>
  <Characters>32631</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Medication Guidelines for the Home and Community Support Services Sector</vt:lpstr>
    </vt:vector>
  </TitlesOfParts>
  <Company>Microsoft</Company>
  <LinksUpToDate>false</LinksUpToDate>
  <CharactersWithSpaces>37675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Guidelines for the Home and Community Support Services Sector</dc:title>
  <dc:creator>Ministry of Health</dc:creator>
  <cp:lastModifiedBy>Berni Marwick</cp:lastModifiedBy>
  <cp:revision>2</cp:revision>
  <cp:lastPrinted>2015-11-17T05:02:00Z</cp:lastPrinted>
  <dcterms:created xsi:type="dcterms:W3CDTF">2019-05-03T01:25:00Z</dcterms:created>
  <dcterms:modified xsi:type="dcterms:W3CDTF">2019-05-03T01:25:00Z</dcterms:modified>
</cp:coreProperties>
</file>