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BB524" w14:textId="1A84E9AF" w:rsidR="00C86248" w:rsidRPr="00926083" w:rsidRDefault="00FE313D" w:rsidP="00926083">
      <w:pPr>
        <w:pStyle w:val="Title"/>
      </w:pPr>
      <w:r>
        <w:t>National SUDI Prevention</w:t>
      </w:r>
      <w:r w:rsidR="00F60387">
        <w:t xml:space="preserve"> Programme</w:t>
      </w:r>
    </w:p>
    <w:p w14:paraId="0400FC79" w14:textId="77777777" w:rsidR="00C05132" w:rsidRDefault="00FE313D" w:rsidP="00926083">
      <w:pPr>
        <w:pStyle w:val="Subhead"/>
      </w:pPr>
      <w:r>
        <w:t>N</w:t>
      </w:r>
      <w:r w:rsidR="008E31BC">
        <w:t>ational Safe Sleep Device Quality Specification Guidelines</w:t>
      </w:r>
    </w:p>
    <w:p w14:paraId="34E271FE" w14:textId="77777777" w:rsidR="00531E12" w:rsidRPr="00531E12" w:rsidRDefault="00FE313D" w:rsidP="00531E12">
      <w:pPr>
        <w:pStyle w:val="Year"/>
      </w:pPr>
      <w:r>
        <w:t>2019</w:t>
      </w:r>
    </w:p>
    <w:p w14:paraId="51F6FFB4" w14:textId="77777777" w:rsidR="00752661" w:rsidRDefault="00752661" w:rsidP="002C1F65">
      <w:pPr>
        <w:spacing w:before="1200"/>
        <w:jc w:val="center"/>
      </w:pPr>
    </w:p>
    <w:p w14:paraId="6E3BF46A" w14:textId="13659EB6" w:rsidR="00C05132" w:rsidRDefault="002C1F65" w:rsidP="002C1F65">
      <w:pPr>
        <w:spacing w:before="1200"/>
        <w:jc w:val="center"/>
      </w:pPr>
      <w:r>
        <w:rPr>
          <w:noProof/>
          <w:lang w:eastAsia="en-NZ"/>
        </w:rPr>
        <w:drawing>
          <wp:inline distT="0" distB="0" distL="0" distR="0" wp14:anchorId="42FE5D1B" wp14:editId="13E20EF9">
            <wp:extent cx="1381125" cy="1334631"/>
            <wp:effectExtent l="0" t="0" r="0" b="0"/>
            <wp:docPr id="9" name="Picture 9" descr="C:\Users\WordPRO4\AppData\Local\Microsoft\Windows\INetCache\Content.Word\SUDI_stacked_hapa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dPRO4\AppData\Local\Microsoft\Windows\INetCache\Content.Word\SUDI_stacked_hapai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767" t="9860" r="15594" b="4226"/>
                    <a:stretch/>
                  </pic:blipFill>
                  <pic:spPr bwMode="auto">
                    <a:xfrm>
                      <a:off x="0" y="0"/>
                      <a:ext cx="1415016" cy="1367381"/>
                    </a:xfrm>
                    <a:prstGeom prst="rect">
                      <a:avLst/>
                    </a:prstGeom>
                    <a:noFill/>
                    <a:ln>
                      <a:noFill/>
                    </a:ln>
                    <a:extLst>
                      <a:ext uri="{53640926-AAD7-44D8-BBD7-CCE9431645EC}">
                        <a14:shadowObscured xmlns:a14="http://schemas.microsoft.com/office/drawing/2010/main"/>
                      </a:ext>
                    </a:extLst>
                  </pic:spPr>
                </pic:pic>
              </a:graphicData>
            </a:graphic>
          </wp:inline>
        </w:drawing>
      </w:r>
    </w:p>
    <w:p w14:paraId="0D1C69DE" w14:textId="77777777" w:rsidR="00142954" w:rsidRPr="00142954" w:rsidRDefault="00142954" w:rsidP="00142954">
      <w:pPr>
        <w:sectPr w:rsidR="00142954" w:rsidRPr="00142954" w:rsidSect="002C1F65">
          <w:headerReference w:type="default" r:id="rId9"/>
          <w:footerReference w:type="default" r:id="rId10"/>
          <w:pgSz w:w="11907" w:h="16834" w:code="9"/>
          <w:pgMar w:top="4536" w:right="1134" w:bottom="1134" w:left="1134" w:header="567" w:footer="851" w:gutter="0"/>
          <w:pgNumType w:start="1"/>
          <w:cols w:space="720"/>
        </w:sectPr>
      </w:pPr>
    </w:p>
    <w:p w14:paraId="161617BB" w14:textId="67E9E50D"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FE313D">
        <w:rPr>
          <w:rFonts w:cs="Segoe UI"/>
        </w:rPr>
        <w:t>2019</w:t>
      </w:r>
      <w:r w:rsidR="00442C1C" w:rsidRPr="00C05132">
        <w:rPr>
          <w:rFonts w:cs="Segoe UI"/>
        </w:rPr>
        <w:t xml:space="preserve">. </w:t>
      </w:r>
      <w:r w:rsidR="00FE313D">
        <w:rPr>
          <w:rFonts w:cs="Segoe UI"/>
          <w:i/>
        </w:rPr>
        <w:t>National SUDI Prevention</w:t>
      </w:r>
      <w:r w:rsidR="000842C5">
        <w:rPr>
          <w:rFonts w:cs="Segoe UI"/>
          <w:i/>
        </w:rPr>
        <w:t xml:space="preserve"> Programme</w:t>
      </w:r>
      <w:r w:rsidR="00FE313D">
        <w:rPr>
          <w:rFonts w:cs="Segoe UI"/>
          <w:i/>
        </w:rPr>
        <w:t>: N</w:t>
      </w:r>
      <w:r w:rsidR="008E31BC">
        <w:rPr>
          <w:rFonts w:cs="Segoe UI"/>
          <w:i/>
        </w:rPr>
        <w:t>ational Safe Sleep Device Quality Specification Guidelines</w:t>
      </w:r>
      <w:r w:rsidR="00442C1C" w:rsidRPr="00C05132">
        <w:rPr>
          <w:rFonts w:cs="Segoe UI"/>
        </w:rPr>
        <w:t>. Wellington: Ministry of Health.</w:t>
      </w:r>
    </w:p>
    <w:p w14:paraId="68992F9B" w14:textId="77777777" w:rsidR="00C86248" w:rsidRDefault="00C86248">
      <w:pPr>
        <w:pStyle w:val="Imprint"/>
      </w:pPr>
      <w:r>
        <w:t xml:space="preserve">Published in </w:t>
      </w:r>
      <w:r w:rsidR="00FE313D">
        <w:t xml:space="preserve">April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7C442DF" w14:textId="5B715D3A" w:rsidR="00082CD6" w:rsidRPr="009C0F2D" w:rsidRDefault="00D863D0" w:rsidP="00082CD6">
      <w:pPr>
        <w:pStyle w:val="Imprint"/>
      </w:pPr>
      <w:r>
        <w:t>ISBN</w:t>
      </w:r>
      <w:r w:rsidR="00442C1C">
        <w:t xml:space="preserve"> </w:t>
      </w:r>
      <w:r w:rsidR="00526D6B" w:rsidRPr="00526D6B">
        <w:t>978-1-98-856875-1</w:t>
      </w:r>
      <w:r w:rsidR="002B7BEC">
        <w:t xml:space="preserve"> </w:t>
      </w:r>
      <w:r>
        <w:t>(</w:t>
      </w:r>
      <w:r w:rsidR="00442C1C">
        <w:t>online</w:t>
      </w:r>
      <w:proofErr w:type="gramStart"/>
      <w:r>
        <w:t>)</w:t>
      </w:r>
      <w:proofErr w:type="gramEnd"/>
      <w:r w:rsidR="00082CD6">
        <w:br/>
      </w:r>
      <w:r w:rsidR="00082CD6" w:rsidRPr="009C0F2D">
        <w:t xml:space="preserve">HP </w:t>
      </w:r>
      <w:r w:rsidR="00526D6B">
        <w:t>7097</w:t>
      </w:r>
    </w:p>
    <w:p w14:paraId="1F463EA1" w14:textId="77777777" w:rsidR="00C86248" w:rsidRDefault="008C64C4" w:rsidP="00A63DFF">
      <w:r>
        <w:rPr>
          <w:noProof/>
          <w:lang w:eastAsia="en-NZ"/>
        </w:rPr>
        <w:drawing>
          <wp:inline distT="0" distB="0" distL="0" distR="0" wp14:anchorId="4BF12C7A" wp14:editId="7E442E6A">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4DD6341"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1054CE92" w14:textId="77777777" w:rsidTr="00A63DFF">
        <w:trPr>
          <w:cantSplit/>
        </w:trPr>
        <w:tc>
          <w:tcPr>
            <w:tcW w:w="1526" w:type="dxa"/>
          </w:tcPr>
          <w:p w14:paraId="1C359A5E"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18B5A081" wp14:editId="0ADB426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F6FD540"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2085741C" w14:textId="77777777" w:rsidR="007E74F1" w:rsidRPr="001F45A7" w:rsidRDefault="007E74F1" w:rsidP="00A63DFF"/>
    <w:p w14:paraId="3AC40B12"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tbl>
      <w:tblPr>
        <w:tblStyle w:val="TableGrid"/>
        <w:tblW w:w="9498"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5812"/>
      </w:tblGrid>
      <w:tr w:rsidR="002C1F65" w14:paraId="47FB08E1" w14:textId="77777777" w:rsidTr="002C1F65">
        <w:tc>
          <w:tcPr>
            <w:tcW w:w="3686" w:type="dxa"/>
          </w:tcPr>
          <w:p w14:paraId="0DA89810" w14:textId="585161FA" w:rsidR="002C1F65" w:rsidRDefault="002C1F65" w:rsidP="002C1F65">
            <w:pPr>
              <w:pStyle w:val="TableText"/>
            </w:pPr>
            <w:bookmarkStart w:id="0" w:name="_Toc519278551"/>
            <w:bookmarkStart w:id="1" w:name="_Toc5621038"/>
            <w:bookmarkStart w:id="2" w:name="_Toc405792991"/>
            <w:bookmarkStart w:id="3" w:name="_Toc405793224"/>
            <w:r>
              <w:rPr>
                <w:noProof/>
                <w:lang w:eastAsia="en-NZ"/>
              </w:rPr>
              <w:lastRenderedPageBreak/>
              <w:drawing>
                <wp:inline distT="0" distB="0" distL="0" distR="0" wp14:anchorId="2F0ECF66" wp14:editId="61ECE671">
                  <wp:extent cx="2003425" cy="8021955"/>
                  <wp:effectExtent l="0" t="0" r="0" b="0"/>
                  <wp:docPr id="4" name="Picture 4" descr="C:\Users\WordPRO4\AppData\Local\Microsoft\Windows\INetCache\Content.Word\page2 karakia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dPRO4\AppData\Local\Microsoft\Windows\INetCache\Content.Word\page2 karakia im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3425" cy="8021955"/>
                          </a:xfrm>
                          <a:prstGeom prst="rect">
                            <a:avLst/>
                          </a:prstGeom>
                          <a:noFill/>
                          <a:ln>
                            <a:noFill/>
                          </a:ln>
                        </pic:spPr>
                      </pic:pic>
                    </a:graphicData>
                  </a:graphic>
                </wp:inline>
              </w:drawing>
            </w:r>
          </w:p>
        </w:tc>
        <w:tc>
          <w:tcPr>
            <w:tcW w:w="5812" w:type="dxa"/>
          </w:tcPr>
          <w:p w14:paraId="75C83273" w14:textId="77777777" w:rsidR="002C1F65" w:rsidRDefault="002C1F65" w:rsidP="002C1F65">
            <w:pPr>
              <w:pStyle w:val="Heading1"/>
              <w:outlineLvl w:val="0"/>
            </w:pPr>
            <w:bookmarkStart w:id="4" w:name="_Toc7704165"/>
            <w:r>
              <w:t xml:space="preserve">Karakia – </w:t>
            </w:r>
            <w:proofErr w:type="spellStart"/>
            <w:r>
              <w:t>Mihi</w:t>
            </w:r>
            <w:bookmarkEnd w:id="4"/>
            <w:proofErr w:type="spellEnd"/>
          </w:p>
          <w:p w14:paraId="1C444A69" w14:textId="77777777" w:rsidR="002C1F65" w:rsidRDefault="002C1F65" w:rsidP="002C1F65">
            <w:r>
              <w:t xml:space="preserve">He </w:t>
            </w:r>
            <w:proofErr w:type="spellStart"/>
            <w:r>
              <w:t>hōnore</w:t>
            </w:r>
            <w:proofErr w:type="spellEnd"/>
            <w:r>
              <w:t xml:space="preserve">, he </w:t>
            </w:r>
            <w:proofErr w:type="spellStart"/>
            <w:r>
              <w:t>korōria</w:t>
            </w:r>
            <w:proofErr w:type="spellEnd"/>
            <w:r>
              <w:t xml:space="preserve"> </w:t>
            </w:r>
            <w:proofErr w:type="spellStart"/>
            <w:r>
              <w:t>ki</w:t>
            </w:r>
            <w:proofErr w:type="spellEnd"/>
            <w:r>
              <w:t xml:space="preserve"> </w:t>
            </w:r>
            <w:proofErr w:type="spellStart"/>
            <w:r>
              <w:t>te</w:t>
            </w:r>
            <w:proofErr w:type="spellEnd"/>
            <w:r>
              <w:t xml:space="preserve"> </w:t>
            </w:r>
            <w:proofErr w:type="spellStart"/>
            <w:r>
              <w:t>Atua</w:t>
            </w:r>
            <w:proofErr w:type="spellEnd"/>
          </w:p>
          <w:p w14:paraId="02E74F87" w14:textId="77777777" w:rsidR="002C1F65" w:rsidRDefault="002C1F65" w:rsidP="002C1F65">
            <w:r>
              <w:t xml:space="preserve">He </w:t>
            </w:r>
            <w:proofErr w:type="spellStart"/>
            <w:r>
              <w:t>maungarongo</w:t>
            </w:r>
            <w:proofErr w:type="spellEnd"/>
            <w:r>
              <w:t xml:space="preserve"> </w:t>
            </w:r>
            <w:proofErr w:type="spellStart"/>
            <w:r>
              <w:t>ki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mata</w:t>
            </w:r>
            <w:proofErr w:type="spellEnd"/>
            <w:r>
              <w:t xml:space="preserve"> o </w:t>
            </w:r>
            <w:proofErr w:type="spellStart"/>
            <w:r>
              <w:t>te</w:t>
            </w:r>
            <w:proofErr w:type="spellEnd"/>
            <w:r>
              <w:t xml:space="preserve"> whenua</w:t>
            </w:r>
          </w:p>
          <w:p w14:paraId="7EE2960D" w14:textId="77777777" w:rsidR="002C1F65" w:rsidRDefault="002C1F65" w:rsidP="002C1F65">
            <w:r>
              <w:t xml:space="preserve">He </w:t>
            </w:r>
            <w:proofErr w:type="spellStart"/>
            <w:r>
              <w:t>whakaaro</w:t>
            </w:r>
            <w:proofErr w:type="spellEnd"/>
            <w:r>
              <w:t xml:space="preserve"> </w:t>
            </w:r>
            <w:proofErr w:type="spellStart"/>
            <w:r>
              <w:t>pai</w:t>
            </w:r>
            <w:proofErr w:type="spellEnd"/>
            <w:r>
              <w:t xml:space="preserve"> </w:t>
            </w:r>
            <w:proofErr w:type="spellStart"/>
            <w:r>
              <w:t>ki</w:t>
            </w:r>
            <w:proofErr w:type="spellEnd"/>
            <w:r>
              <w:t xml:space="preserve"> </w:t>
            </w:r>
            <w:proofErr w:type="spellStart"/>
            <w:r>
              <w:t>ngā</w:t>
            </w:r>
            <w:proofErr w:type="spellEnd"/>
            <w:r>
              <w:t xml:space="preserve"> </w:t>
            </w:r>
            <w:proofErr w:type="spellStart"/>
            <w:r>
              <w:t>tāngata</w:t>
            </w:r>
            <w:proofErr w:type="spellEnd"/>
            <w:r>
              <w:t xml:space="preserve"> </w:t>
            </w:r>
            <w:proofErr w:type="spellStart"/>
            <w:r>
              <w:t>katoa</w:t>
            </w:r>
            <w:proofErr w:type="spellEnd"/>
          </w:p>
          <w:p w14:paraId="55A370C7" w14:textId="77777777" w:rsidR="002C1F65" w:rsidRDefault="002C1F65" w:rsidP="002C1F65">
            <w:proofErr w:type="spellStart"/>
            <w:r>
              <w:t>Āmine</w:t>
            </w:r>
            <w:proofErr w:type="spellEnd"/>
          </w:p>
          <w:p w14:paraId="7A2A5D07" w14:textId="77777777" w:rsidR="002C1F65" w:rsidRDefault="002C1F65" w:rsidP="002C1F65"/>
          <w:p w14:paraId="463FD479" w14:textId="77777777" w:rsidR="002C1F65" w:rsidRDefault="002C1F65" w:rsidP="002C1F65">
            <w:proofErr w:type="spellStart"/>
            <w:r>
              <w:t>Arohaina</w:t>
            </w:r>
            <w:proofErr w:type="spellEnd"/>
            <w:r>
              <w:t xml:space="preserve"> </w:t>
            </w:r>
            <w:proofErr w:type="spellStart"/>
            <w:r>
              <w:t>ngā</w:t>
            </w:r>
            <w:proofErr w:type="spellEnd"/>
            <w:r>
              <w:t xml:space="preserve"> </w:t>
            </w:r>
            <w:proofErr w:type="spellStart"/>
            <w:r>
              <w:t>tēina</w:t>
            </w:r>
            <w:proofErr w:type="spellEnd"/>
            <w:r>
              <w:t xml:space="preserve"> me </w:t>
            </w:r>
            <w:proofErr w:type="spellStart"/>
            <w:r>
              <w:t>ngā</w:t>
            </w:r>
            <w:proofErr w:type="spellEnd"/>
            <w:r>
              <w:t xml:space="preserve"> </w:t>
            </w:r>
            <w:proofErr w:type="spellStart"/>
            <w:r>
              <w:t>tuākana</w:t>
            </w:r>
            <w:proofErr w:type="spellEnd"/>
            <w:r>
              <w:t xml:space="preserve"> E </w:t>
            </w:r>
            <w:proofErr w:type="spellStart"/>
            <w:r>
              <w:t>wehi</w:t>
            </w:r>
            <w:proofErr w:type="spellEnd"/>
            <w:r>
              <w:t xml:space="preserve"> </w:t>
            </w:r>
            <w:proofErr w:type="spellStart"/>
            <w:r>
              <w:t>ana</w:t>
            </w:r>
            <w:proofErr w:type="spellEnd"/>
            <w:r>
              <w:t xml:space="preserve"> </w:t>
            </w:r>
            <w:proofErr w:type="spellStart"/>
            <w:r>
              <w:t>ki</w:t>
            </w:r>
            <w:proofErr w:type="spellEnd"/>
            <w:r>
              <w:t xml:space="preserve"> </w:t>
            </w:r>
            <w:proofErr w:type="spellStart"/>
            <w:r>
              <w:t>te</w:t>
            </w:r>
            <w:proofErr w:type="spellEnd"/>
            <w:r>
              <w:t xml:space="preserve"> </w:t>
            </w:r>
            <w:proofErr w:type="spellStart"/>
            <w:r>
              <w:t>Atua</w:t>
            </w:r>
            <w:proofErr w:type="spellEnd"/>
          </w:p>
          <w:p w14:paraId="19C6F442" w14:textId="77777777" w:rsidR="002C1F65" w:rsidRDefault="002C1F65" w:rsidP="002C1F65">
            <w:proofErr w:type="spellStart"/>
            <w:r>
              <w:t>Whakahōnoretia</w:t>
            </w:r>
            <w:proofErr w:type="spellEnd"/>
            <w:r>
              <w:t xml:space="preserve"> </w:t>
            </w:r>
            <w:proofErr w:type="spellStart"/>
            <w:r>
              <w:t>te</w:t>
            </w:r>
            <w:proofErr w:type="spellEnd"/>
            <w:r>
              <w:t xml:space="preserve"> </w:t>
            </w:r>
            <w:proofErr w:type="spellStart"/>
            <w:r>
              <w:t>Kīngi</w:t>
            </w:r>
            <w:proofErr w:type="spellEnd"/>
            <w:r>
              <w:t xml:space="preserve"> Māori o </w:t>
            </w:r>
            <w:proofErr w:type="spellStart"/>
            <w:r>
              <w:t>te</w:t>
            </w:r>
            <w:proofErr w:type="spellEnd"/>
            <w:r>
              <w:t xml:space="preserve"> Motu!</w:t>
            </w:r>
          </w:p>
          <w:p w14:paraId="00955AB4" w14:textId="77777777" w:rsidR="002C1F65" w:rsidRDefault="002C1F65" w:rsidP="002C1F65">
            <w:proofErr w:type="spellStart"/>
            <w:r>
              <w:t>Kīngi</w:t>
            </w:r>
            <w:proofErr w:type="spellEnd"/>
            <w:r>
              <w:t xml:space="preserve"> </w:t>
            </w:r>
            <w:proofErr w:type="spellStart"/>
            <w:r>
              <w:t>Tūheitia</w:t>
            </w:r>
            <w:proofErr w:type="spellEnd"/>
            <w:r>
              <w:t xml:space="preserve"> </w:t>
            </w:r>
            <w:proofErr w:type="spellStart"/>
            <w:r>
              <w:t>Pōtatau</w:t>
            </w:r>
            <w:proofErr w:type="spellEnd"/>
            <w:r>
              <w:t xml:space="preserve"> </w:t>
            </w:r>
            <w:proofErr w:type="spellStart"/>
            <w:r>
              <w:t>Te</w:t>
            </w:r>
            <w:proofErr w:type="spellEnd"/>
            <w:r>
              <w:t xml:space="preserve"> </w:t>
            </w:r>
            <w:proofErr w:type="spellStart"/>
            <w:r>
              <w:t>Wherowhero</w:t>
            </w:r>
            <w:proofErr w:type="spellEnd"/>
            <w:r>
              <w:t xml:space="preserve"> </w:t>
            </w:r>
            <w:proofErr w:type="spellStart"/>
            <w:r>
              <w:t>te</w:t>
            </w:r>
            <w:proofErr w:type="spellEnd"/>
            <w:r>
              <w:t xml:space="preserve"> </w:t>
            </w:r>
            <w:proofErr w:type="spellStart"/>
            <w:r>
              <w:t>tuawhitu</w:t>
            </w:r>
            <w:proofErr w:type="spellEnd"/>
          </w:p>
          <w:p w14:paraId="7CC54CE1" w14:textId="77777777" w:rsidR="002C1F65" w:rsidRDefault="002C1F65" w:rsidP="002C1F65">
            <w:r>
              <w:t xml:space="preserve">E </w:t>
            </w:r>
            <w:proofErr w:type="spellStart"/>
            <w:r>
              <w:t>noho</w:t>
            </w:r>
            <w:proofErr w:type="spellEnd"/>
            <w:r>
              <w:t xml:space="preserve"> </w:t>
            </w:r>
            <w:proofErr w:type="spellStart"/>
            <w:r>
              <w:t>nei</w:t>
            </w:r>
            <w:proofErr w:type="spellEnd"/>
            <w:r>
              <w:t xml:space="preserve"> </w:t>
            </w:r>
            <w:proofErr w:type="spellStart"/>
            <w:r>
              <w:t>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ahurewa</w:t>
            </w:r>
            <w:proofErr w:type="spellEnd"/>
            <w:r>
              <w:t xml:space="preserve"> </w:t>
            </w:r>
            <w:proofErr w:type="spellStart"/>
            <w:r>
              <w:t>tapu</w:t>
            </w:r>
            <w:proofErr w:type="spellEnd"/>
            <w:r>
              <w:t xml:space="preserve"> o </w:t>
            </w:r>
            <w:proofErr w:type="spellStart"/>
            <w:r>
              <w:t>ōna</w:t>
            </w:r>
            <w:proofErr w:type="spellEnd"/>
            <w:r>
              <w:t xml:space="preserve"> </w:t>
            </w:r>
            <w:proofErr w:type="spellStart"/>
            <w:r>
              <w:t>tīpuna</w:t>
            </w:r>
            <w:proofErr w:type="spellEnd"/>
            <w:r>
              <w:t xml:space="preserve">. </w:t>
            </w:r>
            <w:proofErr w:type="spellStart"/>
            <w:r>
              <w:t>Paimārire</w:t>
            </w:r>
            <w:proofErr w:type="spellEnd"/>
          </w:p>
          <w:p w14:paraId="38235B5C" w14:textId="77777777" w:rsidR="002C1F65" w:rsidRDefault="002C1F65" w:rsidP="002C1F65"/>
          <w:p w14:paraId="3F74B4F5" w14:textId="77777777" w:rsidR="002C1F65" w:rsidRDefault="002C1F65" w:rsidP="002C1F65">
            <w: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tēnei</w:t>
            </w:r>
            <w:proofErr w:type="spellEnd"/>
            <w:r>
              <w:t xml:space="preserve"> </w:t>
            </w:r>
            <w:proofErr w:type="spellStart"/>
            <w:r>
              <w:t>ao</w:t>
            </w:r>
            <w:proofErr w:type="spellEnd"/>
            <w:r>
              <w:t>?</w:t>
            </w:r>
          </w:p>
          <w:p w14:paraId="7B4F015A" w14:textId="77777777" w:rsidR="002C1F65" w:rsidRDefault="002C1F65" w:rsidP="002C1F65">
            <w:proofErr w:type="spellStart"/>
            <w:r>
              <w:t>Māku</w:t>
            </w:r>
            <w:proofErr w:type="spellEnd"/>
            <w:r>
              <w:t xml:space="preserve"> e </w:t>
            </w:r>
            <w:proofErr w:type="spellStart"/>
            <w:r>
              <w:t>ki</w:t>
            </w:r>
            <w:proofErr w:type="spellEnd"/>
            <w:r>
              <w:t xml:space="preserve"> </w:t>
            </w:r>
            <w:proofErr w:type="spellStart"/>
            <w:r>
              <w:t>atu</w:t>
            </w:r>
            <w:proofErr w:type="spellEnd"/>
            <w:r>
              <w:t xml:space="preserve"> – 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t xml:space="preserve"> Kia </w:t>
            </w:r>
            <w:proofErr w:type="spellStart"/>
            <w:r>
              <w:t>whakataurangitia</w:t>
            </w:r>
            <w:proofErr w:type="spellEnd"/>
            <w:r>
              <w:t xml:space="preserve"> </w:t>
            </w:r>
            <w:proofErr w:type="spellStart"/>
            <w:r>
              <w:t>te</w:t>
            </w:r>
            <w:proofErr w:type="spellEnd"/>
            <w:r>
              <w:t xml:space="preserve"> </w:t>
            </w:r>
            <w:proofErr w:type="spellStart"/>
            <w:r>
              <w:t>whakaaro</w:t>
            </w:r>
            <w:proofErr w:type="spellEnd"/>
            <w:r>
              <w:t xml:space="preserve"> </w:t>
            </w:r>
            <w:proofErr w:type="spellStart"/>
            <w:r>
              <w:t>nui</w:t>
            </w:r>
            <w:proofErr w:type="spellEnd"/>
            <w:r>
              <w:t xml:space="preserve"> </w:t>
            </w:r>
            <w:proofErr w:type="spellStart"/>
            <w:r>
              <w:t>kia</w:t>
            </w:r>
            <w:proofErr w:type="spellEnd"/>
            <w:r>
              <w:t xml:space="preserve"> eke</w:t>
            </w:r>
          </w:p>
          <w:p w14:paraId="20F3DE8C" w14:textId="77777777" w:rsidR="002C1F65" w:rsidRDefault="002C1F65" w:rsidP="002C1F65">
            <w:proofErr w:type="spellStart"/>
            <w:r>
              <w:t>ki</w:t>
            </w:r>
            <w:proofErr w:type="spellEnd"/>
            <w:r>
              <w:t xml:space="preserve"> </w:t>
            </w:r>
            <w:proofErr w:type="spellStart"/>
            <w:r>
              <w:t>runga</w:t>
            </w:r>
            <w:proofErr w:type="spellEnd"/>
            <w:r>
              <w:t xml:space="preserve"> </w:t>
            </w:r>
            <w:proofErr w:type="spellStart"/>
            <w:r>
              <w:t>i</w:t>
            </w:r>
            <w:proofErr w:type="spellEnd"/>
            <w:r>
              <w:t xml:space="preserve"> </w:t>
            </w:r>
            <w:proofErr w:type="spellStart"/>
            <w:r>
              <w:t>te</w:t>
            </w:r>
            <w:proofErr w:type="spellEnd"/>
            <w:r>
              <w:t xml:space="preserve"> </w:t>
            </w:r>
            <w:proofErr w:type="spellStart"/>
            <w:r>
              <w:t>manaaki</w:t>
            </w:r>
            <w:proofErr w:type="spellEnd"/>
            <w:r>
              <w:t xml:space="preserve"> </w:t>
            </w:r>
            <w:proofErr w:type="spellStart"/>
            <w:r>
              <w:t>i</w:t>
            </w:r>
            <w:proofErr w:type="spellEnd"/>
            <w:r>
              <w:t xml:space="preserve"> ā </w:t>
            </w:r>
            <w:proofErr w:type="spellStart"/>
            <w:r>
              <w:t>tātou</w:t>
            </w:r>
            <w:proofErr w:type="spellEnd"/>
            <w:r>
              <w:t xml:space="preserve"> </w:t>
            </w:r>
            <w:proofErr w:type="spellStart"/>
            <w:r>
              <w:t>tamariki</w:t>
            </w:r>
            <w:proofErr w:type="spellEnd"/>
            <w:r>
              <w:t xml:space="preserve"> </w:t>
            </w:r>
            <w:proofErr w:type="spellStart"/>
            <w:r>
              <w:t>mokopuna</w:t>
            </w:r>
            <w:proofErr w:type="spellEnd"/>
          </w:p>
          <w:p w14:paraId="46AD5648" w14:textId="77777777" w:rsidR="002C1F65" w:rsidRDefault="002C1F65" w:rsidP="002C1F65">
            <w:proofErr w:type="spellStart"/>
            <w:r>
              <w:t>Atu</w:t>
            </w:r>
            <w:proofErr w:type="spellEnd"/>
            <w:r>
              <w:t xml:space="preserve"> </w:t>
            </w:r>
            <w:proofErr w:type="spellStart"/>
            <w:r>
              <w:t>ki</w:t>
            </w:r>
            <w:proofErr w:type="spellEnd"/>
            <w:r>
              <w:t xml:space="preserve"> ō </w:t>
            </w:r>
            <w:proofErr w:type="spellStart"/>
            <w:r>
              <w:t>tātou</w:t>
            </w:r>
            <w:proofErr w:type="spellEnd"/>
            <w:r>
              <w:t xml:space="preserve"> </w:t>
            </w:r>
            <w:proofErr w:type="spellStart"/>
            <w:r>
              <w:t>mokopuna</w:t>
            </w:r>
            <w:proofErr w:type="spellEnd"/>
            <w:r>
              <w:t xml:space="preserve"> </w:t>
            </w:r>
            <w:proofErr w:type="spellStart"/>
            <w:r>
              <w:t>kare</w:t>
            </w:r>
            <w:proofErr w:type="spellEnd"/>
            <w:r>
              <w:t xml:space="preserve"> </w:t>
            </w:r>
            <w:proofErr w:type="spellStart"/>
            <w:r>
              <w:t>anō</w:t>
            </w:r>
            <w:proofErr w:type="spellEnd"/>
            <w:r>
              <w:t xml:space="preserve"> </w:t>
            </w:r>
            <w:proofErr w:type="spellStart"/>
            <w:r>
              <w:t>kia</w:t>
            </w:r>
            <w:proofErr w:type="spellEnd"/>
            <w:r>
              <w:t xml:space="preserve"> whānau </w:t>
            </w:r>
            <w:proofErr w:type="spellStart"/>
            <w:r>
              <w:t>mai</w:t>
            </w:r>
            <w:proofErr w:type="spellEnd"/>
          </w:p>
          <w:p w14:paraId="02D3F58E" w14:textId="77777777" w:rsidR="002C1F65" w:rsidRDefault="002C1F65" w:rsidP="002C1F65"/>
          <w:p w14:paraId="1880038F" w14:textId="77777777" w:rsidR="002C1F65" w:rsidRDefault="002C1F65" w:rsidP="002C1F65">
            <w:r>
              <w:t>In honour and Glory to God</w:t>
            </w:r>
          </w:p>
          <w:p w14:paraId="0215368F" w14:textId="77777777" w:rsidR="002C1F65" w:rsidRDefault="002C1F65" w:rsidP="002C1F65">
            <w:r>
              <w:t>Peace reign throughout the land</w:t>
            </w:r>
          </w:p>
          <w:p w14:paraId="02DAB982" w14:textId="77777777" w:rsidR="002C1F65" w:rsidRDefault="002C1F65" w:rsidP="002C1F65">
            <w:r>
              <w:t>Goodwill to all Mankind</w:t>
            </w:r>
          </w:p>
          <w:p w14:paraId="1C0B747E" w14:textId="77777777" w:rsidR="002C1F65" w:rsidRDefault="002C1F65" w:rsidP="002C1F65">
            <w:r>
              <w:t>A</w:t>
            </w:r>
            <w:r w:rsidRPr="00FE313D">
              <w:t>m</w:t>
            </w:r>
            <w:r>
              <w:t>en</w:t>
            </w:r>
          </w:p>
          <w:p w14:paraId="7E80BC17" w14:textId="77777777" w:rsidR="002C1F65" w:rsidRDefault="002C1F65" w:rsidP="002C1F65"/>
          <w:p w14:paraId="2BBCAB01" w14:textId="77777777" w:rsidR="002C1F65" w:rsidRDefault="002C1F65" w:rsidP="002C1F65">
            <w:r>
              <w:t>Love to the young and elder siblings</w:t>
            </w:r>
          </w:p>
          <w:p w14:paraId="7FF9075F" w14:textId="77777777" w:rsidR="002C1F65" w:rsidRDefault="002C1F65" w:rsidP="002C1F65">
            <w:r>
              <w:t>Acknowledging the greatness of our God</w:t>
            </w:r>
          </w:p>
          <w:p w14:paraId="0F9CC8B1" w14:textId="77777777" w:rsidR="002C1F65" w:rsidRDefault="002C1F65" w:rsidP="002C1F65">
            <w:r>
              <w:t>Honouring and acknowledging our Māori King!</w:t>
            </w:r>
          </w:p>
          <w:p w14:paraId="0CCBE779" w14:textId="1FC25537" w:rsidR="002C1F65" w:rsidRDefault="002C1F65" w:rsidP="002C1F65">
            <w:r>
              <w:t xml:space="preserve">King </w:t>
            </w:r>
            <w:proofErr w:type="spellStart"/>
            <w:r>
              <w:t>Tūheitia</w:t>
            </w:r>
            <w:proofErr w:type="spellEnd"/>
            <w:r>
              <w:t xml:space="preserve"> </w:t>
            </w:r>
            <w:proofErr w:type="spellStart"/>
            <w:r>
              <w:t>Pōtatau</w:t>
            </w:r>
            <w:proofErr w:type="spellEnd"/>
            <w:r>
              <w:t xml:space="preserve"> </w:t>
            </w:r>
            <w:proofErr w:type="spellStart"/>
            <w:r>
              <w:t>Te</w:t>
            </w:r>
            <w:proofErr w:type="spellEnd"/>
            <w:r>
              <w:t xml:space="preserve"> </w:t>
            </w:r>
            <w:proofErr w:type="spellStart"/>
            <w:r>
              <w:t>Wherowhero</w:t>
            </w:r>
            <w:proofErr w:type="spellEnd"/>
          </w:p>
          <w:p w14:paraId="057BD724" w14:textId="77777777" w:rsidR="002C1F65" w:rsidRDefault="002C1F65" w:rsidP="002C1F65">
            <w:r w:rsidRPr="00FE313D">
              <w:t>R</w:t>
            </w:r>
            <w:r>
              <w:t xml:space="preserve">esiding on the sacred threshold of his ancestors. </w:t>
            </w:r>
            <w:proofErr w:type="spellStart"/>
            <w:r>
              <w:t>Paimārire</w:t>
            </w:r>
            <w:proofErr w:type="spellEnd"/>
          </w:p>
          <w:p w14:paraId="7AF92CCF" w14:textId="77777777" w:rsidR="002C1F65" w:rsidRDefault="002C1F65" w:rsidP="002C1F65"/>
          <w:p w14:paraId="4438EBE6" w14:textId="77777777" w:rsidR="002C1F65" w:rsidRDefault="002C1F65" w:rsidP="002C1F65">
            <w:r>
              <w:t>What is the greatest statement that we can share in our world?</w:t>
            </w:r>
          </w:p>
          <w:p w14:paraId="56BEA335" w14:textId="77777777" w:rsidR="002C1F65" w:rsidRDefault="002C1F65" w:rsidP="002C1F65">
            <w:r>
              <w:t>Allow me to say that it is people, it is people, it is people</w:t>
            </w:r>
          </w:p>
          <w:p w14:paraId="6A87FB1F" w14:textId="77777777" w:rsidR="002C1F65" w:rsidRDefault="002C1F65" w:rsidP="002C1F65">
            <w:r>
              <w:t>To vary our thinking that we may converge</w:t>
            </w:r>
          </w:p>
          <w:p w14:paraId="7DB9D06A" w14:textId="77777777" w:rsidR="002C1F65" w:rsidRDefault="002C1F65" w:rsidP="002C1F65">
            <w:r>
              <w:t>On focusing on caring for our children and grandchildren</w:t>
            </w:r>
          </w:p>
          <w:p w14:paraId="17DE58A2" w14:textId="78C76EF9" w:rsidR="002C1F65" w:rsidRDefault="002C1F65" w:rsidP="002C1F65">
            <w:r>
              <w:t>And also those of our unborn grandchildren yet to come.</w:t>
            </w:r>
          </w:p>
        </w:tc>
      </w:tr>
      <w:bookmarkEnd w:id="0"/>
      <w:bookmarkEnd w:id="1"/>
    </w:tbl>
    <w:p w14:paraId="1884E178" w14:textId="77777777" w:rsidR="002C1F65" w:rsidRDefault="002C1F65" w:rsidP="002C1F65"/>
    <w:p w14:paraId="0DE99486" w14:textId="77777777" w:rsidR="00EB2D0B" w:rsidRDefault="00EB2D0B" w:rsidP="00EB2D0B">
      <w:pPr>
        <w:pStyle w:val="Heading1"/>
      </w:pPr>
      <w:bookmarkStart w:id="5" w:name="_Toc7704166"/>
      <w:r>
        <w:lastRenderedPageBreak/>
        <w:t>Foreword</w:t>
      </w:r>
      <w:bookmarkEnd w:id="5"/>
    </w:p>
    <w:p w14:paraId="54F38A22" w14:textId="77777777" w:rsidR="00EB2D0B" w:rsidRDefault="00EB2D0B" w:rsidP="00EB2D0B">
      <w:proofErr w:type="spellStart"/>
      <w:r>
        <w:t>Tēnā</w:t>
      </w:r>
      <w:proofErr w:type="spellEnd"/>
      <w:r>
        <w:t xml:space="preserve"> </w:t>
      </w:r>
      <w:proofErr w:type="spellStart"/>
      <w:r>
        <w:t>koutou</w:t>
      </w:r>
      <w:proofErr w:type="spellEnd"/>
      <w:r>
        <w:t xml:space="preserve"> e </w:t>
      </w:r>
      <w:proofErr w:type="spellStart"/>
      <w:r>
        <w:t>whai</w:t>
      </w:r>
      <w:proofErr w:type="spellEnd"/>
      <w:r>
        <w:t xml:space="preserve"> </w:t>
      </w:r>
      <w:proofErr w:type="spellStart"/>
      <w:r>
        <w:t>nei</w:t>
      </w:r>
      <w:proofErr w:type="spellEnd"/>
      <w:r>
        <w:t xml:space="preserve"> </w:t>
      </w:r>
      <w:proofErr w:type="spellStart"/>
      <w:r>
        <w:t>i</w:t>
      </w:r>
      <w:proofErr w:type="spellEnd"/>
      <w:r>
        <w:t xml:space="preserve"> </w:t>
      </w:r>
      <w:proofErr w:type="spellStart"/>
      <w:proofErr w:type="gramStart"/>
      <w:r>
        <w:t>te</w:t>
      </w:r>
      <w:proofErr w:type="spellEnd"/>
      <w:proofErr w:type="gramEnd"/>
      <w:r>
        <w:t xml:space="preserve"> </w:t>
      </w:r>
      <w:proofErr w:type="spellStart"/>
      <w:r>
        <w:t>oranga</w:t>
      </w:r>
      <w:proofErr w:type="spellEnd"/>
      <w:r>
        <w:t xml:space="preserve"> o ā </w:t>
      </w:r>
      <w:proofErr w:type="spellStart"/>
      <w:r>
        <w:t>tātau</w:t>
      </w:r>
      <w:proofErr w:type="spellEnd"/>
      <w:r>
        <w:t xml:space="preserve"> </w:t>
      </w:r>
      <w:proofErr w:type="spellStart"/>
      <w:r>
        <w:t>pēpi</w:t>
      </w:r>
      <w:proofErr w:type="spellEnd"/>
      <w:r>
        <w:t xml:space="preserve"> </w:t>
      </w:r>
      <w:proofErr w:type="spellStart"/>
      <w:r>
        <w:t>nei</w:t>
      </w:r>
      <w:proofErr w:type="spellEnd"/>
      <w:r>
        <w:t>.</w:t>
      </w:r>
    </w:p>
    <w:p w14:paraId="1E070FB3" w14:textId="77777777" w:rsidR="00EB2D0B" w:rsidRDefault="00EB2D0B" w:rsidP="00EB2D0B"/>
    <w:p w14:paraId="0FF1F53C" w14:textId="78058F33" w:rsidR="00EB2D0B" w:rsidRDefault="00EB2D0B" w:rsidP="00EB2D0B">
      <w:r>
        <w:t xml:space="preserve">Having been long involved in New Zealand efforts to reduce infant death from sudden infant death syndrome (SIDS) and then sudden unexpected death in infancy (SUDI), I very much welcome the formal involvement of the Ministry of Health in the rollout of the National SUDI Prevention Programme (NSPP). We have come a long way from the early development of a </w:t>
      </w:r>
      <w:r w:rsidR="00B02DAB">
        <w:t>‘</w:t>
      </w:r>
      <w:r>
        <w:t>safer sleep environment</w:t>
      </w:r>
      <w:r w:rsidR="00B02DAB">
        <w:t>’</w:t>
      </w:r>
      <w:r>
        <w:t xml:space="preserve"> with wahakura on the East Coast, with </w:t>
      </w:r>
      <w:r w:rsidR="00B02DAB">
        <w:t>‘</w:t>
      </w:r>
      <w:r>
        <w:t>safe sleep</w:t>
      </w:r>
      <w:r w:rsidR="00B02DAB">
        <w:t>’</w:t>
      </w:r>
      <w:r>
        <w:t xml:space="preserve"> principles of that region then informing the emergence of other safe sleep devices such as the </w:t>
      </w:r>
      <w:proofErr w:type="spellStart"/>
      <w:r>
        <w:t>waikawa</w:t>
      </w:r>
      <w:proofErr w:type="spellEnd"/>
      <w:r>
        <w:t xml:space="preserve"> and the </w:t>
      </w:r>
      <w:proofErr w:type="spellStart"/>
      <w:r>
        <w:t>Pēpi</w:t>
      </w:r>
      <w:proofErr w:type="spellEnd"/>
      <w:r>
        <w:t xml:space="preserve">-Pod®. But it was the </w:t>
      </w:r>
      <w:r w:rsidR="00B02DAB">
        <w:t>‘</w:t>
      </w:r>
      <w:r>
        <w:t>Change for our Children</w:t>
      </w:r>
      <w:r w:rsidR="00B02DAB">
        <w:t>’</w:t>
      </w:r>
      <w:r>
        <w:t xml:space="preserve"> scaling up of </w:t>
      </w:r>
      <w:proofErr w:type="spellStart"/>
      <w:r>
        <w:t>Pēpi</w:t>
      </w:r>
      <w:proofErr w:type="spellEnd"/>
      <w:r>
        <w:t xml:space="preserve">-Pod® production following the Canterbury earthquakes that laid the base for safe sleep programmes in District Health Board (DHB) regions which </w:t>
      </w:r>
      <w:r w:rsidR="00F60387">
        <w:t xml:space="preserve">then </w:t>
      </w:r>
      <w:r>
        <w:t>led to the establishment of the NSPP in 2017.</w:t>
      </w:r>
    </w:p>
    <w:p w14:paraId="5059C2E8" w14:textId="77777777" w:rsidR="00EB2D0B" w:rsidRDefault="00EB2D0B" w:rsidP="00EB2D0B"/>
    <w:p w14:paraId="1E971C65" w14:textId="77777777" w:rsidR="00EB2D0B" w:rsidRDefault="00EB2D0B" w:rsidP="00EB2D0B">
      <w:r>
        <w:t>While we celebrate the community development of wahakura programmes and the voluntary participation of DHBs in safe sleep programmes, we must all be excited that the Ministry of Health has come on board to roll out the NSPP. Professor Ed Mitchell, Stephanie Cowan and I estimated that the NSPP has covered approximately a quarter of mothers and babies with significant SUDI risk so there is a way to go yet.</w:t>
      </w:r>
    </w:p>
    <w:p w14:paraId="26290790" w14:textId="77777777" w:rsidR="00EB2D0B" w:rsidRDefault="00EB2D0B" w:rsidP="00EB2D0B"/>
    <w:p w14:paraId="0F13F3FC" w14:textId="77777777" w:rsidR="00EB2D0B" w:rsidRDefault="00EB2D0B" w:rsidP="00EB2D0B">
      <w:r>
        <w:t xml:space="preserve">Bed sharing after smoking in pregnancy is the primary combination of risks for SUDI in this country and this remains a significant issue in the Māori community. While the NSPP will prioritise funding for the purchase of safe sleep devices such as wahakura and </w:t>
      </w:r>
      <w:proofErr w:type="spellStart"/>
      <w:r>
        <w:t>Pēpi</w:t>
      </w:r>
      <w:proofErr w:type="spellEnd"/>
      <w:r>
        <w:t>-Pod</w:t>
      </w:r>
      <w:r w:rsidR="00705941">
        <w:t>s</w:t>
      </w:r>
      <w:r>
        <w:t>®, we should be aware that smoking in pregnancy requires the full attention of all health professionals. If that sounds like an emergency, let</w:t>
      </w:r>
      <w:r w:rsidR="00B02DAB">
        <w:t>’</w:t>
      </w:r>
      <w:r>
        <w:t>s be clear – it is. As we make safe sleeping environments the norm in New Zealand, SUDI deaths will hopefully fall. Hopefully too a time will come when SUDI mortality continues to reduce as ways to address smoking in pregnancy are strengthened.</w:t>
      </w:r>
    </w:p>
    <w:p w14:paraId="0B83C7C4" w14:textId="77777777" w:rsidR="00EB2D0B" w:rsidRDefault="00EB2D0B" w:rsidP="00EB2D0B"/>
    <w:p w14:paraId="59936D0A" w14:textId="77777777" w:rsidR="00EB2D0B" w:rsidRDefault="00EB2D0B" w:rsidP="00EB2D0B">
      <w:r>
        <w:t xml:space="preserve">This is an exciting journey. The NSPP is delivered across all 20 DHB regions and directly supports up to 8,500 families and whānau with </w:t>
      </w:r>
      <w:r w:rsidR="00705941">
        <w:t xml:space="preserve">an </w:t>
      </w:r>
      <w:r>
        <w:t>elevated risk of SUDI each year. Moving from a community-based and voluntary DHB activity to a well-funded and well-planned national programme with Ministry of Health support will be a more effective way to work towards reaching the ambitious goal of the NSPP: to reduce the SUDI rate from 0.7 in every 1,000 New Zealand babies born (1.59 for every 1,000 Māori) to 0.1 in every 1,000 births by 2025.</w:t>
      </w:r>
    </w:p>
    <w:p w14:paraId="07CAF360" w14:textId="77777777" w:rsidR="00EB2D0B" w:rsidRDefault="00EB2D0B" w:rsidP="00EB2D0B"/>
    <w:p w14:paraId="0FE75C15" w14:textId="77777777" w:rsidR="00EB2D0B" w:rsidRDefault="00EB2D0B" w:rsidP="00EB2D0B">
      <w:r>
        <w:t>This is no small feat and I commend everyone involved.</w:t>
      </w:r>
    </w:p>
    <w:p w14:paraId="39C43991" w14:textId="77777777" w:rsidR="00EB2D0B" w:rsidRDefault="00EB2D0B" w:rsidP="00EB2D0B"/>
    <w:p w14:paraId="37E14266" w14:textId="77777777" w:rsidR="00EB2D0B" w:rsidRPr="00FE313D" w:rsidRDefault="00EB2D0B" w:rsidP="00EB2D0B">
      <w:pPr>
        <w:spacing w:before="600"/>
      </w:pPr>
      <w:r>
        <w:t xml:space="preserve">Professor David </w:t>
      </w:r>
      <w:proofErr w:type="spellStart"/>
      <w:r>
        <w:t>Tipene</w:t>
      </w:r>
      <w:proofErr w:type="spellEnd"/>
      <w:r>
        <w:t>-Leach, MNZM</w:t>
      </w:r>
    </w:p>
    <w:p w14:paraId="57BD0AE9" w14:textId="77777777" w:rsidR="00EB2D0B" w:rsidRDefault="00EB2D0B" w:rsidP="00EB2D0B">
      <w:pPr>
        <w:spacing w:after="600"/>
      </w:pPr>
    </w:p>
    <w:p w14:paraId="0A586DE8" w14:textId="77777777" w:rsidR="00EB2D0B" w:rsidRDefault="00EB2D0B" w:rsidP="00EB2D0B">
      <w:pPr>
        <w:pStyle w:val="Heading1"/>
      </w:pPr>
      <w:bookmarkStart w:id="6" w:name="_Toc7704167"/>
      <w:r>
        <w:lastRenderedPageBreak/>
        <w:t>Acknowledgements</w:t>
      </w:r>
      <w:bookmarkEnd w:id="6"/>
    </w:p>
    <w:p w14:paraId="7D7D07E9" w14:textId="77777777" w:rsidR="00EB2D0B" w:rsidRDefault="00EB2D0B" w:rsidP="00EB2D0B">
      <w:r>
        <w:t xml:space="preserve">The Ministry of Health, District Health Boards and </w:t>
      </w:r>
      <w:proofErr w:type="spellStart"/>
      <w:r>
        <w:t>Hāpai</w:t>
      </w:r>
      <w:proofErr w:type="spellEnd"/>
      <w:r>
        <w:t xml:space="preserve"> </w:t>
      </w:r>
      <w:proofErr w:type="spellStart"/>
      <w:r>
        <w:t>Te</w:t>
      </w:r>
      <w:proofErr w:type="spellEnd"/>
      <w:r>
        <w:t xml:space="preserve"> Hauora would like to acknowledge the National SUDI Prevention Programme Expert Advisory Group for their direction, advice and overall revision of the national safe sleep device quality guidelines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7"/>
        <w:gridCol w:w="4148"/>
      </w:tblGrid>
      <w:tr w:rsidR="00EB2D0B" w14:paraId="14C05E35" w14:textId="77777777" w:rsidTr="00B02DAB">
        <w:trPr>
          <w:cantSplit/>
        </w:trPr>
        <w:tc>
          <w:tcPr>
            <w:tcW w:w="4147" w:type="dxa"/>
          </w:tcPr>
          <w:p w14:paraId="40A58369" w14:textId="77777777" w:rsidR="00EB2D0B" w:rsidRPr="00831E6D" w:rsidRDefault="00EB2D0B" w:rsidP="00831E6D">
            <w:pPr>
              <w:spacing w:before="120"/>
              <w:rPr>
                <w:sz w:val="16"/>
                <w:szCs w:val="16"/>
              </w:rPr>
            </w:pPr>
            <w:r>
              <w:t xml:space="preserve">Amanda </w:t>
            </w:r>
            <w:proofErr w:type="spellStart"/>
            <w:r>
              <w:t>Malu</w:t>
            </w:r>
            <w:proofErr w:type="spellEnd"/>
            <w:r w:rsidRPr="00FE313D">
              <w:rPr>
                <w:sz w:val="18"/>
                <w:szCs w:val="18"/>
              </w:rPr>
              <w:br/>
            </w:r>
            <w:r w:rsidRPr="00831E6D">
              <w:rPr>
                <w:sz w:val="16"/>
                <w:szCs w:val="16"/>
              </w:rPr>
              <w:t>CEO, Royal NZ Plunket Trust</w:t>
            </w:r>
          </w:p>
          <w:p w14:paraId="28AF2019" w14:textId="77777777" w:rsidR="00EB2D0B" w:rsidRPr="00831E6D" w:rsidRDefault="00EB2D0B" w:rsidP="00831E6D">
            <w:pPr>
              <w:spacing w:before="120"/>
              <w:rPr>
                <w:sz w:val="16"/>
                <w:szCs w:val="16"/>
              </w:rPr>
            </w:pPr>
            <w:r>
              <w:t>Associate Professor Dr Beverley Lawton</w:t>
            </w:r>
            <w:r w:rsidRPr="00FE313D">
              <w:rPr>
                <w:sz w:val="18"/>
                <w:szCs w:val="18"/>
              </w:rPr>
              <w:br/>
            </w:r>
            <w:r w:rsidRPr="00831E6D">
              <w:rPr>
                <w:sz w:val="16"/>
                <w:szCs w:val="16"/>
              </w:rPr>
              <w:t>University of Otago Women</w:t>
            </w:r>
            <w:r w:rsidR="00B02DAB" w:rsidRPr="00831E6D">
              <w:rPr>
                <w:sz w:val="16"/>
                <w:szCs w:val="16"/>
              </w:rPr>
              <w:t>’</w:t>
            </w:r>
            <w:r w:rsidRPr="00831E6D">
              <w:rPr>
                <w:sz w:val="16"/>
                <w:szCs w:val="16"/>
              </w:rPr>
              <w:t>s Health Research Centre</w:t>
            </w:r>
          </w:p>
          <w:p w14:paraId="616F2776" w14:textId="77777777" w:rsidR="00EB2D0B" w:rsidRPr="00831E6D" w:rsidRDefault="00EB2D0B" w:rsidP="00831E6D">
            <w:pPr>
              <w:spacing w:before="120"/>
              <w:rPr>
                <w:sz w:val="16"/>
                <w:szCs w:val="16"/>
              </w:rPr>
            </w:pPr>
            <w:r>
              <w:t>Dr Christine McIntosh</w:t>
            </w:r>
            <w:r w:rsidRPr="00FE313D">
              <w:rPr>
                <w:sz w:val="18"/>
                <w:szCs w:val="18"/>
              </w:rPr>
              <w:br/>
            </w:r>
            <w:r w:rsidRPr="00831E6D">
              <w:rPr>
                <w:sz w:val="16"/>
                <w:szCs w:val="16"/>
              </w:rPr>
              <w:t xml:space="preserve">Counties </w:t>
            </w:r>
            <w:proofErr w:type="spellStart"/>
            <w:r w:rsidRPr="00831E6D">
              <w:rPr>
                <w:sz w:val="16"/>
                <w:szCs w:val="16"/>
              </w:rPr>
              <w:t>Manukau</w:t>
            </w:r>
            <w:proofErr w:type="spellEnd"/>
            <w:r w:rsidRPr="00831E6D">
              <w:rPr>
                <w:sz w:val="16"/>
                <w:szCs w:val="16"/>
              </w:rPr>
              <w:t xml:space="preserve"> District Health Board GP Liaison Child Health</w:t>
            </w:r>
            <w:r w:rsidRPr="00831E6D">
              <w:rPr>
                <w:sz w:val="16"/>
                <w:szCs w:val="16"/>
              </w:rPr>
              <w:br/>
              <w:t>Primary &amp; Integrated Care</w:t>
            </w:r>
          </w:p>
          <w:p w14:paraId="0049C58B" w14:textId="77777777" w:rsidR="00EB2D0B" w:rsidRPr="00831E6D" w:rsidRDefault="00EB2D0B" w:rsidP="00831E6D">
            <w:pPr>
              <w:spacing w:before="120"/>
              <w:rPr>
                <w:sz w:val="16"/>
                <w:szCs w:val="16"/>
              </w:rPr>
            </w:pPr>
            <w:r>
              <w:t xml:space="preserve">Professor Dr David </w:t>
            </w:r>
            <w:proofErr w:type="spellStart"/>
            <w:r>
              <w:t>Tipene</w:t>
            </w:r>
            <w:proofErr w:type="spellEnd"/>
            <w:r>
              <w:t>-Leach</w:t>
            </w:r>
            <w:r w:rsidRPr="00FE313D">
              <w:rPr>
                <w:sz w:val="18"/>
                <w:szCs w:val="18"/>
              </w:rPr>
              <w:br/>
            </w:r>
            <w:r w:rsidRPr="00831E6D">
              <w:rPr>
                <w:sz w:val="16"/>
                <w:szCs w:val="16"/>
              </w:rPr>
              <w:t>Eastern Institute of Technology SUDI academic expert</w:t>
            </w:r>
          </w:p>
          <w:p w14:paraId="292C19A6" w14:textId="77777777" w:rsidR="00EB2D0B" w:rsidRPr="00831E6D" w:rsidRDefault="00EB2D0B" w:rsidP="00831E6D">
            <w:pPr>
              <w:spacing w:before="120"/>
              <w:rPr>
                <w:sz w:val="16"/>
                <w:szCs w:val="16"/>
              </w:rPr>
            </w:pPr>
            <w:r>
              <w:t>Professor Edwin Mitchell</w:t>
            </w:r>
            <w:r w:rsidRPr="00FE313D">
              <w:rPr>
                <w:sz w:val="18"/>
                <w:szCs w:val="18"/>
              </w:rPr>
              <w:br/>
            </w:r>
            <w:r w:rsidRPr="00831E6D">
              <w:rPr>
                <w:sz w:val="16"/>
                <w:szCs w:val="16"/>
              </w:rPr>
              <w:t>University of Auckland SUDI academic expert</w:t>
            </w:r>
          </w:p>
          <w:p w14:paraId="1BE0B8F8" w14:textId="77777777" w:rsidR="00EB2D0B" w:rsidRPr="00831E6D" w:rsidRDefault="00EB2D0B" w:rsidP="00831E6D">
            <w:pPr>
              <w:spacing w:before="120"/>
              <w:rPr>
                <w:sz w:val="16"/>
                <w:szCs w:val="16"/>
              </w:rPr>
            </w:pPr>
            <w:r>
              <w:t>Estelle Mulligan</w:t>
            </w:r>
            <w:r w:rsidRPr="00FE313D">
              <w:rPr>
                <w:sz w:val="18"/>
                <w:szCs w:val="18"/>
              </w:rPr>
              <w:br/>
            </w:r>
            <w:r w:rsidRPr="00831E6D">
              <w:rPr>
                <w:sz w:val="16"/>
                <w:szCs w:val="16"/>
              </w:rPr>
              <w:t xml:space="preserve">Counties </w:t>
            </w:r>
            <w:proofErr w:type="spellStart"/>
            <w:r w:rsidRPr="00831E6D">
              <w:rPr>
                <w:sz w:val="16"/>
                <w:szCs w:val="16"/>
              </w:rPr>
              <w:t>Manukau</w:t>
            </w:r>
            <w:proofErr w:type="spellEnd"/>
            <w:r w:rsidRPr="00831E6D">
              <w:rPr>
                <w:sz w:val="16"/>
                <w:szCs w:val="16"/>
              </w:rPr>
              <w:t xml:space="preserve"> District Health Board safe sleep coordinator and midwife</w:t>
            </w:r>
          </w:p>
          <w:p w14:paraId="1724C4C8" w14:textId="77777777" w:rsidR="00EB2D0B" w:rsidRPr="00166217" w:rsidRDefault="00EB2D0B" w:rsidP="00831E6D">
            <w:pPr>
              <w:spacing w:before="120"/>
              <w:rPr>
                <w:sz w:val="18"/>
                <w:szCs w:val="18"/>
              </w:rPr>
            </w:pPr>
            <w:r>
              <w:t xml:space="preserve">Professor Hayden </w:t>
            </w:r>
            <w:proofErr w:type="spellStart"/>
            <w:r>
              <w:t>McRobbie</w:t>
            </w:r>
            <w:proofErr w:type="spellEnd"/>
            <w:r w:rsidRPr="00FE313D">
              <w:rPr>
                <w:sz w:val="18"/>
                <w:szCs w:val="18"/>
              </w:rPr>
              <w:br/>
            </w:r>
            <w:r w:rsidRPr="00831E6D">
              <w:rPr>
                <w:sz w:val="16"/>
                <w:szCs w:val="16"/>
              </w:rPr>
              <w:t>Tobacco control expert</w:t>
            </w:r>
          </w:p>
        </w:tc>
        <w:tc>
          <w:tcPr>
            <w:tcW w:w="4148" w:type="dxa"/>
          </w:tcPr>
          <w:p w14:paraId="789DF974" w14:textId="77777777" w:rsidR="00EB2D0B" w:rsidRPr="00831E6D" w:rsidRDefault="00EB2D0B" w:rsidP="00831E6D">
            <w:pPr>
              <w:spacing w:before="120"/>
              <w:rPr>
                <w:sz w:val="16"/>
                <w:szCs w:val="16"/>
              </w:rPr>
            </w:pPr>
            <w:r>
              <w:t>Dr Janine Ryland</w:t>
            </w:r>
            <w:r w:rsidRPr="00FE313D">
              <w:rPr>
                <w:sz w:val="18"/>
                <w:szCs w:val="18"/>
              </w:rPr>
              <w:br/>
            </w:r>
            <w:r w:rsidRPr="00831E6D">
              <w:rPr>
                <w:sz w:val="16"/>
                <w:szCs w:val="16"/>
              </w:rPr>
              <w:t>Ministry of Health, Clinical Advisor Child and Youth Health</w:t>
            </w:r>
          </w:p>
          <w:p w14:paraId="5F77DE4F" w14:textId="77777777" w:rsidR="00EB2D0B" w:rsidRPr="00831E6D" w:rsidRDefault="00EB2D0B" w:rsidP="00831E6D">
            <w:pPr>
              <w:spacing w:before="120"/>
              <w:rPr>
                <w:sz w:val="16"/>
                <w:szCs w:val="16"/>
              </w:rPr>
            </w:pPr>
            <w:r>
              <w:t xml:space="preserve">Dr Justine </w:t>
            </w:r>
            <w:proofErr w:type="spellStart"/>
            <w:r>
              <w:t>Mesui</w:t>
            </w:r>
            <w:proofErr w:type="spellEnd"/>
            <w:r w:rsidRPr="00FE313D">
              <w:rPr>
                <w:sz w:val="18"/>
                <w:szCs w:val="18"/>
              </w:rPr>
              <w:br/>
            </w:r>
            <w:r w:rsidRPr="00831E6D">
              <w:rPr>
                <w:sz w:val="16"/>
                <w:szCs w:val="16"/>
              </w:rPr>
              <w:t>Pacific general practitioner</w:t>
            </w:r>
          </w:p>
          <w:p w14:paraId="1498709E" w14:textId="77777777" w:rsidR="00EB2D0B" w:rsidRPr="00831E6D" w:rsidRDefault="00EB2D0B" w:rsidP="00831E6D">
            <w:pPr>
              <w:spacing w:before="120"/>
              <w:rPr>
                <w:sz w:val="16"/>
                <w:szCs w:val="16"/>
              </w:rPr>
            </w:pPr>
            <w:r>
              <w:t>Dr Lance O</w:t>
            </w:r>
            <w:r w:rsidR="00B02DAB">
              <w:t>’</w:t>
            </w:r>
            <w:r>
              <w:t>Sullivan</w:t>
            </w:r>
            <w:r w:rsidRPr="00FE313D">
              <w:rPr>
                <w:sz w:val="18"/>
                <w:szCs w:val="18"/>
              </w:rPr>
              <w:br/>
            </w:r>
            <w:r w:rsidRPr="00831E6D">
              <w:rPr>
                <w:sz w:val="16"/>
                <w:szCs w:val="16"/>
              </w:rPr>
              <w:t>Māori general practitioner</w:t>
            </w:r>
          </w:p>
          <w:p w14:paraId="372510CD" w14:textId="77777777" w:rsidR="00EB2D0B" w:rsidRPr="00831E6D" w:rsidRDefault="00EB2D0B" w:rsidP="00831E6D">
            <w:pPr>
              <w:spacing w:before="120"/>
              <w:rPr>
                <w:sz w:val="16"/>
                <w:szCs w:val="16"/>
              </w:rPr>
            </w:pPr>
            <w:r>
              <w:t xml:space="preserve">Associate Professor Dr </w:t>
            </w:r>
            <w:proofErr w:type="spellStart"/>
            <w:r>
              <w:t>Marewa</w:t>
            </w:r>
            <w:proofErr w:type="spellEnd"/>
            <w:r>
              <w:t xml:space="preserve"> Glover</w:t>
            </w:r>
            <w:r w:rsidRPr="00FE313D">
              <w:rPr>
                <w:sz w:val="18"/>
                <w:szCs w:val="18"/>
              </w:rPr>
              <w:br/>
            </w:r>
            <w:r w:rsidRPr="00831E6D">
              <w:rPr>
                <w:sz w:val="16"/>
                <w:szCs w:val="16"/>
              </w:rPr>
              <w:t>Massey University tobacco control expert (resigned June 2018)</w:t>
            </w:r>
          </w:p>
          <w:p w14:paraId="2402532E" w14:textId="77777777" w:rsidR="00EB2D0B" w:rsidRPr="00831E6D" w:rsidRDefault="00EB2D0B" w:rsidP="00831E6D">
            <w:pPr>
              <w:spacing w:before="120"/>
              <w:rPr>
                <w:sz w:val="16"/>
                <w:szCs w:val="16"/>
              </w:rPr>
            </w:pPr>
            <w:r>
              <w:t>Dr Pat Tuohy</w:t>
            </w:r>
            <w:r w:rsidRPr="00FE313D">
              <w:rPr>
                <w:sz w:val="18"/>
                <w:szCs w:val="18"/>
              </w:rPr>
              <w:br/>
            </w:r>
            <w:r w:rsidRPr="00831E6D">
              <w:rPr>
                <w:sz w:val="16"/>
                <w:szCs w:val="16"/>
              </w:rPr>
              <w:t>Ministry of Health, Chief Advisor Child and Youth Health</w:t>
            </w:r>
          </w:p>
          <w:p w14:paraId="083DC2DD" w14:textId="77777777" w:rsidR="00EB2D0B" w:rsidRPr="00831E6D" w:rsidRDefault="00EB2D0B" w:rsidP="00831E6D">
            <w:pPr>
              <w:spacing w:before="120"/>
              <w:rPr>
                <w:sz w:val="16"/>
                <w:szCs w:val="16"/>
              </w:rPr>
            </w:pPr>
            <w:r>
              <w:t>Paula Snowden</w:t>
            </w:r>
            <w:r w:rsidRPr="00FE313D">
              <w:rPr>
                <w:sz w:val="18"/>
                <w:szCs w:val="18"/>
              </w:rPr>
              <w:br/>
            </w:r>
            <w:r w:rsidRPr="00831E6D">
              <w:rPr>
                <w:sz w:val="16"/>
                <w:szCs w:val="16"/>
              </w:rPr>
              <w:t>CEO, Problem Gambling Foundation NZ</w:t>
            </w:r>
          </w:p>
          <w:p w14:paraId="44693FC6" w14:textId="77777777" w:rsidR="00EB2D0B" w:rsidRDefault="00EB2D0B" w:rsidP="00831E6D">
            <w:pPr>
              <w:spacing w:before="120"/>
            </w:pPr>
            <w:proofErr w:type="spellStart"/>
            <w:r>
              <w:t>Puti</w:t>
            </w:r>
            <w:proofErr w:type="spellEnd"/>
            <w:r>
              <w:t xml:space="preserve"> Baker</w:t>
            </w:r>
            <w:r w:rsidRPr="00FE313D">
              <w:rPr>
                <w:sz w:val="18"/>
                <w:szCs w:val="18"/>
              </w:rPr>
              <w:br/>
            </w:r>
            <w:proofErr w:type="spellStart"/>
            <w:r w:rsidRPr="00831E6D">
              <w:rPr>
                <w:sz w:val="16"/>
                <w:szCs w:val="16"/>
              </w:rPr>
              <w:t>Ngā</w:t>
            </w:r>
            <w:proofErr w:type="spellEnd"/>
            <w:r w:rsidRPr="00831E6D">
              <w:rPr>
                <w:sz w:val="16"/>
                <w:szCs w:val="16"/>
              </w:rPr>
              <w:t xml:space="preserve"> Maia </w:t>
            </w:r>
            <w:proofErr w:type="spellStart"/>
            <w:r w:rsidRPr="00831E6D">
              <w:rPr>
                <w:sz w:val="16"/>
                <w:szCs w:val="16"/>
              </w:rPr>
              <w:t>ki</w:t>
            </w:r>
            <w:proofErr w:type="spellEnd"/>
            <w:r w:rsidRPr="00831E6D">
              <w:rPr>
                <w:sz w:val="16"/>
                <w:szCs w:val="16"/>
              </w:rPr>
              <w:t xml:space="preserve"> Tamaki </w:t>
            </w:r>
            <w:proofErr w:type="spellStart"/>
            <w:r w:rsidRPr="00831E6D">
              <w:rPr>
                <w:sz w:val="16"/>
                <w:szCs w:val="16"/>
              </w:rPr>
              <w:t>Makaurau</w:t>
            </w:r>
            <w:proofErr w:type="spellEnd"/>
            <w:r w:rsidRPr="00831E6D">
              <w:rPr>
                <w:sz w:val="16"/>
                <w:szCs w:val="16"/>
              </w:rPr>
              <w:t>, Māori midwife</w:t>
            </w:r>
          </w:p>
        </w:tc>
      </w:tr>
    </w:tbl>
    <w:p w14:paraId="32EAD179" w14:textId="77777777" w:rsidR="00EB2D0B" w:rsidRDefault="00EB2D0B" w:rsidP="00EB2D0B"/>
    <w:p w14:paraId="7572EDF7" w14:textId="77777777" w:rsidR="00FE313D" w:rsidRDefault="00FE313D" w:rsidP="00831E6D">
      <w:pPr>
        <w:pStyle w:val="Heading1"/>
        <w:pageBreakBefore w:val="0"/>
        <w:spacing w:before="600"/>
      </w:pPr>
      <w:bookmarkStart w:id="7" w:name="_Toc7704168"/>
      <w:r>
        <w:t>Glossary</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6066"/>
      </w:tblGrid>
      <w:tr w:rsidR="00EB2D0B" w:rsidRPr="00775D11" w14:paraId="3B03A572" w14:textId="77777777" w:rsidTr="00EB2D0B">
        <w:trPr>
          <w:cantSplit/>
        </w:trPr>
        <w:tc>
          <w:tcPr>
            <w:tcW w:w="2122" w:type="dxa"/>
          </w:tcPr>
          <w:p w14:paraId="552002DB" w14:textId="77777777" w:rsidR="00EB2D0B" w:rsidRPr="00EB2D0B" w:rsidRDefault="00EB2D0B" w:rsidP="00EB2D0B">
            <w:pPr>
              <w:rPr>
                <w:b/>
              </w:rPr>
            </w:pPr>
            <w:r w:rsidRPr="00EB2D0B">
              <w:rPr>
                <w:b/>
                <w:lang w:eastAsia="en-NZ"/>
              </w:rPr>
              <w:t>Safe sleep device</w:t>
            </w:r>
          </w:p>
        </w:tc>
        <w:tc>
          <w:tcPr>
            <w:tcW w:w="6066" w:type="dxa"/>
          </w:tcPr>
          <w:p w14:paraId="481A7B94" w14:textId="77777777" w:rsidR="00EB2D0B" w:rsidRPr="00775D11" w:rsidRDefault="00EB2D0B" w:rsidP="00EB2D0B">
            <w:proofErr w:type="spellStart"/>
            <w:r w:rsidRPr="00775D11">
              <w:rPr>
                <w:lang w:eastAsia="en-NZ"/>
              </w:rPr>
              <w:t>Pēpi</w:t>
            </w:r>
            <w:proofErr w:type="spellEnd"/>
            <w:r w:rsidRPr="00775D11">
              <w:rPr>
                <w:lang w:eastAsia="en-NZ"/>
              </w:rPr>
              <w:t xml:space="preserve">-Pod®, wahakura, cot or bassinet and the contents of that space: blankets, sheets, </w:t>
            </w:r>
            <w:r>
              <w:rPr>
                <w:lang w:eastAsia="en-NZ"/>
              </w:rPr>
              <w:t>mattresses, toys,</w:t>
            </w:r>
            <w:r w:rsidRPr="00775D11">
              <w:rPr>
                <w:lang w:eastAsia="en-NZ"/>
              </w:rPr>
              <w:t xml:space="preserve"> etc.</w:t>
            </w:r>
          </w:p>
        </w:tc>
      </w:tr>
      <w:tr w:rsidR="00EB2D0B" w:rsidRPr="00775D11" w14:paraId="36662632" w14:textId="77777777" w:rsidTr="00EB2D0B">
        <w:trPr>
          <w:cantSplit/>
        </w:trPr>
        <w:tc>
          <w:tcPr>
            <w:tcW w:w="2122" w:type="dxa"/>
          </w:tcPr>
          <w:p w14:paraId="15EEE799" w14:textId="77777777" w:rsidR="00EB2D0B" w:rsidRPr="00EB2D0B" w:rsidRDefault="00EB2D0B" w:rsidP="00EB2D0B">
            <w:pPr>
              <w:spacing w:before="180"/>
              <w:rPr>
                <w:b/>
              </w:rPr>
            </w:pPr>
            <w:r w:rsidRPr="00EB2D0B">
              <w:rPr>
                <w:b/>
                <w:lang w:eastAsia="en-NZ"/>
              </w:rPr>
              <w:t>Safe sleep environment</w:t>
            </w:r>
          </w:p>
        </w:tc>
        <w:tc>
          <w:tcPr>
            <w:tcW w:w="6066" w:type="dxa"/>
          </w:tcPr>
          <w:p w14:paraId="0937A29D" w14:textId="77777777" w:rsidR="00EB2D0B" w:rsidRPr="00775D11" w:rsidRDefault="00EB2D0B" w:rsidP="00EB2D0B">
            <w:pPr>
              <w:spacing w:before="180"/>
            </w:pPr>
            <w:r w:rsidRPr="00775D11">
              <w:rPr>
                <w:lang w:eastAsia="en-NZ"/>
              </w:rPr>
              <w:t>Area on which the safe sleep device is placed, or where cot or bassinet is located, free of hazards such as blind cords, curtains, power points, heaters, pets and other children.</w:t>
            </w:r>
          </w:p>
        </w:tc>
      </w:tr>
      <w:tr w:rsidR="00EB2D0B" w:rsidRPr="00775D11" w14:paraId="3C84EA03" w14:textId="77777777" w:rsidTr="00EB2D0B">
        <w:trPr>
          <w:cantSplit/>
        </w:trPr>
        <w:tc>
          <w:tcPr>
            <w:tcW w:w="2122" w:type="dxa"/>
          </w:tcPr>
          <w:p w14:paraId="07D418BF" w14:textId="77777777" w:rsidR="00EB2D0B" w:rsidRPr="00EB2D0B" w:rsidRDefault="00EB2D0B" w:rsidP="00EB2D0B">
            <w:pPr>
              <w:spacing w:before="180"/>
              <w:rPr>
                <w:b/>
              </w:rPr>
            </w:pPr>
            <w:r w:rsidRPr="00EB2D0B">
              <w:rPr>
                <w:b/>
                <w:lang w:eastAsia="en-NZ"/>
              </w:rPr>
              <w:t>Safe sleep position</w:t>
            </w:r>
          </w:p>
        </w:tc>
        <w:tc>
          <w:tcPr>
            <w:tcW w:w="6066" w:type="dxa"/>
          </w:tcPr>
          <w:p w14:paraId="6EC5FCEC" w14:textId="77777777" w:rsidR="00EB2D0B" w:rsidRPr="00775D11" w:rsidRDefault="00EB2D0B" w:rsidP="00EB2D0B">
            <w:pPr>
              <w:spacing w:before="180"/>
            </w:pPr>
            <w:r w:rsidRPr="00775D11">
              <w:rPr>
                <w:lang w:eastAsia="en-NZ"/>
              </w:rPr>
              <w:t>Position baby is placed for sleep – that is, on their back, with feet to bottom of cot.</w:t>
            </w:r>
          </w:p>
        </w:tc>
      </w:tr>
      <w:tr w:rsidR="00EB2D0B" w:rsidRPr="00775D11" w14:paraId="6FA59D7D" w14:textId="77777777" w:rsidTr="00EB2D0B">
        <w:trPr>
          <w:cantSplit/>
        </w:trPr>
        <w:tc>
          <w:tcPr>
            <w:tcW w:w="2122" w:type="dxa"/>
          </w:tcPr>
          <w:p w14:paraId="52124DBB" w14:textId="77777777" w:rsidR="00EB2D0B" w:rsidRPr="00EB2D0B" w:rsidRDefault="00EB2D0B" w:rsidP="00EB2D0B">
            <w:pPr>
              <w:spacing w:before="180"/>
              <w:rPr>
                <w:b/>
              </w:rPr>
            </w:pPr>
            <w:r w:rsidRPr="00EB2D0B">
              <w:rPr>
                <w:b/>
                <w:lang w:eastAsia="en-NZ"/>
              </w:rPr>
              <w:t>Bed sharing</w:t>
            </w:r>
          </w:p>
        </w:tc>
        <w:tc>
          <w:tcPr>
            <w:tcW w:w="6066" w:type="dxa"/>
          </w:tcPr>
          <w:p w14:paraId="233CD434" w14:textId="77777777" w:rsidR="00EB2D0B" w:rsidRPr="00775D11" w:rsidRDefault="00EB2D0B" w:rsidP="00EB2D0B">
            <w:pPr>
              <w:spacing w:before="180"/>
            </w:pPr>
            <w:r w:rsidRPr="00775D11">
              <w:rPr>
                <w:lang w:eastAsia="en-NZ"/>
              </w:rPr>
              <w:t xml:space="preserve">Direct bed sharing by sharing the same sleep surface –that is, baby is in bed with another person. Being in a </w:t>
            </w:r>
            <w:proofErr w:type="spellStart"/>
            <w:r w:rsidRPr="00775D11">
              <w:rPr>
                <w:lang w:eastAsia="en-NZ"/>
              </w:rPr>
              <w:t>Pēpi</w:t>
            </w:r>
            <w:proofErr w:type="spellEnd"/>
            <w:r w:rsidRPr="00775D11">
              <w:rPr>
                <w:lang w:eastAsia="en-NZ"/>
              </w:rPr>
              <w:t xml:space="preserve">-Pod® or wahakura </w:t>
            </w:r>
            <w:r w:rsidRPr="00EB2D0B">
              <w:rPr>
                <w:b/>
              </w:rPr>
              <w:t>on</w:t>
            </w:r>
            <w:r w:rsidRPr="00775D11">
              <w:rPr>
                <w:lang w:eastAsia="en-NZ"/>
              </w:rPr>
              <w:t xml:space="preserve"> a bed is different as these babies are in their own sleep space.</w:t>
            </w:r>
          </w:p>
        </w:tc>
      </w:tr>
    </w:tbl>
    <w:p w14:paraId="1382874A" w14:textId="77777777" w:rsidR="008D76A9" w:rsidRDefault="008D76A9" w:rsidP="00FE313D"/>
    <w:p w14:paraId="118CDCC8" w14:textId="77777777" w:rsidR="008D76A9" w:rsidRDefault="008D76A9" w:rsidP="00FE313D">
      <w:pPr>
        <w:sectPr w:rsidR="008D76A9" w:rsidSect="001D3E4E">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3F97B301" w14:textId="58A02A45" w:rsidR="00FE313D" w:rsidRDefault="00FE313D" w:rsidP="00FE313D"/>
    <w:p w14:paraId="4A8482F1" w14:textId="77777777" w:rsidR="008D76A9" w:rsidRPr="00FE313D" w:rsidRDefault="008D76A9" w:rsidP="00FE313D"/>
    <w:p w14:paraId="39BB0B19" w14:textId="77777777" w:rsidR="00414C35" w:rsidRDefault="00414C35" w:rsidP="00414C35">
      <w:pPr>
        <w:sectPr w:rsidR="00414C35" w:rsidSect="001D3E4E">
          <w:footerReference w:type="even" r:id="rId20"/>
          <w:pgSz w:w="11907" w:h="16840" w:code="9"/>
          <w:pgMar w:top="1418" w:right="1701" w:bottom="1134" w:left="1843" w:header="284" w:footer="425" w:gutter="284"/>
          <w:pgNumType w:fmt="lowerRoman"/>
          <w:cols w:space="720"/>
        </w:sectPr>
      </w:pPr>
    </w:p>
    <w:p w14:paraId="57A5A0D6" w14:textId="77777777" w:rsidR="00C86248" w:rsidRDefault="00C86248" w:rsidP="00025A6F">
      <w:pPr>
        <w:pStyle w:val="IntroHead"/>
      </w:pPr>
      <w:r>
        <w:lastRenderedPageBreak/>
        <w:t>Contents</w:t>
      </w:r>
      <w:bookmarkEnd w:id="2"/>
      <w:bookmarkEnd w:id="3"/>
    </w:p>
    <w:p w14:paraId="18C03295" w14:textId="77777777" w:rsidR="00EE432A"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bookmarkStart w:id="8" w:name="_GoBack"/>
      <w:bookmarkEnd w:id="8"/>
      <w:r w:rsidR="00EE432A">
        <w:rPr>
          <w:noProof/>
        </w:rPr>
        <w:t>Karakia – Mihi</w:t>
      </w:r>
      <w:r w:rsidR="00EE432A">
        <w:rPr>
          <w:noProof/>
        </w:rPr>
        <w:tab/>
      </w:r>
      <w:r w:rsidR="00EE432A">
        <w:rPr>
          <w:noProof/>
        </w:rPr>
        <w:fldChar w:fldCharType="begin"/>
      </w:r>
      <w:r w:rsidR="00EE432A">
        <w:rPr>
          <w:noProof/>
        </w:rPr>
        <w:instrText xml:space="preserve"> PAGEREF _Toc7704165 \h </w:instrText>
      </w:r>
      <w:r w:rsidR="00EE432A">
        <w:rPr>
          <w:noProof/>
        </w:rPr>
      </w:r>
      <w:r w:rsidR="00EE432A">
        <w:rPr>
          <w:noProof/>
        </w:rPr>
        <w:fldChar w:fldCharType="separate"/>
      </w:r>
      <w:r w:rsidR="00EE432A">
        <w:rPr>
          <w:noProof/>
        </w:rPr>
        <w:t>iii</w:t>
      </w:r>
      <w:r w:rsidR="00EE432A">
        <w:rPr>
          <w:noProof/>
        </w:rPr>
        <w:fldChar w:fldCharType="end"/>
      </w:r>
    </w:p>
    <w:p w14:paraId="20614025" w14:textId="77777777" w:rsidR="00EE432A" w:rsidRDefault="00EE432A">
      <w:pPr>
        <w:pStyle w:val="TOC1"/>
        <w:rPr>
          <w:rFonts w:asciiTheme="minorHAnsi" w:eastAsiaTheme="minorEastAsia" w:hAnsiTheme="minorHAnsi" w:cstheme="minorBidi"/>
          <w:noProof/>
          <w:sz w:val="22"/>
          <w:szCs w:val="22"/>
          <w:lang w:eastAsia="en-NZ"/>
        </w:rPr>
      </w:pPr>
      <w:r>
        <w:rPr>
          <w:noProof/>
        </w:rPr>
        <w:t>Foreword</w:t>
      </w:r>
      <w:r>
        <w:rPr>
          <w:noProof/>
        </w:rPr>
        <w:tab/>
      </w:r>
      <w:r>
        <w:rPr>
          <w:noProof/>
        </w:rPr>
        <w:fldChar w:fldCharType="begin"/>
      </w:r>
      <w:r>
        <w:rPr>
          <w:noProof/>
        </w:rPr>
        <w:instrText xml:space="preserve"> PAGEREF _Toc7704166 \h </w:instrText>
      </w:r>
      <w:r>
        <w:rPr>
          <w:noProof/>
        </w:rPr>
      </w:r>
      <w:r>
        <w:rPr>
          <w:noProof/>
        </w:rPr>
        <w:fldChar w:fldCharType="separate"/>
      </w:r>
      <w:r>
        <w:rPr>
          <w:noProof/>
        </w:rPr>
        <w:t>iv</w:t>
      </w:r>
      <w:r>
        <w:rPr>
          <w:noProof/>
        </w:rPr>
        <w:fldChar w:fldCharType="end"/>
      </w:r>
    </w:p>
    <w:p w14:paraId="4DE67FE4" w14:textId="77777777" w:rsidR="00EE432A" w:rsidRDefault="00EE432A">
      <w:pPr>
        <w:pStyle w:val="TOC1"/>
        <w:rPr>
          <w:rFonts w:asciiTheme="minorHAnsi" w:eastAsiaTheme="minorEastAsia" w:hAnsiTheme="minorHAnsi" w:cstheme="minorBidi"/>
          <w:noProof/>
          <w:sz w:val="22"/>
          <w:szCs w:val="22"/>
          <w:lang w:eastAsia="en-NZ"/>
        </w:rPr>
      </w:pPr>
      <w:r>
        <w:rPr>
          <w:noProof/>
        </w:rPr>
        <w:t>Acknowledgements</w:t>
      </w:r>
      <w:r>
        <w:rPr>
          <w:noProof/>
        </w:rPr>
        <w:tab/>
      </w:r>
      <w:r>
        <w:rPr>
          <w:noProof/>
        </w:rPr>
        <w:fldChar w:fldCharType="begin"/>
      </w:r>
      <w:r>
        <w:rPr>
          <w:noProof/>
        </w:rPr>
        <w:instrText xml:space="preserve"> PAGEREF _Toc7704167 \h </w:instrText>
      </w:r>
      <w:r>
        <w:rPr>
          <w:noProof/>
        </w:rPr>
      </w:r>
      <w:r>
        <w:rPr>
          <w:noProof/>
        </w:rPr>
        <w:fldChar w:fldCharType="separate"/>
      </w:r>
      <w:r>
        <w:rPr>
          <w:noProof/>
        </w:rPr>
        <w:t>v</w:t>
      </w:r>
      <w:r>
        <w:rPr>
          <w:noProof/>
        </w:rPr>
        <w:fldChar w:fldCharType="end"/>
      </w:r>
    </w:p>
    <w:p w14:paraId="1EC52D5D" w14:textId="77777777" w:rsidR="00EE432A" w:rsidRDefault="00EE432A">
      <w:pPr>
        <w:pStyle w:val="TOC1"/>
        <w:rPr>
          <w:rFonts w:asciiTheme="minorHAnsi" w:eastAsiaTheme="minorEastAsia" w:hAnsiTheme="minorHAnsi" w:cstheme="minorBidi"/>
          <w:noProof/>
          <w:sz w:val="22"/>
          <w:szCs w:val="22"/>
          <w:lang w:eastAsia="en-NZ"/>
        </w:rPr>
      </w:pPr>
      <w:r>
        <w:rPr>
          <w:noProof/>
        </w:rPr>
        <w:t>Glossary</w:t>
      </w:r>
      <w:r>
        <w:rPr>
          <w:noProof/>
        </w:rPr>
        <w:tab/>
      </w:r>
      <w:r>
        <w:rPr>
          <w:noProof/>
        </w:rPr>
        <w:fldChar w:fldCharType="begin"/>
      </w:r>
      <w:r>
        <w:rPr>
          <w:noProof/>
        </w:rPr>
        <w:instrText xml:space="preserve"> PAGEREF _Toc7704168 \h </w:instrText>
      </w:r>
      <w:r>
        <w:rPr>
          <w:noProof/>
        </w:rPr>
      </w:r>
      <w:r>
        <w:rPr>
          <w:noProof/>
        </w:rPr>
        <w:fldChar w:fldCharType="separate"/>
      </w:r>
      <w:r>
        <w:rPr>
          <w:noProof/>
        </w:rPr>
        <w:t>v</w:t>
      </w:r>
      <w:r>
        <w:rPr>
          <w:noProof/>
        </w:rPr>
        <w:fldChar w:fldCharType="end"/>
      </w:r>
    </w:p>
    <w:p w14:paraId="0D6A12F8" w14:textId="77777777" w:rsidR="00EE432A" w:rsidRDefault="00EE432A">
      <w:pPr>
        <w:pStyle w:val="TOC1"/>
        <w:rPr>
          <w:rFonts w:asciiTheme="minorHAnsi" w:eastAsiaTheme="minorEastAsia" w:hAnsiTheme="minorHAnsi" w:cstheme="minorBidi"/>
          <w:noProof/>
          <w:sz w:val="22"/>
          <w:szCs w:val="22"/>
          <w:lang w:eastAsia="en-NZ"/>
        </w:rPr>
      </w:pPr>
      <w:r>
        <w:rPr>
          <w:noProof/>
        </w:rPr>
        <w:t>Introduction</w:t>
      </w:r>
      <w:r>
        <w:rPr>
          <w:noProof/>
        </w:rPr>
        <w:tab/>
      </w:r>
      <w:r>
        <w:rPr>
          <w:noProof/>
        </w:rPr>
        <w:fldChar w:fldCharType="begin"/>
      </w:r>
      <w:r>
        <w:rPr>
          <w:noProof/>
        </w:rPr>
        <w:instrText xml:space="preserve"> PAGEREF _Toc7704169 \h </w:instrText>
      </w:r>
      <w:r>
        <w:rPr>
          <w:noProof/>
        </w:rPr>
      </w:r>
      <w:r>
        <w:rPr>
          <w:noProof/>
        </w:rPr>
        <w:fldChar w:fldCharType="separate"/>
      </w:r>
      <w:r>
        <w:rPr>
          <w:noProof/>
        </w:rPr>
        <w:t>1</w:t>
      </w:r>
      <w:r>
        <w:rPr>
          <w:noProof/>
        </w:rPr>
        <w:fldChar w:fldCharType="end"/>
      </w:r>
    </w:p>
    <w:p w14:paraId="396660D4" w14:textId="77777777" w:rsidR="00EE432A" w:rsidRDefault="00EE432A">
      <w:pPr>
        <w:pStyle w:val="TOC2"/>
        <w:rPr>
          <w:rFonts w:asciiTheme="minorHAnsi" w:eastAsiaTheme="minorEastAsia" w:hAnsiTheme="minorHAnsi" w:cstheme="minorBidi"/>
          <w:noProof/>
          <w:szCs w:val="22"/>
          <w:lang w:eastAsia="en-NZ"/>
        </w:rPr>
      </w:pPr>
      <w:r>
        <w:rPr>
          <w:noProof/>
        </w:rPr>
        <w:t>Purpose</w:t>
      </w:r>
      <w:r>
        <w:rPr>
          <w:noProof/>
        </w:rPr>
        <w:tab/>
      </w:r>
      <w:r>
        <w:rPr>
          <w:noProof/>
        </w:rPr>
        <w:fldChar w:fldCharType="begin"/>
      </w:r>
      <w:r>
        <w:rPr>
          <w:noProof/>
        </w:rPr>
        <w:instrText xml:space="preserve"> PAGEREF _Toc7704170 \h </w:instrText>
      </w:r>
      <w:r>
        <w:rPr>
          <w:noProof/>
        </w:rPr>
      </w:r>
      <w:r>
        <w:rPr>
          <w:noProof/>
        </w:rPr>
        <w:fldChar w:fldCharType="separate"/>
      </w:r>
      <w:r>
        <w:rPr>
          <w:noProof/>
        </w:rPr>
        <w:t>1</w:t>
      </w:r>
      <w:r>
        <w:rPr>
          <w:noProof/>
        </w:rPr>
        <w:fldChar w:fldCharType="end"/>
      </w:r>
    </w:p>
    <w:p w14:paraId="279D695A" w14:textId="77777777" w:rsidR="00EE432A" w:rsidRDefault="00EE432A">
      <w:pPr>
        <w:pStyle w:val="TOC2"/>
        <w:rPr>
          <w:rFonts w:asciiTheme="minorHAnsi" w:eastAsiaTheme="minorEastAsia" w:hAnsiTheme="minorHAnsi" w:cstheme="minorBidi"/>
          <w:noProof/>
          <w:szCs w:val="22"/>
          <w:lang w:eastAsia="en-NZ"/>
        </w:rPr>
      </w:pPr>
      <w:r>
        <w:rPr>
          <w:noProof/>
          <w:lang w:eastAsia="en-NZ"/>
        </w:rPr>
        <w:t>Challenge</w:t>
      </w:r>
      <w:r>
        <w:rPr>
          <w:noProof/>
        </w:rPr>
        <w:tab/>
      </w:r>
      <w:r>
        <w:rPr>
          <w:noProof/>
        </w:rPr>
        <w:fldChar w:fldCharType="begin"/>
      </w:r>
      <w:r>
        <w:rPr>
          <w:noProof/>
        </w:rPr>
        <w:instrText xml:space="preserve"> PAGEREF _Toc7704171 \h </w:instrText>
      </w:r>
      <w:r>
        <w:rPr>
          <w:noProof/>
        </w:rPr>
      </w:r>
      <w:r>
        <w:rPr>
          <w:noProof/>
        </w:rPr>
        <w:fldChar w:fldCharType="separate"/>
      </w:r>
      <w:r>
        <w:rPr>
          <w:noProof/>
        </w:rPr>
        <w:t>2</w:t>
      </w:r>
      <w:r>
        <w:rPr>
          <w:noProof/>
        </w:rPr>
        <w:fldChar w:fldCharType="end"/>
      </w:r>
    </w:p>
    <w:p w14:paraId="5CDF6E58" w14:textId="77777777" w:rsidR="00EE432A" w:rsidRDefault="00EE432A">
      <w:pPr>
        <w:pStyle w:val="TOC2"/>
        <w:rPr>
          <w:rFonts w:asciiTheme="minorHAnsi" w:eastAsiaTheme="minorEastAsia" w:hAnsiTheme="minorHAnsi" w:cstheme="minorBidi"/>
          <w:noProof/>
          <w:szCs w:val="22"/>
          <w:lang w:eastAsia="en-NZ"/>
        </w:rPr>
      </w:pPr>
      <w:r>
        <w:rPr>
          <w:noProof/>
          <w:lang w:eastAsia="en-NZ"/>
        </w:rPr>
        <w:t>Objective</w:t>
      </w:r>
      <w:r>
        <w:rPr>
          <w:noProof/>
        </w:rPr>
        <w:tab/>
      </w:r>
      <w:r>
        <w:rPr>
          <w:noProof/>
        </w:rPr>
        <w:fldChar w:fldCharType="begin"/>
      </w:r>
      <w:r>
        <w:rPr>
          <w:noProof/>
        </w:rPr>
        <w:instrText xml:space="preserve"> PAGEREF _Toc7704172 \h </w:instrText>
      </w:r>
      <w:r>
        <w:rPr>
          <w:noProof/>
        </w:rPr>
      </w:r>
      <w:r>
        <w:rPr>
          <w:noProof/>
        </w:rPr>
        <w:fldChar w:fldCharType="separate"/>
      </w:r>
      <w:r>
        <w:rPr>
          <w:noProof/>
        </w:rPr>
        <w:t>2</w:t>
      </w:r>
      <w:r>
        <w:rPr>
          <w:noProof/>
        </w:rPr>
        <w:fldChar w:fldCharType="end"/>
      </w:r>
    </w:p>
    <w:p w14:paraId="02991F35" w14:textId="77777777" w:rsidR="00EE432A" w:rsidRDefault="00EE432A">
      <w:pPr>
        <w:pStyle w:val="TOC2"/>
        <w:rPr>
          <w:rFonts w:asciiTheme="minorHAnsi" w:eastAsiaTheme="minorEastAsia" w:hAnsiTheme="minorHAnsi" w:cstheme="minorBidi"/>
          <w:noProof/>
          <w:szCs w:val="22"/>
          <w:lang w:eastAsia="en-NZ"/>
        </w:rPr>
      </w:pPr>
      <w:r>
        <w:rPr>
          <w:noProof/>
        </w:rPr>
        <w:t>Access</w:t>
      </w:r>
      <w:r>
        <w:rPr>
          <w:noProof/>
        </w:rPr>
        <w:tab/>
      </w:r>
      <w:r>
        <w:rPr>
          <w:noProof/>
        </w:rPr>
        <w:fldChar w:fldCharType="begin"/>
      </w:r>
      <w:r>
        <w:rPr>
          <w:noProof/>
        </w:rPr>
        <w:instrText xml:space="preserve"> PAGEREF _Toc7704173 \h </w:instrText>
      </w:r>
      <w:r>
        <w:rPr>
          <w:noProof/>
        </w:rPr>
      </w:r>
      <w:r>
        <w:rPr>
          <w:noProof/>
        </w:rPr>
        <w:fldChar w:fldCharType="separate"/>
      </w:r>
      <w:r>
        <w:rPr>
          <w:noProof/>
        </w:rPr>
        <w:t>2</w:t>
      </w:r>
      <w:r>
        <w:rPr>
          <w:noProof/>
        </w:rPr>
        <w:fldChar w:fldCharType="end"/>
      </w:r>
    </w:p>
    <w:p w14:paraId="474EE3AF" w14:textId="77777777" w:rsidR="00EE432A" w:rsidRDefault="00EE432A">
      <w:pPr>
        <w:pStyle w:val="TOC2"/>
        <w:rPr>
          <w:rFonts w:asciiTheme="minorHAnsi" w:eastAsiaTheme="minorEastAsia" w:hAnsiTheme="minorHAnsi" w:cstheme="minorBidi"/>
          <w:noProof/>
          <w:szCs w:val="22"/>
          <w:lang w:eastAsia="en-NZ"/>
        </w:rPr>
      </w:pPr>
      <w:r>
        <w:rPr>
          <w:noProof/>
        </w:rPr>
        <w:t>Overview</w:t>
      </w:r>
      <w:r>
        <w:rPr>
          <w:noProof/>
        </w:rPr>
        <w:tab/>
      </w:r>
      <w:r>
        <w:rPr>
          <w:noProof/>
        </w:rPr>
        <w:fldChar w:fldCharType="begin"/>
      </w:r>
      <w:r>
        <w:rPr>
          <w:noProof/>
        </w:rPr>
        <w:instrText xml:space="preserve"> PAGEREF _Toc7704174 \h </w:instrText>
      </w:r>
      <w:r>
        <w:rPr>
          <w:noProof/>
        </w:rPr>
      </w:r>
      <w:r>
        <w:rPr>
          <w:noProof/>
        </w:rPr>
        <w:fldChar w:fldCharType="separate"/>
      </w:r>
      <w:r>
        <w:rPr>
          <w:noProof/>
        </w:rPr>
        <w:t>2</w:t>
      </w:r>
      <w:r>
        <w:rPr>
          <w:noProof/>
        </w:rPr>
        <w:fldChar w:fldCharType="end"/>
      </w:r>
    </w:p>
    <w:p w14:paraId="38818998" w14:textId="77777777" w:rsidR="00EE432A" w:rsidRDefault="00EE432A">
      <w:pPr>
        <w:pStyle w:val="TOC1"/>
        <w:rPr>
          <w:rFonts w:asciiTheme="minorHAnsi" w:eastAsiaTheme="minorEastAsia" w:hAnsiTheme="minorHAnsi" w:cstheme="minorBidi"/>
          <w:noProof/>
          <w:sz w:val="22"/>
          <w:szCs w:val="22"/>
          <w:lang w:eastAsia="en-NZ"/>
        </w:rPr>
      </w:pPr>
      <w:r>
        <w:rPr>
          <w:noProof/>
        </w:rPr>
        <w:t>Wahakura</w:t>
      </w:r>
      <w:r>
        <w:rPr>
          <w:noProof/>
        </w:rPr>
        <w:tab/>
      </w:r>
      <w:r>
        <w:rPr>
          <w:noProof/>
        </w:rPr>
        <w:fldChar w:fldCharType="begin"/>
      </w:r>
      <w:r>
        <w:rPr>
          <w:noProof/>
        </w:rPr>
        <w:instrText xml:space="preserve"> PAGEREF _Toc7704175 \h </w:instrText>
      </w:r>
      <w:r>
        <w:rPr>
          <w:noProof/>
        </w:rPr>
      </w:r>
      <w:r>
        <w:rPr>
          <w:noProof/>
        </w:rPr>
        <w:fldChar w:fldCharType="separate"/>
      </w:r>
      <w:r>
        <w:rPr>
          <w:noProof/>
        </w:rPr>
        <w:t>3</w:t>
      </w:r>
      <w:r>
        <w:rPr>
          <w:noProof/>
        </w:rPr>
        <w:fldChar w:fldCharType="end"/>
      </w:r>
    </w:p>
    <w:p w14:paraId="5C884E9B" w14:textId="77777777" w:rsidR="00EE432A" w:rsidRDefault="00EE432A">
      <w:pPr>
        <w:pStyle w:val="TOC2"/>
        <w:rPr>
          <w:rFonts w:asciiTheme="minorHAnsi" w:eastAsiaTheme="minorEastAsia" w:hAnsiTheme="minorHAnsi" w:cstheme="minorBidi"/>
          <w:noProof/>
          <w:szCs w:val="22"/>
          <w:lang w:eastAsia="en-NZ"/>
        </w:rPr>
      </w:pPr>
      <w:r>
        <w:rPr>
          <w:noProof/>
        </w:rPr>
        <w:t>W</w:t>
      </w:r>
      <w:r w:rsidRPr="00AD4011">
        <w:rPr>
          <w:rFonts w:cstheme="minorHAnsi"/>
          <w:noProof/>
        </w:rPr>
        <w:t>ā</w:t>
      </w:r>
      <w:r>
        <w:rPr>
          <w:noProof/>
        </w:rPr>
        <w:t>nanga wahakura</w:t>
      </w:r>
      <w:r>
        <w:rPr>
          <w:noProof/>
        </w:rPr>
        <w:tab/>
      </w:r>
      <w:r>
        <w:rPr>
          <w:noProof/>
        </w:rPr>
        <w:fldChar w:fldCharType="begin"/>
      </w:r>
      <w:r>
        <w:rPr>
          <w:noProof/>
        </w:rPr>
        <w:instrText xml:space="preserve"> PAGEREF _Toc7704176 \h </w:instrText>
      </w:r>
      <w:r>
        <w:rPr>
          <w:noProof/>
        </w:rPr>
      </w:r>
      <w:r>
        <w:rPr>
          <w:noProof/>
        </w:rPr>
        <w:fldChar w:fldCharType="separate"/>
      </w:r>
      <w:r>
        <w:rPr>
          <w:noProof/>
        </w:rPr>
        <w:t>3</w:t>
      </w:r>
      <w:r>
        <w:rPr>
          <w:noProof/>
        </w:rPr>
        <w:fldChar w:fldCharType="end"/>
      </w:r>
    </w:p>
    <w:p w14:paraId="743C6799" w14:textId="77777777" w:rsidR="00EE432A" w:rsidRDefault="00EE432A">
      <w:pPr>
        <w:pStyle w:val="TOC1"/>
        <w:rPr>
          <w:rFonts w:asciiTheme="minorHAnsi" w:eastAsiaTheme="minorEastAsia" w:hAnsiTheme="minorHAnsi" w:cstheme="minorBidi"/>
          <w:noProof/>
          <w:sz w:val="22"/>
          <w:szCs w:val="22"/>
          <w:lang w:eastAsia="en-NZ"/>
        </w:rPr>
      </w:pPr>
      <w:r>
        <w:rPr>
          <w:noProof/>
        </w:rPr>
        <w:t>Pēpi-Pod®</w:t>
      </w:r>
      <w:r>
        <w:rPr>
          <w:noProof/>
        </w:rPr>
        <w:tab/>
      </w:r>
      <w:r>
        <w:rPr>
          <w:noProof/>
        </w:rPr>
        <w:fldChar w:fldCharType="begin"/>
      </w:r>
      <w:r>
        <w:rPr>
          <w:noProof/>
        </w:rPr>
        <w:instrText xml:space="preserve"> PAGEREF _Toc7704177 \h </w:instrText>
      </w:r>
      <w:r>
        <w:rPr>
          <w:noProof/>
        </w:rPr>
      </w:r>
      <w:r>
        <w:rPr>
          <w:noProof/>
        </w:rPr>
        <w:fldChar w:fldCharType="separate"/>
      </w:r>
      <w:r>
        <w:rPr>
          <w:noProof/>
        </w:rPr>
        <w:t>4</w:t>
      </w:r>
      <w:r>
        <w:rPr>
          <w:noProof/>
        </w:rPr>
        <w:fldChar w:fldCharType="end"/>
      </w:r>
    </w:p>
    <w:p w14:paraId="4C5F49E0" w14:textId="77777777" w:rsidR="00EE432A" w:rsidRDefault="00EE432A">
      <w:pPr>
        <w:pStyle w:val="TOC1"/>
        <w:rPr>
          <w:rFonts w:asciiTheme="minorHAnsi" w:eastAsiaTheme="minorEastAsia" w:hAnsiTheme="minorHAnsi" w:cstheme="minorBidi"/>
          <w:noProof/>
          <w:sz w:val="22"/>
          <w:szCs w:val="22"/>
          <w:lang w:eastAsia="en-NZ"/>
        </w:rPr>
      </w:pPr>
      <w:r>
        <w:rPr>
          <w:noProof/>
        </w:rPr>
        <w:t>Baby Box</w:t>
      </w:r>
      <w:r>
        <w:rPr>
          <w:noProof/>
        </w:rPr>
        <w:tab/>
      </w:r>
      <w:r>
        <w:rPr>
          <w:noProof/>
        </w:rPr>
        <w:fldChar w:fldCharType="begin"/>
      </w:r>
      <w:r>
        <w:rPr>
          <w:noProof/>
        </w:rPr>
        <w:instrText xml:space="preserve"> PAGEREF _Toc7704178 \h </w:instrText>
      </w:r>
      <w:r>
        <w:rPr>
          <w:noProof/>
        </w:rPr>
      </w:r>
      <w:r>
        <w:rPr>
          <w:noProof/>
        </w:rPr>
        <w:fldChar w:fldCharType="separate"/>
      </w:r>
      <w:r>
        <w:rPr>
          <w:noProof/>
        </w:rPr>
        <w:t>5</w:t>
      </w:r>
      <w:r>
        <w:rPr>
          <w:noProof/>
        </w:rPr>
        <w:fldChar w:fldCharType="end"/>
      </w:r>
    </w:p>
    <w:p w14:paraId="7EA1E26C" w14:textId="77777777" w:rsidR="00EE432A" w:rsidRDefault="00EE432A">
      <w:pPr>
        <w:pStyle w:val="TOC1"/>
        <w:rPr>
          <w:rFonts w:asciiTheme="minorHAnsi" w:eastAsiaTheme="minorEastAsia" w:hAnsiTheme="minorHAnsi" w:cstheme="minorBidi"/>
          <w:noProof/>
          <w:sz w:val="22"/>
          <w:szCs w:val="22"/>
          <w:lang w:eastAsia="en-NZ"/>
        </w:rPr>
      </w:pPr>
      <w:r>
        <w:rPr>
          <w:noProof/>
        </w:rPr>
        <w:t>Design and construction of the Pēpi-Pod® and wahakura</w:t>
      </w:r>
      <w:r>
        <w:rPr>
          <w:noProof/>
        </w:rPr>
        <w:tab/>
      </w:r>
      <w:r>
        <w:rPr>
          <w:noProof/>
        </w:rPr>
        <w:fldChar w:fldCharType="begin"/>
      </w:r>
      <w:r>
        <w:rPr>
          <w:noProof/>
        </w:rPr>
        <w:instrText xml:space="preserve"> PAGEREF _Toc7704179 \h </w:instrText>
      </w:r>
      <w:r>
        <w:rPr>
          <w:noProof/>
        </w:rPr>
      </w:r>
      <w:r>
        <w:rPr>
          <w:noProof/>
        </w:rPr>
        <w:fldChar w:fldCharType="separate"/>
      </w:r>
      <w:r>
        <w:rPr>
          <w:noProof/>
        </w:rPr>
        <w:t>6</w:t>
      </w:r>
      <w:r>
        <w:rPr>
          <w:noProof/>
        </w:rPr>
        <w:fldChar w:fldCharType="end"/>
      </w:r>
    </w:p>
    <w:p w14:paraId="23785773" w14:textId="77777777" w:rsidR="00EE432A" w:rsidRDefault="00EE432A">
      <w:pPr>
        <w:pStyle w:val="TOC2"/>
        <w:rPr>
          <w:rFonts w:asciiTheme="minorHAnsi" w:eastAsiaTheme="minorEastAsia" w:hAnsiTheme="minorHAnsi" w:cstheme="minorBidi"/>
          <w:noProof/>
          <w:szCs w:val="22"/>
          <w:lang w:eastAsia="en-NZ"/>
        </w:rPr>
      </w:pPr>
      <w:r w:rsidRPr="00AD4011">
        <w:rPr>
          <w:rFonts w:eastAsia="Calibri"/>
          <w:noProof/>
        </w:rPr>
        <w:t>Regional design and construction differences</w:t>
      </w:r>
      <w:r>
        <w:rPr>
          <w:noProof/>
        </w:rPr>
        <w:tab/>
      </w:r>
      <w:r>
        <w:rPr>
          <w:noProof/>
        </w:rPr>
        <w:fldChar w:fldCharType="begin"/>
      </w:r>
      <w:r>
        <w:rPr>
          <w:noProof/>
        </w:rPr>
        <w:instrText xml:space="preserve"> PAGEREF _Toc7704180 \h </w:instrText>
      </w:r>
      <w:r>
        <w:rPr>
          <w:noProof/>
        </w:rPr>
      </w:r>
      <w:r>
        <w:rPr>
          <w:noProof/>
        </w:rPr>
        <w:fldChar w:fldCharType="separate"/>
      </w:r>
      <w:r>
        <w:rPr>
          <w:noProof/>
        </w:rPr>
        <w:t>7</w:t>
      </w:r>
      <w:r>
        <w:rPr>
          <w:noProof/>
        </w:rPr>
        <w:fldChar w:fldCharType="end"/>
      </w:r>
    </w:p>
    <w:p w14:paraId="5ABFA753" w14:textId="77777777" w:rsidR="00EE432A" w:rsidRDefault="00EE432A">
      <w:pPr>
        <w:pStyle w:val="TOC1"/>
        <w:rPr>
          <w:rFonts w:asciiTheme="minorHAnsi" w:eastAsiaTheme="minorEastAsia" w:hAnsiTheme="minorHAnsi" w:cstheme="minorBidi"/>
          <w:noProof/>
          <w:sz w:val="22"/>
          <w:szCs w:val="22"/>
          <w:lang w:eastAsia="en-NZ"/>
        </w:rPr>
      </w:pPr>
      <w:r w:rsidRPr="00AD4011">
        <w:rPr>
          <w:rFonts w:eastAsia="Calibri"/>
          <w:noProof/>
        </w:rPr>
        <w:t>Bassinets</w:t>
      </w:r>
      <w:r>
        <w:rPr>
          <w:noProof/>
        </w:rPr>
        <w:tab/>
      </w:r>
      <w:r>
        <w:rPr>
          <w:noProof/>
        </w:rPr>
        <w:fldChar w:fldCharType="begin"/>
      </w:r>
      <w:r>
        <w:rPr>
          <w:noProof/>
        </w:rPr>
        <w:instrText xml:space="preserve"> PAGEREF _Toc7704181 \h </w:instrText>
      </w:r>
      <w:r>
        <w:rPr>
          <w:noProof/>
        </w:rPr>
      </w:r>
      <w:r>
        <w:rPr>
          <w:noProof/>
        </w:rPr>
        <w:fldChar w:fldCharType="separate"/>
      </w:r>
      <w:r>
        <w:rPr>
          <w:noProof/>
        </w:rPr>
        <w:t>9</w:t>
      </w:r>
      <w:r>
        <w:rPr>
          <w:noProof/>
        </w:rPr>
        <w:fldChar w:fldCharType="end"/>
      </w:r>
    </w:p>
    <w:p w14:paraId="0582FF1C" w14:textId="77777777" w:rsidR="00EE432A" w:rsidRDefault="00EE432A">
      <w:pPr>
        <w:pStyle w:val="TOC1"/>
        <w:rPr>
          <w:rFonts w:asciiTheme="minorHAnsi" w:eastAsiaTheme="minorEastAsia" w:hAnsiTheme="minorHAnsi" w:cstheme="minorBidi"/>
          <w:noProof/>
          <w:sz w:val="22"/>
          <w:szCs w:val="22"/>
          <w:lang w:eastAsia="en-NZ"/>
        </w:rPr>
      </w:pPr>
      <w:r w:rsidRPr="00AD4011">
        <w:rPr>
          <w:rFonts w:eastAsia="Calibri"/>
          <w:noProof/>
        </w:rPr>
        <w:t>Other sleeping devices</w:t>
      </w:r>
      <w:r>
        <w:rPr>
          <w:noProof/>
        </w:rPr>
        <w:tab/>
      </w:r>
      <w:r>
        <w:rPr>
          <w:noProof/>
        </w:rPr>
        <w:fldChar w:fldCharType="begin"/>
      </w:r>
      <w:r>
        <w:rPr>
          <w:noProof/>
        </w:rPr>
        <w:instrText xml:space="preserve"> PAGEREF _Toc7704182 \h </w:instrText>
      </w:r>
      <w:r>
        <w:rPr>
          <w:noProof/>
        </w:rPr>
      </w:r>
      <w:r>
        <w:rPr>
          <w:noProof/>
        </w:rPr>
        <w:fldChar w:fldCharType="separate"/>
      </w:r>
      <w:r>
        <w:rPr>
          <w:noProof/>
        </w:rPr>
        <w:t>10</w:t>
      </w:r>
      <w:r>
        <w:rPr>
          <w:noProof/>
        </w:rPr>
        <w:fldChar w:fldCharType="end"/>
      </w:r>
    </w:p>
    <w:p w14:paraId="0D81947D" w14:textId="77777777" w:rsidR="00EE432A" w:rsidRDefault="00EE432A">
      <w:pPr>
        <w:pStyle w:val="TOC1"/>
        <w:rPr>
          <w:rFonts w:asciiTheme="minorHAnsi" w:eastAsiaTheme="minorEastAsia" w:hAnsiTheme="minorHAnsi" w:cstheme="minorBidi"/>
          <w:noProof/>
          <w:sz w:val="22"/>
          <w:szCs w:val="22"/>
          <w:lang w:eastAsia="en-NZ"/>
        </w:rPr>
      </w:pPr>
      <w:r>
        <w:rPr>
          <w:noProof/>
        </w:rPr>
        <w:t>Appendix 1: Safety standards and regulations for safe sleep devices</w:t>
      </w:r>
      <w:r>
        <w:rPr>
          <w:noProof/>
        </w:rPr>
        <w:tab/>
      </w:r>
      <w:r>
        <w:rPr>
          <w:noProof/>
        </w:rPr>
        <w:fldChar w:fldCharType="begin"/>
      </w:r>
      <w:r>
        <w:rPr>
          <w:noProof/>
        </w:rPr>
        <w:instrText xml:space="preserve"> PAGEREF _Toc7704183 \h </w:instrText>
      </w:r>
      <w:r>
        <w:rPr>
          <w:noProof/>
        </w:rPr>
      </w:r>
      <w:r>
        <w:rPr>
          <w:noProof/>
        </w:rPr>
        <w:fldChar w:fldCharType="separate"/>
      </w:r>
      <w:r>
        <w:rPr>
          <w:noProof/>
        </w:rPr>
        <w:t>11</w:t>
      </w:r>
      <w:r>
        <w:rPr>
          <w:noProof/>
        </w:rPr>
        <w:fldChar w:fldCharType="end"/>
      </w:r>
    </w:p>
    <w:p w14:paraId="3F2A458B" w14:textId="77777777" w:rsidR="00EE432A" w:rsidRDefault="00EE432A">
      <w:pPr>
        <w:pStyle w:val="TOC2"/>
        <w:rPr>
          <w:rFonts w:asciiTheme="minorHAnsi" w:eastAsiaTheme="minorEastAsia" w:hAnsiTheme="minorHAnsi" w:cstheme="minorBidi"/>
          <w:noProof/>
          <w:szCs w:val="22"/>
          <w:lang w:eastAsia="en-NZ"/>
        </w:rPr>
      </w:pPr>
      <w:r>
        <w:rPr>
          <w:noProof/>
        </w:rPr>
        <w:t>Safe sleep device standards</w:t>
      </w:r>
      <w:r>
        <w:rPr>
          <w:noProof/>
        </w:rPr>
        <w:tab/>
      </w:r>
      <w:r>
        <w:rPr>
          <w:noProof/>
        </w:rPr>
        <w:fldChar w:fldCharType="begin"/>
      </w:r>
      <w:r>
        <w:rPr>
          <w:noProof/>
        </w:rPr>
        <w:instrText xml:space="preserve"> PAGEREF _Toc7704184 \h </w:instrText>
      </w:r>
      <w:r>
        <w:rPr>
          <w:noProof/>
        </w:rPr>
      </w:r>
      <w:r>
        <w:rPr>
          <w:noProof/>
        </w:rPr>
        <w:fldChar w:fldCharType="separate"/>
      </w:r>
      <w:r>
        <w:rPr>
          <w:noProof/>
        </w:rPr>
        <w:t>11</w:t>
      </w:r>
      <w:r>
        <w:rPr>
          <w:noProof/>
        </w:rPr>
        <w:fldChar w:fldCharType="end"/>
      </w:r>
    </w:p>
    <w:p w14:paraId="53BABFEF" w14:textId="77777777" w:rsidR="00EE432A" w:rsidRDefault="00EE432A">
      <w:pPr>
        <w:pStyle w:val="TOC2"/>
        <w:rPr>
          <w:rFonts w:asciiTheme="minorHAnsi" w:eastAsiaTheme="minorEastAsia" w:hAnsiTheme="minorHAnsi" w:cstheme="minorBidi"/>
          <w:noProof/>
          <w:szCs w:val="22"/>
          <w:lang w:eastAsia="en-NZ"/>
        </w:rPr>
      </w:pPr>
      <w:r>
        <w:rPr>
          <w:noProof/>
        </w:rPr>
        <w:t>Websites with information on regulations and safety standards</w:t>
      </w:r>
      <w:r>
        <w:rPr>
          <w:noProof/>
        </w:rPr>
        <w:tab/>
      </w:r>
      <w:r>
        <w:rPr>
          <w:noProof/>
        </w:rPr>
        <w:fldChar w:fldCharType="begin"/>
      </w:r>
      <w:r>
        <w:rPr>
          <w:noProof/>
        </w:rPr>
        <w:instrText xml:space="preserve"> PAGEREF _Toc7704185 \h </w:instrText>
      </w:r>
      <w:r>
        <w:rPr>
          <w:noProof/>
        </w:rPr>
      </w:r>
      <w:r>
        <w:rPr>
          <w:noProof/>
        </w:rPr>
        <w:fldChar w:fldCharType="separate"/>
      </w:r>
      <w:r>
        <w:rPr>
          <w:noProof/>
        </w:rPr>
        <w:t>11</w:t>
      </w:r>
      <w:r>
        <w:rPr>
          <w:noProof/>
        </w:rPr>
        <w:fldChar w:fldCharType="end"/>
      </w:r>
    </w:p>
    <w:p w14:paraId="3E6216E1" w14:textId="77777777" w:rsidR="00EE432A" w:rsidRDefault="00EE432A">
      <w:pPr>
        <w:pStyle w:val="TOC2"/>
        <w:rPr>
          <w:rFonts w:asciiTheme="minorHAnsi" w:eastAsiaTheme="minorEastAsia" w:hAnsiTheme="minorHAnsi" w:cstheme="minorBidi"/>
          <w:noProof/>
          <w:szCs w:val="22"/>
          <w:lang w:eastAsia="en-NZ"/>
        </w:rPr>
      </w:pPr>
      <w:r>
        <w:rPr>
          <w:noProof/>
        </w:rPr>
        <w:t>Risk assessment of heavy metals in wahakura</w:t>
      </w:r>
      <w:r>
        <w:rPr>
          <w:noProof/>
        </w:rPr>
        <w:tab/>
      </w:r>
      <w:r>
        <w:rPr>
          <w:noProof/>
        </w:rPr>
        <w:fldChar w:fldCharType="begin"/>
      </w:r>
      <w:r>
        <w:rPr>
          <w:noProof/>
        </w:rPr>
        <w:instrText xml:space="preserve"> PAGEREF _Toc7704186 \h </w:instrText>
      </w:r>
      <w:r>
        <w:rPr>
          <w:noProof/>
        </w:rPr>
      </w:r>
      <w:r>
        <w:rPr>
          <w:noProof/>
        </w:rPr>
        <w:fldChar w:fldCharType="separate"/>
      </w:r>
      <w:r>
        <w:rPr>
          <w:noProof/>
        </w:rPr>
        <w:t>12</w:t>
      </w:r>
      <w:r>
        <w:rPr>
          <w:noProof/>
        </w:rPr>
        <w:fldChar w:fldCharType="end"/>
      </w:r>
    </w:p>
    <w:p w14:paraId="54149486" w14:textId="77777777" w:rsidR="00EE432A" w:rsidRDefault="00EE432A">
      <w:pPr>
        <w:pStyle w:val="TOC1"/>
        <w:rPr>
          <w:rFonts w:asciiTheme="minorHAnsi" w:eastAsiaTheme="minorEastAsia" w:hAnsiTheme="minorHAnsi" w:cstheme="minorBidi"/>
          <w:noProof/>
          <w:sz w:val="22"/>
          <w:szCs w:val="22"/>
          <w:lang w:eastAsia="en-NZ"/>
        </w:rPr>
      </w:pPr>
      <w:r>
        <w:rPr>
          <w:noProof/>
        </w:rPr>
        <w:t>Appendix 2: Summary of guidelines for weaving a wahakura</w:t>
      </w:r>
      <w:r>
        <w:rPr>
          <w:noProof/>
        </w:rPr>
        <w:tab/>
      </w:r>
      <w:r>
        <w:rPr>
          <w:noProof/>
        </w:rPr>
        <w:fldChar w:fldCharType="begin"/>
      </w:r>
      <w:r>
        <w:rPr>
          <w:noProof/>
        </w:rPr>
        <w:instrText xml:space="preserve"> PAGEREF _Toc7704187 \h </w:instrText>
      </w:r>
      <w:r>
        <w:rPr>
          <w:noProof/>
        </w:rPr>
      </w:r>
      <w:r>
        <w:rPr>
          <w:noProof/>
        </w:rPr>
        <w:fldChar w:fldCharType="separate"/>
      </w:r>
      <w:r>
        <w:rPr>
          <w:noProof/>
        </w:rPr>
        <w:t>13</w:t>
      </w:r>
      <w:r>
        <w:rPr>
          <w:noProof/>
        </w:rPr>
        <w:fldChar w:fldCharType="end"/>
      </w:r>
    </w:p>
    <w:p w14:paraId="3492A9E7" w14:textId="77777777" w:rsidR="00EE432A" w:rsidRDefault="00EE432A">
      <w:pPr>
        <w:pStyle w:val="TOC1"/>
        <w:rPr>
          <w:rFonts w:asciiTheme="minorHAnsi" w:eastAsiaTheme="minorEastAsia" w:hAnsiTheme="minorHAnsi" w:cstheme="minorBidi"/>
          <w:noProof/>
          <w:sz w:val="22"/>
          <w:szCs w:val="22"/>
          <w:lang w:eastAsia="en-NZ"/>
        </w:rPr>
      </w:pPr>
      <w:r>
        <w:rPr>
          <w:noProof/>
        </w:rPr>
        <w:t>Appendix 3: Cleaning and disinfecting a Pēpi-Pod®</w:t>
      </w:r>
      <w:r>
        <w:rPr>
          <w:noProof/>
        </w:rPr>
        <w:tab/>
      </w:r>
      <w:r>
        <w:rPr>
          <w:noProof/>
        </w:rPr>
        <w:fldChar w:fldCharType="begin"/>
      </w:r>
      <w:r>
        <w:rPr>
          <w:noProof/>
        </w:rPr>
        <w:instrText xml:space="preserve"> PAGEREF _Toc7704188 \h </w:instrText>
      </w:r>
      <w:r>
        <w:rPr>
          <w:noProof/>
        </w:rPr>
      </w:r>
      <w:r>
        <w:rPr>
          <w:noProof/>
        </w:rPr>
        <w:fldChar w:fldCharType="separate"/>
      </w:r>
      <w:r>
        <w:rPr>
          <w:noProof/>
        </w:rPr>
        <w:t>15</w:t>
      </w:r>
      <w:r>
        <w:rPr>
          <w:noProof/>
        </w:rPr>
        <w:fldChar w:fldCharType="end"/>
      </w:r>
    </w:p>
    <w:p w14:paraId="798CD8DC" w14:textId="77777777" w:rsidR="00EE432A" w:rsidRDefault="00EE432A">
      <w:pPr>
        <w:pStyle w:val="TOC2"/>
        <w:rPr>
          <w:rFonts w:asciiTheme="minorHAnsi" w:eastAsiaTheme="minorEastAsia" w:hAnsiTheme="minorHAnsi" w:cstheme="minorBidi"/>
          <w:noProof/>
          <w:szCs w:val="22"/>
          <w:lang w:eastAsia="en-NZ"/>
        </w:rPr>
      </w:pPr>
      <w:r>
        <w:rPr>
          <w:noProof/>
        </w:rPr>
        <w:t>Cleaning</w:t>
      </w:r>
      <w:r>
        <w:rPr>
          <w:noProof/>
        </w:rPr>
        <w:tab/>
      </w:r>
      <w:r>
        <w:rPr>
          <w:noProof/>
        </w:rPr>
        <w:fldChar w:fldCharType="begin"/>
      </w:r>
      <w:r>
        <w:rPr>
          <w:noProof/>
        </w:rPr>
        <w:instrText xml:space="preserve"> PAGEREF _Toc7704189 \h </w:instrText>
      </w:r>
      <w:r>
        <w:rPr>
          <w:noProof/>
        </w:rPr>
      </w:r>
      <w:r>
        <w:rPr>
          <w:noProof/>
        </w:rPr>
        <w:fldChar w:fldCharType="separate"/>
      </w:r>
      <w:r>
        <w:rPr>
          <w:noProof/>
        </w:rPr>
        <w:t>15</w:t>
      </w:r>
      <w:r>
        <w:rPr>
          <w:noProof/>
        </w:rPr>
        <w:fldChar w:fldCharType="end"/>
      </w:r>
    </w:p>
    <w:p w14:paraId="2B6856E0" w14:textId="77777777" w:rsidR="00EE432A" w:rsidRDefault="00EE432A">
      <w:pPr>
        <w:pStyle w:val="TOC2"/>
        <w:rPr>
          <w:rFonts w:asciiTheme="minorHAnsi" w:eastAsiaTheme="minorEastAsia" w:hAnsiTheme="minorHAnsi" w:cstheme="minorBidi"/>
          <w:noProof/>
          <w:szCs w:val="22"/>
          <w:lang w:eastAsia="en-NZ"/>
        </w:rPr>
      </w:pPr>
      <w:r>
        <w:rPr>
          <w:noProof/>
        </w:rPr>
        <w:t>Disinfecting</w:t>
      </w:r>
      <w:r>
        <w:rPr>
          <w:noProof/>
        </w:rPr>
        <w:tab/>
      </w:r>
      <w:r>
        <w:rPr>
          <w:noProof/>
        </w:rPr>
        <w:fldChar w:fldCharType="begin"/>
      </w:r>
      <w:r>
        <w:rPr>
          <w:noProof/>
        </w:rPr>
        <w:instrText xml:space="preserve"> PAGEREF _Toc7704190 \h </w:instrText>
      </w:r>
      <w:r>
        <w:rPr>
          <w:noProof/>
        </w:rPr>
      </w:r>
      <w:r>
        <w:rPr>
          <w:noProof/>
        </w:rPr>
        <w:fldChar w:fldCharType="separate"/>
      </w:r>
      <w:r>
        <w:rPr>
          <w:noProof/>
        </w:rPr>
        <w:t>15</w:t>
      </w:r>
      <w:r>
        <w:rPr>
          <w:noProof/>
        </w:rPr>
        <w:fldChar w:fldCharType="end"/>
      </w:r>
    </w:p>
    <w:p w14:paraId="5CD99907" w14:textId="77777777" w:rsidR="00EE432A" w:rsidRDefault="00EE432A">
      <w:pPr>
        <w:pStyle w:val="TOC1"/>
        <w:rPr>
          <w:rFonts w:asciiTheme="minorHAnsi" w:eastAsiaTheme="minorEastAsia" w:hAnsiTheme="minorHAnsi" w:cstheme="minorBidi"/>
          <w:noProof/>
          <w:sz w:val="22"/>
          <w:szCs w:val="22"/>
          <w:lang w:eastAsia="en-NZ"/>
        </w:rPr>
      </w:pPr>
      <w:r>
        <w:rPr>
          <w:noProof/>
        </w:rPr>
        <w:lastRenderedPageBreak/>
        <w:t>Appendix 4: Regional differences in the design and style of wahakura</w:t>
      </w:r>
      <w:r>
        <w:rPr>
          <w:noProof/>
        </w:rPr>
        <w:tab/>
      </w:r>
      <w:r>
        <w:rPr>
          <w:noProof/>
        </w:rPr>
        <w:fldChar w:fldCharType="begin"/>
      </w:r>
      <w:r>
        <w:rPr>
          <w:noProof/>
        </w:rPr>
        <w:instrText xml:space="preserve"> PAGEREF _Toc7704191 \h </w:instrText>
      </w:r>
      <w:r>
        <w:rPr>
          <w:noProof/>
        </w:rPr>
      </w:r>
      <w:r>
        <w:rPr>
          <w:noProof/>
        </w:rPr>
        <w:fldChar w:fldCharType="separate"/>
      </w:r>
      <w:r>
        <w:rPr>
          <w:noProof/>
        </w:rPr>
        <w:t>18</w:t>
      </w:r>
      <w:r>
        <w:rPr>
          <w:noProof/>
        </w:rPr>
        <w:fldChar w:fldCharType="end"/>
      </w:r>
    </w:p>
    <w:p w14:paraId="22D09097" w14:textId="77777777" w:rsidR="00EE432A" w:rsidRDefault="00EE432A">
      <w:pPr>
        <w:pStyle w:val="TOC2"/>
        <w:rPr>
          <w:rFonts w:asciiTheme="minorHAnsi" w:eastAsiaTheme="minorEastAsia" w:hAnsiTheme="minorHAnsi" w:cstheme="minorBidi"/>
          <w:noProof/>
          <w:szCs w:val="22"/>
          <w:lang w:eastAsia="en-NZ"/>
        </w:rPr>
      </w:pPr>
      <w:r>
        <w:rPr>
          <w:noProof/>
        </w:rPr>
        <w:t>Northern region</w:t>
      </w:r>
      <w:r>
        <w:rPr>
          <w:noProof/>
        </w:rPr>
        <w:tab/>
      </w:r>
      <w:r>
        <w:rPr>
          <w:noProof/>
        </w:rPr>
        <w:fldChar w:fldCharType="begin"/>
      </w:r>
      <w:r>
        <w:rPr>
          <w:noProof/>
        </w:rPr>
        <w:instrText xml:space="preserve"> PAGEREF _Toc7704192 \h </w:instrText>
      </w:r>
      <w:r>
        <w:rPr>
          <w:noProof/>
        </w:rPr>
      </w:r>
      <w:r>
        <w:rPr>
          <w:noProof/>
        </w:rPr>
        <w:fldChar w:fldCharType="separate"/>
      </w:r>
      <w:r>
        <w:rPr>
          <w:noProof/>
        </w:rPr>
        <w:t>18</w:t>
      </w:r>
      <w:r>
        <w:rPr>
          <w:noProof/>
        </w:rPr>
        <w:fldChar w:fldCharType="end"/>
      </w:r>
    </w:p>
    <w:p w14:paraId="3647ABAD" w14:textId="77777777" w:rsidR="00EE432A" w:rsidRDefault="00EE432A">
      <w:pPr>
        <w:pStyle w:val="TOC2"/>
        <w:rPr>
          <w:rFonts w:asciiTheme="minorHAnsi" w:eastAsiaTheme="minorEastAsia" w:hAnsiTheme="minorHAnsi" w:cstheme="minorBidi"/>
          <w:noProof/>
          <w:szCs w:val="22"/>
          <w:lang w:eastAsia="en-NZ"/>
        </w:rPr>
      </w:pPr>
      <w:r>
        <w:rPr>
          <w:noProof/>
        </w:rPr>
        <w:t>Midland and Central regions</w:t>
      </w:r>
      <w:r>
        <w:rPr>
          <w:noProof/>
        </w:rPr>
        <w:tab/>
      </w:r>
      <w:r>
        <w:rPr>
          <w:noProof/>
        </w:rPr>
        <w:fldChar w:fldCharType="begin"/>
      </w:r>
      <w:r>
        <w:rPr>
          <w:noProof/>
        </w:rPr>
        <w:instrText xml:space="preserve"> PAGEREF _Toc7704193 \h </w:instrText>
      </w:r>
      <w:r>
        <w:rPr>
          <w:noProof/>
        </w:rPr>
      </w:r>
      <w:r>
        <w:rPr>
          <w:noProof/>
        </w:rPr>
        <w:fldChar w:fldCharType="separate"/>
      </w:r>
      <w:r>
        <w:rPr>
          <w:noProof/>
        </w:rPr>
        <w:t>19</w:t>
      </w:r>
      <w:r>
        <w:rPr>
          <w:noProof/>
        </w:rPr>
        <w:fldChar w:fldCharType="end"/>
      </w:r>
    </w:p>
    <w:p w14:paraId="4EE0D3BC" w14:textId="77777777" w:rsidR="00C86248" w:rsidRDefault="00C86248" w:rsidP="00005657">
      <w:r>
        <w:fldChar w:fldCharType="end"/>
      </w:r>
    </w:p>
    <w:p w14:paraId="2227AB44" w14:textId="77777777" w:rsidR="00882DC6" w:rsidRDefault="00882DC6" w:rsidP="00991B9D">
      <w:pPr>
        <w:pStyle w:val="TOC1"/>
        <w:keepNext/>
      </w:pPr>
      <w:r>
        <w:t>List of figures</w:t>
      </w:r>
    </w:p>
    <w:p w14:paraId="66E20C9E" w14:textId="77777777" w:rsidR="00882DC6" w:rsidRDefault="00882DC6" w:rsidP="00991B9D">
      <w:pPr>
        <w:pStyle w:val="TOC3"/>
        <w:keepNext/>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Pr>
          <w:noProof/>
        </w:rPr>
        <w:t>Figure 1:</w:t>
      </w:r>
      <w:r>
        <w:rPr>
          <w:noProof/>
        </w:rPr>
        <w:tab/>
        <w:t>Wahakura</w:t>
      </w:r>
      <w:r>
        <w:rPr>
          <w:noProof/>
        </w:rPr>
        <w:tab/>
      </w:r>
      <w:r>
        <w:rPr>
          <w:noProof/>
        </w:rPr>
        <w:fldChar w:fldCharType="begin"/>
      </w:r>
      <w:r>
        <w:rPr>
          <w:noProof/>
        </w:rPr>
        <w:instrText xml:space="preserve"> PAGEREF _Toc5652204 \h </w:instrText>
      </w:r>
      <w:r>
        <w:rPr>
          <w:noProof/>
        </w:rPr>
      </w:r>
      <w:r>
        <w:rPr>
          <w:noProof/>
        </w:rPr>
        <w:fldChar w:fldCharType="separate"/>
      </w:r>
      <w:r w:rsidR="00BF3ADF">
        <w:rPr>
          <w:noProof/>
        </w:rPr>
        <w:t>3</w:t>
      </w:r>
      <w:r>
        <w:rPr>
          <w:noProof/>
        </w:rPr>
        <w:fldChar w:fldCharType="end"/>
      </w:r>
    </w:p>
    <w:p w14:paraId="090AFD17" w14:textId="77777777" w:rsidR="00882DC6" w:rsidRDefault="00882DC6" w:rsidP="00991B9D">
      <w:pPr>
        <w:pStyle w:val="TOC3"/>
        <w:keepNext/>
        <w:rPr>
          <w:rFonts w:asciiTheme="minorHAnsi" w:eastAsiaTheme="minorEastAsia" w:hAnsiTheme="minorHAnsi" w:cstheme="minorBidi"/>
          <w:noProof/>
          <w:sz w:val="22"/>
          <w:szCs w:val="22"/>
          <w:lang w:eastAsia="en-NZ"/>
        </w:rPr>
      </w:pPr>
      <w:r>
        <w:rPr>
          <w:noProof/>
        </w:rPr>
        <w:t>Figure 2:</w:t>
      </w:r>
      <w:r>
        <w:rPr>
          <w:noProof/>
        </w:rPr>
        <w:tab/>
        <w:t>Pēpi-Pod®</w:t>
      </w:r>
      <w:r>
        <w:rPr>
          <w:noProof/>
        </w:rPr>
        <w:tab/>
      </w:r>
      <w:r>
        <w:rPr>
          <w:noProof/>
        </w:rPr>
        <w:fldChar w:fldCharType="begin"/>
      </w:r>
      <w:r>
        <w:rPr>
          <w:noProof/>
        </w:rPr>
        <w:instrText xml:space="preserve"> PAGEREF _Toc5652205 \h </w:instrText>
      </w:r>
      <w:r>
        <w:rPr>
          <w:noProof/>
        </w:rPr>
      </w:r>
      <w:r>
        <w:rPr>
          <w:noProof/>
        </w:rPr>
        <w:fldChar w:fldCharType="separate"/>
      </w:r>
      <w:r w:rsidR="00BF3ADF">
        <w:rPr>
          <w:noProof/>
        </w:rPr>
        <w:t>4</w:t>
      </w:r>
      <w:r>
        <w:rPr>
          <w:noProof/>
        </w:rPr>
        <w:fldChar w:fldCharType="end"/>
      </w:r>
    </w:p>
    <w:p w14:paraId="059C2038" w14:textId="77777777" w:rsidR="00882DC6" w:rsidRDefault="00882DC6" w:rsidP="00991B9D">
      <w:pPr>
        <w:pStyle w:val="TOC3"/>
        <w:keepNext/>
        <w:rPr>
          <w:rFonts w:asciiTheme="minorHAnsi" w:eastAsiaTheme="minorEastAsia" w:hAnsiTheme="minorHAnsi" w:cstheme="minorBidi"/>
          <w:noProof/>
          <w:sz w:val="22"/>
          <w:szCs w:val="22"/>
          <w:lang w:eastAsia="en-NZ"/>
        </w:rPr>
      </w:pPr>
      <w:r>
        <w:rPr>
          <w:noProof/>
        </w:rPr>
        <w:t>Figure 3:</w:t>
      </w:r>
      <w:r>
        <w:rPr>
          <w:noProof/>
        </w:rPr>
        <w:tab/>
        <w:t>Cassandra Moar presenting Prime Minister the Rt Hon Jacinda Ardern with a wahakura</w:t>
      </w:r>
      <w:r>
        <w:rPr>
          <w:noProof/>
        </w:rPr>
        <w:tab/>
      </w:r>
      <w:r>
        <w:rPr>
          <w:noProof/>
        </w:rPr>
        <w:fldChar w:fldCharType="begin"/>
      </w:r>
      <w:r>
        <w:rPr>
          <w:noProof/>
        </w:rPr>
        <w:instrText xml:space="preserve"> PAGEREF _Toc5652206 \h </w:instrText>
      </w:r>
      <w:r>
        <w:rPr>
          <w:noProof/>
        </w:rPr>
      </w:r>
      <w:r>
        <w:rPr>
          <w:noProof/>
        </w:rPr>
        <w:fldChar w:fldCharType="separate"/>
      </w:r>
      <w:r w:rsidR="00BF3ADF">
        <w:rPr>
          <w:noProof/>
        </w:rPr>
        <w:t>18</w:t>
      </w:r>
      <w:r>
        <w:rPr>
          <w:noProof/>
        </w:rPr>
        <w:fldChar w:fldCharType="end"/>
      </w:r>
    </w:p>
    <w:p w14:paraId="518CB50C" w14:textId="77777777" w:rsidR="00882DC6" w:rsidRDefault="00882DC6" w:rsidP="00991B9D">
      <w:pPr>
        <w:keepNext/>
      </w:pPr>
      <w:r>
        <w:fldChar w:fldCharType="end"/>
      </w:r>
    </w:p>
    <w:p w14:paraId="1E0A69C0" w14:textId="77777777" w:rsidR="00882DC6" w:rsidRDefault="00882DC6" w:rsidP="00882DC6">
      <w:pPr>
        <w:pStyle w:val="TOC1"/>
      </w:pPr>
      <w:r>
        <w:t>List of tables</w:t>
      </w:r>
    </w:p>
    <w:p w14:paraId="10879CCE" w14:textId="77777777" w:rsidR="00882DC6" w:rsidRDefault="00882DC6">
      <w:pPr>
        <w:pStyle w:val="TOC3"/>
        <w:rPr>
          <w:rFonts w:asciiTheme="minorHAnsi" w:eastAsiaTheme="minorEastAsia" w:hAnsiTheme="minorHAnsi" w:cstheme="minorBidi"/>
          <w:noProof/>
          <w:sz w:val="22"/>
          <w:szCs w:val="22"/>
          <w:lang w:eastAsia="en-NZ"/>
        </w:rPr>
      </w:pPr>
      <w:r>
        <w:fldChar w:fldCharType="begin"/>
      </w:r>
      <w:r>
        <w:instrText xml:space="preserve"> TOC \t "Table,3" </w:instrText>
      </w:r>
      <w:r>
        <w:fldChar w:fldCharType="separate"/>
      </w:r>
      <w:r>
        <w:rPr>
          <w:noProof/>
        </w:rPr>
        <w:t>Table 1:</w:t>
      </w:r>
      <w:r>
        <w:rPr>
          <w:noProof/>
        </w:rPr>
        <w:tab/>
        <w:t>Essential features of a safe sleep device to prevent SUDI</w:t>
      </w:r>
      <w:r>
        <w:rPr>
          <w:noProof/>
        </w:rPr>
        <w:tab/>
      </w:r>
      <w:r>
        <w:rPr>
          <w:noProof/>
        </w:rPr>
        <w:fldChar w:fldCharType="begin"/>
      </w:r>
      <w:r>
        <w:rPr>
          <w:noProof/>
        </w:rPr>
        <w:instrText xml:space="preserve"> PAGEREF _Toc5652228 \h </w:instrText>
      </w:r>
      <w:r>
        <w:rPr>
          <w:noProof/>
        </w:rPr>
      </w:r>
      <w:r>
        <w:rPr>
          <w:noProof/>
        </w:rPr>
        <w:fldChar w:fldCharType="separate"/>
      </w:r>
      <w:r w:rsidR="00BF3ADF">
        <w:rPr>
          <w:noProof/>
        </w:rPr>
        <w:t>7</w:t>
      </w:r>
      <w:r>
        <w:rPr>
          <w:noProof/>
        </w:rPr>
        <w:fldChar w:fldCharType="end"/>
      </w:r>
    </w:p>
    <w:p w14:paraId="3D974B33" w14:textId="77777777" w:rsidR="00882DC6" w:rsidRDefault="00882DC6">
      <w:pPr>
        <w:pStyle w:val="TOC3"/>
        <w:rPr>
          <w:rFonts w:asciiTheme="minorHAnsi" w:eastAsiaTheme="minorEastAsia" w:hAnsiTheme="minorHAnsi" w:cstheme="minorBidi"/>
          <w:noProof/>
          <w:sz w:val="22"/>
          <w:szCs w:val="22"/>
          <w:lang w:eastAsia="en-NZ"/>
        </w:rPr>
      </w:pPr>
      <w:r>
        <w:rPr>
          <w:noProof/>
        </w:rPr>
        <w:t>Table 2:</w:t>
      </w:r>
      <w:r>
        <w:rPr>
          <w:noProof/>
        </w:rPr>
        <w:tab/>
        <w:t>Recommended guidelines for the Pēpi-Pod® and wahakura from different regions</w:t>
      </w:r>
      <w:r>
        <w:rPr>
          <w:noProof/>
        </w:rPr>
        <w:tab/>
      </w:r>
      <w:r>
        <w:rPr>
          <w:noProof/>
        </w:rPr>
        <w:fldChar w:fldCharType="begin"/>
      </w:r>
      <w:r>
        <w:rPr>
          <w:noProof/>
        </w:rPr>
        <w:instrText xml:space="preserve"> PAGEREF _Toc5652229 \h </w:instrText>
      </w:r>
      <w:r>
        <w:rPr>
          <w:noProof/>
        </w:rPr>
      </w:r>
      <w:r>
        <w:rPr>
          <w:noProof/>
        </w:rPr>
        <w:fldChar w:fldCharType="separate"/>
      </w:r>
      <w:r w:rsidR="00BF3ADF">
        <w:rPr>
          <w:noProof/>
        </w:rPr>
        <w:t>8</w:t>
      </w:r>
      <w:r>
        <w:rPr>
          <w:noProof/>
        </w:rPr>
        <w:fldChar w:fldCharType="end"/>
      </w:r>
    </w:p>
    <w:p w14:paraId="702CBE7D" w14:textId="77777777" w:rsidR="00882DC6" w:rsidRDefault="00882DC6">
      <w:pPr>
        <w:pStyle w:val="TOC3"/>
        <w:rPr>
          <w:rFonts w:asciiTheme="minorHAnsi" w:eastAsiaTheme="minorEastAsia" w:hAnsiTheme="minorHAnsi" w:cstheme="minorBidi"/>
          <w:noProof/>
          <w:sz w:val="22"/>
          <w:szCs w:val="22"/>
          <w:lang w:eastAsia="en-NZ"/>
        </w:rPr>
      </w:pPr>
      <w:r>
        <w:rPr>
          <w:noProof/>
        </w:rPr>
        <w:t>Table 3:</w:t>
      </w:r>
      <w:r>
        <w:rPr>
          <w:noProof/>
        </w:rPr>
        <w:tab/>
        <w:t>Summary of wahakura weaving guidelines</w:t>
      </w:r>
      <w:r>
        <w:rPr>
          <w:noProof/>
        </w:rPr>
        <w:tab/>
      </w:r>
      <w:r>
        <w:rPr>
          <w:noProof/>
        </w:rPr>
        <w:fldChar w:fldCharType="begin"/>
      </w:r>
      <w:r>
        <w:rPr>
          <w:noProof/>
        </w:rPr>
        <w:instrText xml:space="preserve"> PAGEREF _Toc5652230 \h </w:instrText>
      </w:r>
      <w:r>
        <w:rPr>
          <w:noProof/>
        </w:rPr>
      </w:r>
      <w:r>
        <w:rPr>
          <w:noProof/>
        </w:rPr>
        <w:fldChar w:fldCharType="separate"/>
      </w:r>
      <w:r w:rsidR="00BF3ADF">
        <w:rPr>
          <w:noProof/>
        </w:rPr>
        <w:t>13</w:t>
      </w:r>
      <w:r>
        <w:rPr>
          <w:noProof/>
        </w:rPr>
        <w:fldChar w:fldCharType="end"/>
      </w:r>
    </w:p>
    <w:p w14:paraId="7F94AEE0" w14:textId="77777777" w:rsidR="00882DC6" w:rsidRDefault="00882DC6">
      <w:pPr>
        <w:pStyle w:val="TOC3"/>
        <w:rPr>
          <w:rFonts w:asciiTheme="minorHAnsi" w:eastAsiaTheme="minorEastAsia" w:hAnsiTheme="minorHAnsi" w:cstheme="minorBidi"/>
          <w:noProof/>
          <w:sz w:val="22"/>
          <w:szCs w:val="22"/>
          <w:lang w:eastAsia="en-NZ"/>
        </w:rPr>
      </w:pPr>
      <w:r>
        <w:rPr>
          <w:noProof/>
        </w:rPr>
        <w:t>Table 4:</w:t>
      </w:r>
      <w:r>
        <w:rPr>
          <w:noProof/>
        </w:rPr>
        <w:tab/>
        <w:t>How to make 0.1% hypochlorite solution</w:t>
      </w:r>
      <w:r>
        <w:rPr>
          <w:noProof/>
        </w:rPr>
        <w:tab/>
      </w:r>
      <w:r>
        <w:rPr>
          <w:noProof/>
        </w:rPr>
        <w:fldChar w:fldCharType="begin"/>
      </w:r>
      <w:r>
        <w:rPr>
          <w:noProof/>
        </w:rPr>
        <w:instrText xml:space="preserve"> PAGEREF _Toc5652231 \h </w:instrText>
      </w:r>
      <w:r>
        <w:rPr>
          <w:noProof/>
        </w:rPr>
      </w:r>
      <w:r>
        <w:rPr>
          <w:noProof/>
        </w:rPr>
        <w:fldChar w:fldCharType="separate"/>
      </w:r>
      <w:r w:rsidR="00BF3ADF">
        <w:rPr>
          <w:noProof/>
        </w:rPr>
        <w:t>16</w:t>
      </w:r>
      <w:r>
        <w:rPr>
          <w:noProof/>
        </w:rPr>
        <w:fldChar w:fldCharType="end"/>
      </w:r>
    </w:p>
    <w:p w14:paraId="0605D61E" w14:textId="07C65627" w:rsidR="00882DC6" w:rsidRDefault="00882DC6">
      <w:pPr>
        <w:pStyle w:val="TOC3"/>
        <w:rPr>
          <w:rFonts w:asciiTheme="minorHAnsi" w:eastAsiaTheme="minorEastAsia" w:hAnsiTheme="minorHAnsi" w:cstheme="minorBidi"/>
          <w:noProof/>
          <w:sz w:val="22"/>
          <w:szCs w:val="22"/>
          <w:lang w:eastAsia="en-NZ"/>
        </w:rPr>
      </w:pPr>
      <w:r>
        <w:rPr>
          <w:noProof/>
        </w:rPr>
        <w:t>Table 5:</w:t>
      </w:r>
      <w:r>
        <w:rPr>
          <w:noProof/>
        </w:rPr>
        <w:tab/>
        <w:t>How to make 0.5% hypochlorite solution [for use with P</w:t>
      </w:r>
      <w:r w:rsidRPr="00E72C6D">
        <w:rPr>
          <w:rFonts w:cstheme="minorHAnsi"/>
          <w:noProof/>
        </w:rPr>
        <w:t>ēpi-Pod®</w:t>
      </w:r>
      <w:r>
        <w:rPr>
          <w:noProof/>
        </w:rPr>
        <w:tab/>
      </w:r>
      <w:r>
        <w:rPr>
          <w:noProof/>
        </w:rPr>
        <w:fldChar w:fldCharType="begin"/>
      </w:r>
      <w:r>
        <w:rPr>
          <w:noProof/>
        </w:rPr>
        <w:instrText xml:space="preserve"> PAGEREF _Toc5652232 \h </w:instrText>
      </w:r>
      <w:r>
        <w:rPr>
          <w:noProof/>
        </w:rPr>
      </w:r>
      <w:r>
        <w:rPr>
          <w:noProof/>
        </w:rPr>
        <w:fldChar w:fldCharType="separate"/>
      </w:r>
      <w:r w:rsidR="00BF3ADF">
        <w:rPr>
          <w:noProof/>
        </w:rPr>
        <w:t>17</w:t>
      </w:r>
      <w:r>
        <w:rPr>
          <w:noProof/>
        </w:rPr>
        <w:fldChar w:fldCharType="end"/>
      </w:r>
    </w:p>
    <w:p w14:paraId="28F3F16D" w14:textId="77777777" w:rsidR="00882DC6" w:rsidRPr="00882DC6" w:rsidRDefault="00882DC6" w:rsidP="00882DC6">
      <w:r>
        <w:fldChar w:fldCharType="end"/>
      </w:r>
    </w:p>
    <w:p w14:paraId="3181A2BD" w14:textId="77777777" w:rsidR="00882DC6" w:rsidRDefault="00882DC6" w:rsidP="00005657"/>
    <w:p w14:paraId="554CF2B8" w14:textId="77777777" w:rsidR="001D3E4E" w:rsidRDefault="001D3E4E" w:rsidP="003A5FEA">
      <w:pPr>
        <w:sectPr w:rsidR="001D3E4E" w:rsidSect="00925892">
          <w:headerReference w:type="even" r:id="rId21"/>
          <w:headerReference w:type="default" r:id="rId22"/>
          <w:footerReference w:type="even" r:id="rId23"/>
          <w:footerReference w:type="default" r:id="rId24"/>
          <w:pgSz w:w="11907" w:h="16840" w:code="9"/>
          <w:pgMar w:top="1418" w:right="1701" w:bottom="1134" w:left="1843" w:header="284" w:footer="425" w:gutter="284"/>
          <w:pgNumType w:fmt="lowerRoman"/>
          <w:cols w:space="720"/>
        </w:sectPr>
      </w:pPr>
    </w:p>
    <w:p w14:paraId="04085051" w14:textId="77777777" w:rsidR="008C2973" w:rsidRPr="005468F2" w:rsidRDefault="002B7BEC" w:rsidP="005468F2">
      <w:pPr>
        <w:pStyle w:val="Heading1"/>
      </w:pPr>
      <w:bookmarkStart w:id="9" w:name="_Toc7704169"/>
      <w:r w:rsidRPr="005468F2">
        <w:lastRenderedPageBreak/>
        <w:t>Introduction</w:t>
      </w:r>
      <w:bookmarkEnd w:id="9"/>
    </w:p>
    <w:p w14:paraId="4DFDF43D" w14:textId="77777777" w:rsidR="00EB2D0B" w:rsidRPr="00775D11" w:rsidRDefault="00EB2D0B" w:rsidP="000330C3">
      <w:r w:rsidRPr="00775D11">
        <w:t>The National Safe Sleep Device Quality Specification Guideline</w:t>
      </w:r>
      <w:r>
        <w:t>s (</w:t>
      </w:r>
      <w:r w:rsidRPr="00775D11">
        <w:t xml:space="preserve">guidelines) bring together information covering a range of </w:t>
      </w:r>
      <w:r>
        <w:t>safe sleep devices (SSDs)</w:t>
      </w:r>
      <w:r w:rsidRPr="00775D11">
        <w:t xml:space="preserve">. </w:t>
      </w:r>
      <w:r>
        <w:t xml:space="preserve">SSDs include </w:t>
      </w:r>
      <w:r w:rsidRPr="001A025F">
        <w:t>portable</w:t>
      </w:r>
      <w:r w:rsidRPr="00775D11">
        <w:t xml:space="preserve"> sleep space</w:t>
      </w:r>
      <w:r>
        <w:t>s</w:t>
      </w:r>
      <w:r w:rsidRPr="00775D11">
        <w:t xml:space="preserve"> that can be used on a bed, or next to the parents</w:t>
      </w:r>
      <w:r w:rsidR="00B02DAB">
        <w:t>’</w:t>
      </w:r>
      <w:r w:rsidRPr="00775D11">
        <w:t xml:space="preserve"> sleeping surface. Providers of SSDs </w:t>
      </w:r>
      <w:r>
        <w:t xml:space="preserve">that are distributed through the Ministry of Health funded National SUDI Prevention programme (NSPP) </w:t>
      </w:r>
      <w:r w:rsidRPr="00775D11">
        <w:t>are expected to supply and distribute them</w:t>
      </w:r>
      <w:r>
        <w:t xml:space="preserve"> to vulnerable families and whānau</w:t>
      </w:r>
      <w:r w:rsidRPr="00B02DAB">
        <w:rPr>
          <w:rStyle w:val="FootnoteReference"/>
        </w:rPr>
        <w:footnoteReference w:id="1"/>
      </w:r>
      <w:r>
        <w:t xml:space="preserve"> and</w:t>
      </w:r>
      <w:r w:rsidRPr="00775D11">
        <w:t xml:space="preserve"> in a way that is consistent with these guidelines. However, </w:t>
      </w:r>
      <w:r>
        <w:t xml:space="preserve">SSD providers </w:t>
      </w:r>
      <w:r w:rsidRPr="00775D11">
        <w:t>should not rely on these guidelines as a complete guide for ensuring safe sleep environments for babies.</w:t>
      </w:r>
    </w:p>
    <w:p w14:paraId="228FA692" w14:textId="77777777" w:rsidR="00EB2D0B" w:rsidRPr="00775D11" w:rsidRDefault="00EB2D0B" w:rsidP="000330C3"/>
    <w:p w14:paraId="7BF603C8" w14:textId="77777777" w:rsidR="00EB2D0B" w:rsidRPr="00775D11" w:rsidRDefault="00EB2D0B" w:rsidP="000330C3">
      <w:r w:rsidRPr="00775D11">
        <w:rPr>
          <w:rFonts w:eastAsia="Calibri" w:cstheme="minorHAnsi"/>
        </w:rPr>
        <w:t>The</w:t>
      </w:r>
      <w:r>
        <w:rPr>
          <w:rFonts w:eastAsia="Calibri" w:cstheme="minorHAnsi"/>
        </w:rPr>
        <w:t>se</w:t>
      </w:r>
      <w:r w:rsidRPr="00775D11">
        <w:rPr>
          <w:rFonts w:eastAsia="Calibri" w:cstheme="minorHAnsi"/>
        </w:rPr>
        <w:t xml:space="preserve"> guidelines are a living document. They set out </w:t>
      </w:r>
      <w:r w:rsidR="00705941">
        <w:rPr>
          <w:rFonts w:eastAsia="Calibri" w:cstheme="minorHAnsi"/>
        </w:rPr>
        <w:t xml:space="preserve">the </w:t>
      </w:r>
      <w:r w:rsidRPr="00775D11">
        <w:t>minimum levels of product specifications (</w:t>
      </w:r>
      <w:proofErr w:type="spellStart"/>
      <w:r>
        <w:t>eg</w:t>
      </w:r>
      <w:proofErr w:type="spellEnd"/>
      <w:r w:rsidR="00B02DAB">
        <w:t>,</w:t>
      </w:r>
      <w:r w:rsidRPr="00775D11">
        <w:t xml:space="preserve"> fit for purpose, safe, reliable) that </w:t>
      </w:r>
      <w:r>
        <w:t xml:space="preserve">SSDs </w:t>
      </w:r>
      <w:r w:rsidRPr="00775D11">
        <w:t>are expected to meet.</w:t>
      </w:r>
    </w:p>
    <w:p w14:paraId="27FBFA35" w14:textId="77777777" w:rsidR="00EB2D0B" w:rsidRPr="00775D11" w:rsidRDefault="00EB2D0B" w:rsidP="000330C3"/>
    <w:p w14:paraId="08BA821F" w14:textId="77777777" w:rsidR="00B02DAB" w:rsidRDefault="00EB2D0B" w:rsidP="000330C3">
      <w:r w:rsidRPr="00775D11">
        <w:t xml:space="preserve">The guidelines will support SSD providers, and health and social service practitioners in choosing and using the most appropriate </w:t>
      </w:r>
      <w:r>
        <w:t xml:space="preserve">SSDs </w:t>
      </w:r>
      <w:r w:rsidRPr="00775D11">
        <w:t>for eligible whānau as they are guided through the NSPP service pathway.</w:t>
      </w:r>
    </w:p>
    <w:p w14:paraId="761EA1F2" w14:textId="77777777" w:rsidR="00EB2D0B" w:rsidRPr="00775D11" w:rsidRDefault="00EB2D0B" w:rsidP="000330C3"/>
    <w:p w14:paraId="1037B415" w14:textId="77777777" w:rsidR="00EB2D0B" w:rsidRPr="00775D11" w:rsidRDefault="00EB2D0B" w:rsidP="000330C3">
      <w:pPr>
        <w:pStyle w:val="Heading2"/>
      </w:pPr>
      <w:bookmarkStart w:id="10" w:name="_Toc4502390"/>
      <w:bookmarkStart w:id="11" w:name="_Toc7704170"/>
      <w:r w:rsidRPr="00775D11">
        <w:t>Purpose</w:t>
      </w:r>
      <w:bookmarkEnd w:id="10"/>
      <w:bookmarkEnd w:id="11"/>
    </w:p>
    <w:p w14:paraId="44044426" w14:textId="77777777" w:rsidR="00B02DAB" w:rsidRDefault="00EB2D0B" w:rsidP="000330C3">
      <w:r w:rsidRPr="00775D11">
        <w:t xml:space="preserve">The purpose of these guidelines is to provide a reference source for ensuring that </w:t>
      </w:r>
      <w:r>
        <w:t xml:space="preserve">SSDs </w:t>
      </w:r>
      <w:r w:rsidRPr="00775D11">
        <w:t xml:space="preserve">meet key safety </w:t>
      </w:r>
      <w:r>
        <w:t xml:space="preserve">requirements </w:t>
      </w:r>
      <w:r w:rsidRPr="00775D11">
        <w:t xml:space="preserve">(see </w:t>
      </w:r>
      <w:hyperlink w:anchor="_Appendix_1:_Safety" w:history="1">
        <w:r w:rsidR="00345330" w:rsidRPr="00345330">
          <w:t>Appendix 1: Safety standards and regulations for safe sleep devices</w:t>
        </w:r>
      </w:hyperlink>
      <w:r w:rsidR="00B57FD0" w:rsidRPr="00345330">
        <w:t>)</w:t>
      </w:r>
      <w:r w:rsidRPr="00345330">
        <w:t xml:space="preserve"> that</w:t>
      </w:r>
      <w:r w:rsidR="00705941">
        <w:t>,</w:t>
      </w:r>
      <w:r w:rsidRPr="00345330">
        <w:t xml:space="preserve"> together wi</w:t>
      </w:r>
      <w:r w:rsidRPr="00775D11">
        <w:t xml:space="preserve">th addressing other key modifiable SUDI risk factors, </w:t>
      </w:r>
      <w:r>
        <w:t xml:space="preserve">will </w:t>
      </w:r>
      <w:r w:rsidRPr="00775D11">
        <w:t xml:space="preserve">protect infants from harm during sleep. They provide DHBs, the health sector and the public with guidance on what is required to ensure SSDs are safe and </w:t>
      </w:r>
      <w:r>
        <w:t xml:space="preserve">are </w:t>
      </w:r>
      <w:r w:rsidRPr="00775D11">
        <w:t>used reliably.</w:t>
      </w:r>
    </w:p>
    <w:p w14:paraId="72B73A52" w14:textId="77777777" w:rsidR="00EB2D0B" w:rsidRPr="00775D11" w:rsidRDefault="00EB2D0B" w:rsidP="000330C3"/>
    <w:p w14:paraId="7A4557CB" w14:textId="3744FD3B" w:rsidR="00EB2D0B" w:rsidRPr="00775D11" w:rsidRDefault="00EB2D0B" w:rsidP="000330C3">
      <w:r w:rsidRPr="00775D11">
        <w:t>The guidelines do not go into detail about safety requirements for all types of SSDs available. However, they support the view that once baby is too large for a</w:t>
      </w:r>
      <w:r>
        <w:t>n in-bed capable</w:t>
      </w:r>
      <w:r w:rsidRPr="00775D11">
        <w:t xml:space="preserve"> SSD or is able to roll over, baby should be placed in a cot to sleep. Because babies remain vulnerable to SUDI until they are approximately 12 months old, parents and caregivers are encouraged to continue with safe sleep practices throughout baby</w:t>
      </w:r>
      <w:r w:rsidR="00B02DAB">
        <w:t>’</w:t>
      </w:r>
      <w:r w:rsidRPr="00775D11">
        <w:t>s first year.</w:t>
      </w:r>
    </w:p>
    <w:p w14:paraId="5145F843" w14:textId="77777777" w:rsidR="00EB2D0B" w:rsidRPr="00775D11" w:rsidRDefault="00EB2D0B" w:rsidP="000330C3"/>
    <w:p w14:paraId="04520360" w14:textId="77777777" w:rsidR="00EB2D0B" w:rsidRPr="00775D11" w:rsidRDefault="00EB2D0B" w:rsidP="000330C3">
      <w:pPr>
        <w:pStyle w:val="Heading2"/>
        <w:rPr>
          <w:lang w:eastAsia="en-NZ"/>
        </w:rPr>
      </w:pPr>
      <w:bookmarkStart w:id="12" w:name="_Toc4502391"/>
      <w:bookmarkStart w:id="13" w:name="_Toc7704171"/>
      <w:r w:rsidRPr="00775D11">
        <w:rPr>
          <w:lang w:eastAsia="en-NZ"/>
        </w:rPr>
        <w:lastRenderedPageBreak/>
        <w:t>Challenge</w:t>
      </w:r>
      <w:bookmarkEnd w:id="12"/>
      <w:bookmarkEnd w:id="13"/>
    </w:p>
    <w:p w14:paraId="595835F7" w14:textId="77777777" w:rsidR="00EB2D0B" w:rsidRPr="00775D11" w:rsidRDefault="00EB2D0B" w:rsidP="000330C3">
      <w:pPr>
        <w:keepLines/>
        <w:rPr>
          <w:lang w:eastAsia="en-NZ"/>
        </w:rPr>
      </w:pPr>
      <w:r w:rsidRPr="00775D11">
        <w:rPr>
          <w:lang w:eastAsia="en-NZ"/>
        </w:rPr>
        <w:t xml:space="preserve">The challenge these guidelines help to address is to protect infants against the risk of injury and death associated with supplying and using potentially unsafe SSDs. As infants spend considerable periods of time sleeping, SSDs must have clear and purposeful safety criteria that apply in a wide variety of environments. </w:t>
      </w:r>
      <w:r>
        <w:rPr>
          <w:lang w:eastAsia="en-NZ"/>
        </w:rPr>
        <w:t>Families and whānau</w:t>
      </w:r>
      <w:r w:rsidRPr="00775D11">
        <w:rPr>
          <w:lang w:eastAsia="en-NZ"/>
        </w:rPr>
        <w:t xml:space="preserve"> also need information</w:t>
      </w:r>
      <w:r w:rsidRPr="000330C3">
        <w:rPr>
          <w:rStyle w:val="FootnoteReference"/>
        </w:rPr>
        <w:footnoteReference w:id="2"/>
      </w:r>
      <w:r w:rsidRPr="000330C3">
        <w:rPr>
          <w:vertAlign w:val="superscript"/>
        </w:rPr>
        <w:t>,</w:t>
      </w:r>
      <w:r w:rsidR="000330C3">
        <w:rPr>
          <w:rStyle w:val="FootnoteReference"/>
          <w:rFonts w:cs="Arial"/>
          <w:lang w:eastAsia="en-NZ"/>
        </w:rPr>
        <w:t xml:space="preserve"> </w:t>
      </w:r>
      <w:r w:rsidRPr="000330C3">
        <w:rPr>
          <w:rStyle w:val="FootnoteReference"/>
        </w:rPr>
        <w:footnoteReference w:id="3"/>
      </w:r>
      <w:r w:rsidRPr="00775D11">
        <w:rPr>
          <w:lang w:eastAsia="en-NZ"/>
        </w:rPr>
        <w:t xml:space="preserve"> and education</w:t>
      </w:r>
      <w:r w:rsidRPr="000330C3">
        <w:rPr>
          <w:rStyle w:val="FootnoteReference"/>
        </w:rPr>
        <w:footnoteReference w:id="4"/>
      </w:r>
      <w:r w:rsidRPr="00775D11">
        <w:rPr>
          <w:lang w:eastAsia="en-NZ"/>
        </w:rPr>
        <w:t xml:space="preserve"> about how to make sure every sleep for baby is a safe sleep. In this way, </w:t>
      </w:r>
      <w:r>
        <w:rPr>
          <w:lang w:eastAsia="en-NZ"/>
        </w:rPr>
        <w:t>families and whānau</w:t>
      </w:r>
      <w:r w:rsidRPr="00775D11">
        <w:rPr>
          <w:lang w:eastAsia="en-NZ"/>
        </w:rPr>
        <w:t xml:space="preserve"> will have the knowledge </w:t>
      </w:r>
      <w:r>
        <w:rPr>
          <w:lang w:eastAsia="en-NZ"/>
        </w:rPr>
        <w:t>they need to use a</w:t>
      </w:r>
      <w:r w:rsidRPr="00775D11">
        <w:rPr>
          <w:lang w:eastAsia="en-NZ"/>
        </w:rPr>
        <w:t xml:space="preserve"> SSD reliably in the home or when visiting and travelling.</w:t>
      </w:r>
    </w:p>
    <w:p w14:paraId="281B387F" w14:textId="77777777" w:rsidR="00EB2D0B" w:rsidRPr="00775D11" w:rsidRDefault="00EB2D0B" w:rsidP="000330C3">
      <w:pPr>
        <w:rPr>
          <w:lang w:eastAsia="en-NZ"/>
        </w:rPr>
      </w:pPr>
    </w:p>
    <w:p w14:paraId="37532BF7" w14:textId="77777777" w:rsidR="00EB2D0B" w:rsidRPr="00775D11" w:rsidRDefault="00EB2D0B" w:rsidP="008D76A9">
      <w:pPr>
        <w:pStyle w:val="Heading2"/>
        <w:spacing w:before="360"/>
        <w:rPr>
          <w:lang w:eastAsia="en-NZ"/>
        </w:rPr>
      </w:pPr>
      <w:bookmarkStart w:id="14" w:name="_Toc4502392"/>
      <w:bookmarkStart w:id="15" w:name="_Toc7704172"/>
      <w:r w:rsidRPr="00775D11">
        <w:rPr>
          <w:lang w:eastAsia="en-NZ"/>
        </w:rPr>
        <w:t>Objective</w:t>
      </w:r>
      <w:bookmarkEnd w:id="14"/>
      <w:bookmarkEnd w:id="15"/>
    </w:p>
    <w:p w14:paraId="0CCA75AE" w14:textId="69323429" w:rsidR="00B02DAB" w:rsidRDefault="00EB2D0B" w:rsidP="000330C3">
      <w:pPr>
        <w:rPr>
          <w:rFonts w:cs="Arial"/>
          <w:lang w:eastAsia="en-NZ"/>
        </w:rPr>
      </w:pPr>
      <w:r w:rsidRPr="00775D11">
        <w:rPr>
          <w:rFonts w:cs="Arial"/>
          <w:lang w:eastAsia="en-NZ"/>
        </w:rPr>
        <w:t>The objective of the</w:t>
      </w:r>
      <w:r>
        <w:rPr>
          <w:rFonts w:cs="Arial"/>
          <w:lang w:eastAsia="en-NZ"/>
        </w:rPr>
        <w:t>se</w:t>
      </w:r>
      <w:r w:rsidRPr="00775D11">
        <w:rPr>
          <w:rFonts w:cs="Arial"/>
          <w:lang w:eastAsia="en-NZ"/>
        </w:rPr>
        <w:t xml:space="preserve"> guidelines is to </w:t>
      </w:r>
      <w:r w:rsidRPr="00775D11">
        <w:t xml:space="preserve">provide DHBs, the sector and the public with minimum safety specifications </w:t>
      </w:r>
      <w:r w:rsidR="00530947">
        <w:t xml:space="preserve">for </w:t>
      </w:r>
      <w:r w:rsidR="000227AB">
        <w:t xml:space="preserve">SSDs </w:t>
      </w:r>
      <w:r w:rsidR="00530947">
        <w:t xml:space="preserve">to </w:t>
      </w:r>
      <w:r w:rsidRPr="00775D11">
        <w:t xml:space="preserve">ensure </w:t>
      </w:r>
      <w:r w:rsidR="00530947">
        <w:t xml:space="preserve">they </w:t>
      </w:r>
      <w:r w:rsidRPr="00775D11">
        <w:t>are safe and reliable.</w:t>
      </w:r>
    </w:p>
    <w:p w14:paraId="4E114A9C" w14:textId="77777777" w:rsidR="00EB2D0B" w:rsidRPr="00775D11" w:rsidRDefault="00EB2D0B" w:rsidP="000330C3">
      <w:pPr>
        <w:rPr>
          <w:lang w:eastAsia="en-NZ"/>
        </w:rPr>
      </w:pPr>
    </w:p>
    <w:p w14:paraId="08681792" w14:textId="77777777" w:rsidR="00EB2D0B" w:rsidRPr="00775D11" w:rsidRDefault="00EB2D0B" w:rsidP="000330C3">
      <w:r w:rsidRPr="00775D11">
        <w:rPr>
          <w:lang w:eastAsia="en-NZ"/>
        </w:rPr>
        <w:t xml:space="preserve">Currently </w:t>
      </w:r>
      <w:proofErr w:type="spellStart"/>
      <w:r w:rsidRPr="00775D11">
        <w:rPr>
          <w:lang w:eastAsia="en-NZ"/>
        </w:rPr>
        <w:t>Pēpi</w:t>
      </w:r>
      <w:proofErr w:type="spellEnd"/>
      <w:r w:rsidRPr="00775D11">
        <w:rPr>
          <w:lang w:eastAsia="en-NZ"/>
        </w:rPr>
        <w:t xml:space="preserve">-Pods® supplied to DHBs meet voluntary SSD safety requirements. </w:t>
      </w:r>
      <w:proofErr w:type="spellStart"/>
      <w:r w:rsidRPr="00775D11">
        <w:rPr>
          <w:lang w:eastAsia="en-NZ"/>
        </w:rPr>
        <w:t>Pēpi</w:t>
      </w:r>
      <w:proofErr w:type="spellEnd"/>
      <w:r w:rsidRPr="00775D11">
        <w:rPr>
          <w:lang w:eastAsia="en-NZ"/>
        </w:rPr>
        <w:t xml:space="preserve">-Pod® requirements have been established by service provider, Change for our Children. Key people involved in producing the wahakura requirements include </w:t>
      </w:r>
      <w:r w:rsidRPr="00775D11">
        <w:t xml:space="preserve">Professor David </w:t>
      </w:r>
      <w:proofErr w:type="spellStart"/>
      <w:r w:rsidRPr="00775D11">
        <w:t>Tipene</w:t>
      </w:r>
      <w:proofErr w:type="spellEnd"/>
      <w:r w:rsidRPr="00775D11">
        <w:t xml:space="preserve">-Leach and Nanny </w:t>
      </w:r>
      <w:proofErr w:type="spellStart"/>
      <w:r w:rsidRPr="00775D11">
        <w:t>Whaipooti</w:t>
      </w:r>
      <w:proofErr w:type="spellEnd"/>
      <w:r w:rsidRPr="00775D11">
        <w:t xml:space="preserve"> </w:t>
      </w:r>
      <w:proofErr w:type="spellStart"/>
      <w:r w:rsidRPr="00775D11">
        <w:t>Hitchiner</w:t>
      </w:r>
      <w:proofErr w:type="spellEnd"/>
      <w:r w:rsidRPr="00775D11">
        <w:t>.</w:t>
      </w:r>
    </w:p>
    <w:p w14:paraId="1C5CE7CD" w14:textId="77777777" w:rsidR="00EB2D0B" w:rsidRPr="00775D11" w:rsidRDefault="00EB2D0B" w:rsidP="000330C3"/>
    <w:p w14:paraId="333559F2" w14:textId="77777777" w:rsidR="00EB2D0B" w:rsidRPr="00775D11" w:rsidRDefault="00EB2D0B" w:rsidP="008D76A9">
      <w:pPr>
        <w:pStyle w:val="Heading2"/>
        <w:spacing w:before="360"/>
      </w:pPr>
      <w:bookmarkStart w:id="16" w:name="_Toc4502393"/>
      <w:bookmarkStart w:id="17" w:name="_Toc7704173"/>
      <w:r w:rsidRPr="00775D11">
        <w:t>Access</w:t>
      </w:r>
      <w:bookmarkEnd w:id="16"/>
      <w:bookmarkEnd w:id="17"/>
    </w:p>
    <w:p w14:paraId="20C874C7" w14:textId="77777777" w:rsidR="00EB2D0B" w:rsidRPr="00775D11" w:rsidRDefault="00EB2D0B" w:rsidP="000330C3">
      <w:pPr>
        <w:rPr>
          <w:rStyle w:val="Hyperlink"/>
        </w:rPr>
      </w:pPr>
      <w:r w:rsidRPr="00775D11">
        <w:t xml:space="preserve">For up-to-date information on who to contact in each DHB district about accessing SSDs for the most vulnerable </w:t>
      </w:r>
      <w:r>
        <w:t>families and whānau</w:t>
      </w:r>
      <w:r w:rsidRPr="00775D11">
        <w:t xml:space="preserve"> and about what SSD support is available, go to: </w:t>
      </w:r>
      <w:hyperlink r:id="rId25" w:history="1">
        <w:r w:rsidRPr="00775D11">
          <w:rPr>
            <w:rStyle w:val="Hyperlink"/>
          </w:rPr>
          <w:t>http://sudinationalcoordination.co.nz/safe-sleep-coordinators</w:t>
        </w:r>
      </w:hyperlink>
    </w:p>
    <w:p w14:paraId="4534C44B" w14:textId="77777777" w:rsidR="00EB2D0B" w:rsidRPr="00775D11" w:rsidRDefault="00EB2D0B" w:rsidP="000330C3"/>
    <w:p w14:paraId="145B4E76" w14:textId="77777777" w:rsidR="00EB2D0B" w:rsidRPr="00775D11" w:rsidRDefault="00EB2D0B" w:rsidP="008D76A9">
      <w:pPr>
        <w:pStyle w:val="Heading2"/>
        <w:spacing w:before="360"/>
      </w:pPr>
      <w:bookmarkStart w:id="18" w:name="_Toc4502394"/>
      <w:bookmarkStart w:id="19" w:name="_Toc7704174"/>
      <w:r w:rsidRPr="00775D11">
        <w:t>Overview</w:t>
      </w:r>
      <w:bookmarkEnd w:id="18"/>
      <w:bookmarkEnd w:id="19"/>
    </w:p>
    <w:p w14:paraId="0DDDB6D9" w14:textId="77777777" w:rsidR="00EB2D0B" w:rsidRPr="00775D11" w:rsidRDefault="00EB2D0B" w:rsidP="008D76A9">
      <w:r w:rsidRPr="00775D11">
        <w:t xml:space="preserve">The guidelines describe the different types of </w:t>
      </w:r>
      <w:r>
        <w:t xml:space="preserve">SSDs </w:t>
      </w:r>
      <w:r w:rsidRPr="00775D11">
        <w:t xml:space="preserve">used in </w:t>
      </w:r>
      <w:proofErr w:type="spellStart"/>
      <w:r w:rsidRPr="00775D11">
        <w:t>Aotearoa</w:t>
      </w:r>
      <w:proofErr w:type="spellEnd"/>
      <w:r w:rsidRPr="00775D11">
        <w:t xml:space="preserve"> New Zealand:</w:t>
      </w:r>
    </w:p>
    <w:p w14:paraId="0DBC5C3B" w14:textId="77777777" w:rsidR="00EB2D0B" w:rsidRPr="00775D11" w:rsidRDefault="00EB2D0B" w:rsidP="008D76A9">
      <w:pPr>
        <w:pStyle w:val="Bullet"/>
        <w:spacing w:before="60"/>
      </w:pPr>
      <w:r w:rsidRPr="00775D11">
        <w:t>wahakura</w:t>
      </w:r>
    </w:p>
    <w:p w14:paraId="0E2AFC28" w14:textId="77777777" w:rsidR="00EB2D0B" w:rsidRPr="00775D11" w:rsidRDefault="00EB2D0B" w:rsidP="008D76A9">
      <w:pPr>
        <w:pStyle w:val="Bullet"/>
        <w:spacing w:before="60"/>
      </w:pPr>
      <w:proofErr w:type="spellStart"/>
      <w:r w:rsidRPr="00775D11">
        <w:t>Pēpi</w:t>
      </w:r>
      <w:proofErr w:type="spellEnd"/>
      <w:r w:rsidRPr="00775D11">
        <w:t>-Pod®</w:t>
      </w:r>
    </w:p>
    <w:p w14:paraId="22185144" w14:textId="77777777" w:rsidR="00EB2D0B" w:rsidRPr="00775D11" w:rsidRDefault="00EB2D0B" w:rsidP="008D76A9">
      <w:pPr>
        <w:pStyle w:val="Bullet"/>
        <w:spacing w:before="60"/>
      </w:pPr>
      <w:r w:rsidRPr="00775D11">
        <w:t>Baby Box</w:t>
      </w:r>
    </w:p>
    <w:p w14:paraId="19F2632A" w14:textId="6CB398B2" w:rsidR="00EB2D0B" w:rsidRPr="00775D11" w:rsidRDefault="00EB2D0B" w:rsidP="008D76A9">
      <w:pPr>
        <w:pStyle w:val="Bullet"/>
        <w:spacing w:before="60"/>
      </w:pPr>
      <w:r w:rsidRPr="00775D11">
        <w:t xml:space="preserve">bassinets </w:t>
      </w:r>
    </w:p>
    <w:p w14:paraId="02D30459" w14:textId="77777777" w:rsidR="00EB2D0B" w:rsidRPr="00775D11" w:rsidRDefault="00EB2D0B" w:rsidP="008D76A9">
      <w:pPr>
        <w:pStyle w:val="Bullet"/>
        <w:spacing w:before="60"/>
      </w:pPr>
      <w:proofErr w:type="gramStart"/>
      <w:r w:rsidRPr="00775D11">
        <w:t>other</w:t>
      </w:r>
      <w:proofErr w:type="gramEnd"/>
      <w:r w:rsidRPr="00775D11">
        <w:t xml:space="preserve"> </w:t>
      </w:r>
      <w:r>
        <w:t xml:space="preserve">SSDs </w:t>
      </w:r>
      <w:r w:rsidRPr="00775D11">
        <w:t xml:space="preserve">– cots, cribs and </w:t>
      </w:r>
      <w:proofErr w:type="spellStart"/>
      <w:r w:rsidRPr="00775D11">
        <w:t>portacots</w:t>
      </w:r>
      <w:proofErr w:type="spellEnd"/>
      <w:r w:rsidR="002A30DF">
        <w:t>.</w:t>
      </w:r>
    </w:p>
    <w:p w14:paraId="745A85BF" w14:textId="77777777" w:rsidR="002A30DF" w:rsidRDefault="002A30DF" w:rsidP="000330C3"/>
    <w:p w14:paraId="115C16E4" w14:textId="4970EB6B" w:rsidR="00EB2D0B" w:rsidRPr="00775D11" w:rsidRDefault="00EB2D0B" w:rsidP="000330C3">
      <w:pPr>
        <w:rPr>
          <w:rFonts w:eastAsiaTheme="majorEastAsia"/>
        </w:rPr>
      </w:pPr>
      <w:r w:rsidRPr="00775D11">
        <w:t xml:space="preserve">They also address design and construction issues related to wahakura and </w:t>
      </w:r>
      <w:proofErr w:type="spellStart"/>
      <w:r w:rsidRPr="00775D11">
        <w:t>Pēpi</w:t>
      </w:r>
      <w:proofErr w:type="spellEnd"/>
      <w:r w:rsidRPr="00775D11">
        <w:t>-Pod</w:t>
      </w:r>
      <w:r>
        <w:t>s</w:t>
      </w:r>
      <w:r w:rsidRPr="000330C3">
        <w:t>®.</w:t>
      </w:r>
    </w:p>
    <w:p w14:paraId="14E6F64F" w14:textId="77777777" w:rsidR="00EB2D0B" w:rsidRPr="00775D11" w:rsidRDefault="00EB2D0B" w:rsidP="000330C3">
      <w:pPr>
        <w:pStyle w:val="Heading1"/>
      </w:pPr>
      <w:bookmarkStart w:id="20" w:name="_Toc4502395"/>
      <w:bookmarkStart w:id="21" w:name="_Toc7704175"/>
      <w:r w:rsidRPr="00775D11">
        <w:lastRenderedPageBreak/>
        <w:t>Wahakura</w:t>
      </w:r>
      <w:bookmarkEnd w:id="20"/>
      <w:bookmarkEnd w:id="21"/>
    </w:p>
    <w:p w14:paraId="7B83E121" w14:textId="77777777" w:rsidR="00B02DAB" w:rsidRDefault="00EB2D0B" w:rsidP="000330C3">
      <w:r w:rsidRPr="00775D11">
        <w:t xml:space="preserve">The wahakura (Figure 1) is a flax-woven </w:t>
      </w:r>
      <w:r>
        <w:t>in</w:t>
      </w:r>
      <w:r w:rsidR="002A30DF">
        <w:t>-</w:t>
      </w:r>
      <w:r>
        <w:t xml:space="preserve">bed capable </w:t>
      </w:r>
      <w:r w:rsidRPr="00775D11">
        <w:t xml:space="preserve">SSD that enables </w:t>
      </w:r>
      <w:r>
        <w:t>families and whānau</w:t>
      </w:r>
      <w:r w:rsidRPr="00775D11">
        <w:t xml:space="preserve"> to keep baby close, including during sleep.</w:t>
      </w:r>
    </w:p>
    <w:p w14:paraId="0D60A42E" w14:textId="77777777" w:rsidR="00EB2D0B" w:rsidRPr="00775D11" w:rsidRDefault="00EB2D0B" w:rsidP="000330C3"/>
    <w:p w14:paraId="4F872F7C" w14:textId="77777777" w:rsidR="00B02DAB" w:rsidRDefault="00EB2D0B" w:rsidP="000330C3">
      <w:r w:rsidRPr="00775D11">
        <w:t>Wahakura were introduced in the mid</w:t>
      </w:r>
      <w:r>
        <w:t>-</w:t>
      </w:r>
      <w:r w:rsidRPr="00775D11">
        <w:t>2000s to address the SUDI rate among Māori infants, which was approximately six times higher than the rate for non-Māori infants, and to change the nature of bed sharing in a way that is culturally appropriate to Māori mothers. Wahakura as an SSD were piloted in Gisborne in 2006 and Hawke</w:t>
      </w:r>
      <w:r w:rsidR="00B02DAB">
        <w:t>’</w:t>
      </w:r>
      <w:r w:rsidRPr="00775D11">
        <w:t>s Bay in 2007.</w:t>
      </w:r>
    </w:p>
    <w:p w14:paraId="1035796C" w14:textId="77777777" w:rsidR="00EB2D0B" w:rsidRPr="00775D11" w:rsidRDefault="00EB2D0B" w:rsidP="000330C3"/>
    <w:p w14:paraId="6E7FE1BF" w14:textId="77777777" w:rsidR="00B02DAB" w:rsidRDefault="00EB2D0B" w:rsidP="000330C3">
      <w:r w:rsidRPr="00775D11">
        <w:t xml:space="preserve">Wahakura are a </w:t>
      </w:r>
      <w:proofErr w:type="spellStart"/>
      <w:r w:rsidRPr="00775D11">
        <w:t>taonga</w:t>
      </w:r>
      <w:proofErr w:type="spellEnd"/>
      <w:r w:rsidRPr="00775D11">
        <w:t xml:space="preserve"> (prized resource), which are embedded in Māori </w:t>
      </w:r>
      <w:proofErr w:type="spellStart"/>
      <w:r w:rsidRPr="00775D11">
        <w:t>tikanga</w:t>
      </w:r>
      <w:proofErr w:type="spellEnd"/>
      <w:r w:rsidRPr="00775D11">
        <w:t xml:space="preserve"> (customs) and the values of marae (traditional community complexes). The marae is the essence of what connects Māori to their whakapapa (genealogy). Wahakura </w:t>
      </w:r>
      <w:proofErr w:type="spellStart"/>
      <w:r w:rsidRPr="00775D11">
        <w:t>raranga</w:t>
      </w:r>
      <w:proofErr w:type="spellEnd"/>
      <w:r w:rsidRPr="00775D11">
        <w:t xml:space="preserve"> (plaiting) and </w:t>
      </w:r>
      <w:proofErr w:type="spellStart"/>
      <w:r w:rsidRPr="00775D11">
        <w:t>whiri</w:t>
      </w:r>
      <w:proofErr w:type="spellEnd"/>
      <w:r w:rsidRPr="00775D11">
        <w:t xml:space="preserve"> (braiding) weaving techniques must combine to produce stiff, rigid or taut sides that will prevent collapsing, ensure a flat base and provide overall strength that guarantees baby</w:t>
      </w:r>
      <w:r w:rsidR="00B02DAB">
        <w:t>’</w:t>
      </w:r>
      <w:r w:rsidRPr="00775D11">
        <w:t>s safety.</w:t>
      </w:r>
    </w:p>
    <w:p w14:paraId="3B046176" w14:textId="77777777" w:rsidR="00EB2D0B" w:rsidRPr="00775D11" w:rsidRDefault="00EB2D0B" w:rsidP="000330C3"/>
    <w:p w14:paraId="321BB61F" w14:textId="77777777" w:rsidR="00EB2D0B" w:rsidRPr="00775D11" w:rsidRDefault="00EB2D0B" w:rsidP="000330C3">
      <w:pPr>
        <w:pStyle w:val="Heading2"/>
      </w:pPr>
      <w:bookmarkStart w:id="22" w:name="_Toc4502396"/>
      <w:bookmarkStart w:id="23" w:name="_Toc7704176"/>
      <w:proofErr w:type="spellStart"/>
      <w:r w:rsidRPr="00775D11">
        <w:t>W</w:t>
      </w:r>
      <w:r w:rsidRPr="00775D11">
        <w:rPr>
          <w:rFonts w:cstheme="minorHAnsi"/>
        </w:rPr>
        <w:t>ā</w:t>
      </w:r>
      <w:r w:rsidRPr="00775D11">
        <w:t>nanga</w:t>
      </w:r>
      <w:proofErr w:type="spellEnd"/>
      <w:r w:rsidRPr="00775D11">
        <w:t xml:space="preserve"> wahakura</w:t>
      </w:r>
      <w:bookmarkEnd w:id="22"/>
      <w:bookmarkEnd w:id="23"/>
    </w:p>
    <w:p w14:paraId="6C269D53" w14:textId="77777777" w:rsidR="00EB2D0B" w:rsidRPr="00775D11" w:rsidRDefault="00EB2D0B" w:rsidP="000330C3">
      <w:r w:rsidRPr="00775D11">
        <w:t xml:space="preserve">Wahakura weaving is taught to whānau to help meet the demand for </w:t>
      </w:r>
      <w:r>
        <w:t xml:space="preserve">SSDs </w:t>
      </w:r>
      <w:r w:rsidRPr="00775D11">
        <w:t>in Māori communities. Teaching whānau how to weave wahakura in a traditional setting using traditional methods, together with promoting safe sleep messages, has resulted in Māori safe sleep alternatives to bed sharing of adults and infants.</w:t>
      </w:r>
      <w:r w:rsidRPr="000330C3">
        <w:rPr>
          <w:rStyle w:val="FootnoteReference"/>
        </w:rPr>
        <w:footnoteReference w:id="5"/>
      </w:r>
      <w:r w:rsidRPr="00775D11">
        <w:t xml:space="preserve"> (See </w:t>
      </w:r>
      <w:hyperlink w:anchor="_Appendix_2:_Summary" w:history="1">
        <w:r w:rsidR="00345330" w:rsidRPr="00345330">
          <w:t>Appendix 2</w:t>
        </w:r>
      </w:hyperlink>
      <w:r w:rsidRPr="00345330">
        <w:t xml:space="preserve"> for</w:t>
      </w:r>
      <w:r w:rsidRPr="00775D11">
        <w:t xml:space="preserve"> a summary of guidelines for weaving a wahakura.)</w:t>
      </w:r>
    </w:p>
    <w:p w14:paraId="206E5FBB" w14:textId="77777777" w:rsidR="00EB2D0B" w:rsidRPr="00775D11" w:rsidRDefault="00EB2D0B" w:rsidP="000330C3"/>
    <w:p w14:paraId="455B5609" w14:textId="77777777" w:rsidR="00EB2D0B" w:rsidRPr="00775D11" w:rsidRDefault="00EB2D0B" w:rsidP="000330C3">
      <w:pPr>
        <w:pStyle w:val="Figure"/>
      </w:pPr>
      <w:bookmarkStart w:id="24" w:name="_Toc4502412"/>
      <w:bookmarkStart w:id="25" w:name="_Toc5652204"/>
      <w:r w:rsidRPr="00775D11">
        <w:t xml:space="preserve">Figure </w:t>
      </w:r>
      <w:r w:rsidR="00F60387">
        <w:rPr>
          <w:noProof/>
        </w:rPr>
        <w:fldChar w:fldCharType="begin"/>
      </w:r>
      <w:r w:rsidR="00F60387">
        <w:rPr>
          <w:noProof/>
        </w:rPr>
        <w:instrText xml:space="preserve"> SEQ Figure \* ARABIC </w:instrText>
      </w:r>
      <w:r w:rsidR="00F60387">
        <w:rPr>
          <w:noProof/>
        </w:rPr>
        <w:fldChar w:fldCharType="separate"/>
      </w:r>
      <w:r w:rsidR="008D76A9">
        <w:rPr>
          <w:noProof/>
        </w:rPr>
        <w:t>1</w:t>
      </w:r>
      <w:r w:rsidR="00F60387">
        <w:rPr>
          <w:noProof/>
        </w:rPr>
        <w:fldChar w:fldCharType="end"/>
      </w:r>
      <w:r w:rsidR="000330C3">
        <w:t>:</w:t>
      </w:r>
      <w:r w:rsidRPr="00775D11">
        <w:t xml:space="preserve"> Wahakura</w:t>
      </w:r>
      <w:bookmarkEnd w:id="24"/>
      <w:bookmarkEnd w:id="25"/>
    </w:p>
    <w:p w14:paraId="5C006D96" w14:textId="77777777" w:rsidR="00EB2D0B" w:rsidRPr="00775D11" w:rsidRDefault="00EB2D0B" w:rsidP="000330C3">
      <w:r w:rsidRPr="00775D11">
        <w:rPr>
          <w:noProof/>
          <w:lang w:eastAsia="en-NZ"/>
        </w:rPr>
        <w:drawing>
          <wp:inline distT="0" distB="0" distL="0" distR="0" wp14:anchorId="188FB646" wp14:editId="5C506622">
            <wp:extent cx="2467601" cy="1850701"/>
            <wp:effectExtent l="0" t="0" r="9525" b="0"/>
            <wp:docPr id="1" name="Picture 1" title="Figure 1: Wah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652.JPG"/>
                    <pic:cNvPicPr/>
                  </pic:nvPicPr>
                  <pic:blipFill>
                    <a:blip r:embed="rId26" cstate="print">
                      <a:extLst>
                        <a:ext uri="{28A0092B-C50C-407E-A947-70E740481C1C}">
                          <a14:useLocalDpi xmlns:a14="http://schemas.microsoft.com/office/drawing/2010/main" val="0"/>
                        </a:ext>
                      </a:extLst>
                    </a:blip>
                    <a:stretch>
                      <a:fillRect/>
                    </a:stretch>
                  </pic:blipFill>
                  <pic:spPr>
                    <a:xfrm rot="10800000">
                      <a:off x="0" y="0"/>
                      <a:ext cx="2474844" cy="1856133"/>
                    </a:xfrm>
                    <a:prstGeom prst="rect">
                      <a:avLst/>
                    </a:prstGeom>
                  </pic:spPr>
                </pic:pic>
              </a:graphicData>
            </a:graphic>
          </wp:inline>
        </w:drawing>
      </w:r>
    </w:p>
    <w:p w14:paraId="1778F6ED" w14:textId="77777777" w:rsidR="00EB2D0B" w:rsidRDefault="00EB2D0B" w:rsidP="000330C3">
      <w:pPr>
        <w:pStyle w:val="Source"/>
      </w:pPr>
      <w:r w:rsidRPr="00775D11">
        <w:rPr>
          <w:rFonts w:ascii="Calibri" w:eastAsia="Calibri" w:hAnsi="Calibri"/>
        </w:rPr>
        <w:t xml:space="preserve">Source: </w:t>
      </w:r>
      <w:r w:rsidRPr="000330C3">
        <w:t xml:space="preserve">David </w:t>
      </w:r>
      <w:proofErr w:type="spellStart"/>
      <w:r w:rsidRPr="000330C3">
        <w:t>Tipene</w:t>
      </w:r>
      <w:proofErr w:type="spellEnd"/>
      <w:r w:rsidRPr="000330C3">
        <w:t>-Leach (25 May 2018)</w:t>
      </w:r>
    </w:p>
    <w:p w14:paraId="16A59700" w14:textId="77777777" w:rsidR="000330C3" w:rsidRPr="000330C3" w:rsidRDefault="000330C3" w:rsidP="000330C3"/>
    <w:p w14:paraId="699E979D" w14:textId="77777777" w:rsidR="00B02DAB" w:rsidRDefault="00EB2D0B" w:rsidP="000330C3">
      <w:pPr>
        <w:pStyle w:val="Heading1"/>
      </w:pPr>
      <w:bookmarkStart w:id="26" w:name="_Toc4502397"/>
      <w:bookmarkStart w:id="27" w:name="_Toc7704177"/>
      <w:proofErr w:type="spellStart"/>
      <w:r w:rsidRPr="00775D11">
        <w:lastRenderedPageBreak/>
        <w:t>Pēpi</w:t>
      </w:r>
      <w:proofErr w:type="spellEnd"/>
      <w:r w:rsidRPr="00775D11">
        <w:t>-Pod®</w:t>
      </w:r>
      <w:bookmarkEnd w:id="26"/>
      <w:bookmarkEnd w:id="27"/>
    </w:p>
    <w:p w14:paraId="042B6038" w14:textId="77777777" w:rsidR="00B02DAB" w:rsidRDefault="00EB2D0B" w:rsidP="000330C3">
      <w:pPr>
        <w:rPr>
          <w:lang w:eastAsia="en-NZ"/>
        </w:rPr>
      </w:pPr>
      <w:r w:rsidRPr="00775D11">
        <w:rPr>
          <w:lang w:eastAsia="en-NZ"/>
        </w:rPr>
        <w:t xml:space="preserve">The </w:t>
      </w:r>
      <w:proofErr w:type="spellStart"/>
      <w:r w:rsidRPr="00775D11">
        <w:rPr>
          <w:lang w:eastAsia="en-NZ"/>
        </w:rPr>
        <w:t>Pēpi</w:t>
      </w:r>
      <w:proofErr w:type="spellEnd"/>
      <w:r w:rsidRPr="00775D11">
        <w:rPr>
          <w:lang w:eastAsia="en-NZ"/>
        </w:rPr>
        <w:t xml:space="preserve"> Pod</w:t>
      </w:r>
      <w:r w:rsidRPr="00775D11">
        <w:rPr>
          <w:b/>
          <w:bCs/>
          <w:lang w:eastAsia="en-NZ"/>
        </w:rPr>
        <w:t>®</w:t>
      </w:r>
      <w:r>
        <w:rPr>
          <w:lang w:eastAsia="en-NZ"/>
        </w:rPr>
        <w:t xml:space="preserve"> (Figure 2) is an in-bed capable </w:t>
      </w:r>
      <w:r w:rsidRPr="00775D11">
        <w:rPr>
          <w:lang w:eastAsia="en-NZ"/>
        </w:rPr>
        <w:t xml:space="preserve">infant bed, made from polypropylene, a food-grade plastic, and fitted with mattress and bedding. The SSD is part of a programme of education to protect infants against accidental suffocation during sleep. The term </w:t>
      </w:r>
      <w:proofErr w:type="spellStart"/>
      <w:r w:rsidRPr="00775D11">
        <w:rPr>
          <w:lang w:eastAsia="en-NZ"/>
        </w:rPr>
        <w:t>Pēpi</w:t>
      </w:r>
      <w:proofErr w:type="spellEnd"/>
      <w:r w:rsidRPr="00775D11">
        <w:rPr>
          <w:lang w:eastAsia="en-NZ"/>
        </w:rPr>
        <w:t>-Pod® is a registered trademark with the Intellectual Property Office of New Zealand</w:t>
      </w:r>
      <w:r>
        <w:rPr>
          <w:lang w:eastAsia="en-NZ"/>
        </w:rPr>
        <w:t>.</w:t>
      </w:r>
    </w:p>
    <w:p w14:paraId="0F16F354" w14:textId="77777777" w:rsidR="00EB2D0B" w:rsidRPr="00775D11" w:rsidRDefault="00EB2D0B" w:rsidP="000330C3">
      <w:pPr>
        <w:rPr>
          <w:lang w:eastAsia="en-NZ"/>
        </w:rPr>
      </w:pPr>
    </w:p>
    <w:p w14:paraId="7E818CB8" w14:textId="77777777" w:rsidR="00EB2D0B" w:rsidRDefault="00EB2D0B" w:rsidP="000330C3">
      <w:pPr>
        <w:rPr>
          <w:lang w:eastAsia="en-NZ"/>
        </w:rPr>
      </w:pPr>
      <w:r w:rsidRPr="00775D11">
        <w:rPr>
          <w:lang w:eastAsia="en-NZ"/>
        </w:rPr>
        <w:t xml:space="preserve">In 2010, the SSD was introduced to </w:t>
      </w:r>
      <w:r>
        <w:rPr>
          <w:lang w:eastAsia="en-NZ"/>
        </w:rPr>
        <w:t>families and whānau</w:t>
      </w:r>
      <w:r w:rsidRPr="00775D11">
        <w:rPr>
          <w:lang w:eastAsia="en-NZ"/>
        </w:rPr>
        <w:t xml:space="preserve"> for concept testing and served as an emergency response during the Canterbury earthquakes of 2011. </w:t>
      </w:r>
      <w:proofErr w:type="spellStart"/>
      <w:r w:rsidRPr="00775D11">
        <w:rPr>
          <w:lang w:eastAsia="en-NZ"/>
        </w:rPr>
        <w:t>Pēpi</w:t>
      </w:r>
      <w:proofErr w:type="spellEnd"/>
      <w:r w:rsidRPr="00775D11">
        <w:rPr>
          <w:lang w:eastAsia="en-NZ"/>
        </w:rPr>
        <w:t xml:space="preserve">-Pods® are offered by Change for our Children Limited to </w:t>
      </w:r>
      <w:r>
        <w:rPr>
          <w:lang w:eastAsia="en-NZ"/>
        </w:rPr>
        <w:t>families and whānau</w:t>
      </w:r>
      <w:r w:rsidRPr="00775D11">
        <w:rPr>
          <w:lang w:eastAsia="en-NZ"/>
        </w:rPr>
        <w:t xml:space="preserve"> of babies at increased risk of accidental suffocation. (See </w:t>
      </w:r>
      <w:hyperlink w:anchor="_Appendix_3:_Cleaning" w:history="1">
        <w:r w:rsidR="00345330" w:rsidRPr="00345330">
          <w:rPr>
            <w:lang w:eastAsia="en-NZ"/>
          </w:rPr>
          <w:t>Appendix 3</w:t>
        </w:r>
      </w:hyperlink>
      <w:r w:rsidRPr="00345330">
        <w:t xml:space="preserve"> for i</w:t>
      </w:r>
      <w:r w:rsidRPr="00775D11">
        <w:rPr>
          <w:lang w:eastAsia="en-NZ"/>
        </w:rPr>
        <w:t xml:space="preserve">nformation on cleaning and disinfecting a </w:t>
      </w:r>
      <w:proofErr w:type="spellStart"/>
      <w:r w:rsidRPr="00775D11">
        <w:rPr>
          <w:lang w:eastAsia="en-NZ"/>
        </w:rPr>
        <w:t>Pēpi</w:t>
      </w:r>
      <w:proofErr w:type="spellEnd"/>
      <w:r w:rsidRPr="00775D11">
        <w:rPr>
          <w:lang w:eastAsia="en-NZ"/>
        </w:rPr>
        <w:t>-Pod®</w:t>
      </w:r>
      <w:r w:rsidR="000330C3">
        <w:rPr>
          <w:lang w:eastAsia="en-NZ"/>
        </w:rPr>
        <w:t>.</w:t>
      </w:r>
      <w:r w:rsidRPr="00775D11">
        <w:rPr>
          <w:lang w:eastAsia="en-NZ"/>
        </w:rPr>
        <w:t>)</w:t>
      </w:r>
    </w:p>
    <w:p w14:paraId="4B005951" w14:textId="77777777" w:rsidR="00EB2D0B" w:rsidRDefault="00EB2D0B" w:rsidP="000330C3">
      <w:pPr>
        <w:rPr>
          <w:lang w:eastAsia="en-NZ"/>
        </w:rPr>
      </w:pPr>
    </w:p>
    <w:p w14:paraId="676F569C" w14:textId="77777777" w:rsidR="00B02DAB" w:rsidRDefault="00EB2D0B" w:rsidP="000330C3">
      <w:r w:rsidRPr="00775D11">
        <w:t xml:space="preserve">A wahakura or a </w:t>
      </w:r>
      <w:proofErr w:type="spellStart"/>
      <w:r w:rsidRPr="00775D11">
        <w:t>Pēpi</w:t>
      </w:r>
      <w:proofErr w:type="spellEnd"/>
      <w:r w:rsidRPr="00775D11">
        <w:t xml:space="preserve">-Pod® provides a </w:t>
      </w:r>
      <w:r w:rsidR="00B02DAB">
        <w:t>‘</w:t>
      </w:r>
      <w:r w:rsidRPr="00775D11">
        <w:t>zone of protection</w:t>
      </w:r>
      <w:r w:rsidR="00B02DAB">
        <w:t>’</w:t>
      </w:r>
      <w:r w:rsidRPr="00775D11">
        <w:t xml:space="preserve"> against accidental suffocation, particularly when adults and infants are bed sharing and where the mother smoked during pregnancy.</w:t>
      </w:r>
      <w:r>
        <w:t xml:space="preserve"> </w:t>
      </w:r>
      <w:r w:rsidRPr="00775D11">
        <w:t>Bringing the SSD into the parental bed also enhances the valued sense of closeness that bed sharing provides. It improves safety by decoupling the high-risk combination of smoke exposure during pregnancy and direct bed sharing.</w:t>
      </w:r>
    </w:p>
    <w:p w14:paraId="355A84E0" w14:textId="77777777" w:rsidR="00EB2D0B" w:rsidRPr="00775D11" w:rsidRDefault="00EB2D0B" w:rsidP="000330C3">
      <w:pPr>
        <w:rPr>
          <w:lang w:eastAsia="en-NZ"/>
        </w:rPr>
      </w:pPr>
    </w:p>
    <w:p w14:paraId="6CA855EC" w14:textId="77777777" w:rsidR="00B02DAB" w:rsidRDefault="00EB2D0B" w:rsidP="000330C3">
      <w:pPr>
        <w:pStyle w:val="Figure"/>
      </w:pPr>
      <w:bookmarkStart w:id="28" w:name="_Toc4502413"/>
      <w:bookmarkStart w:id="29" w:name="_Toc5652205"/>
      <w:r w:rsidRPr="00775D11">
        <w:t xml:space="preserve">Figure </w:t>
      </w:r>
      <w:r w:rsidR="00F60387">
        <w:rPr>
          <w:noProof/>
        </w:rPr>
        <w:fldChar w:fldCharType="begin"/>
      </w:r>
      <w:r w:rsidR="00F60387">
        <w:rPr>
          <w:noProof/>
        </w:rPr>
        <w:instrText xml:space="preserve"> SEQ Figure \* ARABIC </w:instrText>
      </w:r>
      <w:r w:rsidR="00F60387">
        <w:rPr>
          <w:noProof/>
        </w:rPr>
        <w:fldChar w:fldCharType="separate"/>
      </w:r>
      <w:r w:rsidR="008D76A9">
        <w:rPr>
          <w:noProof/>
        </w:rPr>
        <w:t>2</w:t>
      </w:r>
      <w:r w:rsidR="00F60387">
        <w:rPr>
          <w:noProof/>
        </w:rPr>
        <w:fldChar w:fldCharType="end"/>
      </w:r>
      <w:r w:rsidR="000330C3">
        <w:t>:</w:t>
      </w:r>
      <w:r w:rsidRPr="00775D11">
        <w:t xml:space="preserve"> </w:t>
      </w:r>
      <w:proofErr w:type="spellStart"/>
      <w:r w:rsidRPr="00775D11">
        <w:t>Pēpi</w:t>
      </w:r>
      <w:proofErr w:type="spellEnd"/>
      <w:r w:rsidRPr="00775D11">
        <w:t>-Pod®</w:t>
      </w:r>
      <w:bookmarkEnd w:id="28"/>
      <w:bookmarkEnd w:id="29"/>
    </w:p>
    <w:p w14:paraId="10F522B1" w14:textId="77777777" w:rsidR="00EB2D0B" w:rsidRPr="00775D11" w:rsidRDefault="00EB2D0B" w:rsidP="000330C3">
      <w:r w:rsidRPr="00775D11">
        <w:rPr>
          <w:noProof/>
          <w:lang w:eastAsia="en-NZ"/>
        </w:rPr>
        <w:drawing>
          <wp:inline distT="0" distB="0" distL="0" distR="0" wp14:anchorId="136B03DD" wp14:editId="0B800324">
            <wp:extent cx="2463356" cy="1839914"/>
            <wp:effectExtent l="0" t="0" r="0" b="8255"/>
            <wp:docPr id="8" name="Picture 8" descr="http://www.changeforourchildren.nz/files/images/content/PepiPodProgrammePages/IMG_2670.JPG" title="Figure 2: Pēpi-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ngeforourchildren.nz/files/images/content/PepiPodProgrammePages/IMG_267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71810" cy="1846228"/>
                    </a:xfrm>
                    <a:prstGeom prst="rect">
                      <a:avLst/>
                    </a:prstGeom>
                    <a:noFill/>
                    <a:ln>
                      <a:noFill/>
                    </a:ln>
                  </pic:spPr>
                </pic:pic>
              </a:graphicData>
            </a:graphic>
          </wp:inline>
        </w:drawing>
      </w:r>
    </w:p>
    <w:p w14:paraId="27409FC4" w14:textId="77777777" w:rsidR="00EB2D0B" w:rsidRPr="000330C3" w:rsidRDefault="00EB2D0B" w:rsidP="000330C3">
      <w:pPr>
        <w:pStyle w:val="Source"/>
      </w:pPr>
      <w:r w:rsidRPr="000330C3">
        <w:t xml:space="preserve">Source: Change for our Children, </w:t>
      </w:r>
      <w:hyperlink r:id="rId28" w:history="1">
        <w:r w:rsidRPr="000330C3">
          <w:rPr>
            <w:rStyle w:val="Hyperlink"/>
          </w:rPr>
          <w:t>www.changeforourchildren.nz/pepi_pod_programme/windows_upgrade</w:t>
        </w:r>
      </w:hyperlink>
    </w:p>
    <w:p w14:paraId="753DF645" w14:textId="77777777" w:rsidR="000330C3" w:rsidRPr="000330C3" w:rsidRDefault="000330C3" w:rsidP="000330C3"/>
    <w:p w14:paraId="651DADA0" w14:textId="77777777" w:rsidR="00EB2D0B" w:rsidRPr="00775D11" w:rsidRDefault="00EB2D0B" w:rsidP="000330C3">
      <w:pPr>
        <w:pStyle w:val="Heading1"/>
      </w:pPr>
      <w:bookmarkStart w:id="30" w:name="_Toc2173477"/>
      <w:bookmarkStart w:id="31" w:name="_Toc4502398"/>
      <w:bookmarkStart w:id="32" w:name="_Toc7704178"/>
      <w:r w:rsidRPr="00775D11">
        <w:lastRenderedPageBreak/>
        <w:t>Baby Box</w:t>
      </w:r>
      <w:bookmarkEnd w:id="30"/>
      <w:bookmarkEnd w:id="31"/>
      <w:bookmarkEnd w:id="32"/>
    </w:p>
    <w:p w14:paraId="3E9AB701" w14:textId="77777777" w:rsidR="00B02DAB" w:rsidRDefault="00EB2D0B" w:rsidP="000330C3">
      <w:r w:rsidRPr="00775D11">
        <w:t>The Baby Box is a concept developed in Finland and was originally introduced to support the reduction of infant mortality by providing essential items such as baby clothes, shawls, play mats, bedding, books etc.</w:t>
      </w:r>
    </w:p>
    <w:p w14:paraId="506B8012" w14:textId="77777777" w:rsidR="00EB2D0B" w:rsidRPr="00775D11" w:rsidRDefault="00EB2D0B" w:rsidP="000330C3"/>
    <w:p w14:paraId="471D2328" w14:textId="75B342B8" w:rsidR="00B02DAB" w:rsidRDefault="00EB2D0B" w:rsidP="000330C3">
      <w:r w:rsidRPr="00775D11">
        <w:t xml:space="preserve">In 2015, a charity </w:t>
      </w:r>
      <w:r w:rsidR="00804EBA">
        <w:t xml:space="preserve">called Baby Start New Zealand </w:t>
      </w:r>
      <w:r w:rsidRPr="00775D11">
        <w:t xml:space="preserve">was set up to provide Baby Boxes to the New Zealand market. </w:t>
      </w:r>
      <w:r w:rsidR="00804EBA">
        <w:t xml:space="preserve">Baby Boxes are </w:t>
      </w:r>
      <w:r w:rsidRPr="00775D11">
        <w:t xml:space="preserve">made from reinforced cardboard (as well as the essential items referred to above) and comes with a mattress and bedding, which can serve as </w:t>
      </w:r>
      <w:r>
        <w:t>a</w:t>
      </w:r>
      <w:r w:rsidRPr="00775D11">
        <w:t xml:space="preserve"> SSD. The Baby Box is not an </w:t>
      </w:r>
      <w:r w:rsidR="00B02DAB">
        <w:t>‘</w:t>
      </w:r>
      <w:r w:rsidRPr="00775D11">
        <w:t>in-bed capable</w:t>
      </w:r>
      <w:r w:rsidR="00B02DAB">
        <w:t>’</w:t>
      </w:r>
      <w:r w:rsidRPr="00775D11">
        <w:t xml:space="preserve"> device. When baby is placed in a Baby Box, the SSD should be placed on the floor. The primary focus of a Baby Box is not as a safe sleep device but a total care package to support a family or whānau following the birth of a new baby.</w:t>
      </w:r>
    </w:p>
    <w:p w14:paraId="43DA8F98" w14:textId="77777777" w:rsidR="00EB2D0B" w:rsidRPr="00775D11" w:rsidRDefault="00EB2D0B" w:rsidP="000330C3"/>
    <w:p w14:paraId="32C3A0CC" w14:textId="77777777" w:rsidR="00EB2D0B" w:rsidRPr="00775D11" w:rsidRDefault="00EB2D0B" w:rsidP="000330C3">
      <w:pPr>
        <w:pStyle w:val="Heading1"/>
      </w:pPr>
      <w:bookmarkStart w:id="33" w:name="_Toc4502399"/>
      <w:bookmarkStart w:id="34" w:name="_Toc7704179"/>
      <w:r w:rsidRPr="00775D11">
        <w:lastRenderedPageBreak/>
        <w:t xml:space="preserve">Design and construction of the </w:t>
      </w:r>
      <w:proofErr w:type="spellStart"/>
      <w:r w:rsidRPr="00775D11">
        <w:t>Pēpi</w:t>
      </w:r>
      <w:proofErr w:type="spellEnd"/>
      <w:r w:rsidRPr="00775D11">
        <w:t>-Pod® and wahakura</w:t>
      </w:r>
      <w:bookmarkEnd w:id="33"/>
      <w:bookmarkEnd w:id="34"/>
    </w:p>
    <w:p w14:paraId="15FC7F23" w14:textId="77777777" w:rsidR="00EB2D0B" w:rsidRPr="00775D11" w:rsidRDefault="00EB2D0B" w:rsidP="000330C3">
      <w:r w:rsidRPr="00775D11">
        <w:t xml:space="preserve">Portable SSDs offer a safety solution while a baby is developmentally vulnerable and when other infant bed options may not be available or suitable. Accordingly, these guidelines reflect the developmental needs of infants as well as the physical attributes of a device if </w:t>
      </w:r>
      <w:r w:rsidR="00B02DAB">
        <w:t>‘</w:t>
      </w:r>
      <w:r w:rsidRPr="00775D11">
        <w:t>in-bed capable</w:t>
      </w:r>
      <w:r w:rsidR="00B02DAB">
        <w:t>’</w:t>
      </w:r>
      <w:r w:rsidRPr="00775D11">
        <w:t xml:space="preserve"> devices</w:t>
      </w:r>
      <w:r w:rsidRPr="000330C3">
        <w:rPr>
          <w:rStyle w:val="FootnoteReference"/>
        </w:rPr>
        <w:footnoteReference w:id="6"/>
      </w:r>
      <w:r w:rsidRPr="00775D11">
        <w:t xml:space="preserve"> are to be useful in preventing SUDI. Two of the main considerations in the acceptability of the original </w:t>
      </w:r>
      <w:proofErr w:type="spellStart"/>
      <w:r w:rsidRPr="00775D11">
        <w:t>Pēpi</w:t>
      </w:r>
      <w:proofErr w:type="spellEnd"/>
      <w:r w:rsidRPr="00775D11">
        <w:t>-Pod® were:</w:t>
      </w:r>
    </w:p>
    <w:p w14:paraId="12A63111" w14:textId="77777777" w:rsidR="00B02DAB" w:rsidRDefault="00EB2D0B" w:rsidP="005C45B1">
      <w:pPr>
        <w:pStyle w:val="Bullet"/>
      </w:pPr>
      <w:r w:rsidRPr="00775D11">
        <w:t>the height of the sides, which needs to make it easy for parents and caregivers to offer a comforting touch and to observe and respond to baby</w:t>
      </w:r>
    </w:p>
    <w:p w14:paraId="0CB51A5E" w14:textId="77777777" w:rsidR="00B02DAB" w:rsidRDefault="00EB2D0B" w:rsidP="005C45B1">
      <w:pPr>
        <w:pStyle w:val="Bullet"/>
      </w:pPr>
      <w:r w:rsidRPr="00775D11">
        <w:t xml:space="preserve">the width of the pods, because if the </w:t>
      </w:r>
      <w:proofErr w:type="spellStart"/>
      <w:r w:rsidRPr="00775D11">
        <w:t>Pēpi</w:t>
      </w:r>
      <w:proofErr w:type="spellEnd"/>
      <w:r w:rsidRPr="00775D11">
        <w:t xml:space="preserve">-Pod® is too narrow, baby will not be able to fit in it throughout the vulnerable age and if it is too wide, </w:t>
      </w:r>
      <w:r>
        <w:t xml:space="preserve">it </w:t>
      </w:r>
      <w:r w:rsidRPr="00775D11">
        <w:t>will not fit in the adult bed so will not be useful for safe bed-sharing.</w:t>
      </w:r>
    </w:p>
    <w:p w14:paraId="1AC13CAD" w14:textId="77777777" w:rsidR="00EB2D0B" w:rsidRPr="00775D11" w:rsidRDefault="00EB2D0B" w:rsidP="000330C3"/>
    <w:p w14:paraId="024178FE" w14:textId="77777777" w:rsidR="00EB2D0B" w:rsidRPr="00775D11" w:rsidRDefault="00EB2D0B" w:rsidP="000330C3">
      <w:r w:rsidRPr="00775D11">
        <w:t xml:space="preserve">Table 1 describes generic physical features important to the effective use of an </w:t>
      </w:r>
      <w:r w:rsidR="00B02DAB">
        <w:t>‘</w:t>
      </w:r>
      <w:r w:rsidRPr="00775D11">
        <w:t>in-bed capable</w:t>
      </w:r>
      <w:r w:rsidR="00B02DAB">
        <w:t>’</w:t>
      </w:r>
      <w:r w:rsidRPr="00775D11">
        <w:t xml:space="preserve"> safe sleep device. The dimensions it gives do not apply to wahakura. However, the intent – consistent with the first bullet point above – is to ensure that caregivers are able to reach over the edge to comfort baby in the wahakura. If the sides are too high, this is not feasible.</w:t>
      </w:r>
    </w:p>
    <w:p w14:paraId="24CB47F8" w14:textId="77777777" w:rsidR="00EB2D0B" w:rsidRPr="00775D11" w:rsidRDefault="00EB2D0B" w:rsidP="000330C3"/>
    <w:p w14:paraId="2594C891" w14:textId="77777777" w:rsidR="00EB2D0B" w:rsidRDefault="00EB2D0B" w:rsidP="000330C3">
      <w:pPr>
        <w:pStyle w:val="Table"/>
      </w:pPr>
      <w:bookmarkStart w:id="35" w:name="_Toc4502407"/>
      <w:bookmarkStart w:id="36" w:name="_Toc5652228"/>
      <w:r w:rsidRPr="00775D11">
        <w:lastRenderedPageBreak/>
        <w:t xml:space="preserve">Table </w:t>
      </w:r>
      <w:r w:rsidR="00F60387">
        <w:rPr>
          <w:noProof/>
        </w:rPr>
        <w:fldChar w:fldCharType="begin"/>
      </w:r>
      <w:r w:rsidR="00F60387">
        <w:rPr>
          <w:noProof/>
        </w:rPr>
        <w:instrText xml:space="preserve"> SEQ Table \* ARABIC </w:instrText>
      </w:r>
      <w:r w:rsidR="00F60387">
        <w:rPr>
          <w:noProof/>
        </w:rPr>
        <w:fldChar w:fldCharType="separate"/>
      </w:r>
      <w:r w:rsidR="008D76A9">
        <w:rPr>
          <w:noProof/>
        </w:rPr>
        <w:t>1</w:t>
      </w:r>
      <w:r w:rsidR="00F60387">
        <w:rPr>
          <w:noProof/>
        </w:rPr>
        <w:fldChar w:fldCharType="end"/>
      </w:r>
      <w:r w:rsidRPr="00775D11">
        <w:t>: Essential features of a safe sleep device to prevent SUDI</w:t>
      </w:r>
      <w:bookmarkEnd w:id="35"/>
      <w:bookmarkEnd w:id="36"/>
    </w:p>
    <w:tbl>
      <w:tblPr>
        <w:tblStyle w:val="TableGrid"/>
        <w:tblW w:w="8295"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134"/>
        <w:gridCol w:w="3580"/>
        <w:gridCol w:w="3581"/>
      </w:tblGrid>
      <w:tr w:rsidR="000330C3" w14:paraId="3CD75978" w14:textId="77777777" w:rsidTr="00705941">
        <w:trPr>
          <w:cantSplit/>
        </w:trPr>
        <w:tc>
          <w:tcPr>
            <w:tcW w:w="1134" w:type="dxa"/>
            <w:tcBorders>
              <w:top w:val="nil"/>
              <w:bottom w:val="nil"/>
            </w:tcBorders>
            <w:shd w:val="clear" w:color="auto" w:fill="EAEAEA"/>
          </w:tcPr>
          <w:p w14:paraId="57DF3A7E" w14:textId="77777777" w:rsidR="000330C3" w:rsidRPr="000330C3" w:rsidRDefault="000330C3" w:rsidP="00BF163B">
            <w:pPr>
              <w:pStyle w:val="TableText"/>
              <w:keepNext/>
              <w:rPr>
                <w:b/>
              </w:rPr>
            </w:pPr>
            <w:r>
              <w:rPr>
                <w:b/>
              </w:rPr>
              <w:t>Context</w:t>
            </w:r>
          </w:p>
        </w:tc>
        <w:tc>
          <w:tcPr>
            <w:tcW w:w="7161" w:type="dxa"/>
            <w:gridSpan w:val="2"/>
            <w:tcBorders>
              <w:top w:val="nil"/>
              <w:bottom w:val="nil"/>
            </w:tcBorders>
            <w:shd w:val="clear" w:color="auto" w:fill="EAEAEA"/>
          </w:tcPr>
          <w:p w14:paraId="29D3C91E" w14:textId="738BAE38" w:rsidR="000330C3" w:rsidRPr="000330C3" w:rsidRDefault="000330C3" w:rsidP="0094194E">
            <w:pPr>
              <w:pStyle w:val="TableText"/>
              <w:keepNext/>
              <w:rPr>
                <w:b/>
              </w:rPr>
            </w:pPr>
            <w:r w:rsidRPr="000330C3">
              <w:rPr>
                <w:b/>
              </w:rPr>
              <w:t xml:space="preserve">The </w:t>
            </w:r>
            <w:r w:rsidR="002A30DF">
              <w:rPr>
                <w:b/>
              </w:rPr>
              <w:t>s</w:t>
            </w:r>
            <w:r w:rsidRPr="000330C3">
              <w:rPr>
                <w:b/>
              </w:rPr>
              <w:t xml:space="preserve">afe </w:t>
            </w:r>
            <w:r w:rsidR="002A30DF">
              <w:rPr>
                <w:b/>
              </w:rPr>
              <w:t>s</w:t>
            </w:r>
            <w:r w:rsidRPr="000330C3">
              <w:rPr>
                <w:b/>
              </w:rPr>
              <w:t xml:space="preserve">leep device needs to be usable as an infant sleeping space in all situations and locations that are known to increase the risk of </w:t>
            </w:r>
            <w:r w:rsidR="0094194E">
              <w:rPr>
                <w:b/>
              </w:rPr>
              <w:t>SUDI</w:t>
            </w:r>
          </w:p>
        </w:tc>
      </w:tr>
      <w:tr w:rsidR="000330C3" w14:paraId="454D6124" w14:textId="77777777" w:rsidTr="000330C3">
        <w:trPr>
          <w:cantSplit/>
        </w:trPr>
        <w:tc>
          <w:tcPr>
            <w:tcW w:w="1134" w:type="dxa"/>
            <w:tcBorders>
              <w:top w:val="nil"/>
            </w:tcBorders>
            <w:shd w:val="clear" w:color="auto" w:fill="auto"/>
          </w:tcPr>
          <w:p w14:paraId="2C9014B5" w14:textId="77777777" w:rsidR="000330C3" w:rsidRDefault="000330C3" w:rsidP="000330C3">
            <w:pPr>
              <w:pStyle w:val="TableText"/>
            </w:pPr>
            <w:r>
              <w:t>Features</w:t>
            </w:r>
          </w:p>
        </w:tc>
        <w:tc>
          <w:tcPr>
            <w:tcW w:w="3580" w:type="dxa"/>
            <w:tcBorders>
              <w:top w:val="nil"/>
            </w:tcBorders>
            <w:shd w:val="clear" w:color="auto" w:fill="auto"/>
          </w:tcPr>
          <w:p w14:paraId="2E771B81" w14:textId="77777777" w:rsidR="000330C3" w:rsidRDefault="000330C3" w:rsidP="000330C3">
            <w:pPr>
              <w:pStyle w:val="TableText"/>
            </w:pPr>
            <w:r>
              <w:t>Portable</w:t>
            </w:r>
            <w:r>
              <w:br/>
              <w:t>Low-sided (15 cm sides)</w:t>
            </w:r>
            <w:r>
              <w:br/>
              <w:t>Rigid construction</w:t>
            </w:r>
          </w:p>
          <w:p w14:paraId="2A66DCBC" w14:textId="77777777" w:rsidR="000330C3" w:rsidRDefault="000330C3" w:rsidP="000330C3">
            <w:pPr>
              <w:pStyle w:val="TableText"/>
            </w:pPr>
            <w:r>
              <w:t>Firm sides (not padded or soft)</w:t>
            </w:r>
            <w:r>
              <w:br/>
              <w:t>Compact</w:t>
            </w:r>
            <w:r>
              <w:br/>
              <w:t>Size (40 cm</w:t>
            </w:r>
            <w:r w:rsidR="002A30DF">
              <w:t xml:space="preserve"> wide</w:t>
            </w:r>
            <w:r>
              <w:t xml:space="preserve"> x 72</w:t>
            </w:r>
            <w:r w:rsidR="002A30DF">
              <w:t> </w:t>
            </w:r>
            <w:r>
              <w:t>cm</w:t>
            </w:r>
            <w:r w:rsidR="002A30DF">
              <w:t xml:space="preserve"> long</w:t>
            </w:r>
            <w:r>
              <w:t xml:space="preserve"> x 15</w:t>
            </w:r>
            <w:r w:rsidR="002A30DF">
              <w:t> </w:t>
            </w:r>
            <w:r>
              <w:t>cm</w:t>
            </w:r>
            <w:r w:rsidR="002A30DF">
              <w:t xml:space="preserve"> deep</w:t>
            </w:r>
            <w:r>
              <w:t>)</w:t>
            </w:r>
          </w:p>
          <w:p w14:paraId="472EECF7" w14:textId="77777777" w:rsidR="000330C3" w:rsidRDefault="000330C3" w:rsidP="000330C3">
            <w:pPr>
              <w:pStyle w:val="TableText"/>
            </w:pPr>
            <w:r>
              <w:t>Supplied with mattress and bedding</w:t>
            </w:r>
            <w:r>
              <w:br/>
              <w:t>For young infants (unable to roll)</w:t>
            </w:r>
            <w:r>
              <w:br/>
              <w:t>Comes with ‘rules’ of protection</w:t>
            </w:r>
            <w:r>
              <w:br/>
              <w:t>Supplied as a health intervention</w:t>
            </w:r>
          </w:p>
          <w:p w14:paraId="6E45A34F" w14:textId="77777777" w:rsidR="000330C3" w:rsidRDefault="000330C3" w:rsidP="002A30DF">
            <w:pPr>
              <w:pStyle w:val="TableText"/>
            </w:pPr>
            <w:r>
              <w:t xml:space="preserve">Recipient invited to help spread </w:t>
            </w:r>
            <w:r w:rsidR="002A30DF">
              <w:t>s</w:t>
            </w:r>
            <w:r>
              <w:t xml:space="preserve">afe </w:t>
            </w:r>
            <w:r w:rsidR="002A30DF">
              <w:t>s</w:t>
            </w:r>
            <w:r>
              <w:t>leep knowledge and practice</w:t>
            </w:r>
          </w:p>
        </w:tc>
        <w:tc>
          <w:tcPr>
            <w:tcW w:w="3581" w:type="dxa"/>
            <w:tcBorders>
              <w:top w:val="nil"/>
            </w:tcBorders>
            <w:shd w:val="clear" w:color="auto" w:fill="auto"/>
          </w:tcPr>
          <w:p w14:paraId="0096F6E7" w14:textId="77777777" w:rsidR="00BF163B" w:rsidRDefault="00BF163B" w:rsidP="000330C3">
            <w:pPr>
              <w:pStyle w:val="TableText"/>
            </w:pPr>
            <w:r>
              <w:t>Can be easily carried with baby sleeping in it</w:t>
            </w:r>
          </w:p>
          <w:p w14:paraId="3A8AB04B" w14:textId="77777777" w:rsidR="000330C3" w:rsidRDefault="00BF163B" w:rsidP="000330C3">
            <w:pPr>
              <w:pStyle w:val="TableText"/>
            </w:pPr>
            <w:r>
              <w:t>Enables easy comforting with loving touch</w:t>
            </w:r>
          </w:p>
          <w:p w14:paraId="759A05CF" w14:textId="77777777" w:rsidR="00BF163B" w:rsidRDefault="00BF163B" w:rsidP="000330C3">
            <w:pPr>
              <w:pStyle w:val="TableText"/>
            </w:pPr>
            <w:r>
              <w:t>No assembly required (so no risk from assembly errors)</w:t>
            </w:r>
          </w:p>
          <w:p w14:paraId="30DDD654" w14:textId="77777777" w:rsidR="00BF163B" w:rsidRDefault="00BF163B" w:rsidP="000330C3">
            <w:pPr>
              <w:pStyle w:val="TableText"/>
            </w:pPr>
            <w:r>
              <w:t>Reduced suffocation risk</w:t>
            </w:r>
          </w:p>
          <w:p w14:paraId="49741F5E" w14:textId="77777777" w:rsidR="00BF163B" w:rsidRDefault="00BF163B" w:rsidP="000330C3">
            <w:pPr>
              <w:pStyle w:val="TableText"/>
            </w:pPr>
            <w:r>
              <w:t>Can be placed in the parental bed</w:t>
            </w:r>
          </w:p>
          <w:p w14:paraId="06E44499" w14:textId="77777777" w:rsidR="00BF163B" w:rsidRDefault="00BF163B" w:rsidP="000330C3">
            <w:pPr>
              <w:pStyle w:val="TableText"/>
            </w:pPr>
            <w:r>
              <w:t>To last babies through the 4–5 months of increased risk</w:t>
            </w:r>
          </w:p>
          <w:p w14:paraId="7E286730" w14:textId="77777777" w:rsidR="00BF163B" w:rsidRDefault="00BF163B" w:rsidP="000330C3">
            <w:pPr>
              <w:pStyle w:val="TableText"/>
            </w:pPr>
            <w:r>
              <w:t>To ensure snug fit and be ‘ready to go’</w:t>
            </w:r>
          </w:p>
          <w:p w14:paraId="6F0B92D2" w14:textId="77777777" w:rsidR="00BF163B" w:rsidRDefault="00BF163B" w:rsidP="000330C3">
            <w:pPr>
              <w:pStyle w:val="TableText"/>
            </w:pPr>
            <w:r>
              <w:t>Not for older babies, or babies who can roll</w:t>
            </w:r>
          </w:p>
          <w:p w14:paraId="2A0C8231" w14:textId="77777777" w:rsidR="00BF163B" w:rsidRDefault="00BF163B" w:rsidP="000330C3">
            <w:pPr>
              <w:pStyle w:val="TableText"/>
            </w:pPr>
            <w:r>
              <w:t xml:space="preserve">Safe </w:t>
            </w:r>
            <w:r w:rsidR="00BF5D4C">
              <w:t>s</w:t>
            </w:r>
            <w:r>
              <w:t>leep and infant health principles built-in</w:t>
            </w:r>
          </w:p>
          <w:p w14:paraId="3CEB6E0A" w14:textId="77777777" w:rsidR="00BF163B" w:rsidRDefault="00BF163B" w:rsidP="00BF163B">
            <w:pPr>
              <w:pStyle w:val="TableText"/>
            </w:pPr>
            <w:r>
              <w:t>Not ‘furniture’ as such. Primary purpose is protection against sudden infant death</w:t>
            </w:r>
          </w:p>
          <w:p w14:paraId="2EE9401D" w14:textId="77777777" w:rsidR="00BF163B" w:rsidRDefault="00BF163B" w:rsidP="00BF5D4C">
            <w:pPr>
              <w:pStyle w:val="TableText"/>
            </w:pPr>
            <w:r>
              <w:t>Peer education role integrated into supply</w:t>
            </w:r>
          </w:p>
        </w:tc>
      </w:tr>
      <w:tr w:rsidR="00BF163B" w14:paraId="6511D034" w14:textId="77777777" w:rsidTr="00BF163B">
        <w:trPr>
          <w:cantSplit/>
        </w:trPr>
        <w:tc>
          <w:tcPr>
            <w:tcW w:w="1134" w:type="dxa"/>
            <w:vMerge w:val="restart"/>
            <w:shd w:val="clear" w:color="auto" w:fill="auto"/>
          </w:tcPr>
          <w:p w14:paraId="44947C4B" w14:textId="77777777" w:rsidR="00BF163B" w:rsidRDefault="00BF163B" w:rsidP="000330C3">
            <w:pPr>
              <w:pStyle w:val="TableText"/>
            </w:pPr>
            <w:r>
              <w:t>For use</w:t>
            </w:r>
          </w:p>
        </w:tc>
        <w:tc>
          <w:tcPr>
            <w:tcW w:w="3580" w:type="dxa"/>
            <w:tcBorders>
              <w:bottom w:val="nil"/>
            </w:tcBorders>
            <w:shd w:val="clear" w:color="auto" w:fill="auto"/>
          </w:tcPr>
          <w:p w14:paraId="0F711766" w14:textId="77777777" w:rsidR="00BF163B" w:rsidRDefault="00BF163B" w:rsidP="000330C3">
            <w:pPr>
              <w:pStyle w:val="TableText"/>
            </w:pPr>
            <w:r>
              <w:t>In any situation, where a baby is not sleeping in a traditional baby bed</w:t>
            </w:r>
          </w:p>
        </w:tc>
        <w:tc>
          <w:tcPr>
            <w:tcW w:w="3581" w:type="dxa"/>
            <w:tcBorders>
              <w:bottom w:val="nil"/>
            </w:tcBorders>
            <w:shd w:val="clear" w:color="auto" w:fill="auto"/>
          </w:tcPr>
          <w:p w14:paraId="009B68D8" w14:textId="77777777" w:rsidR="00BF163B" w:rsidRDefault="00BF163B" w:rsidP="00BF5D4C">
            <w:pPr>
              <w:pStyle w:val="TableText"/>
            </w:pPr>
            <w:r>
              <w:t>For example, when sleeping in, or on, an adult bed, or on a couch; for use as a ‘day’ bed, when visiting, travelling, out and about, and where a makeshift bed is needed</w:t>
            </w:r>
          </w:p>
        </w:tc>
      </w:tr>
      <w:tr w:rsidR="00BF163B" w14:paraId="443F8692" w14:textId="77777777" w:rsidTr="00BF163B">
        <w:trPr>
          <w:cantSplit/>
        </w:trPr>
        <w:tc>
          <w:tcPr>
            <w:tcW w:w="1134" w:type="dxa"/>
            <w:vMerge/>
            <w:shd w:val="clear" w:color="auto" w:fill="auto"/>
          </w:tcPr>
          <w:p w14:paraId="776D3B65" w14:textId="77777777" w:rsidR="00BF163B" w:rsidRDefault="00BF163B" w:rsidP="000330C3">
            <w:pPr>
              <w:pStyle w:val="TableText"/>
            </w:pPr>
          </w:p>
        </w:tc>
        <w:tc>
          <w:tcPr>
            <w:tcW w:w="3580" w:type="dxa"/>
            <w:tcBorders>
              <w:top w:val="nil"/>
            </w:tcBorders>
            <w:shd w:val="clear" w:color="auto" w:fill="auto"/>
          </w:tcPr>
          <w:p w14:paraId="348C9B8F" w14:textId="77777777" w:rsidR="00BF163B" w:rsidRDefault="00BF5D4C" w:rsidP="000330C3">
            <w:pPr>
              <w:pStyle w:val="TableText"/>
            </w:pPr>
            <w:r>
              <w:t>A</w:t>
            </w:r>
            <w:r w:rsidR="00BF163B">
              <w:t>s a complete system for settling and sleep in the vulnerable first months</w:t>
            </w:r>
          </w:p>
        </w:tc>
        <w:tc>
          <w:tcPr>
            <w:tcW w:w="3581" w:type="dxa"/>
            <w:tcBorders>
              <w:top w:val="nil"/>
            </w:tcBorders>
            <w:shd w:val="clear" w:color="auto" w:fill="auto"/>
          </w:tcPr>
          <w:p w14:paraId="11389F2F" w14:textId="77777777" w:rsidR="00BF163B" w:rsidRDefault="00BF163B" w:rsidP="00BF5D4C">
            <w:pPr>
              <w:pStyle w:val="TableText"/>
            </w:pPr>
            <w:r>
              <w:t>For example, when no other infant bed is available</w:t>
            </w:r>
          </w:p>
        </w:tc>
      </w:tr>
      <w:tr w:rsidR="000330C3" w14:paraId="51852B88" w14:textId="77777777" w:rsidTr="000330C3">
        <w:trPr>
          <w:cantSplit/>
        </w:trPr>
        <w:tc>
          <w:tcPr>
            <w:tcW w:w="1134" w:type="dxa"/>
            <w:shd w:val="clear" w:color="auto" w:fill="auto"/>
          </w:tcPr>
          <w:p w14:paraId="541A673B" w14:textId="77777777" w:rsidR="000330C3" w:rsidRDefault="000330C3" w:rsidP="000330C3">
            <w:pPr>
              <w:pStyle w:val="TableText"/>
            </w:pPr>
            <w:r>
              <w:t>Position</w:t>
            </w:r>
          </w:p>
        </w:tc>
        <w:tc>
          <w:tcPr>
            <w:tcW w:w="3580" w:type="dxa"/>
            <w:shd w:val="clear" w:color="auto" w:fill="auto"/>
          </w:tcPr>
          <w:p w14:paraId="13F71442" w14:textId="77777777" w:rsidR="000330C3" w:rsidRDefault="00BF163B" w:rsidP="00BF163B">
            <w:pPr>
              <w:pStyle w:val="TableText"/>
            </w:pPr>
            <w:r>
              <w:t>Baby lies flat and level in the ISSD (not inclined)</w:t>
            </w:r>
          </w:p>
        </w:tc>
        <w:tc>
          <w:tcPr>
            <w:tcW w:w="3581" w:type="dxa"/>
            <w:shd w:val="clear" w:color="auto" w:fill="auto"/>
          </w:tcPr>
          <w:p w14:paraId="08D0E8F1" w14:textId="77777777" w:rsidR="000330C3" w:rsidRDefault="00BF163B" w:rsidP="00BF5D4C">
            <w:pPr>
              <w:pStyle w:val="TableText"/>
            </w:pPr>
            <w:r>
              <w:t>To avoid positional changes from propping or slipping</w:t>
            </w:r>
          </w:p>
        </w:tc>
      </w:tr>
    </w:tbl>
    <w:p w14:paraId="7CE3F345" w14:textId="77777777" w:rsidR="00EB2D0B" w:rsidRPr="00775D11" w:rsidRDefault="00EB2D0B" w:rsidP="000330C3">
      <w:pPr>
        <w:pStyle w:val="Source"/>
        <w:rPr>
          <w:sz w:val="20"/>
        </w:rPr>
      </w:pPr>
      <w:r w:rsidRPr="000330C3">
        <w:t>Source:</w:t>
      </w:r>
      <w:r w:rsidRPr="00775D11">
        <w:t xml:space="preserve"> Mitchell EA, Cowan S, </w:t>
      </w:r>
      <w:proofErr w:type="spellStart"/>
      <w:r w:rsidRPr="00775D11">
        <w:t>Tipene</w:t>
      </w:r>
      <w:proofErr w:type="spellEnd"/>
      <w:r w:rsidRPr="00775D11">
        <w:t>-Leach D. 2016. The recent fall in post perinatal mortality in New Zealand and the Safe Sleep programme.</w:t>
      </w:r>
      <w:r w:rsidRPr="00775D11">
        <w:rPr>
          <w:i/>
          <w:iCs/>
        </w:rPr>
        <w:t xml:space="preserve"> </w:t>
      </w:r>
      <w:proofErr w:type="spellStart"/>
      <w:r w:rsidRPr="00775D11">
        <w:rPr>
          <w:i/>
          <w:iCs/>
        </w:rPr>
        <w:t>Acta</w:t>
      </w:r>
      <w:proofErr w:type="spellEnd"/>
      <w:r w:rsidRPr="00775D11">
        <w:rPr>
          <w:i/>
          <w:iCs/>
        </w:rPr>
        <w:t xml:space="preserve"> </w:t>
      </w:r>
      <w:proofErr w:type="spellStart"/>
      <w:r w:rsidRPr="00775D11">
        <w:rPr>
          <w:i/>
          <w:iCs/>
        </w:rPr>
        <w:t>Paediatrica</w:t>
      </w:r>
      <w:proofErr w:type="spellEnd"/>
      <w:r w:rsidRPr="00775D11">
        <w:rPr>
          <w:i/>
          <w:iCs/>
        </w:rPr>
        <w:t xml:space="preserve"> </w:t>
      </w:r>
      <w:r w:rsidRPr="00775D11">
        <w:rPr>
          <w:iCs/>
        </w:rPr>
        <w:t>105</w:t>
      </w:r>
      <w:r w:rsidRPr="00775D11">
        <w:t>(11): 1312–20. doi:10.1111/apa.13494.</w:t>
      </w:r>
    </w:p>
    <w:p w14:paraId="4FF8895D" w14:textId="77777777" w:rsidR="00EB2D0B" w:rsidRDefault="00EB2D0B" w:rsidP="00BF163B">
      <w:pPr>
        <w:rPr>
          <w:rFonts w:eastAsia="Calibri"/>
        </w:rPr>
      </w:pPr>
      <w:bookmarkStart w:id="37" w:name="_Toc4502400"/>
    </w:p>
    <w:p w14:paraId="0CBA92D3" w14:textId="77777777" w:rsidR="00EB2D0B" w:rsidRPr="00775D11" w:rsidRDefault="00EB2D0B" w:rsidP="00BF163B">
      <w:pPr>
        <w:pStyle w:val="Heading2"/>
        <w:rPr>
          <w:rFonts w:eastAsia="Calibri"/>
        </w:rPr>
      </w:pPr>
      <w:bookmarkStart w:id="38" w:name="_Toc7704180"/>
      <w:r w:rsidRPr="00775D11">
        <w:rPr>
          <w:rFonts w:eastAsia="Calibri"/>
        </w:rPr>
        <w:t>Regional design and construction differences</w:t>
      </w:r>
      <w:bookmarkEnd w:id="37"/>
      <w:bookmarkEnd w:id="38"/>
    </w:p>
    <w:p w14:paraId="6C9F5A8D" w14:textId="13C55C66" w:rsidR="00B02DAB" w:rsidRDefault="00EB2D0B" w:rsidP="00BF163B">
      <w:pPr>
        <w:keepNext/>
      </w:pPr>
      <w:r w:rsidRPr="00775D11">
        <w:t xml:space="preserve">Across </w:t>
      </w:r>
      <w:proofErr w:type="spellStart"/>
      <w:r w:rsidRPr="00775D11">
        <w:t>Aotearoa</w:t>
      </w:r>
      <w:proofErr w:type="spellEnd"/>
      <w:r w:rsidRPr="00775D11">
        <w:t xml:space="preserve"> New Zealand, the style of wahakura differs. The differences are fluid and in most cases are specific to the individual weaver, iwi, whānau and </w:t>
      </w:r>
      <w:proofErr w:type="spellStart"/>
      <w:r w:rsidRPr="00775D11">
        <w:t>hapū</w:t>
      </w:r>
      <w:proofErr w:type="spellEnd"/>
      <w:r>
        <w:t xml:space="preserve"> (sub</w:t>
      </w:r>
      <w:r w:rsidR="00BF163B">
        <w:noBreakHyphen/>
      </w:r>
      <w:r>
        <w:t>tribe)</w:t>
      </w:r>
      <w:r w:rsidRPr="00775D11">
        <w:t xml:space="preserve">. As </w:t>
      </w:r>
      <w:proofErr w:type="spellStart"/>
      <w:r w:rsidRPr="00775D11">
        <w:t>mātauranga</w:t>
      </w:r>
      <w:proofErr w:type="spellEnd"/>
      <w:r w:rsidRPr="00775D11">
        <w:t xml:space="preserve"> (knowledge) Māori and weaving practices likewise vary, it is </w:t>
      </w:r>
      <w:r w:rsidRPr="00775D11">
        <w:lastRenderedPageBreak/>
        <w:t xml:space="preserve">important to respect and retain the different iwi (tribal) practices </w:t>
      </w:r>
      <w:r w:rsidR="00BF5D4C">
        <w:t>that</w:t>
      </w:r>
      <w:r w:rsidRPr="00775D11">
        <w:t xml:space="preserve"> sit within a wider knowledge</w:t>
      </w:r>
      <w:r w:rsidR="0094194E">
        <w:t xml:space="preserve"> base</w:t>
      </w:r>
      <w:r w:rsidRPr="00775D11">
        <w:t>.</w:t>
      </w:r>
    </w:p>
    <w:p w14:paraId="3861D260" w14:textId="77777777" w:rsidR="00EB2D0B" w:rsidRPr="00775D11" w:rsidRDefault="00EB2D0B" w:rsidP="00BF163B">
      <w:pPr>
        <w:keepNext/>
      </w:pPr>
    </w:p>
    <w:p w14:paraId="1BD09028" w14:textId="7DD0D5D4" w:rsidR="00EB2D0B" w:rsidRPr="00775D11" w:rsidRDefault="00EB2D0B" w:rsidP="00BF163B">
      <w:pPr>
        <w:keepLines/>
      </w:pPr>
      <w:r w:rsidRPr="00775D11">
        <w:t>These guidelines do not limit weavers</w:t>
      </w:r>
      <w:r w:rsidR="00B02DAB">
        <w:t>’</w:t>
      </w:r>
      <w:r w:rsidRPr="00775D11">
        <w:t xml:space="preserve"> artistry, creativity and individual styles, or the body of knowledge unique to wahakura by region, </w:t>
      </w:r>
      <w:r w:rsidR="0094194E">
        <w:t xml:space="preserve">or </w:t>
      </w:r>
      <w:r w:rsidRPr="00775D11">
        <w:t xml:space="preserve">a </w:t>
      </w:r>
      <w:r w:rsidR="00B02DAB">
        <w:t>‘</w:t>
      </w:r>
      <w:r w:rsidRPr="00775D11">
        <w:t>one size fits all</w:t>
      </w:r>
      <w:r w:rsidR="00B02DAB">
        <w:t>’</w:t>
      </w:r>
      <w:r w:rsidRPr="00775D11">
        <w:t xml:space="preserve"> model. Instead, Table</w:t>
      </w:r>
      <w:r w:rsidR="00BF163B">
        <w:t> </w:t>
      </w:r>
      <w:r w:rsidRPr="00775D11">
        <w:t xml:space="preserve">2 draws on weaving values, wahakura construction specifications and practices from </w:t>
      </w:r>
      <w:proofErr w:type="spellStart"/>
      <w:r w:rsidRPr="00775D11">
        <w:t>Pēpi</w:t>
      </w:r>
      <w:proofErr w:type="spellEnd"/>
      <w:r w:rsidRPr="00775D11">
        <w:t xml:space="preserve">-Pod® supplier Change for our Children and from experts in the Northern, Midland and Central regions on wahakura in its various forms (see </w:t>
      </w:r>
      <w:hyperlink w:anchor="_Appendix_4:_Regional" w:history="1">
        <w:r w:rsidR="00345330" w:rsidRPr="00345330">
          <w:t>Appendix 4</w:t>
        </w:r>
      </w:hyperlink>
      <w:r w:rsidRPr="00345330">
        <w:t xml:space="preserve"> </w:t>
      </w:r>
      <w:r w:rsidR="00547273" w:rsidRPr="00345330">
        <w:t xml:space="preserve">for </w:t>
      </w:r>
      <w:r w:rsidRPr="00775D11">
        <w:t>more inform</w:t>
      </w:r>
      <w:r w:rsidR="00547273">
        <w:t>ation on regional differences).</w:t>
      </w:r>
    </w:p>
    <w:p w14:paraId="2B371BDC" w14:textId="77777777" w:rsidR="00EB2D0B" w:rsidRPr="00775D11" w:rsidRDefault="00EB2D0B" w:rsidP="00BF163B"/>
    <w:p w14:paraId="7C348BC7" w14:textId="77777777" w:rsidR="00EB2D0B" w:rsidRPr="00775D11" w:rsidRDefault="00EB2D0B" w:rsidP="00BF163B">
      <w:r w:rsidRPr="00775D11">
        <w:t>It is reasonable to accept a range of wahakura dimensions, allowing for variations in the size of the SSD and in the thickness of the mattress, provided that the:</w:t>
      </w:r>
    </w:p>
    <w:p w14:paraId="06E34EBA" w14:textId="4FA8282A" w:rsidR="00EB2D0B" w:rsidRPr="00775D11" w:rsidRDefault="00EB2D0B" w:rsidP="00BF163B">
      <w:proofErr w:type="gramStart"/>
      <w:r w:rsidRPr="00775D11">
        <w:t>wahakura</w:t>
      </w:r>
      <w:proofErr w:type="gramEnd"/>
      <w:r w:rsidRPr="00775D11">
        <w:t xml:space="preserve"> does not exceed the minimum and maximum dimensions indicated in Table</w:t>
      </w:r>
      <w:r w:rsidR="00BF163B">
        <w:t> </w:t>
      </w:r>
      <w:r w:rsidRPr="00775D11">
        <w:t>2.</w:t>
      </w:r>
    </w:p>
    <w:p w14:paraId="594FEBBE" w14:textId="77777777" w:rsidR="00EB2D0B" w:rsidRPr="00775D11" w:rsidRDefault="00EB2D0B" w:rsidP="00BF163B"/>
    <w:p w14:paraId="6A13BE60" w14:textId="77777777" w:rsidR="00EB2D0B" w:rsidRPr="00775D11" w:rsidRDefault="00EB2D0B" w:rsidP="00BF163B">
      <w:pPr>
        <w:pStyle w:val="Table"/>
      </w:pPr>
      <w:bookmarkStart w:id="39" w:name="_Toc4502408"/>
      <w:bookmarkStart w:id="40" w:name="_Toc5652229"/>
      <w:r w:rsidRPr="00775D11">
        <w:t xml:space="preserve">Table </w:t>
      </w:r>
      <w:r w:rsidR="00F60387">
        <w:rPr>
          <w:noProof/>
        </w:rPr>
        <w:fldChar w:fldCharType="begin"/>
      </w:r>
      <w:r w:rsidR="00F60387">
        <w:rPr>
          <w:noProof/>
        </w:rPr>
        <w:instrText xml:space="preserve"> SEQ Table \* ARABIC </w:instrText>
      </w:r>
      <w:r w:rsidR="00F60387">
        <w:rPr>
          <w:noProof/>
        </w:rPr>
        <w:fldChar w:fldCharType="separate"/>
      </w:r>
      <w:r w:rsidR="008D76A9">
        <w:rPr>
          <w:noProof/>
        </w:rPr>
        <w:t>2</w:t>
      </w:r>
      <w:r w:rsidR="00F60387">
        <w:rPr>
          <w:noProof/>
        </w:rPr>
        <w:fldChar w:fldCharType="end"/>
      </w:r>
      <w:r w:rsidRPr="00775D11">
        <w:t xml:space="preserve">: Recommended guidelines for the </w:t>
      </w:r>
      <w:proofErr w:type="spellStart"/>
      <w:r w:rsidRPr="00775D11">
        <w:t>Pēpi</w:t>
      </w:r>
      <w:proofErr w:type="spellEnd"/>
      <w:r w:rsidRPr="00775D11">
        <w:t>-Pod® and wahakura from different regions</w:t>
      </w:r>
      <w:bookmarkEnd w:id="39"/>
      <w:bookmarkEnd w:id="40"/>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418"/>
        <w:gridCol w:w="1559"/>
        <w:gridCol w:w="1559"/>
        <w:gridCol w:w="1843"/>
        <w:gridCol w:w="1701"/>
      </w:tblGrid>
      <w:tr w:rsidR="00BF163B" w:rsidRPr="00BF163B" w14:paraId="569D509F" w14:textId="77777777" w:rsidTr="00BF163B">
        <w:trPr>
          <w:cantSplit/>
        </w:trPr>
        <w:tc>
          <w:tcPr>
            <w:tcW w:w="1418" w:type="dxa"/>
            <w:tcBorders>
              <w:top w:val="nil"/>
              <w:bottom w:val="nil"/>
            </w:tcBorders>
            <w:shd w:val="clear" w:color="auto" w:fill="D9D9D9" w:themeFill="background1" w:themeFillShade="D9"/>
          </w:tcPr>
          <w:p w14:paraId="127B475D" w14:textId="77777777" w:rsidR="00EB2D0B" w:rsidRPr="00BF163B" w:rsidRDefault="00EB2D0B" w:rsidP="001E29A9">
            <w:pPr>
              <w:pStyle w:val="TableText"/>
              <w:spacing w:before="40" w:after="40" w:line="240" w:lineRule="auto"/>
              <w:rPr>
                <w:b/>
              </w:rPr>
            </w:pPr>
          </w:p>
        </w:tc>
        <w:tc>
          <w:tcPr>
            <w:tcW w:w="1559" w:type="dxa"/>
            <w:tcBorders>
              <w:top w:val="nil"/>
              <w:bottom w:val="nil"/>
            </w:tcBorders>
            <w:shd w:val="clear" w:color="auto" w:fill="D9D9D9" w:themeFill="background1" w:themeFillShade="D9"/>
          </w:tcPr>
          <w:p w14:paraId="1E6D7023" w14:textId="77777777" w:rsidR="00EB2D0B" w:rsidRPr="00BF163B" w:rsidRDefault="00EB2D0B" w:rsidP="001E29A9">
            <w:pPr>
              <w:pStyle w:val="TableText"/>
              <w:spacing w:before="40" w:after="40" w:line="240" w:lineRule="auto"/>
              <w:jc w:val="center"/>
              <w:rPr>
                <w:b/>
              </w:rPr>
            </w:pPr>
            <w:r w:rsidRPr="00BF163B">
              <w:rPr>
                <w:b/>
              </w:rPr>
              <w:t>Base width</w:t>
            </w:r>
          </w:p>
        </w:tc>
        <w:tc>
          <w:tcPr>
            <w:tcW w:w="1559" w:type="dxa"/>
            <w:tcBorders>
              <w:top w:val="nil"/>
              <w:bottom w:val="nil"/>
            </w:tcBorders>
            <w:shd w:val="clear" w:color="auto" w:fill="D9D9D9" w:themeFill="background1" w:themeFillShade="D9"/>
          </w:tcPr>
          <w:p w14:paraId="6773AEC7" w14:textId="77777777" w:rsidR="00EB2D0B" w:rsidRPr="00BF163B" w:rsidRDefault="00EB2D0B" w:rsidP="001E29A9">
            <w:pPr>
              <w:pStyle w:val="TableText"/>
              <w:spacing w:before="40" w:after="40" w:line="240" w:lineRule="auto"/>
              <w:jc w:val="center"/>
              <w:rPr>
                <w:b/>
              </w:rPr>
            </w:pPr>
            <w:r w:rsidRPr="00BF163B">
              <w:rPr>
                <w:b/>
              </w:rPr>
              <w:t>Height</w:t>
            </w:r>
            <w:r w:rsidR="00BF163B">
              <w:rPr>
                <w:b/>
              </w:rPr>
              <w:br/>
            </w:r>
            <w:r w:rsidRPr="00BF163B">
              <w:rPr>
                <w:b/>
              </w:rPr>
              <w:t>of sides</w:t>
            </w:r>
          </w:p>
        </w:tc>
        <w:tc>
          <w:tcPr>
            <w:tcW w:w="1843" w:type="dxa"/>
            <w:tcBorders>
              <w:top w:val="nil"/>
              <w:bottom w:val="nil"/>
            </w:tcBorders>
            <w:shd w:val="clear" w:color="auto" w:fill="D9D9D9" w:themeFill="background1" w:themeFillShade="D9"/>
          </w:tcPr>
          <w:p w14:paraId="5C04EDBF" w14:textId="77777777" w:rsidR="00EB2D0B" w:rsidRPr="00BF163B" w:rsidRDefault="00EB2D0B" w:rsidP="001E29A9">
            <w:pPr>
              <w:pStyle w:val="TableText"/>
              <w:spacing w:before="40" w:after="40" w:line="240" w:lineRule="auto"/>
              <w:jc w:val="center"/>
              <w:rPr>
                <w:b/>
              </w:rPr>
            </w:pPr>
            <w:r w:rsidRPr="00BF163B">
              <w:rPr>
                <w:b/>
              </w:rPr>
              <w:t>Mattress size(s)</w:t>
            </w:r>
          </w:p>
        </w:tc>
        <w:tc>
          <w:tcPr>
            <w:tcW w:w="1701" w:type="dxa"/>
            <w:tcBorders>
              <w:top w:val="nil"/>
              <w:bottom w:val="nil"/>
            </w:tcBorders>
            <w:shd w:val="clear" w:color="auto" w:fill="D9D9D9" w:themeFill="background1" w:themeFillShade="D9"/>
          </w:tcPr>
          <w:p w14:paraId="44218FFA" w14:textId="77777777" w:rsidR="00EB2D0B" w:rsidRPr="00BF163B" w:rsidRDefault="00EB2D0B" w:rsidP="001E29A9">
            <w:pPr>
              <w:pStyle w:val="TableText"/>
              <w:spacing w:before="40" w:after="40" w:line="240" w:lineRule="auto"/>
              <w:jc w:val="center"/>
              <w:rPr>
                <w:b/>
              </w:rPr>
            </w:pPr>
            <w:r w:rsidRPr="00BF163B">
              <w:rPr>
                <w:b/>
              </w:rPr>
              <w:t>Additional resources given with safe sleep device*</w:t>
            </w:r>
          </w:p>
        </w:tc>
      </w:tr>
      <w:tr w:rsidR="00EB2D0B" w:rsidRPr="00775D11" w14:paraId="6E936EE0" w14:textId="77777777" w:rsidTr="00BF163B">
        <w:trPr>
          <w:cantSplit/>
        </w:trPr>
        <w:tc>
          <w:tcPr>
            <w:tcW w:w="1418" w:type="dxa"/>
            <w:tcBorders>
              <w:top w:val="nil"/>
            </w:tcBorders>
            <w:shd w:val="clear" w:color="auto" w:fill="auto"/>
          </w:tcPr>
          <w:p w14:paraId="6C2AC5B1" w14:textId="77777777" w:rsidR="00EB2D0B" w:rsidRPr="00775D11" w:rsidRDefault="00EB2D0B" w:rsidP="001E29A9">
            <w:pPr>
              <w:pStyle w:val="TableText"/>
              <w:spacing w:before="40" w:after="40" w:line="240" w:lineRule="auto"/>
            </w:pPr>
            <w:proofErr w:type="spellStart"/>
            <w:r w:rsidRPr="00775D11">
              <w:t>Pēpi</w:t>
            </w:r>
            <w:proofErr w:type="spellEnd"/>
            <w:r w:rsidRPr="00775D11">
              <w:t>-Pod®</w:t>
            </w:r>
          </w:p>
        </w:tc>
        <w:tc>
          <w:tcPr>
            <w:tcW w:w="1559" w:type="dxa"/>
            <w:tcBorders>
              <w:top w:val="nil"/>
            </w:tcBorders>
            <w:shd w:val="clear" w:color="auto" w:fill="auto"/>
          </w:tcPr>
          <w:p w14:paraId="3FEF00A6" w14:textId="77777777" w:rsidR="00EB2D0B" w:rsidRPr="00775D11" w:rsidRDefault="00EB2D0B" w:rsidP="001E29A9">
            <w:pPr>
              <w:pStyle w:val="TableText"/>
              <w:spacing w:before="40" w:after="40" w:line="240" w:lineRule="auto"/>
              <w:jc w:val="center"/>
            </w:pPr>
            <w:r w:rsidRPr="00775D11">
              <w:t>40 cm wide x 72</w:t>
            </w:r>
            <w:r w:rsidR="00BF163B">
              <w:t> </w:t>
            </w:r>
            <w:r w:rsidRPr="00775D11">
              <w:t>cm long</w:t>
            </w:r>
          </w:p>
        </w:tc>
        <w:tc>
          <w:tcPr>
            <w:tcW w:w="1559" w:type="dxa"/>
            <w:tcBorders>
              <w:top w:val="nil"/>
            </w:tcBorders>
            <w:shd w:val="clear" w:color="auto" w:fill="auto"/>
          </w:tcPr>
          <w:p w14:paraId="4EF8C921" w14:textId="77777777" w:rsidR="00EB2D0B" w:rsidRPr="00775D11" w:rsidRDefault="00EB2D0B" w:rsidP="001E29A9">
            <w:pPr>
              <w:pStyle w:val="TableText"/>
              <w:spacing w:before="40" w:after="40" w:line="240" w:lineRule="auto"/>
              <w:jc w:val="center"/>
            </w:pPr>
            <w:r w:rsidRPr="00775D11">
              <w:t>15 cm deep – low</w:t>
            </w:r>
            <w:r w:rsidR="00BF163B">
              <w:t> </w:t>
            </w:r>
            <w:r w:rsidRPr="00775D11">
              <w:t>sides</w:t>
            </w:r>
          </w:p>
        </w:tc>
        <w:tc>
          <w:tcPr>
            <w:tcW w:w="1843" w:type="dxa"/>
            <w:tcBorders>
              <w:top w:val="nil"/>
            </w:tcBorders>
            <w:shd w:val="clear" w:color="auto" w:fill="auto"/>
          </w:tcPr>
          <w:p w14:paraId="3948D540" w14:textId="77777777" w:rsidR="00EB2D0B" w:rsidRPr="00775D11" w:rsidRDefault="00EB2D0B" w:rsidP="001E29A9">
            <w:pPr>
              <w:pStyle w:val="TableText"/>
              <w:spacing w:before="40" w:after="40" w:line="240" w:lineRule="auto"/>
            </w:pPr>
            <w:r w:rsidRPr="00775D11">
              <w:t>Firm mattress 40 cm wide x 72 cm long</w:t>
            </w:r>
          </w:p>
        </w:tc>
        <w:tc>
          <w:tcPr>
            <w:tcW w:w="1701" w:type="dxa"/>
            <w:tcBorders>
              <w:top w:val="nil"/>
            </w:tcBorders>
            <w:shd w:val="clear" w:color="auto" w:fill="auto"/>
          </w:tcPr>
          <w:p w14:paraId="3A29BF0F" w14:textId="77777777" w:rsidR="00EB2D0B" w:rsidRPr="00775D11" w:rsidRDefault="00EB2D0B" w:rsidP="001E29A9">
            <w:pPr>
              <w:pStyle w:val="TableText"/>
              <w:spacing w:before="40" w:after="40" w:line="240" w:lineRule="auto"/>
            </w:pPr>
            <w:r w:rsidRPr="00775D11">
              <w:t xml:space="preserve">Includes mattress, bedding and </w:t>
            </w:r>
            <w:r w:rsidR="00B02DAB">
              <w:t>‘</w:t>
            </w:r>
            <w:r w:rsidRPr="00775D11">
              <w:t>rules of protection</w:t>
            </w:r>
            <w:r w:rsidR="00B02DAB">
              <w:t>’</w:t>
            </w:r>
          </w:p>
        </w:tc>
      </w:tr>
      <w:tr w:rsidR="00EB2D0B" w:rsidRPr="00775D11" w14:paraId="4EC6C731" w14:textId="77777777" w:rsidTr="00BF163B">
        <w:trPr>
          <w:cantSplit/>
        </w:trPr>
        <w:tc>
          <w:tcPr>
            <w:tcW w:w="1418" w:type="dxa"/>
            <w:shd w:val="clear" w:color="auto" w:fill="auto"/>
          </w:tcPr>
          <w:p w14:paraId="29116BB5" w14:textId="77777777" w:rsidR="00EB2D0B" w:rsidRPr="00775D11" w:rsidRDefault="00EB2D0B" w:rsidP="001E29A9">
            <w:pPr>
              <w:pStyle w:val="TableText"/>
              <w:spacing w:before="40" w:after="40" w:line="240" w:lineRule="auto"/>
            </w:pPr>
            <w:r w:rsidRPr="00775D11">
              <w:t>Northern region wahakura</w:t>
            </w:r>
          </w:p>
        </w:tc>
        <w:tc>
          <w:tcPr>
            <w:tcW w:w="1559" w:type="dxa"/>
            <w:shd w:val="clear" w:color="auto" w:fill="auto"/>
          </w:tcPr>
          <w:p w14:paraId="1C5DBAA0" w14:textId="77777777" w:rsidR="00EB2D0B" w:rsidRPr="00775D11" w:rsidRDefault="00EB2D0B" w:rsidP="001E29A9">
            <w:pPr>
              <w:pStyle w:val="TableText"/>
              <w:spacing w:before="40" w:after="40" w:line="240" w:lineRule="auto"/>
              <w:jc w:val="center"/>
            </w:pPr>
            <w:r w:rsidRPr="00775D11">
              <w:t>40 cm wide x 72</w:t>
            </w:r>
            <w:r w:rsidR="00BF163B">
              <w:t> </w:t>
            </w:r>
            <w:r w:rsidRPr="00775D11">
              <w:t>cm long</w:t>
            </w:r>
          </w:p>
        </w:tc>
        <w:tc>
          <w:tcPr>
            <w:tcW w:w="1559" w:type="dxa"/>
            <w:shd w:val="clear" w:color="auto" w:fill="auto"/>
          </w:tcPr>
          <w:p w14:paraId="52CD449F" w14:textId="77777777" w:rsidR="00EB2D0B" w:rsidRPr="00775D11" w:rsidRDefault="00EB2D0B" w:rsidP="001E29A9">
            <w:pPr>
              <w:pStyle w:val="TableText"/>
              <w:spacing w:before="40" w:after="40" w:line="240" w:lineRule="auto"/>
              <w:jc w:val="center"/>
            </w:pPr>
            <w:r w:rsidRPr="00775D11">
              <w:t>15 cm deep – low</w:t>
            </w:r>
            <w:r w:rsidR="00BF163B">
              <w:t> </w:t>
            </w:r>
            <w:r w:rsidRPr="00775D11">
              <w:t>sides</w:t>
            </w:r>
          </w:p>
        </w:tc>
        <w:tc>
          <w:tcPr>
            <w:tcW w:w="1843" w:type="dxa"/>
            <w:shd w:val="clear" w:color="auto" w:fill="auto"/>
          </w:tcPr>
          <w:p w14:paraId="27CE5FF4" w14:textId="77777777" w:rsidR="00EB2D0B" w:rsidRPr="00775D11" w:rsidRDefault="00EB2D0B" w:rsidP="001E29A9">
            <w:pPr>
              <w:pStyle w:val="TableText"/>
              <w:spacing w:before="40" w:after="40" w:line="240" w:lineRule="auto"/>
            </w:pPr>
            <w:r w:rsidRPr="00775D11">
              <w:t>Firm mattress 40 cm wide x 72 cm long</w:t>
            </w:r>
          </w:p>
        </w:tc>
        <w:tc>
          <w:tcPr>
            <w:tcW w:w="1701" w:type="dxa"/>
            <w:shd w:val="clear" w:color="auto" w:fill="auto"/>
          </w:tcPr>
          <w:p w14:paraId="3343E577" w14:textId="77777777" w:rsidR="00EB2D0B" w:rsidRPr="00775D11" w:rsidRDefault="00EB2D0B" w:rsidP="001E29A9">
            <w:pPr>
              <w:pStyle w:val="TableText"/>
              <w:spacing w:before="40" w:after="40" w:line="240" w:lineRule="auto"/>
            </w:pPr>
            <w:r w:rsidRPr="00775D11">
              <w:t>PEPE message**</w:t>
            </w:r>
          </w:p>
        </w:tc>
      </w:tr>
      <w:tr w:rsidR="00EB2D0B" w:rsidRPr="00775D11" w14:paraId="3058444E" w14:textId="77777777" w:rsidTr="00BF163B">
        <w:trPr>
          <w:cantSplit/>
        </w:trPr>
        <w:tc>
          <w:tcPr>
            <w:tcW w:w="1418" w:type="dxa"/>
            <w:shd w:val="clear" w:color="auto" w:fill="auto"/>
          </w:tcPr>
          <w:p w14:paraId="3AD48F26" w14:textId="77777777" w:rsidR="00EB2D0B" w:rsidRPr="00775D11" w:rsidRDefault="00EB2D0B" w:rsidP="001E29A9">
            <w:pPr>
              <w:pStyle w:val="TableText"/>
              <w:spacing w:before="40" w:after="40" w:line="240" w:lineRule="auto"/>
            </w:pPr>
            <w:r w:rsidRPr="00775D11">
              <w:t>Midland region wahakura</w:t>
            </w:r>
          </w:p>
        </w:tc>
        <w:tc>
          <w:tcPr>
            <w:tcW w:w="1559" w:type="dxa"/>
            <w:shd w:val="clear" w:color="auto" w:fill="auto"/>
          </w:tcPr>
          <w:p w14:paraId="0784714F" w14:textId="77777777" w:rsidR="00EB2D0B" w:rsidRPr="00775D11" w:rsidRDefault="00EB2D0B" w:rsidP="001E29A9">
            <w:pPr>
              <w:pStyle w:val="TableText"/>
              <w:spacing w:before="40" w:after="40" w:line="240" w:lineRule="auto"/>
              <w:jc w:val="center"/>
            </w:pPr>
            <w:r w:rsidRPr="00775D11">
              <w:t>36 cm wide x 70</w:t>
            </w:r>
            <w:r w:rsidR="00BF163B">
              <w:t> </w:t>
            </w:r>
            <w:r w:rsidRPr="00775D11">
              <w:t>cm long approximately</w:t>
            </w:r>
          </w:p>
        </w:tc>
        <w:tc>
          <w:tcPr>
            <w:tcW w:w="1559" w:type="dxa"/>
            <w:shd w:val="clear" w:color="auto" w:fill="auto"/>
          </w:tcPr>
          <w:p w14:paraId="7EFBA8A1" w14:textId="77777777" w:rsidR="00EB2D0B" w:rsidRPr="00775D11" w:rsidRDefault="00EB2D0B" w:rsidP="001E29A9">
            <w:pPr>
              <w:pStyle w:val="TableText"/>
              <w:spacing w:before="40" w:after="40" w:line="240" w:lineRule="auto"/>
              <w:jc w:val="center"/>
            </w:pPr>
            <w:r w:rsidRPr="00775D11">
              <w:t>20–25 cm deep</w:t>
            </w:r>
          </w:p>
        </w:tc>
        <w:tc>
          <w:tcPr>
            <w:tcW w:w="1843" w:type="dxa"/>
            <w:shd w:val="clear" w:color="auto" w:fill="auto"/>
          </w:tcPr>
          <w:p w14:paraId="17812CE4" w14:textId="77777777" w:rsidR="00EB2D0B" w:rsidRPr="00775D11" w:rsidRDefault="00EB2D0B" w:rsidP="001E29A9">
            <w:pPr>
              <w:pStyle w:val="TableText"/>
              <w:spacing w:before="40" w:after="40" w:line="240" w:lineRule="auto"/>
              <w:rPr>
                <w:rFonts w:cstheme="minorHAnsi"/>
              </w:rPr>
            </w:pPr>
            <w:r w:rsidRPr="00775D11">
              <w:rPr>
                <w:rFonts w:cstheme="minorHAnsi"/>
              </w:rPr>
              <w:t>Mattress well fitted to base of wahakura</w:t>
            </w:r>
          </w:p>
          <w:p w14:paraId="51A3D8CE" w14:textId="77777777" w:rsidR="00EB2D0B" w:rsidRPr="00775D11" w:rsidRDefault="00EB2D0B" w:rsidP="001E29A9">
            <w:pPr>
              <w:pStyle w:val="TableText"/>
              <w:spacing w:before="40" w:after="40" w:line="240" w:lineRule="auto"/>
            </w:pPr>
            <w:r w:rsidRPr="00775D11">
              <w:rPr>
                <w:rFonts w:cstheme="minorHAnsi"/>
              </w:rPr>
              <w:t>20–25 mm depth of mattress (sponge rubber)</w:t>
            </w:r>
          </w:p>
        </w:tc>
        <w:tc>
          <w:tcPr>
            <w:tcW w:w="1701" w:type="dxa"/>
            <w:shd w:val="clear" w:color="auto" w:fill="auto"/>
          </w:tcPr>
          <w:p w14:paraId="15C13699" w14:textId="77777777" w:rsidR="00EB2D0B" w:rsidRPr="00775D11" w:rsidRDefault="00EB2D0B" w:rsidP="001E29A9">
            <w:pPr>
              <w:pStyle w:val="TableText"/>
              <w:spacing w:before="40" w:after="40" w:line="240" w:lineRule="auto"/>
            </w:pPr>
          </w:p>
        </w:tc>
      </w:tr>
      <w:tr w:rsidR="00EB2D0B" w:rsidRPr="00775D11" w14:paraId="3E9E9972" w14:textId="77777777" w:rsidTr="00BF163B">
        <w:trPr>
          <w:cantSplit/>
        </w:trPr>
        <w:tc>
          <w:tcPr>
            <w:tcW w:w="1418" w:type="dxa"/>
            <w:shd w:val="clear" w:color="auto" w:fill="auto"/>
          </w:tcPr>
          <w:p w14:paraId="45412B11" w14:textId="77777777" w:rsidR="00EB2D0B" w:rsidRPr="00775D11" w:rsidRDefault="00EB2D0B" w:rsidP="001E29A9">
            <w:pPr>
              <w:pStyle w:val="TableText"/>
              <w:spacing w:before="40" w:after="40" w:line="240" w:lineRule="auto"/>
            </w:pPr>
            <w:r w:rsidRPr="00775D11">
              <w:t>Central region wahakura</w:t>
            </w:r>
          </w:p>
        </w:tc>
        <w:tc>
          <w:tcPr>
            <w:tcW w:w="1559" w:type="dxa"/>
            <w:shd w:val="clear" w:color="auto" w:fill="auto"/>
          </w:tcPr>
          <w:p w14:paraId="701E16FF" w14:textId="77777777" w:rsidR="00EB2D0B" w:rsidRPr="00775D11" w:rsidRDefault="00EB2D0B" w:rsidP="001E29A9">
            <w:pPr>
              <w:pStyle w:val="TableText"/>
              <w:spacing w:before="40" w:after="40" w:line="240" w:lineRule="auto"/>
              <w:jc w:val="center"/>
            </w:pPr>
            <w:r w:rsidRPr="00775D11">
              <w:rPr>
                <w:rFonts w:cstheme="minorHAnsi"/>
              </w:rPr>
              <w:t>34 cm wide x 70</w:t>
            </w:r>
            <w:r w:rsidR="00BF163B">
              <w:rPr>
                <w:rFonts w:cstheme="minorHAnsi"/>
              </w:rPr>
              <w:t> </w:t>
            </w:r>
            <w:r w:rsidRPr="00775D11">
              <w:rPr>
                <w:rFonts w:cstheme="minorHAnsi"/>
              </w:rPr>
              <w:t>cm long</w:t>
            </w:r>
          </w:p>
          <w:p w14:paraId="4D651D16" w14:textId="77777777" w:rsidR="00EB2D0B" w:rsidRPr="00775D11" w:rsidRDefault="00EB2D0B" w:rsidP="001E29A9">
            <w:pPr>
              <w:pStyle w:val="TableText"/>
              <w:spacing w:before="40" w:after="40" w:line="240" w:lineRule="auto"/>
              <w:jc w:val="center"/>
            </w:pPr>
            <w:r w:rsidRPr="00775D11">
              <w:t>40 cm wide x 70</w:t>
            </w:r>
            <w:r w:rsidR="00BF163B">
              <w:t> </w:t>
            </w:r>
            <w:r w:rsidRPr="00775D11">
              <w:t>cm long</w:t>
            </w:r>
          </w:p>
        </w:tc>
        <w:tc>
          <w:tcPr>
            <w:tcW w:w="1559" w:type="dxa"/>
            <w:shd w:val="clear" w:color="auto" w:fill="auto"/>
          </w:tcPr>
          <w:p w14:paraId="3B19B6ED" w14:textId="49DFAC85" w:rsidR="00EB2D0B" w:rsidRPr="00775D11" w:rsidRDefault="00EB2D0B" w:rsidP="001E29A9">
            <w:pPr>
              <w:pStyle w:val="TableText"/>
              <w:spacing w:before="40" w:after="40" w:line="240" w:lineRule="auto"/>
              <w:jc w:val="center"/>
            </w:pPr>
            <w:r w:rsidRPr="00775D11">
              <w:t xml:space="preserve">16–24 cm </w:t>
            </w:r>
            <w:r w:rsidR="00495660">
              <w:t>deep</w:t>
            </w:r>
          </w:p>
          <w:p w14:paraId="648B6515" w14:textId="77777777" w:rsidR="00EB2D0B" w:rsidRPr="00775D11" w:rsidRDefault="00EB2D0B" w:rsidP="001E29A9">
            <w:pPr>
              <w:pStyle w:val="TableText"/>
              <w:spacing w:before="40" w:after="40" w:line="240" w:lineRule="auto"/>
              <w:jc w:val="center"/>
            </w:pPr>
            <w:r w:rsidRPr="00775D11">
              <w:t>16–22 cm high</w:t>
            </w:r>
          </w:p>
        </w:tc>
        <w:tc>
          <w:tcPr>
            <w:tcW w:w="1843" w:type="dxa"/>
            <w:shd w:val="clear" w:color="auto" w:fill="auto"/>
          </w:tcPr>
          <w:p w14:paraId="52B1BF4E" w14:textId="77777777" w:rsidR="00EB2D0B" w:rsidRPr="00775D11" w:rsidRDefault="00EB2D0B" w:rsidP="001E29A9">
            <w:pPr>
              <w:pStyle w:val="TableText"/>
              <w:spacing w:before="40" w:after="40" w:line="240" w:lineRule="auto"/>
            </w:pPr>
            <w:r w:rsidRPr="00775D11">
              <w:rPr>
                <w:rFonts w:cstheme="minorHAnsi"/>
              </w:rPr>
              <w:t>Mattress well fitted to base of wahakura</w:t>
            </w:r>
          </w:p>
        </w:tc>
        <w:tc>
          <w:tcPr>
            <w:tcW w:w="1701" w:type="dxa"/>
            <w:shd w:val="clear" w:color="auto" w:fill="auto"/>
          </w:tcPr>
          <w:p w14:paraId="0804E3AA" w14:textId="77777777" w:rsidR="00EB2D0B" w:rsidRPr="00775D11" w:rsidRDefault="00EB2D0B" w:rsidP="001E29A9">
            <w:pPr>
              <w:pStyle w:val="TableText"/>
              <w:spacing w:before="40" w:after="40" w:line="240" w:lineRule="auto"/>
            </w:pPr>
          </w:p>
        </w:tc>
      </w:tr>
    </w:tbl>
    <w:p w14:paraId="65717617" w14:textId="77777777" w:rsidR="00EB2D0B" w:rsidRPr="00775D11" w:rsidRDefault="00EB2D0B" w:rsidP="00BF163B">
      <w:pPr>
        <w:pStyle w:val="Note"/>
      </w:pPr>
      <w:r w:rsidRPr="00775D11">
        <w:t>Notes:</w:t>
      </w:r>
    </w:p>
    <w:p w14:paraId="4CCC3BBA" w14:textId="77777777" w:rsidR="00EB2D0B" w:rsidRPr="007C2EB7" w:rsidRDefault="00EB2D0B" w:rsidP="00BF163B">
      <w:pPr>
        <w:pStyle w:val="Note"/>
        <w:ind w:left="284" w:hanging="284"/>
        <w:rPr>
          <w:rFonts w:cstheme="minorHAnsi"/>
          <w:sz w:val="20"/>
        </w:rPr>
      </w:pPr>
      <w:r w:rsidRPr="00BF163B">
        <w:t>*</w:t>
      </w:r>
      <w:r w:rsidR="00BF163B" w:rsidRPr="00BF163B">
        <w:tab/>
      </w:r>
      <w:r w:rsidRPr="00BF163B">
        <w:t>See Change for our Children,</w:t>
      </w:r>
      <w:r w:rsidRPr="007C2EB7">
        <w:rPr>
          <w:sz w:val="20"/>
        </w:rPr>
        <w:t xml:space="preserve"> </w:t>
      </w:r>
      <w:hyperlink r:id="rId29" w:history="1">
        <w:r w:rsidRPr="00BF163B">
          <w:rPr>
            <w:rStyle w:val="Hyperlink"/>
          </w:rPr>
          <w:t>www.changeforourchildren.nz/safe_start_programme/baby_essentials_online</w:t>
        </w:r>
      </w:hyperlink>
      <w:r w:rsidRPr="007C2EB7">
        <w:rPr>
          <w:rFonts w:cstheme="minorHAnsi"/>
          <w:sz w:val="20"/>
        </w:rPr>
        <w:t xml:space="preserve"> and </w:t>
      </w:r>
      <w:hyperlink r:id="rId30" w:history="1">
        <w:r w:rsidRPr="00BF163B">
          <w:rPr>
            <w:rStyle w:val="Hyperlink"/>
          </w:rPr>
          <w:t>www.changeforourchildren.nz/safe_start_programme/tool_kit</w:t>
        </w:r>
      </w:hyperlink>
    </w:p>
    <w:p w14:paraId="521C3393" w14:textId="77777777" w:rsidR="00EB2D0B" w:rsidRPr="00775D11" w:rsidRDefault="00EB2D0B" w:rsidP="00BF163B">
      <w:pPr>
        <w:pStyle w:val="Note"/>
        <w:ind w:left="284" w:hanging="284"/>
      </w:pPr>
      <w:r w:rsidRPr="00775D11">
        <w:rPr>
          <w:rFonts w:cstheme="minorHAnsi"/>
        </w:rPr>
        <w:t>**</w:t>
      </w:r>
      <w:r w:rsidR="00BF163B">
        <w:rPr>
          <w:rFonts w:cstheme="minorHAnsi"/>
        </w:rPr>
        <w:tab/>
      </w:r>
      <w:r w:rsidRPr="00775D11">
        <w:rPr>
          <w:rFonts w:cstheme="minorHAnsi"/>
        </w:rPr>
        <w:t xml:space="preserve">PEPE message: </w:t>
      </w:r>
      <w:r w:rsidRPr="00775D11">
        <w:rPr>
          <w:b/>
        </w:rPr>
        <w:t>P</w:t>
      </w:r>
      <w:r w:rsidRPr="00775D11">
        <w:t xml:space="preserve">lace baby in their own baby bed in the same room as their parent or caregiver. </w:t>
      </w:r>
      <w:r w:rsidRPr="00775D11">
        <w:rPr>
          <w:b/>
        </w:rPr>
        <w:t>E</w:t>
      </w:r>
      <w:r w:rsidRPr="00775D11">
        <w:t xml:space="preserve">liminate smoking in pregnancy and protect baby with a </w:t>
      </w:r>
      <w:proofErr w:type="spellStart"/>
      <w:r w:rsidRPr="00775D11">
        <w:t>smokefree</w:t>
      </w:r>
      <w:proofErr w:type="spellEnd"/>
      <w:r w:rsidRPr="00775D11">
        <w:t xml:space="preserve"> whānau, </w:t>
      </w:r>
      <w:proofErr w:type="spellStart"/>
      <w:r w:rsidRPr="00775D11">
        <w:t>whare</w:t>
      </w:r>
      <w:proofErr w:type="spellEnd"/>
      <w:r w:rsidRPr="00775D11">
        <w:t xml:space="preserve"> (house) and waka (car). </w:t>
      </w:r>
      <w:r w:rsidRPr="00775D11">
        <w:rPr>
          <w:b/>
        </w:rPr>
        <w:t>P</w:t>
      </w:r>
      <w:r w:rsidRPr="00775D11">
        <w:t xml:space="preserve">osition baby flat on their back to sleep – face clear of bedding. </w:t>
      </w:r>
      <w:r w:rsidRPr="00775D11">
        <w:rPr>
          <w:b/>
        </w:rPr>
        <w:t>E</w:t>
      </w:r>
      <w:r w:rsidRPr="00775D11">
        <w:t>ncourage and support breastfeeding and gentle handling of baby.</w:t>
      </w:r>
    </w:p>
    <w:p w14:paraId="1EF3628D" w14:textId="77777777" w:rsidR="00EB2D0B" w:rsidRPr="00775D11" w:rsidRDefault="00EB2D0B" w:rsidP="00EB2D0B">
      <w:pPr>
        <w:rPr>
          <w:rFonts w:cstheme="minorHAnsi"/>
        </w:rPr>
      </w:pPr>
    </w:p>
    <w:p w14:paraId="7A186E05" w14:textId="40F5E3D1" w:rsidR="00EB2D0B" w:rsidRPr="00775D11" w:rsidRDefault="00EB2D0B" w:rsidP="001E29A9">
      <w:pPr>
        <w:pStyle w:val="Heading1"/>
        <w:rPr>
          <w:rFonts w:eastAsia="Calibri"/>
        </w:rPr>
      </w:pPr>
      <w:bookmarkStart w:id="41" w:name="_Toc4502401"/>
      <w:bookmarkStart w:id="42" w:name="_Toc7704181"/>
      <w:r w:rsidRPr="00775D11">
        <w:rPr>
          <w:rFonts w:eastAsia="Calibri"/>
        </w:rPr>
        <w:lastRenderedPageBreak/>
        <w:t>Bassinets</w:t>
      </w:r>
      <w:bookmarkEnd w:id="42"/>
      <w:r w:rsidRPr="00775D11">
        <w:rPr>
          <w:rFonts w:eastAsia="Calibri"/>
        </w:rPr>
        <w:t xml:space="preserve"> </w:t>
      </w:r>
      <w:bookmarkEnd w:id="41"/>
    </w:p>
    <w:p w14:paraId="1641BBDE" w14:textId="77777777" w:rsidR="00B02DAB" w:rsidRDefault="00EB2D0B" w:rsidP="001E29A9">
      <w:r w:rsidRPr="00775D11">
        <w:t>One recommendation for SUDI prevention is to provide baby, from birth to 12 months of age, with their own bed in the same room as the parent(s) or caregiver(s).</w:t>
      </w:r>
    </w:p>
    <w:p w14:paraId="72D0E579" w14:textId="77777777" w:rsidR="00EB2D0B" w:rsidRDefault="00EB2D0B" w:rsidP="001E29A9"/>
    <w:p w14:paraId="53004B24" w14:textId="77777777" w:rsidR="00EB2D0B" w:rsidRPr="00775D11" w:rsidRDefault="00EB2D0B" w:rsidP="001E29A9">
      <w:r w:rsidRPr="00775D11">
        <w:t>This age range covers the period of greatest risk for SUDI, as the peak incidence occurs at one to two months, and 80 percent occurs before five months.</w:t>
      </w:r>
      <w:r w:rsidRPr="001E29A9">
        <w:rPr>
          <w:rStyle w:val="FootnoteReference"/>
        </w:rPr>
        <w:footnoteReference w:id="7"/>
      </w:r>
    </w:p>
    <w:p w14:paraId="4D4F8B67" w14:textId="77777777" w:rsidR="00EB2D0B" w:rsidRPr="00775D11" w:rsidRDefault="00EB2D0B" w:rsidP="001E29A9"/>
    <w:p w14:paraId="7FA3DAC3" w14:textId="3431AC35" w:rsidR="00EB2D0B" w:rsidRPr="00775D11" w:rsidRDefault="00EB2D0B" w:rsidP="001E29A9">
      <w:r w:rsidRPr="00775D11">
        <w:t>Having baby sleep in a bassinet offers the benefits of providing:</w:t>
      </w:r>
    </w:p>
    <w:p w14:paraId="4C0C5DB4" w14:textId="77777777" w:rsidR="00EB2D0B" w:rsidRPr="00775D11" w:rsidRDefault="00EB2D0B" w:rsidP="005C45B1">
      <w:pPr>
        <w:pStyle w:val="Bullet"/>
      </w:pPr>
      <w:r w:rsidRPr="00775D11">
        <w:t>a convenient way to share a room with baby</w:t>
      </w:r>
    </w:p>
    <w:p w14:paraId="1173ADC4" w14:textId="77777777" w:rsidR="00EB2D0B" w:rsidRPr="00775D11" w:rsidRDefault="00EB2D0B" w:rsidP="005C45B1">
      <w:pPr>
        <w:pStyle w:val="Bullet"/>
      </w:pPr>
      <w:r w:rsidRPr="00775D11">
        <w:t>a safe sleep space for baby</w:t>
      </w:r>
    </w:p>
    <w:p w14:paraId="1DDDF6D8" w14:textId="77777777" w:rsidR="00EB2D0B" w:rsidRPr="00775D11" w:rsidRDefault="00EB2D0B" w:rsidP="005C45B1">
      <w:pPr>
        <w:pStyle w:val="Bullet"/>
      </w:pPr>
      <w:r w:rsidRPr="00775D11">
        <w:t>convenience and ease for night feeding</w:t>
      </w:r>
    </w:p>
    <w:p w14:paraId="6753909C" w14:textId="77777777" w:rsidR="00EB2D0B" w:rsidRPr="00775D11" w:rsidRDefault="00EB2D0B" w:rsidP="005C45B1">
      <w:pPr>
        <w:pStyle w:val="Bullet"/>
      </w:pPr>
      <w:proofErr w:type="gramStart"/>
      <w:r w:rsidRPr="00775D11">
        <w:t>peace</w:t>
      </w:r>
      <w:proofErr w:type="gramEnd"/>
      <w:r w:rsidRPr="00775D11">
        <w:t xml:space="preserve"> of mind.</w:t>
      </w:r>
    </w:p>
    <w:p w14:paraId="0BDFB034" w14:textId="77777777" w:rsidR="00EB2D0B" w:rsidRPr="00775D11" w:rsidRDefault="00EB2D0B" w:rsidP="001E29A9"/>
    <w:p w14:paraId="1F777437" w14:textId="18AAF810" w:rsidR="00EB2D0B" w:rsidRPr="00775D11" w:rsidRDefault="00EB2D0B" w:rsidP="001E29A9">
      <w:r w:rsidRPr="00775D11">
        <w:t>Bassinets are most commonly designed to work with either fixed legs or casters</w:t>
      </w:r>
      <w:r w:rsidR="00F03E24">
        <w:t>.</w:t>
      </w:r>
      <w:r w:rsidRPr="00775D11">
        <w:t xml:space="preserve"> Obvious differences from wahakura and </w:t>
      </w:r>
      <w:proofErr w:type="spellStart"/>
      <w:r w:rsidRPr="00775D11">
        <w:t>Pēpi</w:t>
      </w:r>
      <w:proofErr w:type="spellEnd"/>
      <w:r w:rsidRPr="00775D11">
        <w:t>-Pod</w:t>
      </w:r>
      <w:r w:rsidRPr="00775D11">
        <w:rPr>
          <w:rFonts w:cstheme="minorHAnsi"/>
        </w:rPr>
        <w:t>®</w:t>
      </w:r>
      <w:r w:rsidRPr="00775D11">
        <w:t xml:space="preserve"> are that bassinets do not provide </w:t>
      </w:r>
      <w:r w:rsidR="00B02DAB">
        <w:t>‘</w:t>
      </w:r>
      <w:r w:rsidRPr="00775D11">
        <w:t>in-bed capability</w:t>
      </w:r>
      <w:r w:rsidR="00B02DAB">
        <w:t>’</w:t>
      </w:r>
      <w:r w:rsidRPr="00775D11">
        <w:t xml:space="preserve"> and they take up additional space in the bedroom of the parent(s) or caregiver(s). Many </w:t>
      </w:r>
      <w:r>
        <w:t>families and whānau</w:t>
      </w:r>
      <w:r w:rsidRPr="00775D11">
        <w:t xml:space="preserve"> use bassinets before using a cot or crib. It is important to note that, when baby can push up or roll over, it is time to transition to a cot (see the next section).</w:t>
      </w:r>
    </w:p>
    <w:p w14:paraId="44B213BC" w14:textId="77777777" w:rsidR="00EB2D0B" w:rsidRPr="00775D11" w:rsidRDefault="00EB2D0B" w:rsidP="001E29A9"/>
    <w:p w14:paraId="7EABDE26" w14:textId="71FB4D32" w:rsidR="00B02DAB" w:rsidRDefault="00EB2D0B" w:rsidP="00EB2D0B">
      <w:r w:rsidRPr="00775D11">
        <w:t>A wid</w:t>
      </w:r>
      <w:r w:rsidRPr="001E29A9">
        <w:t>e</w:t>
      </w:r>
      <w:r w:rsidRPr="00775D11">
        <w:t xml:space="preserve"> variety of makes and models of bassinets is available. Unlike cots, cribs and </w:t>
      </w:r>
      <w:proofErr w:type="spellStart"/>
      <w:r w:rsidRPr="00775D11">
        <w:t>portacots</w:t>
      </w:r>
      <w:proofErr w:type="spellEnd"/>
      <w:r w:rsidRPr="00775D11">
        <w:t xml:space="preserve">, the Commerce Commission has not set mandatory safety standards for these products or their mattresses. Importantly, however, all </w:t>
      </w:r>
      <w:r>
        <w:t xml:space="preserve">SSDs </w:t>
      </w:r>
      <w:r w:rsidRPr="00775D11">
        <w:t>should take into account basic safety guidelines to ensure the safest possible sleep for baby and to reduce the incidence of SUDI where possible. In particular, the device should:</w:t>
      </w:r>
    </w:p>
    <w:p w14:paraId="22764341" w14:textId="77777777" w:rsidR="00EB2D0B" w:rsidRPr="00775D11" w:rsidRDefault="00EB2D0B" w:rsidP="005C45B1">
      <w:pPr>
        <w:pStyle w:val="Bullet"/>
      </w:pPr>
      <w:r w:rsidRPr="00775D11">
        <w:t>have a mattress that fits flush to all of its edges</w:t>
      </w:r>
    </w:p>
    <w:p w14:paraId="2DFEDA5F" w14:textId="77777777" w:rsidR="00EB2D0B" w:rsidRPr="00775D11" w:rsidRDefault="00EB2D0B" w:rsidP="005C45B1">
      <w:pPr>
        <w:pStyle w:val="Bullet"/>
      </w:pPr>
      <w:r w:rsidRPr="00775D11">
        <w:t>have a firm flat mattress, no more than 40 millimetres thick as it could be a suffocation hazard</w:t>
      </w:r>
      <w:r w:rsidRPr="001E29A9">
        <w:rPr>
          <w:rStyle w:val="FootnoteReference"/>
        </w:rPr>
        <w:footnoteReference w:id="8"/>
      </w:r>
    </w:p>
    <w:p w14:paraId="250C4C79" w14:textId="77777777" w:rsidR="00EB2D0B" w:rsidRPr="00775D11" w:rsidRDefault="00EB2D0B" w:rsidP="005C45B1">
      <w:pPr>
        <w:pStyle w:val="Bullet"/>
      </w:pPr>
      <w:r w:rsidRPr="00775D11">
        <w:t>have blankets firmly tucked under the mattress</w:t>
      </w:r>
    </w:p>
    <w:p w14:paraId="63DE8F41" w14:textId="77777777" w:rsidR="00EB2D0B" w:rsidRPr="00775D11" w:rsidRDefault="00EB2D0B" w:rsidP="005C45B1">
      <w:pPr>
        <w:pStyle w:val="Bullet"/>
      </w:pPr>
      <w:r w:rsidRPr="00775D11">
        <w:t>have no pillows or bumper-pads</w:t>
      </w:r>
    </w:p>
    <w:p w14:paraId="6C2A8D86" w14:textId="77777777" w:rsidR="00EB2D0B" w:rsidRPr="00775D11" w:rsidRDefault="00EB2D0B" w:rsidP="005C45B1">
      <w:pPr>
        <w:pStyle w:val="Bullet"/>
      </w:pPr>
      <w:r w:rsidRPr="00775D11">
        <w:t>have no soft toys or extra blankets</w:t>
      </w:r>
    </w:p>
    <w:p w14:paraId="37843083" w14:textId="77777777" w:rsidR="00EB2D0B" w:rsidRPr="00775D11" w:rsidRDefault="00EB2D0B" w:rsidP="005C45B1">
      <w:pPr>
        <w:pStyle w:val="Bullet"/>
      </w:pPr>
      <w:proofErr w:type="gramStart"/>
      <w:r w:rsidRPr="00775D11">
        <w:t>be</w:t>
      </w:r>
      <w:proofErr w:type="gramEnd"/>
      <w:r w:rsidRPr="00775D11">
        <w:t xml:space="preserve"> placed away from windows, curtains and any hanging objects.</w:t>
      </w:r>
    </w:p>
    <w:p w14:paraId="6545DB8B" w14:textId="77777777" w:rsidR="00EB2D0B" w:rsidRPr="00775D11" w:rsidRDefault="00EB2D0B" w:rsidP="005C45B1">
      <w:pPr>
        <w:pStyle w:val="Bullet"/>
        <w:numPr>
          <w:ilvl w:val="0"/>
          <w:numId w:val="0"/>
        </w:numPr>
        <w:ind w:left="284"/>
      </w:pPr>
    </w:p>
    <w:p w14:paraId="4404480D" w14:textId="77777777" w:rsidR="00EB2D0B" w:rsidRPr="00775D11" w:rsidRDefault="00EB2D0B" w:rsidP="008D76A9">
      <w:pPr>
        <w:pStyle w:val="Heading1"/>
        <w:rPr>
          <w:rFonts w:eastAsia="Calibri"/>
        </w:rPr>
      </w:pPr>
      <w:bookmarkStart w:id="43" w:name="_Toc4502402"/>
      <w:bookmarkStart w:id="44" w:name="_Toc7704182"/>
      <w:r w:rsidRPr="00775D11">
        <w:rPr>
          <w:rFonts w:eastAsia="Calibri"/>
        </w:rPr>
        <w:lastRenderedPageBreak/>
        <w:t>Other sleeping devices</w:t>
      </w:r>
      <w:bookmarkEnd w:id="43"/>
      <w:bookmarkEnd w:id="44"/>
    </w:p>
    <w:p w14:paraId="0BD2008D" w14:textId="77777777" w:rsidR="005C45B1" w:rsidRDefault="00EB2D0B" w:rsidP="008D76A9">
      <w:r w:rsidRPr="00775D11">
        <w:t xml:space="preserve">Cots, cribs and </w:t>
      </w:r>
      <w:proofErr w:type="spellStart"/>
      <w:r w:rsidRPr="00775D11">
        <w:t>portacots</w:t>
      </w:r>
      <w:proofErr w:type="spellEnd"/>
      <w:r w:rsidRPr="00775D11">
        <w:t xml:space="preserve"> all have mandatory safety standards. The major difference between the three is that the </w:t>
      </w:r>
      <w:proofErr w:type="spellStart"/>
      <w:r w:rsidRPr="00775D11">
        <w:t>portacot</w:t>
      </w:r>
      <w:proofErr w:type="spellEnd"/>
      <w:r w:rsidRPr="00775D11">
        <w:t xml:space="preserve"> can fold down and is portable. </w:t>
      </w:r>
      <w:proofErr w:type="spellStart"/>
      <w:r w:rsidRPr="00775D11">
        <w:t>Portacots</w:t>
      </w:r>
      <w:proofErr w:type="spellEnd"/>
      <w:r w:rsidRPr="00775D11">
        <w:t xml:space="preserve"> come with a safety warning that they are not intended for long-term use and infants should not be left unattended when placed in a </w:t>
      </w:r>
      <w:proofErr w:type="spellStart"/>
      <w:r w:rsidRPr="00775D11">
        <w:t>portacot</w:t>
      </w:r>
      <w:proofErr w:type="spellEnd"/>
      <w:r w:rsidRPr="00775D11">
        <w:t>. Specific safety concerns are the risks that baby might:</w:t>
      </w:r>
    </w:p>
    <w:p w14:paraId="23E51D97" w14:textId="77777777" w:rsidR="005C45B1" w:rsidRDefault="00EB2D0B" w:rsidP="008D76A9">
      <w:pPr>
        <w:pStyle w:val="Bullet"/>
      </w:pPr>
      <w:r w:rsidRPr="005C45B1">
        <w:t xml:space="preserve">accidentally release locking devices so that the sides of the </w:t>
      </w:r>
      <w:proofErr w:type="spellStart"/>
      <w:r w:rsidRPr="005C45B1">
        <w:t>portacot</w:t>
      </w:r>
      <w:proofErr w:type="spellEnd"/>
      <w:r w:rsidRPr="005C45B1">
        <w:t xml:space="preserve"> collapses</w:t>
      </w:r>
    </w:p>
    <w:p w14:paraId="607015E6" w14:textId="27ACEA85" w:rsidR="005C45B1" w:rsidRDefault="00EB2D0B" w:rsidP="008D76A9">
      <w:pPr>
        <w:pStyle w:val="Bullet"/>
      </w:pPr>
      <w:r w:rsidRPr="005C45B1">
        <w:t xml:space="preserve">suffer strangulation or asphyxiation by getting their neck trapped if one or more of the locking devices fail, with the sides forming a </w:t>
      </w:r>
      <w:r w:rsidR="00B02DAB" w:rsidRPr="005C45B1">
        <w:t>‘</w:t>
      </w:r>
      <w:r w:rsidRPr="005C45B1">
        <w:t>V</w:t>
      </w:r>
      <w:r w:rsidR="00B02DAB" w:rsidRPr="005C45B1">
        <w:t>’</w:t>
      </w:r>
      <w:r w:rsidRPr="005C45B1">
        <w:t xml:space="preserve"> shaped clamp</w:t>
      </w:r>
    </w:p>
    <w:p w14:paraId="0F4F2273" w14:textId="4704F2D8" w:rsidR="003558A4" w:rsidRPr="005C45B1" w:rsidRDefault="00EB2D0B" w:rsidP="008D76A9">
      <w:pPr>
        <w:pStyle w:val="Bullet"/>
      </w:pPr>
      <w:proofErr w:type="gramStart"/>
      <w:r w:rsidRPr="005C45B1">
        <w:t>suffocate</w:t>
      </w:r>
      <w:proofErr w:type="gramEnd"/>
      <w:r w:rsidRPr="005C45B1">
        <w:t xml:space="preserve"> if their head gets trapped between the mattress and sides of the </w:t>
      </w:r>
      <w:proofErr w:type="spellStart"/>
      <w:r w:rsidRPr="005C45B1">
        <w:t>portacot</w:t>
      </w:r>
      <w:proofErr w:type="spellEnd"/>
      <w:r w:rsidRPr="005C45B1">
        <w:t>, if both are made of non-breathable material.</w:t>
      </w:r>
    </w:p>
    <w:p w14:paraId="7CCB63CC" w14:textId="77777777" w:rsidR="008D76A9" w:rsidRDefault="008D76A9" w:rsidP="008D76A9"/>
    <w:p w14:paraId="68583BCE" w14:textId="69E959E3" w:rsidR="00EB2D0B" w:rsidRPr="00775D11" w:rsidRDefault="00EB2D0B" w:rsidP="008D76A9">
      <w:r w:rsidRPr="00775D11">
        <w:t>Important safety measures include:</w:t>
      </w:r>
    </w:p>
    <w:p w14:paraId="1BFB3756" w14:textId="77777777" w:rsidR="00EB2D0B" w:rsidRPr="00775D11" w:rsidRDefault="00EB2D0B" w:rsidP="008D76A9">
      <w:pPr>
        <w:pStyle w:val="Bullet"/>
      </w:pPr>
      <w:r w:rsidRPr="00775D11">
        <w:t xml:space="preserve">checking there are no footholds and the </w:t>
      </w:r>
      <w:proofErr w:type="spellStart"/>
      <w:r w:rsidRPr="00775D11">
        <w:t>portacot</w:t>
      </w:r>
      <w:proofErr w:type="spellEnd"/>
      <w:r w:rsidRPr="00775D11">
        <w:t xml:space="preserve"> is sufficiently deep that baby cannot fall out of the cot</w:t>
      </w:r>
    </w:p>
    <w:p w14:paraId="0F86AE7E" w14:textId="77777777" w:rsidR="00EB2D0B" w:rsidRPr="00775D11" w:rsidRDefault="00EB2D0B" w:rsidP="008D76A9">
      <w:pPr>
        <w:pStyle w:val="Bullet"/>
      </w:pPr>
      <w:proofErr w:type="gramStart"/>
      <w:r w:rsidRPr="00775D11">
        <w:t>testing</w:t>
      </w:r>
      <w:proofErr w:type="gramEnd"/>
      <w:r w:rsidRPr="00775D11">
        <w:t xml:space="preserve"> the parts to ensure there are no small components that baby might swallow.</w:t>
      </w:r>
    </w:p>
    <w:p w14:paraId="3CE0DFDB" w14:textId="77777777" w:rsidR="00EB2D0B" w:rsidRPr="00775D11" w:rsidRDefault="00EB2D0B" w:rsidP="008D76A9"/>
    <w:p w14:paraId="19F8A45C" w14:textId="77777777" w:rsidR="00B02DAB" w:rsidRDefault="00EB2D0B" w:rsidP="008D76A9">
      <w:r w:rsidRPr="00775D11">
        <w:t>Most modern cots have two height settings for the base of the cot. The high base, which involves less bending for adults, is used when baby is quite small, while the lower base is for when baby becomes more mobile.</w:t>
      </w:r>
    </w:p>
    <w:p w14:paraId="72C6220E" w14:textId="77777777" w:rsidR="00EB2D0B" w:rsidRPr="00775D11" w:rsidRDefault="00EB2D0B" w:rsidP="008D76A9"/>
    <w:p w14:paraId="36155B9D" w14:textId="50CD7561" w:rsidR="00B02DAB" w:rsidRDefault="00EB2D0B" w:rsidP="008D76A9">
      <w:r w:rsidRPr="00775D11">
        <w:t xml:space="preserve">The safety standards apply only to household cots. The few exclusions to these regulations are hospital cots, bassinets, antique cots and collectible cots. New cots should be manufactured under the New Zealand and Australian mandatory safety standards (see the websites in </w:t>
      </w:r>
      <w:hyperlink w:anchor="_Appendix_1:_Safety" w:history="1">
        <w:r w:rsidR="00345330" w:rsidRPr="00345330">
          <w:t>Appendix 1</w:t>
        </w:r>
      </w:hyperlink>
      <w:r w:rsidRPr="00775D11">
        <w:t>). Buyers should check that a cot is displaying a safety standards sticker so they know it complies with those standards.</w:t>
      </w:r>
    </w:p>
    <w:p w14:paraId="6C68587F" w14:textId="77777777" w:rsidR="00EB2D0B" w:rsidRPr="00775D11" w:rsidRDefault="00EB2D0B" w:rsidP="008D76A9"/>
    <w:p w14:paraId="7A17DE65" w14:textId="77777777" w:rsidR="00EB2D0B" w:rsidRPr="008D76A9" w:rsidRDefault="00EB2D0B" w:rsidP="008D76A9">
      <w:pPr>
        <w:ind w:right="-142"/>
        <w:rPr>
          <w:spacing w:val="-2"/>
        </w:rPr>
      </w:pPr>
      <w:r w:rsidRPr="008D76A9">
        <w:rPr>
          <w:spacing w:val="-2"/>
        </w:rPr>
        <w:t>Second-hand cots must also meet certain requirements. Some are that the cot must have:</w:t>
      </w:r>
    </w:p>
    <w:p w14:paraId="00BBB604" w14:textId="77777777" w:rsidR="00EB2D0B" w:rsidRPr="008D76A9" w:rsidRDefault="00EB2D0B" w:rsidP="008D76A9">
      <w:pPr>
        <w:pStyle w:val="Bullet"/>
        <w:ind w:right="-284"/>
        <w:rPr>
          <w:spacing w:val="-2"/>
        </w:rPr>
      </w:pPr>
      <w:r w:rsidRPr="008D76A9">
        <w:rPr>
          <w:spacing w:val="-2"/>
        </w:rPr>
        <w:t>a minimum depth of 600 mm from mattress base to the lowest point on any side or end</w:t>
      </w:r>
    </w:p>
    <w:p w14:paraId="3C426B87" w14:textId="77777777" w:rsidR="00EB2D0B" w:rsidRPr="00775D11" w:rsidRDefault="00EB2D0B" w:rsidP="008D76A9">
      <w:pPr>
        <w:pStyle w:val="Bullet"/>
      </w:pPr>
      <w:r w:rsidRPr="00775D11">
        <w:t>no horizontal or diagonal bars or fixtures that will allow baby to climb up the sides of a cot</w:t>
      </w:r>
    </w:p>
    <w:p w14:paraId="5B23FD19" w14:textId="77777777" w:rsidR="00EB2D0B" w:rsidRPr="00775D11" w:rsidRDefault="00EB2D0B" w:rsidP="008D76A9">
      <w:pPr>
        <w:pStyle w:val="Bullet"/>
      </w:pPr>
      <w:r w:rsidRPr="00775D11">
        <w:t>a permanent warning and information label on the mattress base</w:t>
      </w:r>
    </w:p>
    <w:p w14:paraId="0EB19255" w14:textId="77777777" w:rsidR="00EB2D0B" w:rsidRPr="001E29A9" w:rsidRDefault="00EB2D0B" w:rsidP="008D76A9">
      <w:pPr>
        <w:pStyle w:val="Bullet"/>
        <w:ind w:right="-284"/>
      </w:pPr>
      <w:r w:rsidRPr="001E29A9">
        <w:t>no more than 20 mm of space between all the bars and all sides of the mattress sides</w:t>
      </w:r>
    </w:p>
    <w:p w14:paraId="4D479015" w14:textId="77777777" w:rsidR="00EB2D0B" w:rsidRPr="00775D11" w:rsidRDefault="00EB2D0B" w:rsidP="008D76A9">
      <w:pPr>
        <w:pStyle w:val="Bullet"/>
      </w:pPr>
      <w:r w:rsidRPr="00775D11">
        <w:t>space between the vertical bars of between 50 and 95 millimetres</w:t>
      </w:r>
    </w:p>
    <w:p w14:paraId="4D6F613A" w14:textId="71B6FEE2" w:rsidR="00EB2D0B" w:rsidRPr="00775D11" w:rsidRDefault="00EB2D0B" w:rsidP="008D76A9">
      <w:pPr>
        <w:pStyle w:val="Bullet"/>
      </w:pPr>
      <w:proofErr w:type="gramStart"/>
      <w:r w:rsidRPr="00775D11">
        <w:t>no</w:t>
      </w:r>
      <w:proofErr w:type="gramEnd"/>
      <w:r w:rsidRPr="00775D11">
        <w:t xml:space="preserve"> protrusions (</w:t>
      </w:r>
      <w:proofErr w:type="spellStart"/>
      <w:r>
        <w:t>eg</w:t>
      </w:r>
      <w:proofErr w:type="spellEnd"/>
      <w:r w:rsidRPr="00775D11">
        <w:t xml:space="preserve"> construction</w:t>
      </w:r>
      <w:r w:rsidR="00B02DAB">
        <w:t xml:space="preserve"> </w:t>
      </w:r>
      <w:r w:rsidRPr="00775D11">
        <w:t>nuts</w:t>
      </w:r>
      <w:r>
        <w:t xml:space="preserve"> or bolts </w:t>
      </w:r>
      <w:r w:rsidRPr="00775D11">
        <w:t>or a corner) that measure more than 5</w:t>
      </w:r>
      <w:r w:rsidR="001E29A9">
        <w:t> </w:t>
      </w:r>
      <w:r w:rsidRPr="00775D11">
        <w:t>millimetres.</w:t>
      </w:r>
    </w:p>
    <w:p w14:paraId="44F1C19E" w14:textId="77777777" w:rsidR="00EB2D0B" w:rsidRPr="00775D11" w:rsidRDefault="00EB2D0B" w:rsidP="008D76A9">
      <w:pPr>
        <w:rPr>
          <w:highlight w:val="yellow"/>
        </w:rPr>
      </w:pPr>
    </w:p>
    <w:p w14:paraId="099D922F" w14:textId="77777777" w:rsidR="00B02DAB" w:rsidRDefault="00EB2D0B" w:rsidP="008D76A9">
      <w:r w:rsidRPr="00775D11">
        <w:t xml:space="preserve">It is always advisable for health professionals to reinforce safe sleep advice and practice with </w:t>
      </w:r>
      <w:r>
        <w:t>families and whānau</w:t>
      </w:r>
      <w:r w:rsidRPr="00775D11">
        <w:t xml:space="preserve">. With a cot in particular, </w:t>
      </w:r>
      <w:r>
        <w:t>families and whānau</w:t>
      </w:r>
      <w:r w:rsidRPr="00775D11">
        <w:t xml:space="preserve"> should place it in a flat, safe place in the room, away from windows, curtains or any potential hazards.</w:t>
      </w:r>
    </w:p>
    <w:p w14:paraId="7CFDC8FF" w14:textId="77777777" w:rsidR="00EB2D0B" w:rsidRPr="00775D11" w:rsidRDefault="00EB2D0B" w:rsidP="008D76A9"/>
    <w:p w14:paraId="2F14DA1F" w14:textId="77777777" w:rsidR="00EB2D0B" w:rsidRPr="00775D11" w:rsidRDefault="00EB2D0B" w:rsidP="001E29A9">
      <w:pPr>
        <w:pStyle w:val="Heading1"/>
      </w:pPr>
      <w:bookmarkStart w:id="45" w:name="_Appendix_1:_Safety"/>
      <w:bookmarkStart w:id="46" w:name="_Toc4502403"/>
      <w:bookmarkStart w:id="47" w:name="_Ref5651522"/>
      <w:bookmarkStart w:id="48" w:name="_Ref5651534"/>
      <w:bookmarkStart w:id="49" w:name="_Ref5651803"/>
      <w:bookmarkStart w:id="50" w:name="_Toc7704183"/>
      <w:bookmarkEnd w:id="45"/>
      <w:r w:rsidRPr="00775D11">
        <w:lastRenderedPageBreak/>
        <w:t xml:space="preserve">Appendix </w:t>
      </w:r>
      <w:r w:rsidR="001E29A9">
        <w:t>1</w:t>
      </w:r>
      <w:r w:rsidRPr="00775D11">
        <w:t>: Safety standards and regulations for safe sleep devices</w:t>
      </w:r>
      <w:bookmarkEnd w:id="46"/>
      <w:bookmarkEnd w:id="47"/>
      <w:bookmarkEnd w:id="48"/>
      <w:bookmarkEnd w:id="49"/>
      <w:bookmarkEnd w:id="50"/>
    </w:p>
    <w:p w14:paraId="4E0097ED" w14:textId="77777777" w:rsidR="00EB2D0B" w:rsidRPr="00775D11" w:rsidRDefault="00EB2D0B" w:rsidP="001E29A9">
      <w:pPr>
        <w:pStyle w:val="Heading2"/>
      </w:pPr>
      <w:bookmarkStart w:id="51" w:name="_Toc5652149"/>
      <w:bookmarkStart w:id="52" w:name="_Toc7704184"/>
      <w:r w:rsidRPr="00775D11">
        <w:t>Safe sleep device standards</w:t>
      </w:r>
      <w:bookmarkEnd w:id="51"/>
      <w:bookmarkEnd w:id="52"/>
    </w:p>
    <w:p w14:paraId="07D12F93" w14:textId="77777777" w:rsidR="00EB2D0B" w:rsidRPr="001E29A9" w:rsidRDefault="00EB2D0B" w:rsidP="001E29A9">
      <w:r w:rsidRPr="00775D11">
        <w:t xml:space="preserve">For full details of all of the regulation requirements for cots, go to </w:t>
      </w:r>
      <w:hyperlink r:id="rId31" w:tgtFrame="_blank" w:history="1">
        <w:r w:rsidRPr="001E29A9">
          <w:rPr>
            <w:rStyle w:val="Hyperlink"/>
          </w:rPr>
          <w:t>www.standards.co.nz</w:t>
        </w:r>
      </w:hyperlink>
      <w:r w:rsidRPr="001E29A9">
        <w:t>.</w:t>
      </w:r>
    </w:p>
    <w:p w14:paraId="7F1AD106" w14:textId="77777777" w:rsidR="00EB2D0B" w:rsidRPr="00775D11" w:rsidRDefault="00EB2D0B" w:rsidP="001E29A9"/>
    <w:p w14:paraId="42D1BCFB" w14:textId="77777777" w:rsidR="00EB2D0B" w:rsidRPr="00775D11" w:rsidRDefault="00EB2D0B" w:rsidP="000F2DA8">
      <w:pPr>
        <w:pStyle w:val="Heading2"/>
      </w:pPr>
      <w:bookmarkStart w:id="53" w:name="_Toc5652150"/>
      <w:bookmarkStart w:id="54" w:name="_Toc7704185"/>
      <w:r w:rsidRPr="00775D11">
        <w:t>Websites with information on regulations and safety standards</w:t>
      </w:r>
      <w:bookmarkEnd w:id="53"/>
      <w:bookmarkEnd w:id="54"/>
    </w:p>
    <w:p w14:paraId="034BAEF2" w14:textId="77777777" w:rsidR="00B02DAB" w:rsidRDefault="00EB2D0B" w:rsidP="000F2DA8">
      <w:pPr>
        <w:rPr>
          <w:rFonts w:ascii="Georgia" w:hAnsi="Georgia"/>
          <w:color w:val="373738"/>
          <w:sz w:val="20"/>
          <w:shd w:val="clear" w:color="auto" w:fill="FFFFFF"/>
        </w:rPr>
      </w:pPr>
      <w:r w:rsidRPr="00775D11">
        <w:t>Standards New Zealand is a business unit within the Ministry of Business, Innovation and Employment. It manages the development of standards to: improve the quality of goods and services; support trade and commerce; and promote safety health and welfare. Specific SSD standards on its website are:</w:t>
      </w:r>
    </w:p>
    <w:p w14:paraId="09833184" w14:textId="77777777" w:rsidR="00EB2D0B" w:rsidRPr="00775D11" w:rsidRDefault="00EE432A" w:rsidP="005C45B1">
      <w:pPr>
        <w:pStyle w:val="Bullet"/>
      </w:pPr>
      <w:hyperlink r:id="rId32" w:history="1">
        <w:r w:rsidR="00EB2D0B" w:rsidRPr="000F2DA8">
          <w:rPr>
            <w:rStyle w:val="Hyperlink"/>
          </w:rPr>
          <w:t>https://shop.standards.govt.nz/catalog/2172%3A2013%28AS%7CNZS%29/view</w:t>
        </w:r>
      </w:hyperlink>
      <w:r w:rsidR="00EB2D0B" w:rsidRPr="00775D11">
        <w:t xml:space="preserve"> Standard AS/NZS 2172:2013: Cots for household use – Safety requirements</w:t>
      </w:r>
    </w:p>
    <w:p w14:paraId="090F3FE5" w14:textId="77777777" w:rsidR="00EB2D0B" w:rsidRPr="00775D11" w:rsidRDefault="00EE432A" w:rsidP="005C45B1">
      <w:pPr>
        <w:pStyle w:val="Bullet"/>
      </w:pPr>
      <w:hyperlink r:id="rId33" w:history="1">
        <w:r w:rsidR="00EB2D0B" w:rsidRPr="000F2DA8">
          <w:rPr>
            <w:rStyle w:val="Hyperlink"/>
          </w:rPr>
          <w:t>https://shop.standards.govt.nz/default.htm?action=touchstoneRef&amp;mod=catalog&amp;pid=2195:2010(AS|NZS)</w:t>
        </w:r>
      </w:hyperlink>
      <w:r w:rsidR="00EB2D0B" w:rsidRPr="00775D11">
        <w:t xml:space="preserve"> AS/NZS 2195:2010: Folding cots – Safety requirements.</w:t>
      </w:r>
    </w:p>
    <w:p w14:paraId="2912DB5F" w14:textId="77777777" w:rsidR="00EB2D0B" w:rsidRPr="00775D11" w:rsidRDefault="00EB2D0B" w:rsidP="000F2DA8">
      <w:pPr>
        <w:rPr>
          <w:shd w:val="clear" w:color="auto" w:fill="FFFFFF"/>
        </w:rPr>
      </w:pPr>
    </w:p>
    <w:p w14:paraId="53769605" w14:textId="77777777" w:rsidR="00EB2D0B" w:rsidRPr="000F2DA8" w:rsidRDefault="00EB2D0B" w:rsidP="00EB2D0B">
      <w:r w:rsidRPr="00775D11">
        <w:t>The Commerce Commission is New Zealand</w:t>
      </w:r>
      <w:r w:rsidR="00B02DAB">
        <w:t>’</w:t>
      </w:r>
      <w:r w:rsidRPr="00775D11">
        <w:t>s competition enforcement and regulatory agency. It gives details on legislation and provides consumer information on the supply of goods and services. For more information, go to:</w:t>
      </w:r>
      <w:r w:rsidR="000F2DA8">
        <w:t xml:space="preserve"> </w:t>
      </w:r>
      <w:hyperlink r:id="rId34" w:history="1">
        <w:r w:rsidRPr="000F2DA8">
          <w:rPr>
            <w:rStyle w:val="Hyperlink"/>
          </w:rPr>
          <w:t>www.comcom.govt.nz</w:t>
        </w:r>
      </w:hyperlink>
    </w:p>
    <w:p w14:paraId="07660DD8" w14:textId="77777777" w:rsidR="00EB2D0B" w:rsidRPr="00775D11" w:rsidRDefault="00EB2D0B" w:rsidP="000F2DA8"/>
    <w:p w14:paraId="712DCAA4" w14:textId="77777777" w:rsidR="00EB2D0B" w:rsidRPr="000F2DA8" w:rsidRDefault="00EB2D0B" w:rsidP="000F2DA8">
      <w:pPr>
        <w:pStyle w:val="Heading2"/>
      </w:pPr>
      <w:bookmarkStart w:id="55" w:name="_Toc5652151"/>
      <w:bookmarkStart w:id="56" w:name="_Toc7704186"/>
      <w:r w:rsidRPr="00775D11">
        <w:lastRenderedPageBreak/>
        <w:t>Risk assessment of heavy metals in wahakura</w:t>
      </w:r>
      <w:bookmarkEnd w:id="55"/>
      <w:bookmarkEnd w:id="56"/>
    </w:p>
    <w:p w14:paraId="04C3F81B" w14:textId="77777777" w:rsidR="00EB2D0B" w:rsidRPr="00775D11" w:rsidRDefault="00EB2D0B" w:rsidP="000F2DA8">
      <w:pPr>
        <w:keepNext/>
      </w:pPr>
      <w:r w:rsidRPr="00775D11">
        <w:t>Another area of concern for safety has been the potential for baby to be exposed to contaminant elements (heavy metals) in flax-woven wahakura. Wahakura were therefore tested for their accumulated levels of contaminant elements.</w:t>
      </w:r>
      <w:r w:rsidRPr="000F2DA8">
        <w:rPr>
          <w:rStyle w:val="FootnoteReference"/>
        </w:rPr>
        <w:footnoteReference w:id="9"/>
      </w:r>
    </w:p>
    <w:p w14:paraId="6D11E777" w14:textId="77777777" w:rsidR="00EB2D0B" w:rsidRPr="00775D11" w:rsidRDefault="00EB2D0B" w:rsidP="000F2DA8">
      <w:pPr>
        <w:keepNext/>
      </w:pPr>
    </w:p>
    <w:p w14:paraId="62E9C141" w14:textId="77777777" w:rsidR="00EB2D0B" w:rsidRPr="00775D11" w:rsidRDefault="00EB2D0B" w:rsidP="000F2DA8">
      <w:r w:rsidRPr="00775D11">
        <w:t xml:space="preserve">Contaminant elements are not absorbed through the skin to any great extent, particularly from a solid matrix such as flax. However, infants frequently </w:t>
      </w:r>
      <w:r w:rsidR="00B02DAB">
        <w:t>‘</w:t>
      </w:r>
      <w:r w:rsidRPr="00775D11">
        <w:t>mouth</w:t>
      </w:r>
      <w:r w:rsidR="00B02DAB">
        <w:t>’</w:t>
      </w:r>
      <w:r w:rsidRPr="00775D11">
        <w:t xml:space="preserve"> items in their immediate environment.</w:t>
      </w:r>
      <w:r w:rsidRPr="000F2DA8">
        <w:rPr>
          <w:rStyle w:val="FootnoteReference"/>
        </w:rPr>
        <w:footnoteReference w:id="10"/>
      </w:r>
      <w:r w:rsidRPr="00775D11">
        <w:t xml:space="preserve"> This was considered to be the most plausible route of contaminant element exposure for infants from wahakura.</w:t>
      </w:r>
    </w:p>
    <w:p w14:paraId="3CA7D2B9" w14:textId="77777777" w:rsidR="00EB2D0B" w:rsidRPr="00775D11" w:rsidRDefault="00EB2D0B" w:rsidP="000F2DA8"/>
    <w:p w14:paraId="0D4BE391" w14:textId="77777777" w:rsidR="00B02DAB" w:rsidRDefault="00EB2D0B" w:rsidP="000F2DA8">
      <w:r w:rsidRPr="00775D11">
        <w:t>Sections from different parts of the wahakura were excised and extracted with simulated salivary fluid. This testing found that, in all cases, the mean concentrations of saliva-soluble contaminant elements in the wahakura flax are within the range of concentrations potentially present in other food and drinking-water sources for infants.</w:t>
      </w:r>
    </w:p>
    <w:p w14:paraId="3365FBC8" w14:textId="77777777" w:rsidR="00EB2D0B" w:rsidRPr="00775D11" w:rsidRDefault="00EB2D0B" w:rsidP="000F2DA8"/>
    <w:p w14:paraId="6A78F3C8" w14:textId="77777777" w:rsidR="00EB2D0B" w:rsidRPr="00775D11" w:rsidRDefault="00EB2D0B" w:rsidP="000F2DA8">
      <w:r w:rsidRPr="00775D11">
        <w:t>Given that the amounts of food and water consumed by infants will be much greater than the amount of flax they may potentially mouth, the levels of contaminant elements detected in wahakura are highly unlikely to represent a health concern.</w:t>
      </w:r>
    </w:p>
    <w:p w14:paraId="3D2D2E7A" w14:textId="77777777" w:rsidR="00EB2D0B" w:rsidRPr="00775D11" w:rsidRDefault="00EB2D0B" w:rsidP="000F2DA8"/>
    <w:p w14:paraId="095CCA9A" w14:textId="77777777" w:rsidR="00EB2D0B" w:rsidRPr="00775D11" w:rsidRDefault="00EB2D0B" w:rsidP="000F2DA8">
      <w:pPr>
        <w:pStyle w:val="Heading1"/>
      </w:pPr>
      <w:bookmarkStart w:id="57" w:name="_Appendix_2:_Summary"/>
      <w:bookmarkStart w:id="58" w:name="_Toc4502405"/>
      <w:bookmarkStart w:id="59" w:name="_Ref5651618"/>
      <w:bookmarkStart w:id="60" w:name="_Toc7704187"/>
      <w:bookmarkEnd w:id="57"/>
      <w:r w:rsidRPr="00775D11">
        <w:lastRenderedPageBreak/>
        <w:t xml:space="preserve">Appendix </w:t>
      </w:r>
      <w:r w:rsidR="00547273">
        <w:t>2</w:t>
      </w:r>
      <w:r w:rsidRPr="00775D11">
        <w:t>: Summary of guidelines for weaving a wahakura</w:t>
      </w:r>
      <w:bookmarkEnd w:id="58"/>
      <w:bookmarkEnd w:id="59"/>
      <w:bookmarkEnd w:id="60"/>
    </w:p>
    <w:p w14:paraId="47D525F9" w14:textId="77777777" w:rsidR="00EB2D0B" w:rsidRPr="00775D11" w:rsidRDefault="00EB2D0B" w:rsidP="000F2DA8">
      <w:r w:rsidRPr="00775D11">
        <w:t>Table 3 summarises instructions for weaving a wahakura, which include</w:t>
      </w:r>
      <w:r w:rsidR="00BF5D4C">
        <w:t>s</w:t>
      </w:r>
      <w:r w:rsidRPr="00775D11">
        <w:t xml:space="preserve"> information from Professor David </w:t>
      </w:r>
      <w:proofErr w:type="spellStart"/>
      <w:r w:rsidRPr="00775D11">
        <w:t>Tipene</w:t>
      </w:r>
      <w:proofErr w:type="spellEnd"/>
      <w:r w:rsidRPr="00775D11">
        <w:t>-Leach</w:t>
      </w:r>
      <w:r w:rsidR="00B02DAB">
        <w:t>’</w:t>
      </w:r>
      <w:r w:rsidRPr="00775D11">
        <w:t>s</w:t>
      </w:r>
      <w:r w:rsidRPr="00775D11" w:rsidDel="00331B97">
        <w:t xml:space="preserve"> </w:t>
      </w:r>
      <w:r w:rsidRPr="00775D11">
        <w:t>wahakura guidelines.</w:t>
      </w:r>
      <w:r w:rsidRPr="000F2DA8">
        <w:rPr>
          <w:rStyle w:val="FootnoteReference"/>
        </w:rPr>
        <w:footnoteReference w:id="11"/>
      </w:r>
    </w:p>
    <w:p w14:paraId="571EABDB" w14:textId="77777777" w:rsidR="00EB2D0B" w:rsidRPr="00775D11" w:rsidRDefault="00EB2D0B" w:rsidP="000F2DA8"/>
    <w:p w14:paraId="4EB3C7B3" w14:textId="77777777" w:rsidR="00EB2D0B" w:rsidRPr="00775D11" w:rsidRDefault="00EB2D0B" w:rsidP="000F2DA8">
      <w:pPr>
        <w:pStyle w:val="Table"/>
      </w:pPr>
      <w:bookmarkStart w:id="61" w:name="_Toc4502409"/>
      <w:bookmarkStart w:id="62" w:name="_Toc5652230"/>
      <w:r w:rsidRPr="00775D11">
        <w:t xml:space="preserve">Table </w:t>
      </w:r>
      <w:r w:rsidR="00F60387">
        <w:rPr>
          <w:noProof/>
        </w:rPr>
        <w:fldChar w:fldCharType="begin"/>
      </w:r>
      <w:r w:rsidR="00F60387">
        <w:rPr>
          <w:noProof/>
        </w:rPr>
        <w:instrText xml:space="preserve"> SEQ Table \* ARABIC </w:instrText>
      </w:r>
      <w:r w:rsidR="00F60387">
        <w:rPr>
          <w:noProof/>
        </w:rPr>
        <w:fldChar w:fldCharType="separate"/>
      </w:r>
      <w:r w:rsidR="008D76A9">
        <w:rPr>
          <w:noProof/>
        </w:rPr>
        <w:t>3</w:t>
      </w:r>
      <w:r w:rsidR="00F60387">
        <w:rPr>
          <w:noProof/>
        </w:rPr>
        <w:fldChar w:fldCharType="end"/>
      </w:r>
      <w:r w:rsidRPr="00775D11">
        <w:t>: Summary of wahakura weaving guidelines</w:t>
      </w:r>
      <w:bookmarkEnd w:id="61"/>
      <w:bookmarkEnd w:id="62"/>
    </w:p>
    <w:p w14:paraId="62010161" w14:textId="77777777" w:rsidR="00EB2D0B" w:rsidRPr="00775D11" w:rsidRDefault="00EB2D0B" w:rsidP="005C45B1">
      <w:pPr>
        <w:pStyle w:val="BoxBullet"/>
      </w:pPr>
      <w:r w:rsidRPr="00775D11">
        <w:t xml:space="preserve">Use </w:t>
      </w:r>
      <w:proofErr w:type="spellStart"/>
      <w:r w:rsidRPr="00775D11">
        <w:t>whāriki</w:t>
      </w:r>
      <w:proofErr w:type="spellEnd"/>
      <w:r w:rsidRPr="00775D11">
        <w:t xml:space="preserve"> flax and boil it.</w:t>
      </w:r>
    </w:p>
    <w:p w14:paraId="5B9EE0E5" w14:textId="77777777" w:rsidR="00EB2D0B" w:rsidRPr="00775D11" w:rsidRDefault="00EB2D0B" w:rsidP="005C45B1">
      <w:pPr>
        <w:pStyle w:val="BoxBullet"/>
      </w:pPr>
      <w:r w:rsidRPr="00775D11">
        <w:t>Make the base size approximately 35 centimetres (14 inches) wide by 70</w:t>
      </w:r>
      <w:r w:rsidR="000F2DA8">
        <w:t> </w:t>
      </w:r>
      <w:r w:rsidRPr="00775D11">
        <w:t>centimetres (28 inches) long.</w:t>
      </w:r>
    </w:p>
    <w:p w14:paraId="7926984A" w14:textId="77777777" w:rsidR="00EB2D0B" w:rsidRPr="00775D11" w:rsidRDefault="00EB2D0B" w:rsidP="005C45B1">
      <w:pPr>
        <w:pStyle w:val="BoxBullet"/>
      </w:pPr>
      <w:r w:rsidRPr="00775D11">
        <w:t xml:space="preserve">Use approximately 24 strips each side of three </w:t>
      </w:r>
      <w:proofErr w:type="spellStart"/>
      <w:r w:rsidRPr="00775D11">
        <w:t>whiri</w:t>
      </w:r>
      <w:proofErr w:type="spellEnd"/>
      <w:r w:rsidRPr="00775D11">
        <w:t xml:space="preserve"> plaits to make the base.</w:t>
      </w:r>
    </w:p>
    <w:p w14:paraId="58AD4CB0" w14:textId="77777777" w:rsidR="00EB2D0B" w:rsidRPr="00775D11" w:rsidRDefault="00EB2D0B" w:rsidP="005C45B1">
      <w:pPr>
        <w:pStyle w:val="BoxBullet"/>
      </w:pPr>
      <w:r w:rsidRPr="00775D11">
        <w:t>Lock off before weaving the sides.</w:t>
      </w:r>
    </w:p>
    <w:p w14:paraId="0B63D4E2" w14:textId="77777777" w:rsidR="00EB2D0B" w:rsidRPr="00775D11" w:rsidRDefault="00EB2D0B" w:rsidP="005C45B1">
      <w:pPr>
        <w:pStyle w:val="BoxBullet"/>
      </w:pPr>
      <w:r w:rsidRPr="00775D11">
        <w:t>Make the sides approximately 20–25 centimetres (8–10 inches) high.</w:t>
      </w:r>
    </w:p>
    <w:p w14:paraId="0FEA8685" w14:textId="77777777" w:rsidR="00EB2D0B" w:rsidRPr="00775D11" w:rsidRDefault="00EB2D0B" w:rsidP="005C45B1">
      <w:pPr>
        <w:pStyle w:val="BoxBullet"/>
      </w:pPr>
      <w:r w:rsidRPr="00775D11">
        <w:t xml:space="preserve">Use strong, thick </w:t>
      </w:r>
      <w:proofErr w:type="spellStart"/>
      <w:r w:rsidRPr="00775D11">
        <w:t>whiri</w:t>
      </w:r>
      <w:proofErr w:type="spellEnd"/>
      <w:r w:rsidRPr="00775D11">
        <w:t xml:space="preserve"> to finish at the top.</w:t>
      </w:r>
    </w:p>
    <w:p w14:paraId="33375A6F" w14:textId="77777777" w:rsidR="00EB2D0B" w:rsidRPr="00775D11" w:rsidRDefault="00EB2D0B" w:rsidP="000F2DA8"/>
    <w:p w14:paraId="6D951E0D" w14:textId="77777777" w:rsidR="00B02DAB" w:rsidRDefault="00EB2D0B" w:rsidP="000F2DA8">
      <w:r w:rsidRPr="00775D11">
        <w:t xml:space="preserve">A few weavers have worked with Professor David </w:t>
      </w:r>
      <w:proofErr w:type="spellStart"/>
      <w:r w:rsidRPr="00775D11">
        <w:t>Tipene</w:t>
      </w:r>
      <w:proofErr w:type="spellEnd"/>
      <w:r w:rsidRPr="00775D11">
        <w:t xml:space="preserve">-Leach and Nanny </w:t>
      </w:r>
      <w:proofErr w:type="spellStart"/>
      <w:r w:rsidRPr="00775D11">
        <w:t>Whaipooti</w:t>
      </w:r>
      <w:proofErr w:type="spellEnd"/>
      <w:r w:rsidRPr="00775D11">
        <w:t xml:space="preserve"> </w:t>
      </w:r>
      <w:proofErr w:type="spellStart"/>
      <w:r w:rsidRPr="00775D11">
        <w:t>Hitchiner</w:t>
      </w:r>
      <w:proofErr w:type="spellEnd"/>
      <w:r w:rsidRPr="00775D11">
        <w:t xml:space="preserve"> to develop these guidelines, and most tend to follow the dimensions and weaving processes. But, like most artisans or artists, they are innovative, practical and creative so, even with the guidelines, individual styles and identifiable trademark weaving are evident in the finished wahakura.</w:t>
      </w:r>
    </w:p>
    <w:p w14:paraId="0CAECEBD" w14:textId="77777777" w:rsidR="00EB2D0B" w:rsidRPr="00775D11" w:rsidRDefault="00EB2D0B" w:rsidP="000F2DA8"/>
    <w:p w14:paraId="293DDF6F" w14:textId="77777777" w:rsidR="00EB2D0B" w:rsidRPr="00775D11" w:rsidRDefault="00EB2D0B" w:rsidP="000F2DA8">
      <w:r w:rsidRPr="00775D11">
        <w:t xml:space="preserve">Professor </w:t>
      </w:r>
      <w:proofErr w:type="spellStart"/>
      <w:r w:rsidRPr="00775D11">
        <w:t>Tipene</w:t>
      </w:r>
      <w:proofErr w:type="spellEnd"/>
      <w:r w:rsidRPr="00775D11">
        <w:t>-Leach</w:t>
      </w:r>
      <w:r w:rsidR="00B02DAB">
        <w:t>’</w:t>
      </w:r>
      <w:r w:rsidRPr="00775D11">
        <w:t>s resource provides instructions on how to care for and maintain wahakura. It also provides the following specifications and guidelines.</w:t>
      </w:r>
    </w:p>
    <w:p w14:paraId="45B176B2" w14:textId="77777777" w:rsidR="00B02DAB" w:rsidRDefault="00EB2D0B" w:rsidP="00DB259D">
      <w:pPr>
        <w:pStyle w:val="Number"/>
        <w:numPr>
          <w:ilvl w:val="3"/>
          <w:numId w:val="8"/>
        </w:numPr>
      </w:pPr>
      <w:r w:rsidRPr="00775D11">
        <w:t>Your wahakura should be made by an expert weaver. It should have a flat bottom, reasonably firm sides and a top edge strong enough to allow you to pick it up (without baby in it).</w:t>
      </w:r>
    </w:p>
    <w:p w14:paraId="44236E8B" w14:textId="77777777" w:rsidR="00B02DAB" w:rsidRDefault="00EB2D0B" w:rsidP="00DB259D">
      <w:pPr>
        <w:pStyle w:val="Number"/>
        <w:numPr>
          <w:ilvl w:val="3"/>
          <w:numId w:val="8"/>
        </w:numPr>
      </w:pPr>
      <w:r w:rsidRPr="00775D11">
        <w:t>Your wahakura is not designed to be a carry-cot. It is for sleeping only; do not put handles on the wahakura.</w:t>
      </w:r>
    </w:p>
    <w:p w14:paraId="1E54A935" w14:textId="77777777" w:rsidR="00B02DAB" w:rsidRDefault="00EB2D0B" w:rsidP="00DB259D">
      <w:pPr>
        <w:pStyle w:val="Number"/>
        <w:numPr>
          <w:ilvl w:val="3"/>
          <w:numId w:val="8"/>
        </w:numPr>
      </w:pPr>
      <w:r w:rsidRPr="00775D11">
        <w:t>It should have a thin 20–25 millimetre mattress (</w:t>
      </w:r>
      <w:proofErr w:type="spellStart"/>
      <w:r>
        <w:t>eg</w:t>
      </w:r>
      <w:proofErr w:type="spellEnd"/>
      <w:r w:rsidR="000F2DA8">
        <w:t>,</w:t>
      </w:r>
      <w:r>
        <w:t xml:space="preserve"> </w:t>
      </w:r>
      <w:r w:rsidRPr="00775D11">
        <w:t xml:space="preserve">sponge rubber from Para </w:t>
      </w:r>
      <w:proofErr w:type="gramStart"/>
      <w:r w:rsidRPr="00775D11">
        <w:t>Rubber</w:t>
      </w:r>
      <w:proofErr w:type="gramEnd"/>
      <w:r w:rsidRPr="00775D11">
        <w:t>) with a cotton cover. Both mattress and cover are easily washable.</w:t>
      </w:r>
    </w:p>
    <w:p w14:paraId="30EC2082" w14:textId="77777777" w:rsidR="00B02DAB" w:rsidRDefault="00EB2D0B" w:rsidP="00DB259D">
      <w:pPr>
        <w:pStyle w:val="Number"/>
        <w:keepNext/>
        <w:numPr>
          <w:ilvl w:val="3"/>
          <w:numId w:val="8"/>
        </w:numPr>
      </w:pPr>
      <w:r w:rsidRPr="00775D11">
        <w:lastRenderedPageBreak/>
        <w:t>If the wahakura is soiled, wash it with a wet cloth and mild household detergent. Bleach will kill any mould. Dry with a towel and leave it in the sun.</w:t>
      </w:r>
    </w:p>
    <w:p w14:paraId="6DA7F54A" w14:textId="77777777" w:rsidR="00B02DAB" w:rsidRDefault="00EB2D0B" w:rsidP="00DB259D">
      <w:pPr>
        <w:pStyle w:val="Number"/>
        <w:numPr>
          <w:ilvl w:val="3"/>
          <w:numId w:val="8"/>
        </w:numPr>
      </w:pPr>
      <w:r w:rsidRPr="00775D11">
        <w:t>Watch out for worn and weakened spots in the walls of the wahakura, or split flax that might create a sharp edge to catch you or baby on.</w:t>
      </w:r>
    </w:p>
    <w:p w14:paraId="5F79FE75" w14:textId="77777777" w:rsidR="00EB2D0B" w:rsidRPr="00775D11" w:rsidRDefault="00EB2D0B" w:rsidP="000F2DA8"/>
    <w:p w14:paraId="6623C1F7" w14:textId="77777777" w:rsidR="00EB2D0B" w:rsidRDefault="00EB2D0B" w:rsidP="000F2DA8">
      <w:r w:rsidRPr="00775D11">
        <w:t xml:space="preserve">In an additional initiative, Hauora </w:t>
      </w:r>
      <w:proofErr w:type="spellStart"/>
      <w:r w:rsidRPr="00775D11">
        <w:t>Tair</w:t>
      </w:r>
      <w:r w:rsidRPr="00775D11">
        <w:rPr>
          <w:rFonts w:cstheme="minorHAnsi"/>
        </w:rPr>
        <w:t>ā</w:t>
      </w:r>
      <w:r w:rsidRPr="00775D11">
        <w:t>whiti</w:t>
      </w:r>
      <w:proofErr w:type="spellEnd"/>
      <w:r w:rsidRPr="00775D11">
        <w:t xml:space="preserve"> (previously known as </w:t>
      </w:r>
      <w:proofErr w:type="spellStart"/>
      <w:r w:rsidRPr="00775D11">
        <w:t>Tair</w:t>
      </w:r>
      <w:r w:rsidRPr="00775D11">
        <w:rPr>
          <w:rFonts w:cstheme="minorHAnsi"/>
        </w:rPr>
        <w:t>ā</w:t>
      </w:r>
      <w:r w:rsidRPr="00775D11">
        <w:t>whiti</w:t>
      </w:r>
      <w:proofErr w:type="spellEnd"/>
      <w:r w:rsidRPr="00775D11">
        <w:t xml:space="preserve"> District Health) is supporting the development of the </w:t>
      </w:r>
      <w:proofErr w:type="spellStart"/>
      <w:r w:rsidRPr="00775D11">
        <w:t>Kairaranga</w:t>
      </w:r>
      <w:proofErr w:type="spellEnd"/>
      <w:r w:rsidRPr="00775D11">
        <w:t xml:space="preserve"> Wahakura network or </w:t>
      </w:r>
      <w:proofErr w:type="spellStart"/>
      <w:r w:rsidRPr="00775D11">
        <w:t>roopu</w:t>
      </w:r>
      <w:proofErr w:type="spellEnd"/>
      <w:r w:rsidRPr="00775D11">
        <w:t xml:space="preserve"> (group) for </w:t>
      </w:r>
      <w:proofErr w:type="spellStart"/>
      <w:r w:rsidRPr="00775D11">
        <w:t>Te</w:t>
      </w:r>
      <w:proofErr w:type="spellEnd"/>
      <w:r w:rsidRPr="00775D11">
        <w:t xml:space="preserve"> </w:t>
      </w:r>
      <w:proofErr w:type="spellStart"/>
      <w:r w:rsidRPr="00775D11">
        <w:t>Tair</w:t>
      </w:r>
      <w:r w:rsidRPr="00775D11">
        <w:rPr>
          <w:rFonts w:cstheme="minorHAnsi"/>
        </w:rPr>
        <w:t>ā</w:t>
      </w:r>
      <w:r w:rsidRPr="00775D11">
        <w:t>whiti</w:t>
      </w:r>
      <w:proofErr w:type="spellEnd"/>
      <w:r w:rsidRPr="00775D11">
        <w:t xml:space="preserve">. Within that, a </w:t>
      </w:r>
      <w:proofErr w:type="spellStart"/>
      <w:r w:rsidRPr="00775D11">
        <w:t>Kaunihera</w:t>
      </w:r>
      <w:proofErr w:type="spellEnd"/>
      <w:r w:rsidRPr="00775D11">
        <w:t xml:space="preserve"> (governance group/council) of representative </w:t>
      </w:r>
      <w:r w:rsidR="00B02DAB">
        <w:t>‘</w:t>
      </w:r>
      <w:r w:rsidRPr="00775D11">
        <w:t>expert weavers</w:t>
      </w:r>
      <w:r w:rsidR="00B02DAB">
        <w:t>’</w:t>
      </w:r>
      <w:r w:rsidRPr="00775D11">
        <w:t xml:space="preserve"> will help guide and advise Hauora </w:t>
      </w:r>
      <w:proofErr w:type="spellStart"/>
      <w:r w:rsidRPr="00775D11">
        <w:t>Tairāwhiti</w:t>
      </w:r>
      <w:proofErr w:type="spellEnd"/>
      <w:r w:rsidRPr="00775D11">
        <w:t xml:space="preserve"> on the quality and safety of wahakura, as well as an agreed pricing schedule.</w:t>
      </w:r>
    </w:p>
    <w:p w14:paraId="04D51D6A" w14:textId="77777777" w:rsidR="000F2DA8" w:rsidRPr="00775D11" w:rsidRDefault="000F2DA8" w:rsidP="000F2DA8"/>
    <w:p w14:paraId="7ED62892" w14:textId="77777777" w:rsidR="00EB2D0B" w:rsidRPr="00775D11" w:rsidRDefault="00EB2D0B" w:rsidP="000F2DA8">
      <w:pPr>
        <w:pStyle w:val="Heading1"/>
      </w:pPr>
      <w:bookmarkStart w:id="63" w:name="_Appendix_3:_Cleaning"/>
      <w:bookmarkStart w:id="64" w:name="_Toc4502406"/>
      <w:bookmarkStart w:id="65" w:name="_Ref5651682"/>
      <w:bookmarkStart w:id="66" w:name="_Toc7704188"/>
      <w:bookmarkEnd w:id="63"/>
      <w:r w:rsidRPr="00775D11">
        <w:lastRenderedPageBreak/>
        <w:t xml:space="preserve">Appendix </w:t>
      </w:r>
      <w:r w:rsidR="00547273">
        <w:t>3</w:t>
      </w:r>
      <w:r w:rsidRPr="00775D11">
        <w:t xml:space="preserve">: Cleaning and disinfecting a </w:t>
      </w:r>
      <w:proofErr w:type="spellStart"/>
      <w:r w:rsidRPr="00775D11">
        <w:t>Pēpi</w:t>
      </w:r>
      <w:proofErr w:type="spellEnd"/>
      <w:r w:rsidRPr="00775D11">
        <w:t>-Pod®</w:t>
      </w:r>
      <w:bookmarkEnd w:id="64"/>
      <w:bookmarkEnd w:id="65"/>
      <w:bookmarkEnd w:id="66"/>
    </w:p>
    <w:p w14:paraId="78DF6AA9" w14:textId="77777777" w:rsidR="00B02DAB" w:rsidRDefault="00EB2D0B" w:rsidP="000F2DA8">
      <w:pPr>
        <w:rPr>
          <w:rFonts w:cs="Tms Rmn"/>
        </w:rPr>
      </w:pPr>
      <w:r w:rsidRPr="00775D11">
        <w:t xml:space="preserve">Cleaning and disinfecting a </w:t>
      </w:r>
      <w:proofErr w:type="spellStart"/>
      <w:r w:rsidRPr="00775D11">
        <w:t>Pēpi</w:t>
      </w:r>
      <w:proofErr w:type="spellEnd"/>
      <w:r w:rsidRPr="00775D11">
        <w:t>-Pod® are two different but important processes.</w:t>
      </w:r>
    </w:p>
    <w:p w14:paraId="2E0BDEE4" w14:textId="77777777" w:rsidR="00EB2D0B" w:rsidRPr="00775D11" w:rsidRDefault="00EB2D0B" w:rsidP="000F2DA8">
      <w:pPr>
        <w:rPr>
          <w:rFonts w:eastAsia="Calibri"/>
        </w:rPr>
      </w:pPr>
    </w:p>
    <w:p w14:paraId="1872904C" w14:textId="77777777" w:rsidR="00EB2D0B" w:rsidRPr="000F2DA8" w:rsidRDefault="00EB2D0B" w:rsidP="000F2DA8">
      <w:pPr>
        <w:pStyle w:val="Heading2"/>
      </w:pPr>
      <w:bookmarkStart w:id="67" w:name="_Toc5652154"/>
      <w:bookmarkStart w:id="68" w:name="_Toc7704189"/>
      <w:r w:rsidRPr="00775D11">
        <w:t>Cleaning</w:t>
      </w:r>
      <w:bookmarkEnd w:id="67"/>
      <w:bookmarkEnd w:id="68"/>
    </w:p>
    <w:p w14:paraId="7E166150" w14:textId="77777777" w:rsidR="00B02DAB" w:rsidRDefault="00EB2D0B" w:rsidP="000F2DA8">
      <w:pPr>
        <w:rPr>
          <w:rFonts w:cs="Tms Rmn"/>
        </w:rPr>
      </w:pPr>
      <w:r w:rsidRPr="00775D11">
        <w:t>Cleaning is a process that uses soap or detergent with water to remove visibly contaminated surfaces (</w:t>
      </w:r>
      <w:proofErr w:type="spellStart"/>
      <w:r w:rsidRPr="00775D11">
        <w:t>ie</w:t>
      </w:r>
      <w:proofErr w:type="spellEnd"/>
      <w:r w:rsidRPr="00775D11">
        <w:t>, soil and grease). Cleaning does not remove or kill micro-organisms. It is possible that something may look clean but still spreads illness.</w:t>
      </w:r>
    </w:p>
    <w:p w14:paraId="3BA0329F" w14:textId="77777777" w:rsidR="00EB2D0B" w:rsidRPr="00775D11" w:rsidRDefault="00EB2D0B" w:rsidP="000F2DA8"/>
    <w:p w14:paraId="0BC2E1A5" w14:textId="77777777" w:rsidR="00B02DAB" w:rsidRDefault="00EB2D0B" w:rsidP="000F2DA8">
      <w:pPr>
        <w:rPr>
          <w:rFonts w:cs="Tms Rmn"/>
        </w:rPr>
      </w:pPr>
      <w:r w:rsidRPr="00775D11">
        <w:t>To make cleaning as thorough as possible:</w:t>
      </w:r>
    </w:p>
    <w:p w14:paraId="4E572F49" w14:textId="77777777" w:rsidR="00B02DAB" w:rsidRDefault="00EB2D0B" w:rsidP="005C45B1">
      <w:pPr>
        <w:pStyle w:val="Bullet"/>
        <w:rPr>
          <w:rFonts w:cs="Tms Rmn"/>
        </w:rPr>
      </w:pPr>
      <w:r w:rsidRPr="00775D11">
        <w:t>use hot water and change it often – detergent works best in hot water, but will not work if the water is dirty</w:t>
      </w:r>
    </w:p>
    <w:p w14:paraId="01BDF424" w14:textId="77777777" w:rsidR="00B02DAB" w:rsidRDefault="00EB2D0B" w:rsidP="005C45B1">
      <w:pPr>
        <w:pStyle w:val="Bullet"/>
        <w:rPr>
          <w:rFonts w:cs="Tms Rmn"/>
        </w:rPr>
      </w:pPr>
      <w:proofErr w:type="gramStart"/>
      <w:r w:rsidRPr="00775D11">
        <w:t>use</w:t>
      </w:r>
      <w:proofErr w:type="gramEnd"/>
      <w:r w:rsidRPr="00775D11">
        <w:t xml:space="preserve"> a clean cloth and change the cloth at the end of each day. Cloths can be washed with detergent in hot water, boiled, or soaked in a suitable disinfectant and thoroughly dried each day</w:t>
      </w:r>
    </w:p>
    <w:p w14:paraId="6F4BBCC7" w14:textId="77777777" w:rsidR="00B02DAB" w:rsidRDefault="00EB2D0B" w:rsidP="005C45B1">
      <w:pPr>
        <w:pStyle w:val="Bullet"/>
        <w:rPr>
          <w:rFonts w:cs="Tms Rmn"/>
        </w:rPr>
      </w:pPr>
      <w:proofErr w:type="gramStart"/>
      <w:r w:rsidRPr="00775D11">
        <w:t>use</w:t>
      </w:r>
      <w:proofErr w:type="gramEnd"/>
      <w:r w:rsidRPr="00775D11">
        <w:t xml:space="preserve"> different cloths for different cleaning jobs – colour-code the cloths so you have separate cloths.</w:t>
      </w:r>
    </w:p>
    <w:p w14:paraId="479604DF" w14:textId="77777777" w:rsidR="00EB2D0B" w:rsidRPr="00775D11" w:rsidRDefault="00EB2D0B" w:rsidP="000F2DA8"/>
    <w:p w14:paraId="6145C30A" w14:textId="77777777" w:rsidR="00B02DAB" w:rsidRDefault="00EB2D0B" w:rsidP="000F2DA8">
      <w:pPr>
        <w:pStyle w:val="Heading2"/>
      </w:pPr>
      <w:bookmarkStart w:id="69" w:name="_Toc5652155"/>
      <w:bookmarkStart w:id="70" w:name="_Toc7704190"/>
      <w:r w:rsidRPr="00775D11">
        <w:t>Disinfecting</w:t>
      </w:r>
      <w:bookmarkEnd w:id="69"/>
      <w:bookmarkEnd w:id="70"/>
    </w:p>
    <w:p w14:paraId="4C584347" w14:textId="54E709EC" w:rsidR="00B02DAB" w:rsidRDefault="00EB2D0B" w:rsidP="000F2DA8">
      <w:r w:rsidRPr="00775D11">
        <w:t>Disinfection is a process that uses chemicals to remove unseen dirt and kill micro-organisms. Disinfectants should be used on surfaces and areas where faeces and mucus are most likely to be found, and where blood or vomit</w:t>
      </w:r>
      <w:r w:rsidR="00DE22BB">
        <w:t xml:space="preserve"> could be</w:t>
      </w:r>
      <w:r w:rsidRPr="00775D11">
        <w:t>.</w:t>
      </w:r>
    </w:p>
    <w:p w14:paraId="7119E32A" w14:textId="77777777" w:rsidR="00EB2D0B" w:rsidRPr="00775D11" w:rsidRDefault="00EB2D0B" w:rsidP="000F2DA8"/>
    <w:p w14:paraId="092CC370" w14:textId="77777777" w:rsidR="00EB2D0B" w:rsidRPr="000F2DA8" w:rsidRDefault="00EB2D0B" w:rsidP="000F2DA8">
      <w:pPr>
        <w:pStyle w:val="Heading3"/>
      </w:pPr>
      <w:r w:rsidRPr="00775D11">
        <w:t>Disinfectants</w:t>
      </w:r>
    </w:p>
    <w:p w14:paraId="155258DC" w14:textId="77777777" w:rsidR="00B02DAB" w:rsidRDefault="00EB2D0B" w:rsidP="000F2DA8">
      <w:pPr>
        <w:rPr>
          <w:rFonts w:cs="Tms Rmn"/>
        </w:rPr>
      </w:pPr>
      <w:r w:rsidRPr="00775D11">
        <w:t>Disinfectants kill bacteria and viruses or other organisms that can cause illness. To work properly, they must be used after the area or item has been thoroughly cleaned with soap or detergent and water.</w:t>
      </w:r>
    </w:p>
    <w:p w14:paraId="1327BA1B" w14:textId="77777777" w:rsidR="00EB2D0B" w:rsidRPr="00775D11" w:rsidRDefault="00EB2D0B" w:rsidP="000F2DA8"/>
    <w:p w14:paraId="761B4A8A" w14:textId="77777777" w:rsidR="00B02DAB" w:rsidRDefault="00EB2D0B" w:rsidP="000F2DA8">
      <w:pPr>
        <w:rPr>
          <w:rFonts w:cs="Tms Rmn"/>
        </w:rPr>
      </w:pPr>
      <w:r w:rsidRPr="00775D11">
        <w:t>Disinfectants used on most surfaces and items are chemicals that must be wiped on and left for a time to work. The length of time will depend on the strength of the disinfectant. The disinfectant should be left for as long as possible in areas where viruses and bacteria are most likely to be found (</w:t>
      </w:r>
      <w:proofErr w:type="spellStart"/>
      <w:r>
        <w:t>eg</w:t>
      </w:r>
      <w:proofErr w:type="spellEnd"/>
      <w:r w:rsidR="000F2DA8">
        <w:t>,</w:t>
      </w:r>
      <w:r>
        <w:t xml:space="preserve"> </w:t>
      </w:r>
      <w:r w:rsidRPr="00775D11">
        <w:t>toilet and bathrooms).</w:t>
      </w:r>
    </w:p>
    <w:p w14:paraId="10077AD5" w14:textId="77777777" w:rsidR="00EB2D0B" w:rsidRPr="00775D11" w:rsidRDefault="00EB2D0B" w:rsidP="000F2DA8"/>
    <w:p w14:paraId="0A000A09" w14:textId="3D9FC1C3" w:rsidR="00B02DAB" w:rsidRDefault="00EB2D0B" w:rsidP="000F2DA8">
      <w:pPr>
        <w:keepLines/>
        <w:rPr>
          <w:rFonts w:cs="Tms Rmn"/>
        </w:rPr>
      </w:pPr>
      <w:r w:rsidRPr="00775D11">
        <w:lastRenderedPageBreak/>
        <w:t xml:space="preserve">While a range of disinfectants </w:t>
      </w:r>
      <w:r w:rsidR="00DE22BB">
        <w:t>are</w:t>
      </w:r>
      <w:r w:rsidRPr="00775D11">
        <w:t xml:space="preserve"> available, many are not very effective. Household bleach is one of the most effective and cheap</w:t>
      </w:r>
      <w:r w:rsidR="00DE22BB">
        <w:t>est</w:t>
      </w:r>
      <w:r w:rsidRPr="00775D11">
        <w:t xml:space="preserve"> </w:t>
      </w:r>
      <w:r w:rsidR="00DE22BB">
        <w:t xml:space="preserve">disinfectants </w:t>
      </w:r>
      <w:r w:rsidRPr="00775D11">
        <w:t>to use</w:t>
      </w:r>
      <w:r>
        <w:t>.</w:t>
      </w:r>
      <w:r w:rsidRPr="00775D11">
        <w:t xml:space="preserve"> Bleaches contain hypochlorite, the chemical that kills bacteria and viruses. However, bleaches such as </w:t>
      </w:r>
      <w:proofErr w:type="spellStart"/>
      <w:r w:rsidRPr="00775D11">
        <w:t>Janola</w:t>
      </w:r>
      <w:proofErr w:type="spellEnd"/>
      <w:r w:rsidRPr="00775D11">
        <w:t xml:space="preserve">, White Magic and other supermarket bleaches are sold in different strengths. The strength of the bleach is written on the label. </w:t>
      </w:r>
      <w:r>
        <w:t>You</w:t>
      </w:r>
      <w:r w:rsidRPr="00775D11">
        <w:t xml:space="preserve"> will need a disinfectant that has at least 2</w:t>
      </w:r>
      <w:r w:rsidR="000F2DA8">
        <w:t> </w:t>
      </w:r>
      <w:r w:rsidRPr="00775D11">
        <w:t>percent hypochlorite.</w:t>
      </w:r>
    </w:p>
    <w:p w14:paraId="3E8DA7C7" w14:textId="77777777" w:rsidR="00EB2D0B" w:rsidRPr="00775D11" w:rsidRDefault="00EB2D0B" w:rsidP="000F2DA8"/>
    <w:p w14:paraId="5B6A5316" w14:textId="77777777" w:rsidR="00EB2D0B" w:rsidRPr="00775D11" w:rsidRDefault="00EB2D0B" w:rsidP="000F2DA8">
      <w:pPr>
        <w:pStyle w:val="Heading3"/>
      </w:pPr>
      <w:r w:rsidRPr="00775D11">
        <w:t>Using bleach as a disinfectant</w:t>
      </w:r>
    </w:p>
    <w:p w14:paraId="19024C02" w14:textId="5C6DDFAD" w:rsidR="00B02DAB" w:rsidRDefault="00EB2D0B" w:rsidP="000F2DA8">
      <w:pPr>
        <w:rPr>
          <w:rFonts w:cs="Tms Rmn"/>
        </w:rPr>
      </w:pPr>
      <w:r w:rsidRPr="00775D11">
        <w:t xml:space="preserve">Different strengths of bleach are needed in different situations, depending on the amount of risk. The following tables will help you to decide how much water you should add to bleach to make a disinfectant </w:t>
      </w:r>
      <w:r w:rsidR="00DE22BB">
        <w:t xml:space="preserve">or find </w:t>
      </w:r>
      <w:r w:rsidRPr="00775D11">
        <w:t>the right strength (either 0.1% or 0.5% hypochlorite solution).</w:t>
      </w:r>
    </w:p>
    <w:p w14:paraId="082ABA7A" w14:textId="77777777" w:rsidR="00EB2D0B" w:rsidRPr="00775D11" w:rsidRDefault="00EB2D0B" w:rsidP="000F2DA8"/>
    <w:p w14:paraId="6A409450" w14:textId="3D6DE8EE" w:rsidR="00B02DAB" w:rsidRDefault="00EB2D0B" w:rsidP="000F2DA8">
      <w:pPr>
        <w:rPr>
          <w:rFonts w:cs="Tms Rmn"/>
        </w:rPr>
      </w:pPr>
      <w:r w:rsidRPr="00775D11">
        <w:t>Making 0.5 percent sodium hypochlorite solution is considered appropriate for high-risk area</w:t>
      </w:r>
      <w:r>
        <w:t>s</w:t>
      </w:r>
      <w:r w:rsidRPr="00775D11">
        <w:t xml:space="preserve">. These are areas where there have been spills of blood or vomit, or where there </w:t>
      </w:r>
      <w:r w:rsidR="00A43133">
        <w:t xml:space="preserve">is </w:t>
      </w:r>
      <w:r w:rsidRPr="00775D11">
        <w:t xml:space="preserve">likely to be body </w:t>
      </w:r>
      <w:r w:rsidR="00A43133">
        <w:t>fluids</w:t>
      </w:r>
      <w:r w:rsidRPr="00775D11">
        <w:t>.</w:t>
      </w:r>
    </w:p>
    <w:p w14:paraId="4A86B188" w14:textId="77777777" w:rsidR="00EB2D0B" w:rsidRPr="00775D11" w:rsidRDefault="00EB2D0B" w:rsidP="000F2DA8"/>
    <w:p w14:paraId="2C557A89" w14:textId="77777777" w:rsidR="00EB2D0B" w:rsidRPr="00775D11" w:rsidRDefault="00EB2D0B" w:rsidP="000F2DA8">
      <w:pPr>
        <w:pStyle w:val="Heading3"/>
      </w:pPr>
      <w:r w:rsidRPr="00775D11">
        <w:t>Making a 0.1% or 0.5% hypochlorite solution</w:t>
      </w:r>
    </w:p>
    <w:p w14:paraId="664AA239" w14:textId="6C0E28CA" w:rsidR="00EB2D0B" w:rsidRPr="00775D11" w:rsidRDefault="00EB2D0B" w:rsidP="000F2DA8">
      <w:pPr>
        <w:rPr>
          <w:rFonts w:cs="Tms Rmn"/>
        </w:rPr>
      </w:pPr>
      <w:r w:rsidRPr="00775D11">
        <w:t>Follow the instructions in Table 4 to make a 0.1% hypochlorite solution using bleach containing different concentrations of hypochlorite</w:t>
      </w:r>
      <w:r w:rsidRPr="00775D11">
        <w:rPr>
          <w:rFonts w:cs="Tms Rmn"/>
        </w:rPr>
        <w:t>.</w:t>
      </w:r>
    </w:p>
    <w:p w14:paraId="583E5759" w14:textId="77777777" w:rsidR="00EB2D0B" w:rsidRPr="00775D11" w:rsidRDefault="00EB2D0B" w:rsidP="000F2DA8"/>
    <w:p w14:paraId="6AA9C7B9" w14:textId="77777777" w:rsidR="00EB2D0B" w:rsidRDefault="00EB2D0B" w:rsidP="000F2DA8">
      <w:pPr>
        <w:pStyle w:val="Table"/>
      </w:pPr>
      <w:bookmarkStart w:id="71" w:name="_Toc4502410"/>
      <w:bookmarkStart w:id="72" w:name="_Toc5652231"/>
      <w:r w:rsidRPr="00775D11">
        <w:t xml:space="preserve">Table </w:t>
      </w:r>
      <w:r w:rsidR="00F60387">
        <w:rPr>
          <w:noProof/>
        </w:rPr>
        <w:fldChar w:fldCharType="begin"/>
      </w:r>
      <w:r w:rsidR="00F60387">
        <w:rPr>
          <w:noProof/>
        </w:rPr>
        <w:instrText xml:space="preserve"> SEQ Table \* ARABIC </w:instrText>
      </w:r>
      <w:r w:rsidR="00F60387">
        <w:rPr>
          <w:noProof/>
        </w:rPr>
        <w:fldChar w:fldCharType="separate"/>
      </w:r>
      <w:r w:rsidR="008D76A9">
        <w:rPr>
          <w:noProof/>
        </w:rPr>
        <w:t>4</w:t>
      </w:r>
      <w:r w:rsidR="00F60387">
        <w:rPr>
          <w:noProof/>
        </w:rPr>
        <w:fldChar w:fldCharType="end"/>
      </w:r>
      <w:r w:rsidRPr="00775D11">
        <w:t>: How to make 0.1% hypochlorite solution</w:t>
      </w:r>
      <w:bookmarkEnd w:id="71"/>
      <w:bookmarkEnd w:id="72"/>
    </w:p>
    <w:tbl>
      <w:tblPr>
        <w:tblStyle w:val="TableGrid"/>
        <w:tblW w:w="8295"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659"/>
        <w:gridCol w:w="1659"/>
        <w:gridCol w:w="1659"/>
        <w:gridCol w:w="1659"/>
        <w:gridCol w:w="1659"/>
      </w:tblGrid>
      <w:tr w:rsidR="000F2DA8" w:rsidRPr="000F2DA8" w14:paraId="0F49571F" w14:textId="77777777" w:rsidTr="00705941">
        <w:trPr>
          <w:cantSplit/>
        </w:trPr>
        <w:tc>
          <w:tcPr>
            <w:tcW w:w="3318" w:type="dxa"/>
            <w:gridSpan w:val="2"/>
            <w:tcBorders>
              <w:top w:val="nil"/>
              <w:bottom w:val="nil"/>
            </w:tcBorders>
            <w:shd w:val="clear" w:color="auto" w:fill="D9D9D9" w:themeFill="background1" w:themeFillShade="D9"/>
          </w:tcPr>
          <w:p w14:paraId="0E5FEE9C" w14:textId="77777777" w:rsidR="000F2DA8" w:rsidRPr="000F2DA8" w:rsidRDefault="000F2DA8" w:rsidP="00E37090">
            <w:pPr>
              <w:pStyle w:val="TableText"/>
              <w:spacing w:after="0"/>
              <w:jc w:val="center"/>
              <w:rPr>
                <w:b/>
              </w:rPr>
            </w:pPr>
            <w:r>
              <w:rPr>
                <w:b/>
              </w:rPr>
              <w:t>Strength of bleach</w:t>
            </w:r>
          </w:p>
        </w:tc>
        <w:tc>
          <w:tcPr>
            <w:tcW w:w="1659" w:type="dxa"/>
            <w:vMerge w:val="restart"/>
            <w:tcBorders>
              <w:top w:val="nil"/>
            </w:tcBorders>
            <w:shd w:val="clear" w:color="auto" w:fill="D9D9D9" w:themeFill="background1" w:themeFillShade="D9"/>
          </w:tcPr>
          <w:p w14:paraId="11518774" w14:textId="77777777" w:rsidR="000F2DA8" w:rsidRPr="000F2DA8" w:rsidRDefault="000F2DA8" w:rsidP="00E37090">
            <w:pPr>
              <w:pStyle w:val="TableText"/>
              <w:jc w:val="center"/>
              <w:rPr>
                <w:b/>
              </w:rPr>
            </w:pPr>
            <w:r>
              <w:rPr>
                <w:b/>
              </w:rPr>
              <w:t>Quantity of bleach</w:t>
            </w:r>
          </w:p>
        </w:tc>
        <w:tc>
          <w:tcPr>
            <w:tcW w:w="1659" w:type="dxa"/>
            <w:vMerge w:val="restart"/>
            <w:tcBorders>
              <w:top w:val="nil"/>
            </w:tcBorders>
            <w:shd w:val="clear" w:color="auto" w:fill="D9D9D9" w:themeFill="background1" w:themeFillShade="D9"/>
          </w:tcPr>
          <w:p w14:paraId="7FC62A21" w14:textId="77777777" w:rsidR="000F2DA8" w:rsidRPr="000F2DA8" w:rsidRDefault="000F2DA8" w:rsidP="00E37090">
            <w:pPr>
              <w:pStyle w:val="TableText"/>
              <w:jc w:val="center"/>
              <w:rPr>
                <w:b/>
              </w:rPr>
            </w:pPr>
            <w:r>
              <w:rPr>
                <w:b/>
              </w:rPr>
              <w:t>Quantity of</w:t>
            </w:r>
            <w:r w:rsidR="00E37090">
              <w:rPr>
                <w:b/>
              </w:rPr>
              <w:br/>
            </w:r>
            <w:r>
              <w:rPr>
                <w:b/>
              </w:rPr>
              <w:t>water</w:t>
            </w:r>
          </w:p>
        </w:tc>
        <w:tc>
          <w:tcPr>
            <w:tcW w:w="1659" w:type="dxa"/>
            <w:vMerge w:val="restart"/>
            <w:tcBorders>
              <w:top w:val="nil"/>
            </w:tcBorders>
            <w:shd w:val="clear" w:color="auto" w:fill="D9D9D9" w:themeFill="background1" w:themeFillShade="D9"/>
          </w:tcPr>
          <w:p w14:paraId="704B2EA5" w14:textId="77777777" w:rsidR="000F2DA8" w:rsidRPr="000F2DA8" w:rsidRDefault="000F2DA8" w:rsidP="00E37090">
            <w:pPr>
              <w:pStyle w:val="TableText"/>
              <w:jc w:val="center"/>
              <w:rPr>
                <w:b/>
              </w:rPr>
            </w:pPr>
            <w:r>
              <w:rPr>
                <w:b/>
              </w:rPr>
              <w:t>Total volume of diluted solution</w:t>
            </w:r>
          </w:p>
        </w:tc>
      </w:tr>
      <w:tr w:rsidR="000F2DA8" w14:paraId="47A99B2D" w14:textId="77777777" w:rsidTr="00705941">
        <w:trPr>
          <w:cantSplit/>
        </w:trPr>
        <w:tc>
          <w:tcPr>
            <w:tcW w:w="1659" w:type="dxa"/>
            <w:tcBorders>
              <w:top w:val="nil"/>
              <w:bottom w:val="nil"/>
            </w:tcBorders>
            <w:shd w:val="clear" w:color="auto" w:fill="D9D9D9" w:themeFill="background1" w:themeFillShade="D9"/>
          </w:tcPr>
          <w:p w14:paraId="0B9FF863" w14:textId="77777777" w:rsidR="000F2DA8" w:rsidRPr="000F2DA8" w:rsidRDefault="000F2DA8" w:rsidP="00E37090">
            <w:pPr>
              <w:pStyle w:val="TableText"/>
              <w:spacing w:before="0"/>
              <w:jc w:val="center"/>
              <w:rPr>
                <w:b/>
              </w:rPr>
            </w:pPr>
            <w:r w:rsidRPr="000F2DA8">
              <w:rPr>
                <w:b/>
              </w:rPr>
              <w:t>%</w:t>
            </w:r>
            <w:r w:rsidR="00E37090">
              <w:rPr>
                <w:b/>
              </w:rPr>
              <w:br/>
            </w:r>
            <w:r w:rsidRPr="000F2DA8">
              <w:rPr>
                <w:b/>
              </w:rPr>
              <w:t>hypochlorite</w:t>
            </w:r>
          </w:p>
        </w:tc>
        <w:tc>
          <w:tcPr>
            <w:tcW w:w="1659" w:type="dxa"/>
            <w:tcBorders>
              <w:top w:val="nil"/>
              <w:bottom w:val="nil"/>
            </w:tcBorders>
            <w:shd w:val="clear" w:color="auto" w:fill="D9D9D9" w:themeFill="background1" w:themeFillShade="D9"/>
          </w:tcPr>
          <w:p w14:paraId="1308A351" w14:textId="77777777" w:rsidR="000F2DA8" w:rsidRPr="000F2DA8" w:rsidRDefault="000F2DA8" w:rsidP="00E37090">
            <w:pPr>
              <w:pStyle w:val="TableText"/>
              <w:spacing w:before="0"/>
              <w:jc w:val="center"/>
              <w:rPr>
                <w:b/>
              </w:rPr>
            </w:pPr>
            <w:r w:rsidRPr="000F2DA8">
              <w:rPr>
                <w:b/>
              </w:rPr>
              <w:t>g/100 ml hypochlorite</w:t>
            </w:r>
          </w:p>
        </w:tc>
        <w:tc>
          <w:tcPr>
            <w:tcW w:w="1659" w:type="dxa"/>
            <w:vMerge/>
            <w:tcBorders>
              <w:bottom w:val="nil"/>
            </w:tcBorders>
            <w:shd w:val="clear" w:color="auto" w:fill="D9D9D9" w:themeFill="background1" w:themeFillShade="D9"/>
          </w:tcPr>
          <w:p w14:paraId="4D6E1A7D" w14:textId="77777777" w:rsidR="000F2DA8" w:rsidRDefault="000F2DA8" w:rsidP="000F2DA8">
            <w:pPr>
              <w:pStyle w:val="TableText"/>
            </w:pPr>
          </w:p>
        </w:tc>
        <w:tc>
          <w:tcPr>
            <w:tcW w:w="1659" w:type="dxa"/>
            <w:vMerge/>
            <w:tcBorders>
              <w:bottom w:val="nil"/>
            </w:tcBorders>
            <w:shd w:val="clear" w:color="auto" w:fill="D9D9D9" w:themeFill="background1" w:themeFillShade="D9"/>
          </w:tcPr>
          <w:p w14:paraId="13FB12DE" w14:textId="77777777" w:rsidR="000F2DA8" w:rsidRDefault="000F2DA8" w:rsidP="000F2DA8">
            <w:pPr>
              <w:pStyle w:val="TableText"/>
            </w:pPr>
          </w:p>
        </w:tc>
        <w:tc>
          <w:tcPr>
            <w:tcW w:w="1659" w:type="dxa"/>
            <w:vMerge/>
            <w:tcBorders>
              <w:bottom w:val="nil"/>
            </w:tcBorders>
            <w:shd w:val="clear" w:color="auto" w:fill="D9D9D9" w:themeFill="background1" w:themeFillShade="D9"/>
          </w:tcPr>
          <w:p w14:paraId="220F7FE1" w14:textId="77777777" w:rsidR="000F2DA8" w:rsidRDefault="000F2DA8" w:rsidP="000F2DA8">
            <w:pPr>
              <w:pStyle w:val="TableText"/>
            </w:pPr>
          </w:p>
        </w:tc>
      </w:tr>
      <w:tr w:rsidR="000F2DA8" w14:paraId="40CDE03B" w14:textId="77777777" w:rsidTr="000F2DA8">
        <w:trPr>
          <w:cantSplit/>
        </w:trPr>
        <w:tc>
          <w:tcPr>
            <w:tcW w:w="1659" w:type="dxa"/>
            <w:tcBorders>
              <w:top w:val="nil"/>
            </w:tcBorders>
          </w:tcPr>
          <w:p w14:paraId="50B2EF47" w14:textId="77777777" w:rsidR="000F2DA8" w:rsidRPr="000F2DA8" w:rsidRDefault="000F2DA8" w:rsidP="00E37090">
            <w:pPr>
              <w:pStyle w:val="TableText"/>
              <w:jc w:val="center"/>
            </w:pPr>
            <w:r>
              <w:t>0.5%</w:t>
            </w:r>
            <w:r>
              <w:rPr>
                <w:vertAlign w:val="superscript"/>
              </w:rPr>
              <w:t>1</w:t>
            </w:r>
          </w:p>
        </w:tc>
        <w:tc>
          <w:tcPr>
            <w:tcW w:w="1659" w:type="dxa"/>
            <w:tcBorders>
              <w:top w:val="nil"/>
            </w:tcBorders>
          </w:tcPr>
          <w:p w14:paraId="7B926024" w14:textId="77777777" w:rsidR="000F2DA8" w:rsidRDefault="000F2DA8" w:rsidP="00E37090">
            <w:pPr>
              <w:pStyle w:val="TableText"/>
              <w:jc w:val="center"/>
            </w:pPr>
            <w:r>
              <w:t>0.5 g/100 ml</w:t>
            </w:r>
          </w:p>
        </w:tc>
        <w:tc>
          <w:tcPr>
            <w:tcW w:w="1659" w:type="dxa"/>
            <w:tcBorders>
              <w:top w:val="nil"/>
            </w:tcBorders>
          </w:tcPr>
          <w:p w14:paraId="397F2DC1" w14:textId="77777777" w:rsidR="000F2DA8" w:rsidRDefault="000F2DA8" w:rsidP="00E37090">
            <w:pPr>
              <w:pStyle w:val="TableText"/>
              <w:jc w:val="center"/>
            </w:pPr>
            <w:r>
              <w:t>50 ml</w:t>
            </w:r>
          </w:p>
        </w:tc>
        <w:tc>
          <w:tcPr>
            <w:tcW w:w="1659" w:type="dxa"/>
            <w:tcBorders>
              <w:top w:val="nil"/>
            </w:tcBorders>
          </w:tcPr>
          <w:p w14:paraId="5F0B1583" w14:textId="77777777" w:rsidR="000F2DA8" w:rsidRDefault="000F2DA8" w:rsidP="00E37090">
            <w:pPr>
              <w:pStyle w:val="TableText"/>
              <w:jc w:val="center"/>
            </w:pPr>
            <w:r>
              <w:t>450 ml</w:t>
            </w:r>
          </w:p>
        </w:tc>
        <w:tc>
          <w:tcPr>
            <w:tcW w:w="1659" w:type="dxa"/>
            <w:tcBorders>
              <w:top w:val="nil"/>
            </w:tcBorders>
          </w:tcPr>
          <w:p w14:paraId="4745189B" w14:textId="77777777" w:rsidR="000F2DA8" w:rsidRDefault="000F2DA8" w:rsidP="00E37090">
            <w:pPr>
              <w:pStyle w:val="TableText"/>
              <w:jc w:val="center"/>
            </w:pPr>
            <w:r>
              <w:t>500 ml</w:t>
            </w:r>
          </w:p>
        </w:tc>
      </w:tr>
      <w:tr w:rsidR="000F2DA8" w14:paraId="67420180" w14:textId="77777777" w:rsidTr="000F2DA8">
        <w:trPr>
          <w:cantSplit/>
        </w:trPr>
        <w:tc>
          <w:tcPr>
            <w:tcW w:w="1659" w:type="dxa"/>
          </w:tcPr>
          <w:p w14:paraId="351FFCD1" w14:textId="77777777" w:rsidR="000F2DA8" w:rsidRDefault="000F2DA8" w:rsidP="00E37090">
            <w:pPr>
              <w:pStyle w:val="TableText"/>
              <w:jc w:val="center"/>
            </w:pPr>
            <w:r>
              <w:t>2%</w:t>
            </w:r>
          </w:p>
        </w:tc>
        <w:tc>
          <w:tcPr>
            <w:tcW w:w="1659" w:type="dxa"/>
          </w:tcPr>
          <w:p w14:paraId="2732BF69" w14:textId="77777777" w:rsidR="000F2DA8" w:rsidRDefault="000F2DA8" w:rsidP="00E37090">
            <w:pPr>
              <w:pStyle w:val="TableText"/>
              <w:jc w:val="center"/>
            </w:pPr>
            <w:r>
              <w:t>2 g/100 ml</w:t>
            </w:r>
          </w:p>
        </w:tc>
        <w:tc>
          <w:tcPr>
            <w:tcW w:w="1659" w:type="dxa"/>
          </w:tcPr>
          <w:p w14:paraId="60E5DEAF" w14:textId="77777777" w:rsidR="000F2DA8" w:rsidRDefault="000F2DA8" w:rsidP="00E37090">
            <w:pPr>
              <w:pStyle w:val="TableText"/>
              <w:jc w:val="center"/>
            </w:pPr>
            <w:r>
              <w:t>25 ml</w:t>
            </w:r>
          </w:p>
        </w:tc>
        <w:tc>
          <w:tcPr>
            <w:tcW w:w="1659" w:type="dxa"/>
          </w:tcPr>
          <w:p w14:paraId="6D9CBA9C" w14:textId="77777777" w:rsidR="000F2DA8" w:rsidRDefault="000F2DA8" w:rsidP="00E37090">
            <w:pPr>
              <w:pStyle w:val="TableText"/>
              <w:jc w:val="center"/>
            </w:pPr>
            <w:r>
              <w:t>475 ml</w:t>
            </w:r>
          </w:p>
        </w:tc>
        <w:tc>
          <w:tcPr>
            <w:tcW w:w="1659" w:type="dxa"/>
          </w:tcPr>
          <w:p w14:paraId="30AFE71D" w14:textId="77777777" w:rsidR="000F2DA8" w:rsidRDefault="000F2DA8" w:rsidP="00E37090">
            <w:pPr>
              <w:pStyle w:val="TableText"/>
              <w:jc w:val="center"/>
            </w:pPr>
            <w:r>
              <w:t>500 ml</w:t>
            </w:r>
          </w:p>
        </w:tc>
      </w:tr>
      <w:tr w:rsidR="000F2DA8" w14:paraId="61E18D08" w14:textId="77777777" w:rsidTr="000F2DA8">
        <w:trPr>
          <w:cantSplit/>
        </w:trPr>
        <w:tc>
          <w:tcPr>
            <w:tcW w:w="1659" w:type="dxa"/>
          </w:tcPr>
          <w:p w14:paraId="6A406DA7" w14:textId="77777777" w:rsidR="000F2DA8" w:rsidRDefault="000F2DA8" w:rsidP="00E37090">
            <w:pPr>
              <w:pStyle w:val="TableText"/>
              <w:jc w:val="center"/>
            </w:pPr>
            <w:r>
              <w:t>3%</w:t>
            </w:r>
          </w:p>
        </w:tc>
        <w:tc>
          <w:tcPr>
            <w:tcW w:w="1659" w:type="dxa"/>
          </w:tcPr>
          <w:p w14:paraId="44BB9DEC" w14:textId="77777777" w:rsidR="000F2DA8" w:rsidRDefault="000F2DA8" w:rsidP="00E37090">
            <w:pPr>
              <w:pStyle w:val="TableText"/>
              <w:jc w:val="center"/>
            </w:pPr>
            <w:r>
              <w:t>3 g/100 ml</w:t>
            </w:r>
          </w:p>
        </w:tc>
        <w:tc>
          <w:tcPr>
            <w:tcW w:w="1659" w:type="dxa"/>
          </w:tcPr>
          <w:p w14:paraId="6CA6430B" w14:textId="77777777" w:rsidR="000F2DA8" w:rsidRDefault="000F2DA8" w:rsidP="00E37090">
            <w:pPr>
              <w:pStyle w:val="TableText"/>
              <w:jc w:val="center"/>
            </w:pPr>
            <w:r>
              <w:t>10 ml</w:t>
            </w:r>
          </w:p>
        </w:tc>
        <w:tc>
          <w:tcPr>
            <w:tcW w:w="1659" w:type="dxa"/>
          </w:tcPr>
          <w:p w14:paraId="4166F4CF" w14:textId="77777777" w:rsidR="000F2DA8" w:rsidRDefault="000F2DA8" w:rsidP="00E37090">
            <w:pPr>
              <w:pStyle w:val="TableText"/>
              <w:jc w:val="center"/>
            </w:pPr>
            <w:r>
              <w:t>290 ml</w:t>
            </w:r>
          </w:p>
        </w:tc>
        <w:tc>
          <w:tcPr>
            <w:tcW w:w="1659" w:type="dxa"/>
          </w:tcPr>
          <w:p w14:paraId="25CA6DC3" w14:textId="77777777" w:rsidR="000F2DA8" w:rsidRDefault="000F2DA8" w:rsidP="00E37090">
            <w:pPr>
              <w:pStyle w:val="TableText"/>
              <w:jc w:val="center"/>
            </w:pPr>
            <w:r>
              <w:t>300 ml</w:t>
            </w:r>
          </w:p>
        </w:tc>
      </w:tr>
      <w:tr w:rsidR="000F2DA8" w14:paraId="4B9EECCE" w14:textId="77777777" w:rsidTr="000F2DA8">
        <w:trPr>
          <w:cantSplit/>
        </w:trPr>
        <w:tc>
          <w:tcPr>
            <w:tcW w:w="1659" w:type="dxa"/>
          </w:tcPr>
          <w:p w14:paraId="24EC58C7" w14:textId="77777777" w:rsidR="000F2DA8" w:rsidRDefault="000F2DA8" w:rsidP="00E37090">
            <w:pPr>
              <w:pStyle w:val="TableText"/>
              <w:jc w:val="center"/>
            </w:pPr>
            <w:r>
              <w:t>4%</w:t>
            </w:r>
          </w:p>
        </w:tc>
        <w:tc>
          <w:tcPr>
            <w:tcW w:w="1659" w:type="dxa"/>
          </w:tcPr>
          <w:p w14:paraId="1A16A136" w14:textId="77777777" w:rsidR="000F2DA8" w:rsidRDefault="000F2DA8" w:rsidP="00E37090">
            <w:pPr>
              <w:pStyle w:val="TableText"/>
              <w:jc w:val="center"/>
            </w:pPr>
            <w:r>
              <w:t>4 g/100 ml</w:t>
            </w:r>
          </w:p>
        </w:tc>
        <w:tc>
          <w:tcPr>
            <w:tcW w:w="1659" w:type="dxa"/>
          </w:tcPr>
          <w:p w14:paraId="71336310" w14:textId="77777777" w:rsidR="000F2DA8" w:rsidRDefault="000F2DA8" w:rsidP="00E37090">
            <w:pPr>
              <w:pStyle w:val="TableText"/>
              <w:jc w:val="center"/>
            </w:pPr>
            <w:r>
              <w:t>10 ml</w:t>
            </w:r>
          </w:p>
        </w:tc>
        <w:tc>
          <w:tcPr>
            <w:tcW w:w="1659" w:type="dxa"/>
          </w:tcPr>
          <w:p w14:paraId="5B6C63D5" w14:textId="77777777" w:rsidR="000F2DA8" w:rsidRDefault="000F2DA8" w:rsidP="00E37090">
            <w:pPr>
              <w:pStyle w:val="TableText"/>
              <w:jc w:val="center"/>
            </w:pPr>
            <w:r>
              <w:t>390 ml</w:t>
            </w:r>
          </w:p>
        </w:tc>
        <w:tc>
          <w:tcPr>
            <w:tcW w:w="1659" w:type="dxa"/>
          </w:tcPr>
          <w:p w14:paraId="683EC881" w14:textId="77777777" w:rsidR="000F2DA8" w:rsidRDefault="000F2DA8" w:rsidP="00E37090">
            <w:pPr>
              <w:pStyle w:val="TableText"/>
              <w:jc w:val="center"/>
            </w:pPr>
            <w:r>
              <w:t>400 ml</w:t>
            </w:r>
          </w:p>
        </w:tc>
      </w:tr>
      <w:tr w:rsidR="000F2DA8" w14:paraId="6D35AD76" w14:textId="77777777" w:rsidTr="000F2DA8">
        <w:trPr>
          <w:cantSplit/>
        </w:trPr>
        <w:tc>
          <w:tcPr>
            <w:tcW w:w="1659" w:type="dxa"/>
          </w:tcPr>
          <w:p w14:paraId="2AEF82EA" w14:textId="77777777" w:rsidR="000F2DA8" w:rsidRDefault="000F2DA8" w:rsidP="00E37090">
            <w:pPr>
              <w:pStyle w:val="TableText"/>
              <w:jc w:val="center"/>
            </w:pPr>
            <w:r>
              <w:t>5%</w:t>
            </w:r>
          </w:p>
        </w:tc>
        <w:tc>
          <w:tcPr>
            <w:tcW w:w="1659" w:type="dxa"/>
          </w:tcPr>
          <w:p w14:paraId="417E09F3" w14:textId="77777777" w:rsidR="000F2DA8" w:rsidRDefault="000F2DA8" w:rsidP="00E37090">
            <w:pPr>
              <w:pStyle w:val="TableText"/>
              <w:jc w:val="center"/>
            </w:pPr>
            <w:r>
              <w:t>5 g/100 ml</w:t>
            </w:r>
          </w:p>
        </w:tc>
        <w:tc>
          <w:tcPr>
            <w:tcW w:w="1659" w:type="dxa"/>
          </w:tcPr>
          <w:p w14:paraId="1B5078EF" w14:textId="77777777" w:rsidR="000F2DA8" w:rsidRDefault="000F2DA8" w:rsidP="00E37090">
            <w:pPr>
              <w:pStyle w:val="TableText"/>
              <w:jc w:val="center"/>
            </w:pPr>
            <w:r>
              <w:t>10 ml</w:t>
            </w:r>
          </w:p>
        </w:tc>
        <w:tc>
          <w:tcPr>
            <w:tcW w:w="1659" w:type="dxa"/>
          </w:tcPr>
          <w:p w14:paraId="793C3180" w14:textId="77777777" w:rsidR="000F2DA8" w:rsidRDefault="000F2DA8" w:rsidP="00E37090">
            <w:pPr>
              <w:pStyle w:val="TableText"/>
              <w:jc w:val="center"/>
            </w:pPr>
            <w:r>
              <w:t>490 ml</w:t>
            </w:r>
          </w:p>
        </w:tc>
        <w:tc>
          <w:tcPr>
            <w:tcW w:w="1659" w:type="dxa"/>
          </w:tcPr>
          <w:p w14:paraId="1544030C" w14:textId="77777777" w:rsidR="000F2DA8" w:rsidRDefault="000F2DA8" w:rsidP="00E37090">
            <w:pPr>
              <w:pStyle w:val="TableText"/>
              <w:jc w:val="center"/>
            </w:pPr>
            <w:r>
              <w:t>500 ml</w:t>
            </w:r>
          </w:p>
        </w:tc>
      </w:tr>
    </w:tbl>
    <w:p w14:paraId="3F4C7A5C" w14:textId="77777777" w:rsidR="000F2DA8" w:rsidRPr="00775D11" w:rsidRDefault="000F2DA8" w:rsidP="00E37090"/>
    <w:p w14:paraId="73FEE3E0" w14:textId="763FCA96" w:rsidR="00EB2D0B" w:rsidRPr="00775D11" w:rsidRDefault="00EB2D0B" w:rsidP="000F2DA8">
      <w:pPr>
        <w:rPr>
          <w:rFonts w:cs="Tms Rmn"/>
        </w:rPr>
      </w:pPr>
      <w:r w:rsidRPr="00775D11">
        <w:rPr>
          <w:rFonts w:cs="Helv"/>
        </w:rPr>
        <w:t>Follow the instructions in Table 5 to make a 0.5%</w:t>
      </w:r>
      <w:r w:rsidRPr="00775D11">
        <w:t xml:space="preserve"> hypochlorite solution</w:t>
      </w:r>
      <w:r w:rsidRPr="00775D11">
        <w:rPr>
          <w:rFonts w:cs="Helv"/>
        </w:rPr>
        <w:t xml:space="preserve"> using bleach containing different concentrations of hypochlorite</w:t>
      </w:r>
      <w:r w:rsidRPr="00775D11">
        <w:rPr>
          <w:rFonts w:cs="Tms Rmn"/>
        </w:rPr>
        <w:t xml:space="preserve">. </w:t>
      </w:r>
      <w:r w:rsidRPr="00775D11">
        <w:t>Recently 0.5% hypochlorite solution has become available for use undiluted (straight from the bottle). Check for a manufacturer</w:t>
      </w:r>
      <w:r w:rsidR="00B02DAB">
        <w:t>’</w:t>
      </w:r>
      <w:r w:rsidRPr="00775D11">
        <w:t>s assurance that the concentration will not vary significantly or reduce over time to less than 0.5%.</w:t>
      </w:r>
    </w:p>
    <w:p w14:paraId="1478FB05" w14:textId="77777777" w:rsidR="00EB2D0B" w:rsidRPr="00775D11" w:rsidRDefault="00EB2D0B" w:rsidP="000F2DA8"/>
    <w:p w14:paraId="00429F00" w14:textId="77777777" w:rsidR="00EB2D0B" w:rsidRDefault="00EB2D0B" w:rsidP="000F2DA8">
      <w:pPr>
        <w:pStyle w:val="Table"/>
      </w:pPr>
      <w:bookmarkStart w:id="73" w:name="_Toc4502411"/>
      <w:bookmarkStart w:id="74" w:name="_Toc5652232"/>
      <w:r w:rsidRPr="00775D11">
        <w:lastRenderedPageBreak/>
        <w:t xml:space="preserve">Table </w:t>
      </w:r>
      <w:r w:rsidR="00F60387">
        <w:rPr>
          <w:noProof/>
        </w:rPr>
        <w:fldChar w:fldCharType="begin"/>
      </w:r>
      <w:r w:rsidR="00F60387">
        <w:rPr>
          <w:noProof/>
        </w:rPr>
        <w:instrText xml:space="preserve"> SEQ Table \* ARABIC </w:instrText>
      </w:r>
      <w:r w:rsidR="00F60387">
        <w:rPr>
          <w:noProof/>
        </w:rPr>
        <w:fldChar w:fldCharType="separate"/>
      </w:r>
      <w:r w:rsidR="008D76A9">
        <w:rPr>
          <w:noProof/>
        </w:rPr>
        <w:t>5</w:t>
      </w:r>
      <w:r w:rsidR="00F60387">
        <w:rPr>
          <w:noProof/>
        </w:rPr>
        <w:fldChar w:fldCharType="end"/>
      </w:r>
      <w:r w:rsidRPr="00775D11">
        <w:t>: How to make 0.5% hypochlorite solution</w:t>
      </w:r>
      <w:bookmarkEnd w:id="73"/>
      <w:r>
        <w:t xml:space="preserve"> [</w:t>
      </w:r>
      <w:r w:rsidR="00E37090">
        <w:t>f</w:t>
      </w:r>
      <w:r>
        <w:t xml:space="preserve">or use with </w:t>
      </w:r>
      <w:proofErr w:type="spellStart"/>
      <w:r>
        <w:t>P</w:t>
      </w:r>
      <w:r>
        <w:rPr>
          <w:rFonts w:cstheme="minorHAnsi"/>
        </w:rPr>
        <w:t>ēpi</w:t>
      </w:r>
      <w:proofErr w:type="spellEnd"/>
      <w:r>
        <w:rPr>
          <w:rFonts w:cstheme="minorHAnsi"/>
        </w:rPr>
        <w:t>-Pod®</w:t>
      </w:r>
      <w:r>
        <w:t>]</w:t>
      </w:r>
      <w:bookmarkEnd w:id="74"/>
    </w:p>
    <w:tbl>
      <w:tblPr>
        <w:tblStyle w:val="TableGrid"/>
        <w:tblW w:w="8295"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659"/>
        <w:gridCol w:w="1659"/>
        <w:gridCol w:w="1659"/>
        <w:gridCol w:w="1659"/>
        <w:gridCol w:w="1659"/>
      </w:tblGrid>
      <w:tr w:rsidR="00E37090" w:rsidRPr="000F2DA8" w14:paraId="0BE05110" w14:textId="77777777" w:rsidTr="00705941">
        <w:trPr>
          <w:cantSplit/>
        </w:trPr>
        <w:tc>
          <w:tcPr>
            <w:tcW w:w="3318" w:type="dxa"/>
            <w:gridSpan w:val="2"/>
            <w:tcBorders>
              <w:top w:val="nil"/>
              <w:bottom w:val="nil"/>
            </w:tcBorders>
            <w:shd w:val="clear" w:color="auto" w:fill="D9D9D9" w:themeFill="background1" w:themeFillShade="D9"/>
          </w:tcPr>
          <w:p w14:paraId="16DA6E9C" w14:textId="77777777" w:rsidR="00E37090" w:rsidRPr="000F2DA8" w:rsidRDefault="00E37090" w:rsidP="00E37090">
            <w:pPr>
              <w:pStyle w:val="TableText"/>
              <w:keepNext/>
              <w:spacing w:after="0"/>
              <w:jc w:val="center"/>
              <w:rPr>
                <w:b/>
              </w:rPr>
            </w:pPr>
            <w:r>
              <w:rPr>
                <w:b/>
              </w:rPr>
              <w:t>Strength of bleach</w:t>
            </w:r>
          </w:p>
        </w:tc>
        <w:tc>
          <w:tcPr>
            <w:tcW w:w="1659" w:type="dxa"/>
            <w:vMerge w:val="restart"/>
            <w:tcBorders>
              <w:top w:val="nil"/>
            </w:tcBorders>
            <w:shd w:val="clear" w:color="auto" w:fill="D9D9D9" w:themeFill="background1" w:themeFillShade="D9"/>
          </w:tcPr>
          <w:p w14:paraId="54D22592" w14:textId="77777777" w:rsidR="00E37090" w:rsidRPr="000F2DA8" w:rsidRDefault="00E37090" w:rsidP="00E37090">
            <w:pPr>
              <w:pStyle w:val="TableText"/>
              <w:keepNext/>
              <w:jc w:val="center"/>
              <w:rPr>
                <w:b/>
              </w:rPr>
            </w:pPr>
            <w:r>
              <w:rPr>
                <w:b/>
              </w:rPr>
              <w:t>Quantity of bleach</w:t>
            </w:r>
          </w:p>
        </w:tc>
        <w:tc>
          <w:tcPr>
            <w:tcW w:w="1659" w:type="dxa"/>
            <w:vMerge w:val="restart"/>
            <w:tcBorders>
              <w:top w:val="nil"/>
            </w:tcBorders>
            <w:shd w:val="clear" w:color="auto" w:fill="D9D9D9" w:themeFill="background1" w:themeFillShade="D9"/>
          </w:tcPr>
          <w:p w14:paraId="1CF84483" w14:textId="77777777" w:rsidR="00E37090" w:rsidRPr="000F2DA8" w:rsidRDefault="00E37090" w:rsidP="00E37090">
            <w:pPr>
              <w:pStyle w:val="TableText"/>
              <w:keepNext/>
              <w:jc w:val="center"/>
              <w:rPr>
                <w:b/>
              </w:rPr>
            </w:pPr>
            <w:r>
              <w:rPr>
                <w:b/>
              </w:rPr>
              <w:t>Quantity of</w:t>
            </w:r>
            <w:r>
              <w:rPr>
                <w:b/>
              </w:rPr>
              <w:br/>
              <w:t>water</w:t>
            </w:r>
          </w:p>
        </w:tc>
        <w:tc>
          <w:tcPr>
            <w:tcW w:w="1659" w:type="dxa"/>
            <w:vMerge w:val="restart"/>
            <w:tcBorders>
              <w:top w:val="nil"/>
            </w:tcBorders>
            <w:shd w:val="clear" w:color="auto" w:fill="D9D9D9" w:themeFill="background1" w:themeFillShade="D9"/>
          </w:tcPr>
          <w:p w14:paraId="7B6925E9" w14:textId="77777777" w:rsidR="00E37090" w:rsidRPr="000F2DA8" w:rsidRDefault="00E37090" w:rsidP="00E37090">
            <w:pPr>
              <w:pStyle w:val="TableText"/>
              <w:keepNext/>
              <w:jc w:val="center"/>
              <w:rPr>
                <w:b/>
              </w:rPr>
            </w:pPr>
            <w:r>
              <w:rPr>
                <w:b/>
              </w:rPr>
              <w:t>Total volume of diluted solution</w:t>
            </w:r>
          </w:p>
        </w:tc>
      </w:tr>
      <w:tr w:rsidR="00E37090" w14:paraId="4FD37D1A" w14:textId="77777777" w:rsidTr="00705941">
        <w:trPr>
          <w:cantSplit/>
        </w:trPr>
        <w:tc>
          <w:tcPr>
            <w:tcW w:w="1659" w:type="dxa"/>
            <w:tcBorders>
              <w:top w:val="nil"/>
              <w:bottom w:val="nil"/>
            </w:tcBorders>
            <w:shd w:val="clear" w:color="auto" w:fill="D9D9D9" w:themeFill="background1" w:themeFillShade="D9"/>
          </w:tcPr>
          <w:p w14:paraId="37927834" w14:textId="77777777" w:rsidR="00E37090" w:rsidRPr="000F2DA8" w:rsidRDefault="00E37090" w:rsidP="00E37090">
            <w:pPr>
              <w:pStyle w:val="TableText"/>
              <w:keepNext/>
              <w:spacing w:before="0"/>
              <w:jc w:val="center"/>
              <w:rPr>
                <w:b/>
              </w:rPr>
            </w:pPr>
            <w:r w:rsidRPr="000F2DA8">
              <w:rPr>
                <w:b/>
              </w:rPr>
              <w:t>%</w:t>
            </w:r>
            <w:r>
              <w:rPr>
                <w:b/>
              </w:rPr>
              <w:br/>
            </w:r>
            <w:r w:rsidRPr="000F2DA8">
              <w:rPr>
                <w:b/>
              </w:rPr>
              <w:t>hypochlorite</w:t>
            </w:r>
          </w:p>
        </w:tc>
        <w:tc>
          <w:tcPr>
            <w:tcW w:w="1659" w:type="dxa"/>
            <w:tcBorders>
              <w:top w:val="nil"/>
              <w:bottom w:val="nil"/>
            </w:tcBorders>
            <w:shd w:val="clear" w:color="auto" w:fill="D9D9D9" w:themeFill="background1" w:themeFillShade="D9"/>
          </w:tcPr>
          <w:p w14:paraId="091A2EDF" w14:textId="77777777" w:rsidR="00E37090" w:rsidRPr="000F2DA8" w:rsidRDefault="00E37090" w:rsidP="00E37090">
            <w:pPr>
              <w:pStyle w:val="TableText"/>
              <w:keepNext/>
              <w:spacing w:before="0"/>
              <w:jc w:val="center"/>
              <w:rPr>
                <w:b/>
              </w:rPr>
            </w:pPr>
            <w:r w:rsidRPr="000F2DA8">
              <w:rPr>
                <w:b/>
              </w:rPr>
              <w:t>g/100 ml hypochlorite</w:t>
            </w:r>
          </w:p>
        </w:tc>
        <w:tc>
          <w:tcPr>
            <w:tcW w:w="1659" w:type="dxa"/>
            <w:vMerge/>
            <w:tcBorders>
              <w:bottom w:val="nil"/>
            </w:tcBorders>
            <w:shd w:val="clear" w:color="auto" w:fill="D9D9D9" w:themeFill="background1" w:themeFillShade="D9"/>
          </w:tcPr>
          <w:p w14:paraId="4C84DB88" w14:textId="77777777" w:rsidR="00E37090" w:rsidRDefault="00E37090" w:rsidP="00E37090">
            <w:pPr>
              <w:pStyle w:val="TableText"/>
              <w:keepNext/>
            </w:pPr>
          </w:p>
        </w:tc>
        <w:tc>
          <w:tcPr>
            <w:tcW w:w="1659" w:type="dxa"/>
            <w:vMerge/>
            <w:tcBorders>
              <w:bottom w:val="nil"/>
            </w:tcBorders>
            <w:shd w:val="clear" w:color="auto" w:fill="D9D9D9" w:themeFill="background1" w:themeFillShade="D9"/>
          </w:tcPr>
          <w:p w14:paraId="1FE6C4ED" w14:textId="77777777" w:rsidR="00E37090" w:rsidRDefault="00E37090" w:rsidP="00E37090">
            <w:pPr>
              <w:pStyle w:val="TableText"/>
              <w:keepNext/>
            </w:pPr>
          </w:p>
        </w:tc>
        <w:tc>
          <w:tcPr>
            <w:tcW w:w="1659" w:type="dxa"/>
            <w:vMerge/>
            <w:tcBorders>
              <w:bottom w:val="nil"/>
            </w:tcBorders>
            <w:shd w:val="clear" w:color="auto" w:fill="D9D9D9" w:themeFill="background1" w:themeFillShade="D9"/>
          </w:tcPr>
          <w:p w14:paraId="731D8DBD" w14:textId="77777777" w:rsidR="00E37090" w:rsidRDefault="00E37090" w:rsidP="00E37090">
            <w:pPr>
              <w:pStyle w:val="TableText"/>
              <w:keepNext/>
            </w:pPr>
          </w:p>
        </w:tc>
      </w:tr>
      <w:tr w:rsidR="00E37090" w14:paraId="6DA3F2A8" w14:textId="77777777" w:rsidTr="00705941">
        <w:trPr>
          <w:cantSplit/>
        </w:trPr>
        <w:tc>
          <w:tcPr>
            <w:tcW w:w="1659" w:type="dxa"/>
            <w:tcBorders>
              <w:top w:val="nil"/>
            </w:tcBorders>
          </w:tcPr>
          <w:p w14:paraId="7F732895" w14:textId="77777777" w:rsidR="00E37090" w:rsidRPr="000F2DA8" w:rsidRDefault="00E37090" w:rsidP="00E37090">
            <w:pPr>
              <w:pStyle w:val="TableText"/>
              <w:jc w:val="center"/>
            </w:pPr>
            <w:r>
              <w:t>0.5%</w:t>
            </w:r>
          </w:p>
        </w:tc>
        <w:tc>
          <w:tcPr>
            <w:tcW w:w="1659" w:type="dxa"/>
            <w:tcBorders>
              <w:top w:val="nil"/>
            </w:tcBorders>
          </w:tcPr>
          <w:p w14:paraId="7FE8C9AC" w14:textId="77777777" w:rsidR="00E37090" w:rsidRDefault="00E37090" w:rsidP="00705941">
            <w:pPr>
              <w:pStyle w:val="TableText"/>
              <w:jc w:val="center"/>
            </w:pPr>
            <w:r>
              <w:t>0.5 g/100 ml</w:t>
            </w:r>
          </w:p>
        </w:tc>
        <w:tc>
          <w:tcPr>
            <w:tcW w:w="1659" w:type="dxa"/>
            <w:tcBorders>
              <w:top w:val="nil"/>
            </w:tcBorders>
          </w:tcPr>
          <w:p w14:paraId="208DBAE8" w14:textId="77777777" w:rsidR="00E37090" w:rsidRDefault="00E37090" w:rsidP="00705941">
            <w:pPr>
              <w:pStyle w:val="TableText"/>
              <w:jc w:val="center"/>
            </w:pPr>
            <w:r>
              <w:t>Use undiluted</w:t>
            </w:r>
          </w:p>
        </w:tc>
        <w:tc>
          <w:tcPr>
            <w:tcW w:w="1659" w:type="dxa"/>
            <w:tcBorders>
              <w:top w:val="nil"/>
            </w:tcBorders>
          </w:tcPr>
          <w:p w14:paraId="78480DA6" w14:textId="77777777" w:rsidR="00E37090" w:rsidRDefault="00E37090" w:rsidP="00705941">
            <w:pPr>
              <w:pStyle w:val="TableText"/>
              <w:jc w:val="center"/>
            </w:pPr>
            <w:r>
              <w:t>Nil</w:t>
            </w:r>
          </w:p>
        </w:tc>
        <w:tc>
          <w:tcPr>
            <w:tcW w:w="1659" w:type="dxa"/>
            <w:tcBorders>
              <w:top w:val="nil"/>
            </w:tcBorders>
          </w:tcPr>
          <w:p w14:paraId="7F40A26C" w14:textId="77777777" w:rsidR="00E37090" w:rsidRDefault="00E37090" w:rsidP="00705941">
            <w:pPr>
              <w:pStyle w:val="TableText"/>
              <w:jc w:val="center"/>
            </w:pPr>
            <w:r>
              <w:t>Use undiluted</w:t>
            </w:r>
          </w:p>
        </w:tc>
      </w:tr>
      <w:tr w:rsidR="00E37090" w14:paraId="7615DF80" w14:textId="77777777" w:rsidTr="00705941">
        <w:trPr>
          <w:cantSplit/>
        </w:trPr>
        <w:tc>
          <w:tcPr>
            <w:tcW w:w="1659" w:type="dxa"/>
          </w:tcPr>
          <w:p w14:paraId="45A106C0" w14:textId="77777777" w:rsidR="00E37090" w:rsidRDefault="00E37090" w:rsidP="00705941">
            <w:pPr>
              <w:pStyle w:val="TableText"/>
              <w:jc w:val="center"/>
            </w:pPr>
            <w:r>
              <w:t>2%</w:t>
            </w:r>
          </w:p>
        </w:tc>
        <w:tc>
          <w:tcPr>
            <w:tcW w:w="1659" w:type="dxa"/>
          </w:tcPr>
          <w:p w14:paraId="4D8CC6FF" w14:textId="77777777" w:rsidR="00E37090" w:rsidRDefault="00E37090" w:rsidP="00705941">
            <w:pPr>
              <w:pStyle w:val="TableText"/>
              <w:jc w:val="center"/>
            </w:pPr>
            <w:r>
              <w:t>2 g/100 ml</w:t>
            </w:r>
          </w:p>
        </w:tc>
        <w:tc>
          <w:tcPr>
            <w:tcW w:w="1659" w:type="dxa"/>
          </w:tcPr>
          <w:p w14:paraId="2CBAF6E9" w14:textId="77777777" w:rsidR="00E37090" w:rsidRDefault="00E37090" w:rsidP="00705941">
            <w:pPr>
              <w:pStyle w:val="TableText"/>
              <w:jc w:val="center"/>
            </w:pPr>
            <w:r>
              <w:t>100 ml</w:t>
            </w:r>
          </w:p>
        </w:tc>
        <w:tc>
          <w:tcPr>
            <w:tcW w:w="1659" w:type="dxa"/>
          </w:tcPr>
          <w:p w14:paraId="1B9F0D0E" w14:textId="77777777" w:rsidR="00E37090" w:rsidRDefault="00E37090" w:rsidP="00705941">
            <w:pPr>
              <w:pStyle w:val="TableText"/>
              <w:jc w:val="center"/>
            </w:pPr>
            <w:r>
              <w:t>300 ml</w:t>
            </w:r>
          </w:p>
        </w:tc>
        <w:tc>
          <w:tcPr>
            <w:tcW w:w="1659" w:type="dxa"/>
          </w:tcPr>
          <w:p w14:paraId="3FC4A5B5" w14:textId="77777777" w:rsidR="00E37090" w:rsidRDefault="00E37090" w:rsidP="00705941">
            <w:pPr>
              <w:pStyle w:val="TableText"/>
              <w:jc w:val="center"/>
            </w:pPr>
            <w:r>
              <w:t>400 ml</w:t>
            </w:r>
          </w:p>
        </w:tc>
      </w:tr>
      <w:tr w:rsidR="00E37090" w14:paraId="4559DCC0" w14:textId="77777777" w:rsidTr="00705941">
        <w:trPr>
          <w:cantSplit/>
        </w:trPr>
        <w:tc>
          <w:tcPr>
            <w:tcW w:w="1659" w:type="dxa"/>
          </w:tcPr>
          <w:p w14:paraId="402C2E08" w14:textId="77777777" w:rsidR="00E37090" w:rsidRDefault="00E37090" w:rsidP="00705941">
            <w:pPr>
              <w:pStyle w:val="TableText"/>
              <w:jc w:val="center"/>
            </w:pPr>
            <w:r>
              <w:t>3%</w:t>
            </w:r>
          </w:p>
        </w:tc>
        <w:tc>
          <w:tcPr>
            <w:tcW w:w="1659" w:type="dxa"/>
          </w:tcPr>
          <w:p w14:paraId="79EEBE8C" w14:textId="77777777" w:rsidR="00E37090" w:rsidRDefault="00E37090" w:rsidP="00705941">
            <w:pPr>
              <w:pStyle w:val="TableText"/>
              <w:jc w:val="center"/>
            </w:pPr>
            <w:r>
              <w:t>3 g/100 ml</w:t>
            </w:r>
          </w:p>
        </w:tc>
        <w:tc>
          <w:tcPr>
            <w:tcW w:w="1659" w:type="dxa"/>
          </w:tcPr>
          <w:p w14:paraId="5710F24D" w14:textId="77777777" w:rsidR="00E37090" w:rsidRDefault="00E37090" w:rsidP="00705941">
            <w:pPr>
              <w:pStyle w:val="TableText"/>
              <w:jc w:val="center"/>
            </w:pPr>
            <w:r>
              <w:t>50 ml</w:t>
            </w:r>
          </w:p>
        </w:tc>
        <w:tc>
          <w:tcPr>
            <w:tcW w:w="1659" w:type="dxa"/>
          </w:tcPr>
          <w:p w14:paraId="402C4E1D" w14:textId="77777777" w:rsidR="00E37090" w:rsidRDefault="00E37090" w:rsidP="00705941">
            <w:pPr>
              <w:pStyle w:val="TableText"/>
              <w:jc w:val="center"/>
            </w:pPr>
            <w:r>
              <w:t>250 ml</w:t>
            </w:r>
          </w:p>
        </w:tc>
        <w:tc>
          <w:tcPr>
            <w:tcW w:w="1659" w:type="dxa"/>
          </w:tcPr>
          <w:p w14:paraId="7EBD75B7" w14:textId="77777777" w:rsidR="00E37090" w:rsidRDefault="00E37090" w:rsidP="00705941">
            <w:pPr>
              <w:pStyle w:val="TableText"/>
              <w:jc w:val="center"/>
            </w:pPr>
            <w:r>
              <w:t>300 ml</w:t>
            </w:r>
          </w:p>
        </w:tc>
      </w:tr>
      <w:tr w:rsidR="00E37090" w14:paraId="12B90E56" w14:textId="77777777" w:rsidTr="00705941">
        <w:trPr>
          <w:cantSplit/>
        </w:trPr>
        <w:tc>
          <w:tcPr>
            <w:tcW w:w="1659" w:type="dxa"/>
          </w:tcPr>
          <w:p w14:paraId="2376818D" w14:textId="77777777" w:rsidR="00E37090" w:rsidRDefault="00E37090" w:rsidP="00705941">
            <w:pPr>
              <w:pStyle w:val="TableText"/>
              <w:jc w:val="center"/>
            </w:pPr>
            <w:r>
              <w:t>4%</w:t>
            </w:r>
          </w:p>
        </w:tc>
        <w:tc>
          <w:tcPr>
            <w:tcW w:w="1659" w:type="dxa"/>
          </w:tcPr>
          <w:p w14:paraId="1454C2DC" w14:textId="77777777" w:rsidR="00E37090" w:rsidRDefault="00E37090" w:rsidP="00705941">
            <w:pPr>
              <w:pStyle w:val="TableText"/>
              <w:jc w:val="center"/>
            </w:pPr>
            <w:r>
              <w:t>4 g/100 ml</w:t>
            </w:r>
          </w:p>
        </w:tc>
        <w:tc>
          <w:tcPr>
            <w:tcW w:w="1659" w:type="dxa"/>
          </w:tcPr>
          <w:p w14:paraId="12C43416" w14:textId="77777777" w:rsidR="00E37090" w:rsidRDefault="00E37090" w:rsidP="00705941">
            <w:pPr>
              <w:pStyle w:val="TableText"/>
              <w:jc w:val="center"/>
            </w:pPr>
            <w:r>
              <w:t>50 ml</w:t>
            </w:r>
          </w:p>
        </w:tc>
        <w:tc>
          <w:tcPr>
            <w:tcW w:w="1659" w:type="dxa"/>
          </w:tcPr>
          <w:p w14:paraId="0C0EF262" w14:textId="77777777" w:rsidR="00E37090" w:rsidRDefault="00E37090" w:rsidP="00705941">
            <w:pPr>
              <w:pStyle w:val="TableText"/>
              <w:jc w:val="center"/>
            </w:pPr>
            <w:r>
              <w:t>350 ml</w:t>
            </w:r>
          </w:p>
        </w:tc>
        <w:tc>
          <w:tcPr>
            <w:tcW w:w="1659" w:type="dxa"/>
          </w:tcPr>
          <w:p w14:paraId="34754A88" w14:textId="77777777" w:rsidR="00E37090" w:rsidRDefault="00E37090" w:rsidP="00705941">
            <w:pPr>
              <w:pStyle w:val="TableText"/>
              <w:jc w:val="center"/>
            </w:pPr>
            <w:r>
              <w:t>400 ml</w:t>
            </w:r>
          </w:p>
        </w:tc>
      </w:tr>
      <w:tr w:rsidR="00E37090" w14:paraId="2043B4BD" w14:textId="77777777" w:rsidTr="00705941">
        <w:trPr>
          <w:cantSplit/>
        </w:trPr>
        <w:tc>
          <w:tcPr>
            <w:tcW w:w="1659" w:type="dxa"/>
          </w:tcPr>
          <w:p w14:paraId="6067C54B" w14:textId="77777777" w:rsidR="00E37090" w:rsidRDefault="00E37090" w:rsidP="00705941">
            <w:pPr>
              <w:pStyle w:val="TableText"/>
              <w:jc w:val="center"/>
            </w:pPr>
            <w:r>
              <w:t>5%</w:t>
            </w:r>
          </w:p>
        </w:tc>
        <w:tc>
          <w:tcPr>
            <w:tcW w:w="1659" w:type="dxa"/>
          </w:tcPr>
          <w:p w14:paraId="0808B61A" w14:textId="77777777" w:rsidR="00E37090" w:rsidRDefault="00E37090" w:rsidP="00705941">
            <w:pPr>
              <w:pStyle w:val="TableText"/>
              <w:jc w:val="center"/>
            </w:pPr>
            <w:r>
              <w:t>5 g/100 ml</w:t>
            </w:r>
          </w:p>
        </w:tc>
        <w:tc>
          <w:tcPr>
            <w:tcW w:w="1659" w:type="dxa"/>
          </w:tcPr>
          <w:p w14:paraId="513EAD7B" w14:textId="77777777" w:rsidR="00E37090" w:rsidRDefault="00E37090" w:rsidP="00705941">
            <w:pPr>
              <w:pStyle w:val="TableText"/>
              <w:jc w:val="center"/>
            </w:pPr>
            <w:r>
              <w:t>50 ml</w:t>
            </w:r>
          </w:p>
        </w:tc>
        <w:tc>
          <w:tcPr>
            <w:tcW w:w="1659" w:type="dxa"/>
          </w:tcPr>
          <w:p w14:paraId="6C921DB3" w14:textId="77777777" w:rsidR="00E37090" w:rsidRDefault="00E37090" w:rsidP="00705941">
            <w:pPr>
              <w:pStyle w:val="TableText"/>
              <w:jc w:val="center"/>
            </w:pPr>
            <w:r>
              <w:t>450 ml</w:t>
            </w:r>
          </w:p>
        </w:tc>
        <w:tc>
          <w:tcPr>
            <w:tcW w:w="1659" w:type="dxa"/>
          </w:tcPr>
          <w:p w14:paraId="3C8A49F3" w14:textId="77777777" w:rsidR="00E37090" w:rsidRDefault="00E37090" w:rsidP="00705941">
            <w:pPr>
              <w:pStyle w:val="TableText"/>
              <w:jc w:val="center"/>
            </w:pPr>
            <w:r>
              <w:t>500 ml</w:t>
            </w:r>
          </w:p>
        </w:tc>
      </w:tr>
    </w:tbl>
    <w:p w14:paraId="607978BF" w14:textId="77777777" w:rsidR="000F2DA8" w:rsidRDefault="000F2DA8" w:rsidP="000F2DA8">
      <w:pPr>
        <w:rPr>
          <w:bCs/>
        </w:rPr>
      </w:pPr>
    </w:p>
    <w:p w14:paraId="2F1A192B" w14:textId="77777777" w:rsidR="00B02DAB" w:rsidRDefault="00EB2D0B" w:rsidP="000F2DA8">
      <w:pPr>
        <w:rPr>
          <w:rFonts w:cs="Tms Rmn"/>
        </w:rPr>
      </w:pPr>
      <w:r w:rsidRPr="00775D11">
        <w:rPr>
          <w:bCs/>
        </w:rPr>
        <w:t>To increase the amount of solution made, d</w:t>
      </w:r>
      <w:r w:rsidRPr="00775D11">
        <w:t xml:space="preserve">ouble (or triple) the amount of bleach </w:t>
      </w:r>
      <w:r w:rsidRPr="00775D11">
        <w:rPr>
          <w:bCs/>
        </w:rPr>
        <w:t>and</w:t>
      </w:r>
      <w:r w:rsidRPr="00775D11">
        <w:t xml:space="preserve"> water added.</w:t>
      </w:r>
    </w:p>
    <w:p w14:paraId="17446209" w14:textId="77777777" w:rsidR="00EB2D0B" w:rsidRPr="00775D11" w:rsidRDefault="00EB2D0B" w:rsidP="000F2DA8"/>
    <w:p w14:paraId="3571BDD3" w14:textId="77777777" w:rsidR="00EB2D0B" w:rsidRPr="000F2DA8" w:rsidRDefault="00EB2D0B" w:rsidP="000F2DA8">
      <w:r w:rsidRPr="00775D11">
        <w:rPr>
          <w:rFonts w:cs="Calibri"/>
          <w:b/>
          <w:bCs/>
        </w:rPr>
        <w:t>Caution:</w:t>
      </w:r>
      <w:r w:rsidRPr="00775D11">
        <w:rPr>
          <w:rFonts w:cs="Tms Rmn"/>
        </w:rPr>
        <w:t xml:space="preserve"> </w:t>
      </w:r>
      <w:r w:rsidRPr="00775D11">
        <w:t>Hypochlorite solutions lose strength so prepare enough for each day or store unused dilutions in a cool dark place.</w:t>
      </w:r>
    </w:p>
    <w:p w14:paraId="678C1739" w14:textId="77777777" w:rsidR="00B02DAB" w:rsidRDefault="00EB2D0B" w:rsidP="005C45B1">
      <w:pPr>
        <w:pStyle w:val="Bullet"/>
        <w:rPr>
          <w:rFonts w:cs="Tms Rmn"/>
        </w:rPr>
      </w:pPr>
      <w:r w:rsidRPr="00775D11">
        <w:t>The strength of the bleach will be on the label. This is the undiluted strength, before you mix it with water.</w:t>
      </w:r>
    </w:p>
    <w:p w14:paraId="0463E22B" w14:textId="77777777" w:rsidR="00B02DAB" w:rsidRDefault="00EB2D0B" w:rsidP="005C45B1">
      <w:pPr>
        <w:pStyle w:val="Bullet"/>
        <w:rPr>
          <w:rFonts w:cs="Tms Rmn"/>
        </w:rPr>
      </w:pPr>
      <w:r w:rsidRPr="00775D11">
        <w:t>A fresh solution of bleach should be prepared each day. It must be protected from light and heat or it will not work well.</w:t>
      </w:r>
    </w:p>
    <w:p w14:paraId="06E833C9" w14:textId="77777777" w:rsidR="00B02DAB" w:rsidRDefault="00EB2D0B" w:rsidP="005C45B1">
      <w:pPr>
        <w:pStyle w:val="Bullet"/>
        <w:rPr>
          <w:rFonts w:cs="Tms Rmn"/>
        </w:rPr>
      </w:pPr>
      <w:r w:rsidRPr="00775D11">
        <w:t>Read the label to see how it should be used and follow the instructions.</w:t>
      </w:r>
      <w:r w:rsidRPr="00775D11">
        <w:rPr>
          <w:rFonts w:cs="Tms Rmn"/>
        </w:rPr>
        <w:t xml:space="preserve"> </w:t>
      </w:r>
      <w:r w:rsidRPr="00775D11">
        <w:t>Be aware of allergies to bleach and wear gloves if you need to.</w:t>
      </w:r>
    </w:p>
    <w:p w14:paraId="15176749" w14:textId="77777777" w:rsidR="00B02DAB" w:rsidRDefault="00EB2D0B" w:rsidP="005C45B1">
      <w:pPr>
        <w:pStyle w:val="Bullet"/>
        <w:rPr>
          <w:rFonts w:cs="Tms Rmn"/>
        </w:rPr>
      </w:pPr>
      <w:r w:rsidRPr="00775D11">
        <w:t>Use bleach carefully. It cannot be mixed with other chemicals.</w:t>
      </w:r>
    </w:p>
    <w:p w14:paraId="3DE21703" w14:textId="3C8DC063" w:rsidR="00B02DAB" w:rsidRDefault="00EB2D0B" w:rsidP="005C45B1">
      <w:pPr>
        <w:pStyle w:val="Bullet"/>
      </w:pPr>
      <w:r w:rsidRPr="00775D11">
        <w:t>Where there have been spills of blood or other body fluids, the most effective way to disinfect is to leave the bleach on the surface for 30 minutes. If this cannot be done, wear gloves and wipe up the spill</w:t>
      </w:r>
      <w:r w:rsidR="00A43133">
        <w:t>age</w:t>
      </w:r>
      <w:r w:rsidRPr="00775D11">
        <w:t xml:space="preserve"> using a cloth soaked in bleach solution made for high-risk situations, and then throw away the cloth.</w:t>
      </w:r>
    </w:p>
    <w:p w14:paraId="2599B079" w14:textId="77777777" w:rsidR="00B02DAB" w:rsidRDefault="00EB2D0B" w:rsidP="005C45B1">
      <w:pPr>
        <w:pStyle w:val="Bullet"/>
        <w:rPr>
          <w:rFonts w:cs="Tms Rmn"/>
        </w:rPr>
      </w:pPr>
      <w:r w:rsidRPr="00775D11">
        <w:t>Wipe over the area again using another cloth soaked in the bleach solution. Then clean the area with water and detergent.</w:t>
      </w:r>
    </w:p>
    <w:p w14:paraId="1413D865" w14:textId="77777777" w:rsidR="00B02DAB" w:rsidRDefault="00EB2D0B" w:rsidP="005C45B1">
      <w:pPr>
        <w:pStyle w:val="Bullet"/>
        <w:rPr>
          <w:rFonts w:cs="Tms Rmn"/>
        </w:rPr>
      </w:pPr>
      <w:r w:rsidRPr="00775D11">
        <w:t>Store bleach safely away from children in a secure, locked cupboard. Try to buy bleach in containers with child-resistant caps. If the bleach is to be transferred to another container, transfer information on the label also.</w:t>
      </w:r>
    </w:p>
    <w:p w14:paraId="58614447" w14:textId="77777777" w:rsidR="00EB2D0B" w:rsidRPr="00775D11" w:rsidRDefault="00EB2D0B" w:rsidP="000F2DA8"/>
    <w:p w14:paraId="26852A5E" w14:textId="77777777" w:rsidR="00EB2D0B" w:rsidRPr="00775D11" w:rsidRDefault="00EB2D0B" w:rsidP="000F2DA8">
      <w:r w:rsidRPr="00775D11">
        <w:t>Do not allow children to play with empty bleach containers.</w:t>
      </w:r>
    </w:p>
    <w:p w14:paraId="5DB71211" w14:textId="77777777" w:rsidR="00414C35" w:rsidRDefault="00414C35" w:rsidP="000F2DA8"/>
    <w:p w14:paraId="533CFFAD" w14:textId="77777777" w:rsidR="00547273" w:rsidRDefault="00547273" w:rsidP="00547273">
      <w:pPr>
        <w:pStyle w:val="Heading1"/>
      </w:pPr>
      <w:bookmarkStart w:id="75" w:name="_Appendix_4:_Regional"/>
      <w:bookmarkStart w:id="76" w:name="_Toc4502404"/>
      <w:bookmarkStart w:id="77" w:name="_Ref5651738"/>
      <w:bookmarkStart w:id="78" w:name="_Toc7704191"/>
      <w:bookmarkEnd w:id="75"/>
      <w:r w:rsidRPr="00775D11">
        <w:lastRenderedPageBreak/>
        <w:t xml:space="preserve">Appendix </w:t>
      </w:r>
      <w:r>
        <w:t>4</w:t>
      </w:r>
      <w:r w:rsidRPr="00775D11">
        <w:t>: Regional differences in the design and style of wahakura</w:t>
      </w:r>
      <w:bookmarkEnd w:id="76"/>
      <w:bookmarkEnd w:id="77"/>
      <w:bookmarkEnd w:id="78"/>
    </w:p>
    <w:p w14:paraId="66296018" w14:textId="77777777" w:rsidR="00547273" w:rsidRDefault="00547273" w:rsidP="00547273">
      <w:pPr>
        <w:pStyle w:val="Heading2"/>
      </w:pPr>
      <w:bookmarkStart w:id="79" w:name="_Toc5652157"/>
      <w:bookmarkStart w:id="80" w:name="_Toc7704192"/>
      <w:r w:rsidRPr="00775D11">
        <w:t>Northern region</w:t>
      </w:r>
      <w:bookmarkEnd w:id="79"/>
      <w:bookmarkEnd w:id="80"/>
    </w:p>
    <w:p w14:paraId="5C586729" w14:textId="77777777" w:rsidR="00547273" w:rsidRPr="00775D11" w:rsidRDefault="00547273" w:rsidP="00547273">
      <w:r w:rsidRPr="00775D11">
        <w:rPr>
          <w:rFonts w:eastAsia="Calibri"/>
        </w:rPr>
        <w:t>Cassandra</w:t>
      </w:r>
      <w:r w:rsidRPr="00775D11">
        <w:t xml:space="preserve"> </w:t>
      </w:r>
      <w:proofErr w:type="spellStart"/>
      <w:r w:rsidRPr="00775D11">
        <w:rPr>
          <w:rFonts w:eastAsia="Calibri"/>
        </w:rPr>
        <w:t>Moar</w:t>
      </w:r>
      <w:proofErr w:type="spellEnd"/>
      <w:r w:rsidRPr="00775D11">
        <w:rPr>
          <w:rFonts w:eastAsia="Calibri"/>
        </w:rPr>
        <w:t xml:space="preserve"> (Figure 3),</w:t>
      </w:r>
      <w:r w:rsidRPr="00775D11">
        <w:t xml:space="preserve"> </w:t>
      </w:r>
      <w:r w:rsidRPr="00775D11">
        <w:rPr>
          <w:rFonts w:eastAsia="Calibri"/>
        </w:rPr>
        <w:t>a</w:t>
      </w:r>
      <w:r w:rsidRPr="00775D11">
        <w:t xml:space="preserve"> renowned </w:t>
      </w:r>
      <w:r w:rsidRPr="00775D11">
        <w:rPr>
          <w:rFonts w:eastAsia="Calibri"/>
        </w:rPr>
        <w:t>weaver</w:t>
      </w:r>
      <w:r w:rsidRPr="00775D11">
        <w:t xml:space="preserve"> </w:t>
      </w:r>
      <w:r w:rsidRPr="00775D11">
        <w:rPr>
          <w:rFonts w:eastAsia="Calibri"/>
        </w:rPr>
        <w:t>from</w:t>
      </w:r>
      <w:r w:rsidRPr="00775D11">
        <w:t xml:space="preserve"> </w:t>
      </w:r>
      <w:r w:rsidRPr="00775D11">
        <w:rPr>
          <w:rFonts w:eastAsia="Calibri"/>
        </w:rPr>
        <w:t>the</w:t>
      </w:r>
      <w:r w:rsidRPr="00775D11">
        <w:t xml:space="preserve"> </w:t>
      </w:r>
      <w:r w:rsidRPr="00775D11">
        <w:rPr>
          <w:rFonts w:eastAsia="Calibri"/>
        </w:rPr>
        <w:t xml:space="preserve">North, </w:t>
      </w:r>
      <w:r w:rsidRPr="00775D11">
        <w:t xml:space="preserve">has created her own set of weaving quality specifications. Her expertise extends to teaching wahakura weaving to both </w:t>
      </w:r>
      <w:proofErr w:type="spellStart"/>
      <w:r w:rsidRPr="00775D11">
        <w:t>hapū</w:t>
      </w:r>
      <w:proofErr w:type="spellEnd"/>
      <w:r w:rsidRPr="00775D11">
        <w:t xml:space="preserve"> </w:t>
      </w:r>
      <w:proofErr w:type="spellStart"/>
      <w:r w:rsidRPr="00775D11">
        <w:t>māmā</w:t>
      </w:r>
      <w:proofErr w:type="spellEnd"/>
      <w:r w:rsidRPr="00775D11">
        <w:t xml:space="preserve"> (pregnant mothers) and health professionals. The wider recognition of wahakura as a cultural alternative for Māori to sleep their babies safely has also increased the demand exponentially. A number of DHBs in the Northern region have secured contracts with Cassandra </w:t>
      </w:r>
      <w:proofErr w:type="spellStart"/>
      <w:r w:rsidRPr="00775D11">
        <w:t>Moar</w:t>
      </w:r>
      <w:proofErr w:type="spellEnd"/>
      <w:r w:rsidRPr="00775D11">
        <w:t xml:space="preserve"> to help provide wahakura weaving and related child wellbeing education across their communities.</w:t>
      </w:r>
    </w:p>
    <w:p w14:paraId="467A860E" w14:textId="77777777" w:rsidR="00547273" w:rsidRPr="00775D11" w:rsidRDefault="00547273" w:rsidP="00547273"/>
    <w:p w14:paraId="6575B215" w14:textId="77777777" w:rsidR="00547273" w:rsidRDefault="00547273" w:rsidP="00547273">
      <w:pPr>
        <w:pStyle w:val="Figure"/>
      </w:pPr>
      <w:bookmarkStart w:id="81" w:name="_Toc4502414"/>
      <w:bookmarkStart w:id="82" w:name="_Toc5652206"/>
      <w:r w:rsidRPr="00FE7614">
        <w:t>Figure</w:t>
      </w:r>
      <w:r w:rsidRPr="00775D11">
        <w:t xml:space="preserve"> </w:t>
      </w:r>
      <w:r w:rsidR="00F60387">
        <w:rPr>
          <w:noProof/>
        </w:rPr>
        <w:fldChar w:fldCharType="begin"/>
      </w:r>
      <w:r w:rsidR="00F60387">
        <w:rPr>
          <w:noProof/>
        </w:rPr>
        <w:instrText xml:space="preserve"> SEQ Figure \* ARABIC </w:instrText>
      </w:r>
      <w:r w:rsidR="00F60387">
        <w:rPr>
          <w:noProof/>
        </w:rPr>
        <w:fldChar w:fldCharType="separate"/>
      </w:r>
      <w:r w:rsidR="008D76A9">
        <w:rPr>
          <w:noProof/>
        </w:rPr>
        <w:t>3</w:t>
      </w:r>
      <w:r w:rsidR="00F60387">
        <w:rPr>
          <w:noProof/>
        </w:rPr>
        <w:fldChar w:fldCharType="end"/>
      </w:r>
      <w:r w:rsidRPr="00775D11">
        <w:t xml:space="preserve">: Cassandra </w:t>
      </w:r>
      <w:proofErr w:type="spellStart"/>
      <w:r w:rsidRPr="00775D11">
        <w:t>Moar</w:t>
      </w:r>
      <w:proofErr w:type="spellEnd"/>
      <w:r w:rsidRPr="00775D11">
        <w:t xml:space="preserve"> presenting Prime Minister the </w:t>
      </w:r>
      <w:proofErr w:type="spellStart"/>
      <w:r w:rsidRPr="00775D11">
        <w:t>Rt</w:t>
      </w:r>
      <w:proofErr w:type="spellEnd"/>
      <w:r w:rsidRPr="00775D11">
        <w:t xml:space="preserve"> Hon </w:t>
      </w:r>
      <w:proofErr w:type="spellStart"/>
      <w:r w:rsidRPr="00775D11">
        <w:t>Jacinda</w:t>
      </w:r>
      <w:proofErr w:type="spellEnd"/>
      <w:r w:rsidRPr="00775D11">
        <w:t xml:space="preserve"> </w:t>
      </w:r>
      <w:proofErr w:type="spellStart"/>
      <w:r w:rsidRPr="00775D11">
        <w:t>Ardern</w:t>
      </w:r>
      <w:proofErr w:type="spellEnd"/>
      <w:r w:rsidRPr="00775D11">
        <w:t xml:space="preserve"> with a wahakura</w:t>
      </w:r>
      <w:bookmarkEnd w:id="81"/>
      <w:bookmarkEnd w:id="82"/>
    </w:p>
    <w:p w14:paraId="6F3DB827" w14:textId="77777777" w:rsidR="00547273" w:rsidRPr="000F2DA8" w:rsidRDefault="00547273" w:rsidP="00547273">
      <w:r w:rsidRPr="00775D11">
        <w:rPr>
          <w:rFonts w:cstheme="minorHAnsi"/>
          <w:noProof/>
          <w:lang w:eastAsia="en-NZ"/>
        </w:rPr>
        <w:drawing>
          <wp:inline distT="0" distB="0" distL="0" distR="0" wp14:anchorId="490524FD" wp14:editId="6568DE7E">
            <wp:extent cx="2252345" cy="1969770"/>
            <wp:effectExtent l="0" t="0" r="0" b="0"/>
            <wp:docPr id="7" name="Picture 7" title="Figure 3: Cassandra Moar presenting Prime Minister the Rt Hon Jacinda Ardern with a wah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ssandra and PM.JPG"/>
                    <pic:cNvPicPr/>
                  </pic:nvPicPr>
                  <pic:blipFill rotWithShape="1">
                    <a:blip r:embed="rId35" cstate="print">
                      <a:extLst>
                        <a:ext uri="{28A0092B-C50C-407E-A947-70E740481C1C}">
                          <a14:useLocalDpi xmlns:a14="http://schemas.microsoft.com/office/drawing/2010/main" val="0"/>
                        </a:ext>
                      </a:extLst>
                    </a:blip>
                    <a:srcRect l="20144" b="6336"/>
                    <a:stretch/>
                  </pic:blipFill>
                  <pic:spPr bwMode="auto">
                    <a:xfrm>
                      <a:off x="0" y="0"/>
                      <a:ext cx="2252345" cy="1969770"/>
                    </a:xfrm>
                    <a:prstGeom prst="rect">
                      <a:avLst/>
                    </a:prstGeom>
                    <a:ln>
                      <a:noFill/>
                    </a:ln>
                    <a:extLst>
                      <a:ext uri="{53640926-AAD7-44D8-BBD7-CCE9431645EC}">
                        <a14:shadowObscured xmlns:a14="http://schemas.microsoft.com/office/drawing/2010/main"/>
                      </a:ext>
                    </a:extLst>
                  </pic:spPr>
                </pic:pic>
              </a:graphicData>
            </a:graphic>
          </wp:inline>
        </w:drawing>
      </w:r>
    </w:p>
    <w:p w14:paraId="2DCE98EB" w14:textId="77777777" w:rsidR="00547273" w:rsidRPr="00775D11" w:rsidRDefault="00547273" w:rsidP="00547273">
      <w:pPr>
        <w:pStyle w:val="Source"/>
        <w:rPr>
          <w:rFonts w:eastAsia="Calibri"/>
        </w:rPr>
      </w:pPr>
      <w:r w:rsidRPr="000F2DA8">
        <w:rPr>
          <w:rFonts w:eastAsia="Calibri"/>
        </w:rPr>
        <w:t>Source</w:t>
      </w:r>
      <w:r w:rsidRPr="00775D11">
        <w:rPr>
          <w:rFonts w:eastAsia="Calibri"/>
        </w:rPr>
        <w:t xml:space="preserve">: </w:t>
      </w:r>
      <w:proofErr w:type="spellStart"/>
      <w:r w:rsidRPr="00775D11">
        <w:rPr>
          <w:rFonts w:eastAsia="Calibri"/>
        </w:rPr>
        <w:t>Hāpai</w:t>
      </w:r>
      <w:proofErr w:type="spellEnd"/>
      <w:r w:rsidRPr="00775D11">
        <w:rPr>
          <w:rFonts w:eastAsia="Calibri"/>
        </w:rPr>
        <w:t xml:space="preserve"> </w:t>
      </w:r>
      <w:proofErr w:type="spellStart"/>
      <w:r w:rsidRPr="00775D11">
        <w:rPr>
          <w:rFonts w:eastAsia="Calibri"/>
        </w:rPr>
        <w:t>Te</w:t>
      </w:r>
      <w:proofErr w:type="spellEnd"/>
      <w:r w:rsidRPr="00775D11">
        <w:rPr>
          <w:rFonts w:eastAsia="Calibri"/>
        </w:rPr>
        <w:t xml:space="preserve"> Hauora (2018)</w:t>
      </w:r>
    </w:p>
    <w:p w14:paraId="69CD46CF" w14:textId="77777777" w:rsidR="00547273" w:rsidRPr="00775D11" w:rsidRDefault="00547273" w:rsidP="00547273"/>
    <w:p w14:paraId="0322726E" w14:textId="77777777" w:rsidR="00547273" w:rsidRDefault="00547273" w:rsidP="00547273">
      <w:r w:rsidRPr="00775D11">
        <w:t xml:space="preserve">Cassandra </w:t>
      </w:r>
      <w:proofErr w:type="spellStart"/>
      <w:r w:rsidRPr="00775D11">
        <w:t>Moar</w:t>
      </w:r>
      <w:proofErr w:type="spellEnd"/>
      <w:r w:rsidRPr="00775D11">
        <w:t xml:space="preserve"> has customised the process so that the wahakura can fit a standard </w:t>
      </w:r>
      <w:proofErr w:type="spellStart"/>
      <w:r w:rsidRPr="00775D11">
        <w:t>Pēpi</w:t>
      </w:r>
      <w:proofErr w:type="spellEnd"/>
      <w:r w:rsidRPr="00775D11">
        <w:t xml:space="preserve">-Pod® mattress (360 </w:t>
      </w:r>
      <w:r w:rsidRPr="00775D11">
        <w:rPr>
          <w:rFonts w:eastAsia="Calibri"/>
        </w:rPr>
        <w:t>mm</w:t>
      </w:r>
      <w:r w:rsidRPr="00775D11">
        <w:t xml:space="preserve"> </w:t>
      </w:r>
      <w:r w:rsidRPr="00775D11">
        <w:rPr>
          <w:rFonts w:eastAsia="Calibri"/>
        </w:rPr>
        <w:t>wide</w:t>
      </w:r>
      <w:r w:rsidRPr="00775D11">
        <w:t xml:space="preserve"> </w:t>
      </w:r>
      <w:r w:rsidRPr="00775D11">
        <w:rPr>
          <w:rFonts w:eastAsia="Calibri"/>
        </w:rPr>
        <w:t>x</w:t>
      </w:r>
      <w:r w:rsidRPr="00775D11">
        <w:t xml:space="preserve"> 700 </w:t>
      </w:r>
      <w:r w:rsidRPr="00775D11">
        <w:rPr>
          <w:rFonts w:eastAsia="Calibri"/>
        </w:rPr>
        <w:t>mm</w:t>
      </w:r>
      <w:r w:rsidRPr="00775D11">
        <w:t xml:space="preserve"> </w:t>
      </w:r>
      <w:r w:rsidRPr="00775D11">
        <w:rPr>
          <w:rFonts w:eastAsia="Calibri"/>
        </w:rPr>
        <w:t>long</w:t>
      </w:r>
      <w:r w:rsidRPr="00775D11">
        <w:t xml:space="preserve"> at the base) and the walls are high enough (25 cm high) to safeguard the structure of the wahakura when bed sharing.</w:t>
      </w:r>
    </w:p>
    <w:p w14:paraId="5B8CA9C5" w14:textId="77777777" w:rsidR="00547273" w:rsidRPr="00775D11" w:rsidRDefault="00547273" w:rsidP="00547273"/>
    <w:p w14:paraId="3E59D32B" w14:textId="77777777" w:rsidR="00547273" w:rsidRDefault="00547273" w:rsidP="00547273">
      <w:pPr>
        <w:pStyle w:val="Heading2"/>
      </w:pPr>
      <w:bookmarkStart w:id="83" w:name="_Toc5652158"/>
      <w:bookmarkStart w:id="84" w:name="_Toc7704193"/>
      <w:r w:rsidRPr="00775D11">
        <w:lastRenderedPageBreak/>
        <w:t>Midland and Central regions</w:t>
      </w:r>
      <w:bookmarkEnd w:id="83"/>
      <w:bookmarkEnd w:id="84"/>
    </w:p>
    <w:p w14:paraId="1706F8FB" w14:textId="77777777" w:rsidR="00547273" w:rsidRPr="00775D11" w:rsidRDefault="00547273" w:rsidP="00547273">
      <w:pPr>
        <w:keepLines/>
      </w:pPr>
      <w:r w:rsidRPr="00775D11">
        <w:t>A number of expert weavers and collectives</w:t>
      </w:r>
      <w:r w:rsidRPr="000F2DA8">
        <w:rPr>
          <w:rStyle w:val="FootnoteReference"/>
        </w:rPr>
        <w:footnoteReference w:id="12"/>
      </w:r>
      <w:r w:rsidRPr="00775D11">
        <w:t xml:space="preserve"> of weavers work within the Midland and Central regions. The previous </w:t>
      </w:r>
      <w:r>
        <w:t xml:space="preserve">safe sleep programme </w:t>
      </w:r>
      <w:r w:rsidRPr="00775D11">
        <w:t xml:space="preserve">supported the development of wahakura guidelines by Nanny </w:t>
      </w:r>
      <w:proofErr w:type="spellStart"/>
      <w:r w:rsidRPr="00775D11">
        <w:t>Whaipooti</w:t>
      </w:r>
      <w:proofErr w:type="spellEnd"/>
      <w:r w:rsidRPr="00775D11">
        <w:t xml:space="preserve"> </w:t>
      </w:r>
      <w:proofErr w:type="spellStart"/>
      <w:r w:rsidRPr="00775D11">
        <w:t>Hitchiner</w:t>
      </w:r>
      <w:proofErr w:type="spellEnd"/>
      <w:r w:rsidRPr="00775D11">
        <w:t xml:space="preserve"> (</w:t>
      </w:r>
      <w:proofErr w:type="spellStart"/>
      <w:r w:rsidRPr="00775D11">
        <w:t>Nukutere</w:t>
      </w:r>
      <w:proofErr w:type="spellEnd"/>
      <w:r w:rsidRPr="00775D11">
        <w:t xml:space="preserve"> Weavers Collective, </w:t>
      </w:r>
      <w:proofErr w:type="spellStart"/>
      <w:r w:rsidRPr="00775D11">
        <w:t>Te</w:t>
      </w:r>
      <w:proofErr w:type="spellEnd"/>
      <w:r>
        <w:t> </w:t>
      </w:r>
      <w:proofErr w:type="spellStart"/>
      <w:r w:rsidRPr="00775D11">
        <w:t>Tair</w:t>
      </w:r>
      <w:r w:rsidRPr="00775D11">
        <w:rPr>
          <w:rFonts w:cstheme="minorHAnsi"/>
        </w:rPr>
        <w:t>ā</w:t>
      </w:r>
      <w:r w:rsidRPr="00775D11">
        <w:t>whiti</w:t>
      </w:r>
      <w:proofErr w:type="spellEnd"/>
      <w:r w:rsidRPr="00775D11">
        <w:t xml:space="preserve">), Professor David </w:t>
      </w:r>
      <w:proofErr w:type="spellStart"/>
      <w:r w:rsidRPr="00775D11">
        <w:t>Tipene</w:t>
      </w:r>
      <w:proofErr w:type="spellEnd"/>
      <w:r w:rsidRPr="00775D11">
        <w:t>-Leach</w:t>
      </w:r>
      <w:r w:rsidRPr="000F2DA8">
        <w:rPr>
          <w:rStyle w:val="FootnoteReference"/>
        </w:rPr>
        <w:footnoteReference w:id="13"/>
      </w:r>
      <w:r w:rsidRPr="00775D11">
        <w:t xml:space="preserve"> and other stalwart advocates of the wahakura. The resource provides information on:</w:t>
      </w:r>
    </w:p>
    <w:p w14:paraId="018A7F4B" w14:textId="77777777" w:rsidR="00547273" w:rsidRPr="00775D11" w:rsidRDefault="00547273" w:rsidP="005C45B1">
      <w:pPr>
        <w:pStyle w:val="Bullet"/>
      </w:pPr>
      <w:r w:rsidRPr="00775D11">
        <w:t>how to use a wahakura</w:t>
      </w:r>
    </w:p>
    <w:p w14:paraId="39420603" w14:textId="77777777" w:rsidR="00547273" w:rsidRPr="00775D11" w:rsidRDefault="00547273" w:rsidP="005C45B1">
      <w:pPr>
        <w:pStyle w:val="Bullet"/>
      </w:pPr>
      <w:r w:rsidRPr="00775D11">
        <w:t>why to use one</w:t>
      </w:r>
    </w:p>
    <w:p w14:paraId="34ED698C" w14:textId="77777777" w:rsidR="00547273" w:rsidRPr="00775D11" w:rsidRDefault="00547273" w:rsidP="005C45B1">
      <w:pPr>
        <w:pStyle w:val="Bullet"/>
      </w:pPr>
      <w:r w:rsidRPr="00775D11">
        <w:t>how to weave one – with a summary of instructions</w:t>
      </w:r>
    </w:p>
    <w:p w14:paraId="12F6F79A" w14:textId="77777777" w:rsidR="00547273" w:rsidRDefault="00547273" w:rsidP="005C45B1">
      <w:pPr>
        <w:pStyle w:val="Bullet"/>
      </w:pPr>
      <w:proofErr w:type="gramStart"/>
      <w:r w:rsidRPr="00775D11">
        <w:t>how</w:t>
      </w:r>
      <w:proofErr w:type="gramEnd"/>
      <w:r w:rsidRPr="00775D11">
        <w:t xml:space="preserve"> to make the mattress – pillow-slip style.</w:t>
      </w:r>
    </w:p>
    <w:p w14:paraId="27859D52" w14:textId="77777777" w:rsidR="00547273" w:rsidRPr="005468F2" w:rsidRDefault="00547273" w:rsidP="000F2DA8"/>
    <w:sectPr w:rsidR="00547273" w:rsidRPr="005468F2" w:rsidSect="00D73CB0">
      <w:footerReference w:type="even" r:id="rId36"/>
      <w:footerReference w:type="default" r:id="rId37"/>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14A5D" w14:textId="77777777" w:rsidR="00CF62B7" w:rsidRDefault="00CF62B7">
      <w:r>
        <w:separator/>
      </w:r>
    </w:p>
    <w:p w14:paraId="434EBE35" w14:textId="77777777" w:rsidR="00CF62B7" w:rsidRDefault="00CF62B7"/>
  </w:endnote>
  <w:endnote w:type="continuationSeparator" w:id="0">
    <w:p w14:paraId="43E50262" w14:textId="77777777" w:rsidR="00CF62B7" w:rsidRDefault="00CF62B7">
      <w:r>
        <w:continuationSeparator/>
      </w:r>
    </w:p>
    <w:p w14:paraId="43994803" w14:textId="77777777" w:rsidR="00CF62B7" w:rsidRDefault="00CF6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FF25" w14:textId="77777777" w:rsidR="002C1F65" w:rsidRPr="00581136" w:rsidRDefault="002C1F65"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5DE226DA" w14:textId="77777777" w:rsidR="002C1F65" w:rsidRPr="005A79E5" w:rsidRDefault="002C1F65">
    <w:pPr>
      <w:pStyle w:val="Foote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C1F65" w14:paraId="2FD60E37" w14:textId="77777777" w:rsidTr="006F1EEF">
      <w:trPr>
        <w:cantSplit/>
      </w:trPr>
      <w:tc>
        <w:tcPr>
          <w:tcW w:w="8080" w:type="dxa"/>
          <w:vAlign w:val="center"/>
        </w:tcPr>
        <w:p w14:paraId="00019B02" w14:textId="77777777" w:rsidR="002C1F65" w:rsidRDefault="002C1F65" w:rsidP="002575E8">
          <w:pPr>
            <w:pStyle w:val="RectoFooter"/>
          </w:pPr>
          <w:r w:rsidRPr="00166217">
            <w:rPr>
              <w:rFonts w:cs="Segoe UI"/>
            </w:rPr>
            <w:t xml:space="preserve">National SUDI Prevention: </w:t>
          </w:r>
          <w:r>
            <w:rPr>
              <w:rFonts w:cs="Segoe UI"/>
            </w:rPr>
            <w:t>national safe sleep device quality specification guidelines</w:t>
          </w:r>
        </w:p>
      </w:tc>
      <w:tc>
        <w:tcPr>
          <w:tcW w:w="709" w:type="dxa"/>
          <w:vAlign w:val="center"/>
        </w:tcPr>
        <w:p w14:paraId="58A43D71" w14:textId="77777777" w:rsidR="002C1F65" w:rsidRPr="00931466" w:rsidRDefault="002C1F65" w:rsidP="006F1EE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E432A">
            <w:rPr>
              <w:rStyle w:val="PageNumber"/>
              <w:noProof/>
            </w:rPr>
            <w:t>13</w:t>
          </w:r>
          <w:r w:rsidRPr="00931466">
            <w:rPr>
              <w:rStyle w:val="PageNumber"/>
            </w:rPr>
            <w:fldChar w:fldCharType="end"/>
          </w:r>
        </w:p>
      </w:tc>
    </w:tr>
  </w:tbl>
  <w:p w14:paraId="41EC267A" w14:textId="77777777" w:rsidR="002C1F65" w:rsidRPr="00581EB8" w:rsidRDefault="002C1F65" w:rsidP="00581EB8">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DD8AB" w14:textId="77777777" w:rsidR="002C1F65" w:rsidRDefault="002C1F65"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983C" w14:textId="77777777" w:rsidR="002C1F65" w:rsidRDefault="002C1F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C1F65" w14:paraId="47BD6A3A" w14:textId="77777777" w:rsidTr="006F1EEF">
      <w:trPr>
        <w:cantSplit/>
      </w:trPr>
      <w:tc>
        <w:tcPr>
          <w:tcW w:w="709" w:type="dxa"/>
          <w:vAlign w:val="center"/>
        </w:tcPr>
        <w:p w14:paraId="6CA6AF59" w14:textId="77777777" w:rsidR="002C1F65" w:rsidRPr="00931466" w:rsidRDefault="002C1F65" w:rsidP="006F1EE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E432A">
            <w:rPr>
              <w:rStyle w:val="PageNumber"/>
              <w:noProof/>
            </w:rPr>
            <w:t>iv</w:t>
          </w:r>
          <w:r w:rsidRPr="00931466">
            <w:rPr>
              <w:rStyle w:val="PageNumber"/>
            </w:rPr>
            <w:fldChar w:fldCharType="end"/>
          </w:r>
        </w:p>
      </w:tc>
      <w:tc>
        <w:tcPr>
          <w:tcW w:w="8080" w:type="dxa"/>
          <w:vAlign w:val="center"/>
        </w:tcPr>
        <w:p w14:paraId="51A1D035" w14:textId="77777777" w:rsidR="002C1F65" w:rsidRDefault="002C1F65" w:rsidP="006F1EEF">
          <w:pPr>
            <w:pStyle w:val="RectoFooter"/>
            <w:jc w:val="left"/>
          </w:pPr>
          <w:r w:rsidRPr="00166217">
            <w:rPr>
              <w:rFonts w:cs="Segoe UI"/>
            </w:rPr>
            <w:t xml:space="preserve">National SUDI Prevention: </w:t>
          </w:r>
          <w:r>
            <w:rPr>
              <w:rFonts w:cs="Segoe UI"/>
            </w:rPr>
            <w:t>national safe sleep device quality specification guidelines</w:t>
          </w:r>
        </w:p>
      </w:tc>
    </w:tr>
  </w:tbl>
  <w:p w14:paraId="48A11F44" w14:textId="77777777" w:rsidR="002C1F65" w:rsidRPr="00571223" w:rsidRDefault="002C1F65"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C1F65" w14:paraId="798FB565" w14:textId="77777777" w:rsidTr="00D662F8">
      <w:trPr>
        <w:cantSplit/>
      </w:trPr>
      <w:tc>
        <w:tcPr>
          <w:tcW w:w="8080" w:type="dxa"/>
          <w:vAlign w:val="center"/>
        </w:tcPr>
        <w:p w14:paraId="7B0A0C06" w14:textId="77777777" w:rsidR="002C1F65" w:rsidRPr="00166217" w:rsidRDefault="002C1F65" w:rsidP="008E31BC">
          <w:pPr>
            <w:pStyle w:val="RectoFooter"/>
          </w:pPr>
          <w:r w:rsidRPr="00166217">
            <w:rPr>
              <w:rFonts w:cs="Segoe UI"/>
            </w:rPr>
            <w:t xml:space="preserve">National SUDI Prevention: </w:t>
          </w:r>
          <w:r>
            <w:rPr>
              <w:rFonts w:cs="Segoe UI"/>
            </w:rPr>
            <w:t>national safe sleep device quality specification guidelines</w:t>
          </w:r>
        </w:p>
      </w:tc>
      <w:tc>
        <w:tcPr>
          <w:tcW w:w="709" w:type="dxa"/>
          <w:vAlign w:val="center"/>
        </w:tcPr>
        <w:p w14:paraId="4B7C45D4" w14:textId="77777777" w:rsidR="002C1F65" w:rsidRPr="00931466" w:rsidRDefault="002C1F6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E432A">
            <w:rPr>
              <w:rStyle w:val="PageNumber"/>
              <w:noProof/>
            </w:rPr>
            <w:t>v</w:t>
          </w:r>
          <w:r w:rsidRPr="00931466">
            <w:rPr>
              <w:rStyle w:val="PageNumber"/>
            </w:rPr>
            <w:fldChar w:fldCharType="end"/>
          </w:r>
        </w:p>
      </w:tc>
    </w:tr>
  </w:tbl>
  <w:p w14:paraId="192EECAA" w14:textId="77777777" w:rsidR="002C1F65" w:rsidRPr="00581EB8" w:rsidRDefault="002C1F65"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D76A9" w14:paraId="5482F5C9" w14:textId="77777777" w:rsidTr="006F1EEF">
      <w:trPr>
        <w:cantSplit/>
      </w:trPr>
      <w:tc>
        <w:tcPr>
          <w:tcW w:w="709" w:type="dxa"/>
          <w:vAlign w:val="center"/>
        </w:tcPr>
        <w:p w14:paraId="59EBE527" w14:textId="3F22EB39" w:rsidR="008D76A9" w:rsidRPr="00931466" w:rsidRDefault="008D76A9" w:rsidP="006F1EEF">
          <w:pPr>
            <w:pStyle w:val="Footer"/>
            <w:rPr>
              <w:rStyle w:val="PageNumber"/>
            </w:rPr>
          </w:pPr>
        </w:p>
      </w:tc>
      <w:tc>
        <w:tcPr>
          <w:tcW w:w="8080" w:type="dxa"/>
          <w:vAlign w:val="center"/>
        </w:tcPr>
        <w:p w14:paraId="49C2E2C8" w14:textId="31164A08" w:rsidR="008D76A9" w:rsidRDefault="008D76A9" w:rsidP="006F1EEF">
          <w:pPr>
            <w:pStyle w:val="RectoFooter"/>
            <w:jc w:val="left"/>
          </w:pPr>
        </w:p>
      </w:tc>
    </w:tr>
  </w:tbl>
  <w:p w14:paraId="3F1C05C6" w14:textId="77777777" w:rsidR="008D76A9" w:rsidRPr="00571223" w:rsidRDefault="008D76A9"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C1F65" w14:paraId="5B29BFAE" w14:textId="77777777" w:rsidTr="00D662F8">
      <w:trPr>
        <w:cantSplit/>
      </w:trPr>
      <w:tc>
        <w:tcPr>
          <w:tcW w:w="709" w:type="dxa"/>
          <w:vAlign w:val="center"/>
        </w:tcPr>
        <w:p w14:paraId="5D062BC1" w14:textId="77777777" w:rsidR="002C1F65" w:rsidRPr="00931466" w:rsidRDefault="002C1F6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E432A">
            <w:rPr>
              <w:rStyle w:val="PageNumber"/>
              <w:noProof/>
            </w:rPr>
            <w:t>viii</w:t>
          </w:r>
          <w:r w:rsidRPr="00931466">
            <w:rPr>
              <w:rStyle w:val="PageNumber"/>
            </w:rPr>
            <w:fldChar w:fldCharType="end"/>
          </w:r>
        </w:p>
      </w:tc>
      <w:tc>
        <w:tcPr>
          <w:tcW w:w="8080" w:type="dxa"/>
          <w:vAlign w:val="center"/>
        </w:tcPr>
        <w:p w14:paraId="50C97210" w14:textId="77777777" w:rsidR="002C1F65" w:rsidRDefault="002C1F65" w:rsidP="00926083">
          <w:pPr>
            <w:pStyle w:val="RectoFooter"/>
            <w:jc w:val="left"/>
          </w:pPr>
          <w:r w:rsidRPr="00166217">
            <w:rPr>
              <w:rFonts w:cs="Segoe UI"/>
            </w:rPr>
            <w:t xml:space="preserve">National SUDI Prevention: </w:t>
          </w:r>
          <w:r>
            <w:rPr>
              <w:rFonts w:cs="Segoe UI"/>
            </w:rPr>
            <w:t>national safe sleep device quality specification guidelines</w:t>
          </w:r>
        </w:p>
      </w:tc>
    </w:tr>
  </w:tbl>
  <w:p w14:paraId="6BAB5751" w14:textId="77777777" w:rsidR="002C1F65" w:rsidRPr="00571223" w:rsidRDefault="002C1F65"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C1F65" w14:paraId="25BDE8FF" w14:textId="77777777" w:rsidTr="00D662F8">
      <w:trPr>
        <w:cantSplit/>
      </w:trPr>
      <w:tc>
        <w:tcPr>
          <w:tcW w:w="8080" w:type="dxa"/>
          <w:vAlign w:val="center"/>
        </w:tcPr>
        <w:p w14:paraId="1CD11F8D" w14:textId="77777777" w:rsidR="002C1F65" w:rsidRDefault="002C1F65" w:rsidP="00926083">
          <w:pPr>
            <w:pStyle w:val="RectoFooter"/>
          </w:pPr>
          <w:r w:rsidRPr="00166217">
            <w:rPr>
              <w:rFonts w:cs="Segoe UI"/>
            </w:rPr>
            <w:t xml:space="preserve">National SUDI Prevention: </w:t>
          </w:r>
          <w:r>
            <w:rPr>
              <w:rFonts w:cs="Segoe UI"/>
            </w:rPr>
            <w:t>national safe sleep device quality specification guidelines</w:t>
          </w:r>
        </w:p>
      </w:tc>
      <w:tc>
        <w:tcPr>
          <w:tcW w:w="709" w:type="dxa"/>
          <w:vAlign w:val="center"/>
        </w:tcPr>
        <w:p w14:paraId="1DB43765" w14:textId="77777777" w:rsidR="002C1F65" w:rsidRPr="00931466" w:rsidRDefault="002C1F6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E432A">
            <w:rPr>
              <w:rStyle w:val="PageNumber"/>
              <w:noProof/>
            </w:rPr>
            <w:t>vii</w:t>
          </w:r>
          <w:r w:rsidRPr="00931466">
            <w:rPr>
              <w:rStyle w:val="PageNumber"/>
            </w:rPr>
            <w:fldChar w:fldCharType="end"/>
          </w:r>
        </w:p>
      </w:tc>
    </w:tr>
  </w:tbl>
  <w:p w14:paraId="01A0472C" w14:textId="77777777" w:rsidR="002C1F65" w:rsidRPr="00581EB8" w:rsidRDefault="002C1F65" w:rsidP="00581EB8">
    <w:pPr>
      <w:pStyle w:val="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C1F65" w14:paraId="3AADF625" w14:textId="77777777" w:rsidTr="006F1EEF">
      <w:trPr>
        <w:cantSplit/>
      </w:trPr>
      <w:tc>
        <w:tcPr>
          <w:tcW w:w="709" w:type="dxa"/>
          <w:vAlign w:val="center"/>
        </w:tcPr>
        <w:p w14:paraId="618889EB" w14:textId="77777777" w:rsidR="002C1F65" w:rsidRPr="00931466" w:rsidRDefault="002C1F65" w:rsidP="006F1EE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E432A">
            <w:rPr>
              <w:rStyle w:val="PageNumber"/>
              <w:noProof/>
            </w:rPr>
            <w:t>12</w:t>
          </w:r>
          <w:r w:rsidRPr="00931466">
            <w:rPr>
              <w:rStyle w:val="PageNumber"/>
            </w:rPr>
            <w:fldChar w:fldCharType="end"/>
          </w:r>
        </w:p>
      </w:tc>
      <w:tc>
        <w:tcPr>
          <w:tcW w:w="8080" w:type="dxa"/>
          <w:vAlign w:val="center"/>
        </w:tcPr>
        <w:p w14:paraId="4E1FF2AF" w14:textId="77777777" w:rsidR="002C1F65" w:rsidRDefault="002C1F65" w:rsidP="00166217">
          <w:pPr>
            <w:pStyle w:val="RectoFooter"/>
            <w:jc w:val="left"/>
          </w:pPr>
          <w:r w:rsidRPr="00166217">
            <w:rPr>
              <w:rFonts w:cs="Segoe UI"/>
            </w:rPr>
            <w:t xml:space="preserve">National SUDI Prevention: </w:t>
          </w:r>
          <w:r>
            <w:rPr>
              <w:rFonts w:cs="Segoe UI"/>
            </w:rPr>
            <w:t>national safe sleep device quality specification guidelines</w:t>
          </w:r>
        </w:p>
      </w:tc>
    </w:tr>
  </w:tbl>
  <w:p w14:paraId="3EC8C9BA" w14:textId="77777777" w:rsidR="002C1F65" w:rsidRPr="00571223" w:rsidRDefault="002C1F65" w:rsidP="00571223">
    <w:pPr>
      <w:pStyle w:val="Verso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EEC91" w14:textId="77777777" w:rsidR="00CF62B7" w:rsidRPr="00A26E6B" w:rsidRDefault="00CF62B7" w:rsidP="00A26E6B"/>
  </w:footnote>
  <w:footnote w:type="continuationSeparator" w:id="0">
    <w:p w14:paraId="21F01FBE" w14:textId="77777777" w:rsidR="00CF62B7" w:rsidRDefault="00CF62B7">
      <w:r>
        <w:continuationSeparator/>
      </w:r>
    </w:p>
    <w:p w14:paraId="13FE7D37" w14:textId="77777777" w:rsidR="00CF62B7" w:rsidRDefault="00CF62B7"/>
  </w:footnote>
  <w:footnote w:id="1">
    <w:p w14:paraId="61B9F50F" w14:textId="77777777" w:rsidR="002C1F65" w:rsidRPr="00B02DAB" w:rsidRDefault="002C1F65" w:rsidP="000330C3">
      <w:pPr>
        <w:pStyle w:val="FootnoteText"/>
      </w:pPr>
      <w:r w:rsidRPr="000330C3">
        <w:rPr>
          <w:rStyle w:val="FootnoteReference"/>
        </w:rPr>
        <w:footnoteRef/>
      </w:r>
      <w:r>
        <w:tab/>
      </w:r>
      <w:r w:rsidRPr="00B02DAB">
        <w:t>Primarily babies of mothers who smoke in pregnancy, coupled with whānau who infant bed share and including Māori, Pacific and Teen Parents.</w:t>
      </w:r>
    </w:p>
  </w:footnote>
  <w:footnote w:id="2">
    <w:p w14:paraId="35FB1D83" w14:textId="77777777" w:rsidR="002C1F65" w:rsidRDefault="002C1F65" w:rsidP="000330C3">
      <w:pPr>
        <w:pStyle w:val="FootnoteText"/>
      </w:pPr>
      <w:r w:rsidRPr="000330C3">
        <w:rPr>
          <w:rStyle w:val="FootnoteReference"/>
        </w:rPr>
        <w:footnoteRef/>
      </w:r>
      <w:r>
        <w:tab/>
      </w:r>
      <w:proofErr w:type="spellStart"/>
      <w:r>
        <w:t>H</w:t>
      </w:r>
      <w:r>
        <w:rPr>
          <w:rFonts w:cstheme="minorHAnsi"/>
        </w:rPr>
        <w:t>ā</w:t>
      </w:r>
      <w:r>
        <w:t>pai</w:t>
      </w:r>
      <w:proofErr w:type="spellEnd"/>
      <w:r>
        <w:t xml:space="preserve"> </w:t>
      </w:r>
      <w:proofErr w:type="spellStart"/>
      <w:proofErr w:type="gramStart"/>
      <w:r>
        <w:t>te</w:t>
      </w:r>
      <w:proofErr w:type="spellEnd"/>
      <w:proofErr w:type="gramEnd"/>
      <w:r>
        <w:t xml:space="preserve"> Hauora. Digital resources. URL: </w:t>
      </w:r>
      <w:hyperlink r:id="rId1" w:history="1">
        <w:r w:rsidRPr="00D42935">
          <w:rPr>
            <w:rStyle w:val="Hyperlink"/>
          </w:rPr>
          <w:t>http://sudinationalcoordination.co.nz/digital-resources</w:t>
        </w:r>
      </w:hyperlink>
    </w:p>
  </w:footnote>
  <w:footnote w:id="3">
    <w:p w14:paraId="7DA7F4FD" w14:textId="77777777" w:rsidR="002C1F65" w:rsidRDefault="002C1F65" w:rsidP="000330C3">
      <w:pPr>
        <w:pStyle w:val="FootnoteText"/>
      </w:pPr>
      <w:r w:rsidRPr="000330C3">
        <w:rPr>
          <w:rStyle w:val="FootnoteReference"/>
        </w:rPr>
        <w:footnoteRef/>
      </w:r>
      <w:r>
        <w:tab/>
        <w:t xml:space="preserve">Change for our Children. Baby essentials online. URL: </w:t>
      </w:r>
      <w:hyperlink r:id="rId2" w:history="1">
        <w:r w:rsidRPr="00DE2E23">
          <w:rPr>
            <w:rStyle w:val="Hyperlink"/>
          </w:rPr>
          <w:t>www.changeforourchildren.nz/safe_start_programme/baby_essentials_online</w:t>
        </w:r>
      </w:hyperlink>
    </w:p>
  </w:footnote>
  <w:footnote w:id="4">
    <w:p w14:paraId="2F6E9C46" w14:textId="77777777" w:rsidR="002C1F65" w:rsidRDefault="002C1F65" w:rsidP="000330C3">
      <w:pPr>
        <w:pStyle w:val="FootnoteText"/>
      </w:pPr>
      <w:r w:rsidRPr="000330C3">
        <w:rPr>
          <w:rStyle w:val="FootnoteReference"/>
        </w:rPr>
        <w:footnoteRef/>
      </w:r>
      <w:r>
        <w:tab/>
        <w:t xml:space="preserve">Change for our Children. Tool kit. URL: </w:t>
      </w:r>
      <w:hyperlink r:id="rId3" w:history="1">
        <w:r w:rsidRPr="00D42935">
          <w:rPr>
            <w:rStyle w:val="Hyperlink"/>
          </w:rPr>
          <w:t>www.changeforourchildren.nz/safe_start_programme/tool_kit</w:t>
        </w:r>
      </w:hyperlink>
    </w:p>
  </w:footnote>
  <w:footnote w:id="5">
    <w:p w14:paraId="416E07C4" w14:textId="77777777" w:rsidR="002C1F65" w:rsidRDefault="002C1F65" w:rsidP="000330C3">
      <w:pPr>
        <w:pStyle w:val="FootnoteText"/>
      </w:pPr>
      <w:r w:rsidRPr="000330C3">
        <w:rPr>
          <w:rStyle w:val="FootnoteReference"/>
        </w:rPr>
        <w:footnoteRef/>
      </w:r>
      <w:r>
        <w:tab/>
      </w:r>
      <w:proofErr w:type="spellStart"/>
      <w:r w:rsidRPr="00BA4EB6">
        <w:t>Baddock</w:t>
      </w:r>
      <w:proofErr w:type="spellEnd"/>
      <w:r w:rsidRPr="00BA4EB6">
        <w:t xml:space="preserve"> SA, </w:t>
      </w:r>
      <w:proofErr w:type="spellStart"/>
      <w:r w:rsidRPr="00BA4EB6">
        <w:t>Tipene</w:t>
      </w:r>
      <w:proofErr w:type="spellEnd"/>
      <w:r w:rsidRPr="00BA4EB6">
        <w:t>-Leach D, Williams SM, et al. 2017</w:t>
      </w:r>
      <w:r>
        <w:t xml:space="preserve">. </w:t>
      </w:r>
      <w:r w:rsidRPr="00BA4EB6">
        <w:t xml:space="preserve">Wahakura </w:t>
      </w:r>
      <w:r>
        <w:t>v</w:t>
      </w:r>
      <w:r w:rsidRPr="00BA4EB6">
        <w:t xml:space="preserve">ersus </w:t>
      </w:r>
      <w:r>
        <w:t>b</w:t>
      </w:r>
      <w:r w:rsidRPr="00BA4EB6">
        <w:t xml:space="preserve">assinet for </w:t>
      </w:r>
      <w:r>
        <w:t>s</w:t>
      </w:r>
      <w:r w:rsidRPr="00BA4EB6">
        <w:t xml:space="preserve">afe </w:t>
      </w:r>
      <w:r>
        <w:t>i</w:t>
      </w:r>
      <w:r w:rsidRPr="00BA4EB6">
        <w:t xml:space="preserve">nfant </w:t>
      </w:r>
      <w:r>
        <w:t>s</w:t>
      </w:r>
      <w:r w:rsidRPr="00BA4EB6">
        <w:t xml:space="preserve">leep: </w:t>
      </w:r>
      <w:r>
        <w:t>a</w:t>
      </w:r>
      <w:r w:rsidRPr="00BA4EB6">
        <w:t xml:space="preserve"> </w:t>
      </w:r>
      <w:r>
        <w:t>r</w:t>
      </w:r>
      <w:r w:rsidRPr="00BA4EB6">
        <w:t xml:space="preserve">andomized </w:t>
      </w:r>
      <w:r>
        <w:t>t</w:t>
      </w:r>
      <w:r w:rsidRPr="00BA4EB6">
        <w:t xml:space="preserve">rial. </w:t>
      </w:r>
      <w:proofErr w:type="spellStart"/>
      <w:r w:rsidRPr="00BA4EB6">
        <w:rPr>
          <w:i/>
          <w:iCs/>
        </w:rPr>
        <w:t>Pediatrics</w:t>
      </w:r>
      <w:proofErr w:type="spellEnd"/>
      <w:r>
        <w:t xml:space="preserve"> </w:t>
      </w:r>
      <w:r w:rsidRPr="00BA4EB6">
        <w:t>139.</w:t>
      </w:r>
    </w:p>
  </w:footnote>
  <w:footnote w:id="6">
    <w:p w14:paraId="352CB7FB" w14:textId="77777777" w:rsidR="002C1F65" w:rsidRDefault="002C1F65" w:rsidP="000330C3">
      <w:pPr>
        <w:pStyle w:val="FootnoteText"/>
      </w:pPr>
      <w:r w:rsidRPr="000330C3">
        <w:rPr>
          <w:rStyle w:val="FootnoteReference"/>
        </w:rPr>
        <w:footnoteRef/>
      </w:r>
      <w:r>
        <w:tab/>
        <w:t>An ‘i</w:t>
      </w:r>
      <w:r w:rsidRPr="00B96D05">
        <w:t xml:space="preserve">n-bed capable </w:t>
      </w:r>
      <w:r>
        <w:t>device’</w:t>
      </w:r>
      <w:r w:rsidRPr="00B96D05">
        <w:t xml:space="preserve"> is a device such as a wahakura or </w:t>
      </w:r>
      <w:proofErr w:type="spellStart"/>
      <w:r w:rsidRPr="00B96D05">
        <w:t>Pēpi</w:t>
      </w:r>
      <w:proofErr w:type="spellEnd"/>
      <w:r w:rsidRPr="00B96D05">
        <w:t xml:space="preserve">-Pod® </w:t>
      </w:r>
      <w:r>
        <w:t>where</w:t>
      </w:r>
      <w:r w:rsidRPr="00B96D05">
        <w:t xml:space="preserve"> baby can sleep </w:t>
      </w:r>
      <w:r>
        <w:t>and that</w:t>
      </w:r>
      <w:r w:rsidRPr="00B96D05">
        <w:t xml:space="preserve"> can be placed in a bed </w:t>
      </w:r>
      <w:r>
        <w:t xml:space="preserve">safely </w:t>
      </w:r>
      <w:r w:rsidRPr="00B96D05">
        <w:t>with another person</w:t>
      </w:r>
      <w:r>
        <w:t>.</w:t>
      </w:r>
    </w:p>
  </w:footnote>
  <w:footnote w:id="7">
    <w:p w14:paraId="0F9AE07E" w14:textId="77777777" w:rsidR="002C1F65" w:rsidRDefault="002C1F65" w:rsidP="001E29A9">
      <w:pPr>
        <w:pStyle w:val="FootnoteText"/>
      </w:pPr>
      <w:r w:rsidRPr="001E29A9">
        <w:rPr>
          <w:rStyle w:val="FootnoteReference"/>
        </w:rPr>
        <w:footnoteRef/>
      </w:r>
      <w:r>
        <w:tab/>
      </w:r>
      <w:r w:rsidRPr="00E667DE">
        <w:t>CYMRC. 2017. S</w:t>
      </w:r>
      <w:r w:rsidRPr="00E667DE">
        <w:rPr>
          <w:i/>
        </w:rPr>
        <w:t>udden Unexpected Death in Infancy (SUDI): Special report.</w:t>
      </w:r>
      <w:r w:rsidRPr="00E667DE">
        <w:t xml:space="preserve"> Wellington: Child and Youth Mortality Review Committee </w:t>
      </w:r>
      <w:proofErr w:type="spellStart"/>
      <w:r w:rsidRPr="00E667DE">
        <w:t>Te</w:t>
      </w:r>
      <w:proofErr w:type="spellEnd"/>
      <w:r w:rsidRPr="00E667DE">
        <w:t xml:space="preserve"> </w:t>
      </w:r>
      <w:proofErr w:type="spellStart"/>
      <w:r w:rsidRPr="00E667DE">
        <w:t>Roopu</w:t>
      </w:r>
      <w:proofErr w:type="spellEnd"/>
      <w:r w:rsidRPr="00E667DE">
        <w:t xml:space="preserve"> </w:t>
      </w:r>
      <w:proofErr w:type="spellStart"/>
      <w:r w:rsidRPr="00E667DE">
        <w:t>Arotake</w:t>
      </w:r>
      <w:proofErr w:type="spellEnd"/>
      <w:r w:rsidRPr="00E667DE">
        <w:t xml:space="preserve"> </w:t>
      </w:r>
      <w:proofErr w:type="spellStart"/>
      <w:r w:rsidRPr="00E667DE">
        <w:t>Auau</w:t>
      </w:r>
      <w:proofErr w:type="spellEnd"/>
      <w:r w:rsidRPr="00E667DE">
        <w:t xml:space="preserve"> Mate o </w:t>
      </w:r>
      <w:proofErr w:type="spellStart"/>
      <w:proofErr w:type="gramStart"/>
      <w:r w:rsidRPr="00E667DE">
        <w:t>te</w:t>
      </w:r>
      <w:proofErr w:type="spellEnd"/>
      <w:proofErr w:type="gramEnd"/>
      <w:r w:rsidRPr="00E667DE">
        <w:t xml:space="preserve"> </w:t>
      </w:r>
      <w:proofErr w:type="spellStart"/>
      <w:r w:rsidRPr="00E667DE">
        <w:t>Hunga</w:t>
      </w:r>
      <w:proofErr w:type="spellEnd"/>
      <w:r w:rsidRPr="00E667DE">
        <w:t xml:space="preserve"> </w:t>
      </w:r>
      <w:proofErr w:type="spellStart"/>
      <w:r w:rsidRPr="00E667DE">
        <w:t>Tamariki</w:t>
      </w:r>
      <w:proofErr w:type="spellEnd"/>
      <w:r w:rsidRPr="00E667DE">
        <w:t xml:space="preserve">, </w:t>
      </w:r>
      <w:proofErr w:type="spellStart"/>
      <w:r w:rsidRPr="00E667DE">
        <w:t>Taiohi</w:t>
      </w:r>
      <w:proofErr w:type="spellEnd"/>
      <w:r w:rsidRPr="00E667DE">
        <w:t>.</w:t>
      </w:r>
    </w:p>
    <w:p w14:paraId="43A3001D" w14:textId="77777777" w:rsidR="002C1F65" w:rsidRDefault="002C1F65" w:rsidP="001E29A9">
      <w:pPr>
        <w:pStyle w:val="FootnoteText"/>
        <w:ind w:firstLine="0"/>
      </w:pPr>
      <w:r>
        <w:t>Mitchell E, Blair P</w:t>
      </w:r>
      <w:r w:rsidRPr="0052169A">
        <w:t>. 2012</w:t>
      </w:r>
      <w:r>
        <w:t xml:space="preserve">. </w:t>
      </w:r>
      <w:r w:rsidRPr="0052169A">
        <w:t xml:space="preserve">SIDS prevention: 3000 lives saved but we can do better. </w:t>
      </w:r>
      <w:r w:rsidRPr="0052169A">
        <w:rPr>
          <w:i/>
        </w:rPr>
        <w:t>New Zealand Medical Journal</w:t>
      </w:r>
      <w:r w:rsidRPr="0052169A">
        <w:t xml:space="preserve"> 125(1359).</w:t>
      </w:r>
    </w:p>
  </w:footnote>
  <w:footnote w:id="8">
    <w:p w14:paraId="5F48372B" w14:textId="77777777" w:rsidR="002C1F65" w:rsidRDefault="002C1F65" w:rsidP="001E29A9">
      <w:pPr>
        <w:pStyle w:val="FootnoteText"/>
      </w:pPr>
      <w:r w:rsidRPr="001E29A9">
        <w:rPr>
          <w:rStyle w:val="FootnoteReference"/>
        </w:rPr>
        <w:footnoteRef/>
      </w:r>
      <w:r>
        <w:tab/>
        <w:t xml:space="preserve">Consumer Reports. Bassinet buying guide. URL: </w:t>
      </w:r>
      <w:hyperlink r:id="rId4" w:history="1">
        <w:r w:rsidRPr="001E29A9">
          <w:rPr>
            <w:rStyle w:val="Hyperlink"/>
          </w:rPr>
          <w:t>https://www.consumerreports.org/cro/bassinets/buying-guide/index.htm</w:t>
        </w:r>
      </w:hyperlink>
    </w:p>
  </w:footnote>
  <w:footnote w:id="9">
    <w:p w14:paraId="70795644" w14:textId="77777777" w:rsidR="002C1F65" w:rsidRPr="000049CA" w:rsidRDefault="002C1F65" w:rsidP="000F2DA8">
      <w:pPr>
        <w:pStyle w:val="FootnoteText"/>
      </w:pPr>
      <w:r w:rsidRPr="000F2DA8">
        <w:rPr>
          <w:rStyle w:val="FootnoteReference"/>
        </w:rPr>
        <w:footnoteRef/>
      </w:r>
      <w:r>
        <w:tab/>
      </w:r>
      <w:r w:rsidRPr="000049CA">
        <w:t>Following extraction of the flax material, simulated salivary fluid was analysed for silver, arsenic, bismuth, cadmium, copper, mercury, molybdenum, lead, antimony and tin.</w:t>
      </w:r>
    </w:p>
  </w:footnote>
  <w:footnote w:id="10">
    <w:p w14:paraId="79EF7340" w14:textId="77777777" w:rsidR="002C1F65" w:rsidRDefault="002C1F65" w:rsidP="00B72642">
      <w:pPr>
        <w:pStyle w:val="FootnoteText"/>
      </w:pPr>
      <w:r>
        <w:rPr>
          <w:rStyle w:val="FootnoteReference"/>
        </w:rPr>
        <w:footnoteRef/>
      </w:r>
      <w:r>
        <w:tab/>
      </w:r>
      <w:r w:rsidRPr="000049CA">
        <w:t>USEPA. 2011</w:t>
      </w:r>
      <w:r>
        <w:t>.</w:t>
      </w:r>
      <w:r w:rsidRPr="000049CA">
        <w:t xml:space="preserve"> </w:t>
      </w:r>
      <w:r w:rsidRPr="00FE7614">
        <w:rPr>
          <w:i/>
        </w:rPr>
        <w:t>Exposure Factors Handbook: 2011 edition</w:t>
      </w:r>
      <w:r w:rsidRPr="000049CA">
        <w:t>. EPA/600/R-090/52F. Washington DC: United States Environmental Protection Agency</w:t>
      </w:r>
      <w:r>
        <w:t>.</w:t>
      </w:r>
    </w:p>
  </w:footnote>
  <w:footnote w:id="11">
    <w:p w14:paraId="72254486" w14:textId="77777777" w:rsidR="002C1F65" w:rsidRDefault="002C1F65" w:rsidP="000F2DA8">
      <w:pPr>
        <w:pStyle w:val="FootnoteText"/>
      </w:pPr>
      <w:r w:rsidRPr="000F2DA8">
        <w:rPr>
          <w:rStyle w:val="FootnoteReference"/>
        </w:rPr>
        <w:footnoteRef/>
      </w:r>
      <w:r>
        <w:tab/>
      </w:r>
      <w:proofErr w:type="spellStart"/>
      <w:r>
        <w:t>Tipene</w:t>
      </w:r>
      <w:proofErr w:type="spellEnd"/>
      <w:r>
        <w:t xml:space="preserve">-Leach D. 2007. The wahakura: the safe bed-sharing project. URL: </w:t>
      </w:r>
      <w:hyperlink r:id="rId5" w:history="1">
        <w:r w:rsidRPr="000F2DA8">
          <w:rPr>
            <w:rStyle w:val="Hyperlink"/>
          </w:rPr>
          <w:t>www.manageme.org.nz/assets/Uploads/W-Wahakura-book-Sudden-Infant-Death-Syndrome-instructions.pdf</w:t>
        </w:r>
      </w:hyperlink>
    </w:p>
  </w:footnote>
  <w:footnote w:id="12">
    <w:p w14:paraId="1AC2C6A3" w14:textId="77777777" w:rsidR="002C1F65" w:rsidRDefault="002C1F65" w:rsidP="00547273">
      <w:pPr>
        <w:pStyle w:val="FootnoteText"/>
      </w:pPr>
      <w:r w:rsidRPr="000F2DA8">
        <w:rPr>
          <w:rStyle w:val="FootnoteReference"/>
        </w:rPr>
        <w:footnoteRef/>
      </w:r>
      <w:r>
        <w:tab/>
      </w:r>
      <w:proofErr w:type="spellStart"/>
      <w:r w:rsidRPr="009F1165">
        <w:t>Kairaranga</w:t>
      </w:r>
      <w:proofErr w:type="spellEnd"/>
      <w:r w:rsidRPr="009F1165">
        <w:t xml:space="preserve"> Wahakura network or </w:t>
      </w:r>
      <w:proofErr w:type="spellStart"/>
      <w:r w:rsidRPr="009F1165">
        <w:t>roopu</w:t>
      </w:r>
      <w:proofErr w:type="spellEnd"/>
      <w:r w:rsidRPr="009F1165">
        <w:t xml:space="preserve"> (group) for </w:t>
      </w:r>
      <w:proofErr w:type="spellStart"/>
      <w:r w:rsidRPr="009F1165">
        <w:t>Te</w:t>
      </w:r>
      <w:proofErr w:type="spellEnd"/>
      <w:r w:rsidRPr="009F1165">
        <w:t xml:space="preserve"> </w:t>
      </w:r>
      <w:proofErr w:type="spellStart"/>
      <w:r w:rsidRPr="009F1165">
        <w:t>Tair</w:t>
      </w:r>
      <w:r w:rsidRPr="009F1165">
        <w:rPr>
          <w:rFonts w:cstheme="minorHAnsi"/>
        </w:rPr>
        <w:t>ā</w:t>
      </w:r>
      <w:r w:rsidRPr="009F1165">
        <w:t>whiti</w:t>
      </w:r>
      <w:proofErr w:type="spellEnd"/>
      <w:r>
        <w:t xml:space="preserve">, </w:t>
      </w:r>
      <w:r w:rsidRPr="009F1165">
        <w:t xml:space="preserve">Wahakura </w:t>
      </w:r>
      <w:proofErr w:type="spellStart"/>
      <w:r w:rsidRPr="009F1165">
        <w:t>Aotearoa</w:t>
      </w:r>
      <w:proofErr w:type="spellEnd"/>
      <w:r>
        <w:t>.</w:t>
      </w:r>
    </w:p>
  </w:footnote>
  <w:footnote w:id="13">
    <w:p w14:paraId="3D4B1BBB" w14:textId="77777777" w:rsidR="002C1F65" w:rsidRDefault="002C1F65" w:rsidP="00547273">
      <w:pPr>
        <w:pStyle w:val="FootnoteText"/>
      </w:pPr>
      <w:r w:rsidRPr="000F2DA8">
        <w:rPr>
          <w:rStyle w:val="FootnoteReference"/>
        </w:rPr>
        <w:footnoteRef/>
      </w:r>
      <w:r>
        <w:tab/>
      </w:r>
      <w:proofErr w:type="spellStart"/>
      <w:r>
        <w:t>Tipene</w:t>
      </w:r>
      <w:proofErr w:type="spellEnd"/>
      <w:r>
        <w:t xml:space="preserve">-Leach D. 2007. The wahakura: the safe bed-sharing project. URL: </w:t>
      </w:r>
      <w:hyperlink r:id="rId6" w:history="1">
        <w:r w:rsidRPr="000F2DA8">
          <w:rPr>
            <w:rStyle w:val="Hyperlink"/>
          </w:rPr>
          <w:t>www.manageme.org.nz/assets/Uploads/W-Wahakura-book-Sudden-Infant-Death-Syndrome-instructions.pdf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2C1F65" w14:paraId="4B429165" w14:textId="77777777" w:rsidTr="005A79E5">
      <w:trPr>
        <w:cantSplit/>
      </w:trPr>
      <w:tc>
        <w:tcPr>
          <w:tcW w:w="5210" w:type="dxa"/>
        </w:tcPr>
        <w:p w14:paraId="058F33C1" w14:textId="77777777" w:rsidR="002C1F65" w:rsidRDefault="002C1F65" w:rsidP="008814E8">
          <w:pPr>
            <w:pStyle w:val="Header"/>
          </w:pPr>
          <w:r>
            <w:rPr>
              <w:noProof/>
              <w:lang w:eastAsia="en-NZ"/>
            </w:rPr>
            <w:drawing>
              <wp:inline distT="0" distB="0" distL="0" distR="0" wp14:anchorId="7C757CD4" wp14:editId="4242C2FB">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61C12F5B" w14:textId="77777777" w:rsidR="002C1F65" w:rsidRDefault="002C1F65" w:rsidP="008814E8">
          <w:pPr>
            <w:pStyle w:val="Header"/>
            <w:jc w:val="right"/>
          </w:pPr>
          <w:r>
            <w:rPr>
              <w:noProof/>
              <w:lang w:eastAsia="en-NZ"/>
            </w:rPr>
            <w:drawing>
              <wp:inline distT="0" distB="0" distL="0" distR="0" wp14:anchorId="163EFBAA" wp14:editId="0949727E">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53D0B9A4" w14:textId="77777777" w:rsidR="002C1F65" w:rsidRDefault="002C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0D934" w14:textId="77777777" w:rsidR="002C1F65" w:rsidRDefault="002C1F65"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A424" w14:textId="77777777" w:rsidR="002C1F65" w:rsidRDefault="002C1F65"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F1E2" w14:textId="77777777" w:rsidR="002C1F65" w:rsidRDefault="002C1F65"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EDD3" w14:textId="77777777" w:rsidR="002C1F65" w:rsidRDefault="002C1F65"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9172FF7"/>
    <w:multiLevelType w:val="multilevel"/>
    <w:tmpl w:val="CA944B66"/>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bullet"/>
      <w:lvlText w:val=""/>
      <w:lvlJc w:val="left"/>
      <w:pPr>
        <w:ind w:left="567" w:hanging="567"/>
      </w:pPr>
      <w:rPr>
        <w:rFonts w:ascii="Symbol" w:hAnsi="Symbol"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103C2"/>
    <w:multiLevelType w:val="multilevel"/>
    <w:tmpl w:val="93603D1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bullet"/>
      <w:lvlText w:val=""/>
      <w:lvlJc w:val="left"/>
      <w:pPr>
        <w:ind w:left="567" w:hanging="567"/>
      </w:pPr>
      <w:rPr>
        <w:rFonts w:ascii="Symbol" w:hAnsi="Symbol"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E7AC0"/>
    <w:multiLevelType w:val="hybridMultilevel"/>
    <w:tmpl w:val="74509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C1218D3"/>
    <w:multiLevelType w:val="singleLevel"/>
    <w:tmpl w:val="A1ACE0B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7"/>
  </w:num>
  <w:num w:numId="2">
    <w:abstractNumId w:val="4"/>
  </w:num>
  <w:num w:numId="3">
    <w:abstractNumId w:val="5"/>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6"/>
  </w:num>
  <w:num w:numId="12">
    <w:abstractNumId w:val="7"/>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657"/>
    <w:rsid w:val="00005BB5"/>
    <w:rsid w:val="00013273"/>
    <w:rsid w:val="000227AB"/>
    <w:rsid w:val="00025A6F"/>
    <w:rsid w:val="0002618D"/>
    <w:rsid w:val="00030B26"/>
    <w:rsid w:val="00030E84"/>
    <w:rsid w:val="00032C0A"/>
    <w:rsid w:val="000330C3"/>
    <w:rsid w:val="00035257"/>
    <w:rsid w:val="00035D68"/>
    <w:rsid w:val="00036027"/>
    <w:rsid w:val="00053921"/>
    <w:rsid w:val="00054B44"/>
    <w:rsid w:val="0006006B"/>
    <w:rsid w:val="0006228D"/>
    <w:rsid w:val="00072BD6"/>
    <w:rsid w:val="00075B78"/>
    <w:rsid w:val="000763E9"/>
    <w:rsid w:val="00082CD6"/>
    <w:rsid w:val="000842C5"/>
    <w:rsid w:val="0008437D"/>
    <w:rsid w:val="0008529A"/>
    <w:rsid w:val="00085AFE"/>
    <w:rsid w:val="00085D52"/>
    <w:rsid w:val="00094800"/>
    <w:rsid w:val="000A0158"/>
    <w:rsid w:val="000A373D"/>
    <w:rsid w:val="000A41ED"/>
    <w:rsid w:val="000B0730"/>
    <w:rsid w:val="000D19F4"/>
    <w:rsid w:val="000D58DD"/>
    <w:rsid w:val="000F2AE2"/>
    <w:rsid w:val="000F2BFF"/>
    <w:rsid w:val="000F2DA8"/>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6304B"/>
    <w:rsid w:val="0016468A"/>
    <w:rsid w:val="00166217"/>
    <w:rsid w:val="0017070E"/>
    <w:rsid w:val="0018376C"/>
    <w:rsid w:val="0018662D"/>
    <w:rsid w:val="00197427"/>
    <w:rsid w:val="001A21B4"/>
    <w:rsid w:val="001A5CF5"/>
    <w:rsid w:val="001B39D2"/>
    <w:rsid w:val="001B4BF8"/>
    <w:rsid w:val="001B7B14"/>
    <w:rsid w:val="001C4326"/>
    <w:rsid w:val="001C665E"/>
    <w:rsid w:val="001D3541"/>
    <w:rsid w:val="001D3E4E"/>
    <w:rsid w:val="001E254A"/>
    <w:rsid w:val="001E29A9"/>
    <w:rsid w:val="001E7386"/>
    <w:rsid w:val="001F45A7"/>
    <w:rsid w:val="0020027C"/>
    <w:rsid w:val="00201A01"/>
    <w:rsid w:val="0020754B"/>
    <w:rsid w:val="002104D3"/>
    <w:rsid w:val="00213A33"/>
    <w:rsid w:val="0021763B"/>
    <w:rsid w:val="00246DB1"/>
    <w:rsid w:val="002476B5"/>
    <w:rsid w:val="0025073E"/>
    <w:rsid w:val="002520CC"/>
    <w:rsid w:val="00253ECF"/>
    <w:rsid w:val="00254044"/>
    <w:rsid w:val="002546A1"/>
    <w:rsid w:val="002575E8"/>
    <w:rsid w:val="002628F4"/>
    <w:rsid w:val="00275D08"/>
    <w:rsid w:val="002839AF"/>
    <w:rsid w:val="002858E3"/>
    <w:rsid w:val="00287A0A"/>
    <w:rsid w:val="0029190A"/>
    <w:rsid w:val="00292C5A"/>
    <w:rsid w:val="00295241"/>
    <w:rsid w:val="002A30DF"/>
    <w:rsid w:val="002A4DFC"/>
    <w:rsid w:val="002B047D"/>
    <w:rsid w:val="002B732B"/>
    <w:rsid w:val="002B76A7"/>
    <w:rsid w:val="002B7BEC"/>
    <w:rsid w:val="002C1F65"/>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41161"/>
    <w:rsid w:val="00343365"/>
    <w:rsid w:val="003445F4"/>
    <w:rsid w:val="00345330"/>
    <w:rsid w:val="00353501"/>
    <w:rsid w:val="00353734"/>
    <w:rsid w:val="003558A4"/>
    <w:rsid w:val="003606F8"/>
    <w:rsid w:val="003648EF"/>
    <w:rsid w:val="003673E6"/>
    <w:rsid w:val="00377264"/>
    <w:rsid w:val="003779D2"/>
    <w:rsid w:val="00385E38"/>
    <w:rsid w:val="003A26A5"/>
    <w:rsid w:val="003A3761"/>
    <w:rsid w:val="003A512D"/>
    <w:rsid w:val="003A5FEA"/>
    <w:rsid w:val="003A710B"/>
    <w:rsid w:val="003B1D10"/>
    <w:rsid w:val="003C47AD"/>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5CC9"/>
    <w:rsid w:val="00457559"/>
    <w:rsid w:val="00460826"/>
    <w:rsid w:val="00460B1E"/>
    <w:rsid w:val="00460EA7"/>
    <w:rsid w:val="0046195B"/>
    <w:rsid w:val="0046362D"/>
    <w:rsid w:val="0046596D"/>
    <w:rsid w:val="004674CD"/>
    <w:rsid w:val="00487C04"/>
    <w:rsid w:val="004907E1"/>
    <w:rsid w:val="00494C8E"/>
    <w:rsid w:val="00495660"/>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26D6B"/>
    <w:rsid w:val="00530947"/>
    <w:rsid w:val="0053199F"/>
    <w:rsid w:val="00531E12"/>
    <w:rsid w:val="00533B90"/>
    <w:rsid w:val="005410F8"/>
    <w:rsid w:val="005448EC"/>
    <w:rsid w:val="00545963"/>
    <w:rsid w:val="005468F2"/>
    <w:rsid w:val="00547273"/>
    <w:rsid w:val="00550256"/>
    <w:rsid w:val="00553165"/>
    <w:rsid w:val="00553958"/>
    <w:rsid w:val="00556BB7"/>
    <w:rsid w:val="0055763D"/>
    <w:rsid w:val="00561516"/>
    <w:rsid w:val="005621F2"/>
    <w:rsid w:val="00567B58"/>
    <w:rsid w:val="00571223"/>
    <w:rsid w:val="005763E0"/>
    <w:rsid w:val="00581136"/>
    <w:rsid w:val="00581EB8"/>
    <w:rsid w:val="0058437F"/>
    <w:rsid w:val="005A27CA"/>
    <w:rsid w:val="005A43BD"/>
    <w:rsid w:val="005A79E5"/>
    <w:rsid w:val="005A7C3C"/>
    <w:rsid w:val="005C45B1"/>
    <w:rsid w:val="005D034C"/>
    <w:rsid w:val="005E226E"/>
    <w:rsid w:val="005E2636"/>
    <w:rsid w:val="006015D7"/>
    <w:rsid w:val="00601B21"/>
    <w:rsid w:val="006041F0"/>
    <w:rsid w:val="00605C6D"/>
    <w:rsid w:val="006120CA"/>
    <w:rsid w:val="006170D3"/>
    <w:rsid w:val="00624174"/>
    <w:rsid w:val="00626CF8"/>
    <w:rsid w:val="006314AF"/>
    <w:rsid w:val="00634003"/>
    <w:rsid w:val="00634ED8"/>
    <w:rsid w:val="00636D7D"/>
    <w:rsid w:val="00637408"/>
    <w:rsid w:val="00642868"/>
    <w:rsid w:val="00645F05"/>
    <w:rsid w:val="00647AFE"/>
    <w:rsid w:val="00650417"/>
    <w:rsid w:val="006512BC"/>
    <w:rsid w:val="006514A9"/>
    <w:rsid w:val="00653A5A"/>
    <w:rsid w:val="006554AC"/>
    <w:rsid w:val="006575F4"/>
    <w:rsid w:val="006579E6"/>
    <w:rsid w:val="00660682"/>
    <w:rsid w:val="00660F74"/>
    <w:rsid w:val="00663EDC"/>
    <w:rsid w:val="00671078"/>
    <w:rsid w:val="00672785"/>
    <w:rsid w:val="006758CA"/>
    <w:rsid w:val="00680A04"/>
    <w:rsid w:val="00686D80"/>
    <w:rsid w:val="00694895"/>
    <w:rsid w:val="00697089"/>
    <w:rsid w:val="00697E2E"/>
    <w:rsid w:val="006A25A2"/>
    <w:rsid w:val="006A3B87"/>
    <w:rsid w:val="006B0A88"/>
    <w:rsid w:val="006B0E73"/>
    <w:rsid w:val="006B1E3D"/>
    <w:rsid w:val="006B4A4D"/>
    <w:rsid w:val="006B5695"/>
    <w:rsid w:val="006B7B2E"/>
    <w:rsid w:val="006C78EB"/>
    <w:rsid w:val="006D1660"/>
    <w:rsid w:val="006D63E5"/>
    <w:rsid w:val="006E1753"/>
    <w:rsid w:val="006E3911"/>
    <w:rsid w:val="006F1B67"/>
    <w:rsid w:val="006F1EEF"/>
    <w:rsid w:val="006F4D9C"/>
    <w:rsid w:val="0070091D"/>
    <w:rsid w:val="00702854"/>
    <w:rsid w:val="00705941"/>
    <w:rsid w:val="0071741C"/>
    <w:rsid w:val="00742B90"/>
    <w:rsid w:val="00742F37"/>
    <w:rsid w:val="0074434D"/>
    <w:rsid w:val="00752661"/>
    <w:rsid w:val="007570C4"/>
    <w:rsid w:val="007605B8"/>
    <w:rsid w:val="00771B1E"/>
    <w:rsid w:val="00773C95"/>
    <w:rsid w:val="0078171E"/>
    <w:rsid w:val="0078658E"/>
    <w:rsid w:val="007920E2"/>
    <w:rsid w:val="0079566E"/>
    <w:rsid w:val="00795B34"/>
    <w:rsid w:val="007A067F"/>
    <w:rsid w:val="007B1770"/>
    <w:rsid w:val="007B2408"/>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4EBA"/>
    <w:rsid w:val="008052E1"/>
    <w:rsid w:val="0080560C"/>
    <w:rsid w:val="00822F2C"/>
    <w:rsid w:val="00823DEE"/>
    <w:rsid w:val="008305E8"/>
    <w:rsid w:val="00831E6D"/>
    <w:rsid w:val="00836165"/>
    <w:rsid w:val="0084640C"/>
    <w:rsid w:val="00856088"/>
    <w:rsid w:val="00860826"/>
    <w:rsid w:val="00860E21"/>
    <w:rsid w:val="00863117"/>
    <w:rsid w:val="0086388B"/>
    <w:rsid w:val="008642E5"/>
    <w:rsid w:val="00864488"/>
    <w:rsid w:val="00867F8D"/>
    <w:rsid w:val="00870A36"/>
    <w:rsid w:val="00872D93"/>
    <w:rsid w:val="00880470"/>
    <w:rsid w:val="00880D94"/>
    <w:rsid w:val="008814E8"/>
    <w:rsid w:val="00882DC6"/>
    <w:rsid w:val="00886F64"/>
    <w:rsid w:val="008924DE"/>
    <w:rsid w:val="008A3755"/>
    <w:rsid w:val="008B19DC"/>
    <w:rsid w:val="008B264F"/>
    <w:rsid w:val="008B6F83"/>
    <w:rsid w:val="008B7FD8"/>
    <w:rsid w:val="008C2973"/>
    <w:rsid w:val="008C6324"/>
    <w:rsid w:val="008C64C4"/>
    <w:rsid w:val="008D2CDD"/>
    <w:rsid w:val="008D74D5"/>
    <w:rsid w:val="008D76A9"/>
    <w:rsid w:val="008D7C9F"/>
    <w:rsid w:val="008E0ED1"/>
    <w:rsid w:val="008E31BC"/>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589"/>
    <w:rsid w:val="00937408"/>
    <w:rsid w:val="0094194E"/>
    <w:rsid w:val="009427FA"/>
    <w:rsid w:val="00944647"/>
    <w:rsid w:val="0095565C"/>
    <w:rsid w:val="00964AB6"/>
    <w:rsid w:val="00966F9A"/>
    <w:rsid w:val="00977B8A"/>
    <w:rsid w:val="00982971"/>
    <w:rsid w:val="009845AD"/>
    <w:rsid w:val="00984835"/>
    <w:rsid w:val="00991B9D"/>
    <w:rsid w:val="009933EF"/>
    <w:rsid w:val="00995BA0"/>
    <w:rsid w:val="009A418B"/>
    <w:rsid w:val="009A426F"/>
    <w:rsid w:val="009A42D5"/>
    <w:rsid w:val="009A4473"/>
    <w:rsid w:val="009B05C9"/>
    <w:rsid w:val="009B286C"/>
    <w:rsid w:val="009C151C"/>
    <w:rsid w:val="009C440A"/>
    <w:rsid w:val="009C5463"/>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4CAD"/>
    <w:rsid w:val="00A41002"/>
    <w:rsid w:val="00A4201A"/>
    <w:rsid w:val="00A43133"/>
    <w:rsid w:val="00A45911"/>
    <w:rsid w:val="00A5465D"/>
    <w:rsid w:val="00A553CE"/>
    <w:rsid w:val="00A5677A"/>
    <w:rsid w:val="00A56DCC"/>
    <w:rsid w:val="00A625E8"/>
    <w:rsid w:val="00A63DFF"/>
    <w:rsid w:val="00A64496"/>
    <w:rsid w:val="00A6490D"/>
    <w:rsid w:val="00A67033"/>
    <w:rsid w:val="00A7415D"/>
    <w:rsid w:val="00A80363"/>
    <w:rsid w:val="00A80939"/>
    <w:rsid w:val="00A83E9D"/>
    <w:rsid w:val="00A8765D"/>
    <w:rsid w:val="00A87C05"/>
    <w:rsid w:val="00A9169D"/>
    <w:rsid w:val="00A92B09"/>
    <w:rsid w:val="00A93598"/>
    <w:rsid w:val="00AA240C"/>
    <w:rsid w:val="00AC101C"/>
    <w:rsid w:val="00AD4CF1"/>
    <w:rsid w:val="00AD5988"/>
    <w:rsid w:val="00AD6293"/>
    <w:rsid w:val="00AE16AF"/>
    <w:rsid w:val="00AF7800"/>
    <w:rsid w:val="00B00CF5"/>
    <w:rsid w:val="00B02DAB"/>
    <w:rsid w:val="00B072E0"/>
    <w:rsid w:val="00B1007E"/>
    <w:rsid w:val="00B1225A"/>
    <w:rsid w:val="00B253F6"/>
    <w:rsid w:val="00B26675"/>
    <w:rsid w:val="00B305DB"/>
    <w:rsid w:val="00B332F8"/>
    <w:rsid w:val="00B3492B"/>
    <w:rsid w:val="00B4646F"/>
    <w:rsid w:val="00B55C7D"/>
    <w:rsid w:val="00B57FD0"/>
    <w:rsid w:val="00B63038"/>
    <w:rsid w:val="00B64BD8"/>
    <w:rsid w:val="00B701D1"/>
    <w:rsid w:val="00B72642"/>
    <w:rsid w:val="00B73AF2"/>
    <w:rsid w:val="00B7551A"/>
    <w:rsid w:val="00B773F1"/>
    <w:rsid w:val="00B85244"/>
    <w:rsid w:val="00B86AB1"/>
    <w:rsid w:val="00B87726"/>
    <w:rsid w:val="00B91B22"/>
    <w:rsid w:val="00BA7EBA"/>
    <w:rsid w:val="00BB2A06"/>
    <w:rsid w:val="00BB2CBB"/>
    <w:rsid w:val="00BB4198"/>
    <w:rsid w:val="00BB6C89"/>
    <w:rsid w:val="00BC03EE"/>
    <w:rsid w:val="00BC59F1"/>
    <w:rsid w:val="00BD488E"/>
    <w:rsid w:val="00BF163B"/>
    <w:rsid w:val="00BF3ADF"/>
    <w:rsid w:val="00BF3DE1"/>
    <w:rsid w:val="00BF4843"/>
    <w:rsid w:val="00BF5205"/>
    <w:rsid w:val="00BF5D4C"/>
    <w:rsid w:val="00C05132"/>
    <w:rsid w:val="00C12508"/>
    <w:rsid w:val="00C23728"/>
    <w:rsid w:val="00C3026C"/>
    <w:rsid w:val="00C313A9"/>
    <w:rsid w:val="00C347C8"/>
    <w:rsid w:val="00C441CF"/>
    <w:rsid w:val="00C4469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D55D4"/>
    <w:rsid w:val="00CE13A3"/>
    <w:rsid w:val="00CE36BC"/>
    <w:rsid w:val="00CF1747"/>
    <w:rsid w:val="00CF60ED"/>
    <w:rsid w:val="00CF62B7"/>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73CB0"/>
    <w:rsid w:val="00D81462"/>
    <w:rsid w:val="00D82431"/>
    <w:rsid w:val="00D82F26"/>
    <w:rsid w:val="00D863D0"/>
    <w:rsid w:val="00D86B00"/>
    <w:rsid w:val="00D86FB9"/>
    <w:rsid w:val="00D87C87"/>
    <w:rsid w:val="00D90BB4"/>
    <w:rsid w:val="00D90E07"/>
    <w:rsid w:val="00D932C2"/>
    <w:rsid w:val="00DA0232"/>
    <w:rsid w:val="00DB259D"/>
    <w:rsid w:val="00DB39CF"/>
    <w:rsid w:val="00DB7256"/>
    <w:rsid w:val="00DC0401"/>
    <w:rsid w:val="00DC20BD"/>
    <w:rsid w:val="00DD0BCD"/>
    <w:rsid w:val="00DD447A"/>
    <w:rsid w:val="00DE22BB"/>
    <w:rsid w:val="00DE256D"/>
    <w:rsid w:val="00DE3B20"/>
    <w:rsid w:val="00DE6C94"/>
    <w:rsid w:val="00DE6FD7"/>
    <w:rsid w:val="00DF0C7C"/>
    <w:rsid w:val="00E0241D"/>
    <w:rsid w:val="00E10B18"/>
    <w:rsid w:val="00E23271"/>
    <w:rsid w:val="00E24F80"/>
    <w:rsid w:val="00E259F3"/>
    <w:rsid w:val="00E30985"/>
    <w:rsid w:val="00E33238"/>
    <w:rsid w:val="00E33934"/>
    <w:rsid w:val="00E37090"/>
    <w:rsid w:val="00E376B7"/>
    <w:rsid w:val="00E42F5D"/>
    <w:rsid w:val="00E4486C"/>
    <w:rsid w:val="00E460B6"/>
    <w:rsid w:val="00E511D5"/>
    <w:rsid w:val="00E53A9F"/>
    <w:rsid w:val="00E60249"/>
    <w:rsid w:val="00E65269"/>
    <w:rsid w:val="00E76D66"/>
    <w:rsid w:val="00E81279"/>
    <w:rsid w:val="00EA796A"/>
    <w:rsid w:val="00EB1856"/>
    <w:rsid w:val="00EB2D0B"/>
    <w:rsid w:val="00EC50CE"/>
    <w:rsid w:val="00EC5B34"/>
    <w:rsid w:val="00ED021E"/>
    <w:rsid w:val="00ED323C"/>
    <w:rsid w:val="00EE2D5C"/>
    <w:rsid w:val="00EE432A"/>
    <w:rsid w:val="00EE4ADE"/>
    <w:rsid w:val="00EE4DE8"/>
    <w:rsid w:val="00EE5CB7"/>
    <w:rsid w:val="00F000BF"/>
    <w:rsid w:val="00F024FE"/>
    <w:rsid w:val="00F03E24"/>
    <w:rsid w:val="00F05AD4"/>
    <w:rsid w:val="00F10EB6"/>
    <w:rsid w:val="00F13F07"/>
    <w:rsid w:val="00F140B2"/>
    <w:rsid w:val="00F25970"/>
    <w:rsid w:val="00F311A9"/>
    <w:rsid w:val="00F3369B"/>
    <w:rsid w:val="00F37381"/>
    <w:rsid w:val="00F5180D"/>
    <w:rsid w:val="00F60387"/>
    <w:rsid w:val="00F63781"/>
    <w:rsid w:val="00F67496"/>
    <w:rsid w:val="00F7421E"/>
    <w:rsid w:val="00F801BA"/>
    <w:rsid w:val="00F807AD"/>
    <w:rsid w:val="00F9366A"/>
    <w:rsid w:val="00F946C9"/>
    <w:rsid w:val="00FA0EA5"/>
    <w:rsid w:val="00FA68C7"/>
    <w:rsid w:val="00FA74EE"/>
    <w:rsid w:val="00FC3711"/>
    <w:rsid w:val="00FC46E7"/>
    <w:rsid w:val="00FC5D25"/>
    <w:rsid w:val="00FD0D7E"/>
    <w:rsid w:val="00FD16C4"/>
    <w:rsid w:val="00FD362F"/>
    <w:rsid w:val="00FD4FFB"/>
    <w:rsid w:val="00FE313D"/>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2E97F3"/>
  <w15:docId w15:val="{665874B8-A8E8-4DA2-80DC-D9C99368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BB6C89"/>
    <w:pPr>
      <w:pageBreakBefore/>
      <w:spacing w:after="360"/>
      <w:outlineLvl w:val="0"/>
    </w:pPr>
    <w:rPr>
      <w:b/>
      <w:color w:val="23305D"/>
      <w:spacing w:val="-10"/>
      <w:sz w:val="64"/>
    </w:rPr>
  </w:style>
  <w:style w:type="paragraph" w:styleId="Heading2">
    <w:name w:val="heading 2"/>
    <w:basedOn w:val="Normal"/>
    <w:next w:val="Normal"/>
    <w:link w:val="Heading2Char"/>
    <w:uiPriority w:val="9"/>
    <w:qFormat/>
    <w:rsid w:val="00BB6C89"/>
    <w:pPr>
      <w:keepNext/>
      <w:spacing w:before="480" w:after="180"/>
      <w:outlineLvl w:val="1"/>
    </w:pPr>
    <w:rPr>
      <w:b/>
      <w:color w:val="0A6AB4"/>
      <w:spacing w:val="-5"/>
      <w:sz w:val="40"/>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882DC6"/>
    <w:pPr>
      <w:tabs>
        <w:tab w:val="right" w:pos="8080"/>
      </w:tabs>
      <w:spacing w:before="120"/>
      <w:ind w:left="992" w:right="567" w:hanging="992"/>
    </w:pPr>
  </w:style>
  <w:style w:type="paragraph" w:customStyle="1" w:styleId="Bullet">
    <w:name w:val="Bullet"/>
    <w:basedOn w:val="Normal"/>
    <w:link w:val="BulletChar"/>
    <w:qFormat/>
    <w:rsid w:val="005C45B1"/>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BF163B"/>
    <w:pPr>
      <w:spacing w:before="60" w:after="60"/>
    </w:pPr>
    <w:rPr>
      <w:sz w:val="18"/>
    </w:rPr>
  </w:style>
  <w:style w:type="paragraph" w:customStyle="1" w:styleId="TableBullet">
    <w:name w:val="TableBullet"/>
    <w:basedOn w:val="TableText"/>
    <w:qFormat/>
    <w:rsid w:val="00BB6C89"/>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BB6C89"/>
    <w:pPr>
      <w:numPr>
        <w:numId w:val="3"/>
      </w:numPr>
      <w:ind w:left="568" w:hanging="284"/>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BB6C89"/>
    <w:rPr>
      <w:rFonts w:ascii="Segoe UI" w:hAnsi="Segoe UI"/>
      <w:b/>
      <w:color w:val="23305D"/>
      <w:spacing w:val="-10"/>
      <w:sz w:val="64"/>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BB6C89"/>
    <w:rPr>
      <w:rFonts w:ascii="Segoe UI" w:hAnsi="Segoe UI"/>
      <w:b/>
      <w:color w:val="0A6AB4"/>
      <w:spacing w:val="-5"/>
      <w:sz w:val="40"/>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3C47AD"/>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5C45B1"/>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paragraph" w:styleId="BalloonText">
    <w:name w:val="Balloon Text"/>
    <w:basedOn w:val="Normal"/>
    <w:link w:val="BalloonTextChar"/>
    <w:uiPriority w:val="99"/>
    <w:semiHidden/>
    <w:unhideWhenUsed/>
    <w:rsid w:val="000330C3"/>
    <w:rPr>
      <w:rFonts w:ascii="Tahoma" w:hAnsi="Tahoma" w:cs="Tahoma"/>
      <w:sz w:val="16"/>
      <w:szCs w:val="16"/>
    </w:rPr>
  </w:style>
  <w:style w:type="character" w:customStyle="1" w:styleId="BalloonTextChar">
    <w:name w:val="Balloon Text Char"/>
    <w:basedOn w:val="DefaultParagraphFont"/>
    <w:link w:val="BalloonText"/>
    <w:uiPriority w:val="99"/>
    <w:semiHidden/>
    <w:rsid w:val="000330C3"/>
    <w:rPr>
      <w:rFonts w:ascii="Tahoma" w:hAnsi="Tahoma" w:cs="Tahoma"/>
      <w:sz w:val="16"/>
      <w:szCs w:val="16"/>
      <w:lang w:eastAsia="en-GB"/>
    </w:rPr>
  </w:style>
  <w:style w:type="character" w:styleId="CommentReference">
    <w:name w:val="annotation reference"/>
    <w:basedOn w:val="DefaultParagraphFont"/>
    <w:uiPriority w:val="99"/>
    <w:semiHidden/>
    <w:unhideWhenUsed/>
    <w:rsid w:val="002A30DF"/>
    <w:rPr>
      <w:sz w:val="16"/>
      <w:szCs w:val="16"/>
    </w:rPr>
  </w:style>
  <w:style w:type="paragraph" w:styleId="CommentText">
    <w:name w:val="annotation text"/>
    <w:basedOn w:val="Normal"/>
    <w:link w:val="CommentTextChar"/>
    <w:uiPriority w:val="99"/>
    <w:semiHidden/>
    <w:unhideWhenUsed/>
    <w:rsid w:val="002A30DF"/>
    <w:rPr>
      <w:sz w:val="20"/>
    </w:rPr>
  </w:style>
  <w:style w:type="character" w:customStyle="1" w:styleId="CommentTextChar">
    <w:name w:val="Comment Text Char"/>
    <w:basedOn w:val="DefaultParagraphFont"/>
    <w:link w:val="CommentText"/>
    <w:uiPriority w:val="99"/>
    <w:semiHidden/>
    <w:rsid w:val="002A30DF"/>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2A30DF"/>
    <w:rPr>
      <w:b/>
      <w:bCs/>
    </w:rPr>
  </w:style>
  <w:style w:type="character" w:customStyle="1" w:styleId="CommentSubjectChar">
    <w:name w:val="Comment Subject Char"/>
    <w:basedOn w:val="CommentTextChar"/>
    <w:link w:val="CommentSubject"/>
    <w:uiPriority w:val="99"/>
    <w:semiHidden/>
    <w:rsid w:val="002A30DF"/>
    <w:rPr>
      <w:rFonts w:ascii="Segoe UI" w:hAnsi="Segoe UI"/>
      <w:b/>
      <w:bCs/>
      <w:lang w:eastAsia="en-GB"/>
    </w:rPr>
  </w:style>
  <w:style w:type="paragraph" w:styleId="ListParagraph">
    <w:name w:val="List Paragraph"/>
    <w:basedOn w:val="Normal"/>
    <w:uiPriority w:val="34"/>
    <w:qFormat/>
    <w:rsid w:val="00495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www.comcom.govt.nz/"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yperlink" Target="http://sudinationalcoordination.co.nz/safe-sleep-coordinators" TargetMode="External"/><Relationship Id="rId33" Type="http://schemas.openxmlformats.org/officeDocument/2006/relationships/hyperlink" Target="https://shop.standards.govt.nz/default.htm?action=touchstoneRef&amp;mod=catalog&amp;pid=2195:2010(AS|NZ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yperlink" Target="http://www.changeforourchildren.nz/safe_start_programme/baby_essentials_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8.xml"/><Relationship Id="rId32" Type="http://schemas.openxmlformats.org/officeDocument/2006/relationships/hyperlink" Target="https://shop.standards.govt.nz/catalog/2172%3A2013%28AS%7CNZS%29/view" TargetMode="Externa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7.xml"/><Relationship Id="rId28" Type="http://schemas.openxmlformats.org/officeDocument/2006/relationships/hyperlink" Target="http://www.changeforourchildren.nz/pepi_pod_programme/windows_upgrade" TargetMode="Externa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standards.co.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8.jpeg"/><Relationship Id="rId30" Type="http://schemas.openxmlformats.org/officeDocument/2006/relationships/hyperlink" Target="http://www.changeforourchildren.nz/safe_start_programme/tool_kit" TargetMode="External"/><Relationship Id="rId35" Type="http://schemas.openxmlformats.org/officeDocument/2006/relationships/image" Target="media/image9.jpeg"/></Relationships>
</file>

<file path=word/_rels/footnotes.xml.rels><?xml version="1.0" encoding="UTF-8" standalone="yes"?>
<Relationships xmlns="http://schemas.openxmlformats.org/package/2006/relationships"><Relationship Id="rId3" Type="http://schemas.openxmlformats.org/officeDocument/2006/relationships/hyperlink" Target="http://www.changeforourchildren.nz/safe_start_programme/tool_kit" TargetMode="External"/><Relationship Id="rId2" Type="http://schemas.openxmlformats.org/officeDocument/2006/relationships/hyperlink" Target="http://www.changeforourchildren.nz/safe_start_programme/baby_essentials_online" TargetMode="External"/><Relationship Id="rId1" Type="http://schemas.openxmlformats.org/officeDocument/2006/relationships/hyperlink" Target="http://sudinationalcoordination.co.nz/digital-resources" TargetMode="External"/><Relationship Id="rId6" Type="http://schemas.openxmlformats.org/officeDocument/2006/relationships/hyperlink" Target="http://www.manageme.org.nz/assets/Uploads/W-Wahakura-book-Sudden-Infant-Death-Syndrome-instructions.pdf" TargetMode="External"/><Relationship Id="rId5" Type="http://schemas.openxmlformats.org/officeDocument/2006/relationships/hyperlink" Target="http://www.manageme.org.nz/assets/Uploads/W-Wahakura-book-Sudden-Infant-Death-Syndrome-instructions.pdf" TargetMode="External"/><Relationship Id="rId4" Type="http://schemas.openxmlformats.org/officeDocument/2006/relationships/hyperlink" Target="https://www.consumerreports.org/cro/bassinets/buying-guide/index.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8B6E-B0D5-4D06-B081-17489A20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27</Pages>
  <Words>5797</Words>
  <Characters>31979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National SUDI Prevention: National Safe Sleep Device Quality Specification Guidelines</vt:lpstr>
    </vt:vector>
  </TitlesOfParts>
  <Company>Microsoft</Company>
  <LinksUpToDate>false</LinksUpToDate>
  <CharactersWithSpaces>37701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SUDI Prevention: National Safe Sleep Device Quality Specification Guidelines</dc:title>
  <dc:creator>Ministry of Health</dc:creator>
  <cp:lastModifiedBy>Berni Marwick</cp:lastModifiedBy>
  <cp:revision>3</cp:revision>
  <cp:lastPrinted>2015-11-17T05:02:00Z</cp:lastPrinted>
  <dcterms:created xsi:type="dcterms:W3CDTF">2019-05-02T03:41:00Z</dcterms:created>
  <dcterms:modified xsi:type="dcterms:W3CDTF">2019-05-02T03:42:00Z</dcterms:modified>
</cp:coreProperties>
</file>