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132" w:rsidRDefault="008822E4" w:rsidP="00D444A1">
      <w:pPr>
        <w:pStyle w:val="Title"/>
      </w:pPr>
      <w:r>
        <w:t>Household Food Insecurity Among Children</w:t>
      </w:r>
      <w:r w:rsidR="00D444A1">
        <w:t xml:space="preserve">: </w:t>
      </w:r>
      <w:r>
        <w:t xml:space="preserve">New </w:t>
      </w:r>
      <w:r w:rsidRPr="00D444A1">
        <w:rPr>
          <w:rStyle w:val="TitleChar"/>
        </w:rPr>
        <w:t>Z</w:t>
      </w:r>
      <w:r>
        <w:t>ealand Health Survey</w:t>
      </w:r>
    </w:p>
    <w:p w:rsidR="00531E12" w:rsidRPr="00531E12" w:rsidRDefault="008822E4" w:rsidP="00D444A1">
      <w:pPr>
        <w:pStyle w:val="Subhead"/>
      </w:pPr>
      <w:r>
        <w:t>2019</w:t>
      </w:r>
    </w:p>
    <w:p w:rsidR="00C05132" w:rsidRDefault="008822E4" w:rsidP="008822E4">
      <w:pPr>
        <w:spacing w:before="600"/>
      </w:pPr>
      <w:r>
        <w:rPr>
          <w:noProof/>
          <w:lang w:eastAsia="en-NZ"/>
        </w:rPr>
        <w:drawing>
          <wp:inline distT="0" distB="0" distL="0" distR="0" wp14:anchorId="44B22DCA" wp14:editId="029371EF">
            <wp:extent cx="5043612" cy="1325879"/>
            <wp:effectExtent l="0" t="0" r="5080" b="825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3612" cy="1325879"/>
                    </a:xfrm>
                    <a:prstGeom prst="rect">
                      <a:avLst/>
                    </a:prstGeom>
                  </pic:spPr>
                </pic:pic>
              </a:graphicData>
            </a:graphic>
          </wp:inline>
        </w:drawing>
      </w:r>
    </w:p>
    <w:p w:rsidR="00142954" w:rsidRPr="00142954" w:rsidRDefault="00142954" w:rsidP="00142954">
      <w:pPr>
        <w:sectPr w:rsidR="00142954" w:rsidRPr="00142954" w:rsidSect="00925892">
          <w:headerReference w:type="default" r:id="rId9"/>
          <w:footerReference w:type="default" r:id="rId10"/>
          <w:pgSz w:w="11907" w:h="16834" w:code="9"/>
          <w:pgMar w:top="5670" w:right="1134" w:bottom="1134" w:left="1134" w:header="567" w:footer="851" w:gutter="0"/>
          <w:pgNumType w:start="1"/>
          <w:cols w:space="720"/>
        </w:sectPr>
      </w:pPr>
    </w:p>
    <w:p w:rsidR="002B7BEC" w:rsidRPr="00A63DFF" w:rsidRDefault="002B7BEC" w:rsidP="002B7BEC">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rsidR="008822E4" w:rsidRPr="008822E4" w:rsidRDefault="008822E4" w:rsidP="008822E4">
      <w:pPr>
        <w:spacing w:before="120"/>
        <w:rPr>
          <w:rFonts w:cs="Segoe UI"/>
          <w:sz w:val="20"/>
        </w:rPr>
      </w:pPr>
      <w:r w:rsidRPr="008822E4">
        <w:rPr>
          <w:rFonts w:cs="Segoe UI"/>
          <w:sz w:val="20"/>
        </w:rPr>
        <w:t>The New Zealand Health Survey relies on the support and enthusiasm of many individuals, including the survey participants and the surveyors who worked so diligently to collect the data. Thank you to all.</w:t>
      </w:r>
    </w:p>
    <w:p w:rsidR="008822E4" w:rsidRPr="008822E4" w:rsidRDefault="008822E4" w:rsidP="008822E4">
      <w:pPr>
        <w:spacing w:before="120"/>
        <w:rPr>
          <w:rFonts w:cs="Segoe UI"/>
          <w:sz w:val="20"/>
        </w:rPr>
      </w:pPr>
      <w:r w:rsidRPr="008822E4">
        <w:rPr>
          <w:rFonts w:cs="Segoe UI"/>
          <w:sz w:val="20"/>
        </w:rPr>
        <w:t>The New Zealand Health Survey is developed by the Health Survey team in the Health and Disability Intelligence Group, Ministry of Health. It is conducted by CBG Health Research Ltd.</w:t>
      </w:r>
    </w:p>
    <w:p w:rsidR="002B7BEC" w:rsidRPr="00C05132" w:rsidRDefault="008822E4" w:rsidP="008822E4">
      <w:pPr>
        <w:spacing w:before="120"/>
        <w:rPr>
          <w:rFonts w:cs="Segoe UI"/>
          <w:sz w:val="20"/>
        </w:rPr>
      </w:pPr>
      <w:r w:rsidRPr="008822E4">
        <w:rPr>
          <w:rFonts w:cs="Segoe UI"/>
          <w:sz w:val="20"/>
        </w:rPr>
        <w:t>This report was written by Linda Pannekoek (Ministry of Health), with input from David Rea (Ministry of Social Development). Analyses were undertaken by Linda Pannekoek and James Greenwell. Thank you to all who provided input and review</w:t>
      </w:r>
      <w:r>
        <w:rPr>
          <w:rFonts w:cs="Segoe UI"/>
          <w:sz w:val="20"/>
        </w:rPr>
        <w:t>.</w:t>
      </w:r>
    </w:p>
    <w:p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8822E4">
        <w:rPr>
          <w:rFonts w:cs="Segoe UI"/>
        </w:rPr>
        <w:t>2019</w:t>
      </w:r>
      <w:r w:rsidR="00442C1C" w:rsidRPr="00C05132">
        <w:rPr>
          <w:rFonts w:cs="Segoe UI"/>
        </w:rPr>
        <w:t xml:space="preserve">. </w:t>
      </w:r>
      <w:r w:rsidR="008822E4">
        <w:rPr>
          <w:rFonts w:cs="Segoe UI"/>
          <w:i/>
        </w:rPr>
        <w:t>Household Food Insecurity Among Children</w:t>
      </w:r>
      <w:r w:rsidR="00BB0702">
        <w:rPr>
          <w:rFonts w:cs="Segoe UI"/>
          <w:i/>
        </w:rPr>
        <w:t>:</w:t>
      </w:r>
      <w:r w:rsidR="008822E4">
        <w:rPr>
          <w:rFonts w:cs="Segoe UI"/>
          <w:i/>
        </w:rPr>
        <w:t xml:space="preserve"> New</w:t>
      </w:r>
      <w:r w:rsidR="00BB0702">
        <w:rPr>
          <w:rFonts w:cs="Segoe UI"/>
          <w:i/>
        </w:rPr>
        <w:t> </w:t>
      </w:r>
      <w:r w:rsidR="008822E4">
        <w:rPr>
          <w:rFonts w:cs="Segoe UI"/>
          <w:i/>
        </w:rPr>
        <w:t>Zealand</w:t>
      </w:r>
      <w:r w:rsidR="00BB0702">
        <w:rPr>
          <w:rFonts w:cs="Segoe UI"/>
          <w:i/>
        </w:rPr>
        <w:t xml:space="preserve"> Health Survey</w:t>
      </w:r>
      <w:r w:rsidR="00442C1C" w:rsidRPr="00C05132">
        <w:rPr>
          <w:rFonts w:cs="Segoe UI"/>
        </w:rPr>
        <w:t>. Wellington: Ministry of Health.</w:t>
      </w:r>
    </w:p>
    <w:p w:rsidR="00C86248" w:rsidRDefault="00C86248">
      <w:pPr>
        <w:pStyle w:val="Imprint"/>
      </w:pPr>
      <w:r>
        <w:t xml:space="preserve">Published in </w:t>
      </w:r>
      <w:r w:rsidR="00873BEC">
        <w:t>June</w:t>
      </w:r>
      <w:r w:rsidR="008822E4">
        <w:t xml:space="preserve"> 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8822E4">
        <w:t>978-1-98-856832-4</w:t>
      </w:r>
      <w:r w:rsidR="002B7BEC">
        <w:t xml:space="preserve"> </w:t>
      </w:r>
      <w:r>
        <w:t>(</w:t>
      </w:r>
      <w:r w:rsidR="00442C1C">
        <w:t>online</w:t>
      </w:r>
      <w:r>
        <w:t>)</w:t>
      </w:r>
      <w:r w:rsidR="00082CD6">
        <w:br/>
      </w:r>
      <w:r w:rsidR="00082CD6" w:rsidRPr="009C0F2D">
        <w:t xml:space="preserve">HP </w:t>
      </w:r>
      <w:r w:rsidR="008822E4">
        <w:t>6996</w:t>
      </w:r>
      <w:bookmarkStart w:id="0" w:name="_GoBack"/>
      <w:bookmarkEnd w:id="0"/>
    </w:p>
    <w:p w:rsidR="00C86248" w:rsidRDefault="008C64C4" w:rsidP="00A63DFF">
      <w:r>
        <w:rPr>
          <w:noProof/>
          <w:lang w:eastAsia="en-NZ"/>
        </w:rPr>
        <w:drawing>
          <wp:inline distT="0" distB="0" distL="0" distR="0" wp14:anchorId="6D867F3D" wp14:editId="5BCC47D0">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6EBE2AF" wp14:editId="6264318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rsidR="00414C35" w:rsidRDefault="00414C35" w:rsidP="00414C35">
      <w:pPr>
        <w:pStyle w:val="Heading1"/>
      </w:pPr>
      <w:bookmarkStart w:id="1" w:name="_Toc519278551"/>
      <w:bookmarkStart w:id="2" w:name="_Toc5437065"/>
      <w:bookmarkStart w:id="3" w:name="_Toc405792991"/>
      <w:bookmarkStart w:id="4" w:name="_Toc405793224"/>
      <w:r>
        <w:lastRenderedPageBreak/>
        <w:t>Foreword</w:t>
      </w:r>
      <w:bookmarkEnd w:id="1"/>
      <w:bookmarkEnd w:id="2"/>
    </w:p>
    <w:p w:rsidR="008822E4" w:rsidRPr="008822E4" w:rsidRDefault="008822E4" w:rsidP="008822E4">
      <w:pPr>
        <w:pStyle w:val="Introductoryparagraph"/>
      </w:pPr>
      <w:r w:rsidRPr="008822E4">
        <w:t>Food</w:t>
      </w:r>
      <w:r w:rsidRPr="008822E4">
        <w:rPr>
          <w:spacing w:val="-62"/>
        </w:rPr>
        <w:t xml:space="preserve"> </w:t>
      </w:r>
      <w:r w:rsidRPr="008822E4">
        <w:t>insecurity</w:t>
      </w:r>
      <w:r w:rsidRPr="008822E4">
        <w:rPr>
          <w:spacing w:val="-62"/>
        </w:rPr>
        <w:t xml:space="preserve"> </w:t>
      </w:r>
      <w:r w:rsidRPr="008822E4">
        <w:t>is</w:t>
      </w:r>
      <w:r w:rsidRPr="008822E4">
        <w:rPr>
          <w:spacing w:val="-62"/>
        </w:rPr>
        <w:t xml:space="preserve"> </w:t>
      </w:r>
      <w:r w:rsidRPr="008822E4">
        <w:t>an</w:t>
      </w:r>
      <w:r w:rsidRPr="008822E4">
        <w:rPr>
          <w:spacing w:val="-62"/>
        </w:rPr>
        <w:t xml:space="preserve"> </w:t>
      </w:r>
      <w:r w:rsidRPr="008822E4">
        <w:t>issue</w:t>
      </w:r>
      <w:r w:rsidRPr="008822E4">
        <w:rPr>
          <w:spacing w:val="-62"/>
        </w:rPr>
        <w:t xml:space="preserve"> </w:t>
      </w:r>
      <w:r w:rsidRPr="008822E4">
        <w:t>that</w:t>
      </w:r>
      <w:r w:rsidRPr="008822E4">
        <w:rPr>
          <w:spacing w:val="-62"/>
        </w:rPr>
        <w:t xml:space="preserve"> </w:t>
      </w:r>
      <w:r w:rsidRPr="008822E4">
        <w:t>no</w:t>
      </w:r>
      <w:r w:rsidRPr="008822E4">
        <w:rPr>
          <w:spacing w:val="-62"/>
        </w:rPr>
        <w:t xml:space="preserve"> </w:t>
      </w:r>
      <w:r w:rsidRPr="008822E4">
        <w:t>New</w:t>
      </w:r>
      <w:r w:rsidRPr="008822E4">
        <w:rPr>
          <w:spacing w:val="-62"/>
        </w:rPr>
        <w:t xml:space="preserve"> </w:t>
      </w:r>
      <w:r w:rsidRPr="008822E4">
        <w:t>Zealand</w:t>
      </w:r>
      <w:r w:rsidRPr="008822E4">
        <w:rPr>
          <w:spacing w:val="-62"/>
        </w:rPr>
        <w:t xml:space="preserve"> </w:t>
      </w:r>
      <w:r w:rsidRPr="008822E4">
        <w:t>family</w:t>
      </w:r>
      <w:r w:rsidRPr="008822E4">
        <w:rPr>
          <w:spacing w:val="-62"/>
        </w:rPr>
        <w:t xml:space="preserve"> </w:t>
      </w:r>
      <w:r w:rsidRPr="008822E4">
        <w:t>should have</w:t>
      </w:r>
      <w:r w:rsidRPr="008822E4">
        <w:rPr>
          <w:spacing w:val="-41"/>
        </w:rPr>
        <w:t xml:space="preserve"> </w:t>
      </w:r>
      <w:r w:rsidRPr="008822E4">
        <w:t>to</w:t>
      </w:r>
      <w:r w:rsidRPr="008822E4">
        <w:rPr>
          <w:spacing w:val="-41"/>
        </w:rPr>
        <w:t xml:space="preserve"> </w:t>
      </w:r>
      <w:r w:rsidRPr="008822E4">
        <w:t>worry</w:t>
      </w:r>
      <w:r w:rsidRPr="008822E4">
        <w:rPr>
          <w:spacing w:val="-41"/>
        </w:rPr>
        <w:t xml:space="preserve"> </w:t>
      </w:r>
      <w:r w:rsidRPr="008822E4">
        <w:t>about.</w:t>
      </w:r>
      <w:r w:rsidRPr="008822E4">
        <w:rPr>
          <w:spacing w:val="-41"/>
        </w:rPr>
        <w:t xml:space="preserve"> </w:t>
      </w:r>
      <w:r w:rsidRPr="008822E4">
        <w:t>Unfortunately</w:t>
      </w:r>
      <w:r w:rsidRPr="008822E4">
        <w:rPr>
          <w:spacing w:val="-41"/>
        </w:rPr>
        <w:t xml:space="preserve"> </w:t>
      </w:r>
      <w:r w:rsidRPr="008822E4">
        <w:t>this</w:t>
      </w:r>
      <w:r w:rsidRPr="008822E4">
        <w:rPr>
          <w:spacing w:val="-41"/>
        </w:rPr>
        <w:t xml:space="preserve"> </w:t>
      </w:r>
      <w:r w:rsidRPr="008822E4">
        <w:t>is</w:t>
      </w:r>
      <w:r w:rsidRPr="008822E4">
        <w:rPr>
          <w:spacing w:val="-41"/>
        </w:rPr>
        <w:t xml:space="preserve"> </w:t>
      </w:r>
      <w:r w:rsidRPr="008822E4">
        <w:t>not</w:t>
      </w:r>
      <w:r w:rsidRPr="008822E4">
        <w:rPr>
          <w:spacing w:val="-41"/>
        </w:rPr>
        <w:t xml:space="preserve"> </w:t>
      </w:r>
      <w:r w:rsidRPr="008822E4">
        <w:t>currently</w:t>
      </w:r>
      <w:r w:rsidRPr="008822E4">
        <w:rPr>
          <w:spacing w:val="-41"/>
        </w:rPr>
        <w:t xml:space="preserve"> </w:t>
      </w:r>
      <w:r w:rsidRPr="008822E4">
        <w:t>the case in Aotearoa/New Zealand. This report describes the prevalence of household food insecurity among our</w:t>
      </w:r>
      <w:r w:rsidRPr="008822E4">
        <w:rPr>
          <w:spacing w:val="-12"/>
        </w:rPr>
        <w:t xml:space="preserve"> </w:t>
      </w:r>
      <w:r w:rsidRPr="008822E4">
        <w:t>tamariki.</w:t>
      </w:r>
    </w:p>
    <w:p w:rsidR="008822E4" w:rsidRPr="008822E4" w:rsidRDefault="008822E4" w:rsidP="008822E4">
      <w:r w:rsidRPr="008822E4">
        <w:t>In 2015/16 there were just over 917,000 children aged 0–14 years in New Zealand. Most of these children lived in households that were food-secure. However, as this report indicates, for almost one in five children their household experienced severe-to-moderate food insecurity. These children may be missing out on adequate and nutritious food, the ingredients that are so essential to every aspect of their lives. This is not acceptable.</w:t>
      </w:r>
    </w:p>
    <w:p w:rsidR="008822E4" w:rsidRPr="008822E4" w:rsidRDefault="008822E4" w:rsidP="008822E4"/>
    <w:p w:rsidR="008822E4" w:rsidRPr="008822E4" w:rsidRDefault="008822E4" w:rsidP="008822E4">
      <w:r w:rsidRPr="008822E4">
        <w:t>The Government has a significant political commitment to reducing child poverty and promoting child wellbeing. This report highlights the association between low socioeconomic position and household food insecurity. It shows that children in food-insecure households fare worse than children in food-secure households on indicators of health, development and access to health services. Their parents are more likely to report psychological distress and, more specifically, stress related to parenting.</w:t>
      </w:r>
    </w:p>
    <w:p w:rsidR="008822E4" w:rsidRPr="008822E4" w:rsidRDefault="008822E4" w:rsidP="008822E4"/>
    <w:p w:rsidR="008822E4" w:rsidRPr="008822E4" w:rsidRDefault="008822E4" w:rsidP="008822E4">
      <w:r w:rsidRPr="008822E4">
        <w:t>The important challenges highlighted in this report require action, and will be addressed through strong cross-agency collaboration.</w:t>
      </w:r>
    </w:p>
    <w:p w:rsidR="008822E4" w:rsidRPr="008822E4" w:rsidRDefault="008822E4" w:rsidP="008822E4"/>
    <w:p w:rsidR="008822E4" w:rsidRPr="008822E4" w:rsidRDefault="008822E4" w:rsidP="008822E4">
      <w:r w:rsidRPr="008822E4">
        <w:t>A special thank you goes out to the many thousands of New Zealanders who gave their time to take part in the survey. The information they have provided is critical for understanding and monitoring the health and wellbeing of New Zealand children.</w:t>
      </w:r>
    </w:p>
    <w:p w:rsidR="008822E4" w:rsidRPr="008822E4" w:rsidRDefault="008822E4" w:rsidP="008822E4"/>
    <w:p w:rsidR="00414C35" w:rsidRPr="008822E4" w:rsidRDefault="008822E4" w:rsidP="008822E4">
      <w:r w:rsidRPr="008822E4">
        <w:t>Dr Ashley Bloomfield</w:t>
      </w:r>
      <w:r w:rsidRPr="008822E4">
        <w:br/>
        <w:t>Director-General of Health</w:t>
      </w:r>
      <w:r w:rsidRPr="008822E4">
        <w:br/>
        <w:t>Ministry of Health</w:t>
      </w:r>
    </w:p>
    <w:p w:rsidR="00414C35" w:rsidRDefault="00414C35" w:rsidP="00414C35"/>
    <w:p w:rsidR="00414C35" w:rsidRDefault="00414C35" w:rsidP="00414C35">
      <w:pPr>
        <w:sectPr w:rsidR="00414C35" w:rsidSect="001D3E4E">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rsidR="00414C35" w:rsidRDefault="00414C35" w:rsidP="00414C35"/>
    <w:p w:rsidR="00414C35" w:rsidRDefault="00414C35" w:rsidP="00414C35">
      <w:pPr>
        <w:sectPr w:rsidR="00414C35" w:rsidSect="0078658E">
          <w:footerReference w:type="even" r:id="rId19"/>
          <w:footerReference w:type="default" r:id="rId20"/>
          <w:pgSz w:w="11907" w:h="16840" w:code="9"/>
          <w:pgMar w:top="1418" w:right="1701" w:bottom="1134" w:left="1843" w:header="284" w:footer="425" w:gutter="284"/>
          <w:pgNumType w:fmt="lowerRoman"/>
          <w:cols w:space="720"/>
        </w:sectPr>
      </w:pPr>
    </w:p>
    <w:p w:rsidR="00C86248" w:rsidRDefault="00C86248" w:rsidP="00025A6F">
      <w:pPr>
        <w:pStyle w:val="IntroHead"/>
      </w:pPr>
      <w:r>
        <w:lastRenderedPageBreak/>
        <w:t>Contents</w:t>
      </w:r>
      <w:bookmarkEnd w:id="3"/>
      <w:bookmarkEnd w:id="4"/>
    </w:p>
    <w:p w:rsidR="009A730A" w:rsidRDefault="00C86248">
      <w:pPr>
        <w:pStyle w:val="TOC1"/>
        <w:rPr>
          <w:rFonts w:asciiTheme="minorHAnsi" w:eastAsiaTheme="minorEastAsia" w:hAnsiTheme="minorHAnsi" w:cstheme="minorBidi"/>
          <w:noProof/>
          <w:sz w:val="22"/>
          <w:szCs w:val="22"/>
          <w:lang w:eastAsia="en-NZ"/>
        </w:rPr>
      </w:pPr>
      <w:r>
        <w:rPr>
          <w:b/>
        </w:rPr>
        <w:fldChar w:fldCharType="begin"/>
      </w:r>
      <w:r>
        <w:instrText xml:space="preserve"> TOC \o "1-2" </w:instrText>
      </w:r>
      <w:r>
        <w:rPr>
          <w:b/>
        </w:rPr>
        <w:fldChar w:fldCharType="separate"/>
      </w:r>
      <w:r w:rsidR="009A730A">
        <w:rPr>
          <w:noProof/>
        </w:rPr>
        <w:t>Foreword</w:t>
      </w:r>
      <w:r w:rsidR="009A730A">
        <w:rPr>
          <w:noProof/>
        </w:rPr>
        <w:tab/>
      </w:r>
      <w:r w:rsidR="009A730A">
        <w:rPr>
          <w:noProof/>
        </w:rPr>
        <w:fldChar w:fldCharType="begin"/>
      </w:r>
      <w:r w:rsidR="009A730A">
        <w:rPr>
          <w:noProof/>
        </w:rPr>
        <w:instrText xml:space="preserve"> PAGEREF _Toc5437065 \h </w:instrText>
      </w:r>
      <w:r w:rsidR="009A730A">
        <w:rPr>
          <w:noProof/>
        </w:rPr>
      </w:r>
      <w:r w:rsidR="009A730A">
        <w:rPr>
          <w:noProof/>
        </w:rPr>
        <w:fldChar w:fldCharType="separate"/>
      </w:r>
      <w:r w:rsidR="000B1E5C">
        <w:rPr>
          <w:noProof/>
        </w:rPr>
        <w:t>iii</w:t>
      </w:r>
      <w:r w:rsidR="009A730A">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_Toc5437066 \h </w:instrText>
      </w:r>
      <w:r>
        <w:rPr>
          <w:noProof/>
        </w:rPr>
      </w:r>
      <w:r>
        <w:rPr>
          <w:noProof/>
        </w:rPr>
        <w:fldChar w:fldCharType="separate"/>
      </w:r>
      <w:r w:rsidR="000B1E5C">
        <w:rPr>
          <w:noProof/>
        </w:rPr>
        <w:t>ix</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sidRPr="008263DF">
        <w:rPr>
          <w:noProof/>
        </w:rPr>
        <w:t>Key findings</w:t>
      </w:r>
      <w:r>
        <w:rPr>
          <w:noProof/>
        </w:rPr>
        <w:tab/>
      </w:r>
      <w:r>
        <w:rPr>
          <w:noProof/>
        </w:rPr>
        <w:fldChar w:fldCharType="begin"/>
      </w:r>
      <w:r>
        <w:rPr>
          <w:noProof/>
        </w:rPr>
        <w:instrText xml:space="preserve"> PAGEREF _Toc5437067 \h </w:instrText>
      </w:r>
      <w:r>
        <w:rPr>
          <w:noProof/>
        </w:rPr>
      </w:r>
      <w:r>
        <w:rPr>
          <w:noProof/>
        </w:rPr>
        <w:fldChar w:fldCharType="separate"/>
      </w:r>
      <w:r w:rsidR="000B1E5C">
        <w:rPr>
          <w:noProof/>
        </w:rPr>
        <w:t>x</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Background</w:t>
      </w:r>
      <w:r>
        <w:rPr>
          <w:noProof/>
        </w:rPr>
        <w:tab/>
      </w:r>
      <w:r>
        <w:rPr>
          <w:noProof/>
        </w:rPr>
        <w:fldChar w:fldCharType="begin"/>
      </w:r>
      <w:r>
        <w:rPr>
          <w:noProof/>
        </w:rPr>
        <w:instrText xml:space="preserve"> PAGEREF _Toc5437068 \h </w:instrText>
      </w:r>
      <w:r>
        <w:rPr>
          <w:noProof/>
        </w:rPr>
      </w:r>
      <w:r>
        <w:rPr>
          <w:noProof/>
        </w:rPr>
        <w:fldChar w:fldCharType="separate"/>
      </w:r>
      <w:r w:rsidR="000B1E5C">
        <w:rPr>
          <w:noProof/>
        </w:rPr>
        <w:t>1</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Measuring household food insecurity in the New Zealand Health Survey</w:t>
      </w:r>
      <w:r>
        <w:rPr>
          <w:noProof/>
        </w:rPr>
        <w:tab/>
      </w:r>
      <w:r>
        <w:rPr>
          <w:noProof/>
        </w:rPr>
        <w:fldChar w:fldCharType="begin"/>
      </w:r>
      <w:r>
        <w:rPr>
          <w:noProof/>
        </w:rPr>
        <w:instrText xml:space="preserve"> PAGEREF _Toc5437069 \h </w:instrText>
      </w:r>
      <w:r>
        <w:rPr>
          <w:noProof/>
        </w:rPr>
      </w:r>
      <w:r>
        <w:rPr>
          <w:noProof/>
        </w:rPr>
        <w:fldChar w:fldCharType="separate"/>
      </w:r>
      <w:r w:rsidR="000B1E5C">
        <w:rPr>
          <w:noProof/>
        </w:rPr>
        <w:t>3</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The prevalence of food insecurity in 2015/16</w:t>
      </w:r>
      <w:r>
        <w:rPr>
          <w:noProof/>
        </w:rPr>
        <w:tab/>
      </w:r>
      <w:r>
        <w:rPr>
          <w:noProof/>
        </w:rPr>
        <w:fldChar w:fldCharType="begin"/>
      </w:r>
      <w:r>
        <w:rPr>
          <w:noProof/>
        </w:rPr>
        <w:instrText xml:space="preserve"> PAGEREF _Toc5437070 \h </w:instrText>
      </w:r>
      <w:r>
        <w:rPr>
          <w:noProof/>
        </w:rPr>
      </w:r>
      <w:r>
        <w:rPr>
          <w:noProof/>
        </w:rPr>
        <w:fldChar w:fldCharType="separate"/>
      </w:r>
      <w:r w:rsidR="000B1E5C">
        <w:rPr>
          <w:noProof/>
        </w:rPr>
        <w:t>7</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Almost one in five children lived in a food-insecure household</w:t>
      </w:r>
      <w:r>
        <w:rPr>
          <w:noProof/>
        </w:rPr>
        <w:tab/>
      </w:r>
      <w:r>
        <w:rPr>
          <w:noProof/>
        </w:rPr>
        <w:fldChar w:fldCharType="begin"/>
      </w:r>
      <w:r>
        <w:rPr>
          <w:noProof/>
        </w:rPr>
        <w:instrText xml:space="preserve"> PAGEREF _Toc5437071 \h </w:instrText>
      </w:r>
      <w:r>
        <w:rPr>
          <w:noProof/>
        </w:rPr>
      </w:r>
      <w:r>
        <w:rPr>
          <w:noProof/>
        </w:rPr>
        <w:fldChar w:fldCharType="separate"/>
      </w:r>
      <w:r w:rsidR="000B1E5C">
        <w:rPr>
          <w:noProof/>
        </w:rPr>
        <w:t>7</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The share of children living in households with food insecurity was higher for some groups</w:t>
      </w:r>
      <w:r>
        <w:rPr>
          <w:noProof/>
        </w:rPr>
        <w:tab/>
      </w:r>
      <w:r>
        <w:rPr>
          <w:noProof/>
        </w:rPr>
        <w:fldChar w:fldCharType="begin"/>
      </w:r>
      <w:r>
        <w:rPr>
          <w:noProof/>
        </w:rPr>
        <w:instrText xml:space="preserve"> PAGEREF _Toc5437072 \h </w:instrText>
      </w:r>
      <w:r>
        <w:rPr>
          <w:noProof/>
        </w:rPr>
      </w:r>
      <w:r>
        <w:rPr>
          <w:noProof/>
        </w:rPr>
        <w:fldChar w:fldCharType="separate"/>
      </w:r>
      <w:r w:rsidR="000B1E5C">
        <w:rPr>
          <w:noProof/>
        </w:rPr>
        <w:t>9</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Recent changes in the prevalence of household food insecurity among children</w:t>
      </w:r>
      <w:r>
        <w:rPr>
          <w:noProof/>
        </w:rPr>
        <w:tab/>
      </w:r>
      <w:r>
        <w:rPr>
          <w:noProof/>
        </w:rPr>
        <w:fldChar w:fldCharType="begin"/>
      </w:r>
      <w:r>
        <w:rPr>
          <w:noProof/>
        </w:rPr>
        <w:instrText xml:space="preserve"> PAGEREF _Toc5437073 \h </w:instrText>
      </w:r>
      <w:r>
        <w:rPr>
          <w:noProof/>
        </w:rPr>
      </w:r>
      <w:r>
        <w:rPr>
          <w:noProof/>
        </w:rPr>
        <w:fldChar w:fldCharType="separate"/>
      </w:r>
      <w:r w:rsidR="000B1E5C">
        <w:rPr>
          <w:noProof/>
        </w:rPr>
        <w:t>22</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The wider circumstances of children living in households with food insecurity</w:t>
      </w:r>
      <w:r>
        <w:rPr>
          <w:noProof/>
        </w:rPr>
        <w:tab/>
      </w:r>
      <w:r>
        <w:rPr>
          <w:noProof/>
        </w:rPr>
        <w:fldChar w:fldCharType="begin"/>
      </w:r>
      <w:r>
        <w:rPr>
          <w:noProof/>
        </w:rPr>
        <w:instrText xml:space="preserve"> PAGEREF _Toc5437074 \h </w:instrText>
      </w:r>
      <w:r>
        <w:rPr>
          <w:noProof/>
        </w:rPr>
      </w:r>
      <w:r>
        <w:rPr>
          <w:noProof/>
        </w:rPr>
        <w:fldChar w:fldCharType="separate"/>
      </w:r>
      <w:r w:rsidR="000B1E5C">
        <w:rPr>
          <w:noProof/>
        </w:rPr>
        <w:t>25</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Barriers to accessing health care were more common among children in food-insecure households</w:t>
      </w:r>
      <w:r>
        <w:rPr>
          <w:noProof/>
        </w:rPr>
        <w:tab/>
      </w:r>
      <w:r>
        <w:rPr>
          <w:noProof/>
        </w:rPr>
        <w:fldChar w:fldCharType="begin"/>
      </w:r>
      <w:r>
        <w:rPr>
          <w:noProof/>
        </w:rPr>
        <w:instrText xml:space="preserve"> PAGEREF _Toc5437075 \h </w:instrText>
      </w:r>
      <w:r>
        <w:rPr>
          <w:noProof/>
        </w:rPr>
      </w:r>
      <w:r>
        <w:rPr>
          <w:noProof/>
        </w:rPr>
        <w:fldChar w:fldCharType="separate"/>
      </w:r>
      <w:r w:rsidR="000B1E5C">
        <w:rPr>
          <w:noProof/>
        </w:rPr>
        <w:t>26</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Fewer children in food-insecure households met the fruit and vegetable consumption guidelines</w:t>
      </w:r>
      <w:r>
        <w:rPr>
          <w:noProof/>
        </w:rPr>
        <w:tab/>
      </w:r>
      <w:r>
        <w:rPr>
          <w:noProof/>
        </w:rPr>
        <w:fldChar w:fldCharType="begin"/>
      </w:r>
      <w:r>
        <w:rPr>
          <w:noProof/>
        </w:rPr>
        <w:instrText xml:space="preserve"> PAGEREF _Toc5437076 \h </w:instrText>
      </w:r>
      <w:r>
        <w:rPr>
          <w:noProof/>
        </w:rPr>
      </w:r>
      <w:r>
        <w:rPr>
          <w:noProof/>
        </w:rPr>
        <w:fldChar w:fldCharType="separate"/>
      </w:r>
      <w:r w:rsidR="000B1E5C">
        <w:rPr>
          <w:noProof/>
        </w:rPr>
        <w:t>28</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Fewer children in food-insecure households had a healthy weight</w:t>
      </w:r>
      <w:r>
        <w:rPr>
          <w:noProof/>
        </w:rPr>
        <w:tab/>
      </w:r>
      <w:r>
        <w:rPr>
          <w:noProof/>
        </w:rPr>
        <w:fldChar w:fldCharType="begin"/>
      </w:r>
      <w:r>
        <w:rPr>
          <w:noProof/>
        </w:rPr>
        <w:instrText xml:space="preserve"> PAGEREF _Toc5437077 \h </w:instrText>
      </w:r>
      <w:r>
        <w:rPr>
          <w:noProof/>
        </w:rPr>
      </w:r>
      <w:r>
        <w:rPr>
          <w:noProof/>
        </w:rPr>
        <w:fldChar w:fldCharType="separate"/>
      </w:r>
      <w:r w:rsidR="000B1E5C">
        <w:rPr>
          <w:noProof/>
        </w:rPr>
        <w:t>31</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Children and caregivers in food-insecure households had lower caregiver-rated health status</w:t>
      </w:r>
      <w:r>
        <w:rPr>
          <w:noProof/>
        </w:rPr>
        <w:tab/>
      </w:r>
      <w:r>
        <w:rPr>
          <w:noProof/>
        </w:rPr>
        <w:fldChar w:fldCharType="begin"/>
      </w:r>
      <w:r>
        <w:rPr>
          <w:noProof/>
        </w:rPr>
        <w:instrText xml:space="preserve"> PAGEREF _Toc5437078 \h </w:instrText>
      </w:r>
      <w:r>
        <w:rPr>
          <w:noProof/>
        </w:rPr>
      </w:r>
      <w:r>
        <w:rPr>
          <w:noProof/>
        </w:rPr>
        <w:fldChar w:fldCharType="separate"/>
      </w:r>
      <w:r w:rsidR="000B1E5C">
        <w:rPr>
          <w:noProof/>
        </w:rPr>
        <w:t>34</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Caregivers in food-insecure households indicated more concerns about their child’s development</w:t>
      </w:r>
      <w:r>
        <w:rPr>
          <w:noProof/>
        </w:rPr>
        <w:tab/>
      </w:r>
      <w:r>
        <w:rPr>
          <w:noProof/>
        </w:rPr>
        <w:fldChar w:fldCharType="begin"/>
      </w:r>
      <w:r>
        <w:rPr>
          <w:noProof/>
        </w:rPr>
        <w:instrText xml:space="preserve"> PAGEREF _Toc5437079 \h </w:instrText>
      </w:r>
      <w:r>
        <w:rPr>
          <w:noProof/>
        </w:rPr>
      </w:r>
      <w:r>
        <w:rPr>
          <w:noProof/>
        </w:rPr>
        <w:fldChar w:fldCharType="separate"/>
      </w:r>
      <w:r w:rsidR="000B1E5C">
        <w:rPr>
          <w:noProof/>
        </w:rPr>
        <w:t>35</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More caregivers in food-insecure households experienced psychological distress</w:t>
      </w:r>
      <w:r>
        <w:rPr>
          <w:noProof/>
        </w:rPr>
        <w:tab/>
      </w:r>
      <w:r>
        <w:rPr>
          <w:noProof/>
        </w:rPr>
        <w:fldChar w:fldCharType="begin"/>
      </w:r>
      <w:r>
        <w:rPr>
          <w:noProof/>
        </w:rPr>
        <w:instrText xml:space="preserve"> PAGEREF _Toc5437080 \h </w:instrText>
      </w:r>
      <w:r>
        <w:rPr>
          <w:noProof/>
        </w:rPr>
      </w:r>
      <w:r>
        <w:rPr>
          <w:noProof/>
        </w:rPr>
        <w:fldChar w:fldCharType="separate"/>
      </w:r>
      <w:r w:rsidR="000B1E5C">
        <w:rPr>
          <w:noProof/>
        </w:rPr>
        <w:t>39</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More children in food-insecure households were exposed to second-hand smoke</w:t>
      </w:r>
      <w:r>
        <w:rPr>
          <w:noProof/>
        </w:rPr>
        <w:tab/>
      </w:r>
      <w:r>
        <w:rPr>
          <w:noProof/>
        </w:rPr>
        <w:fldChar w:fldCharType="begin"/>
      </w:r>
      <w:r>
        <w:rPr>
          <w:noProof/>
        </w:rPr>
        <w:instrText xml:space="preserve"> PAGEREF _Toc5437081 \h </w:instrText>
      </w:r>
      <w:r>
        <w:rPr>
          <w:noProof/>
        </w:rPr>
      </w:r>
      <w:r>
        <w:rPr>
          <w:noProof/>
        </w:rPr>
        <w:fldChar w:fldCharType="separate"/>
      </w:r>
      <w:r w:rsidR="000B1E5C">
        <w:rPr>
          <w:noProof/>
        </w:rPr>
        <w:t>41</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Conclusion</w:t>
      </w:r>
      <w:r>
        <w:rPr>
          <w:noProof/>
        </w:rPr>
        <w:tab/>
      </w:r>
      <w:r>
        <w:rPr>
          <w:noProof/>
        </w:rPr>
        <w:fldChar w:fldCharType="begin"/>
      </w:r>
      <w:r>
        <w:rPr>
          <w:noProof/>
        </w:rPr>
        <w:instrText xml:space="preserve"> PAGEREF _Toc5437082 \h </w:instrText>
      </w:r>
      <w:r>
        <w:rPr>
          <w:noProof/>
        </w:rPr>
      </w:r>
      <w:r>
        <w:rPr>
          <w:noProof/>
        </w:rPr>
        <w:fldChar w:fldCharType="separate"/>
      </w:r>
      <w:r w:rsidR="000B1E5C">
        <w:rPr>
          <w:noProof/>
        </w:rPr>
        <w:t>43</w:t>
      </w:r>
      <w:r>
        <w:rPr>
          <w:noProof/>
        </w:rPr>
        <w:fldChar w:fldCharType="end"/>
      </w:r>
    </w:p>
    <w:p w:rsidR="009A730A" w:rsidRDefault="009A730A">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_Toc5437083 \h </w:instrText>
      </w:r>
      <w:r>
        <w:rPr>
          <w:noProof/>
        </w:rPr>
      </w:r>
      <w:r>
        <w:rPr>
          <w:noProof/>
        </w:rPr>
        <w:fldChar w:fldCharType="separate"/>
      </w:r>
      <w:r w:rsidR="000B1E5C">
        <w:rPr>
          <w:noProof/>
        </w:rPr>
        <w:t>44</w:t>
      </w:r>
      <w:r>
        <w:rPr>
          <w:noProof/>
        </w:rPr>
        <w:fldChar w:fldCharType="end"/>
      </w:r>
    </w:p>
    <w:p w:rsidR="00E362E1" w:rsidRDefault="00E362E1" w:rsidP="00E362E1">
      <w:pPr>
        <w:pStyle w:val="TOC1"/>
        <w:keepNext/>
        <w:rPr>
          <w:noProof/>
        </w:rPr>
      </w:pPr>
      <w:r>
        <w:rPr>
          <w:noProof/>
        </w:rPr>
        <w:lastRenderedPageBreak/>
        <w:t>Appendices</w:t>
      </w:r>
    </w:p>
    <w:p w:rsidR="009A730A" w:rsidRDefault="009A730A" w:rsidP="00E362E1">
      <w:pPr>
        <w:pStyle w:val="TOC2"/>
        <w:keepNext/>
        <w:rPr>
          <w:rFonts w:asciiTheme="minorHAnsi" w:eastAsiaTheme="minorEastAsia" w:hAnsiTheme="minorHAnsi" w:cstheme="minorBidi"/>
          <w:noProof/>
          <w:szCs w:val="22"/>
          <w:lang w:eastAsia="en-NZ"/>
        </w:rPr>
      </w:pPr>
      <w:r>
        <w:rPr>
          <w:noProof/>
        </w:rPr>
        <w:t>Appendix 1: The New Zealand Health Survey</w:t>
      </w:r>
      <w:r>
        <w:rPr>
          <w:noProof/>
        </w:rPr>
        <w:tab/>
      </w:r>
      <w:r>
        <w:rPr>
          <w:noProof/>
        </w:rPr>
        <w:fldChar w:fldCharType="begin"/>
      </w:r>
      <w:r>
        <w:rPr>
          <w:noProof/>
        </w:rPr>
        <w:instrText xml:space="preserve"> PAGEREF _Toc5437084 \h </w:instrText>
      </w:r>
      <w:r>
        <w:rPr>
          <w:noProof/>
        </w:rPr>
      </w:r>
      <w:r>
        <w:rPr>
          <w:noProof/>
        </w:rPr>
        <w:fldChar w:fldCharType="separate"/>
      </w:r>
      <w:r w:rsidR="000B1E5C">
        <w:rPr>
          <w:noProof/>
        </w:rPr>
        <w:t>50</w:t>
      </w:r>
      <w:r>
        <w:rPr>
          <w:noProof/>
        </w:rPr>
        <w:fldChar w:fldCharType="end"/>
      </w:r>
    </w:p>
    <w:p w:rsidR="009A730A" w:rsidRDefault="009A730A" w:rsidP="00E362E1">
      <w:pPr>
        <w:pStyle w:val="TOC2"/>
        <w:rPr>
          <w:rFonts w:asciiTheme="minorHAnsi" w:eastAsiaTheme="minorEastAsia" w:hAnsiTheme="minorHAnsi" w:cstheme="minorBidi"/>
          <w:noProof/>
          <w:szCs w:val="22"/>
          <w:lang w:eastAsia="en-NZ"/>
        </w:rPr>
      </w:pPr>
      <w:r>
        <w:rPr>
          <w:noProof/>
        </w:rPr>
        <w:t>Appendix 2: Detail on the construction of the food insecurity index</w:t>
      </w:r>
      <w:r>
        <w:rPr>
          <w:noProof/>
        </w:rPr>
        <w:tab/>
      </w:r>
      <w:r>
        <w:rPr>
          <w:noProof/>
        </w:rPr>
        <w:fldChar w:fldCharType="begin"/>
      </w:r>
      <w:r>
        <w:rPr>
          <w:noProof/>
        </w:rPr>
        <w:instrText xml:space="preserve"> PAGEREF _Toc5437085 \h </w:instrText>
      </w:r>
      <w:r>
        <w:rPr>
          <w:noProof/>
        </w:rPr>
      </w:r>
      <w:r>
        <w:rPr>
          <w:noProof/>
        </w:rPr>
        <w:fldChar w:fldCharType="separate"/>
      </w:r>
      <w:r w:rsidR="000B1E5C">
        <w:rPr>
          <w:noProof/>
        </w:rPr>
        <w:t>52</w:t>
      </w:r>
      <w:r>
        <w:rPr>
          <w:noProof/>
        </w:rPr>
        <w:fldChar w:fldCharType="end"/>
      </w:r>
    </w:p>
    <w:p w:rsidR="009A730A" w:rsidRDefault="009A730A" w:rsidP="00E362E1">
      <w:pPr>
        <w:pStyle w:val="TOC2"/>
        <w:rPr>
          <w:rFonts w:asciiTheme="minorHAnsi" w:eastAsiaTheme="minorEastAsia" w:hAnsiTheme="minorHAnsi" w:cstheme="minorBidi"/>
          <w:noProof/>
          <w:szCs w:val="22"/>
          <w:lang w:eastAsia="en-NZ"/>
        </w:rPr>
      </w:pPr>
      <w:r>
        <w:rPr>
          <w:noProof/>
        </w:rPr>
        <w:t>Appendix 3: Definition of key variables used in the analysis</w:t>
      </w:r>
      <w:r>
        <w:rPr>
          <w:noProof/>
        </w:rPr>
        <w:tab/>
      </w:r>
      <w:r>
        <w:rPr>
          <w:noProof/>
        </w:rPr>
        <w:fldChar w:fldCharType="begin"/>
      </w:r>
      <w:r>
        <w:rPr>
          <w:noProof/>
        </w:rPr>
        <w:instrText xml:space="preserve"> PAGEREF _Toc5437086 \h </w:instrText>
      </w:r>
      <w:r>
        <w:rPr>
          <w:noProof/>
        </w:rPr>
      </w:r>
      <w:r>
        <w:rPr>
          <w:noProof/>
        </w:rPr>
        <w:fldChar w:fldCharType="separate"/>
      </w:r>
      <w:r w:rsidR="000B1E5C">
        <w:rPr>
          <w:noProof/>
        </w:rPr>
        <w:t>55</w:t>
      </w:r>
      <w:r>
        <w:rPr>
          <w:noProof/>
        </w:rPr>
        <w:fldChar w:fldCharType="end"/>
      </w:r>
    </w:p>
    <w:p w:rsidR="009A730A" w:rsidRDefault="009A730A" w:rsidP="00E362E1">
      <w:pPr>
        <w:pStyle w:val="TOC2"/>
        <w:rPr>
          <w:rFonts w:asciiTheme="minorHAnsi" w:eastAsiaTheme="minorEastAsia" w:hAnsiTheme="minorHAnsi" w:cstheme="minorBidi"/>
          <w:noProof/>
          <w:szCs w:val="22"/>
          <w:lang w:eastAsia="en-NZ"/>
        </w:rPr>
      </w:pPr>
      <w:r>
        <w:rPr>
          <w:noProof/>
        </w:rPr>
        <w:t>Appendix 4: Share of the child population in each group 2015/16</w:t>
      </w:r>
      <w:r>
        <w:rPr>
          <w:noProof/>
        </w:rPr>
        <w:tab/>
      </w:r>
      <w:r>
        <w:rPr>
          <w:noProof/>
        </w:rPr>
        <w:fldChar w:fldCharType="begin"/>
      </w:r>
      <w:r>
        <w:rPr>
          <w:noProof/>
        </w:rPr>
        <w:instrText xml:space="preserve"> PAGEREF _Toc5437087 \h </w:instrText>
      </w:r>
      <w:r>
        <w:rPr>
          <w:noProof/>
        </w:rPr>
      </w:r>
      <w:r>
        <w:rPr>
          <w:noProof/>
        </w:rPr>
        <w:fldChar w:fldCharType="separate"/>
      </w:r>
      <w:r w:rsidR="000B1E5C">
        <w:rPr>
          <w:noProof/>
        </w:rPr>
        <w:t>64</w:t>
      </w:r>
      <w:r>
        <w:rPr>
          <w:noProof/>
        </w:rPr>
        <w:fldChar w:fldCharType="end"/>
      </w:r>
    </w:p>
    <w:p w:rsidR="009A730A" w:rsidRDefault="009A730A">
      <w:pPr>
        <w:pStyle w:val="TOC2"/>
        <w:rPr>
          <w:rFonts w:asciiTheme="minorHAnsi" w:eastAsiaTheme="minorEastAsia" w:hAnsiTheme="minorHAnsi" w:cstheme="minorBidi"/>
          <w:noProof/>
          <w:szCs w:val="22"/>
          <w:lang w:eastAsia="en-NZ"/>
        </w:rPr>
      </w:pPr>
      <w:r>
        <w:rPr>
          <w:noProof/>
        </w:rPr>
        <w:t>Appendix 5: Data tables</w:t>
      </w:r>
      <w:r>
        <w:rPr>
          <w:noProof/>
        </w:rPr>
        <w:tab/>
      </w:r>
      <w:r>
        <w:rPr>
          <w:noProof/>
        </w:rPr>
        <w:fldChar w:fldCharType="begin"/>
      </w:r>
      <w:r>
        <w:rPr>
          <w:noProof/>
        </w:rPr>
        <w:instrText xml:space="preserve"> PAGEREF _Toc5437088 \h </w:instrText>
      </w:r>
      <w:r>
        <w:rPr>
          <w:noProof/>
        </w:rPr>
      </w:r>
      <w:r>
        <w:rPr>
          <w:noProof/>
        </w:rPr>
        <w:fldChar w:fldCharType="separate"/>
      </w:r>
      <w:r w:rsidR="000B1E5C">
        <w:rPr>
          <w:noProof/>
        </w:rPr>
        <w:t>66</w:t>
      </w:r>
      <w:r>
        <w:rPr>
          <w:noProof/>
        </w:rPr>
        <w:fldChar w:fldCharType="end"/>
      </w:r>
    </w:p>
    <w:p w:rsidR="00C86248" w:rsidRDefault="00C86248">
      <w:r>
        <w:rPr>
          <w:b/>
        </w:rPr>
        <w:fldChar w:fldCharType="end"/>
      </w:r>
    </w:p>
    <w:p w:rsidR="000A0158" w:rsidRDefault="000A0158" w:rsidP="002B76A7">
      <w:pPr>
        <w:pStyle w:val="TOC1"/>
        <w:keepNext/>
      </w:pPr>
      <w:r>
        <w:t>List of Figures</w:t>
      </w:r>
    </w:p>
    <w:p w:rsidR="00E362E1" w:rsidRDefault="000A0158">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E362E1">
        <w:rPr>
          <w:noProof/>
        </w:rPr>
        <w:t>Figure 1:</w:t>
      </w:r>
      <w:r w:rsidR="00E362E1">
        <w:rPr>
          <w:noProof/>
        </w:rPr>
        <w:tab/>
        <w:t>Item responses to the food security questionnaire, 2015/16</w:t>
      </w:r>
      <w:r w:rsidR="00E362E1">
        <w:rPr>
          <w:noProof/>
        </w:rPr>
        <w:tab/>
      </w:r>
      <w:r w:rsidR="00E362E1">
        <w:rPr>
          <w:noProof/>
        </w:rPr>
        <w:fldChar w:fldCharType="begin"/>
      </w:r>
      <w:r w:rsidR="00E362E1">
        <w:rPr>
          <w:noProof/>
        </w:rPr>
        <w:instrText xml:space="preserve"> PAGEREF _Toc5437120 \h </w:instrText>
      </w:r>
      <w:r w:rsidR="00E362E1">
        <w:rPr>
          <w:noProof/>
        </w:rPr>
      </w:r>
      <w:r w:rsidR="00E362E1">
        <w:rPr>
          <w:noProof/>
        </w:rPr>
        <w:fldChar w:fldCharType="separate"/>
      </w:r>
      <w:r w:rsidR="000B1E5C">
        <w:rPr>
          <w:noProof/>
        </w:rPr>
        <w:t>8</w:t>
      </w:r>
      <w:r w:rsidR="00E362E1">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2:</w:t>
      </w:r>
      <w:r>
        <w:rPr>
          <w:noProof/>
        </w:rPr>
        <w:tab/>
        <w:t>Household food insecurity among children by neighbourhood deprivation, 2015/16</w:t>
      </w:r>
      <w:r>
        <w:rPr>
          <w:noProof/>
        </w:rPr>
        <w:tab/>
      </w:r>
      <w:r>
        <w:rPr>
          <w:noProof/>
        </w:rPr>
        <w:fldChar w:fldCharType="begin"/>
      </w:r>
      <w:r>
        <w:rPr>
          <w:noProof/>
        </w:rPr>
        <w:instrText xml:space="preserve"> PAGEREF _Toc5437121 \h </w:instrText>
      </w:r>
      <w:r>
        <w:rPr>
          <w:noProof/>
        </w:rPr>
      </w:r>
      <w:r>
        <w:rPr>
          <w:noProof/>
        </w:rPr>
        <w:fldChar w:fldCharType="separate"/>
      </w:r>
      <w:r w:rsidR="000B1E5C">
        <w:rPr>
          <w:noProof/>
        </w:rPr>
        <w:t>11</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3:</w:t>
      </w:r>
      <w:r>
        <w:rPr>
          <w:noProof/>
        </w:rPr>
        <w:tab/>
        <w:t>Household food insecurity among children by household income, 2015/16</w:t>
      </w:r>
      <w:r>
        <w:rPr>
          <w:noProof/>
        </w:rPr>
        <w:tab/>
      </w:r>
      <w:r>
        <w:rPr>
          <w:noProof/>
        </w:rPr>
        <w:fldChar w:fldCharType="begin"/>
      </w:r>
      <w:r>
        <w:rPr>
          <w:noProof/>
        </w:rPr>
        <w:instrText xml:space="preserve"> PAGEREF _Toc5437122 \h </w:instrText>
      </w:r>
      <w:r>
        <w:rPr>
          <w:noProof/>
        </w:rPr>
      </w:r>
      <w:r>
        <w:rPr>
          <w:noProof/>
        </w:rPr>
        <w:fldChar w:fldCharType="separate"/>
      </w:r>
      <w:r w:rsidR="000B1E5C">
        <w:rPr>
          <w:noProof/>
        </w:rPr>
        <w:t>12</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4:</w:t>
      </w:r>
      <w:r>
        <w:rPr>
          <w:noProof/>
        </w:rPr>
        <w:tab/>
        <w:t>Household food insecurity among children with a primary caregiver receiving a means-tested benefit, 2015/16</w:t>
      </w:r>
      <w:r>
        <w:rPr>
          <w:noProof/>
        </w:rPr>
        <w:tab/>
      </w:r>
      <w:r>
        <w:rPr>
          <w:noProof/>
        </w:rPr>
        <w:fldChar w:fldCharType="begin"/>
      </w:r>
      <w:r>
        <w:rPr>
          <w:noProof/>
        </w:rPr>
        <w:instrText xml:space="preserve"> PAGEREF _Toc5437123 \h </w:instrText>
      </w:r>
      <w:r>
        <w:rPr>
          <w:noProof/>
        </w:rPr>
      </w:r>
      <w:r>
        <w:rPr>
          <w:noProof/>
        </w:rPr>
        <w:fldChar w:fldCharType="separate"/>
      </w:r>
      <w:r w:rsidR="000B1E5C">
        <w:rPr>
          <w:noProof/>
        </w:rPr>
        <w:t>13</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5:</w:t>
      </w:r>
      <w:r>
        <w:rPr>
          <w:noProof/>
        </w:rPr>
        <w:tab/>
        <w:t>Household food insecurity among children by housing tenure, 2015/16</w:t>
      </w:r>
      <w:r>
        <w:rPr>
          <w:noProof/>
        </w:rPr>
        <w:tab/>
      </w:r>
      <w:r>
        <w:rPr>
          <w:noProof/>
        </w:rPr>
        <w:fldChar w:fldCharType="begin"/>
      </w:r>
      <w:r>
        <w:rPr>
          <w:noProof/>
        </w:rPr>
        <w:instrText xml:space="preserve"> PAGEREF _Toc5437124 \h </w:instrText>
      </w:r>
      <w:r>
        <w:rPr>
          <w:noProof/>
        </w:rPr>
      </w:r>
      <w:r>
        <w:rPr>
          <w:noProof/>
        </w:rPr>
        <w:fldChar w:fldCharType="separate"/>
      </w:r>
      <w:r w:rsidR="000B1E5C">
        <w:rPr>
          <w:noProof/>
        </w:rPr>
        <w:t>15</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6:</w:t>
      </w:r>
      <w:r>
        <w:rPr>
          <w:noProof/>
        </w:rPr>
        <w:tab/>
        <w:t>Household food insecurity among Māori children, 2015/16</w:t>
      </w:r>
      <w:r>
        <w:rPr>
          <w:noProof/>
        </w:rPr>
        <w:tab/>
      </w:r>
      <w:r>
        <w:rPr>
          <w:noProof/>
        </w:rPr>
        <w:fldChar w:fldCharType="begin"/>
      </w:r>
      <w:r>
        <w:rPr>
          <w:noProof/>
        </w:rPr>
        <w:instrText xml:space="preserve"> PAGEREF _Toc5437125 \h </w:instrText>
      </w:r>
      <w:r>
        <w:rPr>
          <w:noProof/>
        </w:rPr>
      </w:r>
      <w:r>
        <w:rPr>
          <w:noProof/>
        </w:rPr>
        <w:fldChar w:fldCharType="separate"/>
      </w:r>
      <w:r w:rsidR="000B1E5C">
        <w:rPr>
          <w:noProof/>
        </w:rPr>
        <w:t>16</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7:</w:t>
      </w:r>
      <w:r>
        <w:rPr>
          <w:noProof/>
        </w:rPr>
        <w:tab/>
        <w:t>Household food insecurity among Pacific children, 2015/16</w:t>
      </w:r>
      <w:r>
        <w:rPr>
          <w:noProof/>
        </w:rPr>
        <w:tab/>
      </w:r>
      <w:r>
        <w:rPr>
          <w:noProof/>
        </w:rPr>
        <w:fldChar w:fldCharType="begin"/>
      </w:r>
      <w:r>
        <w:rPr>
          <w:noProof/>
        </w:rPr>
        <w:instrText xml:space="preserve"> PAGEREF _Toc5437126 \h </w:instrText>
      </w:r>
      <w:r>
        <w:rPr>
          <w:noProof/>
        </w:rPr>
      </w:r>
      <w:r>
        <w:rPr>
          <w:noProof/>
        </w:rPr>
        <w:fldChar w:fldCharType="separate"/>
      </w:r>
      <w:r w:rsidR="000B1E5C">
        <w:rPr>
          <w:noProof/>
        </w:rPr>
        <w:t>17</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8:</w:t>
      </w:r>
      <w:r>
        <w:rPr>
          <w:noProof/>
        </w:rPr>
        <w:tab/>
        <w:t>Household food insecurity among Asian children, 2015/16</w:t>
      </w:r>
      <w:r>
        <w:rPr>
          <w:noProof/>
        </w:rPr>
        <w:tab/>
      </w:r>
      <w:r>
        <w:rPr>
          <w:noProof/>
        </w:rPr>
        <w:fldChar w:fldCharType="begin"/>
      </w:r>
      <w:r>
        <w:rPr>
          <w:noProof/>
        </w:rPr>
        <w:instrText xml:space="preserve"> PAGEREF _Toc5437127 \h </w:instrText>
      </w:r>
      <w:r>
        <w:rPr>
          <w:noProof/>
        </w:rPr>
      </w:r>
      <w:r>
        <w:rPr>
          <w:noProof/>
        </w:rPr>
        <w:fldChar w:fldCharType="separate"/>
      </w:r>
      <w:r w:rsidR="000B1E5C">
        <w:rPr>
          <w:noProof/>
        </w:rPr>
        <w:t>18</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9:</w:t>
      </w:r>
      <w:r>
        <w:rPr>
          <w:noProof/>
        </w:rPr>
        <w:tab/>
        <w:t>Household food insecurity among European and other children, 2015/16</w:t>
      </w:r>
      <w:r>
        <w:rPr>
          <w:noProof/>
        </w:rPr>
        <w:tab/>
      </w:r>
      <w:r>
        <w:rPr>
          <w:noProof/>
        </w:rPr>
        <w:fldChar w:fldCharType="begin"/>
      </w:r>
      <w:r>
        <w:rPr>
          <w:noProof/>
        </w:rPr>
        <w:instrText xml:space="preserve"> PAGEREF _Toc5437128 \h </w:instrText>
      </w:r>
      <w:r>
        <w:rPr>
          <w:noProof/>
        </w:rPr>
      </w:r>
      <w:r>
        <w:rPr>
          <w:noProof/>
        </w:rPr>
        <w:fldChar w:fldCharType="separate"/>
      </w:r>
      <w:r w:rsidR="000B1E5C">
        <w:rPr>
          <w:noProof/>
        </w:rPr>
        <w:t>18</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10:</w:t>
      </w:r>
      <w:r>
        <w:rPr>
          <w:noProof/>
        </w:rPr>
        <w:tab/>
        <w:t>Household food insecurity among children and number of children in the household, 2015/16</w:t>
      </w:r>
      <w:r>
        <w:rPr>
          <w:noProof/>
        </w:rPr>
        <w:tab/>
      </w:r>
      <w:r>
        <w:rPr>
          <w:noProof/>
        </w:rPr>
        <w:fldChar w:fldCharType="begin"/>
      </w:r>
      <w:r>
        <w:rPr>
          <w:noProof/>
        </w:rPr>
        <w:instrText xml:space="preserve"> PAGEREF _Toc5437129 \h </w:instrText>
      </w:r>
      <w:r>
        <w:rPr>
          <w:noProof/>
        </w:rPr>
      </w:r>
      <w:r>
        <w:rPr>
          <w:noProof/>
        </w:rPr>
        <w:fldChar w:fldCharType="separate"/>
      </w:r>
      <w:r w:rsidR="000B1E5C">
        <w:rPr>
          <w:noProof/>
        </w:rPr>
        <w:t>20</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11:</w:t>
      </w:r>
      <w:r>
        <w:rPr>
          <w:noProof/>
        </w:rPr>
        <w:tab/>
        <w:t>Household food insecurity among children with sole and couple parents, 2015/16</w:t>
      </w:r>
      <w:r>
        <w:rPr>
          <w:noProof/>
        </w:rPr>
        <w:tab/>
      </w:r>
      <w:r>
        <w:rPr>
          <w:noProof/>
        </w:rPr>
        <w:fldChar w:fldCharType="begin"/>
      </w:r>
      <w:r>
        <w:rPr>
          <w:noProof/>
        </w:rPr>
        <w:instrText xml:space="preserve"> PAGEREF _Toc5437130 \h </w:instrText>
      </w:r>
      <w:r>
        <w:rPr>
          <w:noProof/>
        </w:rPr>
      </w:r>
      <w:r>
        <w:rPr>
          <w:noProof/>
        </w:rPr>
        <w:fldChar w:fldCharType="separate"/>
      </w:r>
      <w:r w:rsidR="000B1E5C">
        <w:rPr>
          <w:noProof/>
        </w:rPr>
        <w:t>21</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12:</w:t>
      </w:r>
      <w:r>
        <w:rPr>
          <w:noProof/>
        </w:rPr>
        <w:tab/>
        <w:t>Prevalence of children aged 0–14 years living in households with severe-to-moderate food insecurity, 2012/2013, 2014/2015 and 2015/16</w:t>
      </w:r>
      <w:r>
        <w:rPr>
          <w:noProof/>
        </w:rPr>
        <w:tab/>
      </w:r>
      <w:r>
        <w:rPr>
          <w:noProof/>
        </w:rPr>
        <w:fldChar w:fldCharType="begin"/>
      </w:r>
      <w:r>
        <w:rPr>
          <w:noProof/>
        </w:rPr>
        <w:instrText xml:space="preserve"> PAGEREF _Toc5437131 \h </w:instrText>
      </w:r>
      <w:r>
        <w:rPr>
          <w:noProof/>
        </w:rPr>
      </w:r>
      <w:r>
        <w:rPr>
          <w:noProof/>
        </w:rPr>
        <w:fldChar w:fldCharType="separate"/>
      </w:r>
      <w:r w:rsidR="000B1E5C">
        <w:rPr>
          <w:noProof/>
        </w:rPr>
        <w:t>23</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13:</w:t>
      </w:r>
      <w:r>
        <w:rPr>
          <w:noProof/>
        </w:rPr>
        <w:tab/>
        <w:t>Household food insecurity and barriers to accessing health care in the past year, 2014/15 and 2015/16</w:t>
      </w:r>
      <w:r>
        <w:rPr>
          <w:noProof/>
        </w:rPr>
        <w:tab/>
      </w:r>
      <w:r>
        <w:rPr>
          <w:noProof/>
        </w:rPr>
        <w:fldChar w:fldCharType="begin"/>
      </w:r>
      <w:r>
        <w:rPr>
          <w:noProof/>
        </w:rPr>
        <w:instrText xml:space="preserve"> PAGEREF _Toc5437132 \h </w:instrText>
      </w:r>
      <w:r>
        <w:rPr>
          <w:noProof/>
        </w:rPr>
      </w:r>
      <w:r>
        <w:rPr>
          <w:noProof/>
        </w:rPr>
        <w:fldChar w:fldCharType="separate"/>
      </w:r>
      <w:r w:rsidR="000B1E5C">
        <w:rPr>
          <w:noProof/>
        </w:rPr>
        <w:t>26</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14A:</w:t>
      </w:r>
      <w:r>
        <w:rPr>
          <w:noProof/>
        </w:rPr>
        <w:tab/>
        <w:t>Household food insecurity and nutrition indicators for children aged 2–4 years, 2014/15 and 2015/16</w:t>
      </w:r>
      <w:r>
        <w:rPr>
          <w:noProof/>
        </w:rPr>
        <w:tab/>
      </w:r>
      <w:r>
        <w:rPr>
          <w:noProof/>
        </w:rPr>
        <w:fldChar w:fldCharType="begin"/>
      </w:r>
      <w:r>
        <w:rPr>
          <w:noProof/>
        </w:rPr>
        <w:instrText xml:space="preserve"> PAGEREF _Toc5437133 \h </w:instrText>
      </w:r>
      <w:r>
        <w:rPr>
          <w:noProof/>
        </w:rPr>
      </w:r>
      <w:r>
        <w:rPr>
          <w:noProof/>
        </w:rPr>
        <w:fldChar w:fldCharType="separate"/>
      </w:r>
      <w:r w:rsidR="000B1E5C">
        <w:rPr>
          <w:noProof/>
        </w:rPr>
        <w:t>30</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14B:</w:t>
      </w:r>
      <w:r>
        <w:rPr>
          <w:noProof/>
        </w:rPr>
        <w:tab/>
        <w:t>Household food insecurity and nutrition indicators for children aged 5–9 years, 2014/15 and 2015/16</w:t>
      </w:r>
      <w:r>
        <w:rPr>
          <w:noProof/>
        </w:rPr>
        <w:tab/>
      </w:r>
      <w:r>
        <w:rPr>
          <w:noProof/>
        </w:rPr>
        <w:fldChar w:fldCharType="begin"/>
      </w:r>
      <w:r>
        <w:rPr>
          <w:noProof/>
        </w:rPr>
        <w:instrText xml:space="preserve"> PAGEREF _Toc5437134 \h </w:instrText>
      </w:r>
      <w:r>
        <w:rPr>
          <w:noProof/>
        </w:rPr>
      </w:r>
      <w:r>
        <w:rPr>
          <w:noProof/>
        </w:rPr>
        <w:fldChar w:fldCharType="separate"/>
      </w:r>
      <w:r w:rsidR="000B1E5C">
        <w:rPr>
          <w:noProof/>
        </w:rPr>
        <w:t>30</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14C:</w:t>
      </w:r>
      <w:r>
        <w:rPr>
          <w:noProof/>
        </w:rPr>
        <w:tab/>
        <w:t>Household food insecurity and nutrition indicators for children aged 10–14 years, 2014/15 and 2015/16</w:t>
      </w:r>
      <w:r>
        <w:rPr>
          <w:noProof/>
        </w:rPr>
        <w:tab/>
      </w:r>
      <w:r>
        <w:rPr>
          <w:noProof/>
        </w:rPr>
        <w:fldChar w:fldCharType="begin"/>
      </w:r>
      <w:r>
        <w:rPr>
          <w:noProof/>
        </w:rPr>
        <w:instrText xml:space="preserve"> PAGEREF _Toc5437135 \h </w:instrText>
      </w:r>
      <w:r>
        <w:rPr>
          <w:noProof/>
        </w:rPr>
      </w:r>
      <w:r>
        <w:rPr>
          <w:noProof/>
        </w:rPr>
        <w:fldChar w:fldCharType="separate"/>
      </w:r>
      <w:r w:rsidR="000B1E5C">
        <w:rPr>
          <w:noProof/>
        </w:rPr>
        <w:t>31</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15A:</w:t>
      </w:r>
      <w:r>
        <w:rPr>
          <w:noProof/>
        </w:rPr>
        <w:tab/>
        <w:t>Body size indicators by food security status for children aged</w:t>
      </w:r>
      <w:r w:rsidR="00FA79FA">
        <w:rPr>
          <w:noProof/>
        </w:rPr>
        <w:br/>
      </w:r>
      <w:r>
        <w:rPr>
          <w:noProof/>
        </w:rPr>
        <w:t>2–4 years, 2014/15 and 2015/16</w:t>
      </w:r>
      <w:r>
        <w:rPr>
          <w:noProof/>
        </w:rPr>
        <w:tab/>
      </w:r>
      <w:r>
        <w:rPr>
          <w:noProof/>
        </w:rPr>
        <w:fldChar w:fldCharType="begin"/>
      </w:r>
      <w:r>
        <w:rPr>
          <w:noProof/>
        </w:rPr>
        <w:instrText xml:space="preserve"> PAGEREF _Toc5437136 \h </w:instrText>
      </w:r>
      <w:r>
        <w:rPr>
          <w:noProof/>
        </w:rPr>
      </w:r>
      <w:r>
        <w:rPr>
          <w:noProof/>
        </w:rPr>
        <w:fldChar w:fldCharType="separate"/>
      </w:r>
      <w:r w:rsidR="000B1E5C">
        <w:rPr>
          <w:noProof/>
        </w:rPr>
        <w:t>32</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lastRenderedPageBreak/>
        <w:t>Figure 15B:</w:t>
      </w:r>
      <w:r>
        <w:rPr>
          <w:noProof/>
        </w:rPr>
        <w:tab/>
        <w:t>Body size indicators by food security status for children aged</w:t>
      </w:r>
      <w:r w:rsidR="00FA79FA">
        <w:rPr>
          <w:noProof/>
        </w:rPr>
        <w:br/>
      </w:r>
      <w:r>
        <w:rPr>
          <w:noProof/>
        </w:rPr>
        <w:t>5–9 years, 2014/15 and 2015/16</w:t>
      </w:r>
      <w:r>
        <w:rPr>
          <w:noProof/>
        </w:rPr>
        <w:tab/>
      </w:r>
      <w:r>
        <w:rPr>
          <w:noProof/>
        </w:rPr>
        <w:fldChar w:fldCharType="begin"/>
      </w:r>
      <w:r>
        <w:rPr>
          <w:noProof/>
        </w:rPr>
        <w:instrText xml:space="preserve"> PAGEREF _Toc5437137 \h </w:instrText>
      </w:r>
      <w:r>
        <w:rPr>
          <w:noProof/>
        </w:rPr>
      </w:r>
      <w:r>
        <w:rPr>
          <w:noProof/>
        </w:rPr>
        <w:fldChar w:fldCharType="separate"/>
      </w:r>
      <w:r w:rsidR="000B1E5C">
        <w:rPr>
          <w:noProof/>
        </w:rPr>
        <w:t>33</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15C:</w:t>
      </w:r>
      <w:r>
        <w:rPr>
          <w:noProof/>
        </w:rPr>
        <w:tab/>
        <w:t>Body size indicators by food security status for children aged</w:t>
      </w:r>
      <w:r w:rsidR="00FA79FA">
        <w:rPr>
          <w:noProof/>
        </w:rPr>
        <w:br/>
      </w:r>
      <w:r>
        <w:rPr>
          <w:noProof/>
        </w:rPr>
        <w:t>10–14 years, 2014/15 and 2015/16</w:t>
      </w:r>
      <w:r>
        <w:rPr>
          <w:noProof/>
        </w:rPr>
        <w:tab/>
      </w:r>
      <w:r>
        <w:rPr>
          <w:noProof/>
        </w:rPr>
        <w:fldChar w:fldCharType="begin"/>
      </w:r>
      <w:r>
        <w:rPr>
          <w:noProof/>
        </w:rPr>
        <w:instrText xml:space="preserve"> PAGEREF _Toc5437138 \h </w:instrText>
      </w:r>
      <w:r>
        <w:rPr>
          <w:noProof/>
        </w:rPr>
      </w:r>
      <w:r>
        <w:rPr>
          <w:noProof/>
        </w:rPr>
        <w:fldChar w:fldCharType="separate"/>
      </w:r>
      <w:r w:rsidR="000B1E5C">
        <w:rPr>
          <w:noProof/>
        </w:rPr>
        <w:t>33</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16:</w:t>
      </w:r>
      <w:r>
        <w:rPr>
          <w:noProof/>
        </w:rPr>
        <w:tab/>
        <w:t>Household food insecurity and health indicators for children and their caregivers, 2014/15 and 2015/16</w:t>
      </w:r>
      <w:r>
        <w:rPr>
          <w:noProof/>
        </w:rPr>
        <w:tab/>
      </w:r>
      <w:r>
        <w:rPr>
          <w:noProof/>
        </w:rPr>
        <w:fldChar w:fldCharType="begin"/>
      </w:r>
      <w:r>
        <w:rPr>
          <w:noProof/>
        </w:rPr>
        <w:instrText xml:space="preserve"> PAGEREF _Toc5437139 \h </w:instrText>
      </w:r>
      <w:r>
        <w:rPr>
          <w:noProof/>
        </w:rPr>
      </w:r>
      <w:r>
        <w:rPr>
          <w:noProof/>
        </w:rPr>
        <w:fldChar w:fldCharType="separate"/>
      </w:r>
      <w:r w:rsidR="000B1E5C">
        <w:rPr>
          <w:noProof/>
        </w:rPr>
        <w:t>34</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17:</w:t>
      </w:r>
      <w:r>
        <w:rPr>
          <w:noProof/>
        </w:rPr>
        <w:tab/>
        <w:t>Household food insecurity and concerns about child development – PEDS, 2014/15 and 2015/16</w:t>
      </w:r>
      <w:r>
        <w:rPr>
          <w:noProof/>
        </w:rPr>
        <w:tab/>
      </w:r>
      <w:r>
        <w:rPr>
          <w:noProof/>
        </w:rPr>
        <w:fldChar w:fldCharType="begin"/>
      </w:r>
      <w:r>
        <w:rPr>
          <w:noProof/>
        </w:rPr>
        <w:instrText xml:space="preserve"> PAGEREF _Toc5437140 \h </w:instrText>
      </w:r>
      <w:r>
        <w:rPr>
          <w:noProof/>
        </w:rPr>
      </w:r>
      <w:r>
        <w:rPr>
          <w:noProof/>
        </w:rPr>
        <w:fldChar w:fldCharType="separate"/>
      </w:r>
      <w:r w:rsidR="000B1E5C">
        <w:rPr>
          <w:noProof/>
        </w:rPr>
        <w:t>36</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18:</w:t>
      </w:r>
      <w:r>
        <w:rPr>
          <w:noProof/>
        </w:rPr>
        <w:tab/>
        <w:t>Household food insecurity and concerns about child development – SDQ, 2014/15 and 2015/16</w:t>
      </w:r>
      <w:r>
        <w:rPr>
          <w:noProof/>
        </w:rPr>
        <w:tab/>
      </w:r>
      <w:r>
        <w:rPr>
          <w:noProof/>
        </w:rPr>
        <w:fldChar w:fldCharType="begin"/>
      </w:r>
      <w:r>
        <w:rPr>
          <w:noProof/>
        </w:rPr>
        <w:instrText xml:space="preserve"> PAGEREF _Toc5437141 \h </w:instrText>
      </w:r>
      <w:r>
        <w:rPr>
          <w:noProof/>
        </w:rPr>
      </w:r>
      <w:r>
        <w:rPr>
          <w:noProof/>
        </w:rPr>
        <w:fldChar w:fldCharType="separate"/>
      </w:r>
      <w:r w:rsidR="000B1E5C">
        <w:rPr>
          <w:noProof/>
        </w:rPr>
        <w:t>38</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19:</w:t>
      </w:r>
      <w:r>
        <w:rPr>
          <w:noProof/>
        </w:rPr>
        <w:tab/>
        <w:t>Household food insecurity and caregiver stress indicators, 2014/15 and 2015/16</w:t>
      </w:r>
      <w:r>
        <w:rPr>
          <w:noProof/>
        </w:rPr>
        <w:tab/>
      </w:r>
      <w:r>
        <w:rPr>
          <w:noProof/>
        </w:rPr>
        <w:fldChar w:fldCharType="begin"/>
      </w:r>
      <w:r>
        <w:rPr>
          <w:noProof/>
        </w:rPr>
        <w:instrText xml:space="preserve"> PAGEREF _Toc5437142 \h </w:instrText>
      </w:r>
      <w:r>
        <w:rPr>
          <w:noProof/>
        </w:rPr>
      </w:r>
      <w:r>
        <w:rPr>
          <w:noProof/>
        </w:rPr>
        <w:fldChar w:fldCharType="separate"/>
      </w:r>
      <w:r w:rsidR="000B1E5C">
        <w:rPr>
          <w:noProof/>
        </w:rPr>
        <w:t>40</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20:</w:t>
      </w:r>
      <w:r>
        <w:rPr>
          <w:noProof/>
        </w:rPr>
        <w:tab/>
        <w:t>Household food insecurity and tobacco use, 2015/16</w:t>
      </w:r>
      <w:r>
        <w:rPr>
          <w:noProof/>
        </w:rPr>
        <w:tab/>
      </w:r>
      <w:r>
        <w:rPr>
          <w:noProof/>
        </w:rPr>
        <w:fldChar w:fldCharType="begin"/>
      </w:r>
      <w:r>
        <w:rPr>
          <w:noProof/>
        </w:rPr>
        <w:instrText xml:space="preserve"> PAGEREF _Toc5437143 \h </w:instrText>
      </w:r>
      <w:r>
        <w:rPr>
          <w:noProof/>
        </w:rPr>
      </w:r>
      <w:r>
        <w:rPr>
          <w:noProof/>
        </w:rPr>
        <w:fldChar w:fldCharType="separate"/>
      </w:r>
      <w:r w:rsidR="000B1E5C">
        <w:rPr>
          <w:noProof/>
        </w:rPr>
        <w:t>42</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A2.1:</w:t>
      </w:r>
      <w:r>
        <w:rPr>
          <w:noProof/>
        </w:rPr>
        <w:tab/>
        <w:t>Probability of response selection for a specific item</w:t>
      </w:r>
      <w:r>
        <w:rPr>
          <w:noProof/>
        </w:rPr>
        <w:tab/>
      </w:r>
      <w:r>
        <w:rPr>
          <w:noProof/>
        </w:rPr>
        <w:fldChar w:fldCharType="begin"/>
      </w:r>
      <w:r>
        <w:rPr>
          <w:noProof/>
        </w:rPr>
        <w:instrText xml:space="preserve"> PAGEREF _Toc5437144 \h </w:instrText>
      </w:r>
      <w:r>
        <w:rPr>
          <w:noProof/>
        </w:rPr>
      </w:r>
      <w:r>
        <w:rPr>
          <w:noProof/>
        </w:rPr>
        <w:fldChar w:fldCharType="separate"/>
      </w:r>
      <w:r w:rsidR="000B1E5C">
        <w:rPr>
          <w:noProof/>
        </w:rPr>
        <w:t>53</w:t>
      </w:r>
      <w:r>
        <w:rPr>
          <w:noProof/>
        </w:rPr>
        <w:fldChar w:fldCharType="end"/>
      </w:r>
    </w:p>
    <w:p w:rsidR="00E362E1" w:rsidRDefault="00E362E1">
      <w:pPr>
        <w:pStyle w:val="TOC3"/>
        <w:rPr>
          <w:rFonts w:asciiTheme="minorHAnsi" w:eastAsiaTheme="minorEastAsia" w:hAnsiTheme="minorHAnsi" w:cstheme="minorBidi"/>
          <w:noProof/>
          <w:sz w:val="22"/>
          <w:szCs w:val="22"/>
          <w:lang w:eastAsia="en-NZ"/>
        </w:rPr>
      </w:pPr>
      <w:r>
        <w:rPr>
          <w:noProof/>
        </w:rPr>
        <w:t>Figure A2.2:</w:t>
      </w:r>
      <w:r>
        <w:rPr>
          <w:noProof/>
        </w:rPr>
        <w:tab/>
        <w:t>Distribution of the food insecurity index across all children aged</w:t>
      </w:r>
      <w:r w:rsidR="00FA79FA">
        <w:rPr>
          <w:noProof/>
        </w:rPr>
        <w:br/>
      </w:r>
      <w:r>
        <w:rPr>
          <w:noProof/>
        </w:rPr>
        <w:t>0–14, 2015/16</w:t>
      </w:r>
      <w:r>
        <w:rPr>
          <w:noProof/>
        </w:rPr>
        <w:tab/>
      </w:r>
      <w:r>
        <w:rPr>
          <w:noProof/>
        </w:rPr>
        <w:fldChar w:fldCharType="begin"/>
      </w:r>
      <w:r>
        <w:rPr>
          <w:noProof/>
        </w:rPr>
        <w:instrText xml:space="preserve"> PAGEREF _Toc5437145 \h </w:instrText>
      </w:r>
      <w:r>
        <w:rPr>
          <w:noProof/>
        </w:rPr>
      </w:r>
      <w:r>
        <w:rPr>
          <w:noProof/>
        </w:rPr>
        <w:fldChar w:fldCharType="separate"/>
      </w:r>
      <w:r w:rsidR="000B1E5C">
        <w:rPr>
          <w:noProof/>
        </w:rPr>
        <w:t>54</w:t>
      </w:r>
      <w:r>
        <w:rPr>
          <w:noProof/>
        </w:rPr>
        <w:fldChar w:fldCharType="end"/>
      </w:r>
    </w:p>
    <w:p w:rsidR="000A0158" w:rsidRPr="000A0158" w:rsidRDefault="000A0158" w:rsidP="000A0158">
      <w:r>
        <w:fldChar w:fldCharType="end"/>
      </w:r>
    </w:p>
    <w:p w:rsidR="002B76A7" w:rsidRDefault="002B76A7" w:rsidP="002B76A7">
      <w:pPr>
        <w:pStyle w:val="TOC1"/>
        <w:keepNext/>
      </w:pPr>
      <w:r>
        <w:t>List of Tables</w:t>
      </w:r>
    </w:p>
    <w:p w:rsidR="00FA79FA"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FA79FA">
        <w:rPr>
          <w:noProof/>
        </w:rPr>
        <w:t>Table 1:</w:t>
      </w:r>
      <w:r w:rsidR="00FA79FA">
        <w:rPr>
          <w:noProof/>
        </w:rPr>
        <w:tab/>
        <w:t>Food insecurity items in the child component of the New Zealand Health Survey</w:t>
      </w:r>
      <w:r w:rsidR="00FA79FA">
        <w:rPr>
          <w:noProof/>
        </w:rPr>
        <w:tab/>
      </w:r>
      <w:r w:rsidR="00FA79FA">
        <w:rPr>
          <w:noProof/>
        </w:rPr>
        <w:fldChar w:fldCharType="begin"/>
      </w:r>
      <w:r w:rsidR="00FA79FA">
        <w:rPr>
          <w:noProof/>
        </w:rPr>
        <w:instrText xml:space="preserve"> PAGEREF _Toc5437189 \h </w:instrText>
      </w:r>
      <w:r w:rsidR="00FA79FA">
        <w:rPr>
          <w:noProof/>
        </w:rPr>
      </w:r>
      <w:r w:rsidR="00FA79FA">
        <w:rPr>
          <w:noProof/>
        </w:rPr>
        <w:fldChar w:fldCharType="separate"/>
      </w:r>
      <w:r w:rsidR="000B1E5C">
        <w:rPr>
          <w:noProof/>
        </w:rPr>
        <w:t>4</w:t>
      </w:r>
      <w:r w:rsidR="00FA79FA">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2:</w:t>
      </w:r>
      <w:r>
        <w:rPr>
          <w:noProof/>
        </w:rPr>
        <w:tab/>
        <w:t>Item responses to the food security questionnaire and summary index, 2015/16</w:t>
      </w:r>
      <w:r>
        <w:rPr>
          <w:noProof/>
        </w:rPr>
        <w:tab/>
      </w:r>
      <w:r>
        <w:rPr>
          <w:noProof/>
        </w:rPr>
        <w:fldChar w:fldCharType="begin"/>
      </w:r>
      <w:r>
        <w:rPr>
          <w:noProof/>
        </w:rPr>
        <w:instrText xml:space="preserve"> PAGEREF _Toc5437190 \h </w:instrText>
      </w:r>
      <w:r>
        <w:rPr>
          <w:noProof/>
        </w:rPr>
      </w:r>
      <w:r>
        <w:rPr>
          <w:noProof/>
        </w:rPr>
        <w:fldChar w:fldCharType="separate"/>
      </w:r>
      <w:r w:rsidR="000B1E5C">
        <w:rPr>
          <w:noProof/>
        </w:rPr>
        <w:t>9</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3:</w:t>
      </w:r>
      <w:r>
        <w:rPr>
          <w:noProof/>
        </w:rPr>
        <w:tab/>
        <w:t>Prevalence of children living in food-insecure households, by age and sex, 2015/16</w:t>
      </w:r>
      <w:r>
        <w:rPr>
          <w:noProof/>
        </w:rPr>
        <w:tab/>
      </w:r>
      <w:r>
        <w:rPr>
          <w:noProof/>
        </w:rPr>
        <w:fldChar w:fldCharType="begin"/>
      </w:r>
      <w:r>
        <w:rPr>
          <w:noProof/>
        </w:rPr>
        <w:instrText xml:space="preserve"> PAGEREF _Toc5437191 \h </w:instrText>
      </w:r>
      <w:r>
        <w:rPr>
          <w:noProof/>
        </w:rPr>
      </w:r>
      <w:r>
        <w:rPr>
          <w:noProof/>
        </w:rPr>
        <w:fldChar w:fldCharType="separate"/>
      </w:r>
      <w:r w:rsidR="000B1E5C">
        <w:rPr>
          <w:noProof/>
        </w:rPr>
        <w:t>10</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4:</w:t>
      </w:r>
      <w:r>
        <w:rPr>
          <w:noProof/>
        </w:rPr>
        <w:tab/>
        <w:t>Prevalence of children living in households with food insecurity, by neighbourhood deprivation, household income and benefit receipt, 2015/16</w:t>
      </w:r>
      <w:r>
        <w:rPr>
          <w:noProof/>
        </w:rPr>
        <w:tab/>
      </w:r>
      <w:r>
        <w:rPr>
          <w:noProof/>
        </w:rPr>
        <w:fldChar w:fldCharType="begin"/>
      </w:r>
      <w:r>
        <w:rPr>
          <w:noProof/>
        </w:rPr>
        <w:instrText xml:space="preserve"> PAGEREF _Toc5437192 \h </w:instrText>
      </w:r>
      <w:r>
        <w:rPr>
          <w:noProof/>
        </w:rPr>
      </w:r>
      <w:r>
        <w:rPr>
          <w:noProof/>
        </w:rPr>
        <w:fldChar w:fldCharType="separate"/>
      </w:r>
      <w:r w:rsidR="000B1E5C">
        <w:rPr>
          <w:noProof/>
        </w:rPr>
        <w:t>14</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5:</w:t>
      </w:r>
      <w:r>
        <w:rPr>
          <w:noProof/>
        </w:rPr>
        <w:tab/>
        <w:t>Prevalence of children living in households with food insecurity, by housing tenure, 2015/16</w:t>
      </w:r>
      <w:r>
        <w:rPr>
          <w:noProof/>
        </w:rPr>
        <w:tab/>
      </w:r>
      <w:r>
        <w:rPr>
          <w:noProof/>
        </w:rPr>
        <w:fldChar w:fldCharType="begin"/>
      </w:r>
      <w:r>
        <w:rPr>
          <w:noProof/>
        </w:rPr>
        <w:instrText xml:space="preserve"> PAGEREF _Toc5437193 \h </w:instrText>
      </w:r>
      <w:r>
        <w:rPr>
          <w:noProof/>
        </w:rPr>
      </w:r>
      <w:r>
        <w:rPr>
          <w:noProof/>
        </w:rPr>
        <w:fldChar w:fldCharType="separate"/>
      </w:r>
      <w:r w:rsidR="000B1E5C">
        <w:rPr>
          <w:noProof/>
        </w:rPr>
        <w:t>16</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6:</w:t>
      </w:r>
      <w:r>
        <w:rPr>
          <w:noProof/>
        </w:rPr>
        <w:tab/>
        <w:t>Prevalence of children living in food-insecure households, by ethnicity, 2015/16</w:t>
      </w:r>
      <w:r>
        <w:rPr>
          <w:noProof/>
        </w:rPr>
        <w:tab/>
      </w:r>
      <w:r>
        <w:rPr>
          <w:noProof/>
        </w:rPr>
        <w:fldChar w:fldCharType="begin"/>
      </w:r>
      <w:r>
        <w:rPr>
          <w:noProof/>
        </w:rPr>
        <w:instrText xml:space="preserve"> PAGEREF _Toc5437194 \h </w:instrText>
      </w:r>
      <w:r>
        <w:rPr>
          <w:noProof/>
        </w:rPr>
      </w:r>
      <w:r>
        <w:rPr>
          <w:noProof/>
        </w:rPr>
        <w:fldChar w:fldCharType="separate"/>
      </w:r>
      <w:r w:rsidR="000B1E5C">
        <w:rPr>
          <w:noProof/>
        </w:rPr>
        <w:t>19</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7:</w:t>
      </w:r>
      <w:r>
        <w:rPr>
          <w:noProof/>
        </w:rPr>
        <w:tab/>
        <w:t>Prevalence of children living in food-insecure households, by household composition, 2015/16</w:t>
      </w:r>
      <w:r>
        <w:rPr>
          <w:noProof/>
        </w:rPr>
        <w:tab/>
      </w:r>
      <w:r>
        <w:rPr>
          <w:noProof/>
        </w:rPr>
        <w:fldChar w:fldCharType="begin"/>
      </w:r>
      <w:r>
        <w:rPr>
          <w:noProof/>
        </w:rPr>
        <w:instrText xml:space="preserve"> PAGEREF _Toc5437195 \h </w:instrText>
      </w:r>
      <w:r>
        <w:rPr>
          <w:noProof/>
        </w:rPr>
      </w:r>
      <w:r>
        <w:rPr>
          <w:noProof/>
        </w:rPr>
        <w:fldChar w:fldCharType="separate"/>
      </w:r>
      <w:r w:rsidR="000B1E5C">
        <w:rPr>
          <w:noProof/>
        </w:rPr>
        <w:t>21</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8:</w:t>
      </w:r>
      <w:r>
        <w:rPr>
          <w:noProof/>
        </w:rPr>
        <w:tab/>
        <w:t>Prevalence of severe-to-moderate food insecurity among children aged 0–14 years, 2012/2013, 2014/2015 and 2015/16</w:t>
      </w:r>
      <w:r>
        <w:rPr>
          <w:noProof/>
        </w:rPr>
        <w:tab/>
      </w:r>
      <w:r>
        <w:rPr>
          <w:noProof/>
        </w:rPr>
        <w:fldChar w:fldCharType="begin"/>
      </w:r>
      <w:r>
        <w:rPr>
          <w:noProof/>
        </w:rPr>
        <w:instrText xml:space="preserve"> PAGEREF _Toc5437196 \h </w:instrText>
      </w:r>
      <w:r>
        <w:rPr>
          <w:noProof/>
        </w:rPr>
      </w:r>
      <w:r>
        <w:rPr>
          <w:noProof/>
        </w:rPr>
        <w:fldChar w:fldCharType="separate"/>
      </w:r>
      <w:r w:rsidR="000B1E5C">
        <w:rPr>
          <w:noProof/>
        </w:rPr>
        <w:t>24</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9:</w:t>
      </w:r>
      <w:r>
        <w:rPr>
          <w:noProof/>
        </w:rPr>
        <w:tab/>
        <w:t>Child unmet need, indicators by food security status, 2014/15 and 2015/16</w:t>
      </w:r>
      <w:r>
        <w:rPr>
          <w:noProof/>
        </w:rPr>
        <w:tab/>
      </w:r>
      <w:r>
        <w:rPr>
          <w:noProof/>
        </w:rPr>
        <w:fldChar w:fldCharType="begin"/>
      </w:r>
      <w:r>
        <w:rPr>
          <w:noProof/>
        </w:rPr>
        <w:instrText xml:space="preserve"> PAGEREF _Toc5437197 \h </w:instrText>
      </w:r>
      <w:r>
        <w:rPr>
          <w:noProof/>
        </w:rPr>
      </w:r>
      <w:r>
        <w:rPr>
          <w:noProof/>
        </w:rPr>
        <w:fldChar w:fldCharType="separate"/>
      </w:r>
      <w:r w:rsidR="000B1E5C">
        <w:rPr>
          <w:noProof/>
        </w:rPr>
        <w:t>28</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10:</w:t>
      </w:r>
      <w:r>
        <w:rPr>
          <w:noProof/>
        </w:rPr>
        <w:tab/>
        <w:t>Health indicators for children and their caregivers, by food security status, 2014/15 and 2015/16</w:t>
      </w:r>
      <w:r>
        <w:rPr>
          <w:noProof/>
        </w:rPr>
        <w:tab/>
      </w:r>
      <w:r>
        <w:rPr>
          <w:noProof/>
        </w:rPr>
        <w:fldChar w:fldCharType="begin"/>
      </w:r>
      <w:r>
        <w:rPr>
          <w:noProof/>
        </w:rPr>
        <w:instrText xml:space="preserve"> PAGEREF _Toc5437198 \h </w:instrText>
      </w:r>
      <w:r>
        <w:rPr>
          <w:noProof/>
        </w:rPr>
      </w:r>
      <w:r>
        <w:rPr>
          <w:noProof/>
        </w:rPr>
        <w:fldChar w:fldCharType="separate"/>
      </w:r>
      <w:r w:rsidR="000B1E5C">
        <w:rPr>
          <w:noProof/>
        </w:rPr>
        <w:t>35</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11:</w:t>
      </w:r>
      <w:r>
        <w:rPr>
          <w:noProof/>
        </w:rPr>
        <w:tab/>
        <w:t>Child development indicators by food security status – PEDS, 2014/15 and 2015/16</w:t>
      </w:r>
      <w:r>
        <w:rPr>
          <w:noProof/>
        </w:rPr>
        <w:tab/>
      </w:r>
      <w:r>
        <w:rPr>
          <w:noProof/>
        </w:rPr>
        <w:fldChar w:fldCharType="begin"/>
      </w:r>
      <w:r>
        <w:rPr>
          <w:noProof/>
        </w:rPr>
        <w:instrText xml:space="preserve"> PAGEREF _Toc5437199 \h </w:instrText>
      </w:r>
      <w:r>
        <w:rPr>
          <w:noProof/>
        </w:rPr>
      </w:r>
      <w:r>
        <w:rPr>
          <w:noProof/>
        </w:rPr>
        <w:fldChar w:fldCharType="separate"/>
      </w:r>
      <w:r w:rsidR="000B1E5C">
        <w:rPr>
          <w:noProof/>
        </w:rPr>
        <w:t>37</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lastRenderedPageBreak/>
        <w:t>Table 12:</w:t>
      </w:r>
      <w:r>
        <w:rPr>
          <w:noProof/>
        </w:rPr>
        <w:tab/>
        <w:t>Child development indicators by food security status – SDQ, 2014/15 and 2015/16</w:t>
      </w:r>
      <w:r>
        <w:rPr>
          <w:noProof/>
        </w:rPr>
        <w:tab/>
      </w:r>
      <w:r>
        <w:rPr>
          <w:noProof/>
        </w:rPr>
        <w:fldChar w:fldCharType="begin"/>
      </w:r>
      <w:r>
        <w:rPr>
          <w:noProof/>
        </w:rPr>
        <w:instrText xml:space="preserve"> PAGEREF _Toc5437200 \h </w:instrText>
      </w:r>
      <w:r>
        <w:rPr>
          <w:noProof/>
        </w:rPr>
      </w:r>
      <w:r>
        <w:rPr>
          <w:noProof/>
        </w:rPr>
        <w:fldChar w:fldCharType="separate"/>
      </w:r>
      <w:r w:rsidR="000B1E5C">
        <w:rPr>
          <w:noProof/>
        </w:rPr>
        <w:t>38</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13:</w:t>
      </w:r>
      <w:r>
        <w:rPr>
          <w:noProof/>
        </w:rPr>
        <w:tab/>
        <w:t>Caregiver stress indicators, by food security status, 2014/15 and 2015/16</w:t>
      </w:r>
      <w:r>
        <w:rPr>
          <w:noProof/>
        </w:rPr>
        <w:tab/>
      </w:r>
      <w:r>
        <w:rPr>
          <w:noProof/>
        </w:rPr>
        <w:fldChar w:fldCharType="begin"/>
      </w:r>
      <w:r>
        <w:rPr>
          <w:noProof/>
        </w:rPr>
        <w:instrText xml:space="preserve"> PAGEREF _Toc5437201 \h </w:instrText>
      </w:r>
      <w:r>
        <w:rPr>
          <w:noProof/>
        </w:rPr>
      </w:r>
      <w:r>
        <w:rPr>
          <w:noProof/>
        </w:rPr>
        <w:fldChar w:fldCharType="separate"/>
      </w:r>
      <w:r w:rsidR="000B1E5C">
        <w:rPr>
          <w:noProof/>
        </w:rPr>
        <w:t>41</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14:</w:t>
      </w:r>
      <w:r>
        <w:rPr>
          <w:noProof/>
        </w:rPr>
        <w:tab/>
        <w:t>Tobacco use, by food security status, 2015/16</w:t>
      </w:r>
      <w:r>
        <w:rPr>
          <w:noProof/>
        </w:rPr>
        <w:tab/>
      </w:r>
      <w:r>
        <w:rPr>
          <w:noProof/>
        </w:rPr>
        <w:fldChar w:fldCharType="begin"/>
      </w:r>
      <w:r>
        <w:rPr>
          <w:noProof/>
        </w:rPr>
        <w:instrText xml:space="preserve"> PAGEREF _Toc5437202 \h </w:instrText>
      </w:r>
      <w:r>
        <w:rPr>
          <w:noProof/>
        </w:rPr>
      </w:r>
      <w:r>
        <w:rPr>
          <w:noProof/>
        </w:rPr>
        <w:fldChar w:fldCharType="separate"/>
      </w:r>
      <w:r w:rsidR="000B1E5C">
        <w:rPr>
          <w:noProof/>
        </w:rPr>
        <w:t>42</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A1.1:</w:t>
      </w:r>
      <w:r>
        <w:rPr>
          <w:noProof/>
        </w:rPr>
        <w:tab/>
        <w:t>Number of primary caregivers responding to the child component of the New Zealand Health Survey, 2012/13, 2014/15 and 2015/16</w:t>
      </w:r>
      <w:r>
        <w:rPr>
          <w:noProof/>
        </w:rPr>
        <w:tab/>
      </w:r>
      <w:r>
        <w:rPr>
          <w:noProof/>
        </w:rPr>
        <w:fldChar w:fldCharType="begin"/>
      </w:r>
      <w:r>
        <w:rPr>
          <w:noProof/>
        </w:rPr>
        <w:instrText xml:space="preserve"> PAGEREF _Toc5437203 \h </w:instrText>
      </w:r>
      <w:r>
        <w:rPr>
          <w:noProof/>
        </w:rPr>
      </w:r>
      <w:r>
        <w:rPr>
          <w:noProof/>
        </w:rPr>
        <w:fldChar w:fldCharType="separate"/>
      </w:r>
      <w:r w:rsidR="000B1E5C">
        <w:rPr>
          <w:noProof/>
        </w:rPr>
        <w:t>51</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A2.1:</w:t>
      </w:r>
      <w:r>
        <w:rPr>
          <w:noProof/>
        </w:rPr>
        <w:tab/>
        <w:t>Item response theory estimates, 2015/16</w:t>
      </w:r>
      <w:r>
        <w:rPr>
          <w:noProof/>
        </w:rPr>
        <w:tab/>
      </w:r>
      <w:r>
        <w:rPr>
          <w:noProof/>
        </w:rPr>
        <w:fldChar w:fldCharType="begin"/>
      </w:r>
      <w:r>
        <w:rPr>
          <w:noProof/>
        </w:rPr>
        <w:instrText xml:space="preserve"> PAGEREF _Toc5437204 \h </w:instrText>
      </w:r>
      <w:r>
        <w:rPr>
          <w:noProof/>
        </w:rPr>
      </w:r>
      <w:r>
        <w:rPr>
          <w:noProof/>
        </w:rPr>
        <w:fldChar w:fldCharType="separate"/>
      </w:r>
      <w:r w:rsidR="000B1E5C">
        <w:rPr>
          <w:noProof/>
        </w:rPr>
        <w:t>54</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A3.1:</w:t>
      </w:r>
      <w:r>
        <w:rPr>
          <w:noProof/>
        </w:rPr>
        <w:tab/>
        <w:t>New Zealand Health Survey variables</w:t>
      </w:r>
      <w:r>
        <w:rPr>
          <w:noProof/>
        </w:rPr>
        <w:tab/>
      </w:r>
      <w:r>
        <w:rPr>
          <w:noProof/>
        </w:rPr>
        <w:fldChar w:fldCharType="begin"/>
      </w:r>
      <w:r>
        <w:rPr>
          <w:noProof/>
        </w:rPr>
        <w:instrText xml:space="preserve"> PAGEREF _Toc5437205 \h </w:instrText>
      </w:r>
      <w:r>
        <w:rPr>
          <w:noProof/>
        </w:rPr>
      </w:r>
      <w:r>
        <w:rPr>
          <w:noProof/>
        </w:rPr>
        <w:fldChar w:fldCharType="separate"/>
      </w:r>
      <w:r w:rsidR="000B1E5C">
        <w:rPr>
          <w:noProof/>
        </w:rPr>
        <w:t>55</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A4.1:</w:t>
      </w:r>
      <w:r>
        <w:rPr>
          <w:noProof/>
        </w:rPr>
        <w:tab/>
        <w:t>Share of the child population in each group</w:t>
      </w:r>
      <w:r>
        <w:rPr>
          <w:noProof/>
        </w:rPr>
        <w:tab/>
      </w:r>
      <w:r>
        <w:rPr>
          <w:noProof/>
        </w:rPr>
        <w:fldChar w:fldCharType="begin"/>
      </w:r>
      <w:r>
        <w:rPr>
          <w:noProof/>
        </w:rPr>
        <w:instrText xml:space="preserve"> PAGEREF _Toc5437206 \h </w:instrText>
      </w:r>
      <w:r>
        <w:rPr>
          <w:noProof/>
        </w:rPr>
      </w:r>
      <w:r>
        <w:rPr>
          <w:noProof/>
        </w:rPr>
        <w:fldChar w:fldCharType="separate"/>
      </w:r>
      <w:r w:rsidR="000B1E5C">
        <w:rPr>
          <w:noProof/>
        </w:rPr>
        <w:t>64</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A5.1:</w:t>
      </w:r>
      <w:r>
        <w:rPr>
          <w:noProof/>
        </w:rPr>
        <w:tab/>
        <w:t>Vegetable consumption by food security status, 2014/15 and 2015/16</w:t>
      </w:r>
      <w:r>
        <w:rPr>
          <w:noProof/>
        </w:rPr>
        <w:tab/>
      </w:r>
      <w:r>
        <w:rPr>
          <w:noProof/>
        </w:rPr>
        <w:fldChar w:fldCharType="begin"/>
      </w:r>
      <w:r>
        <w:rPr>
          <w:noProof/>
        </w:rPr>
        <w:instrText xml:space="preserve"> PAGEREF _Toc5437207 \h </w:instrText>
      </w:r>
      <w:r>
        <w:rPr>
          <w:noProof/>
        </w:rPr>
      </w:r>
      <w:r>
        <w:rPr>
          <w:noProof/>
        </w:rPr>
        <w:fldChar w:fldCharType="separate"/>
      </w:r>
      <w:r w:rsidR="000B1E5C">
        <w:rPr>
          <w:noProof/>
        </w:rPr>
        <w:t>66</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A5.2:</w:t>
      </w:r>
      <w:r>
        <w:rPr>
          <w:noProof/>
        </w:rPr>
        <w:tab/>
        <w:t>Fruit consumption by food security status, 2014/15 and 2015/16</w:t>
      </w:r>
      <w:r>
        <w:rPr>
          <w:noProof/>
        </w:rPr>
        <w:tab/>
      </w:r>
      <w:r>
        <w:rPr>
          <w:noProof/>
        </w:rPr>
        <w:fldChar w:fldCharType="begin"/>
      </w:r>
      <w:r>
        <w:rPr>
          <w:noProof/>
        </w:rPr>
        <w:instrText xml:space="preserve"> PAGEREF _Toc5437208 \h </w:instrText>
      </w:r>
      <w:r>
        <w:rPr>
          <w:noProof/>
        </w:rPr>
      </w:r>
      <w:r>
        <w:rPr>
          <w:noProof/>
        </w:rPr>
        <w:fldChar w:fldCharType="separate"/>
      </w:r>
      <w:r w:rsidR="000B1E5C">
        <w:rPr>
          <w:noProof/>
        </w:rPr>
        <w:t>66</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A5.3:</w:t>
      </w:r>
      <w:r>
        <w:rPr>
          <w:noProof/>
        </w:rPr>
        <w:tab/>
        <w:t>Breakfast by food security status, 2014/15 and 2015/16</w:t>
      </w:r>
      <w:r>
        <w:rPr>
          <w:noProof/>
        </w:rPr>
        <w:tab/>
      </w:r>
      <w:r>
        <w:rPr>
          <w:noProof/>
        </w:rPr>
        <w:fldChar w:fldCharType="begin"/>
      </w:r>
      <w:r>
        <w:rPr>
          <w:noProof/>
        </w:rPr>
        <w:instrText xml:space="preserve"> PAGEREF _Toc5437209 \h </w:instrText>
      </w:r>
      <w:r>
        <w:rPr>
          <w:noProof/>
        </w:rPr>
      </w:r>
      <w:r>
        <w:rPr>
          <w:noProof/>
        </w:rPr>
        <w:fldChar w:fldCharType="separate"/>
      </w:r>
      <w:r w:rsidR="000B1E5C">
        <w:rPr>
          <w:noProof/>
        </w:rPr>
        <w:t>67</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A5.4:</w:t>
      </w:r>
      <w:r>
        <w:rPr>
          <w:noProof/>
        </w:rPr>
        <w:tab/>
        <w:t>Fast food by food security status, 2014/15 and 2015/16</w:t>
      </w:r>
      <w:r>
        <w:rPr>
          <w:noProof/>
        </w:rPr>
        <w:tab/>
      </w:r>
      <w:r>
        <w:rPr>
          <w:noProof/>
        </w:rPr>
        <w:fldChar w:fldCharType="begin"/>
      </w:r>
      <w:r>
        <w:rPr>
          <w:noProof/>
        </w:rPr>
        <w:instrText xml:space="preserve"> PAGEREF _Toc5437210 \h </w:instrText>
      </w:r>
      <w:r>
        <w:rPr>
          <w:noProof/>
        </w:rPr>
      </w:r>
      <w:r>
        <w:rPr>
          <w:noProof/>
        </w:rPr>
        <w:fldChar w:fldCharType="separate"/>
      </w:r>
      <w:r w:rsidR="000B1E5C">
        <w:rPr>
          <w:noProof/>
        </w:rPr>
        <w:t>67</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A5.5:</w:t>
      </w:r>
      <w:r>
        <w:rPr>
          <w:noProof/>
        </w:rPr>
        <w:tab/>
        <w:t>Fizzy drinks by food security status, 2014/15 and 2015/16</w:t>
      </w:r>
      <w:r>
        <w:rPr>
          <w:noProof/>
        </w:rPr>
        <w:tab/>
      </w:r>
      <w:r>
        <w:rPr>
          <w:noProof/>
        </w:rPr>
        <w:fldChar w:fldCharType="begin"/>
      </w:r>
      <w:r>
        <w:rPr>
          <w:noProof/>
        </w:rPr>
        <w:instrText xml:space="preserve"> PAGEREF _Toc5437211 \h </w:instrText>
      </w:r>
      <w:r>
        <w:rPr>
          <w:noProof/>
        </w:rPr>
      </w:r>
      <w:r>
        <w:rPr>
          <w:noProof/>
        </w:rPr>
        <w:fldChar w:fldCharType="separate"/>
      </w:r>
      <w:r w:rsidR="000B1E5C">
        <w:rPr>
          <w:noProof/>
        </w:rPr>
        <w:t>67</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A5.6:</w:t>
      </w:r>
      <w:r>
        <w:rPr>
          <w:noProof/>
        </w:rPr>
        <w:tab/>
        <w:t>Child body size indicators by food security status, 2014/15 and 2015/16</w:t>
      </w:r>
      <w:r>
        <w:rPr>
          <w:noProof/>
        </w:rPr>
        <w:tab/>
      </w:r>
      <w:r>
        <w:rPr>
          <w:noProof/>
        </w:rPr>
        <w:fldChar w:fldCharType="begin"/>
      </w:r>
      <w:r>
        <w:rPr>
          <w:noProof/>
        </w:rPr>
        <w:instrText xml:space="preserve"> PAGEREF _Toc5437212 \h </w:instrText>
      </w:r>
      <w:r>
        <w:rPr>
          <w:noProof/>
        </w:rPr>
      </w:r>
      <w:r>
        <w:rPr>
          <w:noProof/>
        </w:rPr>
        <w:fldChar w:fldCharType="separate"/>
      </w:r>
      <w:r w:rsidR="000B1E5C">
        <w:rPr>
          <w:noProof/>
        </w:rPr>
        <w:t>68</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A5.7:</w:t>
      </w:r>
      <w:r>
        <w:rPr>
          <w:noProof/>
        </w:rPr>
        <w:tab/>
        <w:t>Child body size indicators by food security status, 2014/15 and 2015/16</w:t>
      </w:r>
      <w:r>
        <w:rPr>
          <w:noProof/>
        </w:rPr>
        <w:tab/>
      </w:r>
      <w:r>
        <w:rPr>
          <w:noProof/>
        </w:rPr>
        <w:fldChar w:fldCharType="begin"/>
      </w:r>
      <w:r>
        <w:rPr>
          <w:noProof/>
        </w:rPr>
        <w:instrText xml:space="preserve"> PAGEREF _Toc5437213 \h </w:instrText>
      </w:r>
      <w:r>
        <w:rPr>
          <w:noProof/>
        </w:rPr>
      </w:r>
      <w:r>
        <w:rPr>
          <w:noProof/>
        </w:rPr>
        <w:fldChar w:fldCharType="separate"/>
      </w:r>
      <w:r w:rsidR="000B1E5C">
        <w:rPr>
          <w:noProof/>
        </w:rPr>
        <w:t>68</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A5.8:</w:t>
      </w:r>
      <w:r>
        <w:rPr>
          <w:noProof/>
        </w:rPr>
        <w:tab/>
        <w:t>Child body size indicators by food security status, 2014/15 and 2015/16</w:t>
      </w:r>
      <w:r>
        <w:rPr>
          <w:noProof/>
        </w:rPr>
        <w:tab/>
      </w:r>
      <w:r>
        <w:rPr>
          <w:noProof/>
        </w:rPr>
        <w:fldChar w:fldCharType="begin"/>
      </w:r>
      <w:r>
        <w:rPr>
          <w:noProof/>
        </w:rPr>
        <w:instrText xml:space="preserve"> PAGEREF _Toc5437214 \h </w:instrText>
      </w:r>
      <w:r>
        <w:rPr>
          <w:noProof/>
        </w:rPr>
      </w:r>
      <w:r>
        <w:rPr>
          <w:noProof/>
        </w:rPr>
        <w:fldChar w:fldCharType="separate"/>
      </w:r>
      <w:r w:rsidR="000B1E5C">
        <w:rPr>
          <w:noProof/>
        </w:rPr>
        <w:t>68</w:t>
      </w:r>
      <w:r>
        <w:rPr>
          <w:noProof/>
        </w:rPr>
        <w:fldChar w:fldCharType="end"/>
      </w:r>
    </w:p>
    <w:p w:rsidR="00FA79FA" w:rsidRDefault="00FA79FA">
      <w:pPr>
        <w:pStyle w:val="TOC3"/>
        <w:rPr>
          <w:rFonts w:asciiTheme="minorHAnsi" w:eastAsiaTheme="minorEastAsia" w:hAnsiTheme="minorHAnsi" w:cstheme="minorBidi"/>
          <w:noProof/>
          <w:sz w:val="22"/>
          <w:szCs w:val="22"/>
          <w:lang w:eastAsia="en-NZ"/>
        </w:rPr>
      </w:pPr>
      <w:r>
        <w:rPr>
          <w:noProof/>
        </w:rPr>
        <w:t>Table A5.9:</w:t>
      </w:r>
      <w:r>
        <w:rPr>
          <w:noProof/>
        </w:rPr>
        <w:tab/>
        <w:t>Rates and rate ratios (ARR), adjusted for gross household income and number of children, 2015/16</w:t>
      </w:r>
      <w:r>
        <w:rPr>
          <w:noProof/>
        </w:rPr>
        <w:tab/>
      </w:r>
      <w:r>
        <w:rPr>
          <w:noProof/>
        </w:rPr>
        <w:fldChar w:fldCharType="begin"/>
      </w:r>
      <w:r>
        <w:rPr>
          <w:noProof/>
        </w:rPr>
        <w:instrText xml:space="preserve"> PAGEREF _Toc5437215 \h </w:instrText>
      </w:r>
      <w:r>
        <w:rPr>
          <w:noProof/>
        </w:rPr>
      </w:r>
      <w:r>
        <w:rPr>
          <w:noProof/>
        </w:rPr>
        <w:fldChar w:fldCharType="separate"/>
      </w:r>
      <w:r w:rsidR="000B1E5C">
        <w:rPr>
          <w:noProof/>
        </w:rPr>
        <w:t>69</w:t>
      </w:r>
      <w:r>
        <w:rPr>
          <w:noProof/>
        </w:rPr>
        <w:fldChar w:fldCharType="end"/>
      </w:r>
    </w:p>
    <w:p w:rsidR="002B76A7" w:rsidRDefault="002B76A7" w:rsidP="003A5FEA">
      <w:r>
        <w:fldChar w:fldCharType="end"/>
      </w:r>
    </w:p>
    <w:p w:rsidR="001D3E4E" w:rsidRDefault="001D3E4E" w:rsidP="003A5FEA">
      <w:pPr>
        <w:sectPr w:rsidR="001D3E4E" w:rsidSect="00925892">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rsidR="001D3E4E" w:rsidRDefault="00FC7A30" w:rsidP="002575E8">
      <w:pPr>
        <w:pStyle w:val="Heading1"/>
      </w:pPr>
      <w:bookmarkStart w:id="5" w:name="_Toc5437066"/>
      <w:r>
        <w:lastRenderedPageBreak/>
        <w:t>S</w:t>
      </w:r>
      <w:r w:rsidR="003235C6">
        <w:t>ummary</w:t>
      </w:r>
      <w:bookmarkEnd w:id="5"/>
    </w:p>
    <w:p w:rsidR="00FC7A30" w:rsidRPr="00EF4ADA" w:rsidRDefault="00FC7A30" w:rsidP="00EF4ADA">
      <w:pPr>
        <w:pStyle w:val="Introductoryparagraph"/>
      </w:pPr>
      <w:r w:rsidRPr="00EF4ADA">
        <w:t>In</w:t>
      </w:r>
      <w:r w:rsidRPr="00EF4ADA">
        <w:rPr>
          <w:spacing w:val="-47"/>
        </w:rPr>
        <w:t xml:space="preserve"> </w:t>
      </w:r>
      <w:r w:rsidRPr="00EF4ADA">
        <w:t>households</w:t>
      </w:r>
      <w:r w:rsidRPr="00EF4ADA">
        <w:rPr>
          <w:spacing w:val="-47"/>
        </w:rPr>
        <w:t xml:space="preserve"> </w:t>
      </w:r>
      <w:r w:rsidRPr="00EF4ADA">
        <w:t>with</w:t>
      </w:r>
      <w:r w:rsidRPr="00EF4ADA">
        <w:rPr>
          <w:spacing w:val="-47"/>
        </w:rPr>
        <w:t xml:space="preserve"> </w:t>
      </w:r>
      <w:r w:rsidRPr="00EF4ADA">
        <w:t>children,</w:t>
      </w:r>
      <w:r w:rsidRPr="00EF4ADA">
        <w:rPr>
          <w:spacing w:val="-47"/>
        </w:rPr>
        <w:t xml:space="preserve"> </w:t>
      </w:r>
      <w:r w:rsidRPr="00EF4ADA">
        <w:t>food</w:t>
      </w:r>
      <w:r w:rsidRPr="00EF4ADA">
        <w:rPr>
          <w:spacing w:val="-47"/>
        </w:rPr>
        <w:t xml:space="preserve"> </w:t>
      </w:r>
      <w:r w:rsidRPr="00EF4ADA">
        <w:t>insecurity</w:t>
      </w:r>
      <w:r w:rsidRPr="00EF4ADA">
        <w:rPr>
          <w:spacing w:val="-47"/>
        </w:rPr>
        <w:t xml:space="preserve"> </w:t>
      </w:r>
      <w:r w:rsidRPr="00EF4ADA">
        <w:t>occurs</w:t>
      </w:r>
      <w:r w:rsidRPr="00EF4ADA">
        <w:rPr>
          <w:spacing w:val="-47"/>
        </w:rPr>
        <w:t xml:space="preserve"> </w:t>
      </w:r>
      <w:r w:rsidRPr="00EF4ADA">
        <w:t>when adults</w:t>
      </w:r>
      <w:r w:rsidRPr="00EF4ADA">
        <w:rPr>
          <w:spacing w:val="-49"/>
        </w:rPr>
        <w:t xml:space="preserve"> </w:t>
      </w:r>
      <w:r w:rsidRPr="00EF4ADA">
        <w:t>or</w:t>
      </w:r>
      <w:r w:rsidRPr="00EF4ADA">
        <w:rPr>
          <w:spacing w:val="-49"/>
        </w:rPr>
        <w:t xml:space="preserve"> </w:t>
      </w:r>
      <w:r w:rsidRPr="00EF4ADA">
        <w:t>children</w:t>
      </w:r>
      <w:r w:rsidRPr="00EF4ADA">
        <w:rPr>
          <w:spacing w:val="-49"/>
        </w:rPr>
        <w:t xml:space="preserve"> </w:t>
      </w:r>
      <w:r w:rsidRPr="00EF4ADA">
        <w:t>do</w:t>
      </w:r>
      <w:r w:rsidRPr="00EF4ADA">
        <w:rPr>
          <w:spacing w:val="-49"/>
        </w:rPr>
        <w:t xml:space="preserve"> </w:t>
      </w:r>
      <w:r w:rsidRPr="00EF4ADA">
        <w:t>not</w:t>
      </w:r>
      <w:r w:rsidRPr="00EF4ADA">
        <w:rPr>
          <w:spacing w:val="-49"/>
        </w:rPr>
        <w:t xml:space="preserve"> </w:t>
      </w:r>
      <w:r w:rsidRPr="00EF4ADA">
        <w:t>have</w:t>
      </w:r>
      <w:r w:rsidRPr="00EF4ADA">
        <w:rPr>
          <w:spacing w:val="-49"/>
        </w:rPr>
        <w:t xml:space="preserve"> </w:t>
      </w:r>
      <w:r w:rsidRPr="00EF4ADA">
        <w:t>reliable</w:t>
      </w:r>
      <w:r w:rsidRPr="00EF4ADA">
        <w:rPr>
          <w:spacing w:val="-49"/>
        </w:rPr>
        <w:t xml:space="preserve"> </w:t>
      </w:r>
      <w:r w:rsidRPr="00EF4ADA">
        <w:t>access</w:t>
      </w:r>
      <w:r w:rsidRPr="00EF4ADA">
        <w:rPr>
          <w:spacing w:val="-49"/>
        </w:rPr>
        <w:t xml:space="preserve"> </w:t>
      </w:r>
      <w:r w:rsidRPr="00EF4ADA">
        <w:t>to</w:t>
      </w:r>
      <w:r w:rsidRPr="00EF4ADA">
        <w:rPr>
          <w:spacing w:val="-49"/>
        </w:rPr>
        <w:t xml:space="preserve"> </w:t>
      </w:r>
      <w:r w:rsidRPr="00EF4ADA">
        <w:t>adequate food,</w:t>
      </w:r>
      <w:r w:rsidRPr="00EF4ADA">
        <w:rPr>
          <w:spacing w:val="-65"/>
        </w:rPr>
        <w:t xml:space="preserve"> </w:t>
      </w:r>
      <w:r w:rsidRPr="00EF4ADA">
        <w:t>when</w:t>
      </w:r>
      <w:r w:rsidRPr="00EF4ADA">
        <w:rPr>
          <w:spacing w:val="-65"/>
        </w:rPr>
        <w:t xml:space="preserve"> </w:t>
      </w:r>
      <w:r w:rsidRPr="00EF4ADA">
        <w:t>caregivers</w:t>
      </w:r>
      <w:r w:rsidRPr="00EF4ADA">
        <w:rPr>
          <w:spacing w:val="-65"/>
        </w:rPr>
        <w:t xml:space="preserve"> </w:t>
      </w:r>
      <w:r w:rsidRPr="00EF4ADA">
        <w:t>feel</w:t>
      </w:r>
      <w:r w:rsidRPr="00EF4ADA">
        <w:rPr>
          <w:spacing w:val="-65"/>
        </w:rPr>
        <w:t xml:space="preserve"> </w:t>
      </w:r>
      <w:r w:rsidRPr="00EF4ADA">
        <w:t>stressed</w:t>
      </w:r>
      <w:r w:rsidRPr="00EF4ADA">
        <w:rPr>
          <w:spacing w:val="-65"/>
        </w:rPr>
        <w:t xml:space="preserve"> </w:t>
      </w:r>
      <w:r w:rsidRPr="00EF4ADA">
        <w:t>and</w:t>
      </w:r>
      <w:r w:rsidRPr="00EF4ADA">
        <w:rPr>
          <w:spacing w:val="-65"/>
        </w:rPr>
        <w:t xml:space="preserve"> </w:t>
      </w:r>
      <w:r w:rsidRPr="00EF4ADA">
        <w:t>anxious</w:t>
      </w:r>
      <w:r w:rsidRPr="00EF4ADA">
        <w:rPr>
          <w:spacing w:val="-65"/>
        </w:rPr>
        <w:t xml:space="preserve"> </w:t>
      </w:r>
      <w:r w:rsidRPr="00EF4ADA">
        <w:t>about providing</w:t>
      </w:r>
      <w:r w:rsidRPr="00EF4ADA">
        <w:rPr>
          <w:spacing w:val="-51"/>
        </w:rPr>
        <w:t xml:space="preserve"> </w:t>
      </w:r>
      <w:r w:rsidRPr="00EF4ADA">
        <w:t>food,</w:t>
      </w:r>
      <w:r w:rsidRPr="00EF4ADA">
        <w:rPr>
          <w:spacing w:val="-51"/>
        </w:rPr>
        <w:t xml:space="preserve"> </w:t>
      </w:r>
      <w:r w:rsidRPr="00EF4ADA">
        <w:t>or</w:t>
      </w:r>
      <w:r w:rsidRPr="00EF4ADA">
        <w:rPr>
          <w:spacing w:val="-51"/>
        </w:rPr>
        <w:t xml:space="preserve"> </w:t>
      </w:r>
      <w:r w:rsidRPr="00EF4ADA">
        <w:t>are</w:t>
      </w:r>
      <w:r w:rsidRPr="00EF4ADA">
        <w:rPr>
          <w:spacing w:val="-51"/>
        </w:rPr>
        <w:t xml:space="preserve"> </w:t>
      </w:r>
      <w:r w:rsidRPr="00EF4ADA">
        <w:t>forced</w:t>
      </w:r>
      <w:r w:rsidRPr="00EF4ADA">
        <w:rPr>
          <w:spacing w:val="-51"/>
        </w:rPr>
        <w:t xml:space="preserve"> </w:t>
      </w:r>
      <w:r w:rsidRPr="00EF4ADA">
        <w:t>to</w:t>
      </w:r>
      <w:r w:rsidRPr="00EF4ADA">
        <w:rPr>
          <w:spacing w:val="-51"/>
        </w:rPr>
        <w:t xml:space="preserve"> </w:t>
      </w:r>
      <w:r w:rsidRPr="00EF4ADA">
        <w:t>rely</w:t>
      </w:r>
      <w:r w:rsidRPr="00EF4ADA">
        <w:rPr>
          <w:spacing w:val="-51"/>
        </w:rPr>
        <w:t xml:space="preserve"> </w:t>
      </w:r>
      <w:r w:rsidRPr="00EF4ADA">
        <w:t>on</w:t>
      </w:r>
      <w:r w:rsidRPr="00EF4ADA">
        <w:rPr>
          <w:spacing w:val="-51"/>
        </w:rPr>
        <w:t xml:space="preserve"> </w:t>
      </w:r>
      <w:r w:rsidRPr="00EF4ADA">
        <w:t>charity</w:t>
      </w:r>
      <w:r w:rsidRPr="00EF4ADA">
        <w:rPr>
          <w:spacing w:val="-51"/>
        </w:rPr>
        <w:t xml:space="preserve"> </w:t>
      </w:r>
      <w:r w:rsidRPr="00EF4ADA">
        <w:t>or</w:t>
      </w:r>
      <w:r w:rsidRPr="00EF4ADA">
        <w:rPr>
          <w:spacing w:val="-51"/>
        </w:rPr>
        <w:t xml:space="preserve"> </w:t>
      </w:r>
      <w:r w:rsidRPr="00EF4ADA">
        <w:t>emergency assistance</w:t>
      </w:r>
      <w:r w:rsidRPr="00EF4ADA">
        <w:rPr>
          <w:spacing w:val="-22"/>
        </w:rPr>
        <w:t xml:space="preserve"> </w:t>
      </w:r>
      <w:r w:rsidRPr="00EF4ADA">
        <w:t>programmes.</w:t>
      </w:r>
      <w:r w:rsidRPr="00EF4ADA">
        <w:rPr>
          <w:spacing w:val="-22"/>
        </w:rPr>
        <w:t xml:space="preserve"> </w:t>
      </w:r>
      <w:r w:rsidRPr="00EF4ADA">
        <w:t>In</w:t>
      </w:r>
      <w:r w:rsidRPr="00EF4ADA">
        <w:rPr>
          <w:spacing w:val="-22"/>
        </w:rPr>
        <w:t xml:space="preserve"> </w:t>
      </w:r>
      <w:r w:rsidRPr="00EF4ADA">
        <w:t>New</w:t>
      </w:r>
      <w:r w:rsidRPr="00EF4ADA">
        <w:rPr>
          <w:spacing w:val="-22"/>
        </w:rPr>
        <w:t xml:space="preserve"> </w:t>
      </w:r>
      <w:r w:rsidRPr="00EF4ADA">
        <w:t>Zealand,</w:t>
      </w:r>
      <w:r w:rsidRPr="00EF4ADA">
        <w:rPr>
          <w:spacing w:val="-22"/>
        </w:rPr>
        <w:t xml:space="preserve"> </w:t>
      </w:r>
      <w:r w:rsidRPr="00EF4ADA">
        <w:t>food</w:t>
      </w:r>
      <w:r w:rsidRPr="00EF4ADA">
        <w:rPr>
          <w:spacing w:val="-22"/>
        </w:rPr>
        <w:t xml:space="preserve"> </w:t>
      </w:r>
      <w:r w:rsidRPr="00EF4ADA">
        <w:t>insecurity is largely the result of a lack of sufficient money for food, although other socio-cultural factors play a role.</w:t>
      </w:r>
    </w:p>
    <w:p w:rsidR="00FC7A30" w:rsidRPr="00FC7A30" w:rsidRDefault="00FC7A30" w:rsidP="00FC7A30">
      <w:r w:rsidRPr="00FC7A30">
        <w:t>New Zealand Health Survey estimates indicate that although the majority of children live in food-secure households, a share of New Zealand children do not. In 2015/16, almost one in five children (19.0%) lived in households with severe-to-moderate food insecurity.</w:t>
      </w:r>
    </w:p>
    <w:p w:rsidR="00FC7A30" w:rsidRPr="00FC7A30" w:rsidRDefault="00FC7A30" w:rsidP="00FC7A30"/>
    <w:p w:rsidR="00FC7A30" w:rsidRPr="00FC7A30" w:rsidRDefault="00FC7A30" w:rsidP="00FC7A30">
      <w:r w:rsidRPr="00FC7A30">
        <w:t>Consistent with previous work, rates of household food insecurity were higher among certain subgroups of children, including children in households on low incomes, children in the most deprived neighbourhoods, and children of Pacific and Māori ethnicity. However, this does not mean that household food insecurity is not an issue for other subgroups. Some groups with a relatively low rate of household food insecurity made up a substantial share of all children in food-insecure households.</w:t>
      </w:r>
      <w:r w:rsidR="00543D25">
        <w:t xml:space="preserve"> </w:t>
      </w:r>
      <w:r w:rsidRPr="00FC7A30">
        <w:t>For example, European and other children had a comparatively low prevalence of household food insecurity (15.4%). However, as a result of the size of this population (71.2% of all children identified as European and other), an estimated 57 percent of all children living in food-insecure households were European and other.</w:t>
      </w:r>
    </w:p>
    <w:p w:rsidR="00FC7A30" w:rsidRPr="00FC7A30" w:rsidRDefault="00FC7A30" w:rsidP="00FC7A30"/>
    <w:p w:rsidR="00FC7A30" w:rsidRPr="00FC7A30" w:rsidRDefault="00FC7A30" w:rsidP="00FC7A30">
      <w:r w:rsidRPr="00FC7A30">
        <w:t>Findings based on the New Zealand Health Survey were consistent with previous research on the association of food insecurity with other indicators. Children in food-insecure households had poorer parent-rated health status, poorer nutrition, higher rates of overweight or obesity, asthma and behavioural or developmental difficulties, and experienced a range of other adverse circumstances. Parents of children in food-insecure households reported higher rates of psychological and parenting stress, as well as poorer self-rated health status. These findings represent associations, not causal relationships. Food insecurity often co-occurs with a number of risk factors, particularly those associated with other aspects of poverty and material hardship.</w:t>
      </w:r>
    </w:p>
    <w:p w:rsidR="00FC7A30" w:rsidRPr="00FC7A30" w:rsidRDefault="00FC7A30" w:rsidP="00FC7A30"/>
    <w:p w:rsidR="003235C6" w:rsidRPr="00FC7A30" w:rsidRDefault="00FC7A30" w:rsidP="00007FA9">
      <w:pPr>
        <w:keepLines/>
      </w:pPr>
      <w:r w:rsidRPr="00FC7A30">
        <w:lastRenderedPageBreak/>
        <w:t>New Zealand children living in households with food insecurity comprise an important public policy concern. The possible adverse health, development and education consequences are relevant to the current Government</w:t>
      </w:r>
      <w:r w:rsidR="00543D25">
        <w:t>’</w:t>
      </w:r>
      <w:r w:rsidRPr="00FC7A30">
        <w:t>s priority of reducing child poverty. Household food insecurity is also a concern from the perspective of the rights of children. Access to adequate food, and freedom from hunger, are important components of a range of international conventions and commitments regarding human rights.</w:t>
      </w:r>
    </w:p>
    <w:p w:rsidR="00FC7A30" w:rsidRPr="00FC7A30" w:rsidRDefault="00FC7A30" w:rsidP="00FC7A30"/>
    <w:p w:rsidR="00FC7A30" w:rsidRPr="00FC7A30" w:rsidRDefault="00FC7A30" w:rsidP="00FC7A30">
      <w:pPr>
        <w:pStyle w:val="Heading2"/>
        <w:rPr>
          <w:spacing w:val="0"/>
        </w:rPr>
      </w:pPr>
      <w:bookmarkStart w:id="6" w:name="_Toc5437067"/>
      <w:r w:rsidRPr="00FC7A30">
        <w:rPr>
          <w:spacing w:val="0"/>
        </w:rPr>
        <w:t>Key findings</w:t>
      </w:r>
      <w:bookmarkEnd w:id="6"/>
    </w:p>
    <w:p w:rsidR="00FC7A30" w:rsidRPr="00FC7A30" w:rsidRDefault="00FC7A30" w:rsidP="00FC7A30">
      <w:r w:rsidRPr="00FC7A30">
        <w:t>Almost one in five children (19.0%) lived in households experiencing severe-to-moderate food insecurity in 2015/16.</w:t>
      </w:r>
    </w:p>
    <w:p w:rsidR="00FC7A30" w:rsidRPr="00FC7A30" w:rsidRDefault="00FC7A30" w:rsidP="00FC7A30"/>
    <w:p w:rsidR="00FC7A30" w:rsidRPr="00FC7A30" w:rsidRDefault="00FC7A30" w:rsidP="00FC7A30">
      <w:r w:rsidRPr="00FC7A30">
        <w:t>In 2015/16 household food insecurity was more prevalent among children:</w:t>
      </w:r>
    </w:p>
    <w:p w:rsidR="00FC7A30" w:rsidRPr="00FC7A30" w:rsidRDefault="00FC7A30" w:rsidP="00FC7A30">
      <w:pPr>
        <w:pStyle w:val="Bullet"/>
      </w:pPr>
      <w:r w:rsidRPr="00FC7A30">
        <w:t>living in the most deprived neighbourhoods</w:t>
      </w:r>
    </w:p>
    <w:p w:rsidR="00FC7A30" w:rsidRPr="00FC7A30" w:rsidRDefault="00FC7A30" w:rsidP="00FC7A30">
      <w:pPr>
        <w:pStyle w:val="Bullet"/>
      </w:pPr>
      <w:r w:rsidRPr="00FC7A30">
        <w:t>in households with a lower gross income</w:t>
      </w:r>
    </w:p>
    <w:p w:rsidR="00FC7A30" w:rsidRPr="00FC7A30" w:rsidRDefault="00FC7A30" w:rsidP="00FC7A30">
      <w:pPr>
        <w:pStyle w:val="Bullet"/>
      </w:pPr>
      <w:r w:rsidRPr="00FC7A30">
        <w:t>with a primary caregiver on the benefit</w:t>
      </w:r>
    </w:p>
    <w:p w:rsidR="00FC7A30" w:rsidRPr="00FC7A30" w:rsidRDefault="00FC7A30" w:rsidP="00FC7A30">
      <w:pPr>
        <w:pStyle w:val="Bullet"/>
      </w:pPr>
      <w:r w:rsidRPr="00FC7A30">
        <w:t>living in publicly or privately rented housing compared to owner-occupied housing</w:t>
      </w:r>
    </w:p>
    <w:p w:rsidR="00FC7A30" w:rsidRPr="00FC7A30" w:rsidRDefault="00FC7A30" w:rsidP="00FC7A30">
      <w:pPr>
        <w:pStyle w:val="Bullet"/>
      </w:pPr>
      <w:r w:rsidRPr="00FC7A30">
        <w:t>of Pacific and Māori ethnicity</w:t>
      </w:r>
    </w:p>
    <w:p w:rsidR="00FC7A30" w:rsidRPr="00FC7A30" w:rsidRDefault="00FC7A30" w:rsidP="00FC7A30">
      <w:pPr>
        <w:pStyle w:val="Bullet"/>
      </w:pPr>
      <w:r w:rsidRPr="00FC7A30">
        <w:t>living with a sole parent</w:t>
      </w:r>
    </w:p>
    <w:p w:rsidR="00FC7A30" w:rsidRPr="00FC7A30" w:rsidRDefault="00FC7A30" w:rsidP="00FC7A30">
      <w:pPr>
        <w:pStyle w:val="Bullet"/>
      </w:pPr>
      <w:r w:rsidRPr="00FC7A30">
        <w:t>living with two or more other children in the household.</w:t>
      </w:r>
    </w:p>
    <w:p w:rsidR="00FC7A30" w:rsidRPr="00FC7A30" w:rsidRDefault="00FC7A30" w:rsidP="00FC7A30"/>
    <w:p w:rsidR="00FC7A30" w:rsidRPr="00007FA9" w:rsidRDefault="00FC7A30" w:rsidP="00007FA9">
      <w:pPr>
        <w:ind w:right="-142"/>
        <w:rPr>
          <w:spacing w:val="-2"/>
        </w:rPr>
      </w:pPr>
      <w:r w:rsidRPr="00007FA9">
        <w:rPr>
          <w:spacing w:val="-2"/>
        </w:rPr>
        <w:t>Based on data from 2014/15 and 2015/16 combined, compared to children in food-secure households, children in food-insecure households were significantly more likely to:</w:t>
      </w:r>
    </w:p>
    <w:p w:rsidR="00FC7A30" w:rsidRPr="00FC7A30" w:rsidRDefault="00FC7A30" w:rsidP="00FC7A30">
      <w:pPr>
        <w:pStyle w:val="Bullet"/>
      </w:pPr>
      <w:r w:rsidRPr="00FC7A30">
        <w:t>experience barriers to accessing health care</w:t>
      </w:r>
    </w:p>
    <w:p w:rsidR="00FC7A30" w:rsidRPr="00FC7A30" w:rsidRDefault="00FC7A30" w:rsidP="00FC7A30">
      <w:pPr>
        <w:pStyle w:val="Bullet"/>
      </w:pPr>
      <w:r w:rsidRPr="00FC7A30">
        <w:t>not meet fruit and vegetable consumption guidelines</w:t>
      </w:r>
    </w:p>
    <w:p w:rsidR="00FC7A30" w:rsidRPr="00FC7A30" w:rsidRDefault="00FC7A30" w:rsidP="00FC7A30">
      <w:pPr>
        <w:pStyle w:val="Bullet"/>
      </w:pPr>
      <w:r w:rsidRPr="00FC7A30">
        <w:t>eat breakfast at home for fewer than five days per week</w:t>
      </w:r>
    </w:p>
    <w:p w:rsidR="00FC7A30" w:rsidRPr="00FC7A30" w:rsidRDefault="00FC7A30" w:rsidP="00FC7A30">
      <w:pPr>
        <w:pStyle w:val="Bullet"/>
      </w:pPr>
      <w:r w:rsidRPr="00FC7A30">
        <w:t>eat fast food and drink fizzy drinks three or more times a week</w:t>
      </w:r>
    </w:p>
    <w:p w:rsidR="00FC7A30" w:rsidRPr="00FC7A30" w:rsidRDefault="00FC7A30" w:rsidP="00FC7A30">
      <w:pPr>
        <w:pStyle w:val="Bullet"/>
      </w:pPr>
      <w:r w:rsidRPr="00FC7A30">
        <w:t>be obese or overweight, and less likely to be a healthy weight</w:t>
      </w:r>
    </w:p>
    <w:p w:rsidR="00FC7A30" w:rsidRPr="00FC7A30" w:rsidRDefault="00FC7A30" w:rsidP="00FC7A30">
      <w:pPr>
        <w:pStyle w:val="Bullet"/>
      </w:pPr>
      <w:r w:rsidRPr="00FC7A30">
        <w:t>have a fair or poor parent-rated health status</w:t>
      </w:r>
    </w:p>
    <w:p w:rsidR="00FC7A30" w:rsidRPr="00FC7A30" w:rsidRDefault="00FC7A30" w:rsidP="00FC7A30">
      <w:pPr>
        <w:pStyle w:val="Bullet"/>
      </w:pPr>
      <w:r w:rsidRPr="00FC7A30">
        <w:t>have a primary caregiver who rated their own health as fair or poor</w:t>
      </w:r>
    </w:p>
    <w:p w:rsidR="00FC7A30" w:rsidRPr="00FC7A30" w:rsidRDefault="00FC7A30" w:rsidP="00FC7A30">
      <w:pPr>
        <w:pStyle w:val="Bullet"/>
      </w:pPr>
      <w:r w:rsidRPr="00FC7A30">
        <w:t>have medicated asthma or eczema</w:t>
      </w:r>
    </w:p>
    <w:p w:rsidR="00FC7A30" w:rsidRPr="00FC7A30" w:rsidRDefault="00FC7A30" w:rsidP="00FC7A30">
      <w:pPr>
        <w:pStyle w:val="Bullet"/>
      </w:pPr>
      <w:r w:rsidRPr="00FC7A30">
        <w:t>have a caregiver indicating concerns with development on the Parents</w:t>
      </w:r>
      <w:r w:rsidR="00543D25">
        <w:t>’</w:t>
      </w:r>
      <w:r w:rsidRPr="00FC7A30">
        <w:t xml:space="preserve"> Evaluation of Developmental Status questionnaire</w:t>
      </w:r>
    </w:p>
    <w:p w:rsidR="00FC7A30" w:rsidRPr="00FC7A30" w:rsidRDefault="00FC7A30" w:rsidP="00FC7A30">
      <w:pPr>
        <w:pStyle w:val="Bullet"/>
      </w:pPr>
      <w:r w:rsidRPr="00FC7A30">
        <w:t>have a caregiver indicating social, emotional and behavioural concerns on the Strengths and Difficulties Questionnaire</w:t>
      </w:r>
    </w:p>
    <w:p w:rsidR="00FC7A30" w:rsidRPr="00FC7A30" w:rsidRDefault="00FC7A30" w:rsidP="00FC7A30">
      <w:pPr>
        <w:pStyle w:val="Bullet"/>
      </w:pPr>
      <w:r w:rsidRPr="00FC7A30">
        <w:t>have a primary caregiver indicating stresses related to raising their child, not having someone to turn to for support or more general psychological distress</w:t>
      </w:r>
    </w:p>
    <w:p w:rsidR="00FC7A30" w:rsidRPr="00FC7A30" w:rsidRDefault="00FC7A30" w:rsidP="00FC7A30">
      <w:pPr>
        <w:pStyle w:val="Bullet"/>
      </w:pPr>
      <w:r w:rsidRPr="00FC7A30">
        <w:t>have a primary caregiver who is a current smoker as well as live in a house where someone smoked inside.</w:t>
      </w:r>
    </w:p>
    <w:p w:rsidR="002B7BEC" w:rsidRDefault="002B7BEC" w:rsidP="002B7BEC"/>
    <w:p w:rsidR="001D3E4E" w:rsidRDefault="001D3E4E" w:rsidP="003A5FEA">
      <w:pPr>
        <w:sectPr w:rsidR="001D3E4E" w:rsidSect="00925892">
          <w:footerReference w:type="even" r:id="rId25"/>
          <w:pgSz w:w="11907" w:h="16840" w:code="9"/>
          <w:pgMar w:top="1418" w:right="1701" w:bottom="1134" w:left="1843" w:header="284" w:footer="425" w:gutter="284"/>
          <w:pgNumType w:fmt="lowerRoman"/>
          <w:cols w:space="720"/>
        </w:sectPr>
      </w:pPr>
    </w:p>
    <w:p w:rsidR="008C2973" w:rsidRDefault="00467321" w:rsidP="002575E8">
      <w:pPr>
        <w:pStyle w:val="Heading1"/>
      </w:pPr>
      <w:bookmarkStart w:id="7" w:name="_Toc5437068"/>
      <w:r>
        <w:lastRenderedPageBreak/>
        <w:t>Background</w:t>
      </w:r>
      <w:bookmarkEnd w:id="7"/>
    </w:p>
    <w:p w:rsidR="00467321" w:rsidRPr="006B3F00" w:rsidRDefault="00467321" w:rsidP="00467321">
      <w:pPr>
        <w:pStyle w:val="Introductoryparagraph"/>
      </w:pPr>
      <w:r w:rsidRPr="006B3F00">
        <w:t>Food</w:t>
      </w:r>
      <w:r w:rsidRPr="006B3F00">
        <w:rPr>
          <w:spacing w:val="-16"/>
        </w:rPr>
        <w:t xml:space="preserve"> </w:t>
      </w:r>
      <w:r w:rsidRPr="006B3F00">
        <w:t>insecurity</w:t>
      </w:r>
      <w:r w:rsidRPr="006B3F00">
        <w:rPr>
          <w:spacing w:val="-16"/>
        </w:rPr>
        <w:t xml:space="preserve"> </w:t>
      </w:r>
      <w:r w:rsidRPr="006B3F00">
        <w:t>is</w:t>
      </w:r>
      <w:r w:rsidRPr="006B3F00">
        <w:rPr>
          <w:spacing w:val="-16"/>
        </w:rPr>
        <w:t xml:space="preserve"> </w:t>
      </w:r>
      <w:r w:rsidRPr="006B3F00">
        <w:t>defined</w:t>
      </w:r>
      <w:r w:rsidRPr="006B3F00">
        <w:rPr>
          <w:spacing w:val="-16"/>
        </w:rPr>
        <w:t xml:space="preserve"> </w:t>
      </w:r>
      <w:r w:rsidRPr="006B3F00">
        <w:t>as</w:t>
      </w:r>
      <w:r w:rsidRPr="006B3F00">
        <w:rPr>
          <w:spacing w:val="-16"/>
        </w:rPr>
        <w:t xml:space="preserve"> </w:t>
      </w:r>
      <w:r w:rsidRPr="006B3F00">
        <w:t>a</w:t>
      </w:r>
      <w:r w:rsidRPr="006B3F00">
        <w:rPr>
          <w:spacing w:val="-16"/>
        </w:rPr>
        <w:t xml:space="preserve"> </w:t>
      </w:r>
      <w:r w:rsidRPr="006B3F00">
        <w:t>limited</w:t>
      </w:r>
      <w:r w:rsidRPr="006B3F00">
        <w:rPr>
          <w:spacing w:val="-16"/>
        </w:rPr>
        <w:t xml:space="preserve"> </w:t>
      </w:r>
      <w:r w:rsidRPr="006B3F00">
        <w:t>or</w:t>
      </w:r>
      <w:r w:rsidRPr="006B3F00">
        <w:rPr>
          <w:spacing w:val="-16"/>
        </w:rPr>
        <w:t xml:space="preserve"> </w:t>
      </w:r>
      <w:r w:rsidRPr="006B3F00">
        <w:t>uncertain</w:t>
      </w:r>
      <w:r w:rsidRPr="006B3F00">
        <w:rPr>
          <w:spacing w:val="-16"/>
        </w:rPr>
        <w:t xml:space="preserve"> </w:t>
      </w:r>
      <w:r w:rsidRPr="006B3F00">
        <w:t>availability of</w:t>
      </w:r>
      <w:r w:rsidRPr="006B3F00">
        <w:rPr>
          <w:spacing w:val="-42"/>
        </w:rPr>
        <w:t xml:space="preserve"> </w:t>
      </w:r>
      <w:r w:rsidRPr="006B3F00">
        <w:t>nutritionally</w:t>
      </w:r>
      <w:r w:rsidRPr="006B3F00">
        <w:rPr>
          <w:spacing w:val="-42"/>
        </w:rPr>
        <w:t xml:space="preserve"> </w:t>
      </w:r>
      <w:r w:rsidRPr="006B3F00">
        <w:t>adequate</w:t>
      </w:r>
      <w:r w:rsidRPr="006B3F00">
        <w:rPr>
          <w:spacing w:val="-42"/>
        </w:rPr>
        <w:t xml:space="preserve"> </w:t>
      </w:r>
      <w:r w:rsidRPr="006B3F00">
        <w:t>and</w:t>
      </w:r>
      <w:r w:rsidRPr="006B3F00">
        <w:rPr>
          <w:spacing w:val="-42"/>
        </w:rPr>
        <w:t xml:space="preserve"> </w:t>
      </w:r>
      <w:r w:rsidRPr="006B3F00">
        <w:t>safe</w:t>
      </w:r>
      <w:r w:rsidRPr="006B3F00">
        <w:rPr>
          <w:spacing w:val="-42"/>
        </w:rPr>
        <w:t xml:space="preserve"> </w:t>
      </w:r>
      <w:r w:rsidRPr="006B3F00">
        <w:t>foods</w:t>
      </w:r>
      <w:r w:rsidRPr="006B3F00">
        <w:rPr>
          <w:spacing w:val="-42"/>
        </w:rPr>
        <w:t xml:space="preserve"> </w:t>
      </w:r>
      <w:r w:rsidRPr="006B3F00">
        <w:t>or</w:t>
      </w:r>
      <w:r w:rsidRPr="006B3F00">
        <w:rPr>
          <w:spacing w:val="-42"/>
        </w:rPr>
        <w:t xml:space="preserve"> </w:t>
      </w:r>
      <w:r w:rsidRPr="006B3F00">
        <w:t>limited</w:t>
      </w:r>
      <w:r w:rsidRPr="006B3F00">
        <w:rPr>
          <w:spacing w:val="-42"/>
        </w:rPr>
        <w:t xml:space="preserve"> </w:t>
      </w:r>
      <w:r w:rsidRPr="006B3F00">
        <w:t>ability</w:t>
      </w:r>
      <w:r w:rsidRPr="006B3F00">
        <w:rPr>
          <w:spacing w:val="-42"/>
        </w:rPr>
        <w:t xml:space="preserve"> </w:t>
      </w:r>
      <w:r w:rsidRPr="006B3F00">
        <w:t>to acquire</w:t>
      </w:r>
      <w:r w:rsidRPr="006B3F00">
        <w:rPr>
          <w:spacing w:val="-20"/>
        </w:rPr>
        <w:t xml:space="preserve"> </w:t>
      </w:r>
      <w:r w:rsidRPr="006B3F00">
        <w:t>personally</w:t>
      </w:r>
      <w:r w:rsidRPr="006B3F00">
        <w:rPr>
          <w:spacing w:val="-20"/>
        </w:rPr>
        <w:t xml:space="preserve"> </w:t>
      </w:r>
      <w:r w:rsidRPr="006B3F00">
        <w:t>acceptable</w:t>
      </w:r>
      <w:r w:rsidRPr="006B3F00">
        <w:rPr>
          <w:spacing w:val="-20"/>
        </w:rPr>
        <w:t xml:space="preserve"> </w:t>
      </w:r>
      <w:r w:rsidRPr="006B3F00">
        <w:t>foods</w:t>
      </w:r>
      <w:r w:rsidRPr="006B3F00">
        <w:rPr>
          <w:spacing w:val="-20"/>
        </w:rPr>
        <w:t xml:space="preserve"> </w:t>
      </w:r>
      <w:r w:rsidRPr="006B3F00">
        <w:t>that</w:t>
      </w:r>
      <w:r w:rsidRPr="006B3F00">
        <w:rPr>
          <w:spacing w:val="-20"/>
        </w:rPr>
        <w:t xml:space="preserve"> </w:t>
      </w:r>
      <w:r w:rsidRPr="006B3F00">
        <w:t>meet</w:t>
      </w:r>
      <w:r w:rsidRPr="006B3F00">
        <w:rPr>
          <w:spacing w:val="-20"/>
        </w:rPr>
        <w:t xml:space="preserve"> </w:t>
      </w:r>
      <w:r w:rsidRPr="006B3F00">
        <w:t>cultural</w:t>
      </w:r>
      <w:r w:rsidRPr="006B3F00">
        <w:rPr>
          <w:spacing w:val="-20"/>
        </w:rPr>
        <w:t xml:space="preserve"> </w:t>
      </w:r>
      <w:r w:rsidRPr="006B3F00">
        <w:t>needs in</w:t>
      </w:r>
      <w:r w:rsidRPr="006B3F00">
        <w:rPr>
          <w:spacing w:val="-53"/>
        </w:rPr>
        <w:t xml:space="preserve"> </w:t>
      </w:r>
      <w:r w:rsidRPr="006B3F00">
        <w:t>a</w:t>
      </w:r>
      <w:r w:rsidRPr="006B3F00">
        <w:rPr>
          <w:spacing w:val="-53"/>
        </w:rPr>
        <w:t xml:space="preserve"> </w:t>
      </w:r>
      <w:r w:rsidRPr="006B3F00">
        <w:t>socially</w:t>
      </w:r>
      <w:r w:rsidRPr="006B3F00">
        <w:rPr>
          <w:spacing w:val="-53"/>
        </w:rPr>
        <w:t xml:space="preserve"> </w:t>
      </w:r>
      <w:r w:rsidRPr="006B3F00">
        <w:t>acceptable</w:t>
      </w:r>
      <w:r w:rsidRPr="006B3F00">
        <w:rPr>
          <w:spacing w:val="-53"/>
        </w:rPr>
        <w:t xml:space="preserve"> </w:t>
      </w:r>
      <w:r w:rsidRPr="006B3F00">
        <w:t>way</w:t>
      </w:r>
      <w:r w:rsidRPr="006B3F00">
        <w:rPr>
          <w:spacing w:val="-53"/>
        </w:rPr>
        <w:t xml:space="preserve"> </w:t>
      </w:r>
      <w:r w:rsidRPr="006B3F00">
        <w:t>(Anderson</w:t>
      </w:r>
      <w:r w:rsidRPr="006B3F00">
        <w:rPr>
          <w:spacing w:val="-53"/>
        </w:rPr>
        <w:t xml:space="preserve"> </w:t>
      </w:r>
      <w:r w:rsidRPr="006B3F00">
        <w:t>1990;</w:t>
      </w:r>
      <w:r w:rsidRPr="006B3F00">
        <w:rPr>
          <w:spacing w:val="-53"/>
        </w:rPr>
        <w:t xml:space="preserve"> </w:t>
      </w:r>
      <w:r w:rsidRPr="006B3F00">
        <w:t>Holben</w:t>
      </w:r>
      <w:r w:rsidRPr="006B3F00">
        <w:rPr>
          <w:spacing w:val="-53"/>
        </w:rPr>
        <w:t xml:space="preserve"> </w:t>
      </w:r>
      <w:r w:rsidRPr="006B3F00">
        <w:t>2010; Parnell</w:t>
      </w:r>
      <w:r w:rsidRPr="006B3F00">
        <w:rPr>
          <w:spacing w:val="-31"/>
        </w:rPr>
        <w:t xml:space="preserve"> </w:t>
      </w:r>
      <w:r w:rsidR="007464C2" w:rsidRPr="006B3F00">
        <w:t>et al</w:t>
      </w:r>
      <w:r w:rsidRPr="006B3F00">
        <w:rPr>
          <w:spacing w:val="-31"/>
        </w:rPr>
        <w:t xml:space="preserve"> </w:t>
      </w:r>
      <w:r w:rsidRPr="006B3F00">
        <w:t>2001).</w:t>
      </w:r>
    </w:p>
    <w:p w:rsidR="00467321" w:rsidRPr="00467321" w:rsidRDefault="00467321" w:rsidP="00467321">
      <w:r w:rsidRPr="00467321">
        <w:t>The global picture of food insecurity ranges from malnutrition due to starvation as a result of food deprivation to malnutrition due to consumption of calorie-rich foods while not consuming enough vital nutrients. Both instances can lead to compromised health, morbidity and mortality.</w:t>
      </w:r>
    </w:p>
    <w:p w:rsidR="00467321" w:rsidRPr="00467321" w:rsidRDefault="00467321" w:rsidP="007464C2"/>
    <w:p w:rsidR="00467321" w:rsidRPr="00467321" w:rsidRDefault="00467321" w:rsidP="007464C2">
      <w:r w:rsidRPr="00467321">
        <w:t xml:space="preserve">In New Zealand, food insecurity is largely the result of a lack of sufficient money for food, although other socio-cultural factors also play a role (Bowers </w:t>
      </w:r>
      <w:r w:rsidR="007464C2">
        <w:t>et al</w:t>
      </w:r>
      <w:r w:rsidRPr="00467321">
        <w:t xml:space="preserve"> 2009; McKerchar </w:t>
      </w:r>
      <w:r w:rsidR="007464C2">
        <w:t>et al</w:t>
      </w:r>
      <w:r w:rsidRPr="00467321">
        <w:t xml:space="preserve"> 2015; Parnell </w:t>
      </w:r>
      <w:r w:rsidR="007464C2">
        <w:t>et al</w:t>
      </w:r>
      <w:r w:rsidRPr="00467321">
        <w:t xml:space="preserve"> 2016; Rush and Rusk 2009). Children living in food-insecure households tend to have poorer diets (Fram </w:t>
      </w:r>
      <w:r w:rsidR="007464C2">
        <w:t>et al</w:t>
      </w:r>
      <w:r w:rsidRPr="00467321">
        <w:t xml:space="preserve"> 2015; Parnell </w:t>
      </w:r>
      <w:r w:rsidR="007464C2">
        <w:t>et al</w:t>
      </w:r>
      <w:r w:rsidRPr="00467321">
        <w:t xml:space="preserve"> 2005), increased rates of obesity (Utter </w:t>
      </w:r>
      <w:r w:rsidR="007464C2">
        <w:t>et al</w:t>
      </w:r>
      <w:r w:rsidRPr="00467321">
        <w:t xml:space="preserve"> 2012; Widome </w:t>
      </w:r>
      <w:r w:rsidR="007464C2">
        <w:t>et al</w:t>
      </w:r>
      <w:r w:rsidRPr="00467321">
        <w:t xml:space="preserve"> 2009), poorer health status and higher rates of developmental and behavioural problems, which often also affect school performance (Shankar </w:t>
      </w:r>
      <w:r w:rsidR="007464C2">
        <w:t>et al</w:t>
      </w:r>
      <w:r w:rsidRPr="00467321">
        <w:t xml:space="preserve"> 2017; Whitaker </w:t>
      </w:r>
      <w:r w:rsidR="007464C2">
        <w:t>et al</w:t>
      </w:r>
      <w:r w:rsidRPr="00467321">
        <w:t xml:space="preserve"> 2006). Household food insecurity is an important public policy concern.</w:t>
      </w:r>
    </w:p>
    <w:p w:rsidR="007464C2" w:rsidRDefault="007464C2" w:rsidP="007464C2"/>
    <w:p w:rsidR="00467321" w:rsidRPr="00543D25" w:rsidRDefault="00467321" w:rsidP="007464C2">
      <w:r w:rsidRPr="00543D25">
        <w:t>Measuring the prevalence of household food insecurity among New Zealand children is important given these concerns. In order to improve the estimation of food insecurity prevalence, a New Zealand-specific food security questionnaire was developed in the late 1990s (Parnell 2005; Parnell and Gray 2014). This questionnaire was first implemented in the 1997 National Nutrition Survey (adults). The same questionnaire was then used in the 2002 National Children</w:t>
      </w:r>
      <w:r w:rsidR="00543D25" w:rsidRPr="00543D25">
        <w:t>’</w:t>
      </w:r>
      <w:r w:rsidRPr="00543D25">
        <w:t xml:space="preserve">s Nutrition Survey (Parnell </w:t>
      </w:r>
      <w:r w:rsidR="007464C2">
        <w:t>et al</w:t>
      </w:r>
      <w:r w:rsidRPr="00543D25">
        <w:t xml:space="preserve"> 2005). In 2012/13, 2014/15 and 2015/16, the questionnaire was used in the child component of the New Zealand Health Survey. The estimates presented in this paper use this data and build on the work by Parnell and colleagues.</w:t>
      </w:r>
    </w:p>
    <w:p w:rsidR="001F54FD" w:rsidRDefault="001F54FD" w:rsidP="001F54FD"/>
    <w:p w:rsidR="00467321" w:rsidRPr="00543D25" w:rsidRDefault="00467321" w:rsidP="001F54FD">
      <w:r w:rsidRPr="00543D25">
        <w:t xml:space="preserve">A wide range of New Zealand research using other food security measures has also been conducted in recent years. This includes work using the Survey of Family, Income, and Employment (SOFIE) data (Carter </w:t>
      </w:r>
      <w:r w:rsidR="007464C2">
        <w:t>et al</w:t>
      </w:r>
      <w:r w:rsidRPr="00543D25">
        <w:t xml:space="preserve"> 2010), the Youth Health and Wellbeing surveys (Utter </w:t>
      </w:r>
      <w:r w:rsidR="007464C2">
        <w:t>et al</w:t>
      </w:r>
      <w:r w:rsidRPr="00543D25">
        <w:t xml:space="preserve"> 2018), the Growing Up in New Zealand Study (Schlichting </w:t>
      </w:r>
      <w:r w:rsidR="007464C2">
        <w:t>et al</w:t>
      </w:r>
      <w:r w:rsidRPr="00543D25">
        <w:t xml:space="preserve"> 2018) and the Gallup World Poll (Pereira </w:t>
      </w:r>
      <w:r w:rsidR="007464C2">
        <w:t>et al</w:t>
      </w:r>
      <w:r w:rsidRPr="00543D25">
        <w:t xml:space="preserve"> 2017).</w:t>
      </w:r>
    </w:p>
    <w:p w:rsidR="001F54FD" w:rsidRDefault="001F54FD" w:rsidP="001F54FD"/>
    <w:p w:rsidR="00467321" w:rsidRDefault="00467321" w:rsidP="001F54FD">
      <w:pPr>
        <w:keepLines/>
      </w:pPr>
      <w:r w:rsidRPr="00543D25">
        <w:lastRenderedPageBreak/>
        <w:t>Pereira</w:t>
      </w:r>
      <w:r w:rsidR="00543D25" w:rsidRPr="00543D25">
        <w:t>’</w:t>
      </w:r>
      <w:r w:rsidRPr="00543D25">
        <w:t>s (2017) research, using the Food Insecurity Experience Scale, found that just over 3</w:t>
      </w:r>
      <w:r w:rsidR="001F54FD">
        <w:t> </w:t>
      </w:r>
      <w:r w:rsidRPr="00543D25">
        <w:t>percent of New Zealand children under 15 years lived in households experiencing severe food insecurity, and almost 11 percent lived in households experiencing either severe or moderate food insecurity. These rates were above</w:t>
      </w:r>
      <w:r w:rsidR="001F54FD">
        <w:t xml:space="preserve"> </w:t>
      </w:r>
      <w:r w:rsidRPr="00543D25">
        <w:t>many Northern European countries, but similar to many of the other OECD countries surveyed.</w:t>
      </w:r>
    </w:p>
    <w:p w:rsidR="001F54FD" w:rsidRPr="00543D25" w:rsidRDefault="001F54FD" w:rsidP="001F54FD"/>
    <w:p w:rsidR="00467321" w:rsidRDefault="00467321" w:rsidP="001F54FD">
      <w:r w:rsidRPr="00543D25">
        <w:t>Overall, previous research found that food insecurity affects many of New Zealand</w:t>
      </w:r>
      <w:r w:rsidR="00543D25" w:rsidRPr="00543D25">
        <w:t>’</w:t>
      </w:r>
      <w:r w:rsidRPr="00543D25">
        <w:t xml:space="preserve">s households and children, and that the prevalence is high among children in Pacific and Māori households, in sole parent families and large families, in low-income families, and families living in high-deprivation areas (Carter </w:t>
      </w:r>
      <w:r w:rsidR="007464C2">
        <w:t>et al</w:t>
      </w:r>
      <w:r w:rsidRPr="00543D25">
        <w:t xml:space="preserve"> 2010; Ministry of Health 2003; Parnell 2005; Utter </w:t>
      </w:r>
      <w:r w:rsidR="007464C2">
        <w:t>et al</w:t>
      </w:r>
      <w:r w:rsidRPr="00543D25">
        <w:t xml:space="preserve"> 2018). However, strict comparisons between the various prevalence estimates are difficult because of differences in units of measurement (eg, households or children), survey items and also thresholds used to categorise respondents into groups with different levels of food insecurity.</w:t>
      </w:r>
    </w:p>
    <w:p w:rsidR="001F54FD" w:rsidRPr="00543D25" w:rsidRDefault="001F54FD" w:rsidP="001F54FD"/>
    <w:p w:rsidR="00467321" w:rsidRPr="00467321" w:rsidRDefault="00467321" w:rsidP="001F54FD">
      <w:pPr>
        <w:pStyle w:val="Heading1"/>
      </w:pPr>
      <w:bookmarkStart w:id="8" w:name="_bookmark5"/>
      <w:bookmarkStart w:id="9" w:name="_Toc5437069"/>
      <w:bookmarkEnd w:id="8"/>
      <w:r w:rsidRPr="00467321">
        <w:lastRenderedPageBreak/>
        <w:t>Measuring household food insecurity in the New Zealand Health Survey</w:t>
      </w:r>
      <w:bookmarkEnd w:id="9"/>
    </w:p>
    <w:p w:rsidR="00467321" w:rsidRPr="00467321" w:rsidRDefault="00467321" w:rsidP="001F54FD">
      <w:pPr>
        <w:pStyle w:val="Introductoryparagraph"/>
      </w:pPr>
      <w:r w:rsidRPr="00467321">
        <w:t>The New Zealand Health Survey collects information on the health and wellbeing of children and adults who are usually resident in New Zealand.</w:t>
      </w:r>
    </w:p>
    <w:p w:rsidR="00467321" w:rsidRPr="00543D25" w:rsidRDefault="00467321" w:rsidP="001F54FD">
      <w:r w:rsidRPr="00543D25">
        <w:t>The child component of the New Zealand Health Survey has two parts: a core part covering a set range of topics, and modules that vary year by year, to examine specific topics in more depth. More information about the New Zealand Health Survey can be found in Appendix 1.</w:t>
      </w:r>
    </w:p>
    <w:p w:rsidR="001F54FD" w:rsidRDefault="001F54FD" w:rsidP="001F54FD"/>
    <w:p w:rsidR="00467321" w:rsidRPr="00543D25" w:rsidRDefault="00467321" w:rsidP="001F54FD">
      <w:r w:rsidRPr="00543D25">
        <w:t>The food security questionnaire that was part of the Developmental Health and Wellbeing module in 2012/13, 2014/15 and 2015/16 asked primary caregivers to respond to statements about:</w:t>
      </w:r>
    </w:p>
    <w:p w:rsidR="00467321" w:rsidRPr="00543D25" w:rsidRDefault="00467321" w:rsidP="001F54FD">
      <w:pPr>
        <w:pStyle w:val="Bullet"/>
      </w:pPr>
      <w:r w:rsidRPr="00543D25">
        <w:t>being able to afford to eat properly</w:t>
      </w:r>
    </w:p>
    <w:p w:rsidR="00467321" w:rsidRPr="00543D25" w:rsidRDefault="00467321" w:rsidP="001F54FD">
      <w:pPr>
        <w:pStyle w:val="Bullet"/>
      </w:pPr>
      <w:r w:rsidRPr="00543D25">
        <w:t>food running out in the household due to lack of money</w:t>
      </w:r>
    </w:p>
    <w:p w:rsidR="00467321" w:rsidRPr="00543D25" w:rsidRDefault="00467321" w:rsidP="001F54FD">
      <w:pPr>
        <w:pStyle w:val="Bullet"/>
      </w:pPr>
      <w:r w:rsidRPr="00543D25">
        <w:t>eating less because of lack of money</w:t>
      </w:r>
    </w:p>
    <w:p w:rsidR="00467321" w:rsidRPr="00543D25" w:rsidRDefault="00467321" w:rsidP="001F54FD">
      <w:pPr>
        <w:pStyle w:val="Bullet"/>
      </w:pPr>
      <w:r w:rsidRPr="00543D25">
        <w:t>eating less variety of foods because of lack of money</w:t>
      </w:r>
    </w:p>
    <w:p w:rsidR="00467321" w:rsidRPr="00543D25" w:rsidRDefault="00467321" w:rsidP="001F54FD">
      <w:pPr>
        <w:pStyle w:val="Bullet"/>
      </w:pPr>
      <w:r w:rsidRPr="00543D25">
        <w:t>relying on others to provide food and/or money for food</w:t>
      </w:r>
    </w:p>
    <w:p w:rsidR="00467321" w:rsidRPr="00543D25" w:rsidRDefault="00467321" w:rsidP="001F54FD">
      <w:pPr>
        <w:pStyle w:val="Bullet"/>
      </w:pPr>
      <w:r w:rsidRPr="00543D25">
        <w:t>making use of food grants or food banks when there was not enough money for food</w:t>
      </w:r>
    </w:p>
    <w:p w:rsidR="00467321" w:rsidRPr="00543D25" w:rsidRDefault="00467321" w:rsidP="001F54FD">
      <w:pPr>
        <w:pStyle w:val="Bullet"/>
      </w:pPr>
      <w:r w:rsidRPr="00543D25">
        <w:t>feeling stressed because of not having enough money for food</w:t>
      </w:r>
    </w:p>
    <w:p w:rsidR="00467321" w:rsidRPr="00543D25" w:rsidRDefault="00467321" w:rsidP="001F54FD">
      <w:pPr>
        <w:pStyle w:val="Bullet"/>
      </w:pPr>
      <w:r w:rsidRPr="00543D25">
        <w:t>feeling stressed because of not being able to provide the food wanted for social occasions.</w:t>
      </w:r>
    </w:p>
    <w:p w:rsidR="001F54FD" w:rsidRDefault="001F54FD" w:rsidP="001F54FD"/>
    <w:p w:rsidR="00467321" w:rsidRPr="00543D25" w:rsidRDefault="00467321" w:rsidP="001F54FD">
      <w:r w:rsidRPr="00543D25">
        <w:t>With the exception of the first item, the responses relate to the respondents</w:t>
      </w:r>
      <w:r w:rsidR="00543D25" w:rsidRPr="00543D25">
        <w:t>’</w:t>
      </w:r>
      <w:r w:rsidRPr="00543D25">
        <w:t xml:space="preserve"> experience of household food insecurity in the past year. As Table 1 shows, each of these survey items relates to having sufficient resources for all members of the</w:t>
      </w:r>
      <w:r w:rsidR="001F54FD">
        <w:t xml:space="preserve"> </w:t>
      </w:r>
      <w:r w:rsidRPr="00543D25">
        <w:t>household, and each item uses a three-point scale by which respondents can indicate their answer.</w:t>
      </w:r>
    </w:p>
    <w:p w:rsidR="001F54FD" w:rsidRDefault="001F54FD" w:rsidP="001F54FD"/>
    <w:p w:rsidR="00467321" w:rsidRDefault="00467321" w:rsidP="001F54FD">
      <w:r w:rsidRPr="00543D25">
        <w:lastRenderedPageBreak/>
        <w:t xml:space="preserve">The items were originally devised for the National Nutrition Survey in 1997 and were developed from both a review of the literature and focus group research. The focus groups aimed to ensure the statements reflected the experience of Māori, Pacific and low-income households faced with difficulties accessing appropriate food (Parnell </w:t>
      </w:r>
      <w:r w:rsidR="007464C2">
        <w:t>et al</w:t>
      </w:r>
      <w:r w:rsidRPr="00543D25">
        <w:t xml:space="preserve"> 2001). The focus groups also led to the development of the introductory comments (see Table 1), to increase the acceptability of the questionnaire items.</w:t>
      </w:r>
    </w:p>
    <w:p w:rsidR="001F54FD" w:rsidRPr="00543D25" w:rsidRDefault="001F54FD" w:rsidP="001F54FD"/>
    <w:p w:rsidR="00467321" w:rsidRDefault="00467321" w:rsidP="001F54FD">
      <w:bookmarkStart w:id="10" w:name="_bookmark6"/>
      <w:bookmarkEnd w:id="10"/>
      <w:r w:rsidRPr="00543D25">
        <w:t>Subsequent work by Parnell and colleagues created an aggregate index (summary index) of food insecurity using the responses to the items in the food security questionnaire. Using this summary index, household food insecurity was found to be related to poorer adult nutrition across a range of indicators (Parnell and Gray 2014). The questionnaire was also used as part of the Child Nutrition Survey in 2002.</w:t>
      </w:r>
    </w:p>
    <w:p w:rsidR="001F54FD" w:rsidRPr="00543D25" w:rsidRDefault="001F54FD" w:rsidP="001F54FD"/>
    <w:p w:rsidR="00467321" w:rsidRPr="00543D25" w:rsidRDefault="00467321" w:rsidP="001F54FD">
      <w:r w:rsidRPr="00543D25">
        <w:t>Based on this survey, household food insecurity (the summary index) was found to be associated with adverse child nutritional indicators (Parnell 2005).</w:t>
      </w:r>
    </w:p>
    <w:p w:rsidR="00467321" w:rsidRPr="00543D25" w:rsidRDefault="00467321" w:rsidP="001F54FD"/>
    <w:p w:rsidR="00467321" w:rsidRDefault="00467321" w:rsidP="001F54FD">
      <w:pPr>
        <w:pStyle w:val="Table"/>
      </w:pPr>
      <w:bookmarkStart w:id="11" w:name="_Toc5437189"/>
      <w:r w:rsidRPr="00467321">
        <w:t>Table 1: Food insecurity items in the child component of the New Zealand Health Survey</w:t>
      </w:r>
      <w:bookmarkEnd w:id="11"/>
    </w:p>
    <w:p w:rsidR="001F54FD" w:rsidRPr="00467321" w:rsidRDefault="001F54FD" w:rsidP="001F54FD">
      <w:pPr>
        <w:pStyle w:val="TableText"/>
        <w:spacing w:before="0"/>
      </w:pPr>
      <w:r w:rsidRPr="00467321">
        <w:t>I now want to ask you some questions about particular foods you choose, and the buying of food or gifting of food. We are interested in whether you feel you always have sufficient resources to have the food you need for yourself and the people you live with. We are not concerned with your budget, or how you spend money, but we are more interested in finding out about how people get the food that they need for their household to eat and share.</w:t>
      </w:r>
    </w:p>
    <w:p w:rsidR="00467321" w:rsidRPr="00543D25" w:rsidRDefault="00467321" w:rsidP="00467321">
      <w:pPr>
        <w:spacing w:line="20" w:lineRule="exact"/>
        <w:ind w:left="515"/>
        <w:rPr>
          <w:sz w:val="2"/>
        </w:rPr>
      </w:pPr>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567"/>
        <w:gridCol w:w="3969"/>
        <w:gridCol w:w="3544"/>
      </w:tblGrid>
      <w:tr w:rsidR="001F54FD" w:rsidRPr="001F54FD" w:rsidTr="001F54FD">
        <w:trPr>
          <w:cantSplit/>
          <w:tblHeader/>
        </w:trPr>
        <w:tc>
          <w:tcPr>
            <w:tcW w:w="567" w:type="dxa"/>
            <w:tcBorders>
              <w:top w:val="nil"/>
              <w:bottom w:val="nil"/>
            </w:tcBorders>
            <w:shd w:val="clear" w:color="auto" w:fill="D9D9D9" w:themeFill="background1" w:themeFillShade="D9"/>
          </w:tcPr>
          <w:p w:rsidR="00467321" w:rsidRPr="001F54FD" w:rsidRDefault="00467321" w:rsidP="001F54FD">
            <w:pPr>
              <w:pStyle w:val="TableText"/>
              <w:rPr>
                <w:b/>
              </w:rPr>
            </w:pPr>
            <w:r w:rsidRPr="001F54FD">
              <w:rPr>
                <w:b/>
              </w:rPr>
              <w:t>Item</w:t>
            </w:r>
          </w:p>
        </w:tc>
        <w:tc>
          <w:tcPr>
            <w:tcW w:w="3969" w:type="dxa"/>
            <w:tcBorders>
              <w:top w:val="nil"/>
              <w:bottom w:val="nil"/>
            </w:tcBorders>
            <w:shd w:val="clear" w:color="auto" w:fill="D9D9D9" w:themeFill="background1" w:themeFillShade="D9"/>
          </w:tcPr>
          <w:p w:rsidR="00467321" w:rsidRPr="001F54FD" w:rsidRDefault="00467321" w:rsidP="001F54FD">
            <w:pPr>
              <w:pStyle w:val="TableText"/>
              <w:rPr>
                <w:b/>
              </w:rPr>
            </w:pPr>
            <w:r w:rsidRPr="001F54FD">
              <w:rPr>
                <w:b/>
              </w:rPr>
              <w:t>Introduction by interviewer</w:t>
            </w:r>
          </w:p>
        </w:tc>
        <w:tc>
          <w:tcPr>
            <w:tcW w:w="3544" w:type="dxa"/>
            <w:tcBorders>
              <w:top w:val="nil"/>
              <w:bottom w:val="nil"/>
            </w:tcBorders>
            <w:shd w:val="clear" w:color="auto" w:fill="D9D9D9" w:themeFill="background1" w:themeFillShade="D9"/>
          </w:tcPr>
          <w:p w:rsidR="00467321" w:rsidRPr="001F54FD" w:rsidRDefault="00467321" w:rsidP="001F54FD">
            <w:pPr>
              <w:pStyle w:val="TableText"/>
              <w:rPr>
                <w:b/>
              </w:rPr>
            </w:pPr>
            <w:r w:rsidRPr="001F54FD">
              <w:rPr>
                <w:b/>
              </w:rPr>
              <w:t>Statement and response</w:t>
            </w:r>
          </w:p>
        </w:tc>
      </w:tr>
      <w:tr w:rsidR="001F54FD" w:rsidRPr="00467321" w:rsidTr="001F54FD">
        <w:trPr>
          <w:cantSplit/>
        </w:trPr>
        <w:tc>
          <w:tcPr>
            <w:tcW w:w="567" w:type="dxa"/>
            <w:tcBorders>
              <w:top w:val="nil"/>
            </w:tcBorders>
            <w:shd w:val="clear" w:color="auto" w:fill="auto"/>
          </w:tcPr>
          <w:p w:rsidR="00467321" w:rsidRPr="00543D25" w:rsidRDefault="00467321" w:rsidP="001F54FD">
            <w:pPr>
              <w:pStyle w:val="TableText"/>
            </w:pPr>
            <w:r w:rsidRPr="00543D25">
              <w:t>I1</w:t>
            </w:r>
          </w:p>
        </w:tc>
        <w:tc>
          <w:tcPr>
            <w:tcW w:w="3969" w:type="dxa"/>
            <w:tcBorders>
              <w:top w:val="nil"/>
            </w:tcBorders>
            <w:shd w:val="clear" w:color="auto" w:fill="auto"/>
          </w:tcPr>
          <w:p w:rsidR="00467321" w:rsidRPr="00543D25" w:rsidRDefault="00467321" w:rsidP="001F54FD">
            <w:pPr>
              <w:pStyle w:val="TableText"/>
              <w:ind w:right="113"/>
            </w:pPr>
            <w:r w:rsidRPr="00543D25">
              <w:t>First of all, we know that some people can</w:t>
            </w:r>
            <w:r w:rsidR="00543D25" w:rsidRPr="00543D25">
              <w:t>’</w:t>
            </w:r>
            <w:r w:rsidRPr="00543D25">
              <w:t>t afford to eat properly and we are interested in whether you think your household has enough money to eat properly. It</w:t>
            </w:r>
            <w:r w:rsidR="00543D25" w:rsidRPr="00543D25">
              <w:t>’</w:t>
            </w:r>
            <w:r w:rsidRPr="00543D25">
              <w:t>s what you think eating properly is – not what I think or anyone else thinks.</w:t>
            </w:r>
          </w:p>
        </w:tc>
        <w:tc>
          <w:tcPr>
            <w:tcW w:w="3544" w:type="dxa"/>
            <w:tcBorders>
              <w:top w:val="nil"/>
            </w:tcBorders>
            <w:shd w:val="clear" w:color="auto" w:fill="auto"/>
          </w:tcPr>
          <w:p w:rsidR="00467321" w:rsidRPr="00543D25" w:rsidRDefault="00467321" w:rsidP="001F54FD">
            <w:pPr>
              <w:pStyle w:val="TableText"/>
            </w:pPr>
            <w:r w:rsidRPr="00543D25">
              <w:t>We can afford to eat properly</w:t>
            </w:r>
          </w:p>
          <w:p w:rsidR="00467321" w:rsidRPr="00543D25" w:rsidRDefault="00467321" w:rsidP="001F54FD">
            <w:pPr>
              <w:pStyle w:val="TableText"/>
            </w:pPr>
            <w:r w:rsidRPr="00543D25">
              <w:t>(1) always (2) sometimes (3) never</w:t>
            </w:r>
          </w:p>
        </w:tc>
      </w:tr>
      <w:tr w:rsidR="001F54FD" w:rsidRPr="00467321" w:rsidTr="001F54FD">
        <w:trPr>
          <w:cantSplit/>
        </w:trPr>
        <w:tc>
          <w:tcPr>
            <w:tcW w:w="567" w:type="dxa"/>
            <w:shd w:val="clear" w:color="auto" w:fill="auto"/>
          </w:tcPr>
          <w:p w:rsidR="00467321" w:rsidRPr="00543D25" w:rsidRDefault="00467321" w:rsidP="001F54FD">
            <w:pPr>
              <w:pStyle w:val="TableText"/>
            </w:pPr>
            <w:r w:rsidRPr="00543D25">
              <w:t>I2</w:t>
            </w:r>
          </w:p>
        </w:tc>
        <w:tc>
          <w:tcPr>
            <w:tcW w:w="3969" w:type="dxa"/>
            <w:shd w:val="clear" w:color="auto" w:fill="auto"/>
          </w:tcPr>
          <w:p w:rsidR="00467321" w:rsidRPr="00543D25" w:rsidRDefault="00467321" w:rsidP="001F54FD">
            <w:pPr>
              <w:pStyle w:val="TableText"/>
              <w:ind w:right="113"/>
            </w:pPr>
            <w:r w:rsidRPr="00543D25">
              <w:t>We are interested in whether you run out of basics, like bread, potatoes, etc because you do not have enough money. We are not referring to treats or special foods.</w:t>
            </w:r>
          </w:p>
        </w:tc>
        <w:tc>
          <w:tcPr>
            <w:tcW w:w="3544" w:type="dxa"/>
            <w:shd w:val="clear" w:color="auto" w:fill="auto"/>
          </w:tcPr>
          <w:p w:rsidR="00467321" w:rsidRPr="001F54FD" w:rsidRDefault="00467321" w:rsidP="001F54FD">
            <w:pPr>
              <w:pStyle w:val="TableText"/>
              <w:rPr>
                <w:spacing w:val="-2"/>
              </w:rPr>
            </w:pPr>
            <w:r w:rsidRPr="001F54FD">
              <w:rPr>
                <w:spacing w:val="-2"/>
              </w:rPr>
              <w:t>Food runs out in our household due to lack of money. How often has this been true for your household over the past year?</w:t>
            </w:r>
          </w:p>
          <w:p w:rsidR="00467321" w:rsidRPr="00543D25" w:rsidRDefault="00467321" w:rsidP="001F54FD">
            <w:pPr>
              <w:pStyle w:val="TableText"/>
            </w:pPr>
            <w:r w:rsidRPr="00543D25">
              <w:t>(1) often (2) sometimes (3) never</w:t>
            </w:r>
          </w:p>
        </w:tc>
      </w:tr>
      <w:tr w:rsidR="001F54FD" w:rsidRPr="00467321" w:rsidTr="001F54FD">
        <w:trPr>
          <w:cantSplit/>
        </w:trPr>
        <w:tc>
          <w:tcPr>
            <w:tcW w:w="567" w:type="dxa"/>
            <w:shd w:val="clear" w:color="auto" w:fill="auto"/>
          </w:tcPr>
          <w:p w:rsidR="00467321" w:rsidRPr="00543D25" w:rsidRDefault="00467321" w:rsidP="001F54FD">
            <w:pPr>
              <w:pStyle w:val="TableText"/>
            </w:pPr>
            <w:r w:rsidRPr="00543D25">
              <w:t>I3</w:t>
            </w:r>
          </w:p>
        </w:tc>
        <w:tc>
          <w:tcPr>
            <w:tcW w:w="3969" w:type="dxa"/>
            <w:shd w:val="clear" w:color="auto" w:fill="auto"/>
          </w:tcPr>
          <w:p w:rsidR="00467321" w:rsidRPr="00543D25" w:rsidRDefault="00467321" w:rsidP="001F54FD">
            <w:pPr>
              <w:pStyle w:val="TableText"/>
              <w:ind w:right="113"/>
            </w:pPr>
            <w:r w:rsidRPr="00543D25">
              <w:t>Now we are interested in whether a lack of money leads you to sometimes have smaller meals than you would like or whether a lack of money means there isn</w:t>
            </w:r>
            <w:r w:rsidR="00543D25" w:rsidRPr="00543D25">
              <w:t>’</w:t>
            </w:r>
            <w:r w:rsidRPr="00543D25">
              <w:t>t enough food for seconds or you sometimes skip meals?</w:t>
            </w:r>
          </w:p>
        </w:tc>
        <w:tc>
          <w:tcPr>
            <w:tcW w:w="3544" w:type="dxa"/>
            <w:shd w:val="clear" w:color="auto" w:fill="auto"/>
          </w:tcPr>
          <w:p w:rsidR="001F54FD" w:rsidRDefault="00467321" w:rsidP="001F54FD">
            <w:pPr>
              <w:pStyle w:val="TableText"/>
            </w:pPr>
            <w:r w:rsidRPr="00543D25">
              <w:t>We eat less because of lack of money. How often has this been true for your household over the past year?</w:t>
            </w:r>
          </w:p>
          <w:p w:rsidR="00467321" w:rsidRPr="00543D25" w:rsidRDefault="00467321" w:rsidP="001F54FD">
            <w:pPr>
              <w:pStyle w:val="TableText"/>
            </w:pPr>
            <w:r w:rsidRPr="00543D25">
              <w:t>(1) often (2) sometimes</w:t>
            </w:r>
            <w:r w:rsidR="001F54FD">
              <w:t xml:space="preserve"> </w:t>
            </w:r>
            <w:r w:rsidRPr="00543D25">
              <w:t>(3) never</w:t>
            </w:r>
          </w:p>
        </w:tc>
      </w:tr>
      <w:tr w:rsidR="001F54FD" w:rsidRPr="00467321" w:rsidTr="001F54FD">
        <w:trPr>
          <w:cantSplit/>
        </w:trPr>
        <w:tc>
          <w:tcPr>
            <w:tcW w:w="567" w:type="dxa"/>
            <w:shd w:val="clear" w:color="auto" w:fill="auto"/>
          </w:tcPr>
          <w:p w:rsidR="00467321" w:rsidRPr="00543D25" w:rsidRDefault="00467321" w:rsidP="001F54FD">
            <w:pPr>
              <w:pStyle w:val="TableText"/>
            </w:pPr>
            <w:r w:rsidRPr="00543D25">
              <w:t>I4</w:t>
            </w:r>
          </w:p>
        </w:tc>
        <w:tc>
          <w:tcPr>
            <w:tcW w:w="3969" w:type="dxa"/>
            <w:shd w:val="clear" w:color="auto" w:fill="auto"/>
          </w:tcPr>
          <w:p w:rsidR="00467321" w:rsidRPr="00543D25" w:rsidRDefault="00467321" w:rsidP="001F54FD">
            <w:pPr>
              <w:pStyle w:val="TableText"/>
              <w:ind w:right="113"/>
            </w:pPr>
            <w:r w:rsidRPr="00543D25">
              <w:t>Now we are going to talk about the variety of foods you eat. By variety, we mean the number of different kinds of food you have.</w:t>
            </w:r>
          </w:p>
        </w:tc>
        <w:tc>
          <w:tcPr>
            <w:tcW w:w="3544" w:type="dxa"/>
            <w:shd w:val="clear" w:color="auto" w:fill="auto"/>
          </w:tcPr>
          <w:p w:rsidR="001F54FD" w:rsidRDefault="00467321" w:rsidP="001F54FD">
            <w:pPr>
              <w:pStyle w:val="TableText"/>
            </w:pPr>
            <w:r w:rsidRPr="00543D25">
              <w:t>The variety of foods we are able to eat is limited by a lack of money. How often has this been true for your household over the past year?</w:t>
            </w:r>
          </w:p>
          <w:p w:rsidR="00467321" w:rsidRPr="00543D25" w:rsidRDefault="00467321" w:rsidP="001F54FD">
            <w:pPr>
              <w:pStyle w:val="TableText"/>
            </w:pPr>
            <w:r w:rsidRPr="00543D25">
              <w:t>(1) often (2) sometimes</w:t>
            </w:r>
            <w:r w:rsidR="001F54FD">
              <w:t xml:space="preserve"> </w:t>
            </w:r>
            <w:r w:rsidRPr="00543D25">
              <w:t>(3) never</w:t>
            </w:r>
          </w:p>
        </w:tc>
      </w:tr>
      <w:tr w:rsidR="001F54FD" w:rsidRPr="00467321" w:rsidTr="001F54FD">
        <w:trPr>
          <w:cantSplit/>
        </w:trPr>
        <w:tc>
          <w:tcPr>
            <w:tcW w:w="567" w:type="dxa"/>
            <w:shd w:val="clear" w:color="auto" w:fill="auto"/>
          </w:tcPr>
          <w:p w:rsidR="00467321" w:rsidRPr="00543D25" w:rsidRDefault="00467321" w:rsidP="001F54FD">
            <w:pPr>
              <w:pStyle w:val="TableText"/>
            </w:pPr>
            <w:r w:rsidRPr="00543D25">
              <w:t>I5</w:t>
            </w:r>
          </w:p>
        </w:tc>
        <w:tc>
          <w:tcPr>
            <w:tcW w:w="3969" w:type="dxa"/>
            <w:shd w:val="clear" w:color="auto" w:fill="auto"/>
          </w:tcPr>
          <w:p w:rsidR="00467321" w:rsidRPr="00543D25" w:rsidRDefault="00467321" w:rsidP="001F54FD">
            <w:pPr>
              <w:pStyle w:val="TableText"/>
              <w:ind w:right="113"/>
            </w:pPr>
            <w:r w:rsidRPr="00543D25">
              <w:t>Some people rely on support and assistance from others for supplying their regular food, and we are interested in finding out how many people fall into this group.</w:t>
            </w:r>
          </w:p>
        </w:tc>
        <w:tc>
          <w:tcPr>
            <w:tcW w:w="3544" w:type="dxa"/>
            <w:shd w:val="clear" w:color="auto" w:fill="auto"/>
          </w:tcPr>
          <w:p w:rsidR="001F54FD" w:rsidRDefault="00467321" w:rsidP="001F54FD">
            <w:pPr>
              <w:pStyle w:val="TableText"/>
            </w:pPr>
            <w:r w:rsidRPr="00543D25">
              <w:t>We rely on others to provide food and/or money for food, for our household, when we don</w:t>
            </w:r>
            <w:r w:rsidR="00543D25" w:rsidRPr="00543D25">
              <w:t>’</w:t>
            </w:r>
            <w:r w:rsidRPr="00543D25">
              <w:t>t have enough money. How often has this been true for your household over the past year?</w:t>
            </w:r>
          </w:p>
          <w:p w:rsidR="00467321" w:rsidRPr="00543D25" w:rsidRDefault="00467321" w:rsidP="001F54FD">
            <w:pPr>
              <w:pStyle w:val="TableText"/>
            </w:pPr>
            <w:r w:rsidRPr="00543D25">
              <w:t>(1) often</w:t>
            </w:r>
            <w:r w:rsidR="001F54FD">
              <w:t xml:space="preserve"> </w:t>
            </w:r>
            <w:r w:rsidRPr="00543D25">
              <w:t>(2) sometimes (3) never</w:t>
            </w:r>
          </w:p>
        </w:tc>
      </w:tr>
      <w:tr w:rsidR="001F54FD" w:rsidRPr="00467321" w:rsidTr="001F54FD">
        <w:trPr>
          <w:cantSplit/>
        </w:trPr>
        <w:tc>
          <w:tcPr>
            <w:tcW w:w="567" w:type="dxa"/>
            <w:shd w:val="clear" w:color="auto" w:fill="auto"/>
          </w:tcPr>
          <w:p w:rsidR="001F54FD" w:rsidRPr="00543D25" w:rsidRDefault="001F54FD" w:rsidP="001F54FD">
            <w:pPr>
              <w:pStyle w:val="TableText"/>
            </w:pPr>
            <w:r w:rsidRPr="00543D25">
              <w:lastRenderedPageBreak/>
              <w:t>I6</w:t>
            </w:r>
          </w:p>
        </w:tc>
        <w:tc>
          <w:tcPr>
            <w:tcW w:w="3969" w:type="dxa"/>
            <w:shd w:val="clear" w:color="auto" w:fill="auto"/>
          </w:tcPr>
          <w:p w:rsidR="001F54FD" w:rsidRPr="00543D25" w:rsidRDefault="001F54FD" w:rsidP="001F54FD">
            <w:pPr>
              <w:pStyle w:val="TableText"/>
              <w:ind w:right="113"/>
            </w:pPr>
            <w:r w:rsidRPr="00543D25">
              <w:t>Also, some people have to rely on other sources of help, such as food grants or food banks.</w:t>
            </w:r>
          </w:p>
        </w:tc>
        <w:tc>
          <w:tcPr>
            <w:tcW w:w="3544" w:type="dxa"/>
            <w:shd w:val="clear" w:color="auto" w:fill="auto"/>
          </w:tcPr>
          <w:p w:rsidR="001F54FD" w:rsidRPr="001F54FD" w:rsidRDefault="001F54FD" w:rsidP="001F54FD">
            <w:pPr>
              <w:pStyle w:val="TableText"/>
              <w:rPr>
                <w:spacing w:val="-2"/>
              </w:rPr>
            </w:pPr>
            <w:r w:rsidRPr="001F54FD">
              <w:rPr>
                <w:spacing w:val="-2"/>
              </w:rPr>
              <w:t>We make use of special food grants or food banks when we do not have enough money for food. How often has this been true for your household over the past year?</w:t>
            </w:r>
          </w:p>
          <w:p w:rsidR="001F54FD" w:rsidRPr="00543D25" w:rsidRDefault="001F54FD" w:rsidP="001F54FD">
            <w:pPr>
              <w:pStyle w:val="TableText"/>
            </w:pPr>
            <w:r w:rsidRPr="00543D25">
              <w:t>(1) often (2) sometimes</w:t>
            </w:r>
            <w:r>
              <w:t xml:space="preserve"> </w:t>
            </w:r>
            <w:r w:rsidRPr="00543D25">
              <w:t>(3) never</w:t>
            </w:r>
          </w:p>
        </w:tc>
      </w:tr>
      <w:tr w:rsidR="001F54FD" w:rsidRPr="00467321" w:rsidTr="001F54FD">
        <w:trPr>
          <w:cantSplit/>
        </w:trPr>
        <w:tc>
          <w:tcPr>
            <w:tcW w:w="567" w:type="dxa"/>
            <w:shd w:val="clear" w:color="auto" w:fill="auto"/>
          </w:tcPr>
          <w:p w:rsidR="001F54FD" w:rsidRPr="00543D25" w:rsidRDefault="001F54FD" w:rsidP="001F54FD">
            <w:pPr>
              <w:pStyle w:val="TableText"/>
            </w:pPr>
            <w:r w:rsidRPr="00543D25">
              <w:t>I7</w:t>
            </w:r>
          </w:p>
        </w:tc>
        <w:tc>
          <w:tcPr>
            <w:tcW w:w="3969" w:type="dxa"/>
            <w:shd w:val="clear" w:color="auto" w:fill="auto"/>
          </w:tcPr>
          <w:p w:rsidR="001F54FD" w:rsidRPr="00543D25" w:rsidRDefault="001F54FD" w:rsidP="001F54FD">
            <w:pPr>
              <w:pStyle w:val="TableText"/>
              <w:ind w:right="113"/>
            </w:pPr>
            <w:r w:rsidRPr="00543D25">
              <w:t>We know that some people get quite stressed and worried about providing food even though they don’t actually go without food.</w:t>
            </w:r>
          </w:p>
        </w:tc>
        <w:tc>
          <w:tcPr>
            <w:tcW w:w="3544" w:type="dxa"/>
            <w:shd w:val="clear" w:color="auto" w:fill="auto"/>
          </w:tcPr>
          <w:p w:rsidR="001F54FD" w:rsidRDefault="001F54FD" w:rsidP="001F54FD">
            <w:pPr>
              <w:pStyle w:val="TableText"/>
            </w:pPr>
            <w:r w:rsidRPr="00543D25">
              <w:t>I feel stressed because of not having enough money for food. How often has this been true for your household over the past year?</w:t>
            </w:r>
          </w:p>
          <w:p w:rsidR="001F54FD" w:rsidRPr="00543D25" w:rsidRDefault="001F54FD" w:rsidP="001F54FD">
            <w:pPr>
              <w:pStyle w:val="TableText"/>
            </w:pPr>
            <w:r w:rsidRPr="00543D25">
              <w:t>(1) often (2) sometimes</w:t>
            </w:r>
            <w:r>
              <w:t xml:space="preserve"> </w:t>
            </w:r>
            <w:r w:rsidRPr="00543D25">
              <w:t>(3) never</w:t>
            </w:r>
          </w:p>
        </w:tc>
      </w:tr>
      <w:tr w:rsidR="001F54FD" w:rsidRPr="00467321" w:rsidTr="001F54FD">
        <w:trPr>
          <w:cantSplit/>
        </w:trPr>
        <w:tc>
          <w:tcPr>
            <w:tcW w:w="567" w:type="dxa"/>
            <w:shd w:val="clear" w:color="auto" w:fill="auto"/>
          </w:tcPr>
          <w:p w:rsidR="001F54FD" w:rsidRPr="00543D25" w:rsidRDefault="001F54FD" w:rsidP="001F54FD">
            <w:pPr>
              <w:pStyle w:val="TableText"/>
            </w:pPr>
            <w:r w:rsidRPr="00543D25">
              <w:t>I8</w:t>
            </w:r>
          </w:p>
        </w:tc>
        <w:tc>
          <w:tcPr>
            <w:tcW w:w="3969" w:type="dxa"/>
            <w:shd w:val="clear" w:color="auto" w:fill="auto"/>
          </w:tcPr>
          <w:p w:rsidR="001F54FD" w:rsidRPr="00543D25" w:rsidRDefault="001F54FD" w:rsidP="001F54FD">
            <w:pPr>
              <w:pStyle w:val="TableText"/>
              <w:ind w:right="113"/>
            </w:pPr>
            <w:r w:rsidRPr="00543D25">
              <w:t>We recognise that for some people food and sharing with others is important, to the point that they don’t have enough food for themselves. In this question we are only interested in social situations that are</w:t>
            </w:r>
            <w:r>
              <w:t xml:space="preserve"> </w:t>
            </w:r>
            <w:r w:rsidRPr="00543D25">
              <w:t>gatherings within, or outside, the household. As a result people may find themselves stressed/whakamā (embarrassed) about their koha (gift) when providing food for others.</w:t>
            </w:r>
          </w:p>
        </w:tc>
        <w:tc>
          <w:tcPr>
            <w:tcW w:w="3544" w:type="dxa"/>
            <w:shd w:val="clear" w:color="auto" w:fill="auto"/>
          </w:tcPr>
          <w:p w:rsidR="001F54FD" w:rsidRDefault="001F54FD" w:rsidP="001F54FD">
            <w:pPr>
              <w:pStyle w:val="TableText"/>
            </w:pPr>
            <w:r w:rsidRPr="00543D25">
              <w:t>I feel stressed because I can’t provide the food I want for social occasions. How often has this been true for your household over the past year?</w:t>
            </w:r>
          </w:p>
          <w:p w:rsidR="001F54FD" w:rsidRPr="00543D25" w:rsidRDefault="001F54FD" w:rsidP="001F54FD">
            <w:pPr>
              <w:pStyle w:val="TableText"/>
            </w:pPr>
            <w:r w:rsidRPr="00543D25">
              <w:t>(1) often</w:t>
            </w:r>
            <w:r>
              <w:t xml:space="preserve"> </w:t>
            </w:r>
            <w:r w:rsidRPr="00543D25">
              <w:t>(2) sometimes (3) never</w:t>
            </w:r>
          </w:p>
        </w:tc>
      </w:tr>
    </w:tbl>
    <w:p w:rsidR="00467321" w:rsidRPr="00467321" w:rsidRDefault="00467321" w:rsidP="001F54FD">
      <w:pPr>
        <w:pStyle w:val="Note"/>
      </w:pPr>
      <w:r w:rsidRPr="00467321">
        <w:t xml:space="preserve">Note: All items allow a </w:t>
      </w:r>
      <w:r w:rsidR="00543D25">
        <w:t>‘</w:t>
      </w:r>
      <w:r w:rsidRPr="00467321">
        <w:t>don</w:t>
      </w:r>
      <w:r w:rsidR="00543D25">
        <w:t>’</w:t>
      </w:r>
      <w:r w:rsidRPr="00467321">
        <w:t>t know</w:t>
      </w:r>
      <w:r w:rsidR="00543D25">
        <w:t>’</w:t>
      </w:r>
      <w:r w:rsidRPr="00467321">
        <w:t xml:space="preserve"> and </w:t>
      </w:r>
      <w:r w:rsidR="00543D25">
        <w:t>‘</w:t>
      </w:r>
      <w:r w:rsidRPr="00467321">
        <w:t>refused</w:t>
      </w:r>
      <w:r w:rsidR="00543D25">
        <w:t>’</w:t>
      </w:r>
      <w:r w:rsidRPr="00467321">
        <w:t xml:space="preserve"> response.</w:t>
      </w:r>
    </w:p>
    <w:p w:rsidR="001F54FD" w:rsidRDefault="001F54FD" w:rsidP="001F54FD"/>
    <w:p w:rsidR="00467321" w:rsidRPr="00543D25" w:rsidRDefault="00467321" w:rsidP="001F54FD">
      <w:r w:rsidRPr="00543D25">
        <w:t>In this report, we present the New Zealand Health Survey estimates for both the individual items as well as a summary index. A key technical contribution of this paper is the development of an improved summary index for household food insecurity based on the food security questionnaire</w:t>
      </w:r>
      <w:r w:rsidR="00543D25" w:rsidRPr="00543D25">
        <w:t>’</w:t>
      </w:r>
      <w:r w:rsidRPr="00543D25">
        <w:t>s items. The summary index provides an estimate of the severity of food insecurity experienced by the household. We also developed thresholds to categorise respondents based on this summary index as either mostly to fully food-secure, moderately food-insecure or severely food-insecure.</w:t>
      </w:r>
    </w:p>
    <w:p w:rsidR="001F54FD" w:rsidRDefault="001F54FD" w:rsidP="001F54FD"/>
    <w:p w:rsidR="00467321" w:rsidRPr="00543D25" w:rsidRDefault="00467321" w:rsidP="001F54FD">
      <w:r w:rsidRPr="00543D25">
        <w:t>We created the summary index of household food insecurity for each respondent using an Item Response Theory (IRT) model. Rather than each item contributing to this index equally, as with traditional scoring methods, the degree of the item</w:t>
      </w:r>
      <w:r w:rsidR="00543D25" w:rsidRPr="00543D25">
        <w:t>’</w:t>
      </w:r>
      <w:r w:rsidRPr="00543D25">
        <w:t>s</w:t>
      </w:r>
      <w:r w:rsidR="001F54FD">
        <w:t xml:space="preserve"> </w:t>
      </w:r>
      <w:r w:rsidRPr="00543D25">
        <w:t>contribution depends on: (1) how well the item discriminates between individuals with and without food insecurity, and (2) the level of severity of food insecurity assessed</w:t>
      </w:r>
      <w:r w:rsidR="001F54FD">
        <w:t xml:space="preserve"> </w:t>
      </w:r>
      <w:r w:rsidRPr="00543D25">
        <w:t xml:space="preserve">by each type of item response (Depaoli </w:t>
      </w:r>
      <w:r w:rsidR="007464C2">
        <w:t>et al</w:t>
      </w:r>
      <w:r w:rsidRPr="00543D25">
        <w:t xml:space="preserve"> 2018). The resulting index allows a consistent comparison of different levels of food insecurity across time and between groups in the population. Appendix 2 contains more detail on the IRT analysis and the development of the thresholds.</w:t>
      </w:r>
    </w:p>
    <w:p w:rsidR="00467321" w:rsidRPr="00543D25" w:rsidRDefault="00467321" w:rsidP="001F54FD"/>
    <w:p w:rsidR="00467321" w:rsidRDefault="00467321" w:rsidP="001F54FD">
      <w:pPr>
        <w:pStyle w:val="Shadedboxtext"/>
      </w:pPr>
      <w:r w:rsidRPr="00543D25">
        <w:t xml:space="preserve">Our analysis estimates the percentage of children who are living in households where the primary caregiver indicated the household was food-insecure. It is important to note that this may not always translate directly into what individual children experience, as there is evidence that caregivers may shield children from the full effects of food insecurity (McIntyre </w:t>
      </w:r>
      <w:r w:rsidR="007464C2">
        <w:t>et al</w:t>
      </w:r>
      <w:r w:rsidRPr="00543D25">
        <w:t xml:space="preserve"> 2003).</w:t>
      </w:r>
    </w:p>
    <w:p w:rsidR="001F54FD" w:rsidRPr="00543D25" w:rsidRDefault="001F54FD" w:rsidP="00C11D2D"/>
    <w:p w:rsidR="00467321" w:rsidRPr="00543D25" w:rsidRDefault="00467321" w:rsidP="00C11D2D">
      <w:pPr>
        <w:keepLines/>
      </w:pPr>
      <w:r w:rsidRPr="00543D25">
        <w:lastRenderedPageBreak/>
        <w:t xml:space="preserve">Caregivers of children in severely food-insecure households typically responded </w:t>
      </w:r>
      <w:r w:rsidR="00543D25" w:rsidRPr="00543D25">
        <w:t>‘</w:t>
      </w:r>
      <w:r w:rsidRPr="00543D25">
        <w:t>often</w:t>
      </w:r>
      <w:r w:rsidR="00543D25" w:rsidRPr="00543D25">
        <w:t>’</w:t>
      </w:r>
      <w:r w:rsidRPr="00543D25">
        <w:t xml:space="preserve"> to items 2–8 and </w:t>
      </w:r>
      <w:r w:rsidR="00543D25" w:rsidRPr="00543D25">
        <w:t>‘</w:t>
      </w:r>
      <w:r w:rsidRPr="00543D25">
        <w:t>never</w:t>
      </w:r>
      <w:r w:rsidR="00543D25" w:rsidRPr="00543D25">
        <w:t>’</w:t>
      </w:r>
      <w:r w:rsidRPr="00543D25">
        <w:t xml:space="preserve"> to item 1. In this group, the </w:t>
      </w:r>
      <w:r w:rsidR="00543D25" w:rsidRPr="00543D25">
        <w:t>‘</w:t>
      </w:r>
      <w:r w:rsidRPr="00543D25">
        <w:t>often</w:t>
      </w:r>
      <w:r w:rsidR="00543D25" w:rsidRPr="00543D25">
        <w:t>’</w:t>
      </w:r>
      <w:r w:rsidRPr="00543D25">
        <w:t xml:space="preserve"> response was selected for at least four of the eight items and, for one in four children, </w:t>
      </w:r>
      <w:r w:rsidR="00543D25" w:rsidRPr="00543D25">
        <w:t>‘</w:t>
      </w:r>
      <w:r w:rsidRPr="00543D25">
        <w:t>often</w:t>
      </w:r>
      <w:r w:rsidR="00543D25" w:rsidRPr="00543D25">
        <w:t>’</w:t>
      </w:r>
      <w:r w:rsidRPr="00543D25">
        <w:t xml:space="preserve"> was selected for seven or all eight items. Children in households classified as moderately food-insecure had caregivers who typically responded </w:t>
      </w:r>
      <w:r w:rsidR="00543D25" w:rsidRPr="00543D25">
        <w:t>‘</w:t>
      </w:r>
      <w:r w:rsidRPr="00543D25">
        <w:t>sometimes</w:t>
      </w:r>
      <w:r w:rsidR="00543D25" w:rsidRPr="00543D25">
        <w:t>’</w:t>
      </w:r>
      <w:r w:rsidRPr="00543D25">
        <w:t xml:space="preserve"> to the items. Half of these children did not have an </w:t>
      </w:r>
      <w:r w:rsidR="00543D25" w:rsidRPr="00543D25">
        <w:t>‘</w:t>
      </w:r>
      <w:r w:rsidRPr="00543D25">
        <w:t>often</w:t>
      </w:r>
      <w:r w:rsidR="00543D25" w:rsidRPr="00543D25">
        <w:t>’</w:t>
      </w:r>
      <w:r w:rsidRPr="00543D25">
        <w:t xml:space="preserve"> response to any of the eight items. In the mostly to fully food-secure group were those with no indication of household food insecurity to any of the items (60.8%) and those for whom the majority of responses were </w:t>
      </w:r>
      <w:r w:rsidR="00543D25" w:rsidRPr="00543D25">
        <w:t>‘</w:t>
      </w:r>
      <w:r w:rsidRPr="00543D25">
        <w:t>never</w:t>
      </w:r>
      <w:r w:rsidR="00543D25" w:rsidRPr="00543D25">
        <w:t>’</w:t>
      </w:r>
      <w:r w:rsidRPr="00543D25">
        <w:t>.</w:t>
      </w:r>
    </w:p>
    <w:p w:rsidR="00C11D2D" w:rsidRDefault="00C11D2D" w:rsidP="00C11D2D"/>
    <w:p w:rsidR="00467321" w:rsidRPr="00543D25" w:rsidRDefault="00467321" w:rsidP="00C11D2D">
      <w:r w:rsidRPr="00543D25">
        <w:t>The categorisation of respondents into groups using thresholds is useful for comparing prevalence rates across time or between groups of the population. However, household food insecurity lies on a continuum of severity, rather than representing distinct groups. A household with a score just below the threshold for moderate food insecurity most likely does not differ substantially in terms of severity of food insecurity from a household just above this threshold. Also, the range of severity of food insecurity covered by our estimates is influenced by the content of the eight items. What the estimates tell us is that households in the severe category experience substantial food insecurity, and those in the moderate category, on average, experience food insecurity of a lesser severity.</w:t>
      </w:r>
    </w:p>
    <w:p w:rsidR="00C11D2D" w:rsidRDefault="00C11D2D" w:rsidP="00C11D2D"/>
    <w:p w:rsidR="00467321" w:rsidRPr="00543D25" w:rsidRDefault="00467321" w:rsidP="00C11D2D">
      <w:r w:rsidRPr="00543D25">
        <w:t>We mostly report findings for severe-to-moderate household food insecurity, rather than for severe and moderate groups separately, to ensure enough statistical power to identify differences among groups. We tested statistical significance between groups using t-tests based on the correct variances under the complex survey design. Where we provide estimates of the number of children concerned, we have rounded them to the nearest thousand.</w:t>
      </w:r>
    </w:p>
    <w:p w:rsidR="00C11D2D" w:rsidRDefault="00C11D2D" w:rsidP="00C11D2D"/>
    <w:p w:rsidR="00467321" w:rsidRPr="00543D25" w:rsidRDefault="00467321" w:rsidP="00C11D2D">
      <w:r w:rsidRPr="00543D25">
        <w:t>Adjusted rates and rate ratios (ARR) are presented comparing the prevalence of household food insecurity across the different demographic groups (see Table A5.9, Appendix 5). Adjustments are made to account for indicators that may influence (ie, confound) the group-comparison. In the case of this report, adjustments were for gross household income, number of children in the household, and the child</w:t>
      </w:r>
      <w:r w:rsidR="00543D25" w:rsidRPr="00543D25">
        <w:t>’</w:t>
      </w:r>
      <w:r w:rsidRPr="00543D25">
        <w:t>s age and sex. Rate ratios compare the prevalence for the group of interest (eg, primary caregiver on a benefit) and the reference group (eg, primary caregiver not on a benefit). A rate ratio above 1 means the indicator is more likely in the group of interest than in the reference group; a rate ratio below 1 means the indicator is less likely in the group of interest. For simplicity, we use the term rate for prevalence estimates.</w:t>
      </w:r>
      <w:r w:rsidR="00C11D2D">
        <w:t xml:space="preserve"> </w:t>
      </w:r>
      <w:r w:rsidRPr="00543D25">
        <w:t>However, due to the cross-sectional nature of the data, the accurate epidemiological term is proportion.</w:t>
      </w:r>
    </w:p>
    <w:p w:rsidR="00467321" w:rsidRPr="00543D25" w:rsidRDefault="00467321" w:rsidP="00C11D2D"/>
    <w:p w:rsidR="00467321" w:rsidRDefault="00467321" w:rsidP="00C11D2D">
      <w:pPr>
        <w:pStyle w:val="Shadedboxtext"/>
      </w:pPr>
      <w:r w:rsidRPr="00543D25">
        <w:t>Our findings are not directly comparable to previous work (ie, work based on the 1997 National Nutrition Survey and 2002 National Children</w:t>
      </w:r>
      <w:r w:rsidR="00543D25" w:rsidRPr="00543D25">
        <w:t>’</w:t>
      </w:r>
      <w:r w:rsidRPr="00543D25">
        <w:t>s Nutrition Survey), due to differences in analytical approach and the thresholds used to categorise respondents into groups with different levels of food insecurity. Recent advances have been made in IRT methodology; we were able to use the most up-to-date approach.</w:t>
      </w:r>
    </w:p>
    <w:p w:rsidR="00C11D2D" w:rsidRPr="00543D25" w:rsidRDefault="00C11D2D" w:rsidP="00C11D2D"/>
    <w:p w:rsidR="00467321" w:rsidRPr="00467321" w:rsidRDefault="00467321" w:rsidP="00C11D2D">
      <w:pPr>
        <w:pStyle w:val="Heading1"/>
      </w:pPr>
      <w:bookmarkStart w:id="12" w:name="_bookmark7"/>
      <w:bookmarkStart w:id="13" w:name="_Toc5437070"/>
      <w:bookmarkEnd w:id="12"/>
      <w:r w:rsidRPr="00467321">
        <w:lastRenderedPageBreak/>
        <w:t>The prevalence of food insecurity in 2015/16</w:t>
      </w:r>
      <w:bookmarkEnd w:id="13"/>
    </w:p>
    <w:p w:rsidR="00467321" w:rsidRPr="00C11D2D" w:rsidRDefault="00467321" w:rsidP="00C11D2D">
      <w:pPr>
        <w:pStyle w:val="Heading2"/>
      </w:pPr>
      <w:bookmarkStart w:id="14" w:name="_Toc5437071"/>
      <w:r w:rsidRPr="00467321">
        <w:t>Almost one in five children lived in a</w:t>
      </w:r>
      <w:r w:rsidR="00C11D2D">
        <w:t xml:space="preserve"> </w:t>
      </w:r>
      <w:r w:rsidRPr="00C11D2D">
        <w:t>food-insecure household</w:t>
      </w:r>
      <w:bookmarkEnd w:id="14"/>
    </w:p>
    <w:p w:rsidR="00467321" w:rsidRPr="00543D25" w:rsidRDefault="00467321" w:rsidP="00C11D2D">
      <w:r w:rsidRPr="00543D25">
        <w:t xml:space="preserve">An estimated 19.0 percent of children lived in households experiencing </w:t>
      </w:r>
      <w:r w:rsidR="00C11D2D">
        <w:t>severe-to-moderate</w:t>
      </w:r>
      <w:r w:rsidRPr="00543D25">
        <w:t xml:space="preserve"> food insecurity in 2015/16. A smaller proportion of children (1.6% in total) lived in households with severe food insecurity. Just over 60 percent of children (60.8%) lived in households that were fully food-secure based on the food security questionnaire (no </w:t>
      </w:r>
      <w:r w:rsidR="00543D25" w:rsidRPr="00543D25">
        <w:t>‘</w:t>
      </w:r>
      <w:r w:rsidRPr="00543D25">
        <w:t>often</w:t>
      </w:r>
      <w:r w:rsidR="00543D25" w:rsidRPr="00543D25">
        <w:t>’</w:t>
      </w:r>
      <w:r w:rsidRPr="00543D25">
        <w:t xml:space="preserve"> or </w:t>
      </w:r>
      <w:r w:rsidR="00543D25" w:rsidRPr="00543D25">
        <w:t>‘</w:t>
      </w:r>
      <w:r w:rsidRPr="00543D25">
        <w:t>sometimes</w:t>
      </w:r>
      <w:r w:rsidR="00543D25" w:rsidRPr="00543D25">
        <w:t>’</w:t>
      </w:r>
      <w:r w:rsidRPr="00543D25">
        <w:t xml:space="preserve"> response to any of the eight statements). For 20.2 percent of children, their primary caregiver provided some </w:t>
      </w:r>
      <w:r w:rsidR="00543D25" w:rsidRPr="00543D25">
        <w:t>‘</w:t>
      </w:r>
      <w:r w:rsidRPr="00543D25">
        <w:t>often</w:t>
      </w:r>
      <w:r w:rsidR="00543D25" w:rsidRPr="00543D25">
        <w:t>’</w:t>
      </w:r>
      <w:r w:rsidRPr="00543D25">
        <w:t xml:space="preserve"> or </w:t>
      </w:r>
      <w:r w:rsidR="00543D25" w:rsidRPr="00543D25">
        <w:t>‘</w:t>
      </w:r>
      <w:r w:rsidRPr="00543D25">
        <w:t>sometimes</w:t>
      </w:r>
      <w:r w:rsidR="00543D25" w:rsidRPr="00543D25">
        <w:t>’</w:t>
      </w:r>
      <w:r w:rsidRPr="00543D25">
        <w:t xml:space="preserve"> responses, but their aggregate score did not reach the threshold for moderate food insecurity.</w:t>
      </w:r>
    </w:p>
    <w:p w:rsidR="00C11D2D" w:rsidRDefault="00C11D2D" w:rsidP="00252570"/>
    <w:p w:rsidR="00467321" w:rsidRPr="00543D25" w:rsidRDefault="00252570" w:rsidP="00C11D2D">
      <w:r>
        <w:rPr>
          <w:noProof/>
          <w:lang w:eastAsia="en-NZ"/>
        </w:rPr>
        <w:drawing>
          <wp:anchor distT="0" distB="0" distL="114300" distR="0" simplePos="0" relativeHeight="251788288" behindDoc="0" locked="0" layoutInCell="1" allowOverlap="1">
            <wp:simplePos x="0" y="0"/>
            <wp:positionH relativeFrom="column">
              <wp:posOffset>3290570</wp:posOffset>
            </wp:positionH>
            <wp:positionV relativeFrom="paragraph">
              <wp:posOffset>3175</wp:posOffset>
            </wp:positionV>
            <wp:extent cx="1875155" cy="1313815"/>
            <wp:effectExtent l="0" t="0" r="0" b="635"/>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75155" cy="1313815"/>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Of the eight food security items, respondents most frequently indicated that the variety of foods the household was able to eat was limited by a lack of money. Caregivers of</w:t>
      </w:r>
      <w:r w:rsidR="00C11D2D">
        <w:t xml:space="preserve"> </w:t>
      </w:r>
      <w:r w:rsidR="00467321" w:rsidRPr="00543D25">
        <w:t>7.4</w:t>
      </w:r>
      <w:r w:rsidR="00C11D2D">
        <w:t> </w:t>
      </w:r>
      <w:r w:rsidR="00467321" w:rsidRPr="00543D25">
        <w:t>percent of children responded this was often the case</w:t>
      </w:r>
      <w:r w:rsidR="00467321" w:rsidRPr="00543D25">
        <w:rPr>
          <w:rFonts w:ascii="Calibri"/>
          <w:i/>
        </w:rPr>
        <w:t xml:space="preserve">. </w:t>
      </w:r>
      <w:r w:rsidR="00467321" w:rsidRPr="00543D25">
        <w:t>For an additional</w:t>
      </w:r>
      <w:r w:rsidR="00C11D2D">
        <w:t xml:space="preserve"> </w:t>
      </w:r>
      <w:r w:rsidR="00467321" w:rsidRPr="00543D25">
        <w:t>23.8</w:t>
      </w:r>
      <w:r w:rsidR="00C11D2D">
        <w:t> </w:t>
      </w:r>
      <w:r w:rsidR="00467321" w:rsidRPr="00543D25">
        <w:t xml:space="preserve">percent of children the response was </w:t>
      </w:r>
      <w:r w:rsidR="00543D25" w:rsidRPr="00543D25">
        <w:t>‘</w:t>
      </w:r>
      <w:r w:rsidR="00467321" w:rsidRPr="00543D25">
        <w:t>sometimes</w:t>
      </w:r>
      <w:r w:rsidR="00543D25" w:rsidRPr="00543D25">
        <w:t>’</w:t>
      </w:r>
      <w:r w:rsidR="00467321" w:rsidRPr="00543D25">
        <w:t xml:space="preserve"> (see Figure 1, Table 2). Of the children in households not classified as severely</w:t>
      </w:r>
      <w:r w:rsidR="00C11D2D">
        <w:t xml:space="preserve"> </w:t>
      </w:r>
      <w:r w:rsidR="00467321" w:rsidRPr="00543D25">
        <w:t>to moderately food-insecure based on the summary index, 16.0 percent of caregivers indicated that the variety of foods the household was able to eat was often (1.1%) or sometimes (14.9%) limited by a lack of money.</w:t>
      </w:r>
    </w:p>
    <w:p w:rsidR="00467321" w:rsidRPr="00543D25" w:rsidRDefault="00467321" w:rsidP="00C11D2D"/>
    <w:p w:rsidR="00467321" w:rsidRPr="00467321" w:rsidRDefault="00467321" w:rsidP="00C11D2D">
      <w:pPr>
        <w:pStyle w:val="Figure"/>
      </w:pPr>
      <w:bookmarkStart w:id="15" w:name="_Toc5437120"/>
      <w:r w:rsidRPr="00467321">
        <w:lastRenderedPageBreak/>
        <w:t>Figure 1: Item responses to the food security questionnaire, 2015/16</w:t>
      </w:r>
      <w:bookmarkEnd w:id="15"/>
    </w:p>
    <w:p w:rsidR="00467321" w:rsidRPr="00543D25" w:rsidRDefault="00252570" w:rsidP="00C11D2D">
      <w:r w:rsidRPr="00252570">
        <w:rPr>
          <w:noProof/>
          <w:lang w:eastAsia="en-NZ"/>
        </w:rPr>
        <w:drawing>
          <wp:inline distT="0" distB="0" distL="0" distR="0" wp14:anchorId="3D1296D1" wp14:editId="0D30A07A">
            <wp:extent cx="5130165" cy="2780322"/>
            <wp:effectExtent l="0" t="0" r="0" b="1270"/>
            <wp:docPr id="11" name="Picture 11" title="Figure 1: Item responses to the food security questionnair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2780322"/>
                    </a:xfrm>
                    <a:prstGeom prst="rect">
                      <a:avLst/>
                    </a:prstGeom>
                  </pic:spPr>
                </pic:pic>
              </a:graphicData>
            </a:graphic>
          </wp:inline>
        </w:drawing>
      </w:r>
    </w:p>
    <w:p w:rsidR="00467321" w:rsidRPr="00543D25" w:rsidRDefault="00467321" w:rsidP="00252570"/>
    <w:p w:rsidR="00467321" w:rsidRPr="00543D25" w:rsidRDefault="00467321" w:rsidP="00C11D2D">
      <w:bookmarkStart w:id="16" w:name="_bookmark8"/>
      <w:bookmarkEnd w:id="16"/>
      <w:r w:rsidRPr="00543D25">
        <w:t>The least prevalent indicator of household food insecurity was the use of food grants or food banks. For 1.1 percent of children, the primary caregiver indicated they often made use of food grants or food banks; for just under one in ten children (9.5%) this was reported to be the case sometimes. The use of food banks or grants is associated with many factors other than need, including local availability and stigma. This means that the number of households that could have benefited from the use of food banks or grants to meet their needs may have been higher.</w:t>
      </w:r>
    </w:p>
    <w:p w:rsidR="00C11D2D" w:rsidRDefault="00C11D2D" w:rsidP="00C11D2D"/>
    <w:p w:rsidR="00467321" w:rsidRPr="00543D25" w:rsidRDefault="00467321" w:rsidP="00C11D2D">
      <w:r w:rsidRPr="00543D25">
        <w:t>Food banks and grants cover a variety of different programmes run by both government and non-government organisations. For example, the Ministry of Social Development (MSD) provides Special Needs Grants for food. In June 2018, 88,000 beneficiary families with children received such grants (Perry 2018). MSD reported in 2018 that food has remained the main reason for needing hardship assistance (Ministry of Social Development 2018).</w:t>
      </w:r>
    </w:p>
    <w:p w:rsidR="00C11D2D" w:rsidRDefault="00C11D2D" w:rsidP="00C11D2D"/>
    <w:p w:rsidR="00467321" w:rsidRPr="00543D25" w:rsidRDefault="00467321" w:rsidP="00C11D2D">
      <w:r w:rsidRPr="00543D25">
        <w:t>One of the main charitable organisations providing food through food banks is the Salvation Army. In 2016 they distributed 56,500 food parcels to 29,500 families or households, including those with children (Johnson 2018). Between 2016 and 2017 there was a 12 percent increase in the number of parcels distributed, after six years of relatively stable numbers (2011–2016).</w:t>
      </w:r>
    </w:p>
    <w:p w:rsidR="00467321" w:rsidRPr="00543D25" w:rsidRDefault="00467321" w:rsidP="00C11D2D"/>
    <w:p w:rsidR="00467321" w:rsidRPr="00467321" w:rsidRDefault="00467321" w:rsidP="00C11D2D">
      <w:pPr>
        <w:pStyle w:val="Table"/>
      </w:pPr>
      <w:bookmarkStart w:id="17" w:name="_Toc5437190"/>
      <w:r w:rsidRPr="00467321">
        <w:lastRenderedPageBreak/>
        <w:t>Table 2: Item responses to the food security questionnaire and summary index, 2015/16</w:t>
      </w:r>
      <w:bookmarkEnd w:id="17"/>
    </w:p>
    <w:tbl>
      <w:tblPr>
        <w:tblW w:w="0" w:type="auto"/>
        <w:tblInd w:w="57"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CellMar>
          <w:left w:w="57" w:type="dxa"/>
          <w:right w:w="57" w:type="dxa"/>
        </w:tblCellMar>
        <w:tblLook w:val="01E0" w:firstRow="1" w:lastRow="1" w:firstColumn="1" w:lastColumn="1" w:noHBand="0" w:noVBand="0"/>
      </w:tblPr>
      <w:tblGrid>
        <w:gridCol w:w="3544"/>
        <w:gridCol w:w="1134"/>
        <w:gridCol w:w="1134"/>
        <w:gridCol w:w="1134"/>
        <w:gridCol w:w="1134"/>
      </w:tblGrid>
      <w:tr w:rsidR="00467321" w:rsidRPr="00C11D2D" w:rsidTr="00A57C35">
        <w:trPr>
          <w:cantSplit/>
        </w:trPr>
        <w:tc>
          <w:tcPr>
            <w:tcW w:w="3544" w:type="dxa"/>
            <w:vMerge w:val="restart"/>
            <w:tcBorders>
              <w:top w:val="nil"/>
              <w:left w:val="nil"/>
              <w:bottom w:val="nil"/>
              <w:right w:val="single" w:sz="4" w:space="0" w:color="A6A6A6" w:themeColor="background1" w:themeShade="A6"/>
            </w:tcBorders>
            <w:shd w:val="clear" w:color="auto" w:fill="D9D9D9" w:themeFill="background1" w:themeFillShade="D9"/>
          </w:tcPr>
          <w:p w:rsidR="00467321" w:rsidRPr="00C11D2D" w:rsidRDefault="00467321" w:rsidP="00252570">
            <w:pPr>
              <w:pStyle w:val="TableText"/>
              <w:keepNext/>
              <w:rPr>
                <w:b/>
              </w:rPr>
            </w:pPr>
          </w:p>
        </w:tc>
        <w:tc>
          <w:tcPr>
            <w:tcW w:w="2268"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467321" w:rsidRPr="00C11D2D" w:rsidRDefault="00467321" w:rsidP="00252570">
            <w:pPr>
              <w:pStyle w:val="TableText"/>
              <w:keepNext/>
              <w:spacing w:after="0"/>
              <w:jc w:val="center"/>
              <w:rPr>
                <w:b/>
              </w:rPr>
            </w:pPr>
            <w:r w:rsidRPr="00C11D2D">
              <w:rPr>
                <w:b/>
              </w:rPr>
              <w:t>Severe (often)</w:t>
            </w:r>
          </w:p>
        </w:tc>
        <w:tc>
          <w:tcPr>
            <w:tcW w:w="2268" w:type="dxa"/>
            <w:gridSpan w:val="2"/>
            <w:tcBorders>
              <w:top w:val="nil"/>
              <w:left w:val="single" w:sz="4" w:space="0" w:color="A6A6A6" w:themeColor="background1" w:themeShade="A6"/>
              <w:bottom w:val="nil"/>
              <w:right w:val="nil"/>
            </w:tcBorders>
            <w:shd w:val="clear" w:color="auto" w:fill="D9D9D9" w:themeFill="background1" w:themeFillShade="D9"/>
          </w:tcPr>
          <w:p w:rsidR="00467321" w:rsidRPr="00C11D2D" w:rsidRDefault="00467321" w:rsidP="00252570">
            <w:pPr>
              <w:pStyle w:val="TableText"/>
              <w:keepNext/>
              <w:spacing w:after="0"/>
              <w:jc w:val="center"/>
              <w:rPr>
                <w:b/>
              </w:rPr>
            </w:pPr>
            <w:r w:rsidRPr="00C11D2D">
              <w:rPr>
                <w:b/>
              </w:rPr>
              <w:t>Severe-to-moderate (often and sometimes)</w:t>
            </w:r>
          </w:p>
        </w:tc>
      </w:tr>
      <w:tr w:rsidR="00467321" w:rsidRPr="00C11D2D" w:rsidTr="00A57C35">
        <w:trPr>
          <w:cantSplit/>
        </w:trPr>
        <w:tc>
          <w:tcPr>
            <w:tcW w:w="3544" w:type="dxa"/>
            <w:vMerge/>
            <w:tcBorders>
              <w:top w:val="nil"/>
              <w:left w:val="nil"/>
              <w:bottom w:val="nil"/>
              <w:right w:val="single" w:sz="4" w:space="0" w:color="A6A6A6" w:themeColor="background1" w:themeShade="A6"/>
            </w:tcBorders>
            <w:shd w:val="clear" w:color="auto" w:fill="D9D9D9" w:themeFill="background1" w:themeFillShade="D9"/>
          </w:tcPr>
          <w:p w:rsidR="00467321" w:rsidRPr="00C11D2D" w:rsidRDefault="00467321" w:rsidP="00252570">
            <w:pPr>
              <w:pStyle w:val="TableText"/>
              <w:keepNext/>
              <w:rPr>
                <w:b/>
                <w:sz w:val="2"/>
                <w:szCs w:val="2"/>
              </w:rPr>
            </w:pPr>
          </w:p>
        </w:tc>
        <w:tc>
          <w:tcPr>
            <w:tcW w:w="1134" w:type="dxa"/>
            <w:tcBorders>
              <w:top w:val="nil"/>
              <w:left w:val="single" w:sz="4" w:space="0" w:color="A6A6A6" w:themeColor="background1" w:themeShade="A6"/>
              <w:bottom w:val="nil"/>
              <w:right w:val="nil"/>
            </w:tcBorders>
            <w:shd w:val="clear" w:color="auto" w:fill="D9D9D9" w:themeFill="background1" w:themeFillShade="D9"/>
          </w:tcPr>
          <w:p w:rsidR="00467321" w:rsidRPr="00C11D2D" w:rsidRDefault="00467321" w:rsidP="00252570">
            <w:pPr>
              <w:pStyle w:val="TableText"/>
              <w:keepNext/>
              <w:spacing w:before="0"/>
              <w:jc w:val="center"/>
              <w:rPr>
                <w:b/>
              </w:rPr>
            </w:pPr>
            <w:r w:rsidRPr="00C11D2D">
              <w:rPr>
                <w:b/>
              </w:rPr>
              <w:t>%</w:t>
            </w:r>
          </w:p>
        </w:tc>
        <w:tc>
          <w:tcPr>
            <w:tcW w:w="1134" w:type="dxa"/>
            <w:tcBorders>
              <w:top w:val="nil"/>
              <w:left w:val="nil"/>
              <w:bottom w:val="nil"/>
              <w:right w:val="single" w:sz="4" w:space="0" w:color="A6A6A6" w:themeColor="background1" w:themeShade="A6"/>
            </w:tcBorders>
            <w:shd w:val="clear" w:color="auto" w:fill="D9D9D9" w:themeFill="background1" w:themeFillShade="D9"/>
          </w:tcPr>
          <w:p w:rsidR="00467321" w:rsidRPr="00C11D2D" w:rsidRDefault="00467321" w:rsidP="00252570">
            <w:pPr>
              <w:pStyle w:val="TableText"/>
              <w:keepNext/>
              <w:spacing w:before="0"/>
              <w:jc w:val="center"/>
              <w:rPr>
                <w:b/>
              </w:rPr>
            </w:pPr>
            <w:r w:rsidRPr="00C11D2D">
              <w:rPr>
                <w:b/>
              </w:rPr>
              <w:t>95% CI</w:t>
            </w:r>
          </w:p>
        </w:tc>
        <w:tc>
          <w:tcPr>
            <w:tcW w:w="1134" w:type="dxa"/>
            <w:tcBorders>
              <w:top w:val="nil"/>
              <w:left w:val="single" w:sz="4" w:space="0" w:color="A6A6A6" w:themeColor="background1" w:themeShade="A6"/>
              <w:bottom w:val="nil"/>
              <w:right w:val="nil"/>
            </w:tcBorders>
            <w:shd w:val="clear" w:color="auto" w:fill="D9D9D9" w:themeFill="background1" w:themeFillShade="D9"/>
          </w:tcPr>
          <w:p w:rsidR="00467321" w:rsidRPr="00C11D2D" w:rsidRDefault="00467321" w:rsidP="00252570">
            <w:pPr>
              <w:pStyle w:val="TableText"/>
              <w:keepNext/>
              <w:spacing w:before="0"/>
              <w:jc w:val="center"/>
              <w:rPr>
                <w:b/>
              </w:rPr>
            </w:pPr>
            <w:r w:rsidRPr="00C11D2D">
              <w:rPr>
                <w:b/>
              </w:rPr>
              <w:t>%</w:t>
            </w:r>
          </w:p>
        </w:tc>
        <w:tc>
          <w:tcPr>
            <w:tcW w:w="1134" w:type="dxa"/>
            <w:tcBorders>
              <w:top w:val="nil"/>
              <w:left w:val="nil"/>
              <w:bottom w:val="nil"/>
              <w:right w:val="nil"/>
            </w:tcBorders>
            <w:shd w:val="clear" w:color="auto" w:fill="D9D9D9" w:themeFill="background1" w:themeFillShade="D9"/>
          </w:tcPr>
          <w:p w:rsidR="00467321" w:rsidRPr="00C11D2D" w:rsidRDefault="00467321" w:rsidP="00252570">
            <w:pPr>
              <w:pStyle w:val="TableText"/>
              <w:keepNext/>
              <w:spacing w:before="0"/>
              <w:jc w:val="center"/>
              <w:rPr>
                <w:b/>
              </w:rPr>
            </w:pPr>
            <w:r w:rsidRPr="00C11D2D">
              <w:rPr>
                <w:b/>
              </w:rPr>
              <w:t>95% CI</w:t>
            </w:r>
          </w:p>
        </w:tc>
      </w:tr>
      <w:tr w:rsidR="00467321" w:rsidRPr="00467321" w:rsidTr="00A57C35">
        <w:trPr>
          <w:cantSplit/>
        </w:trPr>
        <w:tc>
          <w:tcPr>
            <w:tcW w:w="3544" w:type="dxa"/>
            <w:tcBorders>
              <w:top w:val="nil"/>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pPr>
            <w:r w:rsidRPr="00543D25">
              <w:t>Cannot afford to eat (I1)</w:t>
            </w:r>
          </w:p>
        </w:tc>
        <w:tc>
          <w:tcPr>
            <w:tcW w:w="1134" w:type="dxa"/>
            <w:tcBorders>
              <w:top w:val="nil"/>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1.2</w:t>
            </w:r>
          </w:p>
        </w:tc>
        <w:tc>
          <w:tcPr>
            <w:tcW w:w="1134" w:type="dxa"/>
            <w:tcBorders>
              <w:top w:val="nil"/>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jc w:val="center"/>
            </w:pPr>
            <w:r w:rsidRPr="00543D25">
              <w:t>0.8–1.6</w:t>
            </w:r>
          </w:p>
        </w:tc>
        <w:tc>
          <w:tcPr>
            <w:tcW w:w="1134" w:type="dxa"/>
            <w:tcBorders>
              <w:top w:val="nil"/>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20.1</w:t>
            </w:r>
          </w:p>
        </w:tc>
        <w:tc>
          <w:tcPr>
            <w:tcW w:w="1134" w:type="dxa"/>
            <w:tcBorders>
              <w:top w:val="nil"/>
              <w:left w:val="nil"/>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18.7–21.5</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pPr>
            <w:r w:rsidRPr="00543D25">
              <w:t>Food runs out (I2)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4.1</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jc w:val="center"/>
            </w:pPr>
            <w:r w:rsidRPr="00543D25">
              <w:t>3.4–4.8</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22.3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20.9–23.8</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pPr>
            <w:r w:rsidRPr="00543D25">
              <w:t>We eat less (I3)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2.7</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jc w:val="center"/>
            </w:pPr>
            <w:r w:rsidRPr="00543D25">
              <w:t>2.2–3.3</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19.8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18.4–21.3</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pPr>
            <w:r w:rsidRPr="00543D25">
              <w:t>Variety limited (I4)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7.4</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252570">
            <w:pPr>
              <w:pStyle w:val="TableText"/>
              <w:keepNext/>
              <w:jc w:val="center"/>
            </w:pPr>
            <w:r w:rsidRPr="00543D25">
              <w:t>6.3–8.4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31.1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252570">
            <w:pPr>
              <w:pStyle w:val="TableText"/>
              <w:keepNext/>
              <w:jc w:val="center"/>
            </w:pPr>
            <w:r w:rsidRPr="00543D25">
              <w:t>29.3–33.0</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C11D2D">
            <w:pPr>
              <w:pStyle w:val="TableText"/>
            </w:pPr>
            <w:r w:rsidRPr="00543D25">
              <w:t>Rely on others (I5)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2.0</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A57C35">
            <w:pPr>
              <w:pStyle w:val="TableText"/>
              <w:jc w:val="center"/>
            </w:pPr>
            <w:r w:rsidRPr="00543D25">
              <w:t>1.5–2.5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12.5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11.1–13.9</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C11D2D">
            <w:pPr>
              <w:pStyle w:val="TableText"/>
            </w:pPr>
            <w:r w:rsidRPr="00543D25">
              <w:t>Use food grants or banks (I6)</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1.1</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A57C35">
            <w:pPr>
              <w:pStyle w:val="TableText"/>
              <w:jc w:val="center"/>
            </w:pPr>
            <w:r w:rsidRPr="00543D25">
              <w:t>0.7–1.5</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10.5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9.6–11.5</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C11D2D">
            <w:pPr>
              <w:pStyle w:val="TableText"/>
            </w:pPr>
            <w:r w:rsidRPr="00543D25">
              <w:t>Stressed not enough money (I7)</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5.2</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A57C35">
            <w:pPr>
              <w:pStyle w:val="TableText"/>
              <w:jc w:val="center"/>
            </w:pPr>
            <w:r w:rsidRPr="00543D25">
              <w:t>4.2–6.1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22.3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20.6–24.0</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C11D2D">
            <w:pPr>
              <w:pStyle w:val="TableText"/>
            </w:pPr>
            <w:r w:rsidRPr="00543D25">
              <w:t>Stressed social occasions (I8)</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2.8</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A57C35">
            <w:pPr>
              <w:pStyle w:val="TableText"/>
              <w:jc w:val="center"/>
            </w:pPr>
            <w:r w:rsidRPr="00543D25">
              <w:t>2.2–3.4</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18.0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16.6–19.3</w:t>
            </w:r>
          </w:p>
        </w:tc>
      </w:tr>
      <w:tr w:rsidR="00467321" w:rsidRPr="00467321" w:rsidTr="00A57C35">
        <w:trPr>
          <w:cantSplit/>
        </w:trPr>
        <w:tc>
          <w:tcPr>
            <w:tcW w:w="354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C11D2D">
            <w:pPr>
              <w:pStyle w:val="TableText"/>
            </w:pPr>
            <w:r w:rsidRPr="00543D25">
              <w:t>Summary index of food insecurity</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1.6</w:t>
            </w:r>
          </w:p>
        </w:tc>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A57C35">
            <w:pPr>
              <w:pStyle w:val="TableText"/>
              <w:jc w:val="center"/>
            </w:pPr>
            <w:r w:rsidRPr="00543D25">
              <w:t>1.2–2.1</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19.0</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A57C35">
            <w:pPr>
              <w:pStyle w:val="TableText"/>
              <w:jc w:val="center"/>
            </w:pPr>
            <w:r w:rsidRPr="00543D25">
              <w:t>17.5–20.4</w:t>
            </w:r>
          </w:p>
        </w:tc>
      </w:tr>
    </w:tbl>
    <w:p w:rsidR="00467321" w:rsidRPr="00467321" w:rsidRDefault="00467321" w:rsidP="00C11D2D">
      <w:pPr>
        <w:pStyle w:val="Note"/>
      </w:pPr>
      <w:r w:rsidRPr="00467321">
        <w:t xml:space="preserve">Notes: For reporting purposes item 1 has been phrased in reverse, and the answer </w:t>
      </w:r>
      <w:r w:rsidR="00543D25">
        <w:t>‘</w:t>
      </w:r>
      <w:r w:rsidRPr="00467321">
        <w:t>never</w:t>
      </w:r>
      <w:r w:rsidR="00543D25">
        <w:t>’</w:t>
      </w:r>
      <w:r w:rsidRPr="00467321">
        <w:t xml:space="preserve"> to the statement </w:t>
      </w:r>
      <w:r w:rsidR="00543D25">
        <w:t>‘</w:t>
      </w:r>
      <w:r w:rsidRPr="00467321">
        <w:t>we can afford to eat properly</w:t>
      </w:r>
      <w:r w:rsidR="00543D25">
        <w:t>’</w:t>
      </w:r>
      <w:r w:rsidRPr="00467321">
        <w:t xml:space="preserve"> is included in the percentage listed for </w:t>
      </w:r>
      <w:r w:rsidR="00543D25">
        <w:t>‘</w:t>
      </w:r>
      <w:r w:rsidRPr="00467321">
        <w:t>often</w:t>
      </w:r>
      <w:r w:rsidR="00543D25">
        <w:t>’</w:t>
      </w:r>
      <w:r w:rsidRPr="00467321">
        <w:t xml:space="preserve"> in the table above.</w:t>
      </w:r>
    </w:p>
    <w:p w:rsidR="00467321" w:rsidRDefault="00467321" w:rsidP="00C11D2D">
      <w:pPr>
        <w:pStyle w:val="Note"/>
      </w:pPr>
      <w:r w:rsidRPr="00467321">
        <w:t>Combined severe-to-moderate estimates are presented, as later sections of the report mainly concern this group.</w:t>
      </w:r>
    </w:p>
    <w:p w:rsidR="00C11D2D" w:rsidRPr="00C11D2D" w:rsidRDefault="00C11D2D" w:rsidP="00A57C35"/>
    <w:p w:rsidR="00467321" w:rsidRPr="00467321" w:rsidRDefault="00467321" w:rsidP="00C11D2D">
      <w:pPr>
        <w:pStyle w:val="Heading2"/>
      </w:pPr>
      <w:bookmarkStart w:id="18" w:name="_bookmark9"/>
      <w:bookmarkStart w:id="19" w:name="_Toc5437072"/>
      <w:bookmarkEnd w:id="18"/>
      <w:r w:rsidRPr="00467321">
        <w:t>The share of children living in households with food insecurity was higher for some groups</w:t>
      </w:r>
      <w:bookmarkEnd w:id="19"/>
    </w:p>
    <w:p w:rsidR="00467321" w:rsidRPr="00543D25" w:rsidRDefault="00467321" w:rsidP="00B25F34">
      <w:r w:rsidRPr="00543D25">
        <w:t>In the following sections we use the summary index to look at the prevalence of severe-to-moderate food insecurity for different subgroups of children. Appendix 4 presents the share of the New Zealand child population in each of these subgroups.</w:t>
      </w:r>
    </w:p>
    <w:p w:rsidR="00B25F34" w:rsidRDefault="00B25F34" w:rsidP="00B25F34"/>
    <w:p w:rsidR="00467321" w:rsidRPr="00543D25" w:rsidRDefault="00467321" w:rsidP="00B25F34">
      <w:r w:rsidRPr="00543D25">
        <w:t>There was no significant difference in the prevalence of household food insecurity for boys and girls. The proportion of younger children (0–4 years) living in households with food insecurity was not significantly different from the proportion of older children</w:t>
      </w:r>
      <w:r w:rsidR="00B25F34">
        <w:br/>
      </w:r>
      <w:r w:rsidRPr="00543D25">
        <w:t>(5–9 or 10–14 years; see Table 3).</w:t>
      </w:r>
    </w:p>
    <w:p w:rsidR="00467321" w:rsidRPr="00543D25" w:rsidRDefault="00467321" w:rsidP="00B25F34"/>
    <w:p w:rsidR="00467321" w:rsidRPr="00467321" w:rsidRDefault="00467321" w:rsidP="00B25F34">
      <w:pPr>
        <w:pStyle w:val="Table"/>
      </w:pPr>
      <w:bookmarkStart w:id="20" w:name="_Toc5437191"/>
      <w:r w:rsidRPr="00467321">
        <w:lastRenderedPageBreak/>
        <w:t>Table 3: Prevalence of children living in food-insecure households, by age and sex, 2015/16</w:t>
      </w:r>
      <w:bookmarkEnd w:id="20"/>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127"/>
        <w:gridCol w:w="1559"/>
        <w:gridCol w:w="1417"/>
        <w:gridCol w:w="1276"/>
        <w:gridCol w:w="1701"/>
      </w:tblGrid>
      <w:tr w:rsidR="00467321" w:rsidRPr="00B25F34" w:rsidTr="00B25F34">
        <w:trPr>
          <w:cantSplit/>
        </w:trPr>
        <w:tc>
          <w:tcPr>
            <w:tcW w:w="2127" w:type="dxa"/>
            <w:tcBorders>
              <w:top w:val="nil"/>
              <w:bottom w:val="nil"/>
            </w:tcBorders>
            <w:shd w:val="clear" w:color="auto" w:fill="D9D9D9" w:themeFill="background1" w:themeFillShade="D9"/>
          </w:tcPr>
          <w:p w:rsidR="00467321" w:rsidRPr="00B25F34" w:rsidRDefault="00467321" w:rsidP="00252570">
            <w:pPr>
              <w:pStyle w:val="TableText"/>
              <w:keepNext/>
              <w:rPr>
                <w:b/>
              </w:rPr>
            </w:pPr>
          </w:p>
        </w:tc>
        <w:tc>
          <w:tcPr>
            <w:tcW w:w="1559" w:type="dxa"/>
            <w:tcBorders>
              <w:top w:val="nil"/>
              <w:bottom w:val="nil"/>
            </w:tcBorders>
            <w:shd w:val="clear" w:color="auto" w:fill="D9D9D9" w:themeFill="background1" w:themeFillShade="D9"/>
          </w:tcPr>
          <w:p w:rsidR="00467321" w:rsidRPr="00B25F34" w:rsidRDefault="00467321" w:rsidP="00252570">
            <w:pPr>
              <w:pStyle w:val="TableText"/>
              <w:keepNext/>
              <w:jc w:val="center"/>
              <w:rPr>
                <w:b/>
              </w:rPr>
            </w:pPr>
            <w:r w:rsidRPr="00B25F34">
              <w:rPr>
                <w:b/>
              </w:rPr>
              <w:t>Children in households with food insecurity</w:t>
            </w:r>
            <w:r w:rsidR="00B25F34" w:rsidRPr="00B25F34">
              <w:rPr>
                <w:b/>
              </w:rPr>
              <w:br/>
            </w:r>
            <w:r w:rsidRPr="00B25F34">
              <w:rPr>
                <w:b/>
              </w:rPr>
              <w:t>(%)</w:t>
            </w:r>
          </w:p>
        </w:tc>
        <w:tc>
          <w:tcPr>
            <w:tcW w:w="1417" w:type="dxa"/>
            <w:tcBorders>
              <w:top w:val="nil"/>
              <w:bottom w:val="nil"/>
            </w:tcBorders>
            <w:shd w:val="clear" w:color="auto" w:fill="D9D9D9" w:themeFill="background1" w:themeFillShade="D9"/>
          </w:tcPr>
          <w:p w:rsidR="00467321" w:rsidRPr="00B25F34" w:rsidRDefault="00467321" w:rsidP="00252570">
            <w:pPr>
              <w:pStyle w:val="TableText"/>
              <w:keepNext/>
              <w:jc w:val="center"/>
              <w:rPr>
                <w:b/>
              </w:rPr>
            </w:pPr>
            <w:r w:rsidRPr="00B25F34">
              <w:rPr>
                <w:b/>
              </w:rPr>
              <w:t>95% CI</w:t>
            </w:r>
          </w:p>
        </w:tc>
        <w:tc>
          <w:tcPr>
            <w:tcW w:w="1276" w:type="dxa"/>
            <w:tcBorders>
              <w:top w:val="nil"/>
              <w:bottom w:val="nil"/>
            </w:tcBorders>
            <w:shd w:val="clear" w:color="auto" w:fill="D9D9D9" w:themeFill="background1" w:themeFillShade="D9"/>
          </w:tcPr>
          <w:p w:rsidR="00467321" w:rsidRPr="00B25F34" w:rsidRDefault="00467321" w:rsidP="00252570">
            <w:pPr>
              <w:pStyle w:val="TableText"/>
              <w:keepNext/>
              <w:jc w:val="center"/>
              <w:rPr>
                <w:b/>
              </w:rPr>
            </w:pPr>
            <w:r w:rsidRPr="00B25F34">
              <w:rPr>
                <w:b/>
              </w:rPr>
              <w:t>Estimated number of children</w:t>
            </w:r>
          </w:p>
        </w:tc>
        <w:tc>
          <w:tcPr>
            <w:tcW w:w="1701" w:type="dxa"/>
            <w:tcBorders>
              <w:top w:val="nil"/>
              <w:bottom w:val="nil"/>
            </w:tcBorders>
            <w:shd w:val="clear" w:color="auto" w:fill="D9D9D9" w:themeFill="background1" w:themeFillShade="D9"/>
          </w:tcPr>
          <w:p w:rsidR="00467321" w:rsidRPr="00B25F34" w:rsidRDefault="00467321" w:rsidP="00252570">
            <w:pPr>
              <w:pStyle w:val="TableText"/>
              <w:keepNext/>
              <w:jc w:val="center"/>
              <w:rPr>
                <w:b/>
              </w:rPr>
            </w:pPr>
            <w:r w:rsidRPr="00B25F34">
              <w:rPr>
                <w:b/>
              </w:rPr>
              <w:t>95% CI</w:t>
            </w:r>
          </w:p>
        </w:tc>
      </w:tr>
      <w:tr w:rsidR="00467321" w:rsidRPr="00467321" w:rsidTr="00B25F34">
        <w:trPr>
          <w:cantSplit/>
        </w:trPr>
        <w:tc>
          <w:tcPr>
            <w:tcW w:w="2127" w:type="dxa"/>
            <w:tcBorders>
              <w:top w:val="nil"/>
            </w:tcBorders>
            <w:shd w:val="clear" w:color="auto" w:fill="auto"/>
          </w:tcPr>
          <w:p w:rsidR="00467321" w:rsidRPr="00543D25" w:rsidRDefault="00467321" w:rsidP="00252570">
            <w:pPr>
              <w:pStyle w:val="TableText"/>
              <w:keepNext/>
            </w:pPr>
            <w:r w:rsidRPr="00543D25">
              <w:t>Total child population</w:t>
            </w:r>
          </w:p>
        </w:tc>
        <w:tc>
          <w:tcPr>
            <w:tcW w:w="1559" w:type="dxa"/>
            <w:tcBorders>
              <w:top w:val="nil"/>
            </w:tcBorders>
            <w:shd w:val="clear" w:color="auto" w:fill="auto"/>
          </w:tcPr>
          <w:p w:rsidR="00467321" w:rsidRPr="00543D25" w:rsidRDefault="00467321" w:rsidP="00252570">
            <w:pPr>
              <w:pStyle w:val="TableText"/>
              <w:keepNext/>
              <w:jc w:val="center"/>
            </w:pPr>
            <w:r w:rsidRPr="00543D25">
              <w:t>19.0</w:t>
            </w:r>
          </w:p>
        </w:tc>
        <w:tc>
          <w:tcPr>
            <w:tcW w:w="1417" w:type="dxa"/>
            <w:tcBorders>
              <w:top w:val="nil"/>
            </w:tcBorders>
            <w:shd w:val="clear" w:color="auto" w:fill="auto"/>
          </w:tcPr>
          <w:p w:rsidR="00467321" w:rsidRPr="00543D25" w:rsidRDefault="00467321" w:rsidP="00252570">
            <w:pPr>
              <w:pStyle w:val="TableText"/>
              <w:keepNext/>
              <w:jc w:val="center"/>
            </w:pPr>
            <w:r w:rsidRPr="00543D25">
              <w:t>17.5–20.4</w:t>
            </w:r>
          </w:p>
        </w:tc>
        <w:tc>
          <w:tcPr>
            <w:tcW w:w="1276" w:type="dxa"/>
            <w:tcBorders>
              <w:top w:val="nil"/>
            </w:tcBorders>
            <w:shd w:val="clear" w:color="auto" w:fill="auto"/>
          </w:tcPr>
          <w:p w:rsidR="00467321" w:rsidRPr="00543D25" w:rsidRDefault="00467321" w:rsidP="00252570">
            <w:pPr>
              <w:pStyle w:val="TableText"/>
              <w:keepNext/>
              <w:tabs>
                <w:tab w:val="decimal" w:pos="888"/>
              </w:tabs>
            </w:pPr>
            <w:r w:rsidRPr="00543D25">
              <w:t>174,000</w:t>
            </w:r>
          </w:p>
        </w:tc>
        <w:tc>
          <w:tcPr>
            <w:tcW w:w="1701" w:type="dxa"/>
            <w:tcBorders>
              <w:top w:val="nil"/>
            </w:tcBorders>
            <w:shd w:val="clear" w:color="auto" w:fill="auto"/>
          </w:tcPr>
          <w:p w:rsidR="00467321" w:rsidRPr="00543D25" w:rsidRDefault="00467321" w:rsidP="00252570">
            <w:pPr>
              <w:pStyle w:val="TableText"/>
              <w:keepNext/>
              <w:tabs>
                <w:tab w:val="decimal" w:pos="709"/>
              </w:tabs>
            </w:pPr>
            <w:r w:rsidRPr="00543D25">
              <w:t>161,000–188,000</w:t>
            </w:r>
          </w:p>
        </w:tc>
      </w:tr>
      <w:tr w:rsidR="00467321" w:rsidRPr="00467321" w:rsidTr="00B25F34">
        <w:trPr>
          <w:cantSplit/>
        </w:trPr>
        <w:tc>
          <w:tcPr>
            <w:tcW w:w="2127" w:type="dxa"/>
            <w:shd w:val="clear" w:color="auto" w:fill="auto"/>
          </w:tcPr>
          <w:p w:rsidR="00467321" w:rsidRPr="00543D25" w:rsidRDefault="00467321" w:rsidP="00252570">
            <w:pPr>
              <w:pStyle w:val="TableText"/>
              <w:keepNext/>
            </w:pPr>
            <w:r w:rsidRPr="00543D25">
              <w:t>Boys</w:t>
            </w:r>
          </w:p>
        </w:tc>
        <w:tc>
          <w:tcPr>
            <w:tcW w:w="1559" w:type="dxa"/>
            <w:shd w:val="clear" w:color="auto" w:fill="auto"/>
          </w:tcPr>
          <w:p w:rsidR="00467321" w:rsidRPr="00543D25" w:rsidRDefault="00467321" w:rsidP="00252570">
            <w:pPr>
              <w:pStyle w:val="TableText"/>
              <w:keepNext/>
              <w:jc w:val="center"/>
            </w:pPr>
            <w:r w:rsidRPr="00543D25">
              <w:t>18.7</w:t>
            </w:r>
          </w:p>
        </w:tc>
        <w:tc>
          <w:tcPr>
            <w:tcW w:w="1417" w:type="dxa"/>
            <w:shd w:val="clear" w:color="auto" w:fill="auto"/>
          </w:tcPr>
          <w:p w:rsidR="00467321" w:rsidRPr="00543D25" w:rsidRDefault="00467321" w:rsidP="00252570">
            <w:pPr>
              <w:pStyle w:val="TableText"/>
              <w:keepNext/>
              <w:jc w:val="center"/>
            </w:pPr>
            <w:r w:rsidRPr="00543D25">
              <w:t>16.8–20.5</w:t>
            </w:r>
          </w:p>
        </w:tc>
        <w:tc>
          <w:tcPr>
            <w:tcW w:w="1276" w:type="dxa"/>
            <w:shd w:val="clear" w:color="auto" w:fill="auto"/>
          </w:tcPr>
          <w:p w:rsidR="00467321" w:rsidRPr="00543D25" w:rsidRDefault="00467321" w:rsidP="00252570">
            <w:pPr>
              <w:pStyle w:val="TableText"/>
              <w:keepNext/>
              <w:tabs>
                <w:tab w:val="decimal" w:pos="888"/>
              </w:tabs>
            </w:pPr>
            <w:r w:rsidRPr="00543D25">
              <w:t>88,000</w:t>
            </w:r>
          </w:p>
        </w:tc>
        <w:tc>
          <w:tcPr>
            <w:tcW w:w="1701" w:type="dxa"/>
            <w:shd w:val="clear" w:color="auto" w:fill="auto"/>
          </w:tcPr>
          <w:p w:rsidR="00467321" w:rsidRPr="00543D25" w:rsidRDefault="00467321" w:rsidP="00252570">
            <w:pPr>
              <w:pStyle w:val="TableText"/>
              <w:keepNext/>
              <w:tabs>
                <w:tab w:val="decimal" w:pos="709"/>
              </w:tabs>
            </w:pPr>
            <w:r w:rsidRPr="00543D25">
              <w:t>79,000–97,000</w:t>
            </w:r>
          </w:p>
        </w:tc>
      </w:tr>
      <w:tr w:rsidR="00467321" w:rsidRPr="00467321" w:rsidTr="00B25F34">
        <w:trPr>
          <w:cantSplit/>
        </w:trPr>
        <w:tc>
          <w:tcPr>
            <w:tcW w:w="2127" w:type="dxa"/>
            <w:shd w:val="clear" w:color="auto" w:fill="auto"/>
          </w:tcPr>
          <w:p w:rsidR="00467321" w:rsidRPr="00543D25" w:rsidRDefault="00467321" w:rsidP="00252570">
            <w:pPr>
              <w:pStyle w:val="TableText"/>
              <w:keepNext/>
            </w:pPr>
            <w:r w:rsidRPr="00543D25">
              <w:t>Girls</w:t>
            </w:r>
          </w:p>
        </w:tc>
        <w:tc>
          <w:tcPr>
            <w:tcW w:w="1559" w:type="dxa"/>
            <w:shd w:val="clear" w:color="auto" w:fill="auto"/>
          </w:tcPr>
          <w:p w:rsidR="00467321" w:rsidRPr="00543D25" w:rsidRDefault="00467321" w:rsidP="00252570">
            <w:pPr>
              <w:pStyle w:val="TableText"/>
              <w:keepNext/>
              <w:jc w:val="center"/>
            </w:pPr>
            <w:r w:rsidRPr="00543D25">
              <w:t>19.3</w:t>
            </w:r>
          </w:p>
        </w:tc>
        <w:tc>
          <w:tcPr>
            <w:tcW w:w="1417" w:type="dxa"/>
            <w:shd w:val="clear" w:color="auto" w:fill="auto"/>
          </w:tcPr>
          <w:p w:rsidR="00467321" w:rsidRPr="00543D25" w:rsidRDefault="00467321" w:rsidP="00252570">
            <w:pPr>
              <w:pStyle w:val="TableText"/>
              <w:keepNext/>
              <w:jc w:val="center"/>
            </w:pPr>
            <w:r w:rsidRPr="00543D25">
              <w:t>17.3–21.3</w:t>
            </w:r>
          </w:p>
        </w:tc>
        <w:tc>
          <w:tcPr>
            <w:tcW w:w="1276" w:type="dxa"/>
            <w:shd w:val="clear" w:color="auto" w:fill="auto"/>
          </w:tcPr>
          <w:p w:rsidR="00467321" w:rsidRPr="00543D25" w:rsidRDefault="00467321" w:rsidP="00252570">
            <w:pPr>
              <w:pStyle w:val="TableText"/>
              <w:keepNext/>
              <w:tabs>
                <w:tab w:val="decimal" w:pos="888"/>
              </w:tabs>
            </w:pPr>
            <w:r w:rsidRPr="00543D25">
              <w:t>86,000</w:t>
            </w:r>
          </w:p>
        </w:tc>
        <w:tc>
          <w:tcPr>
            <w:tcW w:w="1701" w:type="dxa"/>
            <w:shd w:val="clear" w:color="auto" w:fill="auto"/>
          </w:tcPr>
          <w:p w:rsidR="00467321" w:rsidRPr="00543D25" w:rsidRDefault="00467321" w:rsidP="00252570">
            <w:pPr>
              <w:pStyle w:val="TableText"/>
              <w:keepNext/>
              <w:tabs>
                <w:tab w:val="decimal" w:pos="709"/>
              </w:tabs>
            </w:pPr>
            <w:r w:rsidRPr="00543D25">
              <w:t>77,000–95,000</w:t>
            </w:r>
          </w:p>
        </w:tc>
      </w:tr>
      <w:tr w:rsidR="00467321" w:rsidRPr="00467321" w:rsidTr="00B25F34">
        <w:trPr>
          <w:cantSplit/>
        </w:trPr>
        <w:tc>
          <w:tcPr>
            <w:tcW w:w="2127" w:type="dxa"/>
            <w:shd w:val="clear" w:color="auto" w:fill="auto"/>
          </w:tcPr>
          <w:p w:rsidR="00467321" w:rsidRPr="00543D25" w:rsidRDefault="00467321" w:rsidP="00B25F34">
            <w:pPr>
              <w:pStyle w:val="TableText"/>
            </w:pPr>
            <w:r w:rsidRPr="00543D25">
              <w:t>0–4 years of age</w:t>
            </w:r>
          </w:p>
        </w:tc>
        <w:tc>
          <w:tcPr>
            <w:tcW w:w="1559" w:type="dxa"/>
            <w:shd w:val="clear" w:color="auto" w:fill="auto"/>
          </w:tcPr>
          <w:p w:rsidR="00467321" w:rsidRPr="00543D25" w:rsidRDefault="00467321" w:rsidP="00B25F34">
            <w:pPr>
              <w:pStyle w:val="TableText"/>
              <w:jc w:val="center"/>
            </w:pPr>
            <w:r w:rsidRPr="00543D25">
              <w:t>17.4</w:t>
            </w:r>
          </w:p>
        </w:tc>
        <w:tc>
          <w:tcPr>
            <w:tcW w:w="1417" w:type="dxa"/>
            <w:shd w:val="clear" w:color="auto" w:fill="auto"/>
          </w:tcPr>
          <w:p w:rsidR="00467321" w:rsidRPr="00543D25" w:rsidRDefault="00467321" w:rsidP="00B25F34">
            <w:pPr>
              <w:pStyle w:val="TableText"/>
              <w:jc w:val="center"/>
            </w:pPr>
            <w:r w:rsidRPr="00543D25">
              <w:t>15.3–19.4</w:t>
            </w:r>
          </w:p>
        </w:tc>
        <w:tc>
          <w:tcPr>
            <w:tcW w:w="1276" w:type="dxa"/>
            <w:shd w:val="clear" w:color="auto" w:fill="auto"/>
          </w:tcPr>
          <w:p w:rsidR="00467321" w:rsidRPr="00543D25" w:rsidRDefault="00467321" w:rsidP="00B25F34">
            <w:pPr>
              <w:pStyle w:val="TableText"/>
              <w:tabs>
                <w:tab w:val="decimal" w:pos="888"/>
              </w:tabs>
            </w:pPr>
            <w:r w:rsidRPr="00543D25">
              <w:t>53,000</w:t>
            </w:r>
          </w:p>
        </w:tc>
        <w:tc>
          <w:tcPr>
            <w:tcW w:w="1701" w:type="dxa"/>
            <w:shd w:val="clear" w:color="auto" w:fill="auto"/>
          </w:tcPr>
          <w:p w:rsidR="00467321" w:rsidRPr="00543D25" w:rsidRDefault="00467321" w:rsidP="00B25F34">
            <w:pPr>
              <w:pStyle w:val="TableText"/>
              <w:tabs>
                <w:tab w:val="decimal" w:pos="709"/>
              </w:tabs>
            </w:pPr>
            <w:r w:rsidRPr="00543D25">
              <w:t>47,000–59,000</w:t>
            </w:r>
          </w:p>
        </w:tc>
      </w:tr>
      <w:tr w:rsidR="00467321" w:rsidRPr="00467321" w:rsidTr="00B25F34">
        <w:trPr>
          <w:cantSplit/>
        </w:trPr>
        <w:tc>
          <w:tcPr>
            <w:tcW w:w="2127" w:type="dxa"/>
            <w:shd w:val="clear" w:color="auto" w:fill="auto"/>
          </w:tcPr>
          <w:p w:rsidR="00467321" w:rsidRPr="00543D25" w:rsidRDefault="00467321" w:rsidP="00B25F34">
            <w:pPr>
              <w:pStyle w:val="TableText"/>
            </w:pPr>
            <w:r w:rsidRPr="00543D25">
              <w:t>5–9 years of age</w:t>
            </w:r>
          </w:p>
        </w:tc>
        <w:tc>
          <w:tcPr>
            <w:tcW w:w="1559" w:type="dxa"/>
            <w:shd w:val="clear" w:color="auto" w:fill="auto"/>
          </w:tcPr>
          <w:p w:rsidR="00467321" w:rsidRPr="00543D25" w:rsidRDefault="00467321" w:rsidP="00B25F34">
            <w:pPr>
              <w:pStyle w:val="TableText"/>
              <w:jc w:val="center"/>
            </w:pPr>
            <w:r w:rsidRPr="00543D25">
              <w:t>19.5</w:t>
            </w:r>
          </w:p>
        </w:tc>
        <w:tc>
          <w:tcPr>
            <w:tcW w:w="1417" w:type="dxa"/>
            <w:shd w:val="clear" w:color="auto" w:fill="auto"/>
          </w:tcPr>
          <w:p w:rsidR="00467321" w:rsidRPr="00543D25" w:rsidRDefault="00467321" w:rsidP="00B25F34">
            <w:pPr>
              <w:pStyle w:val="TableText"/>
              <w:jc w:val="center"/>
            </w:pPr>
            <w:r w:rsidRPr="00543D25">
              <w:t>17.0–21.9</w:t>
            </w:r>
          </w:p>
        </w:tc>
        <w:tc>
          <w:tcPr>
            <w:tcW w:w="1276" w:type="dxa"/>
            <w:shd w:val="clear" w:color="auto" w:fill="auto"/>
          </w:tcPr>
          <w:p w:rsidR="00467321" w:rsidRPr="00543D25" w:rsidRDefault="00467321" w:rsidP="00B25F34">
            <w:pPr>
              <w:pStyle w:val="TableText"/>
              <w:tabs>
                <w:tab w:val="decimal" w:pos="888"/>
              </w:tabs>
            </w:pPr>
            <w:r w:rsidRPr="00543D25">
              <w:t>62,000</w:t>
            </w:r>
          </w:p>
        </w:tc>
        <w:tc>
          <w:tcPr>
            <w:tcW w:w="1701" w:type="dxa"/>
            <w:shd w:val="clear" w:color="auto" w:fill="auto"/>
          </w:tcPr>
          <w:p w:rsidR="00467321" w:rsidRPr="00543D25" w:rsidRDefault="00467321" w:rsidP="00B25F34">
            <w:pPr>
              <w:pStyle w:val="TableText"/>
              <w:tabs>
                <w:tab w:val="decimal" w:pos="709"/>
              </w:tabs>
            </w:pPr>
            <w:r w:rsidRPr="00543D25">
              <w:t>54,000–70,000</w:t>
            </w:r>
          </w:p>
        </w:tc>
      </w:tr>
      <w:tr w:rsidR="00467321" w:rsidRPr="00467321" w:rsidTr="00B25F34">
        <w:trPr>
          <w:cantSplit/>
        </w:trPr>
        <w:tc>
          <w:tcPr>
            <w:tcW w:w="2127" w:type="dxa"/>
            <w:shd w:val="clear" w:color="auto" w:fill="auto"/>
          </w:tcPr>
          <w:p w:rsidR="00467321" w:rsidRPr="00543D25" w:rsidRDefault="00467321" w:rsidP="00B25F34">
            <w:pPr>
              <w:pStyle w:val="TableText"/>
            </w:pPr>
            <w:r w:rsidRPr="00543D25">
              <w:t>10–14 years of age</w:t>
            </w:r>
          </w:p>
        </w:tc>
        <w:tc>
          <w:tcPr>
            <w:tcW w:w="1559" w:type="dxa"/>
            <w:shd w:val="clear" w:color="auto" w:fill="auto"/>
          </w:tcPr>
          <w:p w:rsidR="00467321" w:rsidRPr="00543D25" w:rsidRDefault="00467321" w:rsidP="00B25F34">
            <w:pPr>
              <w:pStyle w:val="TableText"/>
              <w:jc w:val="center"/>
            </w:pPr>
            <w:r w:rsidRPr="00543D25">
              <w:t>20.1</w:t>
            </w:r>
          </w:p>
        </w:tc>
        <w:tc>
          <w:tcPr>
            <w:tcW w:w="1417" w:type="dxa"/>
            <w:shd w:val="clear" w:color="auto" w:fill="auto"/>
          </w:tcPr>
          <w:p w:rsidR="00467321" w:rsidRPr="00543D25" w:rsidRDefault="00467321" w:rsidP="00B25F34">
            <w:pPr>
              <w:pStyle w:val="TableText"/>
              <w:jc w:val="center"/>
            </w:pPr>
            <w:r w:rsidRPr="00543D25">
              <w:t>16.8–23.5</w:t>
            </w:r>
          </w:p>
        </w:tc>
        <w:tc>
          <w:tcPr>
            <w:tcW w:w="1276" w:type="dxa"/>
            <w:shd w:val="clear" w:color="auto" w:fill="auto"/>
          </w:tcPr>
          <w:p w:rsidR="00467321" w:rsidRPr="00543D25" w:rsidRDefault="00467321" w:rsidP="00B25F34">
            <w:pPr>
              <w:pStyle w:val="TableText"/>
              <w:tabs>
                <w:tab w:val="decimal" w:pos="888"/>
              </w:tabs>
            </w:pPr>
            <w:r w:rsidRPr="00543D25">
              <w:t>59,000</w:t>
            </w:r>
          </w:p>
        </w:tc>
        <w:tc>
          <w:tcPr>
            <w:tcW w:w="1701" w:type="dxa"/>
            <w:shd w:val="clear" w:color="auto" w:fill="auto"/>
          </w:tcPr>
          <w:p w:rsidR="00467321" w:rsidRPr="00543D25" w:rsidRDefault="00467321" w:rsidP="00B25F34">
            <w:pPr>
              <w:pStyle w:val="TableText"/>
              <w:tabs>
                <w:tab w:val="decimal" w:pos="709"/>
              </w:tabs>
            </w:pPr>
            <w:r w:rsidRPr="00543D25">
              <w:t>49,000–69,000</w:t>
            </w:r>
          </w:p>
        </w:tc>
      </w:tr>
    </w:tbl>
    <w:p w:rsidR="00467321" w:rsidRDefault="00467321" w:rsidP="00B25F34">
      <w:pPr>
        <w:pStyle w:val="Note"/>
      </w:pPr>
      <w:r w:rsidRPr="00467321">
        <w:t>Note: This table presents unadjusted prevalence estimates, reflecting the actual percentage of the population affected in 2015/16.</w:t>
      </w:r>
    </w:p>
    <w:p w:rsidR="00B25F34" w:rsidRPr="00B25F34" w:rsidRDefault="00B25F34" w:rsidP="00B25F34"/>
    <w:p w:rsidR="00467321" w:rsidRPr="00467321" w:rsidRDefault="00467321" w:rsidP="00B25F34">
      <w:pPr>
        <w:pStyle w:val="Heading3"/>
      </w:pPr>
      <w:r w:rsidRPr="00467321">
        <w:t>Household food insecurity was more prevalent for children in households with a low socioeconomic position</w:t>
      </w:r>
    </w:p>
    <w:p w:rsidR="00467321" w:rsidRPr="00543D25" w:rsidRDefault="00467321" w:rsidP="00B25F34">
      <w:r w:rsidRPr="00543D25">
        <w:t xml:space="preserve">Food insecurity is an indicator of socioeconomic distress and hardship (Denny </w:t>
      </w:r>
      <w:r w:rsidR="007464C2">
        <w:t>et al</w:t>
      </w:r>
      <w:r w:rsidRPr="00543D25">
        <w:t xml:space="preserve"> 2016). Research in New Zealand and internationally indicates that food insecurity is strongly related to low income (Carter </w:t>
      </w:r>
      <w:r w:rsidR="007464C2">
        <w:t>et al</w:t>
      </w:r>
      <w:r w:rsidRPr="00543D25">
        <w:t xml:space="preserve"> 2010; Smith </w:t>
      </w:r>
      <w:r w:rsidR="007464C2">
        <w:t>et al</w:t>
      </w:r>
      <w:r w:rsidRPr="00543D25">
        <w:t xml:space="preserve"> 2010; Wright </w:t>
      </w:r>
      <w:r w:rsidR="007464C2">
        <w:t>et al</w:t>
      </w:r>
      <w:r w:rsidRPr="00543D25">
        <w:t xml:space="preserve"> 2014). When disposable income is limited, food is one of the items that is often compromised. However, not all families experiencing economic hardship are food-insecure, and vice versa. The New Zealand Health Survey estimates show a gradient in household food insecurity by the household</w:t>
      </w:r>
      <w:r w:rsidR="00543D25" w:rsidRPr="00543D25">
        <w:t>’</w:t>
      </w:r>
      <w:r w:rsidRPr="00543D25">
        <w:t>s socioeconomic position based on neighbourhood deprivation (using NZDep2013), self-reported gross household income and means-tested benefit receipt.</w:t>
      </w:r>
    </w:p>
    <w:p w:rsidR="00B25F34" w:rsidRDefault="00B25F34" w:rsidP="00B25F34"/>
    <w:p w:rsidR="00467321" w:rsidRPr="00543D25" w:rsidRDefault="00467321" w:rsidP="00B25F34">
      <w:r w:rsidRPr="00543D25">
        <w:t>The NZDep2013 index provides a measure of the level of socioeconomic deprivation for neighbourhoods according to a combination of 2013 Census variables (see Appendix 3 for a more detailed definition). Of children in the most deprived quintile of neighbourhoods (NZDep2013 quintile 5), more than one in three (</w:t>
      </w:r>
      <w:r w:rsidRPr="00543D25">
        <w:rPr>
          <w:sz w:val="20"/>
        </w:rPr>
        <w:t xml:space="preserve">34.8%) </w:t>
      </w:r>
      <w:r w:rsidRPr="00543D25">
        <w:t>lived in a household reporting severe-to-moderate food insecurity (see Figure 2, Table 4). For</w:t>
      </w:r>
      <w:r w:rsidR="00B25F34">
        <w:t xml:space="preserve"> </w:t>
      </w:r>
      <w:bookmarkStart w:id="21" w:name="_bookmark10"/>
      <w:bookmarkEnd w:id="21"/>
      <w:r w:rsidRPr="00543D25">
        <w:t xml:space="preserve">the two least deprived quintiles of neighbourhoods (quintile 1 and 2 combined) this was fewer than one in ten children (9.5%). When considering just the children in </w:t>
      </w:r>
      <w:r w:rsidR="00C11D2D">
        <w:t>food-insecure</w:t>
      </w:r>
      <w:r w:rsidRPr="00543D25">
        <w:t xml:space="preserve"> households, almost two-thirds lived in the two most deprived quintiles of neighbourhoods (NZDep2013 quintiles 4 and 5: 63.3%, see Figure 2).</w:t>
      </w:r>
    </w:p>
    <w:p w:rsidR="00467321" w:rsidRPr="00543D25" w:rsidRDefault="00467321" w:rsidP="00B25F34"/>
    <w:p w:rsidR="00467321" w:rsidRPr="00467321" w:rsidRDefault="00467321" w:rsidP="00B25F34">
      <w:pPr>
        <w:pStyle w:val="Figure"/>
      </w:pPr>
      <w:bookmarkStart w:id="22" w:name="_Toc5437121"/>
      <w:r w:rsidRPr="00467321">
        <w:lastRenderedPageBreak/>
        <w:t>Figure 2: Household food insecurity among children by neighbourhood deprivation, 2015/16</w:t>
      </w:r>
      <w:bookmarkEnd w:id="22"/>
    </w:p>
    <w:p w:rsidR="00467321" w:rsidRPr="00543D25" w:rsidRDefault="00252570" w:rsidP="00B25F34">
      <w:r w:rsidRPr="00252570">
        <w:rPr>
          <w:noProof/>
          <w:lang w:eastAsia="en-NZ"/>
        </w:rPr>
        <w:drawing>
          <wp:inline distT="0" distB="0" distL="0" distR="0" wp14:anchorId="1E6A9B08" wp14:editId="7ACA4903">
            <wp:extent cx="5130165" cy="3453377"/>
            <wp:effectExtent l="0" t="0" r="0" b="0"/>
            <wp:docPr id="12" name="Picture 12" title="Figure 2: Household food insecurity among children by neighbourhood deprivatio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453377"/>
                    </a:xfrm>
                    <a:prstGeom prst="rect">
                      <a:avLst/>
                    </a:prstGeom>
                  </pic:spPr>
                </pic:pic>
              </a:graphicData>
            </a:graphic>
          </wp:inline>
        </w:drawing>
      </w:r>
    </w:p>
    <w:p w:rsidR="00467321" w:rsidRPr="00467321" w:rsidRDefault="00467321" w:rsidP="00B25F34">
      <w:pPr>
        <w:pStyle w:val="Note"/>
      </w:pPr>
      <w:r w:rsidRPr="00467321">
        <w:t>Notes: Quintiles 1 and 2 were combined, to ensure robustness of the findings (no cells with</w:t>
      </w:r>
      <w:r w:rsidR="00B25F34">
        <w:t xml:space="preserve"> </w:t>
      </w:r>
      <w:r w:rsidRPr="00467321">
        <w:t>fewer than 30</w:t>
      </w:r>
      <w:r w:rsidR="00B25F34">
        <w:t> </w:t>
      </w:r>
      <w:r w:rsidRPr="00467321">
        <w:t>observations).</w:t>
      </w:r>
    </w:p>
    <w:p w:rsidR="00467321" w:rsidRPr="00467321" w:rsidRDefault="00467321" w:rsidP="00B25F34">
      <w:pPr>
        <w:pStyle w:val="Note"/>
      </w:pPr>
      <w:r w:rsidRPr="00467321">
        <w:t>See Appendix 4 for the share of the total child population in the groups being compared.</w:t>
      </w:r>
    </w:p>
    <w:p w:rsidR="00B25F34" w:rsidRDefault="00B25F34" w:rsidP="00B25F34"/>
    <w:p w:rsidR="00467321" w:rsidRPr="00543D25" w:rsidRDefault="00467321" w:rsidP="00B25F34">
      <w:pPr>
        <w:pStyle w:val="Shadedboxtext"/>
      </w:pPr>
      <w:r w:rsidRPr="00543D25">
        <w:t>In this section of the report we compare the prevalence of household food insecurity for subgroups of children. Infographics like Figure 2 show for each subgroup the share of children in food-secure and insecure households (upper four bars, quintiles 1 and 2 to quintile 5). Some subgroups make up a larger share of the total child population than others (eg as two quintiles were combined, quintiles 1 and 2 are around twice the size of the individual quintiles 3–5). A large subgroup with a relatively low rate of food insecurity may still make up a relatively large share of the overall rate of children in food-insecure households. Hence we also present what proportion of all children in food-insecure households belongs to each of the subgroups (lowest bar, here in green).</w:t>
      </w:r>
    </w:p>
    <w:p w:rsidR="00467321" w:rsidRPr="00543D25" w:rsidRDefault="00467321" w:rsidP="00B25F34"/>
    <w:p w:rsidR="00467321" w:rsidRPr="00543D25" w:rsidRDefault="00467321" w:rsidP="00B25F34">
      <w:r w:rsidRPr="00543D25">
        <w:t>The NZDep2013 index reflects the comparative socioeconomic positions of small areas. There is variation in the level of deprivation of individual households within</w:t>
      </w:r>
      <w:r w:rsidR="00543D25" w:rsidRPr="00543D25">
        <w:t xml:space="preserve"> </w:t>
      </w:r>
      <w:r w:rsidRPr="00543D25">
        <w:t>the same area. Household income provides a more direct estimate of a household</w:t>
      </w:r>
      <w:r w:rsidR="00543D25" w:rsidRPr="00543D25">
        <w:t>’</w:t>
      </w:r>
      <w:r w:rsidRPr="00543D25">
        <w:t>s socioeconomic position. Yet many factors influence how a household</w:t>
      </w:r>
      <w:r w:rsidR="00543D25" w:rsidRPr="00543D25">
        <w:t>’</w:t>
      </w:r>
      <w:r w:rsidRPr="00543D25">
        <w:t>s gross income translates into disposable income, including the cost of housing.</w:t>
      </w:r>
    </w:p>
    <w:p w:rsidR="00B25F34" w:rsidRDefault="00B25F34" w:rsidP="00B25F34"/>
    <w:p w:rsidR="00467321" w:rsidRPr="00252570" w:rsidRDefault="00467321" w:rsidP="00B25F34">
      <w:pPr>
        <w:rPr>
          <w:spacing w:val="-2"/>
        </w:rPr>
      </w:pPr>
      <w:r w:rsidRPr="00252570">
        <w:rPr>
          <w:spacing w:val="-2"/>
        </w:rPr>
        <w:t>Among children in households with a combined gross annual income in the lowest</w:t>
      </w:r>
      <w:r w:rsidR="00543D25" w:rsidRPr="00252570">
        <w:rPr>
          <w:spacing w:val="-2"/>
        </w:rPr>
        <w:t xml:space="preserve"> </w:t>
      </w:r>
      <w:r w:rsidRPr="00252570">
        <w:rPr>
          <w:spacing w:val="-2"/>
        </w:rPr>
        <w:t>two income brackets (</w:t>
      </w:r>
      <w:r w:rsidR="00252570">
        <w:rPr>
          <w:rFonts w:cs="Segoe UI"/>
          <w:spacing w:val="-2"/>
        </w:rPr>
        <w:t>≤</w:t>
      </w:r>
      <w:r w:rsidRPr="00252570">
        <w:rPr>
          <w:spacing w:val="-2"/>
        </w:rPr>
        <w:t>$30,000), the prevalence of household food insecurity was over 50</w:t>
      </w:r>
      <w:r w:rsidR="00B25F34" w:rsidRPr="00252570">
        <w:rPr>
          <w:spacing w:val="-2"/>
        </w:rPr>
        <w:t> </w:t>
      </w:r>
      <w:r w:rsidRPr="00252570">
        <w:rPr>
          <w:spacing w:val="-2"/>
        </w:rPr>
        <w:t>percent (see Table 4). This means that more than one in two of these children lived in food-insecure households. Household food insecurity also occurred in the higher income brackets, although at lower rates. Of children in food-insecure households,</w:t>
      </w:r>
      <w:r w:rsidR="00B25F34" w:rsidRPr="00252570">
        <w:rPr>
          <w:spacing w:val="-2"/>
        </w:rPr>
        <w:t xml:space="preserve"> </w:t>
      </w:r>
      <w:bookmarkStart w:id="23" w:name="_bookmark11"/>
      <w:bookmarkEnd w:id="23"/>
      <w:r w:rsidRPr="00252570">
        <w:rPr>
          <w:spacing w:val="-2"/>
        </w:rPr>
        <w:t>over two in three lived in a household with a gross income at or below $50,000 (see Figure</w:t>
      </w:r>
      <w:r w:rsidR="00B25F34" w:rsidRPr="00252570">
        <w:rPr>
          <w:spacing w:val="-2"/>
        </w:rPr>
        <w:t> </w:t>
      </w:r>
      <w:r w:rsidRPr="00252570">
        <w:rPr>
          <w:spacing w:val="-2"/>
        </w:rPr>
        <w:t>3).</w:t>
      </w:r>
    </w:p>
    <w:p w:rsidR="00467321" w:rsidRPr="00543D25" w:rsidRDefault="00467321" w:rsidP="00B25F34"/>
    <w:p w:rsidR="00467321" w:rsidRDefault="00467321" w:rsidP="00B25F34">
      <w:pPr>
        <w:pStyle w:val="Figure"/>
      </w:pPr>
      <w:bookmarkStart w:id="24" w:name="_Toc5437122"/>
      <w:r w:rsidRPr="00467321">
        <w:lastRenderedPageBreak/>
        <w:t>Figure 3: Household food insecurity among children by household income, 2015/16</w:t>
      </w:r>
      <w:bookmarkEnd w:id="24"/>
    </w:p>
    <w:p w:rsidR="00B25F34" w:rsidRPr="00B25F34" w:rsidRDefault="00252570" w:rsidP="00B25F34">
      <w:r w:rsidRPr="00252570">
        <w:rPr>
          <w:noProof/>
          <w:lang w:eastAsia="en-NZ"/>
        </w:rPr>
        <w:drawing>
          <wp:inline distT="0" distB="0" distL="0" distR="0" wp14:anchorId="24051463" wp14:editId="71EBDC93">
            <wp:extent cx="5130165" cy="2255744"/>
            <wp:effectExtent l="0" t="0" r="0" b="0"/>
            <wp:docPr id="13" name="Picture 13" title="Figure 3: Household food insecurity among children by household incom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2255744"/>
                    </a:xfrm>
                    <a:prstGeom prst="rect">
                      <a:avLst/>
                    </a:prstGeom>
                  </pic:spPr>
                </pic:pic>
              </a:graphicData>
            </a:graphic>
          </wp:inline>
        </w:drawing>
      </w:r>
    </w:p>
    <w:p w:rsidR="00467321" w:rsidRPr="00467321" w:rsidRDefault="00467321" w:rsidP="00B25F34">
      <w:pPr>
        <w:pStyle w:val="Note"/>
      </w:pPr>
      <w:r w:rsidRPr="00467321">
        <w:t>Note: See Appendix 4 for the share of the total child population in the groups being compared.</w:t>
      </w:r>
    </w:p>
    <w:p w:rsidR="00B25F34" w:rsidRDefault="00B25F34" w:rsidP="00B25F34"/>
    <w:p w:rsidR="00467321" w:rsidRPr="00543D25" w:rsidRDefault="00467321" w:rsidP="00B25F34">
      <w:r w:rsidRPr="00543D25">
        <w:t>In the following section, alongside the unadjusted estimates, we also present estimates of household food insecurity adjusted for gross annual household income (see also Table 5.9 in Appendix 5). This allows us to gain insights into how much of the group differences in the prevalence of food insecurity are related to group differences in gross household income. We also adjusted these estimates for the number of children (aged less than 15) in the household to ensure that group differences were not associated with the number of dependants in the household.</w:t>
      </w:r>
    </w:p>
    <w:p w:rsidR="00B25F34" w:rsidRDefault="00B25F34" w:rsidP="00B25F34"/>
    <w:p w:rsidR="00467321" w:rsidRDefault="00467321" w:rsidP="00B25F34">
      <w:r w:rsidRPr="00543D25">
        <w:t>Among children with a primary caregiver supported by a means-tested benefit,</w:t>
      </w:r>
      <w:r w:rsidR="00B25F34">
        <w:rPr>
          <w:rStyle w:val="FootnoteReference"/>
        </w:rPr>
        <w:footnoteReference w:id="1"/>
      </w:r>
      <w:r w:rsidRPr="00543D25">
        <w:t xml:space="preserve"> over one in two (55.8%) lived in a food-insecure household. This rate was significantly higher than the rate for children where the primary caregiver was not supported by such benefits (see Figure 4, Table 4). This is in line with previous findings of high rates of food insecurity among households in New Zealand relying on government benefits (Smith </w:t>
      </w:r>
      <w:r w:rsidR="007464C2">
        <w:t>et al</w:t>
      </w:r>
      <w:r w:rsidRPr="00543D25">
        <w:t xml:space="preserve"> 2010). Children in households where the primary caregiver received</w:t>
      </w:r>
      <w:r w:rsidR="00B25F34">
        <w:t xml:space="preserve"> </w:t>
      </w:r>
      <w:r w:rsidRPr="00543D25">
        <w:t>a means-tested benefit accounted for just over half of all children with severe-to-moderate household food insecurity.</w:t>
      </w:r>
    </w:p>
    <w:p w:rsidR="00B25F34" w:rsidRPr="00543D25" w:rsidRDefault="00B25F34" w:rsidP="00B25F34"/>
    <w:p w:rsidR="00467321" w:rsidRPr="00467321" w:rsidRDefault="00467321" w:rsidP="00B25F34">
      <w:pPr>
        <w:pStyle w:val="Figure"/>
      </w:pPr>
      <w:bookmarkStart w:id="25" w:name="_Toc5437123"/>
      <w:r w:rsidRPr="00467321">
        <w:lastRenderedPageBreak/>
        <w:t>Figure 4: Household food insecurity among children with a primary caregiver receiving a means-tested benefit, 2015/16</w:t>
      </w:r>
      <w:bookmarkEnd w:id="25"/>
    </w:p>
    <w:p w:rsidR="00467321" w:rsidRPr="00543D25" w:rsidRDefault="00252570" w:rsidP="00252570">
      <w:pPr>
        <w:keepNext/>
      </w:pPr>
      <w:r w:rsidRPr="00252570">
        <w:rPr>
          <w:noProof/>
          <w:lang w:eastAsia="en-NZ"/>
        </w:rPr>
        <w:drawing>
          <wp:inline distT="0" distB="0" distL="0" distR="0" wp14:anchorId="5197549B" wp14:editId="3595B239">
            <wp:extent cx="5130165" cy="2070109"/>
            <wp:effectExtent l="0" t="0" r="0" b="6350"/>
            <wp:docPr id="14" name="Picture 14" title="Figure 4: Household food insecurity among children with a primary caregiver receiving a means-tested benefi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2070109"/>
                    </a:xfrm>
                    <a:prstGeom prst="rect">
                      <a:avLst/>
                    </a:prstGeom>
                  </pic:spPr>
                </pic:pic>
              </a:graphicData>
            </a:graphic>
          </wp:inline>
        </w:drawing>
      </w:r>
    </w:p>
    <w:p w:rsidR="00467321" w:rsidRDefault="00467321" w:rsidP="00B25F34">
      <w:pPr>
        <w:pStyle w:val="Note"/>
      </w:pPr>
      <w:r w:rsidRPr="00467321">
        <w:t>Note: See Appendix 4 for the share of the total child population in the groups being compared.</w:t>
      </w:r>
    </w:p>
    <w:p w:rsidR="00B25F34" w:rsidRPr="00B25F34" w:rsidRDefault="00B25F34" w:rsidP="00B25F34"/>
    <w:p w:rsidR="00467321" w:rsidRDefault="00467321" w:rsidP="00B25F34">
      <w:bookmarkStart w:id="26" w:name="_bookmark12"/>
      <w:bookmarkEnd w:id="26"/>
      <w:r w:rsidRPr="00543D25">
        <w:t>The majority (87.0%) of primary caregivers supported by a benefit reported a gross household income at or under $50,000. When comparing the prevalence of household food insecurity among children with and without primary caregivers supported by</w:t>
      </w:r>
      <w:r w:rsidR="00B25F34">
        <w:t xml:space="preserve"> </w:t>
      </w:r>
      <w:r w:rsidRPr="00543D25">
        <w:t>a benefit, differences remained significant after adjusting for the household</w:t>
      </w:r>
      <w:r w:rsidR="00543D25" w:rsidRPr="00543D25">
        <w:t>’</w:t>
      </w:r>
      <w:r w:rsidRPr="00543D25">
        <w:t>s self-reported gross income. However, differences between the two groups were reduced (ARR before and after this adjustment are respectively 4.7</w:t>
      </w:r>
      <w:r w:rsidR="00B25F34">
        <w:rPr>
          <w:rStyle w:val="FootnoteReference"/>
        </w:rPr>
        <w:footnoteReference w:id="2"/>
      </w:r>
      <w:r w:rsidR="00B25F34">
        <w:t xml:space="preserve"> </w:t>
      </w:r>
      <w:r w:rsidRPr="00543D25">
        <w:t>and 2.0</w:t>
      </w:r>
      <w:r w:rsidR="00B25F34">
        <w:t>,</w:t>
      </w:r>
      <w:r w:rsidR="00B25F34">
        <w:rPr>
          <w:rStyle w:val="FootnoteReference"/>
        </w:rPr>
        <w:footnoteReference w:id="3"/>
      </w:r>
      <w:r w:rsidR="00B25F34">
        <w:t xml:space="preserve"> </w:t>
      </w:r>
      <w:r w:rsidRPr="00543D25">
        <w:t>see Appendix 5). This suggests that, as expected, household income accounted for a large portion of the difference between the two groups.</w:t>
      </w:r>
    </w:p>
    <w:p w:rsidR="00B25F34" w:rsidRPr="00543D25" w:rsidRDefault="00B25F34" w:rsidP="00B25F34"/>
    <w:p w:rsidR="00467321" w:rsidRPr="00467321" w:rsidRDefault="00467321" w:rsidP="00B25F34">
      <w:pPr>
        <w:pStyle w:val="Table"/>
      </w:pPr>
      <w:bookmarkStart w:id="27" w:name="_Toc5437192"/>
      <w:r w:rsidRPr="00467321">
        <w:lastRenderedPageBreak/>
        <w:t>Table 4: Prevalence of children living in households with food insecurity, by neighbourhood deprivation, household income and benefit receipt, 2015/16</w:t>
      </w:r>
      <w:bookmarkEnd w:id="27"/>
    </w:p>
    <w:tbl>
      <w:tblPr>
        <w:tblW w:w="8493"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44"/>
        <w:gridCol w:w="1551"/>
        <w:gridCol w:w="1134"/>
        <w:gridCol w:w="1275"/>
        <w:gridCol w:w="1689"/>
      </w:tblGrid>
      <w:tr w:rsidR="00467321" w:rsidRPr="008B08C6" w:rsidTr="0053067D">
        <w:trPr>
          <w:cantSplit/>
        </w:trPr>
        <w:tc>
          <w:tcPr>
            <w:tcW w:w="2844" w:type="dxa"/>
            <w:tcBorders>
              <w:top w:val="nil"/>
              <w:bottom w:val="nil"/>
            </w:tcBorders>
            <w:shd w:val="clear" w:color="auto" w:fill="D9D9D9" w:themeFill="background1" w:themeFillShade="D9"/>
          </w:tcPr>
          <w:p w:rsidR="00467321" w:rsidRPr="008B08C6" w:rsidRDefault="00467321" w:rsidP="00252570">
            <w:pPr>
              <w:pStyle w:val="TableText"/>
              <w:keepNext/>
              <w:rPr>
                <w:b/>
              </w:rPr>
            </w:pPr>
          </w:p>
        </w:tc>
        <w:tc>
          <w:tcPr>
            <w:tcW w:w="1551" w:type="dxa"/>
            <w:tcBorders>
              <w:top w:val="nil"/>
              <w:bottom w:val="nil"/>
            </w:tcBorders>
            <w:shd w:val="clear" w:color="auto" w:fill="D9D9D9" w:themeFill="background1" w:themeFillShade="D9"/>
          </w:tcPr>
          <w:p w:rsidR="00467321" w:rsidRPr="008B08C6" w:rsidRDefault="00467321" w:rsidP="00252570">
            <w:pPr>
              <w:pStyle w:val="TableText"/>
              <w:keepNext/>
              <w:jc w:val="center"/>
              <w:rPr>
                <w:b/>
              </w:rPr>
            </w:pPr>
            <w:r w:rsidRPr="008B08C6">
              <w:rPr>
                <w:b/>
              </w:rPr>
              <w:t>Children in households with food insecurity</w:t>
            </w:r>
            <w:r w:rsidR="008B08C6" w:rsidRPr="008B08C6">
              <w:rPr>
                <w:b/>
              </w:rPr>
              <w:br/>
            </w:r>
            <w:r w:rsidRPr="008B08C6">
              <w:rPr>
                <w:b/>
              </w:rPr>
              <w:t>(%)</w:t>
            </w:r>
          </w:p>
        </w:tc>
        <w:tc>
          <w:tcPr>
            <w:tcW w:w="1134" w:type="dxa"/>
            <w:tcBorders>
              <w:top w:val="nil"/>
              <w:bottom w:val="nil"/>
            </w:tcBorders>
            <w:shd w:val="clear" w:color="auto" w:fill="D9D9D9" w:themeFill="background1" w:themeFillShade="D9"/>
          </w:tcPr>
          <w:p w:rsidR="00467321" w:rsidRPr="008B08C6" w:rsidRDefault="00467321" w:rsidP="00252570">
            <w:pPr>
              <w:pStyle w:val="TableText"/>
              <w:keepNext/>
              <w:jc w:val="center"/>
              <w:rPr>
                <w:b/>
              </w:rPr>
            </w:pPr>
            <w:r w:rsidRPr="008B08C6">
              <w:rPr>
                <w:b/>
              </w:rPr>
              <w:t>95% CI</w:t>
            </w:r>
          </w:p>
        </w:tc>
        <w:tc>
          <w:tcPr>
            <w:tcW w:w="1275" w:type="dxa"/>
            <w:tcBorders>
              <w:top w:val="nil"/>
              <w:bottom w:val="nil"/>
            </w:tcBorders>
            <w:shd w:val="clear" w:color="auto" w:fill="D9D9D9" w:themeFill="background1" w:themeFillShade="D9"/>
          </w:tcPr>
          <w:p w:rsidR="00467321" w:rsidRPr="008B08C6" w:rsidRDefault="00467321" w:rsidP="00252570">
            <w:pPr>
              <w:pStyle w:val="TableText"/>
              <w:keepNext/>
              <w:jc w:val="center"/>
              <w:rPr>
                <w:b/>
              </w:rPr>
            </w:pPr>
            <w:r w:rsidRPr="008B08C6">
              <w:rPr>
                <w:b/>
              </w:rPr>
              <w:t>Estimated number of children</w:t>
            </w:r>
          </w:p>
        </w:tc>
        <w:tc>
          <w:tcPr>
            <w:tcW w:w="1689" w:type="dxa"/>
            <w:tcBorders>
              <w:top w:val="nil"/>
              <w:bottom w:val="nil"/>
            </w:tcBorders>
            <w:shd w:val="clear" w:color="auto" w:fill="D9D9D9" w:themeFill="background1" w:themeFillShade="D9"/>
          </w:tcPr>
          <w:p w:rsidR="00467321" w:rsidRPr="008B08C6" w:rsidRDefault="00467321" w:rsidP="00252570">
            <w:pPr>
              <w:pStyle w:val="TableText"/>
              <w:keepNext/>
              <w:jc w:val="center"/>
              <w:rPr>
                <w:b/>
              </w:rPr>
            </w:pPr>
            <w:r w:rsidRPr="008B08C6">
              <w:rPr>
                <w:b/>
              </w:rPr>
              <w:t>95% CI</w:t>
            </w:r>
          </w:p>
        </w:tc>
      </w:tr>
      <w:tr w:rsidR="00467321" w:rsidRPr="00467321" w:rsidTr="0053067D">
        <w:trPr>
          <w:cantSplit/>
        </w:trPr>
        <w:tc>
          <w:tcPr>
            <w:tcW w:w="2844" w:type="dxa"/>
            <w:tcBorders>
              <w:top w:val="nil"/>
            </w:tcBorders>
            <w:shd w:val="clear" w:color="auto" w:fill="auto"/>
          </w:tcPr>
          <w:p w:rsidR="00467321" w:rsidRPr="00543D25" w:rsidRDefault="00467321" w:rsidP="00252570">
            <w:pPr>
              <w:pStyle w:val="TableText"/>
              <w:keepNext/>
            </w:pPr>
            <w:r w:rsidRPr="00543D25">
              <w:t>Total child population</w:t>
            </w:r>
          </w:p>
        </w:tc>
        <w:tc>
          <w:tcPr>
            <w:tcW w:w="1551" w:type="dxa"/>
            <w:tcBorders>
              <w:top w:val="nil"/>
            </w:tcBorders>
            <w:shd w:val="clear" w:color="auto" w:fill="auto"/>
          </w:tcPr>
          <w:p w:rsidR="00467321" w:rsidRPr="00543D25" w:rsidRDefault="00467321" w:rsidP="00252570">
            <w:pPr>
              <w:pStyle w:val="TableText"/>
              <w:keepNext/>
              <w:tabs>
                <w:tab w:val="decimal" w:pos="709"/>
              </w:tabs>
            </w:pPr>
            <w:r w:rsidRPr="00543D25">
              <w:t>19.0</w:t>
            </w:r>
          </w:p>
        </w:tc>
        <w:tc>
          <w:tcPr>
            <w:tcW w:w="1134" w:type="dxa"/>
            <w:tcBorders>
              <w:top w:val="nil"/>
            </w:tcBorders>
            <w:shd w:val="clear" w:color="auto" w:fill="auto"/>
          </w:tcPr>
          <w:p w:rsidR="00467321" w:rsidRPr="00543D25" w:rsidRDefault="00467321" w:rsidP="0053067D">
            <w:pPr>
              <w:pStyle w:val="TableText"/>
              <w:keepNext/>
              <w:tabs>
                <w:tab w:val="decimal" w:pos="284"/>
              </w:tabs>
            </w:pPr>
            <w:r w:rsidRPr="00543D25">
              <w:t>17.5–20.4</w:t>
            </w:r>
          </w:p>
        </w:tc>
        <w:tc>
          <w:tcPr>
            <w:tcW w:w="1275" w:type="dxa"/>
            <w:tcBorders>
              <w:top w:val="nil"/>
            </w:tcBorders>
            <w:shd w:val="clear" w:color="auto" w:fill="auto"/>
          </w:tcPr>
          <w:p w:rsidR="00467321" w:rsidRPr="00543D25" w:rsidRDefault="00467321" w:rsidP="00252570">
            <w:pPr>
              <w:pStyle w:val="TableText"/>
              <w:keepNext/>
              <w:tabs>
                <w:tab w:val="decimal" w:pos="888"/>
              </w:tabs>
            </w:pPr>
            <w:r w:rsidRPr="00543D25">
              <w:t>174,000</w:t>
            </w:r>
          </w:p>
        </w:tc>
        <w:tc>
          <w:tcPr>
            <w:tcW w:w="1689" w:type="dxa"/>
            <w:tcBorders>
              <w:top w:val="nil"/>
            </w:tcBorders>
            <w:shd w:val="clear" w:color="auto" w:fill="auto"/>
          </w:tcPr>
          <w:p w:rsidR="00467321" w:rsidRPr="00543D25" w:rsidRDefault="00467321" w:rsidP="0053067D">
            <w:pPr>
              <w:pStyle w:val="TableText"/>
              <w:keepNext/>
              <w:tabs>
                <w:tab w:val="decimal" w:pos="567"/>
                <w:tab w:val="decimal" w:pos="709"/>
              </w:tabs>
              <w:jc w:val="center"/>
            </w:pPr>
            <w:r w:rsidRPr="00543D25">
              <w:t>161,000–188,000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NZDep2013 quintile</w:t>
            </w:r>
            <w:r w:rsidR="008B08C6">
              <w:t>s</w:t>
            </w:r>
            <w:r w:rsidRPr="00543D25">
              <w:t xml:space="preserve"> 1 </w:t>
            </w:r>
            <w:r w:rsidR="008B08C6">
              <w:t>and</w:t>
            </w:r>
            <w:r w:rsidRPr="00543D25">
              <w:t xml:space="preserve"> 2 (least deprived)</w:t>
            </w:r>
          </w:p>
        </w:tc>
        <w:tc>
          <w:tcPr>
            <w:tcW w:w="1551" w:type="dxa"/>
            <w:shd w:val="clear" w:color="auto" w:fill="auto"/>
          </w:tcPr>
          <w:p w:rsidR="00467321" w:rsidRPr="00543D25" w:rsidRDefault="00467321" w:rsidP="00252570">
            <w:pPr>
              <w:pStyle w:val="TableText"/>
              <w:keepNext/>
              <w:tabs>
                <w:tab w:val="decimal" w:pos="709"/>
              </w:tabs>
            </w:pPr>
            <w:r w:rsidRPr="00543D25">
              <w:t>9.5</w:t>
            </w:r>
          </w:p>
        </w:tc>
        <w:tc>
          <w:tcPr>
            <w:tcW w:w="1134" w:type="dxa"/>
            <w:shd w:val="clear" w:color="auto" w:fill="auto"/>
          </w:tcPr>
          <w:p w:rsidR="00467321" w:rsidRPr="00543D25" w:rsidRDefault="00467321" w:rsidP="0053067D">
            <w:pPr>
              <w:pStyle w:val="TableText"/>
              <w:keepNext/>
              <w:tabs>
                <w:tab w:val="decimal" w:pos="284"/>
              </w:tabs>
            </w:pPr>
            <w:r w:rsidRPr="00543D25">
              <w:t>7.0–12.1</w:t>
            </w:r>
          </w:p>
        </w:tc>
        <w:tc>
          <w:tcPr>
            <w:tcW w:w="1275" w:type="dxa"/>
            <w:shd w:val="clear" w:color="auto" w:fill="auto"/>
          </w:tcPr>
          <w:p w:rsidR="00467321" w:rsidRPr="00543D25" w:rsidRDefault="00467321" w:rsidP="00252570">
            <w:pPr>
              <w:pStyle w:val="TableText"/>
              <w:keepNext/>
              <w:tabs>
                <w:tab w:val="decimal" w:pos="888"/>
              </w:tabs>
            </w:pPr>
            <w:r w:rsidRPr="00543D25">
              <w:t>34,000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25,000–43,000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NZDep2013 quintile 3</w:t>
            </w:r>
          </w:p>
        </w:tc>
        <w:tc>
          <w:tcPr>
            <w:tcW w:w="1551" w:type="dxa"/>
            <w:shd w:val="clear" w:color="auto" w:fill="auto"/>
          </w:tcPr>
          <w:p w:rsidR="00467321" w:rsidRPr="00543D25" w:rsidRDefault="00467321" w:rsidP="00252570">
            <w:pPr>
              <w:pStyle w:val="TableText"/>
              <w:keepNext/>
              <w:tabs>
                <w:tab w:val="decimal" w:pos="709"/>
              </w:tabs>
            </w:pPr>
            <w:r w:rsidRPr="00543D25">
              <w:t>17.8</w:t>
            </w:r>
          </w:p>
        </w:tc>
        <w:tc>
          <w:tcPr>
            <w:tcW w:w="1134" w:type="dxa"/>
            <w:shd w:val="clear" w:color="auto" w:fill="auto"/>
          </w:tcPr>
          <w:p w:rsidR="00467321" w:rsidRPr="00543D25" w:rsidRDefault="00467321" w:rsidP="0053067D">
            <w:pPr>
              <w:pStyle w:val="TableText"/>
              <w:keepNext/>
              <w:tabs>
                <w:tab w:val="decimal" w:pos="284"/>
              </w:tabs>
            </w:pPr>
            <w:r w:rsidRPr="00543D25">
              <w:t>14.0–21.6</w:t>
            </w:r>
          </w:p>
        </w:tc>
        <w:tc>
          <w:tcPr>
            <w:tcW w:w="1275" w:type="dxa"/>
            <w:shd w:val="clear" w:color="auto" w:fill="auto"/>
          </w:tcPr>
          <w:p w:rsidR="00467321" w:rsidRPr="00543D25" w:rsidRDefault="00467321" w:rsidP="00252570">
            <w:pPr>
              <w:pStyle w:val="TableText"/>
              <w:keepNext/>
              <w:tabs>
                <w:tab w:val="decimal" w:pos="888"/>
              </w:tabs>
            </w:pPr>
            <w:r w:rsidRPr="00543D25">
              <w:t>30,000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23,000–36,000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NZDep2013 quintile 4</w:t>
            </w:r>
          </w:p>
        </w:tc>
        <w:tc>
          <w:tcPr>
            <w:tcW w:w="1551" w:type="dxa"/>
            <w:shd w:val="clear" w:color="auto" w:fill="auto"/>
          </w:tcPr>
          <w:p w:rsidR="00467321" w:rsidRPr="00543D25" w:rsidRDefault="00467321" w:rsidP="00252570">
            <w:pPr>
              <w:pStyle w:val="TableText"/>
              <w:keepNext/>
              <w:tabs>
                <w:tab w:val="decimal" w:pos="709"/>
              </w:tabs>
            </w:pPr>
            <w:r w:rsidRPr="00543D25">
              <w:t>19.5</w:t>
            </w:r>
          </w:p>
        </w:tc>
        <w:tc>
          <w:tcPr>
            <w:tcW w:w="1134" w:type="dxa"/>
            <w:shd w:val="clear" w:color="auto" w:fill="auto"/>
          </w:tcPr>
          <w:p w:rsidR="00467321" w:rsidRPr="00543D25" w:rsidRDefault="00467321" w:rsidP="0053067D">
            <w:pPr>
              <w:pStyle w:val="TableText"/>
              <w:keepNext/>
              <w:tabs>
                <w:tab w:val="decimal" w:pos="284"/>
              </w:tabs>
            </w:pPr>
            <w:r w:rsidRPr="00543D25">
              <w:t>16.2–22.9</w:t>
            </w:r>
          </w:p>
        </w:tc>
        <w:tc>
          <w:tcPr>
            <w:tcW w:w="1275" w:type="dxa"/>
            <w:shd w:val="clear" w:color="auto" w:fill="auto"/>
          </w:tcPr>
          <w:p w:rsidR="00467321" w:rsidRPr="00543D25" w:rsidRDefault="00467321" w:rsidP="00252570">
            <w:pPr>
              <w:pStyle w:val="TableText"/>
              <w:keepNext/>
              <w:tabs>
                <w:tab w:val="decimal" w:pos="888"/>
              </w:tabs>
            </w:pPr>
            <w:r w:rsidRPr="00543D25">
              <w:t>34,000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28,000–40,000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NZDep2013 quintile 5</w:t>
            </w:r>
          </w:p>
          <w:p w:rsidR="00467321" w:rsidRPr="00543D25" w:rsidRDefault="00467321" w:rsidP="00252570">
            <w:pPr>
              <w:pStyle w:val="TableText"/>
              <w:keepNext/>
            </w:pPr>
            <w:r w:rsidRPr="00543D25">
              <w:t>(most deprived)</w:t>
            </w:r>
          </w:p>
        </w:tc>
        <w:tc>
          <w:tcPr>
            <w:tcW w:w="1551" w:type="dxa"/>
            <w:shd w:val="clear" w:color="auto" w:fill="auto"/>
          </w:tcPr>
          <w:p w:rsidR="00467321" w:rsidRPr="00543D25" w:rsidRDefault="00467321" w:rsidP="00252570">
            <w:pPr>
              <w:pStyle w:val="TableText"/>
              <w:keepNext/>
              <w:tabs>
                <w:tab w:val="decimal" w:pos="709"/>
              </w:tabs>
            </w:pPr>
            <w:r w:rsidRPr="00543D25">
              <w:t>34.8</w:t>
            </w:r>
          </w:p>
        </w:tc>
        <w:tc>
          <w:tcPr>
            <w:tcW w:w="1134" w:type="dxa"/>
            <w:shd w:val="clear" w:color="auto" w:fill="auto"/>
          </w:tcPr>
          <w:p w:rsidR="00467321" w:rsidRPr="00543D25" w:rsidRDefault="00467321" w:rsidP="0053067D">
            <w:pPr>
              <w:pStyle w:val="TableText"/>
              <w:keepNext/>
              <w:tabs>
                <w:tab w:val="decimal" w:pos="284"/>
              </w:tabs>
            </w:pPr>
            <w:r w:rsidRPr="00543D25">
              <w:t>31.6–37.9</w:t>
            </w:r>
          </w:p>
        </w:tc>
        <w:tc>
          <w:tcPr>
            <w:tcW w:w="1275" w:type="dxa"/>
            <w:shd w:val="clear" w:color="auto" w:fill="auto"/>
          </w:tcPr>
          <w:p w:rsidR="00467321" w:rsidRPr="00543D25" w:rsidRDefault="00467321" w:rsidP="00252570">
            <w:pPr>
              <w:pStyle w:val="TableText"/>
              <w:keepNext/>
              <w:tabs>
                <w:tab w:val="decimal" w:pos="888"/>
              </w:tabs>
            </w:pPr>
            <w:r w:rsidRPr="00543D25">
              <w:t>76,000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70,000–83,000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Gross household income</w:t>
            </w:r>
            <w:r w:rsidR="008B08C6">
              <w:br/>
            </w:r>
            <w:r w:rsidRPr="00543D25">
              <w:t>$1–$20,000</w:t>
            </w:r>
          </w:p>
        </w:tc>
        <w:tc>
          <w:tcPr>
            <w:tcW w:w="1551" w:type="dxa"/>
            <w:shd w:val="clear" w:color="auto" w:fill="auto"/>
          </w:tcPr>
          <w:p w:rsidR="00467321" w:rsidRPr="00543D25" w:rsidRDefault="00467321" w:rsidP="00252570">
            <w:pPr>
              <w:pStyle w:val="TableText"/>
              <w:keepNext/>
              <w:tabs>
                <w:tab w:val="decimal" w:pos="709"/>
              </w:tabs>
            </w:pPr>
            <w:r w:rsidRPr="00543D25">
              <w:t>52.9</w:t>
            </w:r>
          </w:p>
        </w:tc>
        <w:tc>
          <w:tcPr>
            <w:tcW w:w="1134" w:type="dxa"/>
            <w:shd w:val="clear" w:color="auto" w:fill="auto"/>
          </w:tcPr>
          <w:p w:rsidR="00467321" w:rsidRPr="00543D25" w:rsidRDefault="00467321" w:rsidP="0053067D">
            <w:pPr>
              <w:pStyle w:val="TableText"/>
              <w:keepNext/>
              <w:tabs>
                <w:tab w:val="decimal" w:pos="284"/>
              </w:tabs>
            </w:pPr>
            <w:r w:rsidRPr="00543D25">
              <w:t>44.0–61.7</w:t>
            </w:r>
          </w:p>
        </w:tc>
        <w:tc>
          <w:tcPr>
            <w:tcW w:w="1275" w:type="dxa"/>
            <w:shd w:val="clear" w:color="auto" w:fill="auto"/>
          </w:tcPr>
          <w:p w:rsidR="00467321" w:rsidRPr="00543D25" w:rsidRDefault="00467321" w:rsidP="00252570">
            <w:pPr>
              <w:pStyle w:val="TableText"/>
              <w:keepNext/>
              <w:tabs>
                <w:tab w:val="decimal" w:pos="888"/>
              </w:tabs>
            </w:pPr>
            <w:r w:rsidRPr="00543D25">
              <w:t>24,000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19,000–29,000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Gross household income</w:t>
            </w:r>
            <w:r w:rsidR="008B08C6">
              <w:br/>
            </w:r>
            <w:r w:rsidRPr="00543D25">
              <w:t>$20,001–$30,000</w:t>
            </w:r>
          </w:p>
        </w:tc>
        <w:tc>
          <w:tcPr>
            <w:tcW w:w="1551" w:type="dxa"/>
            <w:shd w:val="clear" w:color="auto" w:fill="auto"/>
          </w:tcPr>
          <w:p w:rsidR="00467321" w:rsidRPr="00543D25" w:rsidRDefault="00467321" w:rsidP="00252570">
            <w:pPr>
              <w:pStyle w:val="TableText"/>
              <w:keepNext/>
              <w:tabs>
                <w:tab w:val="decimal" w:pos="709"/>
              </w:tabs>
            </w:pPr>
            <w:r w:rsidRPr="00543D25">
              <w:t>51.0</w:t>
            </w:r>
          </w:p>
        </w:tc>
        <w:tc>
          <w:tcPr>
            <w:tcW w:w="1134" w:type="dxa"/>
            <w:shd w:val="clear" w:color="auto" w:fill="auto"/>
          </w:tcPr>
          <w:p w:rsidR="00467321" w:rsidRPr="00543D25" w:rsidRDefault="00467321" w:rsidP="0053067D">
            <w:pPr>
              <w:pStyle w:val="TableText"/>
              <w:keepNext/>
              <w:tabs>
                <w:tab w:val="decimal" w:pos="284"/>
              </w:tabs>
            </w:pPr>
            <w:r w:rsidRPr="00543D25">
              <w:t>44.1–57.9</w:t>
            </w:r>
          </w:p>
        </w:tc>
        <w:tc>
          <w:tcPr>
            <w:tcW w:w="1275" w:type="dxa"/>
            <w:shd w:val="clear" w:color="auto" w:fill="auto"/>
          </w:tcPr>
          <w:p w:rsidR="00467321" w:rsidRPr="00543D25" w:rsidRDefault="00467321" w:rsidP="00252570">
            <w:pPr>
              <w:pStyle w:val="TableText"/>
              <w:keepNext/>
              <w:tabs>
                <w:tab w:val="decimal" w:pos="888"/>
              </w:tabs>
            </w:pPr>
            <w:r w:rsidRPr="00543D25">
              <w:t>35,000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28,000–41,000</w:t>
            </w:r>
          </w:p>
        </w:tc>
      </w:tr>
      <w:tr w:rsidR="00467321" w:rsidRPr="00467321" w:rsidTr="0053067D">
        <w:trPr>
          <w:cantSplit/>
        </w:trPr>
        <w:tc>
          <w:tcPr>
            <w:tcW w:w="2844" w:type="dxa"/>
            <w:shd w:val="clear" w:color="auto" w:fill="auto"/>
          </w:tcPr>
          <w:p w:rsidR="00467321" w:rsidRPr="00543D25" w:rsidRDefault="00467321" w:rsidP="00252570">
            <w:pPr>
              <w:pStyle w:val="TableText"/>
              <w:keepNext/>
            </w:pPr>
            <w:r w:rsidRPr="00543D25">
              <w:t>Gross household</w:t>
            </w:r>
            <w:r w:rsidR="008B08C6">
              <w:br/>
            </w:r>
            <w:r w:rsidRPr="00543D25">
              <w:t>$30,001–$50,000</w:t>
            </w:r>
          </w:p>
        </w:tc>
        <w:tc>
          <w:tcPr>
            <w:tcW w:w="1551" w:type="dxa"/>
            <w:shd w:val="clear" w:color="auto" w:fill="auto"/>
          </w:tcPr>
          <w:p w:rsidR="00467321" w:rsidRPr="00543D25" w:rsidRDefault="00467321" w:rsidP="00252570">
            <w:pPr>
              <w:pStyle w:val="TableText"/>
              <w:keepNext/>
              <w:tabs>
                <w:tab w:val="decimal" w:pos="709"/>
              </w:tabs>
            </w:pPr>
            <w:r w:rsidRPr="00543D25">
              <w:t>37.4</w:t>
            </w:r>
          </w:p>
        </w:tc>
        <w:tc>
          <w:tcPr>
            <w:tcW w:w="1134" w:type="dxa"/>
            <w:shd w:val="clear" w:color="auto" w:fill="auto"/>
          </w:tcPr>
          <w:p w:rsidR="00467321" w:rsidRPr="00543D25" w:rsidRDefault="00467321" w:rsidP="0053067D">
            <w:pPr>
              <w:pStyle w:val="TableText"/>
              <w:keepNext/>
              <w:tabs>
                <w:tab w:val="decimal" w:pos="284"/>
              </w:tabs>
            </w:pPr>
            <w:r w:rsidRPr="00543D25">
              <w:t>32.0–42.8</w:t>
            </w:r>
          </w:p>
        </w:tc>
        <w:tc>
          <w:tcPr>
            <w:tcW w:w="1275" w:type="dxa"/>
            <w:shd w:val="clear" w:color="auto" w:fill="auto"/>
          </w:tcPr>
          <w:p w:rsidR="00467321" w:rsidRPr="00543D25" w:rsidRDefault="00467321" w:rsidP="00252570">
            <w:pPr>
              <w:pStyle w:val="TableText"/>
              <w:keepNext/>
              <w:tabs>
                <w:tab w:val="decimal" w:pos="888"/>
              </w:tabs>
            </w:pPr>
            <w:r w:rsidRPr="00543D25">
              <w:t>55,000</w:t>
            </w:r>
          </w:p>
        </w:tc>
        <w:tc>
          <w:tcPr>
            <w:tcW w:w="1689" w:type="dxa"/>
            <w:shd w:val="clear" w:color="auto" w:fill="auto"/>
          </w:tcPr>
          <w:p w:rsidR="00467321" w:rsidRPr="00543D25" w:rsidRDefault="00467321" w:rsidP="0053067D">
            <w:pPr>
              <w:pStyle w:val="TableText"/>
              <w:keepNext/>
              <w:tabs>
                <w:tab w:val="decimal" w:pos="567"/>
                <w:tab w:val="decimal" w:pos="709"/>
              </w:tabs>
              <w:jc w:val="center"/>
            </w:pPr>
            <w:r w:rsidRPr="00543D25">
              <w:t>47,000–64,000</w:t>
            </w:r>
          </w:p>
        </w:tc>
      </w:tr>
      <w:tr w:rsidR="00467321" w:rsidRPr="00467321" w:rsidTr="0053067D">
        <w:trPr>
          <w:cantSplit/>
        </w:trPr>
        <w:tc>
          <w:tcPr>
            <w:tcW w:w="2844" w:type="dxa"/>
            <w:shd w:val="clear" w:color="auto" w:fill="auto"/>
          </w:tcPr>
          <w:p w:rsidR="00467321" w:rsidRPr="00543D25" w:rsidRDefault="00467321" w:rsidP="008B08C6">
            <w:pPr>
              <w:pStyle w:val="TableText"/>
            </w:pPr>
            <w:r w:rsidRPr="00543D25">
              <w:t>Gross household</w:t>
            </w:r>
            <w:r w:rsidR="008B08C6">
              <w:br/>
            </w:r>
            <w:r w:rsidRPr="00543D25">
              <w:t>$50,001–$70,000</w:t>
            </w:r>
          </w:p>
        </w:tc>
        <w:tc>
          <w:tcPr>
            <w:tcW w:w="1551" w:type="dxa"/>
            <w:shd w:val="clear" w:color="auto" w:fill="auto"/>
          </w:tcPr>
          <w:p w:rsidR="00467321" w:rsidRPr="00543D25" w:rsidRDefault="00467321" w:rsidP="00252570">
            <w:pPr>
              <w:pStyle w:val="TableText"/>
              <w:tabs>
                <w:tab w:val="decimal" w:pos="709"/>
              </w:tabs>
            </w:pPr>
            <w:r w:rsidRPr="00543D25">
              <w:t>17.9</w:t>
            </w:r>
          </w:p>
        </w:tc>
        <w:tc>
          <w:tcPr>
            <w:tcW w:w="1134" w:type="dxa"/>
            <w:shd w:val="clear" w:color="auto" w:fill="auto"/>
          </w:tcPr>
          <w:p w:rsidR="00467321" w:rsidRPr="00543D25" w:rsidRDefault="00467321" w:rsidP="0053067D">
            <w:pPr>
              <w:pStyle w:val="TableText"/>
              <w:tabs>
                <w:tab w:val="decimal" w:pos="284"/>
              </w:tabs>
            </w:pPr>
            <w:r w:rsidRPr="00543D25">
              <w:t>14.2–21.5</w:t>
            </w:r>
          </w:p>
        </w:tc>
        <w:tc>
          <w:tcPr>
            <w:tcW w:w="1275" w:type="dxa"/>
            <w:shd w:val="clear" w:color="auto" w:fill="auto"/>
          </w:tcPr>
          <w:p w:rsidR="00467321" w:rsidRPr="00543D25" w:rsidRDefault="00467321" w:rsidP="00252570">
            <w:pPr>
              <w:pStyle w:val="TableText"/>
              <w:tabs>
                <w:tab w:val="decimal" w:pos="888"/>
              </w:tabs>
            </w:pPr>
            <w:r w:rsidRPr="00543D25">
              <w:t>30,000</w:t>
            </w:r>
          </w:p>
        </w:tc>
        <w:tc>
          <w:tcPr>
            <w:tcW w:w="1689" w:type="dxa"/>
            <w:shd w:val="clear" w:color="auto" w:fill="auto"/>
          </w:tcPr>
          <w:p w:rsidR="00467321" w:rsidRPr="00543D25" w:rsidRDefault="00467321" w:rsidP="0053067D">
            <w:pPr>
              <w:pStyle w:val="TableText"/>
              <w:tabs>
                <w:tab w:val="decimal" w:pos="567"/>
                <w:tab w:val="decimal" w:pos="709"/>
              </w:tabs>
              <w:jc w:val="center"/>
            </w:pPr>
            <w:r w:rsidRPr="00543D25">
              <w:t>23,000–36,000</w:t>
            </w:r>
          </w:p>
        </w:tc>
      </w:tr>
      <w:tr w:rsidR="00467321" w:rsidRPr="00467321" w:rsidTr="0053067D">
        <w:trPr>
          <w:cantSplit/>
        </w:trPr>
        <w:tc>
          <w:tcPr>
            <w:tcW w:w="2844" w:type="dxa"/>
            <w:shd w:val="clear" w:color="auto" w:fill="auto"/>
          </w:tcPr>
          <w:p w:rsidR="00467321" w:rsidRPr="00543D25" w:rsidRDefault="00467321" w:rsidP="008B08C6">
            <w:pPr>
              <w:pStyle w:val="TableText"/>
            </w:pPr>
            <w:r w:rsidRPr="00543D25">
              <w:t>Gross household</w:t>
            </w:r>
            <w:r w:rsidR="008B08C6">
              <w:br/>
            </w:r>
            <w:r w:rsidRPr="00543D25">
              <w:t>$70,001–$100,000</w:t>
            </w:r>
          </w:p>
        </w:tc>
        <w:tc>
          <w:tcPr>
            <w:tcW w:w="1551" w:type="dxa"/>
            <w:shd w:val="clear" w:color="auto" w:fill="auto"/>
          </w:tcPr>
          <w:p w:rsidR="00467321" w:rsidRPr="00543D25" w:rsidRDefault="00467321" w:rsidP="00252570">
            <w:pPr>
              <w:pStyle w:val="TableText"/>
              <w:tabs>
                <w:tab w:val="decimal" w:pos="709"/>
              </w:tabs>
            </w:pPr>
            <w:r w:rsidRPr="00543D25">
              <w:t>8.0</w:t>
            </w:r>
          </w:p>
        </w:tc>
        <w:tc>
          <w:tcPr>
            <w:tcW w:w="1134" w:type="dxa"/>
            <w:shd w:val="clear" w:color="auto" w:fill="auto"/>
          </w:tcPr>
          <w:p w:rsidR="00467321" w:rsidRPr="00543D25" w:rsidRDefault="00467321" w:rsidP="0053067D">
            <w:pPr>
              <w:pStyle w:val="TableText"/>
              <w:tabs>
                <w:tab w:val="decimal" w:pos="284"/>
              </w:tabs>
            </w:pPr>
            <w:r w:rsidRPr="00543D25">
              <w:t>4.9–11.2</w:t>
            </w:r>
          </w:p>
        </w:tc>
        <w:tc>
          <w:tcPr>
            <w:tcW w:w="1275" w:type="dxa"/>
            <w:shd w:val="clear" w:color="auto" w:fill="auto"/>
          </w:tcPr>
          <w:p w:rsidR="00467321" w:rsidRPr="00543D25" w:rsidRDefault="00467321" w:rsidP="00252570">
            <w:pPr>
              <w:pStyle w:val="TableText"/>
              <w:tabs>
                <w:tab w:val="decimal" w:pos="888"/>
              </w:tabs>
            </w:pPr>
            <w:r w:rsidRPr="00543D25">
              <w:t>15,000</w:t>
            </w:r>
          </w:p>
        </w:tc>
        <w:tc>
          <w:tcPr>
            <w:tcW w:w="1689" w:type="dxa"/>
            <w:shd w:val="clear" w:color="auto" w:fill="auto"/>
          </w:tcPr>
          <w:p w:rsidR="00467321" w:rsidRPr="00543D25" w:rsidRDefault="00467321" w:rsidP="0053067D">
            <w:pPr>
              <w:pStyle w:val="TableText"/>
              <w:tabs>
                <w:tab w:val="decimal" w:pos="567"/>
                <w:tab w:val="decimal" w:pos="709"/>
              </w:tabs>
              <w:jc w:val="center"/>
            </w:pPr>
            <w:r w:rsidRPr="00543D25">
              <w:t>9,000–21,000</w:t>
            </w:r>
          </w:p>
        </w:tc>
      </w:tr>
      <w:tr w:rsidR="00467321" w:rsidRPr="00467321" w:rsidTr="0053067D">
        <w:trPr>
          <w:cantSplit/>
        </w:trPr>
        <w:tc>
          <w:tcPr>
            <w:tcW w:w="2844" w:type="dxa"/>
            <w:shd w:val="clear" w:color="auto" w:fill="auto"/>
          </w:tcPr>
          <w:p w:rsidR="00467321" w:rsidRPr="00543D25" w:rsidRDefault="00467321" w:rsidP="008B08C6">
            <w:pPr>
              <w:pStyle w:val="TableText"/>
            </w:pPr>
            <w:r w:rsidRPr="00543D25">
              <w:t>Gross household</w:t>
            </w:r>
            <w:r w:rsidR="008B08C6">
              <w:br/>
            </w:r>
            <w:r w:rsidRPr="00543D25">
              <w:t>$100,001 or more</w:t>
            </w:r>
          </w:p>
        </w:tc>
        <w:tc>
          <w:tcPr>
            <w:tcW w:w="1551" w:type="dxa"/>
            <w:shd w:val="clear" w:color="auto" w:fill="auto"/>
          </w:tcPr>
          <w:p w:rsidR="00467321" w:rsidRPr="00543D25" w:rsidRDefault="00467321" w:rsidP="00A00FC3">
            <w:pPr>
              <w:pStyle w:val="TableText"/>
              <w:jc w:val="center"/>
            </w:pPr>
            <w:r w:rsidRPr="00543D25">
              <w:t>n&lt;30</w:t>
            </w:r>
          </w:p>
        </w:tc>
        <w:tc>
          <w:tcPr>
            <w:tcW w:w="1134" w:type="dxa"/>
            <w:shd w:val="clear" w:color="auto" w:fill="auto"/>
          </w:tcPr>
          <w:p w:rsidR="00467321" w:rsidRPr="00543D25" w:rsidRDefault="00467321" w:rsidP="0053067D">
            <w:pPr>
              <w:pStyle w:val="TableText"/>
              <w:tabs>
                <w:tab w:val="decimal" w:pos="284"/>
              </w:tabs>
            </w:pPr>
          </w:p>
        </w:tc>
        <w:tc>
          <w:tcPr>
            <w:tcW w:w="1275" w:type="dxa"/>
            <w:shd w:val="clear" w:color="auto" w:fill="auto"/>
          </w:tcPr>
          <w:p w:rsidR="00467321" w:rsidRPr="00543D25" w:rsidRDefault="00467321" w:rsidP="00252570">
            <w:pPr>
              <w:pStyle w:val="TableText"/>
              <w:tabs>
                <w:tab w:val="decimal" w:pos="888"/>
              </w:tabs>
            </w:pPr>
          </w:p>
        </w:tc>
        <w:tc>
          <w:tcPr>
            <w:tcW w:w="1689" w:type="dxa"/>
            <w:shd w:val="clear" w:color="auto" w:fill="auto"/>
          </w:tcPr>
          <w:p w:rsidR="00467321" w:rsidRPr="00543D25" w:rsidRDefault="00467321" w:rsidP="0053067D">
            <w:pPr>
              <w:pStyle w:val="TableText"/>
              <w:tabs>
                <w:tab w:val="decimal" w:pos="567"/>
                <w:tab w:val="decimal" w:pos="709"/>
              </w:tabs>
              <w:jc w:val="center"/>
            </w:pPr>
          </w:p>
        </w:tc>
      </w:tr>
      <w:tr w:rsidR="00467321" w:rsidRPr="00467321" w:rsidTr="0053067D">
        <w:trPr>
          <w:cantSplit/>
        </w:trPr>
        <w:tc>
          <w:tcPr>
            <w:tcW w:w="2844" w:type="dxa"/>
            <w:shd w:val="clear" w:color="auto" w:fill="auto"/>
          </w:tcPr>
          <w:p w:rsidR="00467321" w:rsidRPr="00543D25" w:rsidRDefault="00467321" w:rsidP="008B08C6">
            <w:pPr>
              <w:pStyle w:val="TableText"/>
            </w:pPr>
            <w:r w:rsidRPr="00543D25">
              <w:t>Caregiver not receiving a</w:t>
            </w:r>
            <w:r w:rsidR="00B25F34">
              <w:t xml:space="preserve"> </w:t>
            </w:r>
            <w:r w:rsidRPr="00543D25">
              <w:t>benefit</w:t>
            </w:r>
          </w:p>
        </w:tc>
        <w:tc>
          <w:tcPr>
            <w:tcW w:w="1551" w:type="dxa"/>
            <w:shd w:val="clear" w:color="auto" w:fill="auto"/>
          </w:tcPr>
          <w:p w:rsidR="00467321" w:rsidRPr="00543D25" w:rsidRDefault="00467321" w:rsidP="00252570">
            <w:pPr>
              <w:pStyle w:val="TableText"/>
              <w:tabs>
                <w:tab w:val="decimal" w:pos="709"/>
              </w:tabs>
            </w:pPr>
            <w:r w:rsidRPr="00543D25">
              <w:t>11.5</w:t>
            </w:r>
          </w:p>
        </w:tc>
        <w:tc>
          <w:tcPr>
            <w:tcW w:w="1134" w:type="dxa"/>
            <w:shd w:val="clear" w:color="auto" w:fill="auto"/>
          </w:tcPr>
          <w:p w:rsidR="00467321" w:rsidRPr="00543D25" w:rsidRDefault="00467321" w:rsidP="0053067D">
            <w:pPr>
              <w:pStyle w:val="TableText"/>
              <w:tabs>
                <w:tab w:val="decimal" w:pos="284"/>
              </w:tabs>
            </w:pPr>
            <w:r w:rsidRPr="00543D25">
              <w:t>9.8–13.2</w:t>
            </w:r>
          </w:p>
        </w:tc>
        <w:tc>
          <w:tcPr>
            <w:tcW w:w="1275" w:type="dxa"/>
            <w:shd w:val="clear" w:color="auto" w:fill="auto"/>
          </w:tcPr>
          <w:p w:rsidR="00467321" w:rsidRPr="00543D25" w:rsidRDefault="00467321" w:rsidP="00252570">
            <w:pPr>
              <w:pStyle w:val="TableText"/>
              <w:tabs>
                <w:tab w:val="decimal" w:pos="888"/>
              </w:tabs>
            </w:pPr>
            <w:r w:rsidRPr="00543D25">
              <w:t>86,000</w:t>
            </w:r>
          </w:p>
        </w:tc>
        <w:tc>
          <w:tcPr>
            <w:tcW w:w="1689" w:type="dxa"/>
            <w:shd w:val="clear" w:color="auto" w:fill="auto"/>
          </w:tcPr>
          <w:p w:rsidR="00467321" w:rsidRPr="00543D25" w:rsidRDefault="00467321" w:rsidP="0053067D">
            <w:pPr>
              <w:pStyle w:val="TableText"/>
              <w:tabs>
                <w:tab w:val="decimal" w:pos="567"/>
                <w:tab w:val="decimal" w:pos="709"/>
              </w:tabs>
              <w:jc w:val="center"/>
            </w:pPr>
            <w:r w:rsidRPr="00543D25">
              <w:t>73,000–99,000</w:t>
            </w:r>
          </w:p>
        </w:tc>
      </w:tr>
      <w:tr w:rsidR="00467321" w:rsidRPr="00467321" w:rsidTr="0053067D">
        <w:trPr>
          <w:cantSplit/>
        </w:trPr>
        <w:tc>
          <w:tcPr>
            <w:tcW w:w="2844" w:type="dxa"/>
            <w:shd w:val="clear" w:color="auto" w:fill="auto"/>
          </w:tcPr>
          <w:p w:rsidR="00467321" w:rsidRPr="00543D25" w:rsidRDefault="00467321" w:rsidP="008B08C6">
            <w:pPr>
              <w:pStyle w:val="TableText"/>
            </w:pPr>
            <w:r w:rsidRPr="00543D25">
              <w:t>Caregiver receiving a benefit</w:t>
            </w:r>
          </w:p>
        </w:tc>
        <w:tc>
          <w:tcPr>
            <w:tcW w:w="1551" w:type="dxa"/>
            <w:shd w:val="clear" w:color="auto" w:fill="auto"/>
          </w:tcPr>
          <w:p w:rsidR="00467321" w:rsidRPr="00543D25" w:rsidRDefault="00467321" w:rsidP="00252570">
            <w:pPr>
              <w:pStyle w:val="TableText"/>
              <w:tabs>
                <w:tab w:val="decimal" w:pos="709"/>
              </w:tabs>
            </w:pPr>
            <w:r w:rsidRPr="00543D25">
              <w:t>55.8</w:t>
            </w:r>
          </w:p>
        </w:tc>
        <w:tc>
          <w:tcPr>
            <w:tcW w:w="1134" w:type="dxa"/>
            <w:shd w:val="clear" w:color="auto" w:fill="auto"/>
          </w:tcPr>
          <w:p w:rsidR="00467321" w:rsidRPr="00543D25" w:rsidRDefault="00467321" w:rsidP="0053067D">
            <w:pPr>
              <w:pStyle w:val="TableText"/>
              <w:tabs>
                <w:tab w:val="decimal" w:pos="284"/>
              </w:tabs>
            </w:pPr>
            <w:r w:rsidRPr="00543D25">
              <w:t>50.9–60.7</w:t>
            </w:r>
          </w:p>
        </w:tc>
        <w:tc>
          <w:tcPr>
            <w:tcW w:w="1275" w:type="dxa"/>
            <w:shd w:val="clear" w:color="auto" w:fill="auto"/>
          </w:tcPr>
          <w:p w:rsidR="00467321" w:rsidRPr="00543D25" w:rsidRDefault="00467321" w:rsidP="00252570">
            <w:pPr>
              <w:pStyle w:val="TableText"/>
              <w:tabs>
                <w:tab w:val="decimal" w:pos="888"/>
              </w:tabs>
            </w:pPr>
            <w:r w:rsidRPr="00543D25">
              <w:t>92,000</w:t>
            </w:r>
          </w:p>
        </w:tc>
        <w:tc>
          <w:tcPr>
            <w:tcW w:w="1689" w:type="dxa"/>
            <w:shd w:val="clear" w:color="auto" w:fill="auto"/>
          </w:tcPr>
          <w:p w:rsidR="00467321" w:rsidRPr="00543D25" w:rsidRDefault="00467321" w:rsidP="0053067D">
            <w:pPr>
              <w:pStyle w:val="TableText"/>
              <w:tabs>
                <w:tab w:val="decimal" w:pos="567"/>
                <w:tab w:val="decimal" w:pos="709"/>
              </w:tabs>
              <w:jc w:val="center"/>
            </w:pPr>
            <w:r w:rsidRPr="00543D25">
              <w:t>80,000–104,000</w:t>
            </w:r>
          </w:p>
        </w:tc>
      </w:tr>
    </w:tbl>
    <w:p w:rsidR="00467321" w:rsidRPr="00467321" w:rsidRDefault="00467321" w:rsidP="00252570">
      <w:pPr>
        <w:pStyle w:val="Note"/>
      </w:pPr>
      <w:r w:rsidRPr="00467321">
        <w:t>Notes: This table presents unadjusted prevalence estimates, reflecting the actual percentage of the population affected in 2015/16.</w:t>
      </w:r>
    </w:p>
    <w:p w:rsidR="00467321" w:rsidRPr="00467321" w:rsidRDefault="00467321" w:rsidP="00252570">
      <w:pPr>
        <w:pStyle w:val="Note"/>
      </w:pPr>
      <w:r w:rsidRPr="00467321">
        <w:t xml:space="preserve">This table does not present estimates for the response options on household income </w:t>
      </w:r>
      <w:r w:rsidR="00543D25">
        <w:t>‘</w:t>
      </w:r>
      <w:r w:rsidRPr="00467321">
        <w:t>loss</w:t>
      </w:r>
      <w:r w:rsidR="00543D25">
        <w:t>’</w:t>
      </w:r>
      <w:r w:rsidRPr="00467321">
        <w:t xml:space="preserve"> or </w:t>
      </w:r>
      <w:r w:rsidR="00543D25">
        <w:t>‘</w:t>
      </w:r>
      <w:r w:rsidRPr="00467321">
        <w:t>zero income</w:t>
      </w:r>
      <w:r w:rsidR="00543D25">
        <w:t>’</w:t>
      </w:r>
      <w:r w:rsidRPr="00467321">
        <w:t>, as no respondents indicated a loss, and fewer than 30 respondents indicated zero income.</w:t>
      </w:r>
    </w:p>
    <w:p w:rsidR="00467321" w:rsidRDefault="00467321" w:rsidP="00252570">
      <w:pPr>
        <w:pStyle w:val="Note"/>
      </w:pPr>
      <w:r w:rsidRPr="00467321">
        <w:t>See Appendix 3 for indicator definitions.</w:t>
      </w:r>
    </w:p>
    <w:p w:rsidR="00252570" w:rsidRPr="00252570" w:rsidRDefault="00252570" w:rsidP="0053067D"/>
    <w:p w:rsidR="00A00FC3" w:rsidRDefault="0053067D" w:rsidP="00A00FC3">
      <w:pPr>
        <w:pStyle w:val="Heading3"/>
      </w:pPr>
      <w:bookmarkStart w:id="28" w:name="_bookmark13"/>
      <w:bookmarkEnd w:id="28"/>
      <w:r>
        <w:t>C</w:t>
      </w:r>
      <w:r w:rsidR="00467321" w:rsidRPr="00467321">
        <w:t>hildren in food-insecure households were more likely to live in a rented house</w:t>
      </w:r>
    </w:p>
    <w:p w:rsidR="00467321" w:rsidRPr="00543D25" w:rsidRDefault="00467321" w:rsidP="00A00FC3">
      <w:pPr>
        <w:keepNext/>
      </w:pPr>
      <w:r w:rsidRPr="00543D25">
        <w:t xml:space="preserve">The prevalence of household food insecurity differed by housing tenure. The rate of household food insecurity was comparatively low for children living in a house that was owned by someone in the household. Rates were significantly higher for children living in a house that was rented, particularly if it was rented from a public landlord. Among </w:t>
      </w:r>
      <w:r w:rsidRPr="00543D25">
        <w:lastRenderedPageBreak/>
        <w:t>those renting from a public landlord,</w:t>
      </w:r>
      <w:r w:rsidR="00A00FC3" w:rsidRPr="002F2469">
        <w:rPr>
          <w:rStyle w:val="FootnoteReference"/>
        </w:rPr>
        <w:footnoteReference w:id="4"/>
      </w:r>
      <w:r w:rsidR="00A00FC3">
        <w:t xml:space="preserve"> </w:t>
      </w:r>
      <w:r w:rsidRPr="00543D25">
        <w:t>over one in two children (52.9%) lived in households with food insecurity (see Figure 5, Table 5).</w:t>
      </w:r>
    </w:p>
    <w:p w:rsidR="00467321" w:rsidRPr="00543D25" w:rsidRDefault="00467321" w:rsidP="00A00FC3"/>
    <w:p w:rsidR="00467321" w:rsidRPr="00467321" w:rsidRDefault="00467321" w:rsidP="00A00FC3">
      <w:pPr>
        <w:pStyle w:val="Figure"/>
      </w:pPr>
      <w:bookmarkStart w:id="29" w:name="_Toc5437124"/>
      <w:r w:rsidRPr="00467321">
        <w:t>Figure 5: Household food insecurity among children by housing tenure, 2015/16</w:t>
      </w:r>
      <w:bookmarkEnd w:id="29"/>
    </w:p>
    <w:p w:rsidR="00A00FC3" w:rsidRDefault="00A00FC3" w:rsidP="00A00FC3">
      <w:r w:rsidRPr="00A00FC3">
        <w:rPr>
          <w:noProof/>
          <w:lang w:eastAsia="en-NZ"/>
        </w:rPr>
        <w:drawing>
          <wp:inline distT="0" distB="0" distL="0" distR="0" wp14:anchorId="50A2DD0B" wp14:editId="1306CE75">
            <wp:extent cx="5130165" cy="2673492"/>
            <wp:effectExtent l="0" t="0" r="0" b="0"/>
            <wp:docPr id="15" name="Picture 15" title="Figure 5: Household food insecurity among children by housing tenur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2673492"/>
                    </a:xfrm>
                    <a:prstGeom prst="rect">
                      <a:avLst/>
                    </a:prstGeom>
                  </pic:spPr>
                </pic:pic>
              </a:graphicData>
            </a:graphic>
          </wp:inline>
        </w:drawing>
      </w:r>
    </w:p>
    <w:p w:rsidR="00467321" w:rsidRPr="00467321" w:rsidRDefault="00467321" w:rsidP="00A00FC3">
      <w:pPr>
        <w:pStyle w:val="Note"/>
      </w:pPr>
      <w:r w:rsidRPr="00467321">
        <w:t>Note: See Appendix 4 for the share of the total child population in the groups being compared.</w:t>
      </w:r>
    </w:p>
    <w:p w:rsidR="00A00FC3" w:rsidRDefault="00A00FC3" w:rsidP="00A00FC3"/>
    <w:p w:rsidR="00467321" w:rsidRPr="00543D25" w:rsidRDefault="00467321" w:rsidP="00A00FC3">
      <w:r w:rsidRPr="00543D25">
        <w:t>The high rates of household food insecurity among children in public housing likely occur largely because households in public housing have low incomes. Adjusting for the child</w:t>
      </w:r>
      <w:r w:rsidR="00543D25" w:rsidRPr="00543D25">
        <w:t>’</w:t>
      </w:r>
      <w:r w:rsidRPr="00543D25">
        <w:t>s age and sex, number of children in the household and gross household income reduced the relative differences in household food insecurity prevalence between the three groups (see Appendix 5 for ARRs).</w:t>
      </w:r>
    </w:p>
    <w:p w:rsidR="00467321" w:rsidRPr="00543D25" w:rsidRDefault="00467321" w:rsidP="002F2469"/>
    <w:p w:rsidR="00467321" w:rsidRPr="00467321" w:rsidRDefault="00467321" w:rsidP="00A00FC3">
      <w:pPr>
        <w:pStyle w:val="Table"/>
      </w:pPr>
      <w:bookmarkStart w:id="30" w:name="_bookmark14"/>
      <w:bookmarkStart w:id="31" w:name="_Toc5437193"/>
      <w:bookmarkEnd w:id="30"/>
      <w:r w:rsidRPr="00467321">
        <w:t>Table 5: Prevalence of children living in households with food insecurity, by housing tenure, 2015/16</w:t>
      </w:r>
      <w:bookmarkEnd w:id="3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433"/>
        <w:gridCol w:w="1820"/>
        <w:gridCol w:w="1003"/>
        <w:gridCol w:w="1265"/>
        <w:gridCol w:w="1559"/>
      </w:tblGrid>
      <w:tr w:rsidR="002F2469" w:rsidRPr="00467321" w:rsidTr="002F2469">
        <w:trPr>
          <w:cantSplit/>
        </w:trPr>
        <w:tc>
          <w:tcPr>
            <w:tcW w:w="2433" w:type="dxa"/>
            <w:tcBorders>
              <w:top w:val="nil"/>
              <w:bottom w:val="nil"/>
            </w:tcBorders>
            <w:shd w:val="clear" w:color="auto" w:fill="D9D9D9" w:themeFill="background1" w:themeFillShade="D9"/>
          </w:tcPr>
          <w:p w:rsidR="00467321" w:rsidRPr="00543D25" w:rsidRDefault="00467321" w:rsidP="002F2469">
            <w:pPr>
              <w:pStyle w:val="TableText"/>
              <w:keepNext/>
            </w:pPr>
          </w:p>
        </w:tc>
        <w:tc>
          <w:tcPr>
            <w:tcW w:w="1820" w:type="dxa"/>
            <w:tcBorders>
              <w:top w:val="nil"/>
              <w:bottom w:val="nil"/>
            </w:tcBorders>
            <w:shd w:val="clear" w:color="auto" w:fill="D9D9D9" w:themeFill="background1" w:themeFillShade="D9"/>
          </w:tcPr>
          <w:p w:rsidR="00467321" w:rsidRPr="002F2469" w:rsidRDefault="00467321" w:rsidP="002F2469">
            <w:pPr>
              <w:pStyle w:val="TableText"/>
              <w:keepNext/>
              <w:jc w:val="center"/>
              <w:rPr>
                <w:b/>
              </w:rPr>
            </w:pPr>
            <w:r w:rsidRPr="002F2469">
              <w:rPr>
                <w:b/>
              </w:rPr>
              <w:t>Children in households with food insecurity (%)</w:t>
            </w:r>
          </w:p>
        </w:tc>
        <w:tc>
          <w:tcPr>
            <w:tcW w:w="1003" w:type="dxa"/>
            <w:tcBorders>
              <w:top w:val="nil"/>
              <w:bottom w:val="nil"/>
            </w:tcBorders>
            <w:shd w:val="clear" w:color="auto" w:fill="D9D9D9" w:themeFill="background1" w:themeFillShade="D9"/>
          </w:tcPr>
          <w:p w:rsidR="00467321" w:rsidRPr="002F2469" w:rsidRDefault="00467321" w:rsidP="002F2469">
            <w:pPr>
              <w:pStyle w:val="TableText"/>
              <w:keepNext/>
              <w:jc w:val="center"/>
              <w:rPr>
                <w:b/>
              </w:rPr>
            </w:pPr>
            <w:r w:rsidRPr="002F2469">
              <w:rPr>
                <w:b/>
              </w:rPr>
              <w:t>95% CI</w:t>
            </w:r>
          </w:p>
        </w:tc>
        <w:tc>
          <w:tcPr>
            <w:tcW w:w="1265" w:type="dxa"/>
            <w:tcBorders>
              <w:top w:val="nil"/>
              <w:bottom w:val="nil"/>
            </w:tcBorders>
            <w:shd w:val="clear" w:color="auto" w:fill="D9D9D9" w:themeFill="background1" w:themeFillShade="D9"/>
          </w:tcPr>
          <w:p w:rsidR="00467321" w:rsidRPr="002F2469" w:rsidRDefault="00467321" w:rsidP="002F2469">
            <w:pPr>
              <w:pStyle w:val="TableText"/>
              <w:keepNext/>
              <w:jc w:val="center"/>
              <w:rPr>
                <w:b/>
              </w:rPr>
            </w:pPr>
            <w:r w:rsidRPr="002F2469">
              <w:rPr>
                <w:b/>
              </w:rPr>
              <w:t>Estimated number of children</w:t>
            </w:r>
          </w:p>
        </w:tc>
        <w:tc>
          <w:tcPr>
            <w:tcW w:w="1559" w:type="dxa"/>
            <w:tcBorders>
              <w:top w:val="nil"/>
              <w:bottom w:val="nil"/>
            </w:tcBorders>
            <w:shd w:val="clear" w:color="auto" w:fill="D9D9D9" w:themeFill="background1" w:themeFillShade="D9"/>
          </w:tcPr>
          <w:p w:rsidR="00467321" w:rsidRPr="002F2469" w:rsidRDefault="00467321" w:rsidP="002F2469">
            <w:pPr>
              <w:pStyle w:val="TableText"/>
              <w:keepNext/>
              <w:jc w:val="center"/>
              <w:rPr>
                <w:b/>
              </w:rPr>
            </w:pPr>
            <w:r w:rsidRPr="002F2469">
              <w:rPr>
                <w:b/>
              </w:rPr>
              <w:t>95% CI</w:t>
            </w:r>
          </w:p>
        </w:tc>
      </w:tr>
      <w:tr w:rsidR="00467321" w:rsidRPr="00467321" w:rsidTr="002F2469">
        <w:trPr>
          <w:cantSplit/>
        </w:trPr>
        <w:tc>
          <w:tcPr>
            <w:tcW w:w="2433" w:type="dxa"/>
            <w:tcBorders>
              <w:top w:val="nil"/>
            </w:tcBorders>
            <w:shd w:val="clear" w:color="auto" w:fill="auto"/>
          </w:tcPr>
          <w:p w:rsidR="00467321" w:rsidRPr="00543D25" w:rsidRDefault="00467321" w:rsidP="002F2469">
            <w:pPr>
              <w:pStyle w:val="TableText"/>
              <w:keepNext/>
            </w:pPr>
            <w:r w:rsidRPr="00543D25">
              <w:t>Total child population</w:t>
            </w:r>
          </w:p>
        </w:tc>
        <w:tc>
          <w:tcPr>
            <w:tcW w:w="1820" w:type="dxa"/>
            <w:tcBorders>
              <w:top w:val="nil"/>
            </w:tcBorders>
            <w:shd w:val="clear" w:color="auto" w:fill="auto"/>
          </w:tcPr>
          <w:p w:rsidR="00467321" w:rsidRPr="00543D25" w:rsidRDefault="00467321" w:rsidP="002F2469">
            <w:pPr>
              <w:pStyle w:val="TableText"/>
              <w:keepNext/>
              <w:tabs>
                <w:tab w:val="decimal" w:pos="912"/>
              </w:tabs>
            </w:pPr>
            <w:r w:rsidRPr="00543D25">
              <w:t>19.0</w:t>
            </w:r>
          </w:p>
        </w:tc>
        <w:tc>
          <w:tcPr>
            <w:tcW w:w="1003" w:type="dxa"/>
            <w:tcBorders>
              <w:top w:val="nil"/>
            </w:tcBorders>
            <w:shd w:val="clear" w:color="auto" w:fill="auto"/>
          </w:tcPr>
          <w:p w:rsidR="00467321" w:rsidRPr="00543D25" w:rsidRDefault="00467321" w:rsidP="002F2469">
            <w:pPr>
              <w:pStyle w:val="TableText"/>
              <w:keepNext/>
              <w:jc w:val="center"/>
            </w:pPr>
            <w:r w:rsidRPr="00543D25">
              <w:t>17.5–20.4</w:t>
            </w:r>
          </w:p>
        </w:tc>
        <w:tc>
          <w:tcPr>
            <w:tcW w:w="1265" w:type="dxa"/>
            <w:tcBorders>
              <w:top w:val="nil"/>
            </w:tcBorders>
            <w:shd w:val="clear" w:color="auto" w:fill="auto"/>
          </w:tcPr>
          <w:p w:rsidR="00467321" w:rsidRPr="00543D25" w:rsidRDefault="00467321" w:rsidP="002F2469">
            <w:pPr>
              <w:pStyle w:val="TableText"/>
              <w:keepNext/>
              <w:tabs>
                <w:tab w:val="decimal" w:pos="907"/>
              </w:tabs>
            </w:pPr>
            <w:r w:rsidRPr="00543D25">
              <w:t>174,000</w:t>
            </w:r>
          </w:p>
        </w:tc>
        <w:tc>
          <w:tcPr>
            <w:tcW w:w="1559" w:type="dxa"/>
            <w:tcBorders>
              <w:top w:val="nil"/>
            </w:tcBorders>
            <w:shd w:val="clear" w:color="auto" w:fill="auto"/>
          </w:tcPr>
          <w:p w:rsidR="00467321" w:rsidRPr="00543D25" w:rsidRDefault="00467321" w:rsidP="002F2469">
            <w:pPr>
              <w:pStyle w:val="TableText"/>
              <w:keepNext/>
              <w:tabs>
                <w:tab w:val="decimal" w:pos="709"/>
              </w:tabs>
            </w:pPr>
            <w:r w:rsidRPr="00543D25">
              <w:t>161,000–188,000</w:t>
            </w:r>
          </w:p>
        </w:tc>
      </w:tr>
      <w:tr w:rsidR="00467321" w:rsidRPr="00467321" w:rsidTr="002F2469">
        <w:trPr>
          <w:cantSplit/>
        </w:trPr>
        <w:tc>
          <w:tcPr>
            <w:tcW w:w="2433" w:type="dxa"/>
            <w:shd w:val="clear" w:color="auto" w:fill="auto"/>
          </w:tcPr>
          <w:p w:rsidR="00467321" w:rsidRPr="00543D25" w:rsidRDefault="00467321" w:rsidP="002F2469">
            <w:pPr>
              <w:pStyle w:val="TableText"/>
              <w:keepNext/>
            </w:pPr>
            <w:r w:rsidRPr="00543D25">
              <w:t>House owned by household</w:t>
            </w:r>
          </w:p>
        </w:tc>
        <w:tc>
          <w:tcPr>
            <w:tcW w:w="1820" w:type="dxa"/>
            <w:shd w:val="clear" w:color="auto" w:fill="auto"/>
          </w:tcPr>
          <w:p w:rsidR="00467321" w:rsidRPr="00543D25" w:rsidRDefault="00467321" w:rsidP="002F2469">
            <w:pPr>
              <w:pStyle w:val="TableText"/>
              <w:keepNext/>
              <w:tabs>
                <w:tab w:val="decimal" w:pos="912"/>
              </w:tabs>
            </w:pPr>
            <w:r w:rsidRPr="00543D25">
              <w:t>8.2</w:t>
            </w:r>
          </w:p>
        </w:tc>
        <w:tc>
          <w:tcPr>
            <w:tcW w:w="1003" w:type="dxa"/>
            <w:shd w:val="clear" w:color="auto" w:fill="auto"/>
          </w:tcPr>
          <w:p w:rsidR="00467321" w:rsidRPr="00543D25" w:rsidRDefault="00467321" w:rsidP="002F2469">
            <w:pPr>
              <w:pStyle w:val="TableText"/>
              <w:keepNext/>
              <w:jc w:val="center"/>
            </w:pPr>
            <w:r w:rsidRPr="00543D25">
              <w:t>6.5–9.9</w:t>
            </w:r>
          </w:p>
        </w:tc>
        <w:tc>
          <w:tcPr>
            <w:tcW w:w="1265" w:type="dxa"/>
            <w:shd w:val="clear" w:color="auto" w:fill="auto"/>
          </w:tcPr>
          <w:p w:rsidR="00467321" w:rsidRPr="00543D25" w:rsidRDefault="00467321" w:rsidP="002F2469">
            <w:pPr>
              <w:pStyle w:val="TableText"/>
              <w:keepNext/>
              <w:tabs>
                <w:tab w:val="decimal" w:pos="907"/>
              </w:tabs>
            </w:pPr>
            <w:r w:rsidRPr="00543D25">
              <w:t>41,000</w:t>
            </w:r>
          </w:p>
        </w:tc>
        <w:tc>
          <w:tcPr>
            <w:tcW w:w="1559" w:type="dxa"/>
            <w:shd w:val="clear" w:color="auto" w:fill="auto"/>
          </w:tcPr>
          <w:p w:rsidR="00467321" w:rsidRPr="00543D25" w:rsidRDefault="00467321" w:rsidP="002F2469">
            <w:pPr>
              <w:pStyle w:val="TableText"/>
              <w:keepNext/>
              <w:tabs>
                <w:tab w:val="decimal" w:pos="709"/>
              </w:tabs>
            </w:pPr>
            <w:r w:rsidRPr="00543D25">
              <w:t>32,000–50,000</w:t>
            </w:r>
          </w:p>
        </w:tc>
      </w:tr>
      <w:tr w:rsidR="00467321" w:rsidRPr="00467321" w:rsidTr="002F2469">
        <w:trPr>
          <w:cantSplit/>
        </w:trPr>
        <w:tc>
          <w:tcPr>
            <w:tcW w:w="2433" w:type="dxa"/>
            <w:shd w:val="clear" w:color="auto" w:fill="auto"/>
          </w:tcPr>
          <w:p w:rsidR="00467321" w:rsidRPr="00543D25" w:rsidRDefault="00467321" w:rsidP="002F2469">
            <w:pPr>
              <w:pStyle w:val="TableText"/>
              <w:keepNext/>
            </w:pPr>
            <w:r w:rsidRPr="00543D25">
              <w:t>House rented from private landlord</w:t>
            </w:r>
          </w:p>
        </w:tc>
        <w:tc>
          <w:tcPr>
            <w:tcW w:w="1820" w:type="dxa"/>
            <w:shd w:val="clear" w:color="auto" w:fill="auto"/>
          </w:tcPr>
          <w:p w:rsidR="00467321" w:rsidRPr="00543D25" w:rsidRDefault="00467321" w:rsidP="002F2469">
            <w:pPr>
              <w:pStyle w:val="TableText"/>
              <w:keepNext/>
              <w:tabs>
                <w:tab w:val="decimal" w:pos="912"/>
              </w:tabs>
            </w:pPr>
            <w:r w:rsidRPr="00543D25">
              <w:t>27.7</w:t>
            </w:r>
          </w:p>
        </w:tc>
        <w:tc>
          <w:tcPr>
            <w:tcW w:w="1003" w:type="dxa"/>
            <w:shd w:val="clear" w:color="auto" w:fill="auto"/>
          </w:tcPr>
          <w:p w:rsidR="00467321" w:rsidRPr="00543D25" w:rsidRDefault="00467321" w:rsidP="002F2469">
            <w:pPr>
              <w:pStyle w:val="TableText"/>
              <w:keepNext/>
              <w:jc w:val="center"/>
            </w:pPr>
            <w:r w:rsidRPr="00543D25">
              <w:t>24.6–30.8</w:t>
            </w:r>
          </w:p>
        </w:tc>
        <w:tc>
          <w:tcPr>
            <w:tcW w:w="1265" w:type="dxa"/>
            <w:shd w:val="clear" w:color="auto" w:fill="auto"/>
          </w:tcPr>
          <w:p w:rsidR="00467321" w:rsidRPr="00543D25" w:rsidRDefault="00467321" w:rsidP="002F2469">
            <w:pPr>
              <w:pStyle w:val="TableText"/>
              <w:keepNext/>
              <w:tabs>
                <w:tab w:val="decimal" w:pos="907"/>
              </w:tabs>
            </w:pPr>
            <w:r w:rsidRPr="00543D25">
              <w:t>93,000</w:t>
            </w:r>
          </w:p>
        </w:tc>
        <w:tc>
          <w:tcPr>
            <w:tcW w:w="1559" w:type="dxa"/>
            <w:shd w:val="clear" w:color="auto" w:fill="auto"/>
          </w:tcPr>
          <w:p w:rsidR="00467321" w:rsidRPr="00543D25" w:rsidRDefault="00467321" w:rsidP="002F2469">
            <w:pPr>
              <w:pStyle w:val="TableText"/>
              <w:keepNext/>
              <w:tabs>
                <w:tab w:val="decimal" w:pos="709"/>
              </w:tabs>
            </w:pPr>
            <w:r w:rsidRPr="00543D25">
              <w:t>81,000–105,000</w:t>
            </w:r>
          </w:p>
        </w:tc>
      </w:tr>
      <w:tr w:rsidR="00467321" w:rsidRPr="00467321" w:rsidTr="002F2469">
        <w:trPr>
          <w:cantSplit/>
        </w:trPr>
        <w:tc>
          <w:tcPr>
            <w:tcW w:w="2433" w:type="dxa"/>
            <w:shd w:val="clear" w:color="auto" w:fill="auto"/>
          </w:tcPr>
          <w:p w:rsidR="00467321" w:rsidRPr="00543D25" w:rsidRDefault="00467321" w:rsidP="002F2469">
            <w:pPr>
              <w:pStyle w:val="TableText"/>
            </w:pPr>
            <w:r w:rsidRPr="00543D25">
              <w:t>House rented from public landlord</w:t>
            </w:r>
          </w:p>
        </w:tc>
        <w:tc>
          <w:tcPr>
            <w:tcW w:w="1820" w:type="dxa"/>
            <w:shd w:val="clear" w:color="auto" w:fill="auto"/>
          </w:tcPr>
          <w:p w:rsidR="00467321" w:rsidRPr="00543D25" w:rsidRDefault="00467321" w:rsidP="002F2469">
            <w:pPr>
              <w:pStyle w:val="TableText"/>
              <w:tabs>
                <w:tab w:val="decimal" w:pos="912"/>
              </w:tabs>
            </w:pPr>
            <w:r w:rsidRPr="00543D25">
              <w:t>52.9</w:t>
            </w:r>
          </w:p>
        </w:tc>
        <w:tc>
          <w:tcPr>
            <w:tcW w:w="1003" w:type="dxa"/>
            <w:shd w:val="clear" w:color="auto" w:fill="auto"/>
          </w:tcPr>
          <w:p w:rsidR="00467321" w:rsidRPr="00543D25" w:rsidRDefault="00467321" w:rsidP="002F2469">
            <w:pPr>
              <w:pStyle w:val="TableText"/>
              <w:jc w:val="center"/>
            </w:pPr>
            <w:r w:rsidRPr="00543D25">
              <w:t>47.2–58.7</w:t>
            </w:r>
          </w:p>
        </w:tc>
        <w:tc>
          <w:tcPr>
            <w:tcW w:w="1265" w:type="dxa"/>
            <w:shd w:val="clear" w:color="auto" w:fill="auto"/>
          </w:tcPr>
          <w:p w:rsidR="00467321" w:rsidRPr="00543D25" w:rsidRDefault="00467321" w:rsidP="002F2469">
            <w:pPr>
              <w:pStyle w:val="TableText"/>
              <w:tabs>
                <w:tab w:val="decimal" w:pos="907"/>
              </w:tabs>
            </w:pPr>
            <w:r w:rsidRPr="00543D25">
              <w:t>39,000</w:t>
            </w:r>
          </w:p>
        </w:tc>
        <w:tc>
          <w:tcPr>
            <w:tcW w:w="1559" w:type="dxa"/>
            <w:shd w:val="clear" w:color="auto" w:fill="auto"/>
          </w:tcPr>
          <w:p w:rsidR="00467321" w:rsidRPr="00543D25" w:rsidRDefault="00467321" w:rsidP="002F2469">
            <w:pPr>
              <w:pStyle w:val="TableText"/>
              <w:tabs>
                <w:tab w:val="decimal" w:pos="709"/>
              </w:tabs>
            </w:pPr>
            <w:r w:rsidRPr="00543D25">
              <w:t>31,000–47,000</w:t>
            </w:r>
          </w:p>
        </w:tc>
      </w:tr>
    </w:tbl>
    <w:p w:rsidR="00467321" w:rsidRPr="00467321" w:rsidRDefault="00467321" w:rsidP="002F2469">
      <w:pPr>
        <w:pStyle w:val="Note"/>
      </w:pPr>
      <w:r w:rsidRPr="00467321">
        <w:t>Notes: This table presents unadjusted prevalence estimates, reflecting the actual percentage of the population affected in 2015/16.</w:t>
      </w:r>
    </w:p>
    <w:p w:rsidR="00467321" w:rsidRDefault="00467321" w:rsidP="002F2469">
      <w:pPr>
        <w:pStyle w:val="Note"/>
      </w:pPr>
      <w:r w:rsidRPr="00467321">
        <w:t>See Appendix 3 for indicator definitions.</w:t>
      </w:r>
    </w:p>
    <w:p w:rsidR="002F2469" w:rsidRPr="002F2469" w:rsidRDefault="002F2469" w:rsidP="002F2469"/>
    <w:p w:rsidR="00467321" w:rsidRPr="002F2469" w:rsidRDefault="00467321" w:rsidP="002F2469">
      <w:pPr>
        <w:pStyle w:val="Heading3"/>
      </w:pPr>
      <w:r w:rsidRPr="002F2469">
        <w:lastRenderedPageBreak/>
        <w:t>Household food insecurity was more prevalent among</w:t>
      </w:r>
      <w:r w:rsidR="002F2469" w:rsidRPr="002F2469">
        <w:t xml:space="preserve"> </w:t>
      </w:r>
      <w:r w:rsidRPr="002F2469">
        <w:t>Pacific and Māori children</w:t>
      </w:r>
    </w:p>
    <w:p w:rsidR="00467321" w:rsidRPr="00543D25" w:rsidRDefault="00467321" w:rsidP="002F2469">
      <w:r w:rsidRPr="00543D25">
        <w:t xml:space="preserve">As documented by previous research (Bowers </w:t>
      </w:r>
      <w:r w:rsidR="007464C2">
        <w:t>et al</w:t>
      </w:r>
      <w:r w:rsidRPr="00543D25">
        <w:t xml:space="preserve"> 2009; Carter </w:t>
      </w:r>
      <w:r w:rsidR="007464C2">
        <w:t>et al</w:t>
      </w:r>
      <w:r w:rsidRPr="00543D25">
        <w:t xml:space="preserve"> 2010; Ministry of Health 2003; Parnell </w:t>
      </w:r>
      <w:r w:rsidR="007464C2">
        <w:t>et al</w:t>
      </w:r>
      <w:r w:rsidRPr="00543D25">
        <w:t xml:space="preserve"> 2001; Te Hotu Manawa Māori 2009), there were marked differences in the prevalence of household food insecurity by ethnicity. Pacific and Māori children had the highest prevalence of household food insecurity. Differences were statistically significant for all ethnic group comparisons based on total ethnicity (eg, Māori compared to non-Māori).</w:t>
      </w:r>
    </w:p>
    <w:p w:rsidR="002F2469" w:rsidRDefault="002F2469" w:rsidP="002F2469"/>
    <w:p w:rsidR="00467321" w:rsidRPr="00543D25" w:rsidRDefault="00467321" w:rsidP="002F2469">
      <w:r w:rsidRPr="00543D25">
        <w:t>Of Māori children, over one in four (28.6%) lived in food-insecure households. Conversely, of children in food-insecure households, over one in three (38.8%) children were Māori (see Figure 6, Table 6). As Māori children made up 25.7 percent of the</w:t>
      </w:r>
      <w:r w:rsidR="002F2469">
        <w:t xml:space="preserve"> </w:t>
      </w:r>
      <w:r w:rsidRPr="00543D25">
        <w:t>total child population based on the New Zealand Health Survey estimates, this means</w:t>
      </w:r>
      <w:r w:rsidR="002F2469">
        <w:t xml:space="preserve"> </w:t>
      </w:r>
      <w:r w:rsidRPr="00543D25">
        <w:t>Māori children were overrepresented in the food-insecure group.</w:t>
      </w:r>
    </w:p>
    <w:p w:rsidR="00467321" w:rsidRPr="00543D25" w:rsidRDefault="00467321" w:rsidP="002F2469"/>
    <w:p w:rsidR="00467321" w:rsidRDefault="00467321" w:rsidP="002F2469">
      <w:pPr>
        <w:pStyle w:val="Figure"/>
      </w:pPr>
      <w:bookmarkStart w:id="32" w:name="_Toc5437125"/>
      <w:r w:rsidRPr="00467321">
        <w:t>Figure 6: Household food insecurity among Māori children, 2015/16</w:t>
      </w:r>
      <w:bookmarkEnd w:id="32"/>
    </w:p>
    <w:p w:rsidR="002F2469" w:rsidRDefault="002F2469" w:rsidP="002F2469">
      <w:r>
        <w:rPr>
          <w:noProof/>
          <w:lang w:eastAsia="en-NZ"/>
        </w:rPr>
        <w:drawing>
          <wp:inline distT="0" distB="0" distL="0" distR="0" wp14:anchorId="7044B351" wp14:editId="17E6C761">
            <wp:extent cx="5130165" cy="2029046"/>
            <wp:effectExtent l="0" t="0" r="0" b="9525"/>
            <wp:docPr id="17" name="Picture 17" title="Figure 6: Household food insecurity among Māori childre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2029046"/>
                    </a:xfrm>
                    <a:prstGeom prst="rect">
                      <a:avLst/>
                    </a:prstGeom>
                  </pic:spPr>
                </pic:pic>
              </a:graphicData>
            </a:graphic>
          </wp:inline>
        </w:drawing>
      </w:r>
    </w:p>
    <w:p w:rsidR="00467321" w:rsidRDefault="00467321" w:rsidP="002F2469">
      <w:pPr>
        <w:pStyle w:val="Note"/>
      </w:pPr>
      <w:r w:rsidRPr="00467321">
        <w:t>Note: See Appendix 4 for the share of the total child population in the groups being compared.</w:t>
      </w:r>
    </w:p>
    <w:p w:rsidR="002F2469" w:rsidRPr="002F2469" w:rsidRDefault="002F2469" w:rsidP="002F2469"/>
    <w:p w:rsidR="00467321" w:rsidRPr="00543D25" w:rsidRDefault="00467321" w:rsidP="002F2469">
      <w:bookmarkStart w:id="33" w:name="_bookmark15"/>
      <w:bookmarkEnd w:id="33"/>
      <w:r w:rsidRPr="00543D25">
        <w:t>Adjusting for differences in age and sex, Māori children were 1.8 times as likely to live in food-insecure households as non-Māori children (see Appendix 5). However, after also adjusting for the household</w:t>
      </w:r>
      <w:r w:rsidR="00543D25" w:rsidRPr="00543D25">
        <w:t>’</w:t>
      </w:r>
      <w:r w:rsidRPr="00543D25">
        <w:t>s self-reported gross income and the number of children</w:t>
      </w:r>
      <w:r w:rsidR="002F2469">
        <w:t xml:space="preserve"> </w:t>
      </w:r>
      <w:r w:rsidRPr="00543D25">
        <w:t>in the household, this difference was no longer statistically significant (ARR 1.</w:t>
      </w:r>
      <w:r w:rsidR="00550321">
        <w:t>2</w:t>
      </w:r>
      <w:r w:rsidRPr="00543D25">
        <w:t>). This suggests that the difference in the rate of household food insecurity between Māori and non-Māori children can largely be explained by the households of Māori children being over-represented in the lower-income group, and having, on average, more children per household. This is consistent with previous research, which found that the difference</w:t>
      </w:r>
      <w:r w:rsidR="002F2469">
        <w:t xml:space="preserve"> </w:t>
      </w:r>
      <w:r w:rsidRPr="00543D25">
        <w:t>in food insecurity across ethnic groups in New Zealand was partially due to underlying</w:t>
      </w:r>
      <w:r w:rsidR="002F2469">
        <w:t xml:space="preserve"> </w:t>
      </w:r>
      <w:r w:rsidRPr="00543D25">
        <w:t xml:space="preserve">differences in income and family structure (Carter </w:t>
      </w:r>
      <w:r w:rsidR="007464C2">
        <w:t>et al</w:t>
      </w:r>
      <w:r w:rsidRPr="00543D25">
        <w:t xml:space="preserve"> 2010).</w:t>
      </w:r>
    </w:p>
    <w:p w:rsidR="002F2469" w:rsidRDefault="002F2469" w:rsidP="002F2469"/>
    <w:p w:rsidR="00467321" w:rsidRPr="00543D25" w:rsidRDefault="00467321" w:rsidP="002F2469">
      <w:r w:rsidRPr="00543D25">
        <w:t xml:space="preserve">Recent articles on findings from qualitative research on the experience of food insecurity from a Māori perspective (Beavis </w:t>
      </w:r>
      <w:r w:rsidR="007464C2">
        <w:t>et al</w:t>
      </w:r>
      <w:r w:rsidRPr="00543D25">
        <w:t xml:space="preserve"> 2018; Huambachano 2018)</w:t>
      </w:r>
      <w:r w:rsidR="00543D25" w:rsidRPr="00543D25">
        <w:t xml:space="preserve"> </w:t>
      </w:r>
      <w:r w:rsidRPr="00543D25">
        <w:t>illustrate that sharing food, which illustrates manaakitanga</w:t>
      </w:r>
      <w:r w:rsidR="0003605E">
        <w:t>,</w:t>
      </w:r>
      <w:r w:rsidR="0003605E">
        <w:rPr>
          <w:rStyle w:val="FootnoteReference"/>
        </w:rPr>
        <w:footnoteReference w:id="5"/>
      </w:r>
      <w:r w:rsidRPr="0003605E">
        <w:t xml:space="preserve"> </w:t>
      </w:r>
      <w:r w:rsidRPr="00543D25">
        <w:t>was important to Māori</w:t>
      </w:r>
      <w:r w:rsidR="002F2469">
        <w:t xml:space="preserve"> </w:t>
      </w:r>
      <w:r w:rsidRPr="00543D25">
        <w:t xml:space="preserve">households. </w:t>
      </w:r>
      <w:r w:rsidRPr="00543D25">
        <w:lastRenderedPageBreak/>
        <w:t>It had many positive effects on hauora</w:t>
      </w:r>
      <w:r w:rsidR="0003605E">
        <w:rPr>
          <w:rStyle w:val="FootnoteReference"/>
        </w:rPr>
        <w:footnoteReference w:id="6"/>
      </w:r>
      <w:r w:rsidR="0003605E">
        <w:t xml:space="preserve"> </w:t>
      </w:r>
      <w:r w:rsidRPr="00543D25">
        <w:t>for both the givers and receivers. Over one in four (26.9%) Māori children lived in a household where the primary caregiver indicated they felt stressed because they couldn</w:t>
      </w:r>
      <w:r w:rsidR="00543D25" w:rsidRPr="00543D25">
        <w:t>’</w:t>
      </w:r>
      <w:r w:rsidRPr="00543D25">
        <w:t>t provide the food they wanted for social occasions. This compares to 14.8 percent for non-Māori children.</w:t>
      </w:r>
      <w:r w:rsidR="002F2469">
        <w:t xml:space="preserve"> </w:t>
      </w:r>
      <w:r w:rsidRPr="00543D25">
        <w:t>The qualitative studies also highlighted the importance of food sovereignty, which promotes the right of nations and peoples to control their food systems, food cultures and environment. Food insecurity is a complex issue that needs to be understood in the broader economic, political, societal, historical and cultural contexts.</w:t>
      </w:r>
    </w:p>
    <w:p w:rsidR="00467321" w:rsidRPr="00543D25" w:rsidRDefault="00467321" w:rsidP="002F2469"/>
    <w:p w:rsidR="00467321" w:rsidRDefault="00467321" w:rsidP="002F2469">
      <w:pPr>
        <w:pStyle w:val="Figure"/>
      </w:pPr>
      <w:bookmarkStart w:id="34" w:name="_Toc5437126"/>
      <w:r w:rsidRPr="00467321">
        <w:t>Figure 7: Household food insecurity among Pacific children, 2015/16</w:t>
      </w:r>
      <w:bookmarkEnd w:id="34"/>
    </w:p>
    <w:p w:rsidR="002F2469" w:rsidRPr="002F2469" w:rsidRDefault="002F2469" w:rsidP="002F2469">
      <w:r w:rsidRPr="002F2469">
        <w:rPr>
          <w:noProof/>
          <w:lang w:eastAsia="en-NZ"/>
        </w:rPr>
        <w:drawing>
          <wp:inline distT="0" distB="0" distL="0" distR="0" wp14:anchorId="0B533407" wp14:editId="11FF9E7A">
            <wp:extent cx="5130165" cy="2024661"/>
            <wp:effectExtent l="0" t="0" r="0" b="0"/>
            <wp:docPr id="18" name="Picture 18" title="Figure 7: Household food insecurity among Pacific childre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2024661"/>
                    </a:xfrm>
                    <a:prstGeom prst="rect">
                      <a:avLst/>
                    </a:prstGeom>
                  </pic:spPr>
                </pic:pic>
              </a:graphicData>
            </a:graphic>
          </wp:inline>
        </w:drawing>
      </w:r>
    </w:p>
    <w:p w:rsidR="00467321" w:rsidRPr="00467321" w:rsidRDefault="00467321" w:rsidP="0003605E">
      <w:pPr>
        <w:pStyle w:val="Note"/>
      </w:pPr>
      <w:r w:rsidRPr="00467321">
        <w:t>Note: See Appendix 4 for the share of the total child population in the groups being compared.</w:t>
      </w:r>
    </w:p>
    <w:p w:rsidR="0003605E" w:rsidRDefault="0003605E" w:rsidP="0003605E"/>
    <w:p w:rsidR="00467321" w:rsidRPr="00543D25" w:rsidRDefault="00467321" w:rsidP="0003605E">
      <w:r w:rsidRPr="00543D25">
        <w:t>Of Pacific children, 37.1 percent lived in food-insecure households. Conversely, of children in food-insecure households, over one in four (26.3%) children were Pacific (see Figure 7, Table 6). As Pacific children made up 13.5 percent of the total child population based on the New Zealand Health Survey estimates, this means Pacific children were over-represented in the food-insecure group.</w:t>
      </w:r>
    </w:p>
    <w:p w:rsidR="0003605E" w:rsidRDefault="0003605E" w:rsidP="0003605E"/>
    <w:p w:rsidR="00467321" w:rsidRPr="00543D25" w:rsidRDefault="00467321" w:rsidP="0003605E">
      <w:pPr>
        <w:keepLines/>
      </w:pPr>
      <w:r w:rsidRPr="00543D25">
        <w:t>Pacific children were 2.3 times as likely to live in food-insecure households as non-Pacific children when adjusting for the child</w:t>
      </w:r>
      <w:r w:rsidR="00543D25" w:rsidRPr="00543D25">
        <w:t>’</w:t>
      </w:r>
      <w:r w:rsidRPr="00543D25">
        <w:t>s age and sex only. After also adjusting for the household</w:t>
      </w:r>
      <w:r w:rsidR="00543D25" w:rsidRPr="00543D25">
        <w:t>’</w:t>
      </w:r>
      <w:r w:rsidRPr="00543D25">
        <w:t>s self-reported gross income and the number of children in the</w:t>
      </w:r>
      <w:r w:rsidR="0003605E">
        <w:t xml:space="preserve"> </w:t>
      </w:r>
      <w:bookmarkStart w:id="35" w:name="_bookmark16"/>
      <w:bookmarkEnd w:id="35"/>
      <w:r w:rsidRPr="00543D25">
        <w:t>household, this was 1.</w:t>
      </w:r>
      <w:r w:rsidR="00550321">
        <w:t>5</w:t>
      </w:r>
      <w:r w:rsidRPr="00543D25">
        <w:t xml:space="preserve"> times as likely for Pacific children. Although the difference was still statistically significant, considering the household</w:t>
      </w:r>
      <w:r w:rsidR="00543D25" w:rsidRPr="00543D25">
        <w:t>’</w:t>
      </w:r>
      <w:r w:rsidRPr="00543D25">
        <w:t>s income and the number of children in the household accounted for a large share of the difference between the Pacific and non-Pacific children (see Appendix 5).</w:t>
      </w:r>
    </w:p>
    <w:p w:rsidR="00467321" w:rsidRPr="00543D25" w:rsidRDefault="00467321" w:rsidP="0003605E"/>
    <w:p w:rsidR="00467321" w:rsidRPr="00543D25" w:rsidRDefault="00467321" w:rsidP="0003605E">
      <w:r w:rsidRPr="00543D25">
        <w:t>Asian and European and other children had lower rates of household food insecurity compared to non-Asian and non-European and other children respectively (see Figures</w:t>
      </w:r>
      <w:r w:rsidR="0003605E">
        <w:t> </w:t>
      </w:r>
      <w:r w:rsidRPr="00543D25">
        <w:t>8 and 9, Table 6). However, also for these ethnic groups, controlling for the household</w:t>
      </w:r>
      <w:r w:rsidR="00543D25" w:rsidRPr="00543D25">
        <w:t>’</w:t>
      </w:r>
      <w:r w:rsidRPr="00543D25">
        <w:t>s income and the number of children in the household reduced the group differences (see Appendix 5). As over 70 percent of the child population identifies with the European and other ethnic group, European and other children make up a large share of the food insecure group (see Figure 9).</w:t>
      </w:r>
    </w:p>
    <w:p w:rsidR="00467321" w:rsidRPr="00543D25" w:rsidRDefault="00467321" w:rsidP="0003605E"/>
    <w:p w:rsidR="00467321" w:rsidRPr="00467321" w:rsidRDefault="00467321" w:rsidP="000A7993">
      <w:pPr>
        <w:pStyle w:val="Figure"/>
      </w:pPr>
      <w:bookmarkStart w:id="36" w:name="_Toc5437127"/>
      <w:r w:rsidRPr="00467321">
        <w:lastRenderedPageBreak/>
        <w:t>Figure 8: Household food insecurity among Asian children, 2015/16</w:t>
      </w:r>
      <w:bookmarkEnd w:id="36"/>
    </w:p>
    <w:p w:rsidR="000A7993" w:rsidRDefault="000A7993" w:rsidP="000A7993">
      <w:r w:rsidRPr="000A7993">
        <w:rPr>
          <w:noProof/>
          <w:lang w:eastAsia="en-NZ"/>
        </w:rPr>
        <w:drawing>
          <wp:inline distT="0" distB="0" distL="0" distR="0" wp14:anchorId="0935EFB8" wp14:editId="753A1499">
            <wp:extent cx="5130165" cy="2046037"/>
            <wp:effectExtent l="0" t="0" r="0" b="0"/>
            <wp:docPr id="19" name="Picture 19" title="Figure 8: Household food insecurity among Asian childre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2046037"/>
                    </a:xfrm>
                    <a:prstGeom prst="rect">
                      <a:avLst/>
                    </a:prstGeom>
                  </pic:spPr>
                </pic:pic>
              </a:graphicData>
            </a:graphic>
          </wp:inline>
        </w:drawing>
      </w:r>
    </w:p>
    <w:p w:rsidR="00467321" w:rsidRPr="00467321" w:rsidRDefault="00467321" w:rsidP="000A7993">
      <w:pPr>
        <w:pStyle w:val="Note"/>
      </w:pPr>
      <w:r w:rsidRPr="00467321">
        <w:t>Note: See Appendix 4 for the share of the total child population in the groups being compared.</w:t>
      </w:r>
    </w:p>
    <w:p w:rsidR="00467321" w:rsidRPr="00543D25" w:rsidRDefault="00467321" w:rsidP="000A7993"/>
    <w:p w:rsidR="00467321" w:rsidRPr="00467321" w:rsidRDefault="00467321" w:rsidP="000A7993">
      <w:pPr>
        <w:pStyle w:val="Figure"/>
      </w:pPr>
      <w:bookmarkStart w:id="37" w:name="_Toc5437128"/>
      <w:r w:rsidRPr="00467321">
        <w:t>Figure 9: Household food insecurity among European and other children, 2015/16</w:t>
      </w:r>
      <w:bookmarkEnd w:id="37"/>
    </w:p>
    <w:p w:rsidR="000A7993" w:rsidRDefault="000A7993" w:rsidP="000A7993">
      <w:r w:rsidRPr="000A7993">
        <w:rPr>
          <w:noProof/>
          <w:lang w:eastAsia="en-NZ"/>
        </w:rPr>
        <w:drawing>
          <wp:inline distT="0" distB="0" distL="0" distR="0" wp14:anchorId="3804CDB1" wp14:editId="2B53DB04">
            <wp:extent cx="5130165" cy="2242255"/>
            <wp:effectExtent l="0" t="0" r="0" b="5715"/>
            <wp:docPr id="20" name="Picture 20" title="Figure 9: Household food insecurity among European and other childre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2242255"/>
                    </a:xfrm>
                    <a:prstGeom prst="rect">
                      <a:avLst/>
                    </a:prstGeom>
                  </pic:spPr>
                </pic:pic>
              </a:graphicData>
            </a:graphic>
          </wp:inline>
        </w:drawing>
      </w:r>
    </w:p>
    <w:p w:rsidR="00467321" w:rsidRDefault="00467321" w:rsidP="000A7993">
      <w:pPr>
        <w:pStyle w:val="Note"/>
      </w:pPr>
      <w:r w:rsidRPr="00467321">
        <w:t>Note: See Appendix 4 for the share of the total child population in the groups being compared.</w:t>
      </w:r>
    </w:p>
    <w:p w:rsidR="000A7993" w:rsidRPr="000A7993" w:rsidRDefault="000A7993" w:rsidP="000A7993"/>
    <w:p w:rsidR="00467321" w:rsidRPr="00467321" w:rsidRDefault="00467321" w:rsidP="000A7993">
      <w:pPr>
        <w:pStyle w:val="Table"/>
      </w:pPr>
      <w:bookmarkStart w:id="38" w:name="_bookmark17"/>
      <w:bookmarkStart w:id="39" w:name="_Toc5437194"/>
      <w:bookmarkEnd w:id="38"/>
      <w:r w:rsidRPr="00467321">
        <w:t>Table 6: Prevalence of children living in food-insecure households, by ethnicity, 2015/16</w:t>
      </w:r>
      <w:bookmarkEnd w:id="39"/>
    </w:p>
    <w:tbl>
      <w:tblPr>
        <w:tblW w:w="0" w:type="auto"/>
        <w:tblInd w:w="5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57" w:type="dxa"/>
          <w:right w:w="57" w:type="dxa"/>
        </w:tblCellMar>
        <w:tblLook w:val="01E0" w:firstRow="1" w:lastRow="1" w:firstColumn="1" w:lastColumn="1" w:noHBand="0" w:noVBand="0"/>
      </w:tblPr>
      <w:tblGrid>
        <w:gridCol w:w="1985"/>
        <w:gridCol w:w="1843"/>
        <w:gridCol w:w="1346"/>
        <w:gridCol w:w="1347"/>
        <w:gridCol w:w="1559"/>
      </w:tblGrid>
      <w:tr w:rsidR="00467321" w:rsidRPr="000A7993" w:rsidTr="000A7993">
        <w:trPr>
          <w:cantSplit/>
        </w:trPr>
        <w:tc>
          <w:tcPr>
            <w:tcW w:w="1985" w:type="dxa"/>
            <w:tcBorders>
              <w:top w:val="nil"/>
              <w:bottom w:val="nil"/>
            </w:tcBorders>
            <w:shd w:val="clear" w:color="auto" w:fill="D9D9D9" w:themeFill="background1" w:themeFillShade="D9"/>
          </w:tcPr>
          <w:p w:rsidR="00467321" w:rsidRPr="000A7993" w:rsidRDefault="00467321" w:rsidP="000A7993">
            <w:pPr>
              <w:pStyle w:val="TableText"/>
              <w:rPr>
                <w:b/>
              </w:rPr>
            </w:pPr>
          </w:p>
        </w:tc>
        <w:tc>
          <w:tcPr>
            <w:tcW w:w="1843" w:type="dxa"/>
            <w:tcBorders>
              <w:top w:val="nil"/>
              <w:bottom w:val="nil"/>
            </w:tcBorders>
            <w:shd w:val="clear" w:color="auto" w:fill="D9D9D9" w:themeFill="background1" w:themeFillShade="D9"/>
          </w:tcPr>
          <w:p w:rsidR="00467321" w:rsidRPr="000A7993" w:rsidRDefault="00467321" w:rsidP="000A7993">
            <w:pPr>
              <w:pStyle w:val="TableText"/>
              <w:jc w:val="center"/>
              <w:rPr>
                <w:b/>
              </w:rPr>
            </w:pPr>
            <w:r w:rsidRPr="000A7993">
              <w:rPr>
                <w:b/>
              </w:rPr>
              <w:t>Children in households with food insecurity (%)</w:t>
            </w:r>
          </w:p>
        </w:tc>
        <w:tc>
          <w:tcPr>
            <w:tcW w:w="1346" w:type="dxa"/>
            <w:tcBorders>
              <w:top w:val="nil"/>
              <w:bottom w:val="nil"/>
            </w:tcBorders>
            <w:shd w:val="clear" w:color="auto" w:fill="D9D9D9" w:themeFill="background1" w:themeFillShade="D9"/>
          </w:tcPr>
          <w:p w:rsidR="00467321" w:rsidRPr="000A7993" w:rsidRDefault="00467321" w:rsidP="000A7993">
            <w:pPr>
              <w:pStyle w:val="TableText"/>
              <w:jc w:val="center"/>
              <w:rPr>
                <w:b/>
              </w:rPr>
            </w:pPr>
            <w:r w:rsidRPr="000A7993">
              <w:rPr>
                <w:b/>
              </w:rPr>
              <w:t>95% CI</w:t>
            </w:r>
          </w:p>
        </w:tc>
        <w:tc>
          <w:tcPr>
            <w:tcW w:w="1347" w:type="dxa"/>
            <w:tcBorders>
              <w:top w:val="nil"/>
              <w:bottom w:val="nil"/>
            </w:tcBorders>
            <w:shd w:val="clear" w:color="auto" w:fill="D9D9D9" w:themeFill="background1" w:themeFillShade="D9"/>
          </w:tcPr>
          <w:p w:rsidR="00467321" w:rsidRPr="000A7993" w:rsidRDefault="00467321" w:rsidP="000A7993">
            <w:pPr>
              <w:pStyle w:val="TableText"/>
              <w:jc w:val="center"/>
              <w:rPr>
                <w:b/>
              </w:rPr>
            </w:pPr>
            <w:r w:rsidRPr="000A7993">
              <w:rPr>
                <w:b/>
              </w:rPr>
              <w:t>Estimated number of children</w:t>
            </w:r>
          </w:p>
        </w:tc>
        <w:tc>
          <w:tcPr>
            <w:tcW w:w="1559" w:type="dxa"/>
            <w:tcBorders>
              <w:top w:val="nil"/>
              <w:bottom w:val="nil"/>
            </w:tcBorders>
            <w:shd w:val="clear" w:color="auto" w:fill="D9D9D9" w:themeFill="background1" w:themeFillShade="D9"/>
          </w:tcPr>
          <w:p w:rsidR="00467321" w:rsidRPr="000A7993" w:rsidRDefault="00467321" w:rsidP="000A7993">
            <w:pPr>
              <w:pStyle w:val="TableText"/>
              <w:jc w:val="center"/>
              <w:rPr>
                <w:b/>
              </w:rPr>
            </w:pPr>
            <w:r w:rsidRPr="000A7993">
              <w:rPr>
                <w:b/>
              </w:rPr>
              <w:t>95% CI</w:t>
            </w:r>
          </w:p>
        </w:tc>
      </w:tr>
      <w:tr w:rsidR="00467321" w:rsidRPr="00467321" w:rsidTr="000A7993">
        <w:trPr>
          <w:cantSplit/>
        </w:trPr>
        <w:tc>
          <w:tcPr>
            <w:tcW w:w="1985" w:type="dxa"/>
            <w:tcBorders>
              <w:top w:val="nil"/>
            </w:tcBorders>
            <w:shd w:val="clear" w:color="auto" w:fill="auto"/>
          </w:tcPr>
          <w:p w:rsidR="00467321" w:rsidRPr="00543D25" w:rsidRDefault="00467321" w:rsidP="000A7993">
            <w:pPr>
              <w:pStyle w:val="TableText"/>
            </w:pPr>
            <w:r w:rsidRPr="00543D25">
              <w:t>Total child population</w:t>
            </w:r>
          </w:p>
        </w:tc>
        <w:tc>
          <w:tcPr>
            <w:tcW w:w="1843" w:type="dxa"/>
            <w:tcBorders>
              <w:top w:val="nil"/>
            </w:tcBorders>
            <w:shd w:val="clear" w:color="auto" w:fill="auto"/>
          </w:tcPr>
          <w:p w:rsidR="00467321" w:rsidRPr="00543D25" w:rsidRDefault="00467321" w:rsidP="000A7993">
            <w:pPr>
              <w:pStyle w:val="TableText"/>
              <w:tabs>
                <w:tab w:val="decimal" w:pos="878"/>
              </w:tabs>
            </w:pPr>
            <w:r w:rsidRPr="00543D25">
              <w:t>19.0</w:t>
            </w:r>
          </w:p>
        </w:tc>
        <w:tc>
          <w:tcPr>
            <w:tcW w:w="1346" w:type="dxa"/>
            <w:tcBorders>
              <w:top w:val="nil"/>
            </w:tcBorders>
            <w:shd w:val="clear" w:color="auto" w:fill="auto"/>
          </w:tcPr>
          <w:p w:rsidR="00467321" w:rsidRPr="00543D25" w:rsidRDefault="00467321" w:rsidP="000A7993">
            <w:pPr>
              <w:pStyle w:val="TableText"/>
              <w:jc w:val="center"/>
            </w:pPr>
            <w:r w:rsidRPr="00543D25">
              <w:t>17.5–20.4</w:t>
            </w:r>
          </w:p>
        </w:tc>
        <w:tc>
          <w:tcPr>
            <w:tcW w:w="1347" w:type="dxa"/>
            <w:tcBorders>
              <w:top w:val="nil"/>
            </w:tcBorders>
            <w:shd w:val="clear" w:color="auto" w:fill="auto"/>
          </w:tcPr>
          <w:p w:rsidR="00467321" w:rsidRPr="00543D25" w:rsidRDefault="00467321" w:rsidP="000A7993">
            <w:pPr>
              <w:pStyle w:val="TableText"/>
              <w:tabs>
                <w:tab w:val="decimal" w:pos="921"/>
              </w:tabs>
            </w:pPr>
            <w:r w:rsidRPr="00543D25">
              <w:t>174,000</w:t>
            </w:r>
          </w:p>
        </w:tc>
        <w:tc>
          <w:tcPr>
            <w:tcW w:w="1559" w:type="dxa"/>
            <w:tcBorders>
              <w:top w:val="nil"/>
            </w:tcBorders>
            <w:shd w:val="clear" w:color="auto" w:fill="auto"/>
          </w:tcPr>
          <w:p w:rsidR="00467321" w:rsidRPr="00543D25" w:rsidRDefault="00467321" w:rsidP="000A7993">
            <w:pPr>
              <w:pStyle w:val="TableText"/>
              <w:tabs>
                <w:tab w:val="decimal" w:pos="709"/>
              </w:tabs>
            </w:pPr>
            <w:r w:rsidRPr="00543D25">
              <w:t>161,000–188,000</w:t>
            </w:r>
          </w:p>
        </w:tc>
      </w:tr>
      <w:tr w:rsidR="00467321" w:rsidRPr="00467321" w:rsidTr="000A7993">
        <w:trPr>
          <w:cantSplit/>
        </w:trPr>
        <w:tc>
          <w:tcPr>
            <w:tcW w:w="1985" w:type="dxa"/>
            <w:shd w:val="clear" w:color="auto" w:fill="auto"/>
          </w:tcPr>
          <w:p w:rsidR="00467321" w:rsidRPr="00543D25" w:rsidRDefault="00467321" w:rsidP="000A7993">
            <w:pPr>
              <w:pStyle w:val="TableText"/>
            </w:pPr>
            <w:r w:rsidRPr="00543D25">
              <w:t>Māori</w:t>
            </w:r>
          </w:p>
        </w:tc>
        <w:tc>
          <w:tcPr>
            <w:tcW w:w="1843" w:type="dxa"/>
            <w:shd w:val="clear" w:color="auto" w:fill="auto"/>
          </w:tcPr>
          <w:p w:rsidR="00467321" w:rsidRPr="00543D25" w:rsidRDefault="00467321" w:rsidP="000A7993">
            <w:pPr>
              <w:pStyle w:val="TableText"/>
              <w:tabs>
                <w:tab w:val="decimal" w:pos="878"/>
              </w:tabs>
            </w:pPr>
            <w:r w:rsidRPr="00543D25">
              <w:t>28.6</w:t>
            </w:r>
          </w:p>
        </w:tc>
        <w:tc>
          <w:tcPr>
            <w:tcW w:w="1346" w:type="dxa"/>
            <w:shd w:val="clear" w:color="auto" w:fill="auto"/>
          </w:tcPr>
          <w:p w:rsidR="00467321" w:rsidRPr="00543D25" w:rsidRDefault="00467321" w:rsidP="000A7993">
            <w:pPr>
              <w:pStyle w:val="TableText"/>
              <w:jc w:val="center"/>
            </w:pPr>
            <w:r w:rsidRPr="00543D25">
              <w:t>25.4–31.7</w:t>
            </w:r>
          </w:p>
        </w:tc>
        <w:tc>
          <w:tcPr>
            <w:tcW w:w="1347" w:type="dxa"/>
            <w:shd w:val="clear" w:color="auto" w:fill="auto"/>
          </w:tcPr>
          <w:p w:rsidR="00467321" w:rsidRPr="00543D25" w:rsidRDefault="00467321" w:rsidP="000A7993">
            <w:pPr>
              <w:pStyle w:val="TableText"/>
              <w:tabs>
                <w:tab w:val="decimal" w:pos="921"/>
              </w:tabs>
            </w:pPr>
            <w:r w:rsidRPr="00543D25">
              <w:t>68,000</w:t>
            </w:r>
          </w:p>
        </w:tc>
        <w:tc>
          <w:tcPr>
            <w:tcW w:w="1559" w:type="dxa"/>
            <w:shd w:val="clear" w:color="auto" w:fill="auto"/>
          </w:tcPr>
          <w:p w:rsidR="00467321" w:rsidRPr="00543D25" w:rsidRDefault="00467321" w:rsidP="000A7993">
            <w:pPr>
              <w:pStyle w:val="TableText"/>
              <w:tabs>
                <w:tab w:val="decimal" w:pos="709"/>
              </w:tabs>
            </w:pPr>
            <w:r w:rsidRPr="00543D25">
              <w:t>60,000–75,000</w:t>
            </w:r>
          </w:p>
        </w:tc>
      </w:tr>
      <w:tr w:rsidR="00467321" w:rsidRPr="00467321" w:rsidTr="000A7993">
        <w:trPr>
          <w:cantSplit/>
        </w:trPr>
        <w:tc>
          <w:tcPr>
            <w:tcW w:w="1985" w:type="dxa"/>
            <w:shd w:val="clear" w:color="auto" w:fill="auto"/>
          </w:tcPr>
          <w:p w:rsidR="00467321" w:rsidRPr="00543D25" w:rsidRDefault="00467321" w:rsidP="000A7993">
            <w:pPr>
              <w:pStyle w:val="TableText"/>
            </w:pPr>
            <w:r w:rsidRPr="00543D25">
              <w:t>Pacific</w:t>
            </w:r>
          </w:p>
        </w:tc>
        <w:tc>
          <w:tcPr>
            <w:tcW w:w="1843" w:type="dxa"/>
            <w:shd w:val="clear" w:color="auto" w:fill="auto"/>
          </w:tcPr>
          <w:p w:rsidR="00467321" w:rsidRPr="00543D25" w:rsidRDefault="00467321" w:rsidP="000A7993">
            <w:pPr>
              <w:pStyle w:val="TableText"/>
              <w:tabs>
                <w:tab w:val="decimal" w:pos="878"/>
              </w:tabs>
            </w:pPr>
            <w:r w:rsidRPr="00543D25">
              <w:t>37.1</w:t>
            </w:r>
          </w:p>
        </w:tc>
        <w:tc>
          <w:tcPr>
            <w:tcW w:w="1346" w:type="dxa"/>
            <w:shd w:val="clear" w:color="auto" w:fill="auto"/>
          </w:tcPr>
          <w:p w:rsidR="00467321" w:rsidRPr="00543D25" w:rsidRDefault="00467321" w:rsidP="000A7993">
            <w:pPr>
              <w:pStyle w:val="TableText"/>
              <w:jc w:val="center"/>
            </w:pPr>
            <w:r w:rsidRPr="00543D25">
              <w:t>32.5–41.6</w:t>
            </w:r>
          </w:p>
        </w:tc>
        <w:tc>
          <w:tcPr>
            <w:tcW w:w="1347" w:type="dxa"/>
            <w:shd w:val="clear" w:color="auto" w:fill="auto"/>
          </w:tcPr>
          <w:p w:rsidR="00467321" w:rsidRPr="00543D25" w:rsidRDefault="00467321" w:rsidP="000A7993">
            <w:pPr>
              <w:pStyle w:val="TableText"/>
              <w:tabs>
                <w:tab w:val="decimal" w:pos="921"/>
              </w:tabs>
            </w:pPr>
            <w:r w:rsidRPr="00543D25">
              <w:t>46,000</w:t>
            </w:r>
          </w:p>
        </w:tc>
        <w:tc>
          <w:tcPr>
            <w:tcW w:w="1559" w:type="dxa"/>
            <w:shd w:val="clear" w:color="auto" w:fill="auto"/>
          </w:tcPr>
          <w:p w:rsidR="00467321" w:rsidRPr="00543D25" w:rsidRDefault="00467321" w:rsidP="000A7993">
            <w:pPr>
              <w:pStyle w:val="TableText"/>
              <w:tabs>
                <w:tab w:val="decimal" w:pos="709"/>
              </w:tabs>
            </w:pPr>
            <w:r w:rsidRPr="00543D25">
              <w:t>36,000–56,000</w:t>
            </w:r>
          </w:p>
        </w:tc>
      </w:tr>
      <w:tr w:rsidR="00467321" w:rsidRPr="00467321" w:rsidTr="000A7993">
        <w:trPr>
          <w:cantSplit/>
        </w:trPr>
        <w:tc>
          <w:tcPr>
            <w:tcW w:w="1985" w:type="dxa"/>
            <w:shd w:val="clear" w:color="auto" w:fill="auto"/>
          </w:tcPr>
          <w:p w:rsidR="00467321" w:rsidRPr="00543D25" w:rsidRDefault="00467321" w:rsidP="000A7993">
            <w:pPr>
              <w:pStyle w:val="TableText"/>
            </w:pPr>
            <w:r w:rsidRPr="00543D25">
              <w:t>Asian</w:t>
            </w:r>
          </w:p>
        </w:tc>
        <w:tc>
          <w:tcPr>
            <w:tcW w:w="1843" w:type="dxa"/>
            <w:shd w:val="clear" w:color="auto" w:fill="auto"/>
          </w:tcPr>
          <w:p w:rsidR="00467321" w:rsidRPr="00543D25" w:rsidRDefault="00467321" w:rsidP="000A7993">
            <w:pPr>
              <w:pStyle w:val="TableText"/>
              <w:tabs>
                <w:tab w:val="decimal" w:pos="878"/>
              </w:tabs>
            </w:pPr>
            <w:r w:rsidRPr="00543D25">
              <w:t>8.5</w:t>
            </w:r>
          </w:p>
        </w:tc>
        <w:tc>
          <w:tcPr>
            <w:tcW w:w="1346" w:type="dxa"/>
            <w:shd w:val="clear" w:color="auto" w:fill="auto"/>
          </w:tcPr>
          <w:p w:rsidR="00467321" w:rsidRPr="00543D25" w:rsidRDefault="00467321" w:rsidP="000A7993">
            <w:pPr>
              <w:pStyle w:val="TableText"/>
              <w:jc w:val="center"/>
            </w:pPr>
            <w:r w:rsidRPr="00543D25">
              <w:t>5.2–11.8</w:t>
            </w:r>
          </w:p>
        </w:tc>
        <w:tc>
          <w:tcPr>
            <w:tcW w:w="1347" w:type="dxa"/>
            <w:shd w:val="clear" w:color="auto" w:fill="auto"/>
          </w:tcPr>
          <w:p w:rsidR="00467321" w:rsidRPr="00543D25" w:rsidRDefault="00467321" w:rsidP="000A7993">
            <w:pPr>
              <w:pStyle w:val="TableText"/>
              <w:tabs>
                <w:tab w:val="decimal" w:pos="921"/>
              </w:tabs>
            </w:pPr>
            <w:r w:rsidRPr="00543D25">
              <w:t>10,000</w:t>
            </w:r>
          </w:p>
        </w:tc>
        <w:tc>
          <w:tcPr>
            <w:tcW w:w="1559" w:type="dxa"/>
            <w:shd w:val="clear" w:color="auto" w:fill="auto"/>
          </w:tcPr>
          <w:p w:rsidR="00467321" w:rsidRPr="00543D25" w:rsidRDefault="00467321" w:rsidP="000A7993">
            <w:pPr>
              <w:pStyle w:val="TableText"/>
              <w:tabs>
                <w:tab w:val="decimal" w:pos="709"/>
              </w:tabs>
            </w:pPr>
            <w:r w:rsidRPr="00543D25">
              <w:t>6,000–14,000</w:t>
            </w:r>
          </w:p>
        </w:tc>
      </w:tr>
      <w:tr w:rsidR="00467321" w:rsidRPr="00467321" w:rsidTr="000A7993">
        <w:trPr>
          <w:cantSplit/>
        </w:trPr>
        <w:tc>
          <w:tcPr>
            <w:tcW w:w="1985" w:type="dxa"/>
            <w:shd w:val="clear" w:color="auto" w:fill="auto"/>
          </w:tcPr>
          <w:p w:rsidR="00467321" w:rsidRPr="00543D25" w:rsidRDefault="00467321" w:rsidP="000A7993">
            <w:pPr>
              <w:pStyle w:val="TableText"/>
            </w:pPr>
            <w:r w:rsidRPr="00543D25">
              <w:t>European/other</w:t>
            </w:r>
          </w:p>
        </w:tc>
        <w:tc>
          <w:tcPr>
            <w:tcW w:w="1843" w:type="dxa"/>
            <w:shd w:val="clear" w:color="auto" w:fill="auto"/>
          </w:tcPr>
          <w:p w:rsidR="00467321" w:rsidRPr="00543D25" w:rsidRDefault="00467321" w:rsidP="000A7993">
            <w:pPr>
              <w:pStyle w:val="TableText"/>
              <w:tabs>
                <w:tab w:val="decimal" w:pos="878"/>
              </w:tabs>
            </w:pPr>
            <w:r w:rsidRPr="00543D25">
              <w:t>15.4</w:t>
            </w:r>
          </w:p>
        </w:tc>
        <w:tc>
          <w:tcPr>
            <w:tcW w:w="1346" w:type="dxa"/>
            <w:shd w:val="clear" w:color="auto" w:fill="auto"/>
          </w:tcPr>
          <w:p w:rsidR="00467321" w:rsidRPr="00543D25" w:rsidRDefault="00467321" w:rsidP="000A7993">
            <w:pPr>
              <w:pStyle w:val="TableText"/>
              <w:jc w:val="center"/>
            </w:pPr>
            <w:r w:rsidRPr="00543D25">
              <w:t>13.8–16.9</w:t>
            </w:r>
          </w:p>
        </w:tc>
        <w:tc>
          <w:tcPr>
            <w:tcW w:w="1347" w:type="dxa"/>
            <w:shd w:val="clear" w:color="auto" w:fill="auto"/>
          </w:tcPr>
          <w:p w:rsidR="00467321" w:rsidRPr="00543D25" w:rsidRDefault="00467321" w:rsidP="000A7993">
            <w:pPr>
              <w:pStyle w:val="TableText"/>
              <w:tabs>
                <w:tab w:val="decimal" w:pos="921"/>
              </w:tabs>
            </w:pPr>
            <w:r w:rsidRPr="00543D25">
              <w:t>100,000</w:t>
            </w:r>
          </w:p>
        </w:tc>
        <w:tc>
          <w:tcPr>
            <w:tcW w:w="1559" w:type="dxa"/>
            <w:shd w:val="clear" w:color="auto" w:fill="auto"/>
          </w:tcPr>
          <w:p w:rsidR="00467321" w:rsidRPr="00543D25" w:rsidRDefault="00467321" w:rsidP="000A7993">
            <w:pPr>
              <w:pStyle w:val="TableText"/>
              <w:tabs>
                <w:tab w:val="decimal" w:pos="709"/>
              </w:tabs>
            </w:pPr>
            <w:r w:rsidRPr="00543D25">
              <w:t>89,000–112,000</w:t>
            </w:r>
          </w:p>
        </w:tc>
      </w:tr>
    </w:tbl>
    <w:p w:rsidR="00467321" w:rsidRPr="00467321" w:rsidRDefault="00467321" w:rsidP="000A7993">
      <w:pPr>
        <w:pStyle w:val="Note"/>
      </w:pPr>
      <w:r w:rsidRPr="00467321">
        <w:t>Notes: This table presents unadjusted prevalence estimates, reflecting the actual percentage of the population affected in 2015/16.</w:t>
      </w:r>
    </w:p>
    <w:p w:rsidR="00467321" w:rsidRDefault="00467321" w:rsidP="000A7993">
      <w:pPr>
        <w:pStyle w:val="Note"/>
      </w:pPr>
      <w:r w:rsidRPr="00467321">
        <w:t>This table uses the total response measure of ethnicity. Using this measure, children whose caregivers reported more than one ethnic group are counted once in each group; this means that the sum of the estimated number of children for all ethnic groups is greater than the estimated number for the total child population (174,000).</w:t>
      </w:r>
    </w:p>
    <w:p w:rsidR="000A7993" w:rsidRPr="000A7993" w:rsidRDefault="000A7993" w:rsidP="000A7993"/>
    <w:p w:rsidR="00467321" w:rsidRPr="00467321" w:rsidRDefault="00467321" w:rsidP="000A7993">
      <w:pPr>
        <w:pStyle w:val="Heading3"/>
      </w:pPr>
      <w:r w:rsidRPr="00467321">
        <w:lastRenderedPageBreak/>
        <w:t>Children in sole-parent households were more likely to be food-insecure</w:t>
      </w:r>
    </w:p>
    <w:p w:rsidR="00467321" w:rsidRDefault="00467321" w:rsidP="000A7993">
      <w:r w:rsidRPr="00543D25">
        <w:t>Rates of household food insecurity were higher among children in households with more than two children. This is consistent with findings from the Child Nutrition Survey in 2002, which indicated that the prevalence of food insecurity was higher for households with more children (Ministry of Health 2003). Of children in food-insecure households, over half (52.8%) lived in households with three or more children (see Figure</w:t>
      </w:r>
      <w:r w:rsidR="000A7993">
        <w:t> </w:t>
      </w:r>
      <w:r w:rsidRPr="00543D25">
        <w:t>10, Table 7).</w:t>
      </w:r>
    </w:p>
    <w:p w:rsidR="000A7993" w:rsidRPr="00543D25" w:rsidRDefault="000A7993" w:rsidP="000A7993"/>
    <w:p w:rsidR="00467321" w:rsidRDefault="00467321" w:rsidP="000A7993">
      <w:pPr>
        <w:pStyle w:val="Figure"/>
      </w:pPr>
      <w:bookmarkStart w:id="40" w:name="_Toc5437129"/>
      <w:r w:rsidRPr="00467321">
        <w:t>Figure 10: Household food insecurity among children and number of children in the household, 2015/16</w:t>
      </w:r>
      <w:bookmarkEnd w:id="40"/>
    </w:p>
    <w:p w:rsidR="000A7993" w:rsidRPr="000A7993" w:rsidRDefault="000A7993" w:rsidP="000A7993">
      <w:r w:rsidRPr="000A7993">
        <w:rPr>
          <w:noProof/>
          <w:lang w:eastAsia="en-NZ"/>
        </w:rPr>
        <w:drawing>
          <wp:inline distT="0" distB="0" distL="0" distR="0" wp14:anchorId="0284DCB8" wp14:editId="3E141D7D">
            <wp:extent cx="5130165" cy="3429976"/>
            <wp:effectExtent l="0" t="0" r="0" b="0"/>
            <wp:docPr id="21" name="Picture 21" title="Figure 10: Household food insecurity among children and number of children in the househol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0165" cy="3429976"/>
                    </a:xfrm>
                    <a:prstGeom prst="rect">
                      <a:avLst/>
                    </a:prstGeom>
                  </pic:spPr>
                </pic:pic>
              </a:graphicData>
            </a:graphic>
          </wp:inline>
        </w:drawing>
      </w:r>
    </w:p>
    <w:p w:rsidR="00467321" w:rsidRDefault="00467321" w:rsidP="000A7993">
      <w:pPr>
        <w:pStyle w:val="Note"/>
      </w:pPr>
      <w:r w:rsidRPr="00467321">
        <w:t>Note: See Appendix 4 for the share of the total child population in the groups being compared.</w:t>
      </w:r>
    </w:p>
    <w:p w:rsidR="000A7993" w:rsidRPr="000A7993" w:rsidRDefault="000A7993" w:rsidP="000A7993"/>
    <w:p w:rsidR="00467321" w:rsidRPr="00543D25" w:rsidRDefault="00467321" w:rsidP="0000114A">
      <w:bookmarkStart w:id="41" w:name="_bookmark18"/>
      <w:bookmarkEnd w:id="41"/>
      <w:r w:rsidRPr="00543D25">
        <w:t xml:space="preserve">Rates of household food insecurity were also significantly higher for children living with sole parents. Of children living with sole parents, 38.0 percent lived in </w:t>
      </w:r>
      <w:r w:rsidR="00C11D2D">
        <w:t>food-insecure</w:t>
      </w:r>
      <w:r w:rsidRPr="00543D25">
        <w:t xml:space="preserve"> households (see Figure 11, Table 7).</w:t>
      </w:r>
      <w:r w:rsidR="0000114A">
        <w:rPr>
          <w:rStyle w:val="FootnoteReference"/>
        </w:rPr>
        <w:footnoteReference w:id="7"/>
      </w:r>
      <w:r w:rsidR="0000114A">
        <w:t xml:space="preserve"> </w:t>
      </w:r>
      <w:r w:rsidRPr="00543D25">
        <w:t>Earlier work in New Zealand found that</w:t>
      </w:r>
      <w:r w:rsidR="0000114A">
        <w:t xml:space="preserve"> </w:t>
      </w:r>
      <w:r w:rsidRPr="00543D25">
        <w:t>37.2</w:t>
      </w:r>
      <w:r w:rsidR="0000114A">
        <w:t> </w:t>
      </w:r>
      <w:r w:rsidRPr="00543D25">
        <w:t xml:space="preserve">percent of household with sole parents were food-insecure in 2004/05 (Carter </w:t>
      </w:r>
      <w:r w:rsidR="007464C2">
        <w:t>et al</w:t>
      </w:r>
      <w:r w:rsidRPr="00543D25">
        <w:t xml:space="preserve"> 2010). However, three in four children lived in couple parent households, thereby making up a much larger share of the child population. When considering only children in food-insecure households, half lived in sole-parent households and half in couple-parent households (see Figure 11).</w:t>
      </w:r>
    </w:p>
    <w:p w:rsidR="00467321" w:rsidRPr="00543D25" w:rsidRDefault="00467321" w:rsidP="0000114A"/>
    <w:p w:rsidR="00467321" w:rsidRDefault="00467321" w:rsidP="0000114A">
      <w:pPr>
        <w:pStyle w:val="Figure"/>
      </w:pPr>
      <w:bookmarkStart w:id="42" w:name="_Toc5437130"/>
      <w:r w:rsidRPr="00467321">
        <w:lastRenderedPageBreak/>
        <w:t>Figure 11: Household food insecurity among children with sole and couple parents, 2015/16</w:t>
      </w:r>
      <w:bookmarkEnd w:id="42"/>
    </w:p>
    <w:p w:rsidR="0000114A" w:rsidRDefault="0000114A" w:rsidP="0000114A">
      <w:pPr>
        <w:keepNext/>
      </w:pPr>
      <w:r w:rsidRPr="0000114A">
        <w:rPr>
          <w:noProof/>
          <w:lang w:eastAsia="en-NZ"/>
        </w:rPr>
        <w:drawing>
          <wp:inline distT="0" distB="0" distL="0" distR="0" wp14:anchorId="44C65D4D" wp14:editId="08F61B48">
            <wp:extent cx="5130165" cy="2052066"/>
            <wp:effectExtent l="0" t="0" r="0" b="5715"/>
            <wp:docPr id="22" name="Picture 22" title="Figure 11: Household food insecurity among children with sole and couple parent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165" cy="2052066"/>
                    </a:xfrm>
                    <a:prstGeom prst="rect">
                      <a:avLst/>
                    </a:prstGeom>
                  </pic:spPr>
                </pic:pic>
              </a:graphicData>
            </a:graphic>
          </wp:inline>
        </w:drawing>
      </w:r>
    </w:p>
    <w:p w:rsidR="00467321" w:rsidRPr="00467321" w:rsidRDefault="00467321" w:rsidP="0000114A">
      <w:pPr>
        <w:pStyle w:val="Note"/>
      </w:pPr>
      <w:r w:rsidRPr="00467321">
        <w:t>Note: See Appendix 4 for the share of the total child population in the groups being compared.</w:t>
      </w:r>
    </w:p>
    <w:p w:rsidR="0000114A" w:rsidRDefault="0000114A" w:rsidP="0000114A"/>
    <w:p w:rsidR="00467321" w:rsidRPr="00543D25" w:rsidRDefault="00467321" w:rsidP="0000114A">
      <w:r w:rsidRPr="00543D25">
        <w:t>Adjusted for their age and sex, children living with sole parents were 3.1 times as likely to live in a food-insecure household as children of couple parents. After also adjusting for the number of children in the household and gross household income, this</w:t>
      </w:r>
      <w:r w:rsidR="00543D25" w:rsidRPr="00543D25">
        <w:t xml:space="preserve"> </w:t>
      </w:r>
      <w:r w:rsidRPr="00543D25">
        <w:t xml:space="preserve">declined to children living with sole parents being 1.4 times as likely to live in a </w:t>
      </w:r>
      <w:r w:rsidR="00C11D2D">
        <w:t>food-insecure</w:t>
      </w:r>
      <w:r w:rsidRPr="00543D25">
        <w:t xml:space="preserve"> household (see Appendix 5). Again household income was able to account for a large part of the difference in household food insecurity between groups.</w:t>
      </w:r>
    </w:p>
    <w:p w:rsidR="00467321" w:rsidRPr="00543D25" w:rsidRDefault="00467321" w:rsidP="0000114A"/>
    <w:p w:rsidR="00467321" w:rsidRPr="00467321" w:rsidRDefault="00467321" w:rsidP="00077B77">
      <w:pPr>
        <w:pStyle w:val="Table"/>
      </w:pPr>
      <w:bookmarkStart w:id="43" w:name="_bookmark19"/>
      <w:bookmarkStart w:id="44" w:name="_Toc5437195"/>
      <w:bookmarkEnd w:id="43"/>
      <w:r w:rsidRPr="00467321">
        <w:t>Table 7: Prevalence of children living in food-insecure households, by household composition, 2015/16</w:t>
      </w:r>
      <w:bookmarkEnd w:id="44"/>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552"/>
        <w:gridCol w:w="1843"/>
        <w:gridCol w:w="1063"/>
        <w:gridCol w:w="1063"/>
        <w:gridCol w:w="1559"/>
      </w:tblGrid>
      <w:tr w:rsidR="00467321" w:rsidRPr="00077B77" w:rsidTr="00077B77">
        <w:trPr>
          <w:cantSplit/>
        </w:trPr>
        <w:tc>
          <w:tcPr>
            <w:tcW w:w="2552" w:type="dxa"/>
            <w:tcBorders>
              <w:top w:val="nil"/>
              <w:bottom w:val="nil"/>
            </w:tcBorders>
            <w:shd w:val="clear" w:color="auto" w:fill="D9D9D9" w:themeFill="background1" w:themeFillShade="D9"/>
          </w:tcPr>
          <w:p w:rsidR="00467321" w:rsidRPr="00077B77" w:rsidRDefault="00467321" w:rsidP="00077B77">
            <w:pPr>
              <w:pStyle w:val="TableText"/>
              <w:rPr>
                <w:b/>
              </w:rPr>
            </w:pPr>
          </w:p>
        </w:tc>
        <w:tc>
          <w:tcPr>
            <w:tcW w:w="1843" w:type="dxa"/>
            <w:tcBorders>
              <w:top w:val="nil"/>
              <w:bottom w:val="nil"/>
            </w:tcBorders>
            <w:shd w:val="clear" w:color="auto" w:fill="D9D9D9" w:themeFill="background1" w:themeFillShade="D9"/>
          </w:tcPr>
          <w:p w:rsidR="00467321" w:rsidRPr="00077B77" w:rsidRDefault="00467321" w:rsidP="00077B77">
            <w:pPr>
              <w:pStyle w:val="TableText"/>
              <w:jc w:val="center"/>
              <w:rPr>
                <w:b/>
              </w:rPr>
            </w:pPr>
            <w:r w:rsidRPr="00077B77">
              <w:rPr>
                <w:b/>
              </w:rPr>
              <w:t>Children in households with food insecurity (%)</w:t>
            </w:r>
          </w:p>
        </w:tc>
        <w:tc>
          <w:tcPr>
            <w:tcW w:w="1063" w:type="dxa"/>
            <w:tcBorders>
              <w:top w:val="nil"/>
              <w:bottom w:val="nil"/>
            </w:tcBorders>
            <w:shd w:val="clear" w:color="auto" w:fill="D9D9D9" w:themeFill="background1" w:themeFillShade="D9"/>
          </w:tcPr>
          <w:p w:rsidR="00467321" w:rsidRPr="00077B77" w:rsidRDefault="00467321" w:rsidP="00077B77">
            <w:pPr>
              <w:pStyle w:val="TableText"/>
              <w:jc w:val="center"/>
              <w:rPr>
                <w:b/>
              </w:rPr>
            </w:pPr>
            <w:r w:rsidRPr="00077B77">
              <w:rPr>
                <w:b/>
              </w:rPr>
              <w:t>95% CI</w:t>
            </w:r>
          </w:p>
        </w:tc>
        <w:tc>
          <w:tcPr>
            <w:tcW w:w="1063" w:type="dxa"/>
            <w:tcBorders>
              <w:top w:val="nil"/>
              <w:bottom w:val="nil"/>
            </w:tcBorders>
            <w:shd w:val="clear" w:color="auto" w:fill="D9D9D9" w:themeFill="background1" w:themeFillShade="D9"/>
          </w:tcPr>
          <w:p w:rsidR="00467321" w:rsidRPr="00077B77" w:rsidRDefault="00467321" w:rsidP="00077B77">
            <w:pPr>
              <w:pStyle w:val="TableText"/>
              <w:jc w:val="center"/>
              <w:rPr>
                <w:b/>
              </w:rPr>
            </w:pPr>
            <w:r w:rsidRPr="00077B77">
              <w:rPr>
                <w:b/>
              </w:rPr>
              <w:t>Estimated number of children</w:t>
            </w:r>
          </w:p>
        </w:tc>
        <w:tc>
          <w:tcPr>
            <w:tcW w:w="1559" w:type="dxa"/>
            <w:tcBorders>
              <w:top w:val="nil"/>
              <w:bottom w:val="nil"/>
            </w:tcBorders>
            <w:shd w:val="clear" w:color="auto" w:fill="D9D9D9" w:themeFill="background1" w:themeFillShade="D9"/>
          </w:tcPr>
          <w:p w:rsidR="00467321" w:rsidRPr="00077B77" w:rsidRDefault="00467321" w:rsidP="00077B77">
            <w:pPr>
              <w:pStyle w:val="TableText"/>
              <w:jc w:val="center"/>
              <w:rPr>
                <w:b/>
              </w:rPr>
            </w:pPr>
            <w:r w:rsidRPr="00077B77">
              <w:rPr>
                <w:b/>
              </w:rPr>
              <w:t>95% CI</w:t>
            </w:r>
          </w:p>
        </w:tc>
      </w:tr>
      <w:tr w:rsidR="00467321" w:rsidRPr="00467321" w:rsidTr="00077B77">
        <w:trPr>
          <w:cantSplit/>
        </w:trPr>
        <w:tc>
          <w:tcPr>
            <w:tcW w:w="2552" w:type="dxa"/>
            <w:tcBorders>
              <w:top w:val="nil"/>
            </w:tcBorders>
            <w:shd w:val="clear" w:color="auto" w:fill="auto"/>
          </w:tcPr>
          <w:p w:rsidR="00467321" w:rsidRPr="00543D25" w:rsidRDefault="00467321" w:rsidP="00077B77">
            <w:pPr>
              <w:pStyle w:val="TableText"/>
            </w:pPr>
            <w:r w:rsidRPr="00543D25">
              <w:t>Total child population</w:t>
            </w:r>
          </w:p>
        </w:tc>
        <w:tc>
          <w:tcPr>
            <w:tcW w:w="1843" w:type="dxa"/>
            <w:tcBorders>
              <w:top w:val="nil"/>
            </w:tcBorders>
            <w:shd w:val="clear" w:color="auto" w:fill="auto"/>
          </w:tcPr>
          <w:p w:rsidR="00467321" w:rsidRPr="00543D25" w:rsidRDefault="00467321" w:rsidP="00077B77">
            <w:pPr>
              <w:pStyle w:val="TableText"/>
              <w:jc w:val="center"/>
            </w:pPr>
            <w:r w:rsidRPr="00543D25">
              <w:t>19.0</w:t>
            </w:r>
          </w:p>
        </w:tc>
        <w:tc>
          <w:tcPr>
            <w:tcW w:w="1063" w:type="dxa"/>
            <w:tcBorders>
              <w:top w:val="nil"/>
            </w:tcBorders>
            <w:shd w:val="clear" w:color="auto" w:fill="auto"/>
          </w:tcPr>
          <w:p w:rsidR="00467321" w:rsidRPr="00543D25" w:rsidRDefault="00467321" w:rsidP="00077B77">
            <w:pPr>
              <w:pStyle w:val="TableText"/>
              <w:jc w:val="center"/>
            </w:pPr>
            <w:r w:rsidRPr="00543D25">
              <w:t>17.5–20.4</w:t>
            </w:r>
          </w:p>
        </w:tc>
        <w:tc>
          <w:tcPr>
            <w:tcW w:w="1063" w:type="dxa"/>
            <w:tcBorders>
              <w:top w:val="nil"/>
            </w:tcBorders>
            <w:shd w:val="clear" w:color="auto" w:fill="auto"/>
          </w:tcPr>
          <w:p w:rsidR="00467321" w:rsidRPr="00543D25" w:rsidRDefault="00467321" w:rsidP="00077B77">
            <w:pPr>
              <w:pStyle w:val="TableText"/>
              <w:tabs>
                <w:tab w:val="decimal" w:pos="765"/>
              </w:tabs>
            </w:pPr>
            <w:r w:rsidRPr="00543D25">
              <w:t>174,000</w:t>
            </w:r>
          </w:p>
        </w:tc>
        <w:tc>
          <w:tcPr>
            <w:tcW w:w="1559" w:type="dxa"/>
            <w:tcBorders>
              <w:top w:val="nil"/>
            </w:tcBorders>
            <w:shd w:val="clear" w:color="auto" w:fill="auto"/>
          </w:tcPr>
          <w:p w:rsidR="00467321" w:rsidRPr="00543D25" w:rsidRDefault="00467321" w:rsidP="00077B77">
            <w:pPr>
              <w:pStyle w:val="TableText"/>
              <w:tabs>
                <w:tab w:val="decimal" w:pos="709"/>
              </w:tabs>
            </w:pPr>
            <w:r w:rsidRPr="00543D25">
              <w:t>161,000–188,000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Couple parent</w:t>
            </w:r>
          </w:p>
        </w:tc>
        <w:tc>
          <w:tcPr>
            <w:tcW w:w="1843" w:type="dxa"/>
            <w:shd w:val="clear" w:color="auto" w:fill="auto"/>
          </w:tcPr>
          <w:p w:rsidR="00467321" w:rsidRPr="00543D25" w:rsidRDefault="00467321" w:rsidP="00077B77">
            <w:pPr>
              <w:pStyle w:val="TableText"/>
              <w:jc w:val="center"/>
            </w:pPr>
            <w:r w:rsidRPr="00543D25">
              <w:t>12.7</w:t>
            </w:r>
          </w:p>
        </w:tc>
        <w:tc>
          <w:tcPr>
            <w:tcW w:w="1063" w:type="dxa"/>
            <w:shd w:val="clear" w:color="auto" w:fill="auto"/>
          </w:tcPr>
          <w:p w:rsidR="00467321" w:rsidRPr="00543D25" w:rsidRDefault="00467321" w:rsidP="00077B77">
            <w:pPr>
              <w:pStyle w:val="TableText"/>
              <w:jc w:val="center"/>
            </w:pPr>
            <w:r w:rsidRPr="00543D25">
              <w:t>11.0–14.4</w:t>
            </w:r>
          </w:p>
        </w:tc>
        <w:tc>
          <w:tcPr>
            <w:tcW w:w="1063" w:type="dxa"/>
            <w:shd w:val="clear" w:color="auto" w:fill="auto"/>
          </w:tcPr>
          <w:p w:rsidR="00467321" w:rsidRPr="00543D25" w:rsidRDefault="00467321" w:rsidP="00077B77">
            <w:pPr>
              <w:pStyle w:val="TableText"/>
              <w:tabs>
                <w:tab w:val="decimal" w:pos="765"/>
              </w:tabs>
            </w:pPr>
            <w:r w:rsidRPr="00543D25">
              <w:t>87,000</w:t>
            </w:r>
          </w:p>
        </w:tc>
        <w:tc>
          <w:tcPr>
            <w:tcW w:w="1559" w:type="dxa"/>
            <w:shd w:val="clear" w:color="auto" w:fill="auto"/>
          </w:tcPr>
          <w:p w:rsidR="00467321" w:rsidRPr="00543D25" w:rsidRDefault="00467321" w:rsidP="00077B77">
            <w:pPr>
              <w:pStyle w:val="TableText"/>
              <w:tabs>
                <w:tab w:val="decimal" w:pos="709"/>
              </w:tabs>
            </w:pPr>
            <w:r w:rsidRPr="00543D25">
              <w:t>75,000–99,000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Sole parent</w:t>
            </w:r>
          </w:p>
        </w:tc>
        <w:tc>
          <w:tcPr>
            <w:tcW w:w="1843" w:type="dxa"/>
            <w:shd w:val="clear" w:color="auto" w:fill="auto"/>
          </w:tcPr>
          <w:p w:rsidR="00467321" w:rsidRPr="00543D25" w:rsidRDefault="00467321" w:rsidP="00077B77">
            <w:pPr>
              <w:pStyle w:val="TableText"/>
              <w:jc w:val="center"/>
            </w:pPr>
            <w:r w:rsidRPr="00543D25">
              <w:t>38.0</w:t>
            </w:r>
          </w:p>
        </w:tc>
        <w:tc>
          <w:tcPr>
            <w:tcW w:w="1063" w:type="dxa"/>
            <w:shd w:val="clear" w:color="auto" w:fill="auto"/>
          </w:tcPr>
          <w:p w:rsidR="00467321" w:rsidRPr="00543D25" w:rsidRDefault="00467321" w:rsidP="00077B77">
            <w:pPr>
              <w:pStyle w:val="TableText"/>
              <w:jc w:val="center"/>
            </w:pPr>
            <w:r w:rsidRPr="00543D25">
              <w:t>34.1–41.8</w:t>
            </w:r>
          </w:p>
        </w:tc>
        <w:tc>
          <w:tcPr>
            <w:tcW w:w="1063" w:type="dxa"/>
            <w:shd w:val="clear" w:color="auto" w:fill="auto"/>
          </w:tcPr>
          <w:p w:rsidR="00467321" w:rsidRPr="00543D25" w:rsidRDefault="00467321" w:rsidP="00077B77">
            <w:pPr>
              <w:pStyle w:val="TableText"/>
              <w:tabs>
                <w:tab w:val="decimal" w:pos="765"/>
              </w:tabs>
            </w:pPr>
            <w:r w:rsidRPr="00543D25">
              <w:t>86,000</w:t>
            </w:r>
          </w:p>
        </w:tc>
        <w:tc>
          <w:tcPr>
            <w:tcW w:w="1559" w:type="dxa"/>
            <w:shd w:val="clear" w:color="auto" w:fill="auto"/>
          </w:tcPr>
          <w:p w:rsidR="00467321" w:rsidRPr="00543D25" w:rsidRDefault="00467321" w:rsidP="00077B77">
            <w:pPr>
              <w:pStyle w:val="TableText"/>
              <w:tabs>
                <w:tab w:val="decimal" w:pos="709"/>
              </w:tabs>
            </w:pPr>
            <w:r w:rsidRPr="00543D25">
              <w:t>76,000–96,000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One child in household</w:t>
            </w:r>
          </w:p>
        </w:tc>
        <w:tc>
          <w:tcPr>
            <w:tcW w:w="1843" w:type="dxa"/>
            <w:shd w:val="clear" w:color="auto" w:fill="auto"/>
          </w:tcPr>
          <w:p w:rsidR="00467321" w:rsidRPr="00543D25" w:rsidRDefault="00467321" w:rsidP="00077B77">
            <w:pPr>
              <w:pStyle w:val="TableText"/>
              <w:jc w:val="center"/>
            </w:pPr>
            <w:r w:rsidRPr="00543D25">
              <w:t>15.0</w:t>
            </w:r>
          </w:p>
        </w:tc>
        <w:tc>
          <w:tcPr>
            <w:tcW w:w="1063" w:type="dxa"/>
            <w:shd w:val="clear" w:color="auto" w:fill="auto"/>
          </w:tcPr>
          <w:p w:rsidR="00467321" w:rsidRPr="00543D25" w:rsidRDefault="00467321" w:rsidP="00077B77">
            <w:pPr>
              <w:pStyle w:val="TableText"/>
              <w:jc w:val="center"/>
            </w:pPr>
            <w:r w:rsidRPr="00543D25">
              <w:t>13.0–16.9</w:t>
            </w:r>
          </w:p>
        </w:tc>
        <w:tc>
          <w:tcPr>
            <w:tcW w:w="1063" w:type="dxa"/>
            <w:shd w:val="clear" w:color="auto" w:fill="auto"/>
          </w:tcPr>
          <w:p w:rsidR="00467321" w:rsidRPr="00543D25" w:rsidRDefault="00467321" w:rsidP="00077B77">
            <w:pPr>
              <w:pStyle w:val="TableText"/>
              <w:tabs>
                <w:tab w:val="decimal" w:pos="765"/>
              </w:tabs>
            </w:pPr>
            <w:r w:rsidRPr="00543D25">
              <w:t>32,000</w:t>
            </w:r>
          </w:p>
        </w:tc>
        <w:tc>
          <w:tcPr>
            <w:tcW w:w="1559" w:type="dxa"/>
            <w:shd w:val="clear" w:color="auto" w:fill="auto"/>
          </w:tcPr>
          <w:p w:rsidR="00467321" w:rsidRPr="00543D25" w:rsidRDefault="00467321" w:rsidP="00077B77">
            <w:pPr>
              <w:pStyle w:val="TableText"/>
              <w:tabs>
                <w:tab w:val="decimal" w:pos="709"/>
              </w:tabs>
            </w:pPr>
            <w:r w:rsidRPr="00543D25">
              <w:t>27,000–36,000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Two children in household</w:t>
            </w:r>
          </w:p>
        </w:tc>
        <w:tc>
          <w:tcPr>
            <w:tcW w:w="1843" w:type="dxa"/>
            <w:shd w:val="clear" w:color="auto" w:fill="auto"/>
          </w:tcPr>
          <w:p w:rsidR="00467321" w:rsidRPr="00543D25" w:rsidRDefault="00467321" w:rsidP="00077B77">
            <w:pPr>
              <w:pStyle w:val="TableText"/>
              <w:jc w:val="center"/>
            </w:pPr>
            <w:r w:rsidRPr="00543D25">
              <w:t>13.6</w:t>
            </w:r>
          </w:p>
        </w:tc>
        <w:tc>
          <w:tcPr>
            <w:tcW w:w="1063" w:type="dxa"/>
            <w:shd w:val="clear" w:color="auto" w:fill="auto"/>
          </w:tcPr>
          <w:p w:rsidR="00467321" w:rsidRPr="00543D25" w:rsidRDefault="00467321" w:rsidP="00077B77">
            <w:pPr>
              <w:pStyle w:val="TableText"/>
              <w:jc w:val="center"/>
            </w:pPr>
            <w:r w:rsidRPr="00543D25">
              <w:t>11.5–15.6</w:t>
            </w:r>
          </w:p>
        </w:tc>
        <w:tc>
          <w:tcPr>
            <w:tcW w:w="1063" w:type="dxa"/>
            <w:shd w:val="clear" w:color="auto" w:fill="auto"/>
          </w:tcPr>
          <w:p w:rsidR="00467321" w:rsidRPr="00543D25" w:rsidRDefault="00467321" w:rsidP="00077B77">
            <w:pPr>
              <w:pStyle w:val="TableText"/>
              <w:tabs>
                <w:tab w:val="decimal" w:pos="765"/>
              </w:tabs>
            </w:pPr>
            <w:r w:rsidRPr="00543D25">
              <w:t>51,000</w:t>
            </w:r>
          </w:p>
        </w:tc>
        <w:tc>
          <w:tcPr>
            <w:tcW w:w="1559" w:type="dxa"/>
            <w:shd w:val="clear" w:color="auto" w:fill="auto"/>
          </w:tcPr>
          <w:p w:rsidR="00467321" w:rsidRPr="00543D25" w:rsidRDefault="00467321" w:rsidP="00077B77">
            <w:pPr>
              <w:pStyle w:val="TableText"/>
              <w:tabs>
                <w:tab w:val="decimal" w:pos="709"/>
              </w:tabs>
            </w:pPr>
            <w:r w:rsidRPr="00543D25">
              <w:t>43,000–58,000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Three children in household</w:t>
            </w:r>
          </w:p>
        </w:tc>
        <w:tc>
          <w:tcPr>
            <w:tcW w:w="1843" w:type="dxa"/>
            <w:shd w:val="clear" w:color="auto" w:fill="auto"/>
          </w:tcPr>
          <w:p w:rsidR="00467321" w:rsidRPr="00543D25" w:rsidRDefault="00467321" w:rsidP="00077B77">
            <w:pPr>
              <w:pStyle w:val="TableText"/>
              <w:jc w:val="center"/>
            </w:pPr>
            <w:r w:rsidRPr="00543D25">
              <w:t>20.4</w:t>
            </w:r>
          </w:p>
        </w:tc>
        <w:tc>
          <w:tcPr>
            <w:tcW w:w="1063" w:type="dxa"/>
            <w:shd w:val="clear" w:color="auto" w:fill="auto"/>
          </w:tcPr>
          <w:p w:rsidR="00467321" w:rsidRPr="00543D25" w:rsidRDefault="00467321" w:rsidP="00077B77">
            <w:pPr>
              <w:pStyle w:val="TableText"/>
              <w:jc w:val="center"/>
            </w:pPr>
            <w:r w:rsidRPr="00543D25">
              <w:t>16.8–24.0</w:t>
            </w:r>
          </w:p>
        </w:tc>
        <w:tc>
          <w:tcPr>
            <w:tcW w:w="1063" w:type="dxa"/>
            <w:shd w:val="clear" w:color="auto" w:fill="auto"/>
          </w:tcPr>
          <w:p w:rsidR="00467321" w:rsidRPr="00543D25" w:rsidRDefault="00467321" w:rsidP="00077B77">
            <w:pPr>
              <w:pStyle w:val="TableText"/>
              <w:tabs>
                <w:tab w:val="decimal" w:pos="765"/>
              </w:tabs>
            </w:pPr>
            <w:r w:rsidRPr="00543D25">
              <w:t>40,000</w:t>
            </w:r>
          </w:p>
        </w:tc>
        <w:tc>
          <w:tcPr>
            <w:tcW w:w="1559" w:type="dxa"/>
            <w:shd w:val="clear" w:color="auto" w:fill="auto"/>
          </w:tcPr>
          <w:p w:rsidR="00467321" w:rsidRPr="00543D25" w:rsidRDefault="00467321" w:rsidP="00077B77">
            <w:pPr>
              <w:pStyle w:val="TableText"/>
              <w:tabs>
                <w:tab w:val="decimal" w:pos="709"/>
              </w:tabs>
            </w:pPr>
            <w:r w:rsidRPr="00543D25">
              <w:t>32,000–47,000</w:t>
            </w:r>
          </w:p>
        </w:tc>
      </w:tr>
      <w:tr w:rsidR="00467321" w:rsidRPr="00467321" w:rsidTr="00077B77">
        <w:trPr>
          <w:cantSplit/>
        </w:trPr>
        <w:tc>
          <w:tcPr>
            <w:tcW w:w="2552" w:type="dxa"/>
            <w:shd w:val="clear" w:color="auto" w:fill="auto"/>
          </w:tcPr>
          <w:p w:rsidR="00467321" w:rsidRPr="00543D25" w:rsidRDefault="00467321" w:rsidP="00077B77">
            <w:pPr>
              <w:pStyle w:val="TableText"/>
            </w:pPr>
            <w:r w:rsidRPr="00543D25">
              <w:t>Four or more children in household</w:t>
            </w:r>
          </w:p>
        </w:tc>
        <w:tc>
          <w:tcPr>
            <w:tcW w:w="1843" w:type="dxa"/>
            <w:shd w:val="clear" w:color="auto" w:fill="auto"/>
          </w:tcPr>
          <w:p w:rsidR="00467321" w:rsidRPr="00543D25" w:rsidRDefault="00467321" w:rsidP="00077B77">
            <w:pPr>
              <w:pStyle w:val="TableText"/>
              <w:jc w:val="center"/>
            </w:pPr>
            <w:r w:rsidRPr="00543D25">
              <w:t>37.7</w:t>
            </w:r>
          </w:p>
        </w:tc>
        <w:tc>
          <w:tcPr>
            <w:tcW w:w="1063" w:type="dxa"/>
            <w:shd w:val="clear" w:color="auto" w:fill="auto"/>
          </w:tcPr>
          <w:p w:rsidR="00467321" w:rsidRPr="00543D25" w:rsidRDefault="00467321" w:rsidP="00077B77">
            <w:pPr>
              <w:pStyle w:val="TableText"/>
              <w:jc w:val="center"/>
            </w:pPr>
            <w:r w:rsidRPr="00543D25">
              <w:t>30.9–44.5</w:t>
            </w:r>
          </w:p>
        </w:tc>
        <w:tc>
          <w:tcPr>
            <w:tcW w:w="1063" w:type="dxa"/>
            <w:shd w:val="clear" w:color="auto" w:fill="auto"/>
          </w:tcPr>
          <w:p w:rsidR="00467321" w:rsidRPr="00543D25" w:rsidRDefault="00467321" w:rsidP="00077B77">
            <w:pPr>
              <w:pStyle w:val="TableText"/>
              <w:tabs>
                <w:tab w:val="decimal" w:pos="765"/>
              </w:tabs>
            </w:pPr>
            <w:r w:rsidRPr="00543D25">
              <w:t>52,000</w:t>
            </w:r>
          </w:p>
        </w:tc>
        <w:tc>
          <w:tcPr>
            <w:tcW w:w="1559" w:type="dxa"/>
            <w:shd w:val="clear" w:color="auto" w:fill="auto"/>
          </w:tcPr>
          <w:p w:rsidR="00467321" w:rsidRPr="00543D25" w:rsidRDefault="00467321" w:rsidP="00077B77">
            <w:pPr>
              <w:pStyle w:val="TableText"/>
              <w:tabs>
                <w:tab w:val="decimal" w:pos="709"/>
              </w:tabs>
            </w:pPr>
            <w:r w:rsidRPr="00543D25">
              <w:t>41,000–63,000</w:t>
            </w:r>
          </w:p>
        </w:tc>
      </w:tr>
    </w:tbl>
    <w:p w:rsidR="00467321" w:rsidRDefault="00467321" w:rsidP="00077B77">
      <w:pPr>
        <w:pStyle w:val="Note"/>
      </w:pPr>
      <w:r w:rsidRPr="00467321">
        <w:t>Note: This table presents unadjusted prevalence estimates, reflecting the actual percentage of the population affected in 2015/16.</w:t>
      </w:r>
    </w:p>
    <w:p w:rsidR="00077B77" w:rsidRPr="00077B77" w:rsidRDefault="00077B77" w:rsidP="00077B77"/>
    <w:p w:rsidR="00467321" w:rsidRPr="00467321" w:rsidRDefault="00467321" w:rsidP="0007448F">
      <w:pPr>
        <w:pStyle w:val="Heading1"/>
      </w:pPr>
      <w:bookmarkStart w:id="45" w:name="_bookmark20"/>
      <w:bookmarkStart w:id="46" w:name="_Toc5437073"/>
      <w:bookmarkEnd w:id="45"/>
      <w:r w:rsidRPr="00467321">
        <w:lastRenderedPageBreak/>
        <w:t>Recent changes in the prevalence of household food insecurity among children</w:t>
      </w:r>
      <w:bookmarkEnd w:id="46"/>
    </w:p>
    <w:p w:rsidR="00467321" w:rsidRPr="00467321" w:rsidRDefault="00467321" w:rsidP="00534D85">
      <w:pPr>
        <w:pStyle w:val="Introductoryparagraph"/>
      </w:pPr>
      <w:r w:rsidRPr="00467321">
        <w:t>The New Zealand Health Survey assessed food insecurity among households with children in the years 2012/2013, 2014/2015 and 2015/2016. No data was collected on the topic in 2013/2014.</w:t>
      </w:r>
    </w:p>
    <w:p w:rsidR="00467321" w:rsidRPr="00543D25" w:rsidRDefault="00467321" w:rsidP="00534D85">
      <w:r w:rsidRPr="00543D25">
        <w:t>Overall, the prevalence of household food insecurity among children was lower in 2015/16 compared to 2012/2013.</w:t>
      </w:r>
      <w:r w:rsidR="00534D85">
        <w:rPr>
          <w:rStyle w:val="FootnoteReference"/>
        </w:rPr>
        <w:footnoteReference w:id="8"/>
      </w:r>
      <w:r w:rsidR="00534D85">
        <w:t xml:space="preserve"> </w:t>
      </w:r>
      <w:r w:rsidRPr="00543D25">
        <w:t xml:space="preserve">Severe-to-moderate food insecurity as determined by the aggregate index was 23.2 percent in 2012/13 and 19.0 percent in 2015/16, and this change was statistically significant (see Figure 12, Table 8). Across all eight items significantly fewer caregivers responded </w:t>
      </w:r>
      <w:r w:rsidR="00543D25" w:rsidRPr="00543D25">
        <w:t>‘</w:t>
      </w:r>
      <w:r w:rsidRPr="00543D25">
        <w:t>often</w:t>
      </w:r>
      <w:r w:rsidR="00543D25" w:rsidRPr="00543D25">
        <w:t>’</w:t>
      </w:r>
      <w:r w:rsidRPr="00543D25">
        <w:t xml:space="preserve"> (or </w:t>
      </w:r>
      <w:r w:rsidR="00543D25" w:rsidRPr="00543D25">
        <w:t>‘</w:t>
      </w:r>
      <w:r w:rsidRPr="00543D25">
        <w:t>never</w:t>
      </w:r>
      <w:r w:rsidR="00543D25" w:rsidRPr="00543D25">
        <w:t>’</w:t>
      </w:r>
      <w:r w:rsidRPr="00543D25">
        <w:t xml:space="preserve"> for I1) or </w:t>
      </w:r>
      <w:r w:rsidR="00543D25" w:rsidRPr="00543D25">
        <w:t>‘</w:t>
      </w:r>
      <w:r w:rsidRPr="00543D25">
        <w:t>sometimes</w:t>
      </w:r>
      <w:r w:rsidR="00543D25" w:rsidRPr="00543D25">
        <w:t>’</w:t>
      </w:r>
      <w:r w:rsidRPr="00543D25">
        <w:t xml:space="preserve"> in 2015/16 compared to 2012/13.</w:t>
      </w:r>
    </w:p>
    <w:p w:rsidR="00534D85" w:rsidRDefault="00534D85" w:rsidP="00534D85"/>
    <w:p w:rsidR="00467321" w:rsidRPr="00543D25" w:rsidRDefault="00467321" w:rsidP="00534D85">
      <w:r w:rsidRPr="00543D25">
        <w:t>Lower rates of caregiver-reported household food insecurity in 2015/16 compared to 2012/13 are a positive finding. However, more data points are needed to confirm whether this represents a declining trend over the longer term.</w:t>
      </w:r>
    </w:p>
    <w:p w:rsidR="00534D85" w:rsidRDefault="00534D85" w:rsidP="00534D85"/>
    <w:p w:rsidR="00467321" w:rsidRPr="00543D25" w:rsidRDefault="00467321" w:rsidP="00534D85">
      <w:r w:rsidRPr="00543D25">
        <w:t xml:space="preserve">Although there are many other factors that influence the occurrence of food insecurity on a national level (eg, economic factors, employment rates), previous work has established a link between food prices and food insecurity (Gregory and Coleman-Jensen 2013, Reeves </w:t>
      </w:r>
      <w:r w:rsidR="007464C2">
        <w:t>et al</w:t>
      </w:r>
      <w:r w:rsidRPr="00543D25">
        <w:t xml:space="preserve"> 2017). Each year, Otago University estimates the weekly food cost for various age groups across five cities in New Zealand, for a</w:t>
      </w:r>
      <w:r w:rsidR="00534D85">
        <w:t xml:space="preserve"> </w:t>
      </w:r>
      <w:r w:rsidRPr="00543D25">
        <w:t>basic, moderate and liberal diet (Department of Human Nutrition 2018). In 2016, the estimated costs were lower than they had been in 2014</w:t>
      </w:r>
      <w:r w:rsidR="00534D85">
        <w:t>,</w:t>
      </w:r>
      <w:r w:rsidR="00534D85">
        <w:rPr>
          <w:rStyle w:val="FootnoteReference"/>
        </w:rPr>
        <w:footnoteReference w:id="9"/>
      </w:r>
      <w:r w:rsidR="00534D85">
        <w:t xml:space="preserve"> </w:t>
      </w:r>
      <w:r w:rsidRPr="00543D25">
        <w:t>across the locations and for most age groups.</w:t>
      </w:r>
    </w:p>
    <w:p w:rsidR="00467321" w:rsidRPr="00543D25" w:rsidRDefault="00467321" w:rsidP="00467321">
      <w:pPr>
        <w:rPr>
          <w:sz w:val="20"/>
        </w:rPr>
      </w:pPr>
    </w:p>
    <w:p w:rsidR="00467321" w:rsidRPr="00543D25" w:rsidRDefault="00467321" w:rsidP="00534D85">
      <w:pPr>
        <w:keepLines/>
      </w:pPr>
      <w:bookmarkStart w:id="47" w:name="_bookmark21"/>
      <w:bookmarkEnd w:id="47"/>
      <w:r w:rsidRPr="00543D25">
        <w:lastRenderedPageBreak/>
        <w:t>As there were no statistically significant differences between 2014/15 and 2015/16 in the aggregate food insecurity index, we combined the data for these two years for the analyses described in the following sections of the report. The resulting increase in sample size ensured robustness of our findings when looking at smaller subgroups.</w:t>
      </w:r>
    </w:p>
    <w:p w:rsidR="00467321" w:rsidRPr="00543D25" w:rsidRDefault="00467321" w:rsidP="00534D85"/>
    <w:p w:rsidR="00467321" w:rsidRDefault="00467321" w:rsidP="00534D85">
      <w:pPr>
        <w:pStyle w:val="Figure"/>
      </w:pPr>
      <w:bookmarkStart w:id="48" w:name="_Toc5437131"/>
      <w:r w:rsidRPr="00467321">
        <w:t xml:space="preserve">Figure 12: Prevalence of children aged 0–14 years living in households with </w:t>
      </w:r>
      <w:r w:rsidR="00C11D2D">
        <w:t>severe-to-moderate</w:t>
      </w:r>
      <w:r w:rsidRPr="00467321">
        <w:t xml:space="preserve"> food insecurity, 2012/2013, 2014/2015 and 2015/16</w:t>
      </w:r>
      <w:bookmarkEnd w:id="48"/>
    </w:p>
    <w:p w:rsidR="00534D85" w:rsidRDefault="00534D85" w:rsidP="00534D85">
      <w:r w:rsidRPr="00534D85">
        <w:rPr>
          <w:noProof/>
          <w:lang w:eastAsia="en-NZ"/>
        </w:rPr>
        <w:drawing>
          <wp:inline distT="0" distB="0" distL="0" distR="0" wp14:anchorId="27E64892" wp14:editId="487ADF22">
            <wp:extent cx="5130165" cy="3506161"/>
            <wp:effectExtent l="0" t="0" r="0" b="0"/>
            <wp:docPr id="23" name="Picture 23" title="Figure 12: Prevalence of children aged 0–14 years living in households with severe-to-moderate food insecurity, 2012/2013, 2014/20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0165" cy="3506161"/>
                    </a:xfrm>
                    <a:prstGeom prst="rect">
                      <a:avLst/>
                    </a:prstGeom>
                  </pic:spPr>
                </pic:pic>
              </a:graphicData>
            </a:graphic>
          </wp:inline>
        </w:drawing>
      </w:r>
    </w:p>
    <w:p w:rsidR="00534D85" w:rsidRPr="00534D85" w:rsidRDefault="00534D85" w:rsidP="007F1EDD"/>
    <w:p w:rsidR="00467321" w:rsidRPr="00467321" w:rsidRDefault="00467321" w:rsidP="00534D85">
      <w:pPr>
        <w:pStyle w:val="Table"/>
      </w:pPr>
      <w:bookmarkStart w:id="49" w:name="_bookmark22"/>
      <w:bookmarkStart w:id="50" w:name="_Toc5437196"/>
      <w:bookmarkEnd w:id="49"/>
      <w:r w:rsidRPr="00467321">
        <w:lastRenderedPageBreak/>
        <w:t>Table 8: Prevalence of severe-to-moderate food insecurity among children aged 0–14 years, 2012/2013, 2014/2015 and 2015/16</w:t>
      </w:r>
      <w:bookmarkEnd w:id="50"/>
    </w:p>
    <w:tbl>
      <w:tblPr>
        <w:tblW w:w="7938" w:type="dxa"/>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1E0" w:firstRow="1" w:lastRow="1" w:firstColumn="1" w:lastColumn="1" w:noHBand="0" w:noVBand="0"/>
      </w:tblPr>
      <w:tblGrid>
        <w:gridCol w:w="2665"/>
        <w:gridCol w:w="878"/>
        <w:gridCol w:w="879"/>
        <w:gridCol w:w="879"/>
        <w:gridCol w:w="879"/>
        <w:gridCol w:w="879"/>
        <w:gridCol w:w="879"/>
      </w:tblGrid>
      <w:tr w:rsidR="00534D85" w:rsidRPr="00467321" w:rsidTr="007F1EDD">
        <w:trPr>
          <w:cantSplit/>
        </w:trPr>
        <w:tc>
          <w:tcPr>
            <w:tcW w:w="2665" w:type="dxa"/>
            <w:vMerge w:val="restart"/>
            <w:tcBorders>
              <w:top w:val="nil"/>
              <w:left w:val="nil"/>
              <w:right w:val="single" w:sz="4" w:space="0" w:color="A6A6A6" w:themeColor="background1" w:themeShade="A6"/>
            </w:tcBorders>
            <w:shd w:val="clear" w:color="auto" w:fill="D9D9D9" w:themeFill="background1" w:themeFillShade="D9"/>
          </w:tcPr>
          <w:p w:rsidR="00534D85" w:rsidRPr="00543D25" w:rsidRDefault="00534D85" w:rsidP="007F1EDD">
            <w:pPr>
              <w:pStyle w:val="TableText"/>
              <w:keepNext/>
            </w:pPr>
          </w:p>
        </w:tc>
        <w:tc>
          <w:tcPr>
            <w:tcW w:w="2636" w:type="dxa"/>
            <w:gridSpan w:val="3"/>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534D85" w:rsidRPr="00534D85" w:rsidRDefault="00534D85" w:rsidP="007F1EDD">
            <w:pPr>
              <w:pStyle w:val="TableText"/>
              <w:keepNext/>
              <w:spacing w:after="0"/>
              <w:jc w:val="center"/>
              <w:rPr>
                <w:b/>
              </w:rPr>
            </w:pPr>
            <w:r w:rsidRPr="00534D85">
              <w:rPr>
                <w:b/>
              </w:rPr>
              <w:t>Often and sometimes (%)</w:t>
            </w:r>
          </w:p>
        </w:tc>
        <w:tc>
          <w:tcPr>
            <w:tcW w:w="2637" w:type="dxa"/>
            <w:gridSpan w:val="3"/>
            <w:tcBorders>
              <w:top w:val="nil"/>
              <w:left w:val="single" w:sz="4" w:space="0" w:color="A6A6A6" w:themeColor="background1" w:themeShade="A6"/>
              <w:bottom w:val="nil"/>
              <w:right w:val="nil"/>
            </w:tcBorders>
            <w:shd w:val="clear" w:color="auto" w:fill="D9D9D9" w:themeFill="background1" w:themeFillShade="D9"/>
          </w:tcPr>
          <w:p w:rsidR="00534D85" w:rsidRPr="00534D85" w:rsidRDefault="00534D85" w:rsidP="007F1EDD">
            <w:pPr>
              <w:pStyle w:val="TableText"/>
              <w:keepNext/>
              <w:spacing w:after="0"/>
              <w:jc w:val="center"/>
              <w:rPr>
                <w:b/>
              </w:rPr>
            </w:pPr>
            <w:r w:rsidRPr="00534D85">
              <w:rPr>
                <w:b/>
              </w:rPr>
              <w:t>Significance of difference between years (</w:t>
            </w:r>
            <w:r w:rsidRPr="00534D85">
              <w:rPr>
                <w:rFonts w:ascii="Trebuchet MS"/>
                <w:b/>
                <w:i/>
              </w:rPr>
              <w:t xml:space="preserve">p </w:t>
            </w:r>
            <w:r w:rsidRPr="00534D85">
              <w:rPr>
                <w:b/>
              </w:rPr>
              <w:t>value)</w:t>
            </w:r>
          </w:p>
        </w:tc>
      </w:tr>
      <w:tr w:rsidR="00534D85" w:rsidRPr="00467321" w:rsidTr="007F1EDD">
        <w:trPr>
          <w:cantSplit/>
        </w:trPr>
        <w:tc>
          <w:tcPr>
            <w:tcW w:w="2665" w:type="dxa"/>
            <w:vMerge/>
            <w:tcBorders>
              <w:left w:val="nil"/>
              <w:bottom w:val="single" w:sz="4" w:space="0" w:color="FFFFFF"/>
              <w:right w:val="single" w:sz="4" w:space="0" w:color="A6A6A6" w:themeColor="background1" w:themeShade="A6"/>
            </w:tcBorders>
            <w:shd w:val="clear" w:color="auto" w:fill="D9D9D9" w:themeFill="background1" w:themeFillShade="D9"/>
          </w:tcPr>
          <w:p w:rsidR="00534D85" w:rsidRPr="00543D25" w:rsidRDefault="00534D85" w:rsidP="007F1EDD">
            <w:pPr>
              <w:pStyle w:val="TableText"/>
              <w:keepNext/>
            </w:pPr>
          </w:p>
        </w:tc>
        <w:tc>
          <w:tcPr>
            <w:tcW w:w="878" w:type="dxa"/>
            <w:tcBorders>
              <w:top w:val="nil"/>
              <w:left w:val="single" w:sz="4" w:space="0" w:color="A6A6A6" w:themeColor="background1" w:themeShade="A6"/>
              <w:bottom w:val="nil"/>
              <w:right w:val="nil"/>
            </w:tcBorders>
            <w:shd w:val="clear" w:color="auto" w:fill="D9D9D9" w:themeFill="background1" w:themeFillShade="D9"/>
          </w:tcPr>
          <w:p w:rsidR="00534D85" w:rsidRPr="00534D85" w:rsidRDefault="00534D85" w:rsidP="007F1EDD">
            <w:pPr>
              <w:pStyle w:val="TableText"/>
              <w:keepNext/>
              <w:jc w:val="center"/>
              <w:rPr>
                <w:b/>
              </w:rPr>
            </w:pPr>
            <w:r w:rsidRPr="00534D85">
              <w:rPr>
                <w:b/>
              </w:rPr>
              <w:t>2012/13</w:t>
            </w:r>
          </w:p>
        </w:tc>
        <w:tc>
          <w:tcPr>
            <w:tcW w:w="879" w:type="dxa"/>
            <w:tcBorders>
              <w:top w:val="nil"/>
              <w:left w:val="nil"/>
              <w:bottom w:val="nil"/>
              <w:right w:val="nil"/>
            </w:tcBorders>
            <w:shd w:val="clear" w:color="auto" w:fill="D9D9D9" w:themeFill="background1" w:themeFillShade="D9"/>
          </w:tcPr>
          <w:p w:rsidR="00534D85" w:rsidRPr="00534D85" w:rsidRDefault="00534D85" w:rsidP="007F1EDD">
            <w:pPr>
              <w:pStyle w:val="TableText"/>
              <w:keepNext/>
              <w:jc w:val="center"/>
              <w:rPr>
                <w:b/>
              </w:rPr>
            </w:pPr>
            <w:r w:rsidRPr="00534D85">
              <w:rPr>
                <w:b/>
              </w:rPr>
              <w:t>2014/15</w:t>
            </w:r>
          </w:p>
        </w:tc>
        <w:tc>
          <w:tcPr>
            <w:tcW w:w="879" w:type="dxa"/>
            <w:tcBorders>
              <w:top w:val="nil"/>
              <w:left w:val="nil"/>
              <w:bottom w:val="nil"/>
              <w:right w:val="single" w:sz="4" w:space="0" w:color="A6A6A6" w:themeColor="background1" w:themeShade="A6"/>
            </w:tcBorders>
            <w:shd w:val="clear" w:color="auto" w:fill="D9D9D9" w:themeFill="background1" w:themeFillShade="D9"/>
          </w:tcPr>
          <w:p w:rsidR="00534D85" w:rsidRPr="00534D85" w:rsidRDefault="00534D85" w:rsidP="007F1EDD">
            <w:pPr>
              <w:pStyle w:val="TableText"/>
              <w:keepNext/>
              <w:jc w:val="center"/>
              <w:rPr>
                <w:b/>
              </w:rPr>
            </w:pPr>
            <w:r w:rsidRPr="00534D85">
              <w:rPr>
                <w:b/>
              </w:rPr>
              <w:t>2015/16</w:t>
            </w:r>
          </w:p>
        </w:tc>
        <w:tc>
          <w:tcPr>
            <w:tcW w:w="879" w:type="dxa"/>
            <w:tcBorders>
              <w:top w:val="nil"/>
              <w:left w:val="single" w:sz="4" w:space="0" w:color="A6A6A6" w:themeColor="background1" w:themeShade="A6"/>
              <w:bottom w:val="nil"/>
              <w:right w:val="nil"/>
            </w:tcBorders>
            <w:shd w:val="clear" w:color="auto" w:fill="D9D9D9" w:themeFill="background1" w:themeFillShade="D9"/>
          </w:tcPr>
          <w:p w:rsidR="00534D85" w:rsidRPr="00534D85" w:rsidRDefault="00534D85" w:rsidP="007F1EDD">
            <w:pPr>
              <w:pStyle w:val="TableText"/>
              <w:keepNext/>
              <w:jc w:val="center"/>
              <w:rPr>
                <w:b/>
              </w:rPr>
            </w:pPr>
            <w:r w:rsidRPr="00534D85">
              <w:rPr>
                <w:b/>
              </w:rPr>
              <w:t>2012/13 and 2014/15</w:t>
            </w:r>
          </w:p>
        </w:tc>
        <w:tc>
          <w:tcPr>
            <w:tcW w:w="879" w:type="dxa"/>
            <w:tcBorders>
              <w:top w:val="nil"/>
              <w:left w:val="nil"/>
              <w:bottom w:val="nil"/>
              <w:right w:val="nil"/>
            </w:tcBorders>
            <w:shd w:val="clear" w:color="auto" w:fill="D9D9D9" w:themeFill="background1" w:themeFillShade="D9"/>
          </w:tcPr>
          <w:p w:rsidR="00534D85" w:rsidRPr="00534D85" w:rsidRDefault="00534D85" w:rsidP="007F1EDD">
            <w:pPr>
              <w:pStyle w:val="TableText"/>
              <w:keepNext/>
              <w:jc w:val="center"/>
              <w:rPr>
                <w:b/>
              </w:rPr>
            </w:pPr>
            <w:r w:rsidRPr="00534D85">
              <w:rPr>
                <w:b/>
              </w:rPr>
              <w:t>2014/15 and 2015/16</w:t>
            </w:r>
          </w:p>
        </w:tc>
        <w:tc>
          <w:tcPr>
            <w:tcW w:w="879" w:type="dxa"/>
            <w:tcBorders>
              <w:top w:val="nil"/>
              <w:left w:val="nil"/>
              <w:bottom w:val="nil"/>
              <w:right w:val="nil"/>
            </w:tcBorders>
            <w:shd w:val="clear" w:color="auto" w:fill="D9D9D9" w:themeFill="background1" w:themeFillShade="D9"/>
          </w:tcPr>
          <w:p w:rsidR="00534D85" w:rsidRPr="00534D85" w:rsidRDefault="00534D85" w:rsidP="007F1EDD">
            <w:pPr>
              <w:pStyle w:val="TableText"/>
              <w:keepNext/>
              <w:jc w:val="center"/>
              <w:rPr>
                <w:b/>
              </w:rPr>
            </w:pPr>
            <w:r w:rsidRPr="00534D85">
              <w:rPr>
                <w:b/>
              </w:rPr>
              <w:t>2012/13 and 2015/16</w:t>
            </w:r>
          </w:p>
        </w:tc>
      </w:tr>
      <w:tr w:rsidR="00467321" w:rsidRPr="00467321" w:rsidTr="007F1EDD">
        <w:trPr>
          <w:cantSplit/>
        </w:trPr>
        <w:tc>
          <w:tcPr>
            <w:tcW w:w="2665" w:type="dxa"/>
            <w:tcBorders>
              <w:top w:val="single" w:sz="4" w:space="0" w:color="FFFFFF"/>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Cannot afford to eat (I1)</w:t>
            </w:r>
          </w:p>
        </w:tc>
        <w:tc>
          <w:tcPr>
            <w:tcW w:w="878" w:type="dxa"/>
            <w:tcBorders>
              <w:top w:val="nil"/>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23.6</w:t>
            </w:r>
          </w:p>
        </w:tc>
        <w:tc>
          <w:tcPr>
            <w:tcW w:w="879" w:type="dxa"/>
            <w:tcBorders>
              <w:top w:val="nil"/>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21.4</w:t>
            </w:r>
          </w:p>
        </w:tc>
        <w:tc>
          <w:tcPr>
            <w:tcW w:w="879" w:type="dxa"/>
            <w:tcBorders>
              <w:top w:val="nil"/>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20.1</w:t>
            </w:r>
          </w:p>
        </w:tc>
        <w:tc>
          <w:tcPr>
            <w:tcW w:w="879" w:type="dxa"/>
            <w:tcBorders>
              <w:top w:val="nil"/>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.04</w:t>
            </w:r>
          </w:p>
        </w:tc>
        <w:tc>
          <w:tcPr>
            <w:tcW w:w="879" w:type="dxa"/>
            <w:tcBorders>
              <w:top w:val="nil"/>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w:t>
            </w:r>
          </w:p>
        </w:tc>
        <w:tc>
          <w:tcPr>
            <w:tcW w:w="879" w:type="dxa"/>
            <w:tcBorders>
              <w:top w:val="nil"/>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Food runs out (I2)</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25.6</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23.7</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22.3</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.13</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.22</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We eat less (I3)</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23.3</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20.1</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19.8</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.79</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Variety limited (I4)</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37.9</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34.0</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31.1</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.05</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Rely on others (I5)</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16.2</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12.9</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12.5</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.79</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Use food grants or banks (I6)</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13.1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11.4</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10.5</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.05</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.25</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Stressed not enough money (I7)</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27.3</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23.6</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22.3</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67321" w:rsidP="007F1EDD">
            <w:pPr>
              <w:pStyle w:val="TableText"/>
              <w:keepNext/>
              <w:jc w:val="center"/>
              <w:rPr>
                <w:b/>
              </w:rPr>
            </w:pPr>
            <w:r w:rsidRPr="002F3E98">
              <w:rPr>
                <w:b/>
              </w:rPr>
              <w:t>.01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.31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Stressed social occasions (I8)</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22.6</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18.4</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18.0</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0653D" w:rsidP="0040653D">
            <w:pPr>
              <w:pStyle w:val="TableText"/>
              <w:keepNext/>
              <w:jc w:val="center"/>
              <w:rPr>
                <w:b/>
              </w:rPr>
            </w:pPr>
            <w:r>
              <w:rPr>
                <w:b/>
              </w:rPr>
              <w:t>&lt;</w:t>
            </w:r>
            <w:r w:rsidR="00467321" w:rsidRPr="002F3E98">
              <w:rPr>
                <w:b/>
              </w:rPr>
              <w:t>.0</w:t>
            </w:r>
            <w:r>
              <w:rPr>
                <w:b/>
              </w:rPr>
              <w:t>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.69</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r w:rsidR="00467321" w:rsidRPr="00467321" w:rsidTr="007F1EDD">
        <w:trPr>
          <w:cantSplit/>
        </w:trPr>
        <w:tc>
          <w:tcPr>
            <w:tcW w:w="26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pPr>
            <w:r w:rsidRPr="00543D25">
              <w:t>Summary index of food insecurity</w:t>
            </w:r>
          </w:p>
        </w:tc>
        <w:tc>
          <w:tcPr>
            <w:tcW w:w="87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23.2</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19.6</w:t>
            </w:r>
          </w:p>
        </w:tc>
        <w:tc>
          <w:tcPr>
            <w:tcW w:w="8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467321" w:rsidRPr="00543D25" w:rsidRDefault="00467321" w:rsidP="007F1EDD">
            <w:pPr>
              <w:pStyle w:val="TableText"/>
              <w:keepNext/>
              <w:jc w:val="center"/>
            </w:pPr>
            <w:r w:rsidRPr="00543D25">
              <w:t>19.0</w:t>
            </w:r>
          </w:p>
        </w:tc>
        <w:tc>
          <w:tcPr>
            <w:tcW w:w="8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543D25" w:rsidRDefault="00467321" w:rsidP="007F1EDD">
            <w:pPr>
              <w:pStyle w:val="TableText"/>
              <w:keepNext/>
              <w:jc w:val="center"/>
            </w:pPr>
            <w:r w:rsidRPr="00543D25">
              <w:t>.56</w:t>
            </w:r>
          </w:p>
        </w:tc>
        <w:tc>
          <w:tcPr>
            <w:tcW w:w="879" w:type="dxa"/>
            <w:tcBorders>
              <w:top w:val="single" w:sz="4" w:space="0" w:color="A6A6A6" w:themeColor="background1" w:themeShade="A6"/>
              <w:left w:val="nil"/>
              <w:bottom w:val="single" w:sz="4" w:space="0" w:color="A6A6A6" w:themeColor="background1" w:themeShade="A6"/>
              <w:right w:val="nil"/>
            </w:tcBorders>
            <w:shd w:val="clear" w:color="auto" w:fill="auto"/>
          </w:tcPr>
          <w:p w:rsidR="00467321" w:rsidRPr="002F3E98" w:rsidRDefault="0040653D" w:rsidP="007F1EDD">
            <w:pPr>
              <w:pStyle w:val="TableText"/>
              <w:keepNext/>
              <w:jc w:val="center"/>
              <w:rPr>
                <w:b/>
              </w:rPr>
            </w:pPr>
            <w:r>
              <w:rPr>
                <w:b/>
              </w:rPr>
              <w:t>&lt;</w:t>
            </w:r>
            <w:r w:rsidRPr="002F3E98">
              <w:rPr>
                <w:b/>
              </w:rPr>
              <w:t>.0</w:t>
            </w:r>
            <w:r>
              <w:rPr>
                <w:b/>
              </w:rPr>
              <w:t>1</w:t>
            </w:r>
          </w:p>
        </w:tc>
      </w:tr>
    </w:tbl>
    <w:p w:rsidR="00467321" w:rsidRPr="00467321" w:rsidRDefault="00467321" w:rsidP="007F1EDD">
      <w:pPr>
        <w:pStyle w:val="Note"/>
        <w:keepNext/>
      </w:pPr>
      <w:r w:rsidRPr="00467321">
        <w:t xml:space="preserve">Notes: For reporting purposes item 1 has been phrased in reverse, and the answer </w:t>
      </w:r>
      <w:r w:rsidR="00543D25">
        <w:t>‘</w:t>
      </w:r>
      <w:r w:rsidRPr="00467321">
        <w:t>never</w:t>
      </w:r>
      <w:r w:rsidR="00543D25">
        <w:t>’</w:t>
      </w:r>
      <w:r w:rsidRPr="00467321">
        <w:t xml:space="preserve"> to the statement </w:t>
      </w:r>
      <w:r w:rsidR="00543D25">
        <w:t>‘</w:t>
      </w:r>
      <w:r w:rsidRPr="00467321">
        <w:t>we can afford to eat properly</w:t>
      </w:r>
      <w:r w:rsidR="00543D25">
        <w:t>’</w:t>
      </w:r>
      <w:r w:rsidRPr="00467321">
        <w:t xml:space="preserve"> is included in the percentage listed for </w:t>
      </w:r>
      <w:r w:rsidR="00543D25">
        <w:t>‘</w:t>
      </w:r>
      <w:r w:rsidRPr="00467321">
        <w:t>often</w:t>
      </w:r>
      <w:r w:rsidR="00543D25">
        <w:t>’</w:t>
      </w:r>
      <w:r w:rsidRPr="00467321">
        <w:t xml:space="preserve"> in the table above.</w:t>
      </w:r>
    </w:p>
    <w:p w:rsidR="00467321" w:rsidRDefault="00467321" w:rsidP="00534D85">
      <w:pPr>
        <w:pStyle w:val="Note"/>
      </w:pPr>
      <w:r w:rsidRPr="00467321">
        <w:t>Statistically significant differences between survey years (</w:t>
      </w:r>
      <w:r w:rsidRPr="00467321">
        <w:rPr>
          <w:rFonts w:ascii="Calibri"/>
          <w:i/>
        </w:rPr>
        <w:t>p</w:t>
      </w:r>
      <w:r w:rsidRPr="00467321">
        <w:t>&lt;.05) are shown in bold.</w:t>
      </w:r>
    </w:p>
    <w:p w:rsidR="00534D85" w:rsidRPr="00534D85" w:rsidRDefault="00534D85" w:rsidP="007F1EDD"/>
    <w:p w:rsidR="00467321" w:rsidRPr="00467321" w:rsidRDefault="00467321" w:rsidP="00035D0D">
      <w:pPr>
        <w:pStyle w:val="Heading1"/>
      </w:pPr>
      <w:bookmarkStart w:id="51" w:name="_bookmark23"/>
      <w:bookmarkStart w:id="52" w:name="_Toc5437074"/>
      <w:bookmarkEnd w:id="51"/>
      <w:r w:rsidRPr="00467321">
        <w:lastRenderedPageBreak/>
        <w:t>The wider circumstances of children living in households with food insecurity</w:t>
      </w:r>
      <w:bookmarkEnd w:id="52"/>
    </w:p>
    <w:p w:rsidR="00467321" w:rsidRPr="00467321" w:rsidRDefault="00467321" w:rsidP="0030569E">
      <w:pPr>
        <w:pStyle w:val="Introductoryparagraph"/>
      </w:pPr>
      <w:r w:rsidRPr="00467321">
        <w:t>The research literature shows that food insecurity is associated with a range of adverse circumstances, particularly those related to nutrition, physical and mental health, education and caregivers</w:t>
      </w:r>
      <w:r w:rsidR="00543D25">
        <w:t>’</w:t>
      </w:r>
      <w:r w:rsidRPr="00467321">
        <w:t xml:space="preserve"> mental health (Ke and Ford-Jones 2015).</w:t>
      </w:r>
    </w:p>
    <w:p w:rsidR="00467321" w:rsidRDefault="00467321" w:rsidP="009904A4">
      <w:r w:rsidRPr="00543D25">
        <w:t>This may reflect a causal relationship. For example, household food insecurity may lead to poorer nutrition. However, food insecurity may also co-occur with other adverse circumstances as a result of a common cause, particularly low socioeconomic position.</w:t>
      </w:r>
    </w:p>
    <w:p w:rsidR="009904A4" w:rsidRPr="00543D25" w:rsidRDefault="009904A4" w:rsidP="009904A4"/>
    <w:p w:rsidR="00467321" w:rsidRDefault="00467321" w:rsidP="009904A4">
      <w:r w:rsidRPr="00543D25">
        <w:t>Due to financial constraints households are at a heightened risk of insecure or inadequate access to food. These same households are also more likely to live in overcrowded or poor-quality housing and have lower levels of expenditure on education and recreation activities that benefit children, and are less likely to be able to afford</w:t>
      </w:r>
      <w:r w:rsidR="009904A4">
        <w:t xml:space="preserve"> </w:t>
      </w:r>
      <w:r w:rsidRPr="00543D25">
        <w:t xml:space="preserve">to access primary healthcare as often as they need (Perry 2018). Importantly, many of these and other dimensions of poverty and material deprivation have adverse impacts on child and youth health and development (Howden-Chapman </w:t>
      </w:r>
      <w:r w:rsidR="007464C2">
        <w:t>et al</w:t>
      </w:r>
      <w:r w:rsidRPr="00543D25">
        <w:t xml:space="preserve"> 2013).</w:t>
      </w:r>
    </w:p>
    <w:p w:rsidR="009904A4" w:rsidRPr="00543D25" w:rsidRDefault="009904A4" w:rsidP="009904A4"/>
    <w:p w:rsidR="00467321" w:rsidRPr="00543D25" w:rsidRDefault="00467321" w:rsidP="009904A4">
      <w:r w:rsidRPr="00543D25">
        <w:t>In the following section, we document how children in food-insecure households fared compared to those in food-secure households for a range of indicators. Our cross-sectional data are not able to identify the causal impact of household food insecurity. Instead we aimed to present a picture of children living in households that experience food insecurity, irrespective of what caused the food insecurity or whether food insecurity was causally related to the indicators of interest. Hence, the</w:t>
      </w:r>
      <w:r w:rsidR="009904A4">
        <w:t xml:space="preserve"> </w:t>
      </w:r>
      <w:r w:rsidRPr="00543D25">
        <w:t>differences we report are not adjusted for either demographics or other confounders such as household income. For this analysis we pooled data for the years 2014/15 and 2015/16, to increase the robustness of our estimates.</w:t>
      </w:r>
    </w:p>
    <w:p w:rsidR="003119F5" w:rsidRDefault="003119F5" w:rsidP="009904A4"/>
    <w:p w:rsidR="00467321" w:rsidRPr="00467321" w:rsidRDefault="00467321" w:rsidP="009904A4">
      <w:pPr>
        <w:pStyle w:val="Heading2"/>
      </w:pPr>
      <w:bookmarkStart w:id="53" w:name="_bookmark24"/>
      <w:bookmarkStart w:id="54" w:name="_Toc5437075"/>
      <w:bookmarkEnd w:id="53"/>
      <w:r w:rsidRPr="00467321">
        <w:lastRenderedPageBreak/>
        <w:t>Barriers to accessing health care were more common among children in food-insecure households</w:t>
      </w:r>
      <w:bookmarkEnd w:id="54"/>
    </w:p>
    <w:p w:rsidR="00467321" w:rsidRPr="00543D25" w:rsidRDefault="00467321" w:rsidP="009904A4">
      <w:r w:rsidRPr="00543D25">
        <w:t xml:space="preserve">As described in earlier sections, there is a strong association between household food insecurity and socioeconomic position. Households with food insecurity are likely to struggle to meet competing demands (eg, food, housing and health care) as a result of limited financial resources. For this reason, they may delay or avoid seeking health care (unmet need), which can lead to emergency department visits and compromised health status (Choi </w:t>
      </w:r>
      <w:r w:rsidR="007464C2">
        <w:t>et al</w:t>
      </w:r>
      <w:r w:rsidRPr="00543D25">
        <w:t xml:space="preserve"> 2017). Compromised health may (temporarily) limit children</w:t>
      </w:r>
      <w:r w:rsidR="00543D25" w:rsidRPr="00543D25">
        <w:t>’</w:t>
      </w:r>
      <w:r w:rsidRPr="00543D25">
        <w:t>s ability to fully participate in schooling, potentially limiting future opportunities.</w:t>
      </w:r>
    </w:p>
    <w:p w:rsidR="00467321" w:rsidRPr="00543D25" w:rsidRDefault="00467321" w:rsidP="009904A4"/>
    <w:p w:rsidR="00467321" w:rsidRDefault="00467321" w:rsidP="009904A4">
      <w:pPr>
        <w:pStyle w:val="Figure"/>
      </w:pPr>
      <w:bookmarkStart w:id="55" w:name="_Toc5437132"/>
      <w:r w:rsidRPr="00467321">
        <w:t>Figure 13: Household food insecurity and barriers to accessing health care in the past year, 2014/15 and 2015/16</w:t>
      </w:r>
      <w:bookmarkEnd w:id="55"/>
    </w:p>
    <w:p w:rsidR="009904A4" w:rsidRPr="009904A4" w:rsidRDefault="009904A4" w:rsidP="009904A4">
      <w:r w:rsidRPr="009904A4">
        <w:rPr>
          <w:noProof/>
          <w:lang w:eastAsia="en-NZ"/>
        </w:rPr>
        <w:drawing>
          <wp:inline distT="0" distB="0" distL="0" distR="0" wp14:anchorId="58D44D49" wp14:editId="63A5D3B1">
            <wp:extent cx="5130165" cy="2785417"/>
            <wp:effectExtent l="0" t="0" r="0" b="0"/>
            <wp:docPr id="24" name="Picture 24" title="Figure 13: Household food insecurity and barriers to accessing health care in the past year,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2785417"/>
                    </a:xfrm>
                    <a:prstGeom prst="rect">
                      <a:avLst/>
                    </a:prstGeom>
                  </pic:spPr>
                </pic:pic>
              </a:graphicData>
            </a:graphic>
          </wp:inline>
        </w:drawing>
      </w:r>
    </w:p>
    <w:p w:rsidR="00467321" w:rsidRPr="00467321" w:rsidRDefault="00467321" w:rsidP="009904A4">
      <w:pPr>
        <w:pStyle w:val="Note"/>
      </w:pPr>
      <w:r w:rsidRPr="00467321">
        <w:t>Notes: See Appendix 3 for indicator definitions.</w:t>
      </w:r>
    </w:p>
    <w:p w:rsidR="00467321" w:rsidRPr="00467321" w:rsidRDefault="00467321" w:rsidP="009904A4">
      <w:pPr>
        <w:pStyle w:val="Note"/>
        <w:ind w:left="198" w:hanging="198"/>
      </w:pPr>
      <w:r w:rsidRPr="00467321">
        <w:t>*</w:t>
      </w:r>
      <w:r w:rsidR="009904A4">
        <w:tab/>
      </w:r>
      <w:r w:rsidRPr="00467321">
        <w:t>indicates a statistically significant difference between children in food-secure</w:t>
      </w:r>
      <w:r w:rsidR="009904A4">
        <w:t xml:space="preserve"> </w:t>
      </w:r>
      <w:r w:rsidRPr="00467321">
        <w:t>households and food-insecure households (p&lt;.05). Estimates are unadjusted.</w:t>
      </w:r>
    </w:p>
    <w:p w:rsidR="00467321" w:rsidRPr="00467321" w:rsidRDefault="00467321" w:rsidP="009904A4">
      <w:pPr>
        <w:pStyle w:val="Note"/>
        <w:ind w:left="198" w:hanging="198"/>
      </w:pPr>
      <w:r w:rsidRPr="009904A4">
        <w:t>+</w:t>
      </w:r>
      <w:r w:rsidR="009904A4">
        <w:tab/>
      </w:r>
      <w:r w:rsidRPr="00467321">
        <w:t>indicates data based on 2015/16 only.</w:t>
      </w:r>
    </w:p>
    <w:p w:rsidR="009904A4" w:rsidRDefault="009904A4" w:rsidP="009904A4"/>
    <w:p w:rsidR="00467321" w:rsidRPr="00543D25" w:rsidRDefault="00467321" w:rsidP="009904A4">
      <w:r w:rsidRPr="00543D25">
        <w:t>Children in food-insecure households were more likely to experience barriers to accessing a range of health services compared to children in food-secure households (see Figure 13, Table 9). Unmet need for primary health care was estimated based on caregivers</w:t>
      </w:r>
      <w:r w:rsidR="00543D25" w:rsidRPr="00543D25">
        <w:t>’</w:t>
      </w:r>
      <w:r w:rsidRPr="00543D25">
        <w:t xml:space="preserve"> responses to the questions on barriers to accessing a general practitioner (GP), nurse or other health care worker as a result of cost, lack of transport</w:t>
      </w:r>
      <w:r w:rsidR="009904A4">
        <w:t xml:space="preserve"> </w:t>
      </w:r>
      <w:r w:rsidRPr="00543D25">
        <w:t>or childcare. Just over 40 percent of children in food-insecure households had experienced at least one of these barriers in the past year, compared to almost 20 percent of children in food-secure households. Children in food-insecure households were also more likely to have visited an emergency department more</w:t>
      </w:r>
      <w:r w:rsidR="009904A4">
        <w:t xml:space="preserve"> </w:t>
      </w:r>
      <w:r w:rsidRPr="00543D25">
        <w:t>than once in the past year, with a rate of 12.4 percent compared to 8.7 percent for children in food-secure households.</w:t>
      </w:r>
    </w:p>
    <w:p w:rsidR="003119F5" w:rsidRDefault="003119F5" w:rsidP="00467321"/>
    <w:p w:rsidR="00467321" w:rsidRPr="00543D25" w:rsidRDefault="009904A4" w:rsidP="009904A4">
      <w:r w:rsidRPr="009904A4">
        <w:rPr>
          <w:noProof/>
          <w:lang w:eastAsia="en-NZ"/>
        </w:rPr>
        <w:lastRenderedPageBreak/>
        <w:drawing>
          <wp:anchor distT="0" distB="0" distL="114300" distR="0" simplePos="0" relativeHeight="251789312" behindDoc="0" locked="0" layoutInCell="1" allowOverlap="1" wp14:anchorId="2640764C" wp14:editId="1206F5FD">
            <wp:simplePos x="0" y="0"/>
            <wp:positionH relativeFrom="column">
              <wp:posOffset>2788920</wp:posOffset>
            </wp:positionH>
            <wp:positionV relativeFrom="paragraph">
              <wp:posOffset>46990</wp:posOffset>
            </wp:positionV>
            <wp:extent cx="2350135" cy="1256030"/>
            <wp:effectExtent l="0" t="0" r="0" b="127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350135" cy="1256030"/>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Since January 2008, the Ministry of Health has provided additional funding to encourage free GP consultations for children under six years of age. This was called the Zero Fees for Under 6s initiative. Between 2014/15 and 2015/16, this was extended to Zero Fees for Under 13s.</w:t>
      </w:r>
      <w:r>
        <w:t xml:space="preserve"> </w:t>
      </w:r>
      <w:r w:rsidR="00467321" w:rsidRPr="00543D25">
        <w:t>In July 2015, 99</w:t>
      </w:r>
      <w:r>
        <w:t> </w:t>
      </w:r>
      <w:r w:rsidR="00467321" w:rsidRPr="00543D25">
        <w:t>percent of children aged</w:t>
      </w:r>
      <w:r>
        <w:t xml:space="preserve"> </w:t>
      </w:r>
      <w:r w:rsidR="00467321" w:rsidRPr="00543D25">
        <w:t>0–5 years and 97</w:t>
      </w:r>
      <w:r>
        <w:t> </w:t>
      </w:r>
      <w:r w:rsidR="00467321" w:rsidRPr="00543D25">
        <w:t>percent of children aged 6–12 years were enrolled at a general practice that had committed to providing free visits for children during the daytime (Ministry of Health 2015). This extension of free visits to children under 13 years resulted in a significant decrease in unmet need for GPs due to cost for children aged 6–12 years (from 8.2% in 2014/15 to 5.9% in 2015/16). To ensure this did not have an impact on our findings, estimates for unmet need for primary care and unmet need for GPs were based on responses for the year 2015/16 only.</w:t>
      </w:r>
    </w:p>
    <w:p w:rsidR="009904A4" w:rsidRDefault="009904A4" w:rsidP="009904A4"/>
    <w:p w:rsidR="00467321" w:rsidRDefault="00467321" w:rsidP="009904A4">
      <w:r w:rsidRPr="00543D25">
        <w:t>In New Zealand basic oral health services are publicly funded for children from birth until their 18th birthday. However, barriers other than cost may play a role. Caregivers in food-insecure households reported significantly higher rates of unmet need (for</w:t>
      </w:r>
      <w:r w:rsidR="00543D25" w:rsidRPr="00543D25">
        <w:t xml:space="preserve"> </w:t>
      </w:r>
      <w:r w:rsidRPr="00543D25">
        <w:t xml:space="preserve">any reason) for dental health care for their child (see Figure 13, Table 9). In addition, children in food-insecure households had higher rates of tooth removal as a result of decay compared to children in food-secure households. Several other studies have found an association between food insecurity and unmet dental care need and poorer dental health in both children and adults (Jamieson and Koopu 2006a; Jamieson and Koopu 2006b; Wiener </w:t>
      </w:r>
      <w:r w:rsidR="007464C2">
        <w:t>et al</w:t>
      </w:r>
      <w:r w:rsidRPr="00543D25">
        <w:t xml:space="preserve"> 2018).</w:t>
      </w:r>
    </w:p>
    <w:p w:rsidR="009904A4" w:rsidRPr="00543D25" w:rsidRDefault="009904A4" w:rsidP="009904A4"/>
    <w:p w:rsidR="00467321" w:rsidRPr="00543D25" w:rsidRDefault="00467321" w:rsidP="009904A4">
      <w:r w:rsidRPr="00543D25">
        <w:t>A recent New Zealand study has provided some evidence that a food-related initiative in schools can be effective in improving oral health. This study looked at the KickStart programme, which provides free breakfasts in New Zealand schools and kura.</w:t>
      </w:r>
      <w:r w:rsidR="009904A4">
        <w:t xml:space="preserve"> </w:t>
      </w:r>
      <w:r w:rsidRPr="00543D25">
        <w:t>The Government has co-funded this programme since 2013. The study found that schools and kura enrolled with the Kickstart programme serving a higher number</w:t>
      </w:r>
      <w:r w:rsidR="00543D25" w:rsidRPr="00543D25">
        <w:t xml:space="preserve"> </w:t>
      </w:r>
      <w:r w:rsidRPr="00543D25">
        <w:t xml:space="preserve">of breakfasts per student per week had lower rates of hospital outpatient visits for dental surgery. The provision of breakfast in schools does not only support those in poverty or experiencing food insecurity at home, but also children who do not have breakfast at home for a range of other reasons (Wilson </w:t>
      </w:r>
      <w:r w:rsidR="007464C2">
        <w:t>et al</w:t>
      </w:r>
      <w:r w:rsidRPr="00543D25">
        <w:t xml:space="preserve"> 2018).</w:t>
      </w:r>
    </w:p>
    <w:p w:rsidR="003119F5" w:rsidRDefault="003119F5" w:rsidP="00137AF5"/>
    <w:p w:rsidR="00467321" w:rsidRPr="00467321" w:rsidRDefault="00467321" w:rsidP="009904A4">
      <w:pPr>
        <w:pStyle w:val="Table"/>
      </w:pPr>
      <w:bookmarkStart w:id="56" w:name="_bookmark25"/>
      <w:bookmarkStart w:id="57" w:name="_Toc5437197"/>
      <w:bookmarkEnd w:id="56"/>
      <w:r w:rsidRPr="00467321">
        <w:lastRenderedPageBreak/>
        <w:t>Table 9: Child unmet need, indicators by food security status, 2014/15 and 2015/16</w:t>
      </w:r>
      <w:bookmarkEnd w:id="57"/>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977"/>
        <w:gridCol w:w="851"/>
        <w:gridCol w:w="1488"/>
        <w:gridCol w:w="1488"/>
        <w:gridCol w:w="1276"/>
      </w:tblGrid>
      <w:tr w:rsidR="00137AF5" w:rsidRPr="00137AF5" w:rsidTr="00137AF5">
        <w:trPr>
          <w:cantSplit/>
        </w:trPr>
        <w:tc>
          <w:tcPr>
            <w:tcW w:w="2977" w:type="dxa"/>
            <w:tcBorders>
              <w:top w:val="nil"/>
              <w:bottom w:val="nil"/>
            </w:tcBorders>
            <w:shd w:val="clear" w:color="auto" w:fill="D9D9D9" w:themeFill="background1" w:themeFillShade="D9"/>
          </w:tcPr>
          <w:p w:rsidR="00467321" w:rsidRPr="00137AF5" w:rsidRDefault="00467321" w:rsidP="00137AF5">
            <w:pPr>
              <w:pStyle w:val="TableText"/>
              <w:keepNext/>
              <w:rPr>
                <w:b/>
              </w:rPr>
            </w:pPr>
          </w:p>
        </w:tc>
        <w:tc>
          <w:tcPr>
            <w:tcW w:w="851" w:type="dxa"/>
            <w:tcBorders>
              <w:top w:val="nil"/>
              <w:bottom w:val="nil"/>
            </w:tcBorders>
            <w:shd w:val="clear" w:color="auto" w:fill="D9D9D9" w:themeFill="background1" w:themeFillShade="D9"/>
          </w:tcPr>
          <w:p w:rsidR="00467321" w:rsidRPr="00137AF5" w:rsidRDefault="00467321" w:rsidP="00137AF5">
            <w:pPr>
              <w:pStyle w:val="TableText"/>
              <w:keepNext/>
              <w:jc w:val="center"/>
              <w:rPr>
                <w:b/>
              </w:rPr>
            </w:pPr>
            <w:r w:rsidRPr="00137AF5">
              <w:rPr>
                <w:b/>
              </w:rPr>
              <w:t>Age (child)</w:t>
            </w:r>
          </w:p>
        </w:tc>
        <w:tc>
          <w:tcPr>
            <w:tcW w:w="1488" w:type="dxa"/>
            <w:tcBorders>
              <w:top w:val="nil"/>
              <w:bottom w:val="nil"/>
            </w:tcBorders>
            <w:shd w:val="clear" w:color="auto" w:fill="D9D9D9" w:themeFill="background1" w:themeFillShade="D9"/>
          </w:tcPr>
          <w:p w:rsidR="00467321" w:rsidRPr="00137AF5" w:rsidRDefault="00467321" w:rsidP="00137AF5">
            <w:pPr>
              <w:pStyle w:val="TableText"/>
              <w:keepNext/>
              <w:jc w:val="center"/>
              <w:rPr>
                <w:b/>
              </w:rPr>
            </w:pPr>
            <w:r w:rsidRPr="00137AF5">
              <w:rPr>
                <w:b/>
              </w:rPr>
              <w:t>Percentage in severely to moderately food-insecure households</w:t>
            </w:r>
          </w:p>
        </w:tc>
        <w:tc>
          <w:tcPr>
            <w:tcW w:w="1488" w:type="dxa"/>
            <w:tcBorders>
              <w:top w:val="nil"/>
              <w:bottom w:val="nil"/>
            </w:tcBorders>
            <w:shd w:val="clear" w:color="auto" w:fill="D9D9D9" w:themeFill="background1" w:themeFillShade="D9"/>
          </w:tcPr>
          <w:p w:rsidR="00467321" w:rsidRPr="00137AF5" w:rsidRDefault="00467321" w:rsidP="00137AF5">
            <w:pPr>
              <w:pStyle w:val="TableText"/>
              <w:keepNext/>
              <w:jc w:val="center"/>
              <w:rPr>
                <w:b/>
              </w:rPr>
            </w:pPr>
            <w:r w:rsidRPr="00137AF5">
              <w:rPr>
                <w:b/>
              </w:rPr>
              <w:t>Percentage</w:t>
            </w:r>
            <w:r w:rsidR="00137AF5" w:rsidRPr="00137AF5">
              <w:rPr>
                <w:b/>
              </w:rPr>
              <w:t xml:space="preserve"> </w:t>
            </w:r>
            <w:r w:rsidRPr="00137AF5">
              <w:rPr>
                <w:b/>
              </w:rPr>
              <w:t>in fully to mostly food-secure households</w:t>
            </w:r>
          </w:p>
        </w:tc>
        <w:tc>
          <w:tcPr>
            <w:tcW w:w="1276" w:type="dxa"/>
            <w:tcBorders>
              <w:top w:val="nil"/>
              <w:bottom w:val="nil"/>
            </w:tcBorders>
            <w:shd w:val="clear" w:color="auto" w:fill="D9D9D9" w:themeFill="background1" w:themeFillShade="D9"/>
          </w:tcPr>
          <w:p w:rsidR="00467321" w:rsidRPr="00137AF5" w:rsidRDefault="00467321" w:rsidP="00137AF5">
            <w:pPr>
              <w:pStyle w:val="TableText"/>
              <w:keepNext/>
              <w:jc w:val="center"/>
              <w:rPr>
                <w:b/>
              </w:rPr>
            </w:pPr>
            <w:r w:rsidRPr="00137AF5">
              <w:rPr>
                <w:rFonts w:ascii="Trebuchet MS"/>
                <w:b/>
                <w:i/>
              </w:rPr>
              <w:t xml:space="preserve">p </w:t>
            </w:r>
            <w:r w:rsidRPr="00137AF5">
              <w:rPr>
                <w:b/>
              </w:rPr>
              <w:t>value for difference (unadjusted)</w:t>
            </w:r>
          </w:p>
        </w:tc>
      </w:tr>
      <w:tr w:rsidR="00467321" w:rsidRPr="00467321" w:rsidTr="00137AF5">
        <w:trPr>
          <w:cantSplit/>
        </w:trPr>
        <w:tc>
          <w:tcPr>
            <w:tcW w:w="2977" w:type="dxa"/>
            <w:tcBorders>
              <w:top w:val="nil"/>
            </w:tcBorders>
            <w:shd w:val="clear" w:color="auto" w:fill="auto"/>
          </w:tcPr>
          <w:p w:rsidR="00467321" w:rsidRPr="00543D25" w:rsidRDefault="00467321" w:rsidP="00137AF5">
            <w:pPr>
              <w:pStyle w:val="TableText"/>
              <w:keepNext/>
            </w:pPr>
            <w:r w:rsidRPr="00543D25">
              <w:t>More than one emergency department visit in past year</w:t>
            </w:r>
          </w:p>
        </w:tc>
        <w:tc>
          <w:tcPr>
            <w:tcW w:w="851" w:type="dxa"/>
            <w:tcBorders>
              <w:top w:val="nil"/>
            </w:tcBorders>
            <w:shd w:val="clear" w:color="auto" w:fill="auto"/>
          </w:tcPr>
          <w:p w:rsidR="00467321" w:rsidRPr="00543D25" w:rsidRDefault="00467321" w:rsidP="00137AF5">
            <w:pPr>
              <w:pStyle w:val="TableText"/>
              <w:keepNext/>
              <w:jc w:val="center"/>
            </w:pPr>
            <w:r w:rsidRPr="00543D25">
              <w:t>0–14y</w:t>
            </w:r>
          </w:p>
        </w:tc>
        <w:tc>
          <w:tcPr>
            <w:tcW w:w="1488" w:type="dxa"/>
            <w:tcBorders>
              <w:top w:val="nil"/>
            </w:tcBorders>
            <w:shd w:val="clear" w:color="auto" w:fill="auto"/>
          </w:tcPr>
          <w:p w:rsidR="00467321" w:rsidRPr="00543D25" w:rsidRDefault="00467321" w:rsidP="00137AF5">
            <w:pPr>
              <w:pStyle w:val="TableText"/>
              <w:keepNext/>
              <w:tabs>
                <w:tab w:val="decimal" w:pos="651"/>
              </w:tabs>
            </w:pPr>
            <w:r w:rsidRPr="00543D25">
              <w:t>12.4</w:t>
            </w:r>
          </w:p>
        </w:tc>
        <w:tc>
          <w:tcPr>
            <w:tcW w:w="1488" w:type="dxa"/>
            <w:tcBorders>
              <w:top w:val="nil"/>
            </w:tcBorders>
            <w:shd w:val="clear" w:color="auto" w:fill="auto"/>
          </w:tcPr>
          <w:p w:rsidR="00467321" w:rsidRPr="00543D25" w:rsidRDefault="00467321" w:rsidP="00137AF5">
            <w:pPr>
              <w:pStyle w:val="TableText"/>
              <w:keepNext/>
              <w:tabs>
                <w:tab w:val="decimal" w:pos="714"/>
              </w:tabs>
            </w:pPr>
            <w:r w:rsidRPr="00543D25">
              <w:t>8.7</w:t>
            </w:r>
          </w:p>
        </w:tc>
        <w:tc>
          <w:tcPr>
            <w:tcW w:w="1276" w:type="dxa"/>
            <w:tcBorders>
              <w:top w:val="nil"/>
            </w:tcBorders>
            <w:shd w:val="clear" w:color="auto" w:fill="auto"/>
          </w:tcPr>
          <w:p w:rsidR="00467321" w:rsidRPr="002D2F56" w:rsidRDefault="00467321" w:rsidP="00137AF5">
            <w:pPr>
              <w:pStyle w:val="TableText"/>
              <w:keepN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keepNext/>
            </w:pPr>
            <w:r w:rsidRPr="00543D25">
              <w:t>Unmet need for primary care†</w:t>
            </w:r>
          </w:p>
        </w:tc>
        <w:tc>
          <w:tcPr>
            <w:tcW w:w="851" w:type="dxa"/>
            <w:shd w:val="clear" w:color="auto" w:fill="auto"/>
          </w:tcPr>
          <w:p w:rsidR="00467321" w:rsidRPr="00543D25" w:rsidRDefault="00467321" w:rsidP="00137AF5">
            <w:pPr>
              <w:pStyle w:val="TableText"/>
              <w:keepNext/>
              <w:jc w:val="center"/>
            </w:pPr>
            <w:r w:rsidRPr="00543D25">
              <w:t>0–14y</w:t>
            </w:r>
          </w:p>
        </w:tc>
        <w:tc>
          <w:tcPr>
            <w:tcW w:w="1488" w:type="dxa"/>
            <w:shd w:val="clear" w:color="auto" w:fill="auto"/>
          </w:tcPr>
          <w:p w:rsidR="00467321" w:rsidRPr="00543D25" w:rsidRDefault="00467321" w:rsidP="00137AF5">
            <w:pPr>
              <w:pStyle w:val="TableText"/>
              <w:keepNext/>
              <w:tabs>
                <w:tab w:val="decimal" w:pos="651"/>
              </w:tabs>
            </w:pPr>
            <w:r w:rsidRPr="00543D25">
              <w:t>40.5</w:t>
            </w:r>
          </w:p>
        </w:tc>
        <w:tc>
          <w:tcPr>
            <w:tcW w:w="1488" w:type="dxa"/>
            <w:shd w:val="clear" w:color="auto" w:fill="auto"/>
          </w:tcPr>
          <w:p w:rsidR="00467321" w:rsidRPr="00543D25" w:rsidRDefault="00467321" w:rsidP="00137AF5">
            <w:pPr>
              <w:pStyle w:val="TableText"/>
              <w:keepNext/>
              <w:tabs>
                <w:tab w:val="decimal" w:pos="714"/>
              </w:tabs>
            </w:pPr>
            <w:r w:rsidRPr="00543D25">
              <w:t>19.8</w:t>
            </w:r>
          </w:p>
        </w:tc>
        <w:tc>
          <w:tcPr>
            <w:tcW w:w="1276" w:type="dxa"/>
            <w:shd w:val="clear" w:color="auto" w:fill="auto"/>
          </w:tcPr>
          <w:p w:rsidR="00467321" w:rsidRPr="002D2F56" w:rsidRDefault="00467321" w:rsidP="00137AF5">
            <w:pPr>
              <w:pStyle w:val="TableText"/>
              <w:keepN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keepNext/>
            </w:pPr>
            <w:r w:rsidRPr="00543D25">
              <w:t>Unmet need for GP due to cost†</w:t>
            </w:r>
          </w:p>
        </w:tc>
        <w:tc>
          <w:tcPr>
            <w:tcW w:w="851" w:type="dxa"/>
            <w:shd w:val="clear" w:color="auto" w:fill="auto"/>
          </w:tcPr>
          <w:p w:rsidR="00467321" w:rsidRPr="00543D25" w:rsidRDefault="00467321" w:rsidP="00137AF5">
            <w:pPr>
              <w:pStyle w:val="TableText"/>
              <w:keepNext/>
              <w:jc w:val="center"/>
            </w:pPr>
            <w:r w:rsidRPr="00543D25">
              <w:t>0–14y</w:t>
            </w:r>
          </w:p>
        </w:tc>
        <w:tc>
          <w:tcPr>
            <w:tcW w:w="1488" w:type="dxa"/>
            <w:shd w:val="clear" w:color="auto" w:fill="auto"/>
          </w:tcPr>
          <w:p w:rsidR="00467321" w:rsidRPr="00543D25" w:rsidRDefault="00467321" w:rsidP="00137AF5">
            <w:pPr>
              <w:pStyle w:val="TableText"/>
              <w:keepNext/>
              <w:tabs>
                <w:tab w:val="decimal" w:pos="651"/>
              </w:tabs>
            </w:pPr>
            <w:r w:rsidRPr="00543D25">
              <w:t>12.2</w:t>
            </w:r>
          </w:p>
        </w:tc>
        <w:tc>
          <w:tcPr>
            <w:tcW w:w="1488" w:type="dxa"/>
            <w:shd w:val="clear" w:color="auto" w:fill="auto"/>
          </w:tcPr>
          <w:p w:rsidR="00467321" w:rsidRPr="00543D25" w:rsidRDefault="00467321" w:rsidP="00137AF5">
            <w:pPr>
              <w:pStyle w:val="TableText"/>
              <w:keepNext/>
              <w:tabs>
                <w:tab w:val="decimal" w:pos="714"/>
              </w:tabs>
            </w:pPr>
            <w:r w:rsidRPr="00543D25">
              <w:t>2.7</w:t>
            </w:r>
          </w:p>
        </w:tc>
        <w:tc>
          <w:tcPr>
            <w:tcW w:w="1276" w:type="dxa"/>
            <w:shd w:val="clear" w:color="auto" w:fill="auto"/>
          </w:tcPr>
          <w:p w:rsidR="00467321" w:rsidRPr="002D2F56" w:rsidRDefault="00467321" w:rsidP="00137AF5">
            <w:pPr>
              <w:pStyle w:val="TableText"/>
              <w:keepN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keepNext/>
            </w:pPr>
            <w:r w:rsidRPr="00543D25">
              <w:t>Unmet need for after-hours care due to cost</w:t>
            </w:r>
          </w:p>
        </w:tc>
        <w:tc>
          <w:tcPr>
            <w:tcW w:w="851" w:type="dxa"/>
            <w:shd w:val="clear" w:color="auto" w:fill="auto"/>
          </w:tcPr>
          <w:p w:rsidR="00467321" w:rsidRPr="00543D25" w:rsidRDefault="00467321" w:rsidP="00137AF5">
            <w:pPr>
              <w:pStyle w:val="TableText"/>
              <w:keepNext/>
              <w:jc w:val="center"/>
            </w:pPr>
            <w:r w:rsidRPr="00543D25">
              <w:t>0–4y</w:t>
            </w:r>
          </w:p>
        </w:tc>
        <w:tc>
          <w:tcPr>
            <w:tcW w:w="1488" w:type="dxa"/>
            <w:shd w:val="clear" w:color="auto" w:fill="auto"/>
          </w:tcPr>
          <w:p w:rsidR="00467321" w:rsidRPr="00543D25" w:rsidRDefault="00467321" w:rsidP="00137AF5">
            <w:pPr>
              <w:pStyle w:val="TableText"/>
              <w:keepNext/>
              <w:tabs>
                <w:tab w:val="decimal" w:pos="651"/>
              </w:tabs>
            </w:pPr>
            <w:r w:rsidRPr="00543D25">
              <w:t>10.5</w:t>
            </w:r>
          </w:p>
        </w:tc>
        <w:tc>
          <w:tcPr>
            <w:tcW w:w="1488" w:type="dxa"/>
            <w:shd w:val="clear" w:color="auto" w:fill="auto"/>
          </w:tcPr>
          <w:p w:rsidR="00467321" w:rsidRPr="00543D25" w:rsidRDefault="00467321" w:rsidP="00137AF5">
            <w:pPr>
              <w:pStyle w:val="TableText"/>
              <w:keepNext/>
              <w:tabs>
                <w:tab w:val="decimal" w:pos="714"/>
              </w:tabs>
            </w:pPr>
            <w:r w:rsidRPr="00543D25">
              <w:t>2.2</w:t>
            </w:r>
          </w:p>
        </w:tc>
        <w:tc>
          <w:tcPr>
            <w:tcW w:w="1276" w:type="dxa"/>
            <w:shd w:val="clear" w:color="auto" w:fill="auto"/>
          </w:tcPr>
          <w:p w:rsidR="00467321" w:rsidRPr="002D2F56" w:rsidRDefault="00467321" w:rsidP="00137AF5">
            <w:pPr>
              <w:pStyle w:val="TableText"/>
              <w:keepN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keepNext/>
            </w:pPr>
            <w:r w:rsidRPr="00543D25">
              <w:t>Unfilled prescription due to cost</w:t>
            </w:r>
          </w:p>
        </w:tc>
        <w:tc>
          <w:tcPr>
            <w:tcW w:w="851" w:type="dxa"/>
            <w:shd w:val="clear" w:color="auto" w:fill="auto"/>
          </w:tcPr>
          <w:p w:rsidR="00467321" w:rsidRPr="00543D25" w:rsidRDefault="00467321" w:rsidP="00137AF5">
            <w:pPr>
              <w:pStyle w:val="TableText"/>
              <w:keepNext/>
              <w:jc w:val="center"/>
            </w:pPr>
            <w:r w:rsidRPr="00543D25">
              <w:t>0–14y</w:t>
            </w:r>
          </w:p>
        </w:tc>
        <w:tc>
          <w:tcPr>
            <w:tcW w:w="1488" w:type="dxa"/>
            <w:shd w:val="clear" w:color="auto" w:fill="auto"/>
          </w:tcPr>
          <w:p w:rsidR="00467321" w:rsidRPr="00543D25" w:rsidRDefault="00467321" w:rsidP="00137AF5">
            <w:pPr>
              <w:pStyle w:val="TableText"/>
              <w:keepNext/>
              <w:tabs>
                <w:tab w:val="decimal" w:pos="651"/>
              </w:tabs>
            </w:pPr>
            <w:r w:rsidRPr="00543D25">
              <w:t>16.4</w:t>
            </w:r>
          </w:p>
        </w:tc>
        <w:tc>
          <w:tcPr>
            <w:tcW w:w="1488" w:type="dxa"/>
            <w:shd w:val="clear" w:color="auto" w:fill="auto"/>
          </w:tcPr>
          <w:p w:rsidR="00467321" w:rsidRPr="00543D25" w:rsidRDefault="00467321" w:rsidP="00137AF5">
            <w:pPr>
              <w:pStyle w:val="TableText"/>
              <w:keepNext/>
              <w:tabs>
                <w:tab w:val="decimal" w:pos="714"/>
              </w:tabs>
            </w:pPr>
            <w:r w:rsidRPr="00543D25">
              <w:t>1.8</w:t>
            </w:r>
          </w:p>
        </w:tc>
        <w:tc>
          <w:tcPr>
            <w:tcW w:w="1276" w:type="dxa"/>
            <w:shd w:val="clear" w:color="auto" w:fill="auto"/>
          </w:tcPr>
          <w:p w:rsidR="00467321" w:rsidRPr="002D2F56" w:rsidRDefault="00467321" w:rsidP="00137AF5">
            <w:pPr>
              <w:pStyle w:val="TableText"/>
              <w:keepN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pPr>
            <w:r w:rsidRPr="00543D25">
              <w:t>Unmet need for dentist</w:t>
            </w:r>
          </w:p>
        </w:tc>
        <w:tc>
          <w:tcPr>
            <w:tcW w:w="851" w:type="dxa"/>
            <w:shd w:val="clear" w:color="auto" w:fill="auto"/>
          </w:tcPr>
          <w:p w:rsidR="00467321" w:rsidRPr="00543D25" w:rsidRDefault="00467321" w:rsidP="00137AF5">
            <w:pPr>
              <w:pStyle w:val="TableText"/>
              <w:jc w:val="center"/>
            </w:pPr>
            <w:r w:rsidRPr="00543D25">
              <w:t>2–14y</w:t>
            </w:r>
          </w:p>
        </w:tc>
        <w:tc>
          <w:tcPr>
            <w:tcW w:w="1488" w:type="dxa"/>
            <w:shd w:val="clear" w:color="auto" w:fill="auto"/>
          </w:tcPr>
          <w:p w:rsidR="00467321" w:rsidRPr="00543D25" w:rsidRDefault="00467321" w:rsidP="00137AF5">
            <w:pPr>
              <w:pStyle w:val="TableText"/>
              <w:tabs>
                <w:tab w:val="decimal" w:pos="651"/>
              </w:tabs>
            </w:pPr>
            <w:r w:rsidRPr="00543D25">
              <w:t>7.6</w:t>
            </w:r>
          </w:p>
        </w:tc>
        <w:tc>
          <w:tcPr>
            <w:tcW w:w="1488" w:type="dxa"/>
            <w:shd w:val="clear" w:color="auto" w:fill="auto"/>
          </w:tcPr>
          <w:p w:rsidR="00467321" w:rsidRPr="00543D25" w:rsidRDefault="00467321" w:rsidP="00137AF5">
            <w:pPr>
              <w:pStyle w:val="TableText"/>
              <w:tabs>
                <w:tab w:val="decimal" w:pos="714"/>
              </w:tabs>
            </w:pPr>
            <w:r w:rsidRPr="00543D25">
              <w:t>3.0</w:t>
            </w:r>
          </w:p>
        </w:tc>
        <w:tc>
          <w:tcPr>
            <w:tcW w:w="1276" w:type="dxa"/>
            <w:shd w:val="clear" w:color="auto" w:fill="auto"/>
          </w:tcPr>
          <w:p w:rsidR="00467321" w:rsidRPr="002D2F56" w:rsidRDefault="00467321" w:rsidP="00137AF5">
            <w:pPr>
              <w:pStyle w:val="TableText"/>
              <w:jc w:val="center"/>
              <w:rPr>
                <w:b/>
              </w:rPr>
            </w:pPr>
            <w:r w:rsidRPr="002D2F56">
              <w:rPr>
                <w:b/>
              </w:rPr>
              <w:t>&lt;.01</w:t>
            </w:r>
          </w:p>
        </w:tc>
      </w:tr>
      <w:tr w:rsidR="00467321" w:rsidRPr="00467321" w:rsidTr="00137AF5">
        <w:trPr>
          <w:cantSplit/>
        </w:trPr>
        <w:tc>
          <w:tcPr>
            <w:tcW w:w="2977" w:type="dxa"/>
            <w:shd w:val="clear" w:color="auto" w:fill="auto"/>
          </w:tcPr>
          <w:p w:rsidR="00467321" w:rsidRPr="00543D25" w:rsidRDefault="00467321" w:rsidP="00137AF5">
            <w:pPr>
              <w:pStyle w:val="TableText"/>
            </w:pPr>
            <w:r w:rsidRPr="00543D25">
              <w:t>Tooth removed due to decay ever</w:t>
            </w:r>
          </w:p>
        </w:tc>
        <w:tc>
          <w:tcPr>
            <w:tcW w:w="851" w:type="dxa"/>
            <w:shd w:val="clear" w:color="auto" w:fill="auto"/>
          </w:tcPr>
          <w:p w:rsidR="00467321" w:rsidRPr="00543D25" w:rsidRDefault="00467321" w:rsidP="00137AF5">
            <w:pPr>
              <w:pStyle w:val="TableText"/>
              <w:jc w:val="center"/>
            </w:pPr>
            <w:r w:rsidRPr="00543D25">
              <w:t>2–14y</w:t>
            </w:r>
          </w:p>
        </w:tc>
        <w:tc>
          <w:tcPr>
            <w:tcW w:w="1488" w:type="dxa"/>
            <w:shd w:val="clear" w:color="auto" w:fill="auto"/>
          </w:tcPr>
          <w:p w:rsidR="00467321" w:rsidRPr="00543D25" w:rsidRDefault="00467321" w:rsidP="00137AF5">
            <w:pPr>
              <w:pStyle w:val="TableText"/>
              <w:tabs>
                <w:tab w:val="decimal" w:pos="651"/>
              </w:tabs>
            </w:pPr>
            <w:r w:rsidRPr="00543D25">
              <w:t>15.4</w:t>
            </w:r>
          </w:p>
        </w:tc>
        <w:tc>
          <w:tcPr>
            <w:tcW w:w="1488" w:type="dxa"/>
            <w:shd w:val="clear" w:color="auto" w:fill="auto"/>
          </w:tcPr>
          <w:p w:rsidR="00467321" w:rsidRPr="00543D25" w:rsidRDefault="00467321" w:rsidP="00137AF5">
            <w:pPr>
              <w:pStyle w:val="TableText"/>
              <w:tabs>
                <w:tab w:val="decimal" w:pos="714"/>
              </w:tabs>
            </w:pPr>
            <w:r w:rsidRPr="00543D25">
              <w:t>10.0</w:t>
            </w:r>
          </w:p>
        </w:tc>
        <w:tc>
          <w:tcPr>
            <w:tcW w:w="1276" w:type="dxa"/>
            <w:shd w:val="clear" w:color="auto" w:fill="auto"/>
          </w:tcPr>
          <w:p w:rsidR="00467321" w:rsidRPr="002D2F56" w:rsidRDefault="00467321" w:rsidP="00137AF5">
            <w:pPr>
              <w:pStyle w:val="TableText"/>
              <w:jc w:val="center"/>
              <w:rPr>
                <w:b/>
              </w:rPr>
            </w:pPr>
            <w:r w:rsidRPr="002D2F56">
              <w:rPr>
                <w:b/>
              </w:rPr>
              <w:t>&lt;.01</w:t>
            </w:r>
          </w:p>
        </w:tc>
      </w:tr>
    </w:tbl>
    <w:p w:rsidR="00467321" w:rsidRPr="00467321" w:rsidRDefault="00467321" w:rsidP="009904A4">
      <w:pPr>
        <w:pStyle w:val="Note"/>
      </w:pPr>
      <w:r w:rsidRPr="00467321">
        <w:t>Notes: † indicates data based on 2015/16 only.</w:t>
      </w:r>
    </w:p>
    <w:p w:rsidR="00467321" w:rsidRPr="00467321" w:rsidRDefault="00467321" w:rsidP="009904A4">
      <w:pPr>
        <w:pStyle w:val="Note"/>
      </w:pPr>
      <w:r w:rsidRPr="00467321">
        <w:t xml:space="preserve">Statistically significant differences between </w:t>
      </w:r>
      <w:r w:rsidR="002D2F56" w:rsidRPr="00467321">
        <w:t>children in food-secure</w:t>
      </w:r>
      <w:r w:rsidR="002D2F56">
        <w:t xml:space="preserve"> </w:t>
      </w:r>
      <w:r w:rsidR="002D2F56" w:rsidRPr="00467321">
        <w:t xml:space="preserve">households and food-insecure households </w:t>
      </w:r>
      <w:r w:rsidRPr="00467321">
        <w:t>(</w:t>
      </w:r>
      <w:r w:rsidRPr="00467321">
        <w:rPr>
          <w:rFonts w:ascii="Calibri"/>
          <w:i/>
        </w:rPr>
        <w:t>p</w:t>
      </w:r>
      <w:r w:rsidRPr="00467321">
        <w:t>&lt;.05) are shown in bold</w:t>
      </w:r>
      <w:r w:rsidR="002D2F56">
        <w:t>.</w:t>
      </w:r>
      <w:r w:rsidRPr="00467321">
        <w:t xml:space="preserve"> Estimates are unadjusted.</w:t>
      </w:r>
    </w:p>
    <w:p w:rsidR="00467321" w:rsidRPr="00543D25" w:rsidRDefault="00467321" w:rsidP="009904A4"/>
    <w:p w:rsidR="00467321" w:rsidRPr="00467321" w:rsidRDefault="00467321" w:rsidP="009904A4">
      <w:pPr>
        <w:pStyle w:val="Heading2"/>
      </w:pPr>
      <w:bookmarkStart w:id="58" w:name="_Toc5437076"/>
      <w:r w:rsidRPr="00467321">
        <w:t>Fewer children in food-insecure households met the fruit and vegetable consumption guidelines</w:t>
      </w:r>
      <w:bookmarkEnd w:id="58"/>
    </w:p>
    <w:p w:rsidR="00467321" w:rsidRDefault="00467321" w:rsidP="009904A4">
      <w:r w:rsidRPr="00543D25">
        <w:t xml:space="preserve">There is an extensive body of research indicating that children experiencing household food insecurity have lower fruit and vegetable intake, diets higher in fat, and are at an increased risk of obesity (Fram </w:t>
      </w:r>
      <w:r w:rsidR="007464C2">
        <w:t>et al</w:t>
      </w:r>
      <w:r w:rsidRPr="00543D25">
        <w:t xml:space="preserve"> 2015; Parnell and Gray 2014; Schlichting </w:t>
      </w:r>
      <w:r w:rsidR="007464C2">
        <w:t>et al</w:t>
      </w:r>
      <w:r w:rsidRPr="00543D25">
        <w:t xml:space="preserve"> 2018; Smith </w:t>
      </w:r>
      <w:r w:rsidR="007464C2">
        <w:t>et al</w:t>
      </w:r>
      <w:r w:rsidRPr="00543D25">
        <w:t xml:space="preserve"> 2010; Smith </w:t>
      </w:r>
      <w:r w:rsidR="007464C2">
        <w:t>et al</w:t>
      </w:r>
      <w:r w:rsidRPr="00543D25">
        <w:t xml:space="preserve"> 2013; Utter </w:t>
      </w:r>
      <w:r w:rsidR="007464C2">
        <w:t>et al</w:t>
      </w:r>
      <w:r w:rsidRPr="00543D25">
        <w:t xml:space="preserve"> 2012).</w:t>
      </w:r>
    </w:p>
    <w:p w:rsidR="009904A4" w:rsidRPr="00543D25" w:rsidRDefault="009904A4" w:rsidP="009904A4"/>
    <w:p w:rsidR="00467321" w:rsidRPr="00543D25" w:rsidRDefault="00467321" w:rsidP="009904A4">
      <w:r w:rsidRPr="00543D25">
        <w:t>As there are known age-differences in the indicators related to nutrition that are</w:t>
      </w:r>
      <w:r w:rsidR="009904A4">
        <w:t xml:space="preserve"> </w:t>
      </w:r>
      <w:r w:rsidRPr="00543D25">
        <w:t>covered by the New Zealand Health Survey (Ministry of Health 2017, Appendix 5),</w:t>
      </w:r>
      <w:r w:rsidR="009904A4">
        <w:t xml:space="preserve"> </w:t>
      </w:r>
      <w:r w:rsidRPr="00543D25">
        <w:t>we present results for children aged 2–4 years, 5–9 years and 10–14 years separately (see Figures 14A, 14B and 14C).</w:t>
      </w:r>
    </w:p>
    <w:p w:rsidR="009904A4" w:rsidRDefault="009904A4" w:rsidP="009904A4"/>
    <w:p w:rsidR="00467321" w:rsidRPr="00543D25" w:rsidRDefault="00467321" w:rsidP="009904A4">
      <w:r w:rsidRPr="00543D25">
        <w:t>For the three age groups, children living in food-insecure households were more likely to have consumed fast food or fizzy drinks three or more times in the week prior to the interview. Children in food-insecure households were also less likely to have met the guidelines for vegetable consumption, based on their average daily consumption patterns.</w:t>
      </w:r>
    </w:p>
    <w:p w:rsidR="003119F5" w:rsidRDefault="003119F5" w:rsidP="009904A4"/>
    <w:p w:rsidR="00467321" w:rsidRDefault="00467321" w:rsidP="009904A4">
      <w:r w:rsidRPr="00543D25">
        <w:t>Children in food-insecure and food-secure households differed in terms of not meeting the guidelines for fruit consumption and eating breakfast at home for the 5–9 and 10–14 year age groups only.</w:t>
      </w:r>
    </w:p>
    <w:p w:rsidR="00137AF5" w:rsidRPr="00543D25" w:rsidRDefault="00137AF5" w:rsidP="009904A4"/>
    <w:p w:rsidR="00467321" w:rsidRDefault="00137AF5" w:rsidP="00137AF5">
      <w:r w:rsidRPr="00137AF5">
        <w:rPr>
          <w:noProof/>
          <w:lang w:eastAsia="en-NZ"/>
        </w:rPr>
        <w:lastRenderedPageBreak/>
        <w:drawing>
          <wp:anchor distT="0" distB="0" distL="114300" distR="0" simplePos="0" relativeHeight="251790336" behindDoc="0" locked="0" layoutInCell="1" allowOverlap="1" wp14:anchorId="11AD0544" wp14:editId="35AFB52E">
            <wp:simplePos x="0" y="0"/>
            <wp:positionH relativeFrom="column">
              <wp:posOffset>2915285</wp:posOffset>
            </wp:positionH>
            <wp:positionV relativeFrom="paragraph">
              <wp:posOffset>88265</wp:posOffset>
            </wp:positionV>
            <wp:extent cx="2190115" cy="1595755"/>
            <wp:effectExtent l="0" t="0" r="635" b="4445"/>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90115" cy="1595755"/>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The majority of pre-schoolers (2–4 years)</w:t>
      </w:r>
      <w:r>
        <w:t xml:space="preserve"> </w:t>
      </w:r>
      <w:r w:rsidR="00467321" w:rsidRPr="00543D25">
        <w:t>ate breakfast at home five or more days a week (five+ days, 94%), both in food-insecure</w:t>
      </w:r>
      <w:r>
        <w:t xml:space="preserve"> </w:t>
      </w:r>
      <w:r w:rsidR="00467321" w:rsidRPr="00543D25">
        <w:t>and food-secure households. The share of children in food-insecure households having breakfast at home five+ days was significantly lower for school-aged children. For the food-secure group this was significantly lower only for</w:t>
      </w:r>
      <w:r>
        <w:br/>
      </w:r>
      <w:r w:rsidR="00467321" w:rsidRPr="00543D25">
        <w:t>10–14 year olds (see Figures 14A, 14B and 14C). For children aged 10–14 years in food-insecure</w:t>
      </w:r>
      <w:r>
        <w:t xml:space="preserve"> </w:t>
      </w:r>
      <w:r w:rsidR="00467321" w:rsidRPr="00543D25">
        <w:t>households, an estimated one in four did not eat breakfast at home five+ days a week (24.9%), compared to 13.2% for those in food-secure households. This does not mean these children did not eat breakfast at all on these days, as they may have eaten breakfast at school or in another setting.</w:t>
      </w:r>
    </w:p>
    <w:p w:rsidR="00137AF5" w:rsidRPr="00543D25" w:rsidRDefault="00137AF5" w:rsidP="00137AF5"/>
    <w:p w:rsidR="00467321" w:rsidRPr="00543D25" w:rsidRDefault="00467321" w:rsidP="00137AF5">
      <w:r w:rsidRPr="00543D25">
        <w:t>With regards to fruit consumption, rates of not meeting the guidelines were</w:t>
      </w:r>
      <w:r w:rsidR="00137AF5">
        <w:t xml:space="preserve"> </w:t>
      </w:r>
      <w:r w:rsidRPr="00543D25">
        <w:t>significantly higher for children aged 10–14 years compared to those aged</w:t>
      </w:r>
      <w:r w:rsidR="00137AF5">
        <w:t xml:space="preserve"> </w:t>
      </w:r>
      <w:r w:rsidRPr="00543D25">
        <w:t>2–4 years for both the food-insecure and secure groups, (see Figures 14A, 14B and 14C). Of children between the ages of 10 and 14 years, 40.3 percent did not meet the guidelines in food-insecure households and 31.5 percent in food-secure households.</w:t>
      </w:r>
    </w:p>
    <w:p w:rsidR="00137AF5" w:rsidRDefault="00137AF5" w:rsidP="00137AF5"/>
    <w:p w:rsidR="00467321" w:rsidRPr="00543D25" w:rsidRDefault="00467321" w:rsidP="00137AF5">
      <w:r w:rsidRPr="00543D25">
        <w:t xml:space="preserve">Across all groups a significantly larger share of children met the guidelines for fruit compared to vegetable consumption. Particularly for children aged 5–9 years in </w:t>
      </w:r>
      <w:r w:rsidR="00C11D2D">
        <w:t>food-insecure</w:t>
      </w:r>
      <w:r w:rsidRPr="00543D25">
        <w:t xml:space="preserve"> households this difference was large; the percentage meeting the guidelines for fruit (72.0%) was double that of the guidelines for vegetables (35.8%). Caregivers can only report on their child</w:t>
      </w:r>
      <w:r w:rsidR="00543D25" w:rsidRPr="00543D25">
        <w:t>’</w:t>
      </w:r>
      <w:r w:rsidRPr="00543D25">
        <w:t>s consumption patterns as far as they are aware,</w:t>
      </w:r>
      <w:r w:rsidR="009904A4">
        <w:t xml:space="preserve"> </w:t>
      </w:r>
      <w:r w:rsidRPr="00543D25">
        <w:t>and may not have been able to include foods consumed by the child that were not prepared by themselves. For example, as part of the Ministry of Health-funded Fruit in School programme, children at schools with a high proportion of students from low socioeconomic communities (decile 1 and 2 and some decile 3 schools) may have received a piece of fruit or vegetable at school each day.</w:t>
      </w:r>
    </w:p>
    <w:p w:rsidR="003119F5" w:rsidRDefault="003119F5" w:rsidP="00137AF5"/>
    <w:p w:rsidR="00467321" w:rsidRPr="00467321" w:rsidRDefault="00467321" w:rsidP="009904A4">
      <w:pPr>
        <w:pStyle w:val="Figure"/>
      </w:pPr>
      <w:bookmarkStart w:id="59" w:name="_bookmark26"/>
      <w:bookmarkStart w:id="60" w:name="_Toc5437133"/>
      <w:bookmarkEnd w:id="59"/>
      <w:r w:rsidRPr="00467321">
        <w:lastRenderedPageBreak/>
        <w:t>Figure 14A: Household food insecurity and nutrition indicators for children aged</w:t>
      </w:r>
      <w:r w:rsidR="00137AF5">
        <w:br/>
      </w:r>
      <w:r w:rsidRPr="00467321">
        <w:t>2–4 years, 2014/15 and 2015/16</w:t>
      </w:r>
      <w:bookmarkEnd w:id="60"/>
    </w:p>
    <w:p w:rsidR="003119F5" w:rsidRDefault="00137AF5" w:rsidP="00137AF5">
      <w:pPr>
        <w:keepNext/>
      </w:pPr>
      <w:r w:rsidRPr="00137AF5">
        <w:rPr>
          <w:noProof/>
          <w:lang w:eastAsia="en-NZ"/>
        </w:rPr>
        <w:drawing>
          <wp:inline distT="0" distB="0" distL="0" distR="0" wp14:anchorId="39B8CA2F" wp14:editId="013146B1">
            <wp:extent cx="5130165" cy="2733896"/>
            <wp:effectExtent l="0" t="0" r="0" b="9525"/>
            <wp:docPr id="27" name="Picture 27" title="Figure 14A: Household food insecurity and nutrition indicators for children aged 2–4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30165" cy="2733896"/>
                    </a:xfrm>
                    <a:prstGeom prst="rect">
                      <a:avLst/>
                    </a:prstGeom>
                  </pic:spPr>
                </pic:pic>
              </a:graphicData>
            </a:graphic>
          </wp:inline>
        </w:drawing>
      </w:r>
    </w:p>
    <w:p w:rsidR="00467321" w:rsidRPr="00467321" w:rsidRDefault="00467321" w:rsidP="009904A4">
      <w:pPr>
        <w:pStyle w:val="Note"/>
      </w:pPr>
      <w:r w:rsidRPr="00467321">
        <w:t>Notes: See Appendix 3 for indicator definitions and Appendix 5 for data tables.</w:t>
      </w:r>
    </w:p>
    <w:p w:rsidR="00467321" w:rsidRPr="00467321" w:rsidRDefault="00467321" w:rsidP="009904A4">
      <w:pPr>
        <w:pStyle w:val="Note"/>
        <w:ind w:left="198" w:hanging="198"/>
      </w:pPr>
      <w:r w:rsidRPr="00467321">
        <w:t>*</w:t>
      </w:r>
      <w:r w:rsidR="009904A4">
        <w:tab/>
      </w:r>
      <w:r w:rsidRPr="00467321">
        <w:t>indicates a statistically significant difference between children in food-secure households</w:t>
      </w:r>
      <w:r w:rsidR="009904A4">
        <w:t xml:space="preserve"> </w:t>
      </w:r>
      <w:r w:rsidRPr="00467321">
        <w:t>and food-insecure households (p&lt;.05). Estimates are unadjusted.</w:t>
      </w:r>
    </w:p>
    <w:p w:rsidR="00467321" w:rsidRPr="00543D25" w:rsidRDefault="00467321" w:rsidP="009904A4"/>
    <w:p w:rsidR="00467321" w:rsidRPr="00467321" w:rsidRDefault="00467321" w:rsidP="009904A4">
      <w:pPr>
        <w:pStyle w:val="Figure"/>
      </w:pPr>
      <w:bookmarkStart w:id="61" w:name="_Toc5437134"/>
      <w:r w:rsidRPr="00467321">
        <w:t>Figure 14B: Household food insecurity and nutrition indicators for children aged</w:t>
      </w:r>
      <w:r w:rsidR="00137AF5">
        <w:br/>
      </w:r>
      <w:r w:rsidRPr="00467321">
        <w:t>5–9 years, 2014/15 and 2015/16</w:t>
      </w:r>
      <w:bookmarkEnd w:id="61"/>
    </w:p>
    <w:p w:rsidR="003119F5" w:rsidRDefault="00137AF5" w:rsidP="00137AF5">
      <w:r w:rsidRPr="00137AF5">
        <w:rPr>
          <w:noProof/>
          <w:lang w:eastAsia="en-NZ"/>
        </w:rPr>
        <w:drawing>
          <wp:inline distT="0" distB="0" distL="0" distR="0" wp14:anchorId="410373E2" wp14:editId="3C818D8D">
            <wp:extent cx="5130165" cy="2713616"/>
            <wp:effectExtent l="0" t="0" r="0" b="0"/>
            <wp:docPr id="28" name="Picture 28" title="Figure 14B: Household food insecurity and nutrition indicators for children aged 5–9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2713616"/>
                    </a:xfrm>
                    <a:prstGeom prst="rect">
                      <a:avLst/>
                    </a:prstGeom>
                  </pic:spPr>
                </pic:pic>
              </a:graphicData>
            </a:graphic>
          </wp:inline>
        </w:drawing>
      </w:r>
    </w:p>
    <w:p w:rsidR="00467321" w:rsidRPr="00467321" w:rsidRDefault="00467321" w:rsidP="00137AF5">
      <w:pPr>
        <w:pStyle w:val="Note"/>
      </w:pPr>
      <w:r w:rsidRPr="00467321">
        <w:t>Notes: See Appendix 3 for indicator definitions and Appendix 5 for data tables.</w:t>
      </w:r>
    </w:p>
    <w:p w:rsidR="00467321" w:rsidRPr="00467321" w:rsidRDefault="00467321" w:rsidP="00137AF5">
      <w:pPr>
        <w:pStyle w:val="Note"/>
        <w:ind w:left="198" w:hanging="198"/>
      </w:pPr>
      <w:r w:rsidRPr="00467321">
        <w:t>*</w:t>
      </w:r>
      <w:r w:rsidR="00137AF5">
        <w:tab/>
      </w:r>
      <w:r w:rsidRPr="00467321">
        <w:t>indicates a statistically significant difference between children in food-secure households</w:t>
      </w:r>
      <w:r w:rsidR="00137AF5">
        <w:t xml:space="preserve"> </w:t>
      </w:r>
      <w:r w:rsidRPr="00467321">
        <w:t>and food-insecure households (p&lt;.05). Estimates are unadjusted.</w:t>
      </w:r>
    </w:p>
    <w:p w:rsidR="003119F5" w:rsidRDefault="003119F5" w:rsidP="009904A4"/>
    <w:p w:rsidR="00467321" w:rsidRPr="00467321" w:rsidRDefault="00467321" w:rsidP="009904A4">
      <w:pPr>
        <w:pStyle w:val="Figure"/>
      </w:pPr>
      <w:bookmarkStart w:id="62" w:name="_bookmark27"/>
      <w:bookmarkStart w:id="63" w:name="_Toc5437135"/>
      <w:bookmarkEnd w:id="62"/>
      <w:r w:rsidRPr="00467321">
        <w:lastRenderedPageBreak/>
        <w:t>Figure 14C: Household food insecurity and nutrition indicators for children aged</w:t>
      </w:r>
      <w:r w:rsidR="00137AF5">
        <w:br/>
      </w:r>
      <w:r w:rsidRPr="00467321">
        <w:t>10–14 years, 2014/15 and 2015/16</w:t>
      </w:r>
      <w:bookmarkEnd w:id="63"/>
    </w:p>
    <w:p w:rsidR="003119F5" w:rsidRDefault="00137AF5" w:rsidP="00137AF5">
      <w:r w:rsidRPr="00137AF5">
        <w:rPr>
          <w:noProof/>
          <w:lang w:eastAsia="en-NZ"/>
        </w:rPr>
        <w:drawing>
          <wp:inline distT="0" distB="0" distL="0" distR="0" wp14:anchorId="575306BE" wp14:editId="27369578">
            <wp:extent cx="5130165" cy="2779936"/>
            <wp:effectExtent l="0" t="0" r="0" b="1905"/>
            <wp:docPr id="29" name="Picture 29" title="Figure 14C: Household food insecurity and nutrition indicators for children aged 10–14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30165" cy="2779936"/>
                    </a:xfrm>
                    <a:prstGeom prst="rect">
                      <a:avLst/>
                    </a:prstGeom>
                  </pic:spPr>
                </pic:pic>
              </a:graphicData>
            </a:graphic>
          </wp:inline>
        </w:drawing>
      </w:r>
    </w:p>
    <w:p w:rsidR="00467321" w:rsidRPr="00467321" w:rsidRDefault="00467321" w:rsidP="00D264A4">
      <w:pPr>
        <w:pStyle w:val="Note"/>
      </w:pPr>
      <w:r w:rsidRPr="00467321">
        <w:t>Notes: See Appendix 3 for indicator definitions and Appendix 5 for data tables.</w:t>
      </w:r>
    </w:p>
    <w:p w:rsidR="00467321" w:rsidRPr="00467321" w:rsidRDefault="00467321" w:rsidP="00D264A4">
      <w:pPr>
        <w:pStyle w:val="Note"/>
        <w:ind w:left="284" w:hanging="284"/>
      </w:pPr>
      <w:r w:rsidRPr="00467321">
        <w:t>*</w:t>
      </w:r>
      <w:r w:rsidR="00D264A4">
        <w:tab/>
      </w:r>
      <w:r w:rsidRPr="00467321">
        <w:t>indicates a statistically significant difference between children in food-secure households</w:t>
      </w:r>
      <w:r w:rsidR="00D264A4">
        <w:t xml:space="preserve"> </w:t>
      </w:r>
      <w:r w:rsidRPr="00467321">
        <w:t>and food-insecure households (p&lt;.05). Estimates are unadjusted.</w:t>
      </w:r>
    </w:p>
    <w:p w:rsidR="00467321" w:rsidRPr="00543D25" w:rsidRDefault="00467321" w:rsidP="00137AF5"/>
    <w:p w:rsidR="00467321" w:rsidRPr="00467321" w:rsidRDefault="00467321" w:rsidP="00D264A4">
      <w:pPr>
        <w:pStyle w:val="Heading2"/>
      </w:pPr>
      <w:bookmarkStart w:id="64" w:name="_Toc5437077"/>
      <w:r w:rsidRPr="00467321">
        <w:t>Fewer children in food-insecure households had a healthy weight</w:t>
      </w:r>
      <w:bookmarkEnd w:id="64"/>
    </w:p>
    <w:p w:rsidR="00467321" w:rsidRPr="00543D25" w:rsidRDefault="00467321" w:rsidP="00F01541">
      <w:r w:rsidRPr="00543D25">
        <w:t>Evidence around the association between food insecurity and children</w:t>
      </w:r>
      <w:r w:rsidR="00543D25" w:rsidRPr="00543D25">
        <w:t>’</w:t>
      </w:r>
      <w:r w:rsidRPr="00543D25">
        <w:t>s body weight is mixed. Young people in New Zealand who indicated food security concerns in the Youth</w:t>
      </w:r>
      <w:r w:rsidR="00543D25" w:rsidRPr="00543D25">
        <w:t>’</w:t>
      </w:r>
      <w:r w:rsidRPr="00543D25">
        <w:t xml:space="preserve">12 Survey were more likely to be overweight or obese compared to their peers who did not report such concerns (Utter </w:t>
      </w:r>
      <w:r w:rsidR="007464C2">
        <w:t>et al</w:t>
      </w:r>
      <w:r w:rsidRPr="00543D25">
        <w:t xml:space="preserve"> 2018). Although this is consistent with other work internationally (eg, Casey </w:t>
      </w:r>
      <w:r w:rsidR="007464C2">
        <w:t>et al</w:t>
      </w:r>
      <w:r w:rsidRPr="00543D25">
        <w:t xml:space="preserve"> 2006), not all research finds an association between household food insecurity and body weight (Black </w:t>
      </w:r>
      <w:r w:rsidR="007464C2">
        <w:t>et al</w:t>
      </w:r>
      <w:r w:rsidRPr="00543D25">
        <w:t xml:space="preserve"> 2017; Franklin </w:t>
      </w:r>
      <w:r w:rsidR="007464C2">
        <w:t>et al</w:t>
      </w:r>
      <w:r w:rsidRPr="00543D25">
        <w:t xml:space="preserve"> 2011). The association may be stronger when asking children about their personal food insecurity rather than asking their caregiver about food insecurity in the household (Kaur </w:t>
      </w:r>
      <w:r w:rsidR="007464C2">
        <w:t>et al</w:t>
      </w:r>
      <w:r w:rsidRPr="00543D25">
        <w:t xml:space="preserve"> 2015).</w:t>
      </w:r>
    </w:p>
    <w:p w:rsidR="00F01541" w:rsidRDefault="00F01541" w:rsidP="00F01541"/>
    <w:p w:rsidR="00467321" w:rsidRPr="00543D25" w:rsidRDefault="00467321" w:rsidP="00F01541">
      <w:r w:rsidRPr="00543D25">
        <w:t xml:space="preserve">Explanations for the association between food insecurity and body weight are discussed in the literature. Food insecurity may put children at greater risk of being overweight due to the consumption of low-cost, easy access, energy-dense foods (Drewnowski and Specter 2004). Also susceptibility to being overweight may be a result of overeating when food is available in response to periods without sufficient food and changing eating habits (Alaimo </w:t>
      </w:r>
      <w:r w:rsidR="007464C2">
        <w:t>et al</w:t>
      </w:r>
      <w:r w:rsidRPr="00543D25">
        <w:t xml:space="preserve"> 2001).</w:t>
      </w:r>
    </w:p>
    <w:p w:rsidR="00F01541" w:rsidRDefault="00F01541" w:rsidP="00F01541"/>
    <w:p w:rsidR="00467321" w:rsidRPr="00543D25" w:rsidRDefault="00467321" w:rsidP="00F01541">
      <w:pPr>
        <w:keepLines/>
      </w:pPr>
      <w:r w:rsidRPr="00543D25">
        <w:lastRenderedPageBreak/>
        <w:t>As for the nutrition indicators, body size estimates are presented for children aged</w:t>
      </w:r>
      <w:r w:rsidR="00375BFC">
        <w:br/>
      </w:r>
      <w:r w:rsidRPr="00543D25">
        <w:t>2–4 years, 5–9 years and 10–14 years separately (see Figures 15A, 15B and 15C). The estimates are based on children</w:t>
      </w:r>
      <w:r w:rsidR="00543D25" w:rsidRPr="00543D25">
        <w:t>’</w:t>
      </w:r>
      <w:r w:rsidRPr="00543D25">
        <w:t>s body mass index. Across the age groups, children in food-insecure households were less likely to be healthy weight and more likely to be overweight or obese compared to children in food-secure households. Around one in two children in food-insecure households were considered healthy weight. For</w:t>
      </w:r>
      <w:r w:rsidR="00F01541">
        <w:t xml:space="preserve"> </w:t>
      </w:r>
      <w:r w:rsidRPr="00543D25">
        <w:t>10–14 year old children, 50.0 percent of children were in food-insecure households</w:t>
      </w:r>
      <w:r w:rsidR="00F01541">
        <w:t xml:space="preserve"> </w:t>
      </w:r>
      <w:bookmarkStart w:id="65" w:name="_bookmark28"/>
      <w:bookmarkEnd w:id="65"/>
      <w:r w:rsidRPr="00543D25">
        <w:t>and were a healthy weight compared to 61.9 percent in food-secure households. For the 5–9 and 10–14 year age groups, the rate of obesity in children in food-insecure households was twice that of children in food-secure households. Overweight rates in 10–14 year old children were similar between the food-insecure and secure groups.</w:t>
      </w:r>
    </w:p>
    <w:p w:rsidR="00375BFC" w:rsidRDefault="00375BFC" w:rsidP="00375BFC"/>
    <w:p w:rsidR="00467321" w:rsidRPr="00543D25" w:rsidRDefault="00375BFC" w:rsidP="00375BFC">
      <w:r w:rsidRPr="00375BFC">
        <w:rPr>
          <w:noProof/>
          <w:lang w:eastAsia="en-NZ"/>
        </w:rPr>
        <w:drawing>
          <wp:anchor distT="0" distB="0" distL="114300" distR="0" simplePos="0" relativeHeight="251791360" behindDoc="0" locked="0" layoutInCell="1" allowOverlap="1" wp14:anchorId="5A473966" wp14:editId="7971D68B">
            <wp:simplePos x="0" y="0"/>
            <wp:positionH relativeFrom="column">
              <wp:posOffset>3091815</wp:posOffset>
            </wp:positionH>
            <wp:positionV relativeFrom="paragraph">
              <wp:posOffset>54610</wp:posOffset>
            </wp:positionV>
            <wp:extent cx="2045335" cy="1487805"/>
            <wp:effectExtent l="0" t="0" r="0" b="0"/>
            <wp:wrapSquare wrapText="lef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45335" cy="1487805"/>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The rate of being overweight was relatively constant across age groups for children in</w:t>
      </w:r>
      <w:r>
        <w:t xml:space="preserve"> </w:t>
      </w:r>
      <w:r w:rsidR="00467321" w:rsidRPr="00543D25">
        <w:t>food-insecure households. In contrast, the rate of</w:t>
      </w:r>
      <w:r>
        <w:t xml:space="preserve"> </w:t>
      </w:r>
      <w:r w:rsidR="00467321" w:rsidRPr="00543D25">
        <w:t>obesity was significantly higher for older children</w:t>
      </w:r>
      <w:r>
        <w:t xml:space="preserve"> </w:t>
      </w:r>
      <w:r w:rsidR="00467321" w:rsidRPr="00543D25">
        <w:t>(5–9 and 10–14 years) compared to those between 2 and 4 years in food insecure households. For children in food-secure households, the rate of obesity was significantly higher for pre-school children (2–4 years) compared to the 10–14 year age group only. This</w:t>
      </w:r>
      <w:r>
        <w:t xml:space="preserve"> </w:t>
      </w:r>
      <w:r w:rsidR="00467321" w:rsidRPr="00543D25">
        <w:t>suggests that although the rate of obesity was higher for older children in the population as a whole, this increase may happen at an earlier age for children in food-insecure households.</w:t>
      </w:r>
    </w:p>
    <w:p w:rsidR="00467321" w:rsidRPr="00543D25" w:rsidRDefault="00467321" w:rsidP="00467321">
      <w:pPr>
        <w:spacing w:before="9"/>
        <w:rPr>
          <w:sz w:val="19"/>
        </w:rPr>
      </w:pPr>
    </w:p>
    <w:p w:rsidR="00467321" w:rsidRPr="00467321" w:rsidRDefault="00467321" w:rsidP="00D264A4">
      <w:pPr>
        <w:pStyle w:val="Figure"/>
      </w:pPr>
      <w:bookmarkStart w:id="66" w:name="_Toc5437136"/>
      <w:r w:rsidRPr="00467321">
        <w:t>Figure 15A: Body size indicators by food security status for children aged 2–4 years, 2014/15 and 2015/16</w:t>
      </w:r>
      <w:bookmarkEnd w:id="66"/>
    </w:p>
    <w:p w:rsidR="003119F5" w:rsidRDefault="007F4167" w:rsidP="00375BFC">
      <w:r w:rsidRPr="007F4167">
        <w:rPr>
          <w:noProof/>
          <w:lang w:eastAsia="en-NZ"/>
        </w:rPr>
        <w:drawing>
          <wp:inline distT="0" distB="0" distL="0" distR="0" wp14:anchorId="127BA5E5" wp14:editId="2C97F212">
            <wp:extent cx="5130165" cy="2506984"/>
            <wp:effectExtent l="0" t="0" r="0" b="7620"/>
            <wp:docPr id="31" name="Picture 31" title="Figure 15A: Body size indicators by food security status for children aged 2–4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0165" cy="2506984"/>
                    </a:xfrm>
                    <a:prstGeom prst="rect">
                      <a:avLst/>
                    </a:prstGeom>
                  </pic:spPr>
                </pic:pic>
              </a:graphicData>
            </a:graphic>
          </wp:inline>
        </w:drawing>
      </w:r>
    </w:p>
    <w:p w:rsidR="00467321" w:rsidRPr="00467321" w:rsidRDefault="00467321" w:rsidP="00D264A4">
      <w:pPr>
        <w:pStyle w:val="Note"/>
      </w:pPr>
      <w:r w:rsidRPr="00467321">
        <w:t>Notes: See Appendix 3 for indicator definitions and Appendix 5 for data tables.</w:t>
      </w:r>
    </w:p>
    <w:p w:rsidR="00467321" w:rsidRPr="00467321" w:rsidRDefault="00467321" w:rsidP="00D264A4">
      <w:pPr>
        <w:pStyle w:val="Note"/>
        <w:ind w:left="198" w:hanging="198"/>
      </w:pPr>
      <w:r w:rsidRPr="00467321">
        <w:t>*</w:t>
      </w:r>
      <w:r w:rsidR="00D264A4">
        <w:tab/>
      </w:r>
      <w:r w:rsidRPr="00467321">
        <w:t>indicates a statistically significant difference between children in food-secure households</w:t>
      </w:r>
      <w:r w:rsidR="00D264A4">
        <w:t xml:space="preserve"> </w:t>
      </w:r>
      <w:r w:rsidRPr="00467321">
        <w:t>and food-insecure households (p&lt;.05). Estimates are unadjusted.</w:t>
      </w:r>
    </w:p>
    <w:p w:rsidR="003119F5" w:rsidRDefault="003119F5" w:rsidP="00D264A4"/>
    <w:p w:rsidR="00467321" w:rsidRPr="00467321" w:rsidRDefault="00467321" w:rsidP="00D264A4">
      <w:pPr>
        <w:pStyle w:val="Figure"/>
      </w:pPr>
      <w:bookmarkStart w:id="67" w:name="_bookmark29"/>
      <w:bookmarkStart w:id="68" w:name="_Toc5437137"/>
      <w:bookmarkEnd w:id="67"/>
      <w:r w:rsidRPr="00467321">
        <w:lastRenderedPageBreak/>
        <w:t>Figure 15B: Body size indicators by food security status for children aged 5–9 years, 2014/15 and 2015/16</w:t>
      </w:r>
      <w:bookmarkEnd w:id="68"/>
    </w:p>
    <w:p w:rsidR="003119F5" w:rsidRDefault="007F4167" w:rsidP="00375BFC">
      <w:r w:rsidRPr="007F4167">
        <w:rPr>
          <w:noProof/>
          <w:lang w:eastAsia="en-NZ"/>
        </w:rPr>
        <w:drawing>
          <wp:inline distT="0" distB="0" distL="0" distR="0" wp14:anchorId="285E5DD6" wp14:editId="474294F6">
            <wp:extent cx="5130165" cy="2492734"/>
            <wp:effectExtent l="0" t="0" r="0" b="3175"/>
            <wp:docPr id="64" name="Picture 64" title="Figure 15B: Body size indicators by food security status for children aged 5–9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30165" cy="2492734"/>
                    </a:xfrm>
                    <a:prstGeom prst="rect">
                      <a:avLst/>
                    </a:prstGeom>
                  </pic:spPr>
                </pic:pic>
              </a:graphicData>
            </a:graphic>
          </wp:inline>
        </w:drawing>
      </w:r>
    </w:p>
    <w:p w:rsidR="00467321" w:rsidRPr="00467321" w:rsidRDefault="00467321" w:rsidP="00D264A4">
      <w:pPr>
        <w:pStyle w:val="Note"/>
      </w:pPr>
      <w:r w:rsidRPr="00467321">
        <w:t>Notes: See Appendix 3 for indicator definitions and Appendix 5 for data tables.</w:t>
      </w:r>
    </w:p>
    <w:p w:rsidR="00467321" w:rsidRPr="00467321" w:rsidRDefault="00467321" w:rsidP="00D264A4">
      <w:pPr>
        <w:pStyle w:val="Note"/>
        <w:ind w:left="198" w:hanging="198"/>
      </w:pPr>
      <w:r w:rsidRPr="00467321">
        <w:t>*</w:t>
      </w:r>
      <w:r w:rsidR="00D264A4">
        <w:tab/>
      </w:r>
      <w:r w:rsidRPr="00467321">
        <w:t>indicates a statistically significant difference between children in food-secure households</w:t>
      </w:r>
      <w:r w:rsidR="00D264A4">
        <w:t xml:space="preserve"> </w:t>
      </w:r>
      <w:r w:rsidRPr="00467321">
        <w:t>and food-insecure households (p&lt;.05). Estimates are unadjusted.</w:t>
      </w:r>
    </w:p>
    <w:p w:rsidR="00467321" w:rsidRPr="00543D25" w:rsidRDefault="00467321" w:rsidP="00D264A4"/>
    <w:p w:rsidR="00467321" w:rsidRPr="00467321" w:rsidRDefault="00467321" w:rsidP="00D264A4">
      <w:pPr>
        <w:pStyle w:val="Figure"/>
      </w:pPr>
      <w:bookmarkStart w:id="69" w:name="_Toc5437138"/>
      <w:r w:rsidRPr="00467321">
        <w:t>Figure 15C: Body size indicators by food security status for children aged 10–14 years, 2014/15 and 2015/16</w:t>
      </w:r>
      <w:bookmarkEnd w:id="69"/>
    </w:p>
    <w:p w:rsidR="003119F5" w:rsidRDefault="007F4167" w:rsidP="00375BFC">
      <w:r w:rsidRPr="007F4167">
        <w:rPr>
          <w:noProof/>
          <w:lang w:eastAsia="en-NZ"/>
        </w:rPr>
        <w:drawing>
          <wp:inline distT="0" distB="0" distL="0" distR="0" wp14:anchorId="4AFFE1E4" wp14:editId="5589B8F9">
            <wp:extent cx="5130165" cy="2489445"/>
            <wp:effectExtent l="0" t="0" r="0" b="6350"/>
            <wp:docPr id="65" name="Picture 65" title="Figure 15C: Body size indicators by food security status for children aged 10–14 yea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165" cy="2489445"/>
                    </a:xfrm>
                    <a:prstGeom prst="rect">
                      <a:avLst/>
                    </a:prstGeom>
                  </pic:spPr>
                </pic:pic>
              </a:graphicData>
            </a:graphic>
          </wp:inline>
        </w:drawing>
      </w:r>
    </w:p>
    <w:p w:rsidR="00467321" w:rsidRPr="00467321" w:rsidRDefault="00467321" w:rsidP="00D264A4">
      <w:pPr>
        <w:pStyle w:val="Note"/>
      </w:pPr>
      <w:r w:rsidRPr="00467321">
        <w:t>Notes: See Appendix 3 for indicator definitions and Appendix 5 for data tables.</w:t>
      </w:r>
    </w:p>
    <w:p w:rsidR="00467321" w:rsidRPr="00467321" w:rsidRDefault="00467321" w:rsidP="00D264A4">
      <w:pPr>
        <w:pStyle w:val="Note"/>
        <w:ind w:left="198" w:hanging="198"/>
      </w:pPr>
      <w:r w:rsidRPr="00467321">
        <w:t>*</w:t>
      </w:r>
      <w:r w:rsidR="00D264A4">
        <w:tab/>
      </w:r>
      <w:r w:rsidRPr="00467321">
        <w:t>indicates a statistically significant difference between children in food-secure households</w:t>
      </w:r>
      <w:r w:rsidR="00D264A4">
        <w:t xml:space="preserve"> </w:t>
      </w:r>
      <w:r w:rsidRPr="00467321">
        <w:t>and food-insecure households (p&lt;.05). Estimates are unadjusted.</w:t>
      </w:r>
    </w:p>
    <w:p w:rsidR="003119F5" w:rsidRDefault="003119F5" w:rsidP="00D264A4"/>
    <w:p w:rsidR="00467321" w:rsidRPr="00467321" w:rsidRDefault="00467321" w:rsidP="00D264A4">
      <w:pPr>
        <w:pStyle w:val="Heading2"/>
      </w:pPr>
      <w:bookmarkStart w:id="70" w:name="_bookmark30"/>
      <w:bookmarkStart w:id="71" w:name="_Toc5437078"/>
      <w:bookmarkEnd w:id="70"/>
      <w:r w:rsidRPr="00467321">
        <w:lastRenderedPageBreak/>
        <w:t>Children and caregivers in food-insecure households had lower caregiver-rated health status</w:t>
      </w:r>
      <w:bookmarkEnd w:id="71"/>
    </w:p>
    <w:p w:rsidR="00467321" w:rsidRPr="00543D25" w:rsidRDefault="00467321" w:rsidP="00375BFC">
      <w:r w:rsidRPr="00543D25">
        <w:t>International research indicates that children living in food-insecure households</w:t>
      </w:r>
      <w:r w:rsidR="00543D25" w:rsidRPr="00543D25">
        <w:t xml:space="preserve"> </w:t>
      </w:r>
      <w:r w:rsidRPr="00543D25">
        <w:t xml:space="preserve">tend to have poorer health (Black </w:t>
      </w:r>
      <w:r w:rsidR="007464C2">
        <w:t>et al</w:t>
      </w:r>
      <w:r w:rsidRPr="00543D25">
        <w:t xml:space="preserve"> 2017, Utter </w:t>
      </w:r>
      <w:r w:rsidR="007464C2">
        <w:t>et al</w:t>
      </w:r>
      <w:r w:rsidRPr="00543D25">
        <w:t xml:space="preserve"> 2018), including higher rates of asthma (Mangini </w:t>
      </w:r>
      <w:r w:rsidR="007464C2">
        <w:t>et al</w:t>
      </w:r>
      <w:r w:rsidRPr="00543D25">
        <w:t xml:space="preserve"> 2015). In a study interviewing parents of young children,</w:t>
      </w:r>
      <w:r w:rsidR="00375BFC">
        <w:t xml:space="preserve"> </w:t>
      </w:r>
      <w:r w:rsidRPr="00543D25">
        <w:t>parents acknowledged that adversity associated with household food insecurity was a form of toxic stress. Parents noted that trade-offs associated with food insecurity were related to their mental health and home environment. Their own frustration, anxiety, and depression related to economic hardship, in turn had a negative impact on their children</w:t>
      </w:r>
      <w:r w:rsidR="00543D25" w:rsidRPr="00543D25">
        <w:t>’</w:t>
      </w:r>
      <w:r w:rsidRPr="00543D25">
        <w:t>s physical health, and their social and emotional development (Knowles at al 2016).</w:t>
      </w:r>
    </w:p>
    <w:p w:rsidR="00467321" w:rsidRPr="00543D25" w:rsidRDefault="00467321" w:rsidP="00375BFC"/>
    <w:p w:rsidR="00467321" w:rsidRPr="00467321" w:rsidRDefault="00467321" w:rsidP="001637E1">
      <w:pPr>
        <w:pStyle w:val="Figure"/>
      </w:pPr>
      <w:bookmarkStart w:id="72" w:name="_Toc5437139"/>
      <w:r w:rsidRPr="00467321">
        <w:t>Figure 16: Household food insecurity and health indicators for children and their caregivers, 2014/15 and 2015/16</w:t>
      </w:r>
      <w:bookmarkEnd w:id="72"/>
    </w:p>
    <w:p w:rsidR="00375BFC" w:rsidRDefault="007F4167" w:rsidP="00375BFC">
      <w:r w:rsidRPr="007F4167">
        <w:rPr>
          <w:noProof/>
          <w:lang w:eastAsia="en-NZ"/>
        </w:rPr>
        <w:drawing>
          <wp:inline distT="0" distB="0" distL="0" distR="0" wp14:anchorId="0DCF72AA" wp14:editId="6A6EA40B">
            <wp:extent cx="5130165" cy="2715809"/>
            <wp:effectExtent l="0" t="0" r="0" b="8890"/>
            <wp:docPr id="66" name="Picture 66" title="Figure 16: Household food insecurity and health indicators for children and their caregive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2715809"/>
                    </a:xfrm>
                    <a:prstGeom prst="rect">
                      <a:avLst/>
                    </a:prstGeom>
                  </pic:spPr>
                </pic:pic>
              </a:graphicData>
            </a:graphic>
          </wp:inline>
        </w:drawing>
      </w:r>
    </w:p>
    <w:p w:rsidR="00467321" w:rsidRPr="00467321" w:rsidRDefault="00467321" w:rsidP="001637E1">
      <w:pPr>
        <w:pStyle w:val="Note"/>
      </w:pPr>
      <w:r w:rsidRPr="00467321">
        <w:t>Notes: See Appendix 3 for indicator definitions.</w:t>
      </w:r>
    </w:p>
    <w:p w:rsidR="00467321" w:rsidRPr="00467321" w:rsidRDefault="00467321" w:rsidP="001637E1">
      <w:pPr>
        <w:pStyle w:val="Note"/>
        <w:ind w:left="198" w:hanging="198"/>
      </w:pPr>
      <w:r w:rsidRPr="00467321">
        <w:t>*</w:t>
      </w:r>
      <w:r w:rsidR="001637E1">
        <w:tab/>
      </w:r>
      <w:r w:rsidRPr="00467321">
        <w:t>indicates a statistically significant difference between children in food-</w:t>
      </w:r>
      <w:r w:rsidR="001637E1">
        <w:t>s</w:t>
      </w:r>
      <w:r w:rsidRPr="00467321">
        <w:t>ecure</w:t>
      </w:r>
      <w:r w:rsidR="001637E1">
        <w:t xml:space="preserve"> </w:t>
      </w:r>
      <w:r w:rsidRPr="00467321">
        <w:t>households and food-insecure households (p&lt;.05). Estimates are unadjusted.</w:t>
      </w:r>
    </w:p>
    <w:p w:rsidR="001637E1" w:rsidRDefault="001637E1" w:rsidP="001637E1"/>
    <w:p w:rsidR="00467321" w:rsidRPr="00543D25" w:rsidRDefault="00467321" w:rsidP="001637E1">
      <w:r w:rsidRPr="00543D25">
        <w:t>The majority of caregivers rated their children</w:t>
      </w:r>
      <w:r w:rsidR="00543D25" w:rsidRPr="00543D25">
        <w:t>’</w:t>
      </w:r>
      <w:r w:rsidRPr="00543D25">
        <w:t>s health as good, very good or excellent. More primary caregivers rated their own health as fair or poor than rated their children</w:t>
      </w:r>
      <w:r w:rsidR="00543D25" w:rsidRPr="00543D25">
        <w:t>’</w:t>
      </w:r>
      <w:r w:rsidRPr="00543D25">
        <w:t>s health this way. Compared to those in food-secure households, both children and caregivers in food-insecure households were more likely to be rated as having a fair or poor health status (see Figure 16, Table 10). The relative difference (unadjusted) between food-insecure households and food-secure households was more pronounced for children than for their caregivers.</w:t>
      </w:r>
    </w:p>
    <w:p w:rsidR="003119F5" w:rsidRDefault="003119F5" w:rsidP="00375BFC"/>
    <w:p w:rsidR="00467321" w:rsidRPr="00543D25" w:rsidRDefault="007F4167" w:rsidP="007F4167">
      <w:pPr>
        <w:keepLines/>
      </w:pPr>
      <w:bookmarkStart w:id="73" w:name="_bookmark31"/>
      <w:bookmarkEnd w:id="73"/>
      <w:r w:rsidRPr="007F4167">
        <w:rPr>
          <w:noProof/>
          <w:lang w:eastAsia="en-NZ"/>
        </w:rPr>
        <w:lastRenderedPageBreak/>
        <w:drawing>
          <wp:anchor distT="0" distB="0" distL="114300" distR="0" simplePos="0" relativeHeight="251792384" behindDoc="0" locked="0" layoutInCell="1" allowOverlap="1" wp14:anchorId="3C5E5A36" wp14:editId="0AB79BAB">
            <wp:simplePos x="0" y="0"/>
            <wp:positionH relativeFrom="column">
              <wp:posOffset>3402965</wp:posOffset>
            </wp:positionH>
            <wp:positionV relativeFrom="paragraph">
              <wp:posOffset>-3175</wp:posOffset>
            </wp:positionV>
            <wp:extent cx="1729105" cy="1263015"/>
            <wp:effectExtent l="0" t="0" r="4445" b="0"/>
            <wp:wrapSquare wrapText="lef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29105" cy="1263015"/>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The New Zealand Health Survey also asks about some specific doctor-diagnosed health conditions. Based on this, children in food-insecure households had higher rates of medicated asthma and eczema compared to those in food-secure households (see Figure</w:t>
      </w:r>
      <w:r>
        <w:t> </w:t>
      </w:r>
      <w:r w:rsidR="00467321" w:rsidRPr="00543D25">
        <w:t>16,</w:t>
      </w:r>
      <w:r w:rsidR="00375BFC">
        <w:t xml:space="preserve"> </w:t>
      </w:r>
      <w:r w:rsidR="00467321" w:rsidRPr="00543D25">
        <w:t>Table</w:t>
      </w:r>
      <w:r>
        <w:t> </w:t>
      </w:r>
      <w:r w:rsidR="00467321" w:rsidRPr="00543D25">
        <w:t>10).</w:t>
      </w:r>
    </w:p>
    <w:p w:rsidR="003119F5" w:rsidRDefault="003119F5" w:rsidP="00375BFC"/>
    <w:p w:rsidR="00467321" w:rsidRDefault="00467321" w:rsidP="007F4167">
      <w:pPr>
        <w:pStyle w:val="Table"/>
      </w:pPr>
      <w:bookmarkStart w:id="74" w:name="_Toc5437198"/>
      <w:r w:rsidRPr="00467321">
        <w:t>Table 10: Health indicators for children and their caregivers, by food security status, 2014/15 and 2015/16</w:t>
      </w:r>
      <w:bookmarkEnd w:id="74"/>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35"/>
        <w:gridCol w:w="851"/>
        <w:gridCol w:w="1559"/>
        <w:gridCol w:w="1559"/>
        <w:gridCol w:w="1276"/>
      </w:tblGrid>
      <w:tr w:rsidR="00467321" w:rsidRPr="00BE406B" w:rsidTr="00BE406B">
        <w:trPr>
          <w:cantSplit/>
        </w:trPr>
        <w:tc>
          <w:tcPr>
            <w:tcW w:w="2835" w:type="dxa"/>
            <w:tcBorders>
              <w:top w:val="nil"/>
              <w:bottom w:val="nil"/>
            </w:tcBorders>
            <w:shd w:val="clear" w:color="auto" w:fill="D9D9D9" w:themeFill="background1" w:themeFillShade="D9"/>
          </w:tcPr>
          <w:p w:rsidR="00467321" w:rsidRPr="00BE406B" w:rsidRDefault="00467321" w:rsidP="00BE406B">
            <w:pPr>
              <w:pStyle w:val="TableText"/>
              <w:rPr>
                <w:b/>
              </w:rPr>
            </w:pPr>
          </w:p>
        </w:tc>
        <w:tc>
          <w:tcPr>
            <w:tcW w:w="851" w:type="dxa"/>
            <w:tcBorders>
              <w:top w:val="nil"/>
              <w:bottom w:val="nil"/>
            </w:tcBorders>
            <w:shd w:val="clear" w:color="auto" w:fill="D9D9D9" w:themeFill="background1" w:themeFillShade="D9"/>
          </w:tcPr>
          <w:p w:rsidR="00467321" w:rsidRPr="00BE406B" w:rsidRDefault="00467321" w:rsidP="00BE406B">
            <w:pPr>
              <w:pStyle w:val="TableText"/>
              <w:jc w:val="center"/>
              <w:rPr>
                <w:b/>
              </w:rPr>
            </w:pPr>
            <w:r w:rsidRPr="00BE406B">
              <w:rPr>
                <w:b/>
              </w:rPr>
              <w:t>Age (child)</w:t>
            </w:r>
          </w:p>
        </w:tc>
        <w:tc>
          <w:tcPr>
            <w:tcW w:w="1559" w:type="dxa"/>
            <w:tcBorders>
              <w:top w:val="nil"/>
              <w:bottom w:val="nil"/>
            </w:tcBorders>
            <w:shd w:val="clear" w:color="auto" w:fill="D9D9D9" w:themeFill="background1" w:themeFillShade="D9"/>
          </w:tcPr>
          <w:p w:rsidR="00467321" w:rsidRPr="00BE406B" w:rsidRDefault="00467321" w:rsidP="00BE406B">
            <w:pPr>
              <w:pStyle w:val="TableText"/>
              <w:jc w:val="center"/>
              <w:rPr>
                <w:b/>
              </w:rPr>
            </w:pPr>
            <w:r w:rsidRPr="00BE406B">
              <w:rPr>
                <w:b/>
              </w:rPr>
              <w:t>Percentage in severely to moderately food-insecure households</w:t>
            </w:r>
          </w:p>
        </w:tc>
        <w:tc>
          <w:tcPr>
            <w:tcW w:w="1559" w:type="dxa"/>
            <w:tcBorders>
              <w:top w:val="nil"/>
              <w:bottom w:val="nil"/>
            </w:tcBorders>
            <w:shd w:val="clear" w:color="auto" w:fill="D9D9D9" w:themeFill="background1" w:themeFillShade="D9"/>
          </w:tcPr>
          <w:p w:rsidR="00467321" w:rsidRPr="00BE406B" w:rsidRDefault="00467321" w:rsidP="00BE406B">
            <w:pPr>
              <w:pStyle w:val="TableText"/>
              <w:jc w:val="center"/>
              <w:rPr>
                <w:b/>
              </w:rPr>
            </w:pPr>
            <w:r w:rsidRPr="00BE406B">
              <w:rPr>
                <w:b/>
              </w:rPr>
              <w:t>Percentage</w:t>
            </w:r>
            <w:r w:rsidR="00BE406B" w:rsidRPr="00BE406B">
              <w:rPr>
                <w:b/>
              </w:rPr>
              <w:t xml:space="preserve"> </w:t>
            </w:r>
            <w:r w:rsidRPr="00BE406B">
              <w:rPr>
                <w:b/>
              </w:rPr>
              <w:t>in fully to mostly food-secure households</w:t>
            </w:r>
          </w:p>
        </w:tc>
        <w:tc>
          <w:tcPr>
            <w:tcW w:w="1276" w:type="dxa"/>
            <w:tcBorders>
              <w:top w:val="nil"/>
              <w:bottom w:val="nil"/>
            </w:tcBorders>
            <w:shd w:val="clear" w:color="auto" w:fill="D9D9D9" w:themeFill="background1" w:themeFillShade="D9"/>
          </w:tcPr>
          <w:p w:rsidR="00467321" w:rsidRPr="00BE406B" w:rsidRDefault="00467321" w:rsidP="00BE406B">
            <w:pPr>
              <w:pStyle w:val="TableText"/>
              <w:jc w:val="center"/>
              <w:rPr>
                <w:b/>
              </w:rPr>
            </w:pPr>
            <w:r w:rsidRPr="00BE406B">
              <w:rPr>
                <w:rFonts w:ascii="Trebuchet MS"/>
                <w:b/>
                <w:i/>
              </w:rPr>
              <w:t xml:space="preserve">p </w:t>
            </w:r>
            <w:r w:rsidRPr="00BE406B">
              <w:rPr>
                <w:b/>
              </w:rPr>
              <w:t>value for difference (unadjusted)</w:t>
            </w:r>
          </w:p>
        </w:tc>
      </w:tr>
      <w:tr w:rsidR="00467321" w:rsidRPr="00467321" w:rsidTr="00BE406B">
        <w:trPr>
          <w:cantSplit/>
        </w:trPr>
        <w:tc>
          <w:tcPr>
            <w:tcW w:w="2835" w:type="dxa"/>
            <w:tcBorders>
              <w:top w:val="nil"/>
            </w:tcBorders>
            <w:shd w:val="clear" w:color="auto" w:fill="auto"/>
          </w:tcPr>
          <w:p w:rsidR="00467321" w:rsidRPr="00543D25" w:rsidRDefault="00467321" w:rsidP="00BE406B">
            <w:pPr>
              <w:pStyle w:val="TableText"/>
            </w:pPr>
            <w:r w:rsidRPr="00543D25">
              <w:t>Child</w:t>
            </w:r>
            <w:r w:rsidR="00543D25" w:rsidRPr="00543D25">
              <w:t>’</w:t>
            </w:r>
            <w:r w:rsidRPr="00543D25">
              <w:t>s health status fair/poor</w:t>
            </w:r>
          </w:p>
        </w:tc>
        <w:tc>
          <w:tcPr>
            <w:tcW w:w="851" w:type="dxa"/>
            <w:tcBorders>
              <w:top w:val="nil"/>
            </w:tcBorders>
            <w:shd w:val="clear" w:color="auto" w:fill="auto"/>
          </w:tcPr>
          <w:p w:rsidR="00467321" w:rsidRPr="00543D25" w:rsidRDefault="00467321" w:rsidP="00BE406B">
            <w:pPr>
              <w:pStyle w:val="TableText"/>
              <w:jc w:val="center"/>
            </w:pPr>
            <w:r w:rsidRPr="00543D25">
              <w:t>0–14</w:t>
            </w:r>
          </w:p>
        </w:tc>
        <w:tc>
          <w:tcPr>
            <w:tcW w:w="1559" w:type="dxa"/>
            <w:tcBorders>
              <w:top w:val="nil"/>
            </w:tcBorders>
            <w:shd w:val="clear" w:color="auto" w:fill="auto"/>
          </w:tcPr>
          <w:p w:rsidR="00467321" w:rsidRPr="00543D25" w:rsidRDefault="00467321" w:rsidP="00BE406B">
            <w:pPr>
              <w:pStyle w:val="TableText"/>
              <w:tabs>
                <w:tab w:val="decimal" w:pos="793"/>
              </w:tabs>
            </w:pPr>
            <w:r w:rsidRPr="00543D25">
              <w:t>4.6</w:t>
            </w:r>
          </w:p>
        </w:tc>
        <w:tc>
          <w:tcPr>
            <w:tcW w:w="1559" w:type="dxa"/>
            <w:tcBorders>
              <w:top w:val="nil"/>
            </w:tcBorders>
            <w:shd w:val="clear" w:color="auto" w:fill="auto"/>
          </w:tcPr>
          <w:p w:rsidR="00467321" w:rsidRPr="00543D25" w:rsidRDefault="00467321" w:rsidP="00BE406B">
            <w:pPr>
              <w:pStyle w:val="TableText"/>
              <w:tabs>
                <w:tab w:val="decimal" w:pos="793"/>
              </w:tabs>
            </w:pPr>
            <w:r w:rsidRPr="00543D25">
              <w:t>1.7</w:t>
            </w:r>
          </w:p>
        </w:tc>
        <w:tc>
          <w:tcPr>
            <w:tcW w:w="1276" w:type="dxa"/>
            <w:tcBorders>
              <w:top w:val="nil"/>
            </w:tcBorders>
            <w:shd w:val="clear" w:color="auto" w:fill="auto"/>
          </w:tcPr>
          <w:p w:rsidR="00467321" w:rsidRPr="002D2F56" w:rsidRDefault="00467321" w:rsidP="00BE406B">
            <w:pPr>
              <w:pStyle w:val="TableText"/>
              <w:jc w:val="center"/>
              <w:rPr>
                <w:b/>
              </w:rPr>
            </w:pPr>
            <w:r w:rsidRPr="002D2F56">
              <w:rPr>
                <w:b/>
              </w:rPr>
              <w:t>&lt;.01</w:t>
            </w:r>
          </w:p>
        </w:tc>
      </w:tr>
      <w:tr w:rsidR="00467321" w:rsidRPr="00467321" w:rsidTr="00BE406B">
        <w:trPr>
          <w:cantSplit/>
        </w:trPr>
        <w:tc>
          <w:tcPr>
            <w:tcW w:w="2835" w:type="dxa"/>
            <w:shd w:val="clear" w:color="auto" w:fill="auto"/>
          </w:tcPr>
          <w:p w:rsidR="00467321" w:rsidRPr="00543D25" w:rsidRDefault="00467321" w:rsidP="00BE406B">
            <w:pPr>
              <w:pStyle w:val="TableText"/>
            </w:pPr>
            <w:r w:rsidRPr="00543D25">
              <w:t>Primary caregiver</w:t>
            </w:r>
            <w:r w:rsidR="00543D25" w:rsidRPr="00543D25">
              <w:t>’</w:t>
            </w:r>
            <w:r w:rsidRPr="00543D25">
              <w:t>s health status fair/poor*</w:t>
            </w:r>
          </w:p>
        </w:tc>
        <w:tc>
          <w:tcPr>
            <w:tcW w:w="851" w:type="dxa"/>
            <w:shd w:val="clear" w:color="auto" w:fill="auto"/>
          </w:tcPr>
          <w:p w:rsidR="00467321" w:rsidRPr="00543D25" w:rsidRDefault="00467321" w:rsidP="00BE406B">
            <w:pPr>
              <w:pStyle w:val="TableText"/>
              <w:jc w:val="center"/>
            </w:pPr>
            <w:r w:rsidRPr="00543D25">
              <w:t>0–14</w:t>
            </w:r>
          </w:p>
        </w:tc>
        <w:tc>
          <w:tcPr>
            <w:tcW w:w="1559" w:type="dxa"/>
            <w:shd w:val="clear" w:color="auto" w:fill="auto"/>
          </w:tcPr>
          <w:p w:rsidR="00467321" w:rsidRPr="00543D25" w:rsidRDefault="00467321" w:rsidP="00BE406B">
            <w:pPr>
              <w:pStyle w:val="TableText"/>
              <w:tabs>
                <w:tab w:val="decimal" w:pos="793"/>
              </w:tabs>
            </w:pPr>
            <w:r w:rsidRPr="00543D25">
              <w:t>20.5</w:t>
            </w:r>
          </w:p>
        </w:tc>
        <w:tc>
          <w:tcPr>
            <w:tcW w:w="1559" w:type="dxa"/>
            <w:shd w:val="clear" w:color="auto" w:fill="auto"/>
          </w:tcPr>
          <w:p w:rsidR="00467321" w:rsidRPr="00543D25" w:rsidRDefault="00467321" w:rsidP="00BE406B">
            <w:pPr>
              <w:pStyle w:val="TableText"/>
              <w:tabs>
                <w:tab w:val="decimal" w:pos="793"/>
              </w:tabs>
            </w:pPr>
            <w:r w:rsidRPr="00543D25">
              <w:t>10.3</w:t>
            </w:r>
          </w:p>
        </w:tc>
        <w:tc>
          <w:tcPr>
            <w:tcW w:w="1276" w:type="dxa"/>
            <w:shd w:val="clear" w:color="auto" w:fill="auto"/>
          </w:tcPr>
          <w:p w:rsidR="00467321" w:rsidRPr="002D2F56" w:rsidRDefault="00467321" w:rsidP="00BE406B">
            <w:pPr>
              <w:pStyle w:val="TableText"/>
              <w:jc w:val="center"/>
              <w:rPr>
                <w:b/>
              </w:rPr>
            </w:pPr>
            <w:r w:rsidRPr="002D2F56">
              <w:rPr>
                <w:b/>
              </w:rPr>
              <w:t>&lt;.01</w:t>
            </w:r>
          </w:p>
        </w:tc>
      </w:tr>
      <w:tr w:rsidR="00467321" w:rsidRPr="00467321" w:rsidTr="00BE406B">
        <w:trPr>
          <w:cantSplit/>
        </w:trPr>
        <w:tc>
          <w:tcPr>
            <w:tcW w:w="2835" w:type="dxa"/>
            <w:shd w:val="clear" w:color="auto" w:fill="auto"/>
          </w:tcPr>
          <w:p w:rsidR="00467321" w:rsidRPr="00543D25" w:rsidRDefault="00467321" w:rsidP="00BE406B">
            <w:pPr>
              <w:pStyle w:val="TableText"/>
            </w:pPr>
            <w:r w:rsidRPr="00543D25">
              <w:t>Asthma medicated (child)</w:t>
            </w:r>
          </w:p>
        </w:tc>
        <w:tc>
          <w:tcPr>
            <w:tcW w:w="851" w:type="dxa"/>
            <w:shd w:val="clear" w:color="auto" w:fill="auto"/>
          </w:tcPr>
          <w:p w:rsidR="00467321" w:rsidRPr="00543D25" w:rsidRDefault="00467321" w:rsidP="00BE406B">
            <w:pPr>
              <w:pStyle w:val="TableText"/>
              <w:jc w:val="center"/>
            </w:pPr>
            <w:r w:rsidRPr="00543D25">
              <w:t>5–14</w:t>
            </w:r>
          </w:p>
        </w:tc>
        <w:tc>
          <w:tcPr>
            <w:tcW w:w="1559" w:type="dxa"/>
            <w:shd w:val="clear" w:color="auto" w:fill="auto"/>
          </w:tcPr>
          <w:p w:rsidR="00467321" w:rsidRPr="00543D25" w:rsidRDefault="00467321" w:rsidP="00BE406B">
            <w:pPr>
              <w:pStyle w:val="TableText"/>
              <w:tabs>
                <w:tab w:val="decimal" w:pos="793"/>
              </w:tabs>
            </w:pPr>
            <w:r w:rsidRPr="00543D25">
              <w:t>20.5</w:t>
            </w:r>
          </w:p>
        </w:tc>
        <w:tc>
          <w:tcPr>
            <w:tcW w:w="1559" w:type="dxa"/>
            <w:shd w:val="clear" w:color="auto" w:fill="auto"/>
          </w:tcPr>
          <w:p w:rsidR="00467321" w:rsidRPr="00543D25" w:rsidRDefault="00467321" w:rsidP="00BE406B">
            <w:pPr>
              <w:pStyle w:val="TableText"/>
              <w:tabs>
                <w:tab w:val="decimal" w:pos="793"/>
              </w:tabs>
            </w:pPr>
            <w:r w:rsidRPr="00543D25">
              <w:t>15.4</w:t>
            </w:r>
          </w:p>
        </w:tc>
        <w:tc>
          <w:tcPr>
            <w:tcW w:w="1276" w:type="dxa"/>
            <w:shd w:val="clear" w:color="auto" w:fill="auto"/>
          </w:tcPr>
          <w:p w:rsidR="00467321" w:rsidRPr="002D2F56" w:rsidRDefault="00467321" w:rsidP="00BE406B">
            <w:pPr>
              <w:pStyle w:val="TableText"/>
              <w:jc w:val="center"/>
              <w:rPr>
                <w:b/>
              </w:rPr>
            </w:pPr>
            <w:r w:rsidRPr="002D2F56">
              <w:rPr>
                <w:b/>
              </w:rPr>
              <w:t>&lt;.01</w:t>
            </w:r>
          </w:p>
        </w:tc>
      </w:tr>
      <w:tr w:rsidR="00467321" w:rsidRPr="00467321" w:rsidTr="00BE406B">
        <w:trPr>
          <w:cantSplit/>
        </w:trPr>
        <w:tc>
          <w:tcPr>
            <w:tcW w:w="2835" w:type="dxa"/>
            <w:shd w:val="clear" w:color="auto" w:fill="auto"/>
          </w:tcPr>
          <w:p w:rsidR="00467321" w:rsidRPr="00543D25" w:rsidRDefault="00467321" w:rsidP="00BE406B">
            <w:pPr>
              <w:pStyle w:val="TableText"/>
            </w:pPr>
            <w:r w:rsidRPr="00543D25">
              <w:t>Eczema medicated (child)</w:t>
            </w:r>
          </w:p>
        </w:tc>
        <w:tc>
          <w:tcPr>
            <w:tcW w:w="851" w:type="dxa"/>
            <w:shd w:val="clear" w:color="auto" w:fill="auto"/>
          </w:tcPr>
          <w:p w:rsidR="00467321" w:rsidRPr="00543D25" w:rsidRDefault="00467321" w:rsidP="00BE406B">
            <w:pPr>
              <w:pStyle w:val="TableText"/>
              <w:jc w:val="center"/>
            </w:pPr>
            <w:r w:rsidRPr="00543D25">
              <w:t>0–14</w:t>
            </w:r>
          </w:p>
        </w:tc>
        <w:tc>
          <w:tcPr>
            <w:tcW w:w="1559" w:type="dxa"/>
            <w:shd w:val="clear" w:color="auto" w:fill="auto"/>
          </w:tcPr>
          <w:p w:rsidR="00467321" w:rsidRPr="00543D25" w:rsidRDefault="00467321" w:rsidP="00BE406B">
            <w:pPr>
              <w:pStyle w:val="TableText"/>
              <w:tabs>
                <w:tab w:val="decimal" w:pos="793"/>
              </w:tabs>
            </w:pPr>
            <w:r w:rsidRPr="00543D25">
              <w:t>20.5</w:t>
            </w:r>
          </w:p>
        </w:tc>
        <w:tc>
          <w:tcPr>
            <w:tcW w:w="1559" w:type="dxa"/>
            <w:shd w:val="clear" w:color="auto" w:fill="auto"/>
          </w:tcPr>
          <w:p w:rsidR="00467321" w:rsidRPr="00543D25" w:rsidRDefault="00467321" w:rsidP="00BE406B">
            <w:pPr>
              <w:pStyle w:val="TableText"/>
              <w:tabs>
                <w:tab w:val="decimal" w:pos="793"/>
              </w:tabs>
            </w:pPr>
            <w:r w:rsidRPr="00543D25">
              <w:t>15.7</w:t>
            </w:r>
          </w:p>
        </w:tc>
        <w:tc>
          <w:tcPr>
            <w:tcW w:w="1276" w:type="dxa"/>
            <w:shd w:val="clear" w:color="auto" w:fill="auto"/>
          </w:tcPr>
          <w:p w:rsidR="00467321" w:rsidRPr="002D2F56" w:rsidRDefault="00467321" w:rsidP="00BE406B">
            <w:pPr>
              <w:pStyle w:val="TableText"/>
              <w:jc w:val="center"/>
              <w:rPr>
                <w:b/>
              </w:rPr>
            </w:pPr>
            <w:r w:rsidRPr="002D2F56">
              <w:rPr>
                <w:b/>
              </w:rPr>
              <w:t>&lt;.01</w:t>
            </w:r>
          </w:p>
        </w:tc>
      </w:tr>
    </w:tbl>
    <w:p w:rsidR="00467321" w:rsidRPr="00467321" w:rsidRDefault="00467321" w:rsidP="00375BFC">
      <w:pPr>
        <w:pStyle w:val="Note"/>
      </w:pPr>
      <w:r w:rsidRPr="00467321">
        <w:t>Notes:</w:t>
      </w:r>
      <w:r w:rsidR="00543D25">
        <w:t xml:space="preserve"> </w:t>
      </w:r>
      <w:r w:rsidRPr="00467321">
        <w:t>* indicates data based on 2015/16 only.</w:t>
      </w:r>
    </w:p>
    <w:p w:rsidR="00467321" w:rsidRPr="00467321" w:rsidRDefault="00467321" w:rsidP="00375BFC">
      <w:pPr>
        <w:pStyle w:val="Note"/>
      </w:pPr>
      <w:r w:rsidRPr="00467321">
        <w:t xml:space="preserve">Statistically significant differences between </w:t>
      </w:r>
      <w:r w:rsidR="002D2F56" w:rsidRPr="00467321">
        <w:t>children in food-secure</w:t>
      </w:r>
      <w:r w:rsidR="002D2F56">
        <w:t xml:space="preserve"> </w:t>
      </w:r>
      <w:r w:rsidR="002D2F56" w:rsidRPr="00467321">
        <w:t>households and food-insecure households</w:t>
      </w:r>
      <w:r w:rsidRPr="00467321">
        <w:t xml:space="preserve"> (</w:t>
      </w:r>
      <w:r w:rsidRPr="00467321">
        <w:rPr>
          <w:rFonts w:ascii="Calibri"/>
          <w:i/>
        </w:rPr>
        <w:t>p</w:t>
      </w:r>
      <w:r w:rsidRPr="00467321">
        <w:t>&lt;.05) are shown in bold. Estimates are unadjusted.</w:t>
      </w:r>
    </w:p>
    <w:p w:rsidR="00467321" w:rsidRPr="00543D25" w:rsidRDefault="00467321" w:rsidP="00BE406B"/>
    <w:p w:rsidR="00467321" w:rsidRPr="00467321" w:rsidRDefault="00467321" w:rsidP="001637E1">
      <w:pPr>
        <w:pStyle w:val="Heading2"/>
      </w:pPr>
      <w:bookmarkStart w:id="75" w:name="_Toc5437079"/>
      <w:r w:rsidRPr="00467321">
        <w:t>Caregivers in food-insecure households indicated more concerns about their child</w:t>
      </w:r>
      <w:r w:rsidR="00543D25">
        <w:t>’</w:t>
      </w:r>
      <w:r w:rsidRPr="00467321">
        <w:t>s development</w:t>
      </w:r>
      <w:bookmarkEnd w:id="75"/>
    </w:p>
    <w:p w:rsidR="00467321" w:rsidRPr="00543D25" w:rsidRDefault="00467321" w:rsidP="00375BFC">
      <w:r w:rsidRPr="00543D25">
        <w:t xml:space="preserve">The research literature suggests a relationship between food insecurity and developmental and behavioural problems, many of which could affect school performance (Burke </w:t>
      </w:r>
      <w:r w:rsidR="007464C2">
        <w:t>et al</w:t>
      </w:r>
      <w:r w:rsidRPr="00543D25">
        <w:t xml:space="preserve"> 2015; Jyoti </w:t>
      </w:r>
      <w:r w:rsidR="007464C2">
        <w:t>et al</w:t>
      </w:r>
      <w:r w:rsidRPr="00543D25">
        <w:t xml:space="preserve"> 2005; Rose-Jacobs </w:t>
      </w:r>
      <w:r w:rsidR="007464C2">
        <w:t>et al</w:t>
      </w:r>
      <w:r w:rsidRPr="00543D25">
        <w:t xml:space="preserve"> 2008; Shankar </w:t>
      </w:r>
      <w:r w:rsidR="007464C2">
        <w:t>et al</w:t>
      </w:r>
      <w:r w:rsidRPr="00543D25">
        <w:t xml:space="preserve"> 2017; Whitaker </w:t>
      </w:r>
      <w:r w:rsidR="007464C2">
        <w:t>et al</w:t>
      </w:r>
      <w:r w:rsidRPr="00543D25">
        <w:t xml:space="preserve"> 2006). Some research has found that this relationship may persist throughout adolescence (Whitsett </w:t>
      </w:r>
      <w:r w:rsidR="007464C2">
        <w:t>et al</w:t>
      </w:r>
      <w:r w:rsidRPr="00543D25">
        <w:t xml:space="preserve"> 2018).</w:t>
      </w:r>
    </w:p>
    <w:p w:rsidR="00375BFC" w:rsidRDefault="00375BFC" w:rsidP="00375BFC"/>
    <w:p w:rsidR="00467321" w:rsidRPr="00543D25" w:rsidRDefault="00467321" w:rsidP="00375BFC">
      <w:r w:rsidRPr="00543D25">
        <w:t>The Parents</w:t>
      </w:r>
      <w:r w:rsidR="00543D25" w:rsidRPr="00543D25">
        <w:t>’</w:t>
      </w:r>
      <w:r w:rsidRPr="00543D25">
        <w:t xml:space="preserve"> Evaluation of Developmental Status (PEDS) is an evidence-based screening tool asking caregivers whether they have concerns about their child</w:t>
      </w:r>
      <w:r w:rsidR="00543D25" w:rsidRPr="00543D25">
        <w:t>’</w:t>
      </w:r>
      <w:r w:rsidRPr="00543D25">
        <w:t>s development, health and wellbeing (Glascoe 1998). Caregivers of children</w:t>
      </w:r>
      <w:r w:rsidR="00375BFC">
        <w:t xml:space="preserve"> </w:t>
      </w:r>
      <w:r w:rsidRPr="00543D25">
        <w:t>aged 4</w:t>
      </w:r>
      <w:r w:rsidR="00306BCE">
        <w:t> </w:t>
      </w:r>
      <w:r w:rsidRPr="00543D25">
        <w:t xml:space="preserve">months to 8 years completed this questionnaire as part of the child developmental health and wellbeing module of the New Zealand Health Survey (see Appendix 3). Responses to each of the questions are </w:t>
      </w:r>
      <w:r w:rsidR="00543D25" w:rsidRPr="00543D25">
        <w:t>‘</w:t>
      </w:r>
      <w:r w:rsidRPr="00543D25">
        <w:t>yes</w:t>
      </w:r>
      <w:r w:rsidR="00543D25" w:rsidRPr="00543D25">
        <w:t>’</w:t>
      </w:r>
      <w:r w:rsidRPr="00543D25">
        <w:t xml:space="preserve">, </w:t>
      </w:r>
      <w:r w:rsidR="00543D25" w:rsidRPr="00543D25">
        <w:t>‘</w:t>
      </w:r>
      <w:r w:rsidRPr="00543D25">
        <w:t>no</w:t>
      </w:r>
      <w:r w:rsidR="00543D25" w:rsidRPr="00543D25">
        <w:t>’</w:t>
      </w:r>
      <w:r w:rsidRPr="00543D25">
        <w:t xml:space="preserve"> or </w:t>
      </w:r>
      <w:r w:rsidR="00543D25" w:rsidRPr="00543D25">
        <w:t>‘</w:t>
      </w:r>
      <w:r w:rsidRPr="00543D25">
        <w:t>a little</w:t>
      </w:r>
      <w:r w:rsidR="00543D25" w:rsidRPr="00543D25">
        <w:t>’</w:t>
      </w:r>
      <w:r w:rsidRPr="00543D25">
        <w:t xml:space="preserve">. We present results for the share of caregivers responding </w:t>
      </w:r>
      <w:r w:rsidR="00543D25" w:rsidRPr="00543D25">
        <w:t>‘</w:t>
      </w:r>
      <w:r w:rsidRPr="00543D25">
        <w:t>yes</w:t>
      </w:r>
      <w:r w:rsidR="00543D25" w:rsidRPr="00543D25">
        <w:t>’</w:t>
      </w:r>
      <w:r w:rsidRPr="00543D25">
        <w:t xml:space="preserve"> to the PEDS questions, indicating their concern about particular behaviours (see Figure 17, Table 11). The prevalence of caregiver concern was significantly higher for the food-insecure group for all areas that were assessed, except the child</w:t>
      </w:r>
      <w:r w:rsidR="00543D25" w:rsidRPr="00543D25">
        <w:t>’</w:t>
      </w:r>
      <w:r w:rsidRPr="00543D25">
        <w:t>s use of their arms and legs.</w:t>
      </w:r>
    </w:p>
    <w:p w:rsidR="003119F5" w:rsidRDefault="003119F5" w:rsidP="001637E1"/>
    <w:p w:rsidR="00467321" w:rsidRPr="00467321" w:rsidRDefault="00467321" w:rsidP="00375BFC">
      <w:pPr>
        <w:pStyle w:val="Figure"/>
      </w:pPr>
      <w:bookmarkStart w:id="76" w:name="_bookmark32"/>
      <w:bookmarkStart w:id="77" w:name="_Toc5437140"/>
      <w:bookmarkEnd w:id="76"/>
      <w:r w:rsidRPr="00467321">
        <w:lastRenderedPageBreak/>
        <w:t>Figure 17: Household food insecurity and concerns about child development – PEDS, 2014/15 and 2015/16</w:t>
      </w:r>
      <w:bookmarkEnd w:id="77"/>
    </w:p>
    <w:p w:rsidR="00467321" w:rsidRPr="00543D25" w:rsidRDefault="00306BCE" w:rsidP="00375BFC">
      <w:r w:rsidRPr="00306BCE">
        <w:rPr>
          <w:noProof/>
          <w:lang w:eastAsia="en-NZ"/>
        </w:rPr>
        <w:drawing>
          <wp:inline distT="0" distB="0" distL="0" distR="0" wp14:anchorId="1414CC80" wp14:editId="7CF5F521">
            <wp:extent cx="5130165" cy="4352967"/>
            <wp:effectExtent l="0" t="0" r="0" b="9525"/>
            <wp:docPr id="68" name="Picture 68" title="Figure 17: Household food insecurity and concerns about child development – PED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0165" cy="4352967"/>
                    </a:xfrm>
                    <a:prstGeom prst="rect">
                      <a:avLst/>
                    </a:prstGeom>
                  </pic:spPr>
                </pic:pic>
              </a:graphicData>
            </a:graphic>
          </wp:inline>
        </w:drawing>
      </w:r>
    </w:p>
    <w:p w:rsidR="00467321" w:rsidRPr="00467321" w:rsidRDefault="00467321" w:rsidP="00375BFC">
      <w:pPr>
        <w:pStyle w:val="Note"/>
      </w:pPr>
      <w:r w:rsidRPr="00467321">
        <w:t>Notes: See Appendix 3 for indicator definitions.</w:t>
      </w:r>
    </w:p>
    <w:p w:rsidR="00467321" w:rsidRPr="00467321" w:rsidRDefault="00467321" w:rsidP="00375BFC">
      <w:pPr>
        <w:pStyle w:val="Note"/>
        <w:ind w:left="198" w:hanging="198"/>
      </w:pPr>
      <w:r w:rsidRPr="00467321">
        <w:t>*</w:t>
      </w:r>
      <w:r w:rsidR="00375BFC">
        <w:tab/>
      </w:r>
      <w:r w:rsidRPr="00467321">
        <w:t>indicates a statistically significant difference between children in food-secure</w:t>
      </w:r>
      <w:r w:rsidR="00375BFC">
        <w:t xml:space="preserve"> </w:t>
      </w:r>
      <w:r w:rsidRPr="00467321">
        <w:t>households and food-insecure households (p&lt;.05). Estimates are unadjusted.</w:t>
      </w:r>
    </w:p>
    <w:p w:rsidR="003119F5" w:rsidRDefault="003119F5" w:rsidP="00306BCE"/>
    <w:p w:rsidR="00467321" w:rsidRPr="00467321" w:rsidRDefault="00467321" w:rsidP="001637E1">
      <w:pPr>
        <w:pStyle w:val="Table"/>
      </w:pPr>
      <w:bookmarkStart w:id="78" w:name="_bookmark33"/>
      <w:bookmarkStart w:id="79" w:name="_Toc5437199"/>
      <w:bookmarkEnd w:id="78"/>
      <w:r w:rsidRPr="00467321">
        <w:lastRenderedPageBreak/>
        <w:t>Table 11: Child development indicators by food security status – PEDS, 2014/15 and 2015/16</w:t>
      </w:r>
      <w:bookmarkEnd w:id="7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35"/>
        <w:gridCol w:w="1134"/>
        <w:gridCol w:w="1417"/>
        <w:gridCol w:w="1418"/>
        <w:gridCol w:w="1276"/>
      </w:tblGrid>
      <w:tr w:rsidR="00467321" w:rsidRPr="00306BCE" w:rsidTr="00306BCE">
        <w:trPr>
          <w:cantSplit/>
        </w:trPr>
        <w:tc>
          <w:tcPr>
            <w:tcW w:w="2835" w:type="dxa"/>
            <w:tcBorders>
              <w:top w:val="nil"/>
              <w:bottom w:val="nil"/>
            </w:tcBorders>
            <w:shd w:val="clear" w:color="auto" w:fill="D9D9D9" w:themeFill="background1" w:themeFillShade="D9"/>
          </w:tcPr>
          <w:p w:rsidR="00467321" w:rsidRPr="00306BCE" w:rsidRDefault="00467321" w:rsidP="001307A8">
            <w:pPr>
              <w:pStyle w:val="TableText"/>
              <w:keepNext/>
              <w:rPr>
                <w:b/>
              </w:rPr>
            </w:pPr>
            <w:r w:rsidRPr="00306BCE">
              <w:rPr>
                <w:b/>
              </w:rPr>
              <w:t>Concerns about</w:t>
            </w:r>
          </w:p>
        </w:tc>
        <w:tc>
          <w:tcPr>
            <w:tcW w:w="1134" w:type="dxa"/>
            <w:tcBorders>
              <w:top w:val="nil"/>
              <w:bottom w:val="nil"/>
            </w:tcBorders>
            <w:shd w:val="clear" w:color="auto" w:fill="D9D9D9" w:themeFill="background1" w:themeFillShade="D9"/>
          </w:tcPr>
          <w:p w:rsidR="00467321" w:rsidRPr="00306BCE" w:rsidRDefault="00467321" w:rsidP="001307A8">
            <w:pPr>
              <w:pStyle w:val="TableText"/>
              <w:keepNext/>
              <w:jc w:val="center"/>
              <w:rPr>
                <w:rFonts w:hAnsi="Arial Black"/>
                <w:b/>
              </w:rPr>
            </w:pPr>
            <w:r w:rsidRPr="00306BCE">
              <w:rPr>
                <w:rFonts w:hAnsi="Arial Black"/>
                <w:b/>
              </w:rPr>
              <w:t>Chil</w:t>
            </w:r>
            <w:r w:rsidR="00306BCE" w:rsidRPr="00306BCE">
              <w:rPr>
                <w:rFonts w:hAnsi="Arial Black"/>
                <w:b/>
              </w:rPr>
              <w:t>d</w:t>
            </w:r>
            <w:r w:rsidR="00306BCE" w:rsidRPr="00306BCE">
              <w:rPr>
                <w:b/>
              </w:rPr>
              <w:t>’</w:t>
            </w:r>
            <w:r w:rsidRPr="00306BCE">
              <w:rPr>
                <w:rFonts w:hAnsi="Arial Black"/>
                <w:b/>
              </w:rPr>
              <w:t>s age</w:t>
            </w:r>
          </w:p>
        </w:tc>
        <w:tc>
          <w:tcPr>
            <w:tcW w:w="1417" w:type="dxa"/>
            <w:tcBorders>
              <w:top w:val="nil"/>
              <w:bottom w:val="nil"/>
            </w:tcBorders>
            <w:shd w:val="clear" w:color="auto" w:fill="D9D9D9" w:themeFill="background1" w:themeFillShade="D9"/>
          </w:tcPr>
          <w:p w:rsidR="00467321" w:rsidRPr="00306BCE" w:rsidRDefault="00467321" w:rsidP="001307A8">
            <w:pPr>
              <w:pStyle w:val="TableText"/>
              <w:keepNext/>
              <w:jc w:val="center"/>
              <w:rPr>
                <w:b/>
              </w:rPr>
            </w:pPr>
            <w:r w:rsidRPr="00306BCE">
              <w:rPr>
                <w:b/>
              </w:rPr>
              <w:t>Percentage in severely to moderately</w:t>
            </w:r>
            <w:r w:rsidR="00306BCE" w:rsidRPr="00306BCE">
              <w:rPr>
                <w:b/>
              </w:rPr>
              <w:t xml:space="preserve"> </w:t>
            </w:r>
            <w:r w:rsidR="00C11D2D" w:rsidRPr="00306BCE">
              <w:rPr>
                <w:b/>
              </w:rPr>
              <w:t>food-insecure</w:t>
            </w:r>
            <w:r w:rsidR="00306BCE" w:rsidRPr="00306BCE">
              <w:rPr>
                <w:b/>
              </w:rPr>
              <w:t xml:space="preserve"> </w:t>
            </w:r>
            <w:r w:rsidRPr="00306BCE">
              <w:rPr>
                <w:b/>
              </w:rPr>
              <w:t>households</w:t>
            </w:r>
          </w:p>
        </w:tc>
        <w:tc>
          <w:tcPr>
            <w:tcW w:w="1418" w:type="dxa"/>
            <w:tcBorders>
              <w:top w:val="nil"/>
              <w:bottom w:val="nil"/>
            </w:tcBorders>
            <w:shd w:val="clear" w:color="auto" w:fill="D9D9D9" w:themeFill="background1" w:themeFillShade="D9"/>
          </w:tcPr>
          <w:p w:rsidR="00467321" w:rsidRPr="00306BCE" w:rsidRDefault="00467321" w:rsidP="001307A8">
            <w:pPr>
              <w:pStyle w:val="TableText"/>
              <w:keepNext/>
              <w:jc w:val="center"/>
              <w:rPr>
                <w:b/>
              </w:rPr>
            </w:pPr>
            <w:r w:rsidRPr="00306BCE">
              <w:rPr>
                <w:b/>
              </w:rPr>
              <w:t>Percentage</w:t>
            </w:r>
            <w:r w:rsidR="00306BCE" w:rsidRPr="00306BCE">
              <w:rPr>
                <w:b/>
              </w:rPr>
              <w:t xml:space="preserve"> </w:t>
            </w:r>
            <w:r w:rsidRPr="00306BCE">
              <w:rPr>
                <w:b/>
              </w:rPr>
              <w:t>in fully to mostly food-secure households</w:t>
            </w:r>
          </w:p>
        </w:tc>
        <w:tc>
          <w:tcPr>
            <w:tcW w:w="1276" w:type="dxa"/>
            <w:tcBorders>
              <w:top w:val="nil"/>
              <w:bottom w:val="nil"/>
            </w:tcBorders>
            <w:shd w:val="clear" w:color="auto" w:fill="D9D9D9" w:themeFill="background1" w:themeFillShade="D9"/>
          </w:tcPr>
          <w:p w:rsidR="00467321" w:rsidRPr="00306BCE" w:rsidRDefault="00467321" w:rsidP="001307A8">
            <w:pPr>
              <w:pStyle w:val="TableText"/>
              <w:keepNext/>
              <w:jc w:val="center"/>
              <w:rPr>
                <w:b/>
              </w:rPr>
            </w:pPr>
            <w:r w:rsidRPr="00306BCE">
              <w:rPr>
                <w:rFonts w:ascii="Trebuchet MS"/>
                <w:b/>
                <w:i/>
              </w:rPr>
              <w:t xml:space="preserve">p </w:t>
            </w:r>
            <w:r w:rsidRPr="00306BCE">
              <w:rPr>
                <w:b/>
              </w:rPr>
              <w:t>value for difference (unadjusted)</w:t>
            </w:r>
          </w:p>
        </w:tc>
      </w:tr>
      <w:tr w:rsidR="00467321" w:rsidRPr="00467321" w:rsidTr="00306BCE">
        <w:trPr>
          <w:cantSplit/>
        </w:trPr>
        <w:tc>
          <w:tcPr>
            <w:tcW w:w="2835" w:type="dxa"/>
            <w:tcBorders>
              <w:top w:val="nil"/>
            </w:tcBorders>
            <w:shd w:val="clear" w:color="auto" w:fill="auto"/>
          </w:tcPr>
          <w:p w:rsidR="00467321" w:rsidRPr="00543D25" w:rsidRDefault="00467321" w:rsidP="001307A8">
            <w:pPr>
              <w:pStyle w:val="TableText"/>
              <w:keepNext/>
            </w:pPr>
            <w:r w:rsidRPr="00543D25">
              <w:t>Learning, development or behaviour</w:t>
            </w:r>
          </w:p>
        </w:tc>
        <w:tc>
          <w:tcPr>
            <w:tcW w:w="1134" w:type="dxa"/>
            <w:tcBorders>
              <w:top w:val="nil"/>
            </w:tcBorders>
            <w:shd w:val="clear" w:color="auto" w:fill="auto"/>
          </w:tcPr>
          <w:p w:rsidR="00467321" w:rsidRPr="00543D25" w:rsidRDefault="00467321" w:rsidP="001307A8">
            <w:pPr>
              <w:pStyle w:val="TableText"/>
              <w:keepNext/>
              <w:jc w:val="center"/>
            </w:pPr>
            <w:r w:rsidRPr="00543D25">
              <w:t>4 mths–8y</w:t>
            </w:r>
          </w:p>
        </w:tc>
        <w:tc>
          <w:tcPr>
            <w:tcW w:w="1417" w:type="dxa"/>
            <w:tcBorders>
              <w:top w:val="nil"/>
            </w:tcBorders>
            <w:shd w:val="clear" w:color="auto" w:fill="auto"/>
          </w:tcPr>
          <w:p w:rsidR="00467321" w:rsidRPr="00543D25" w:rsidRDefault="00467321" w:rsidP="001307A8">
            <w:pPr>
              <w:pStyle w:val="TableText"/>
              <w:keepNext/>
              <w:tabs>
                <w:tab w:val="decimal" w:pos="608"/>
              </w:tabs>
            </w:pPr>
            <w:r w:rsidRPr="00543D25">
              <w:t>12.2</w:t>
            </w:r>
          </w:p>
        </w:tc>
        <w:tc>
          <w:tcPr>
            <w:tcW w:w="1418" w:type="dxa"/>
            <w:tcBorders>
              <w:top w:val="nil"/>
            </w:tcBorders>
            <w:shd w:val="clear" w:color="auto" w:fill="auto"/>
          </w:tcPr>
          <w:p w:rsidR="00467321" w:rsidRPr="00543D25" w:rsidRDefault="00467321" w:rsidP="001307A8">
            <w:pPr>
              <w:pStyle w:val="TableText"/>
              <w:keepNext/>
              <w:jc w:val="center"/>
            </w:pPr>
            <w:r w:rsidRPr="00543D25">
              <w:t>5.1</w:t>
            </w:r>
          </w:p>
        </w:tc>
        <w:tc>
          <w:tcPr>
            <w:tcW w:w="1276" w:type="dxa"/>
            <w:tcBorders>
              <w:top w:val="nil"/>
            </w:tcBorders>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Speech</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8.5</w:t>
            </w:r>
          </w:p>
        </w:tc>
        <w:tc>
          <w:tcPr>
            <w:tcW w:w="1418" w:type="dxa"/>
            <w:shd w:val="clear" w:color="auto" w:fill="auto"/>
          </w:tcPr>
          <w:p w:rsidR="00467321" w:rsidRPr="00543D25" w:rsidRDefault="00467321" w:rsidP="001307A8">
            <w:pPr>
              <w:pStyle w:val="TableText"/>
              <w:keepNext/>
              <w:jc w:val="center"/>
            </w:pPr>
            <w:r w:rsidRPr="00543D25">
              <w:t>4.9</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Understanding</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5.3</w:t>
            </w:r>
          </w:p>
        </w:tc>
        <w:tc>
          <w:tcPr>
            <w:tcW w:w="1418" w:type="dxa"/>
            <w:shd w:val="clear" w:color="auto" w:fill="auto"/>
          </w:tcPr>
          <w:p w:rsidR="00467321" w:rsidRPr="00543D25" w:rsidRDefault="00467321" w:rsidP="001307A8">
            <w:pPr>
              <w:pStyle w:val="TableText"/>
              <w:keepNext/>
              <w:jc w:val="center"/>
            </w:pPr>
            <w:r w:rsidRPr="00543D25">
              <w:t>2.6</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Hand/finger use</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2.8</w:t>
            </w:r>
          </w:p>
        </w:tc>
        <w:tc>
          <w:tcPr>
            <w:tcW w:w="1418" w:type="dxa"/>
            <w:shd w:val="clear" w:color="auto" w:fill="auto"/>
          </w:tcPr>
          <w:p w:rsidR="00467321" w:rsidRPr="00543D25" w:rsidRDefault="00467321" w:rsidP="001307A8">
            <w:pPr>
              <w:pStyle w:val="TableText"/>
              <w:keepNext/>
              <w:jc w:val="center"/>
            </w:pPr>
            <w:r w:rsidRPr="00543D25">
              <w:t>1.4</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.02</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Arm/leg use</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2.2</w:t>
            </w:r>
          </w:p>
        </w:tc>
        <w:tc>
          <w:tcPr>
            <w:tcW w:w="1418" w:type="dxa"/>
            <w:shd w:val="clear" w:color="auto" w:fill="auto"/>
          </w:tcPr>
          <w:p w:rsidR="00467321" w:rsidRPr="00543D25" w:rsidRDefault="00467321" w:rsidP="001307A8">
            <w:pPr>
              <w:pStyle w:val="TableText"/>
              <w:keepNext/>
              <w:jc w:val="center"/>
            </w:pPr>
            <w:r w:rsidRPr="00543D25">
              <w:t>1.7</w:t>
            </w:r>
          </w:p>
        </w:tc>
        <w:tc>
          <w:tcPr>
            <w:tcW w:w="1276" w:type="dxa"/>
            <w:shd w:val="clear" w:color="auto" w:fill="auto"/>
          </w:tcPr>
          <w:p w:rsidR="00467321" w:rsidRPr="002D2F56" w:rsidRDefault="00467321" w:rsidP="001307A8">
            <w:pPr>
              <w:pStyle w:val="TableText"/>
              <w:keepNext/>
              <w:tabs>
                <w:tab w:val="decimal" w:pos="417"/>
              </w:tabs>
            </w:pPr>
            <w:r w:rsidRPr="002D2F56">
              <w:t>.25</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Behaviour</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9.9</w:t>
            </w:r>
          </w:p>
        </w:tc>
        <w:tc>
          <w:tcPr>
            <w:tcW w:w="1418" w:type="dxa"/>
            <w:shd w:val="clear" w:color="auto" w:fill="auto"/>
          </w:tcPr>
          <w:p w:rsidR="00467321" w:rsidRPr="00543D25" w:rsidRDefault="00467321" w:rsidP="001307A8">
            <w:pPr>
              <w:pStyle w:val="TableText"/>
              <w:keepNext/>
              <w:jc w:val="center"/>
            </w:pPr>
            <w:r w:rsidRPr="00543D25">
              <w:t>3.9</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Getting along with others</w:t>
            </w:r>
          </w:p>
        </w:tc>
        <w:tc>
          <w:tcPr>
            <w:tcW w:w="1134" w:type="dxa"/>
            <w:shd w:val="clear" w:color="auto" w:fill="auto"/>
          </w:tcPr>
          <w:p w:rsidR="00467321" w:rsidRPr="00543D25" w:rsidRDefault="00467321" w:rsidP="001307A8">
            <w:pPr>
              <w:pStyle w:val="TableText"/>
              <w:keepNext/>
              <w:jc w:val="center"/>
            </w:pPr>
            <w:r w:rsidRPr="00543D25">
              <w:t>4 mths–8y</w:t>
            </w:r>
          </w:p>
        </w:tc>
        <w:tc>
          <w:tcPr>
            <w:tcW w:w="1417" w:type="dxa"/>
            <w:shd w:val="clear" w:color="auto" w:fill="auto"/>
          </w:tcPr>
          <w:p w:rsidR="00467321" w:rsidRPr="00543D25" w:rsidRDefault="00467321" w:rsidP="001307A8">
            <w:pPr>
              <w:pStyle w:val="TableText"/>
              <w:keepNext/>
              <w:tabs>
                <w:tab w:val="decimal" w:pos="608"/>
              </w:tabs>
            </w:pPr>
            <w:r w:rsidRPr="00543D25">
              <w:t>6.8</w:t>
            </w:r>
          </w:p>
        </w:tc>
        <w:tc>
          <w:tcPr>
            <w:tcW w:w="1418" w:type="dxa"/>
            <w:shd w:val="clear" w:color="auto" w:fill="auto"/>
          </w:tcPr>
          <w:p w:rsidR="00467321" w:rsidRPr="00543D25" w:rsidRDefault="00467321" w:rsidP="001307A8">
            <w:pPr>
              <w:pStyle w:val="TableText"/>
              <w:keepNext/>
              <w:jc w:val="center"/>
            </w:pPr>
            <w:r w:rsidRPr="00543D25">
              <w:t>3.1</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1307A8">
            <w:pPr>
              <w:pStyle w:val="TableText"/>
              <w:keepNext/>
            </w:pPr>
            <w:r w:rsidRPr="00543D25">
              <w:t>Learning to do things themselves</w:t>
            </w:r>
          </w:p>
        </w:tc>
        <w:tc>
          <w:tcPr>
            <w:tcW w:w="1134" w:type="dxa"/>
            <w:shd w:val="clear" w:color="auto" w:fill="auto"/>
          </w:tcPr>
          <w:p w:rsidR="00467321" w:rsidRPr="00543D25" w:rsidRDefault="00467321" w:rsidP="001307A8">
            <w:pPr>
              <w:pStyle w:val="TableText"/>
              <w:keepNext/>
              <w:jc w:val="center"/>
            </w:pPr>
            <w:r w:rsidRPr="00543D25">
              <w:t>10 mths–8y</w:t>
            </w:r>
          </w:p>
        </w:tc>
        <w:tc>
          <w:tcPr>
            <w:tcW w:w="1417" w:type="dxa"/>
            <w:shd w:val="clear" w:color="auto" w:fill="auto"/>
          </w:tcPr>
          <w:p w:rsidR="00467321" w:rsidRPr="00543D25" w:rsidRDefault="00467321" w:rsidP="001307A8">
            <w:pPr>
              <w:pStyle w:val="TableText"/>
              <w:keepNext/>
              <w:tabs>
                <w:tab w:val="decimal" w:pos="608"/>
              </w:tabs>
            </w:pPr>
            <w:r w:rsidRPr="00543D25">
              <w:t>6.2</w:t>
            </w:r>
          </w:p>
        </w:tc>
        <w:tc>
          <w:tcPr>
            <w:tcW w:w="1418" w:type="dxa"/>
            <w:shd w:val="clear" w:color="auto" w:fill="auto"/>
          </w:tcPr>
          <w:p w:rsidR="00467321" w:rsidRPr="00543D25" w:rsidRDefault="00467321" w:rsidP="001307A8">
            <w:pPr>
              <w:pStyle w:val="TableText"/>
              <w:keepNext/>
              <w:jc w:val="center"/>
            </w:pPr>
            <w:r w:rsidRPr="00543D25">
              <w:t>2.2</w:t>
            </w:r>
          </w:p>
        </w:tc>
        <w:tc>
          <w:tcPr>
            <w:tcW w:w="1276" w:type="dxa"/>
            <w:shd w:val="clear" w:color="auto" w:fill="auto"/>
          </w:tcPr>
          <w:p w:rsidR="00467321" w:rsidRPr="002D2F56" w:rsidRDefault="00467321" w:rsidP="001307A8">
            <w:pPr>
              <w:pStyle w:val="TableText"/>
              <w:keepNext/>
              <w:tabs>
                <w:tab w:val="decimal" w:pos="417"/>
              </w:tabs>
              <w:rPr>
                <w:b/>
              </w:rPr>
            </w:pPr>
            <w:r w:rsidRPr="002D2F56">
              <w:rPr>
                <w:b/>
              </w:rPr>
              <w:t>&lt;.01</w:t>
            </w:r>
          </w:p>
        </w:tc>
      </w:tr>
      <w:tr w:rsidR="00467321" w:rsidRPr="00467321" w:rsidTr="00306BCE">
        <w:trPr>
          <w:cantSplit/>
        </w:trPr>
        <w:tc>
          <w:tcPr>
            <w:tcW w:w="2835" w:type="dxa"/>
            <w:shd w:val="clear" w:color="auto" w:fill="auto"/>
          </w:tcPr>
          <w:p w:rsidR="00467321" w:rsidRPr="00543D25" w:rsidRDefault="00467321" w:rsidP="00306BCE">
            <w:pPr>
              <w:pStyle w:val="TableText"/>
            </w:pPr>
            <w:r w:rsidRPr="00543D25">
              <w:t>Learning preschool or school skills</w:t>
            </w:r>
          </w:p>
        </w:tc>
        <w:tc>
          <w:tcPr>
            <w:tcW w:w="1134" w:type="dxa"/>
            <w:shd w:val="clear" w:color="auto" w:fill="auto"/>
          </w:tcPr>
          <w:p w:rsidR="00467321" w:rsidRPr="00543D25" w:rsidRDefault="00467321" w:rsidP="00306BCE">
            <w:pPr>
              <w:pStyle w:val="TableText"/>
              <w:jc w:val="center"/>
            </w:pPr>
            <w:r w:rsidRPr="00543D25">
              <w:t>18 mths–8y</w:t>
            </w:r>
          </w:p>
        </w:tc>
        <w:tc>
          <w:tcPr>
            <w:tcW w:w="1417" w:type="dxa"/>
            <w:shd w:val="clear" w:color="auto" w:fill="auto"/>
          </w:tcPr>
          <w:p w:rsidR="00467321" w:rsidRPr="00543D25" w:rsidRDefault="00467321" w:rsidP="001307A8">
            <w:pPr>
              <w:pStyle w:val="TableText"/>
              <w:tabs>
                <w:tab w:val="decimal" w:pos="608"/>
              </w:tabs>
            </w:pPr>
            <w:r w:rsidRPr="00543D25">
              <w:t>7.0</w:t>
            </w:r>
          </w:p>
        </w:tc>
        <w:tc>
          <w:tcPr>
            <w:tcW w:w="1418" w:type="dxa"/>
            <w:shd w:val="clear" w:color="auto" w:fill="auto"/>
          </w:tcPr>
          <w:p w:rsidR="00467321" w:rsidRPr="00543D25" w:rsidRDefault="00467321" w:rsidP="001307A8">
            <w:pPr>
              <w:pStyle w:val="TableText"/>
              <w:jc w:val="center"/>
            </w:pPr>
            <w:r w:rsidRPr="00543D25">
              <w:t>3.6</w:t>
            </w:r>
          </w:p>
        </w:tc>
        <w:tc>
          <w:tcPr>
            <w:tcW w:w="1276" w:type="dxa"/>
            <w:shd w:val="clear" w:color="auto" w:fill="auto"/>
          </w:tcPr>
          <w:p w:rsidR="00467321" w:rsidRPr="002D2F56" w:rsidRDefault="00467321" w:rsidP="001307A8">
            <w:pPr>
              <w:pStyle w:val="TableText"/>
              <w:tabs>
                <w:tab w:val="decimal" w:pos="417"/>
              </w:tabs>
              <w:rPr>
                <w:b/>
              </w:rPr>
            </w:pPr>
            <w:r w:rsidRPr="002D2F56">
              <w:rPr>
                <w:b/>
              </w:rPr>
              <w:t>&lt;.01</w:t>
            </w:r>
          </w:p>
        </w:tc>
      </w:tr>
    </w:tbl>
    <w:p w:rsidR="00467321" w:rsidRPr="00467321" w:rsidRDefault="00467321" w:rsidP="00375BFC">
      <w:pPr>
        <w:pStyle w:val="Note"/>
      </w:pPr>
      <w:r w:rsidRPr="00467321">
        <w:t xml:space="preserve">Notes: Statistically significant differences between </w:t>
      </w:r>
      <w:r w:rsidR="002D2F56" w:rsidRPr="00467321">
        <w:t>children in food-secure</w:t>
      </w:r>
      <w:r w:rsidR="002D2F56">
        <w:t xml:space="preserve"> </w:t>
      </w:r>
      <w:r w:rsidR="002D2F56" w:rsidRPr="00467321">
        <w:t xml:space="preserve">households and food-insecure households </w:t>
      </w:r>
      <w:r w:rsidRPr="00467321">
        <w:t>(</w:t>
      </w:r>
      <w:r w:rsidRPr="00467321">
        <w:rPr>
          <w:rFonts w:ascii="Calibri"/>
          <w:i/>
        </w:rPr>
        <w:t>p</w:t>
      </w:r>
      <w:r w:rsidRPr="00467321">
        <w:t>&lt;.05) are shown in bold.</w:t>
      </w:r>
    </w:p>
    <w:p w:rsidR="00467321" w:rsidRPr="00467321" w:rsidRDefault="00467321" w:rsidP="00375BFC">
      <w:pPr>
        <w:pStyle w:val="Note"/>
      </w:pPr>
      <w:r w:rsidRPr="00467321">
        <w:t>Estimates are unadjusted. See Appendix 3 for full items.</w:t>
      </w:r>
    </w:p>
    <w:p w:rsidR="00375BFC" w:rsidRDefault="00375BFC" w:rsidP="001307A8"/>
    <w:p w:rsidR="00467321" w:rsidRDefault="00467321" w:rsidP="00375BFC">
      <w:r w:rsidRPr="00543D25">
        <w:t xml:space="preserve">Another parent-completed evidence-based screening tool is the Strengths and Difficulties Questionnaire (SDQ). The SDQ can be used to assess social, emotional and behavioural functioning in children aged 2–14 years (Goodman 1997). It covers behavioural difficulties in four areas: emotional symptoms, peer problems, hyperactivity and conduct problems. Together the items make up a SDQ total difficulties score, based on which children can be categorised in groups reflecting their risk of significant difficulties; </w:t>
      </w:r>
      <w:r w:rsidR="00543D25" w:rsidRPr="00543D25">
        <w:t>‘</w:t>
      </w:r>
      <w:r w:rsidRPr="00543D25">
        <w:t>no concern</w:t>
      </w:r>
      <w:r w:rsidR="00543D25" w:rsidRPr="00543D25">
        <w:t>’</w:t>
      </w:r>
      <w:r w:rsidRPr="00543D25">
        <w:t xml:space="preserve">, </w:t>
      </w:r>
      <w:r w:rsidR="00543D25" w:rsidRPr="00543D25">
        <w:t>‘</w:t>
      </w:r>
      <w:r w:rsidRPr="00543D25">
        <w:t>borderline concern</w:t>
      </w:r>
      <w:r w:rsidR="00543D25" w:rsidRPr="00543D25">
        <w:t>’</w:t>
      </w:r>
      <w:r w:rsidRPr="00543D25">
        <w:t xml:space="preserve"> or </w:t>
      </w:r>
      <w:r w:rsidR="00543D25" w:rsidRPr="00543D25">
        <w:t>‘</w:t>
      </w:r>
      <w:r w:rsidRPr="00543D25">
        <w:t>concern</w:t>
      </w:r>
      <w:r w:rsidR="00543D25" w:rsidRPr="00543D25">
        <w:t>’</w:t>
      </w:r>
      <w:r w:rsidRPr="00543D25">
        <w:t xml:space="preserve">. Children with a concerning score should be referred for further assessment and potentially a service intervention or additional support (Pannekoek </w:t>
      </w:r>
      <w:r w:rsidR="007464C2">
        <w:t>et al</w:t>
      </w:r>
      <w:r w:rsidRPr="00543D25">
        <w:t xml:space="preserve"> 2018).</w:t>
      </w:r>
    </w:p>
    <w:p w:rsidR="00375BFC" w:rsidRPr="00543D25" w:rsidRDefault="00375BFC" w:rsidP="00232867"/>
    <w:p w:rsidR="00467321" w:rsidRPr="00543D25" w:rsidRDefault="00232867" w:rsidP="00232867">
      <w:r w:rsidRPr="00232867">
        <w:rPr>
          <w:noProof/>
          <w:lang w:eastAsia="en-NZ"/>
        </w:rPr>
        <w:drawing>
          <wp:anchor distT="0" distB="0" distL="114300" distR="0" simplePos="0" relativeHeight="251793408" behindDoc="0" locked="0" layoutInCell="1" allowOverlap="1">
            <wp:simplePos x="0" y="0"/>
            <wp:positionH relativeFrom="column">
              <wp:posOffset>3032760</wp:posOffset>
            </wp:positionH>
            <wp:positionV relativeFrom="paragraph">
              <wp:posOffset>23495</wp:posOffset>
            </wp:positionV>
            <wp:extent cx="2116455" cy="1428115"/>
            <wp:effectExtent l="0" t="0" r="0" b="635"/>
            <wp:wrapSquare wrapText="lef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116455" cy="1428115"/>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We present the SDQ results for all children aged 3–14 years combined to ensure robustness of the findings. The pattern of</w:t>
      </w:r>
      <w:r w:rsidR="00375BFC">
        <w:t xml:space="preserve"> </w:t>
      </w:r>
      <w:r w:rsidR="00467321" w:rsidRPr="00543D25">
        <w:t>differences between children in food-secure</w:t>
      </w:r>
      <w:r w:rsidR="00375BFC">
        <w:t xml:space="preserve"> </w:t>
      </w:r>
      <w:r w:rsidR="00467321" w:rsidRPr="00543D25">
        <w:t>and insecure households was the same across age-groups. Children living in food-insecure households had higher rates of concerning SDQ scores in all areas of behaviour assessed by the questionnaire (see Figure 18, Table 12). Overall,</w:t>
      </w:r>
      <w:r>
        <w:t xml:space="preserve"> </w:t>
      </w:r>
      <w:r w:rsidR="00467321" w:rsidRPr="00543D25">
        <w:t>almost 16 percent of children in food-insecure households had a concerning SDQ score, compared to 5.8 percent in the food-secure group.</w:t>
      </w:r>
    </w:p>
    <w:p w:rsidR="003119F5" w:rsidRDefault="003119F5" w:rsidP="00232867"/>
    <w:p w:rsidR="00467321" w:rsidRPr="00467321" w:rsidRDefault="00467321" w:rsidP="001637E1">
      <w:pPr>
        <w:pStyle w:val="Figure"/>
      </w:pPr>
      <w:bookmarkStart w:id="80" w:name="_bookmark34"/>
      <w:bookmarkStart w:id="81" w:name="_Toc5437141"/>
      <w:bookmarkEnd w:id="80"/>
      <w:r w:rsidRPr="00467321">
        <w:lastRenderedPageBreak/>
        <w:t>Figure 18: Household food insecurity and concerns about child development – SDQ, 2014/15 and 2015/16</w:t>
      </w:r>
      <w:bookmarkEnd w:id="81"/>
    </w:p>
    <w:p w:rsidR="003119F5" w:rsidRDefault="00232867" w:rsidP="00375BFC">
      <w:r w:rsidRPr="00232867">
        <w:rPr>
          <w:noProof/>
          <w:lang w:eastAsia="en-NZ"/>
        </w:rPr>
        <w:drawing>
          <wp:inline distT="0" distB="0" distL="0" distR="0" wp14:anchorId="641C53BB" wp14:editId="2DC51D97">
            <wp:extent cx="5130165" cy="2677990"/>
            <wp:effectExtent l="0" t="0" r="0" b="8255"/>
            <wp:docPr id="70" name="Picture 70" title="Figure 18: Household food insecurity and concerns about child development – SDQ,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30165" cy="2677990"/>
                    </a:xfrm>
                    <a:prstGeom prst="rect">
                      <a:avLst/>
                    </a:prstGeom>
                  </pic:spPr>
                </pic:pic>
              </a:graphicData>
            </a:graphic>
          </wp:inline>
        </w:drawing>
      </w:r>
    </w:p>
    <w:p w:rsidR="00467321" w:rsidRPr="00467321" w:rsidRDefault="00467321" w:rsidP="00375BFC">
      <w:pPr>
        <w:pStyle w:val="Note"/>
      </w:pPr>
      <w:r w:rsidRPr="00467321">
        <w:t>Notes: See Appendix 3 for indicator definitions.</w:t>
      </w:r>
    </w:p>
    <w:p w:rsidR="00467321" w:rsidRPr="00467321" w:rsidRDefault="00467321" w:rsidP="00375BFC">
      <w:pPr>
        <w:pStyle w:val="Note"/>
        <w:ind w:left="198" w:hanging="198"/>
      </w:pPr>
      <w:r w:rsidRPr="00467321">
        <w:t>*</w:t>
      </w:r>
      <w:r w:rsidR="00375BFC">
        <w:tab/>
      </w:r>
      <w:r w:rsidRPr="00467321">
        <w:t>indicates a statistically significant difference between children in food-secure</w:t>
      </w:r>
      <w:r w:rsidR="00375BFC">
        <w:t xml:space="preserve"> </w:t>
      </w:r>
      <w:r w:rsidRPr="00467321">
        <w:t>households and food-insecure households (p&lt;.05). Estimates are unadjusted.</w:t>
      </w:r>
    </w:p>
    <w:p w:rsidR="00467321" w:rsidRPr="00543D25" w:rsidRDefault="00467321" w:rsidP="00375BFC"/>
    <w:p w:rsidR="00467321" w:rsidRPr="00467321" w:rsidRDefault="00467321" w:rsidP="001637E1">
      <w:pPr>
        <w:pStyle w:val="Table"/>
      </w:pPr>
      <w:bookmarkStart w:id="82" w:name="_Toc5437200"/>
      <w:r w:rsidRPr="00467321">
        <w:t>Table 12: Child development indicators by food security status – SDQ, 2014/15 and 2015/16</w:t>
      </w:r>
      <w:bookmarkEnd w:id="82"/>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134"/>
        <w:gridCol w:w="1843"/>
        <w:gridCol w:w="1559"/>
        <w:gridCol w:w="1276"/>
      </w:tblGrid>
      <w:tr w:rsidR="00467321" w:rsidRPr="00232867" w:rsidTr="00621E8B">
        <w:trPr>
          <w:cantSplit/>
        </w:trPr>
        <w:tc>
          <w:tcPr>
            <w:tcW w:w="2268" w:type="dxa"/>
            <w:tcBorders>
              <w:top w:val="nil"/>
              <w:bottom w:val="nil"/>
            </w:tcBorders>
            <w:shd w:val="clear" w:color="auto" w:fill="D9D9D9" w:themeFill="background1" w:themeFillShade="D9"/>
          </w:tcPr>
          <w:p w:rsidR="00467321" w:rsidRPr="00232867" w:rsidRDefault="00467321" w:rsidP="00232867">
            <w:pPr>
              <w:pStyle w:val="TableText"/>
              <w:rPr>
                <w:b/>
              </w:rPr>
            </w:pPr>
            <w:r w:rsidRPr="00232867">
              <w:rPr>
                <w:b/>
              </w:rPr>
              <w:t>Concerning</w:t>
            </w:r>
          </w:p>
        </w:tc>
        <w:tc>
          <w:tcPr>
            <w:tcW w:w="1134" w:type="dxa"/>
            <w:tcBorders>
              <w:top w:val="nil"/>
              <w:bottom w:val="nil"/>
            </w:tcBorders>
            <w:shd w:val="clear" w:color="auto" w:fill="D9D9D9" w:themeFill="background1" w:themeFillShade="D9"/>
          </w:tcPr>
          <w:p w:rsidR="00467321" w:rsidRPr="00232867" w:rsidRDefault="00467321" w:rsidP="00232867">
            <w:pPr>
              <w:pStyle w:val="TableText"/>
              <w:jc w:val="center"/>
              <w:rPr>
                <w:b/>
              </w:rPr>
            </w:pPr>
            <w:r w:rsidRPr="00232867">
              <w:rPr>
                <w:rFonts w:hAnsi="Arial Black"/>
                <w:b/>
              </w:rPr>
              <w:t>Children</w:t>
            </w:r>
            <w:r w:rsidR="00543D25" w:rsidRPr="00232867">
              <w:rPr>
                <w:b/>
              </w:rPr>
              <w:t>’</w:t>
            </w:r>
            <w:r w:rsidRPr="00232867">
              <w:rPr>
                <w:rFonts w:hAnsi="Arial Black"/>
                <w:b/>
              </w:rPr>
              <w:t>s</w:t>
            </w:r>
            <w:r w:rsidR="00232867" w:rsidRPr="00232867">
              <w:rPr>
                <w:rFonts w:hAnsi="Arial Black"/>
                <w:b/>
              </w:rPr>
              <w:t xml:space="preserve"> </w:t>
            </w:r>
            <w:r w:rsidRPr="00232867">
              <w:rPr>
                <w:b/>
              </w:rPr>
              <w:t>age</w:t>
            </w:r>
          </w:p>
        </w:tc>
        <w:tc>
          <w:tcPr>
            <w:tcW w:w="1843" w:type="dxa"/>
            <w:tcBorders>
              <w:top w:val="nil"/>
              <w:bottom w:val="nil"/>
            </w:tcBorders>
            <w:shd w:val="clear" w:color="auto" w:fill="D9D9D9" w:themeFill="background1" w:themeFillShade="D9"/>
          </w:tcPr>
          <w:p w:rsidR="00467321" w:rsidRPr="00232867" w:rsidRDefault="00467321" w:rsidP="00621E8B">
            <w:pPr>
              <w:pStyle w:val="TableText"/>
              <w:jc w:val="center"/>
              <w:rPr>
                <w:b/>
              </w:rPr>
            </w:pPr>
            <w:r w:rsidRPr="00232867">
              <w:rPr>
                <w:b/>
              </w:rPr>
              <w:t>Percentage in severely to moderately</w:t>
            </w:r>
            <w:r w:rsidR="00232867" w:rsidRPr="00232867">
              <w:rPr>
                <w:b/>
              </w:rPr>
              <w:t xml:space="preserve"> </w:t>
            </w:r>
            <w:r w:rsidR="00C11D2D" w:rsidRPr="00232867">
              <w:rPr>
                <w:b/>
              </w:rPr>
              <w:t>food</w:t>
            </w:r>
            <w:r w:rsidR="00621E8B">
              <w:rPr>
                <w:b/>
              </w:rPr>
              <w:noBreakHyphen/>
            </w:r>
            <w:r w:rsidR="00C11D2D" w:rsidRPr="00232867">
              <w:rPr>
                <w:b/>
              </w:rPr>
              <w:t>insecure</w:t>
            </w:r>
            <w:r w:rsidR="00232867" w:rsidRPr="00232867">
              <w:rPr>
                <w:b/>
              </w:rPr>
              <w:t xml:space="preserve"> </w:t>
            </w:r>
            <w:r w:rsidRPr="00232867">
              <w:rPr>
                <w:b/>
              </w:rPr>
              <w:t>households</w:t>
            </w:r>
          </w:p>
        </w:tc>
        <w:tc>
          <w:tcPr>
            <w:tcW w:w="1559" w:type="dxa"/>
            <w:tcBorders>
              <w:top w:val="nil"/>
              <w:bottom w:val="nil"/>
            </w:tcBorders>
            <w:shd w:val="clear" w:color="auto" w:fill="D9D9D9" w:themeFill="background1" w:themeFillShade="D9"/>
          </w:tcPr>
          <w:p w:rsidR="00467321" w:rsidRPr="00232867" w:rsidRDefault="00467321" w:rsidP="00621E8B">
            <w:pPr>
              <w:pStyle w:val="TableText"/>
              <w:jc w:val="center"/>
              <w:rPr>
                <w:b/>
              </w:rPr>
            </w:pPr>
            <w:r w:rsidRPr="00232867">
              <w:rPr>
                <w:b/>
              </w:rPr>
              <w:t>Percentage</w:t>
            </w:r>
            <w:r w:rsidR="00232867" w:rsidRPr="00232867">
              <w:rPr>
                <w:b/>
              </w:rPr>
              <w:t xml:space="preserve"> </w:t>
            </w:r>
            <w:r w:rsidRPr="00232867">
              <w:rPr>
                <w:b/>
              </w:rPr>
              <w:t>in</w:t>
            </w:r>
            <w:r w:rsidR="00621E8B">
              <w:rPr>
                <w:b/>
              </w:rPr>
              <w:br/>
            </w:r>
            <w:r w:rsidRPr="00232867">
              <w:rPr>
                <w:b/>
              </w:rPr>
              <w:t>fully to mostly food-secure households</w:t>
            </w:r>
          </w:p>
        </w:tc>
        <w:tc>
          <w:tcPr>
            <w:tcW w:w="1276" w:type="dxa"/>
            <w:tcBorders>
              <w:top w:val="nil"/>
              <w:bottom w:val="nil"/>
            </w:tcBorders>
            <w:shd w:val="clear" w:color="auto" w:fill="D9D9D9" w:themeFill="background1" w:themeFillShade="D9"/>
          </w:tcPr>
          <w:p w:rsidR="00467321" w:rsidRPr="00232867" w:rsidRDefault="00467321" w:rsidP="00232867">
            <w:pPr>
              <w:pStyle w:val="TableText"/>
              <w:jc w:val="center"/>
              <w:rPr>
                <w:b/>
              </w:rPr>
            </w:pPr>
            <w:r w:rsidRPr="00232867">
              <w:rPr>
                <w:rFonts w:ascii="Trebuchet MS"/>
                <w:b/>
                <w:i/>
              </w:rPr>
              <w:t xml:space="preserve">p </w:t>
            </w:r>
            <w:r w:rsidRPr="00232867">
              <w:rPr>
                <w:b/>
              </w:rPr>
              <w:t>value for difference (unadjusted)</w:t>
            </w:r>
          </w:p>
        </w:tc>
      </w:tr>
      <w:tr w:rsidR="00467321" w:rsidRPr="00467321" w:rsidTr="00621E8B">
        <w:trPr>
          <w:cantSplit/>
        </w:trPr>
        <w:tc>
          <w:tcPr>
            <w:tcW w:w="2268" w:type="dxa"/>
            <w:tcBorders>
              <w:top w:val="nil"/>
            </w:tcBorders>
            <w:shd w:val="clear" w:color="auto" w:fill="auto"/>
          </w:tcPr>
          <w:p w:rsidR="00467321" w:rsidRPr="00543D25" w:rsidRDefault="00467321" w:rsidP="00232867">
            <w:pPr>
              <w:pStyle w:val="TableText"/>
            </w:pPr>
            <w:r w:rsidRPr="00543D25">
              <w:t>Total score</w:t>
            </w:r>
          </w:p>
        </w:tc>
        <w:tc>
          <w:tcPr>
            <w:tcW w:w="1134" w:type="dxa"/>
            <w:tcBorders>
              <w:top w:val="nil"/>
            </w:tcBorders>
            <w:shd w:val="clear" w:color="auto" w:fill="auto"/>
          </w:tcPr>
          <w:p w:rsidR="00467321" w:rsidRPr="00543D25" w:rsidRDefault="00467321" w:rsidP="00232867">
            <w:pPr>
              <w:pStyle w:val="TableText"/>
              <w:jc w:val="center"/>
            </w:pPr>
            <w:r w:rsidRPr="00543D25">
              <w:t>3–14</w:t>
            </w:r>
          </w:p>
        </w:tc>
        <w:tc>
          <w:tcPr>
            <w:tcW w:w="1843" w:type="dxa"/>
            <w:tcBorders>
              <w:top w:val="nil"/>
            </w:tcBorders>
            <w:shd w:val="clear" w:color="auto" w:fill="auto"/>
          </w:tcPr>
          <w:p w:rsidR="00467321" w:rsidRPr="00543D25" w:rsidRDefault="00467321" w:rsidP="00232867">
            <w:pPr>
              <w:pStyle w:val="TableText"/>
              <w:jc w:val="center"/>
            </w:pPr>
            <w:r w:rsidRPr="00543D25">
              <w:t>15.8</w:t>
            </w:r>
          </w:p>
        </w:tc>
        <w:tc>
          <w:tcPr>
            <w:tcW w:w="1559" w:type="dxa"/>
            <w:tcBorders>
              <w:top w:val="nil"/>
            </w:tcBorders>
            <w:shd w:val="clear" w:color="auto" w:fill="auto"/>
          </w:tcPr>
          <w:p w:rsidR="00467321" w:rsidRPr="00543D25" w:rsidRDefault="00467321" w:rsidP="00621E8B">
            <w:pPr>
              <w:pStyle w:val="TableText"/>
              <w:tabs>
                <w:tab w:val="decimal" w:pos="709"/>
              </w:tabs>
            </w:pPr>
            <w:r w:rsidRPr="00543D25">
              <w:t>5.8</w:t>
            </w:r>
          </w:p>
        </w:tc>
        <w:tc>
          <w:tcPr>
            <w:tcW w:w="1276" w:type="dxa"/>
            <w:tcBorders>
              <w:top w:val="nil"/>
            </w:tcBorders>
            <w:shd w:val="clear" w:color="auto" w:fill="auto"/>
          </w:tcPr>
          <w:p w:rsidR="00467321" w:rsidRPr="002D2F56" w:rsidRDefault="00467321" w:rsidP="00232867">
            <w:pPr>
              <w:pStyle w:val="TableText"/>
              <w:jc w:val="center"/>
              <w:rPr>
                <w:b/>
              </w:rPr>
            </w:pPr>
            <w:r w:rsidRPr="002D2F56">
              <w:rPr>
                <w:b/>
              </w:rPr>
              <w:t>&lt;.01</w:t>
            </w:r>
          </w:p>
        </w:tc>
      </w:tr>
      <w:tr w:rsidR="00467321" w:rsidRPr="00467321" w:rsidTr="00621E8B">
        <w:trPr>
          <w:cantSplit/>
        </w:trPr>
        <w:tc>
          <w:tcPr>
            <w:tcW w:w="2268" w:type="dxa"/>
            <w:shd w:val="clear" w:color="auto" w:fill="auto"/>
          </w:tcPr>
          <w:p w:rsidR="00467321" w:rsidRPr="00543D25" w:rsidRDefault="00467321" w:rsidP="00232867">
            <w:pPr>
              <w:pStyle w:val="TableText"/>
            </w:pPr>
            <w:r w:rsidRPr="00543D25">
              <w:t>Emotional symptoms</w:t>
            </w:r>
          </w:p>
        </w:tc>
        <w:tc>
          <w:tcPr>
            <w:tcW w:w="1134" w:type="dxa"/>
            <w:shd w:val="clear" w:color="auto" w:fill="auto"/>
          </w:tcPr>
          <w:p w:rsidR="00467321" w:rsidRPr="00543D25" w:rsidRDefault="00467321" w:rsidP="00232867">
            <w:pPr>
              <w:pStyle w:val="TableText"/>
              <w:jc w:val="center"/>
            </w:pPr>
            <w:r w:rsidRPr="00543D25">
              <w:t>3–14</w:t>
            </w:r>
          </w:p>
        </w:tc>
        <w:tc>
          <w:tcPr>
            <w:tcW w:w="1843" w:type="dxa"/>
            <w:shd w:val="clear" w:color="auto" w:fill="auto"/>
          </w:tcPr>
          <w:p w:rsidR="00467321" w:rsidRPr="00543D25" w:rsidRDefault="00467321" w:rsidP="00232867">
            <w:pPr>
              <w:pStyle w:val="TableText"/>
              <w:jc w:val="center"/>
            </w:pPr>
            <w:r w:rsidRPr="00543D25">
              <w:t>18.5</w:t>
            </w:r>
          </w:p>
        </w:tc>
        <w:tc>
          <w:tcPr>
            <w:tcW w:w="1559" w:type="dxa"/>
            <w:shd w:val="clear" w:color="auto" w:fill="auto"/>
          </w:tcPr>
          <w:p w:rsidR="00467321" w:rsidRPr="00543D25" w:rsidRDefault="00467321" w:rsidP="00621E8B">
            <w:pPr>
              <w:pStyle w:val="TableText"/>
              <w:tabs>
                <w:tab w:val="decimal" w:pos="709"/>
              </w:tabs>
            </w:pPr>
            <w:r w:rsidRPr="00543D25">
              <w:t>7.4</w:t>
            </w:r>
          </w:p>
        </w:tc>
        <w:tc>
          <w:tcPr>
            <w:tcW w:w="1276" w:type="dxa"/>
            <w:shd w:val="clear" w:color="auto" w:fill="auto"/>
          </w:tcPr>
          <w:p w:rsidR="00467321" w:rsidRPr="002D2F56" w:rsidRDefault="00467321" w:rsidP="00232867">
            <w:pPr>
              <w:pStyle w:val="TableText"/>
              <w:jc w:val="center"/>
              <w:rPr>
                <w:b/>
              </w:rPr>
            </w:pPr>
            <w:r w:rsidRPr="002D2F56">
              <w:rPr>
                <w:b/>
              </w:rPr>
              <w:t>&lt;.01</w:t>
            </w:r>
          </w:p>
        </w:tc>
      </w:tr>
      <w:tr w:rsidR="00467321" w:rsidRPr="00467321" w:rsidTr="00621E8B">
        <w:trPr>
          <w:cantSplit/>
        </w:trPr>
        <w:tc>
          <w:tcPr>
            <w:tcW w:w="2268" w:type="dxa"/>
            <w:shd w:val="clear" w:color="auto" w:fill="auto"/>
          </w:tcPr>
          <w:p w:rsidR="00467321" w:rsidRPr="00543D25" w:rsidRDefault="00467321" w:rsidP="00232867">
            <w:pPr>
              <w:pStyle w:val="TableText"/>
            </w:pPr>
            <w:r w:rsidRPr="00543D25">
              <w:t>Peer problems</w:t>
            </w:r>
          </w:p>
        </w:tc>
        <w:tc>
          <w:tcPr>
            <w:tcW w:w="1134" w:type="dxa"/>
            <w:shd w:val="clear" w:color="auto" w:fill="auto"/>
          </w:tcPr>
          <w:p w:rsidR="00467321" w:rsidRPr="00543D25" w:rsidRDefault="00467321" w:rsidP="00232867">
            <w:pPr>
              <w:pStyle w:val="TableText"/>
              <w:jc w:val="center"/>
            </w:pPr>
            <w:r w:rsidRPr="00543D25">
              <w:t>3–14</w:t>
            </w:r>
          </w:p>
        </w:tc>
        <w:tc>
          <w:tcPr>
            <w:tcW w:w="1843" w:type="dxa"/>
            <w:shd w:val="clear" w:color="auto" w:fill="auto"/>
          </w:tcPr>
          <w:p w:rsidR="00467321" w:rsidRPr="00543D25" w:rsidRDefault="00467321" w:rsidP="00232867">
            <w:pPr>
              <w:pStyle w:val="TableText"/>
              <w:jc w:val="center"/>
            </w:pPr>
            <w:r w:rsidRPr="00543D25">
              <w:t>23.3</w:t>
            </w:r>
          </w:p>
        </w:tc>
        <w:tc>
          <w:tcPr>
            <w:tcW w:w="1559" w:type="dxa"/>
            <w:shd w:val="clear" w:color="auto" w:fill="auto"/>
          </w:tcPr>
          <w:p w:rsidR="00467321" w:rsidRPr="00543D25" w:rsidRDefault="00467321" w:rsidP="00621E8B">
            <w:pPr>
              <w:pStyle w:val="TableText"/>
              <w:tabs>
                <w:tab w:val="decimal" w:pos="709"/>
              </w:tabs>
            </w:pPr>
            <w:r w:rsidRPr="00543D25">
              <w:t>11.5</w:t>
            </w:r>
          </w:p>
        </w:tc>
        <w:tc>
          <w:tcPr>
            <w:tcW w:w="1276" w:type="dxa"/>
            <w:shd w:val="clear" w:color="auto" w:fill="auto"/>
          </w:tcPr>
          <w:p w:rsidR="00467321" w:rsidRPr="002D2F56" w:rsidRDefault="00467321" w:rsidP="00232867">
            <w:pPr>
              <w:pStyle w:val="TableText"/>
              <w:jc w:val="center"/>
              <w:rPr>
                <w:b/>
              </w:rPr>
            </w:pPr>
            <w:r w:rsidRPr="002D2F56">
              <w:rPr>
                <w:b/>
              </w:rPr>
              <w:t>&lt;.01</w:t>
            </w:r>
          </w:p>
        </w:tc>
      </w:tr>
      <w:tr w:rsidR="00467321" w:rsidRPr="00467321" w:rsidTr="00621E8B">
        <w:trPr>
          <w:cantSplit/>
        </w:trPr>
        <w:tc>
          <w:tcPr>
            <w:tcW w:w="2268" w:type="dxa"/>
            <w:shd w:val="clear" w:color="auto" w:fill="auto"/>
          </w:tcPr>
          <w:p w:rsidR="00467321" w:rsidRPr="00543D25" w:rsidRDefault="00467321" w:rsidP="00232867">
            <w:pPr>
              <w:pStyle w:val="TableText"/>
            </w:pPr>
            <w:r w:rsidRPr="00543D25">
              <w:t>Hyper activity</w:t>
            </w:r>
            <w:r w:rsidR="00543D25" w:rsidRPr="00543D25">
              <w:t xml:space="preserve"> </w:t>
            </w:r>
            <w:r w:rsidRPr="00543D25">
              <w:t>behaviours</w:t>
            </w:r>
          </w:p>
        </w:tc>
        <w:tc>
          <w:tcPr>
            <w:tcW w:w="1134" w:type="dxa"/>
            <w:shd w:val="clear" w:color="auto" w:fill="auto"/>
          </w:tcPr>
          <w:p w:rsidR="00467321" w:rsidRPr="00543D25" w:rsidRDefault="00467321" w:rsidP="00232867">
            <w:pPr>
              <w:pStyle w:val="TableText"/>
              <w:jc w:val="center"/>
            </w:pPr>
            <w:r w:rsidRPr="00543D25">
              <w:t>3–14</w:t>
            </w:r>
          </w:p>
        </w:tc>
        <w:tc>
          <w:tcPr>
            <w:tcW w:w="1843" w:type="dxa"/>
            <w:shd w:val="clear" w:color="auto" w:fill="auto"/>
          </w:tcPr>
          <w:p w:rsidR="00467321" w:rsidRPr="00543D25" w:rsidRDefault="00467321" w:rsidP="00232867">
            <w:pPr>
              <w:pStyle w:val="TableText"/>
              <w:jc w:val="center"/>
            </w:pPr>
            <w:r w:rsidRPr="00543D25">
              <w:t>11.2</w:t>
            </w:r>
          </w:p>
        </w:tc>
        <w:tc>
          <w:tcPr>
            <w:tcW w:w="1559" w:type="dxa"/>
            <w:shd w:val="clear" w:color="auto" w:fill="auto"/>
          </w:tcPr>
          <w:p w:rsidR="00467321" w:rsidRPr="00543D25" w:rsidRDefault="00467321" w:rsidP="00621E8B">
            <w:pPr>
              <w:pStyle w:val="TableText"/>
              <w:tabs>
                <w:tab w:val="decimal" w:pos="709"/>
              </w:tabs>
            </w:pPr>
            <w:r w:rsidRPr="00543D25">
              <w:t>7.4</w:t>
            </w:r>
          </w:p>
        </w:tc>
        <w:tc>
          <w:tcPr>
            <w:tcW w:w="1276" w:type="dxa"/>
            <w:shd w:val="clear" w:color="auto" w:fill="auto"/>
          </w:tcPr>
          <w:p w:rsidR="00467321" w:rsidRPr="002D2F56" w:rsidRDefault="00467321" w:rsidP="00232867">
            <w:pPr>
              <w:pStyle w:val="TableText"/>
              <w:jc w:val="center"/>
              <w:rPr>
                <w:b/>
              </w:rPr>
            </w:pPr>
            <w:r w:rsidRPr="002D2F56">
              <w:rPr>
                <w:b/>
              </w:rPr>
              <w:t>&lt;.01</w:t>
            </w:r>
          </w:p>
        </w:tc>
      </w:tr>
      <w:tr w:rsidR="00467321" w:rsidRPr="00467321" w:rsidTr="00621E8B">
        <w:trPr>
          <w:cantSplit/>
        </w:trPr>
        <w:tc>
          <w:tcPr>
            <w:tcW w:w="2268" w:type="dxa"/>
            <w:shd w:val="clear" w:color="auto" w:fill="auto"/>
          </w:tcPr>
          <w:p w:rsidR="00467321" w:rsidRPr="00543D25" w:rsidRDefault="00467321" w:rsidP="00232867">
            <w:pPr>
              <w:pStyle w:val="TableText"/>
            </w:pPr>
            <w:r w:rsidRPr="00543D25">
              <w:t>Conduct problems</w:t>
            </w:r>
          </w:p>
        </w:tc>
        <w:tc>
          <w:tcPr>
            <w:tcW w:w="1134" w:type="dxa"/>
            <w:shd w:val="clear" w:color="auto" w:fill="auto"/>
          </w:tcPr>
          <w:p w:rsidR="00467321" w:rsidRPr="00543D25" w:rsidRDefault="00467321" w:rsidP="00232867">
            <w:pPr>
              <w:pStyle w:val="TableText"/>
              <w:jc w:val="center"/>
            </w:pPr>
            <w:r w:rsidRPr="00543D25">
              <w:t>3–14</w:t>
            </w:r>
          </w:p>
        </w:tc>
        <w:tc>
          <w:tcPr>
            <w:tcW w:w="1843" w:type="dxa"/>
            <w:shd w:val="clear" w:color="auto" w:fill="auto"/>
          </w:tcPr>
          <w:p w:rsidR="00467321" w:rsidRPr="00543D25" w:rsidRDefault="00467321" w:rsidP="00232867">
            <w:pPr>
              <w:pStyle w:val="TableText"/>
              <w:jc w:val="center"/>
            </w:pPr>
            <w:r w:rsidRPr="00543D25">
              <w:t>18.8</w:t>
            </w:r>
          </w:p>
        </w:tc>
        <w:tc>
          <w:tcPr>
            <w:tcW w:w="1559" w:type="dxa"/>
            <w:shd w:val="clear" w:color="auto" w:fill="auto"/>
          </w:tcPr>
          <w:p w:rsidR="00467321" w:rsidRPr="00543D25" w:rsidRDefault="00467321" w:rsidP="00621E8B">
            <w:pPr>
              <w:pStyle w:val="TableText"/>
              <w:tabs>
                <w:tab w:val="decimal" w:pos="709"/>
              </w:tabs>
            </w:pPr>
            <w:r w:rsidRPr="00543D25">
              <w:t>7.8</w:t>
            </w:r>
          </w:p>
        </w:tc>
        <w:tc>
          <w:tcPr>
            <w:tcW w:w="1276" w:type="dxa"/>
            <w:shd w:val="clear" w:color="auto" w:fill="auto"/>
          </w:tcPr>
          <w:p w:rsidR="00467321" w:rsidRPr="002D2F56" w:rsidRDefault="00467321" w:rsidP="00232867">
            <w:pPr>
              <w:pStyle w:val="TableText"/>
              <w:jc w:val="center"/>
              <w:rPr>
                <w:b/>
              </w:rPr>
            </w:pPr>
            <w:r w:rsidRPr="002D2F56">
              <w:rPr>
                <w:b/>
              </w:rPr>
              <w:t>&lt;.01</w:t>
            </w:r>
          </w:p>
        </w:tc>
      </w:tr>
    </w:tbl>
    <w:p w:rsidR="00467321" w:rsidRPr="00467321" w:rsidRDefault="00467321" w:rsidP="00375BFC">
      <w:pPr>
        <w:pStyle w:val="Note"/>
      </w:pPr>
      <w:r w:rsidRPr="00467321">
        <w:t xml:space="preserve">Note: Statistically significant differences between </w:t>
      </w:r>
      <w:r w:rsidR="002D2F56" w:rsidRPr="00467321">
        <w:t>children in food-secure</w:t>
      </w:r>
      <w:r w:rsidR="002D2F56">
        <w:t xml:space="preserve"> </w:t>
      </w:r>
      <w:r w:rsidR="002D2F56" w:rsidRPr="00467321">
        <w:t>households and food-insecure households</w:t>
      </w:r>
      <w:r w:rsidRPr="00467321">
        <w:t xml:space="preserve"> (</w:t>
      </w:r>
      <w:r w:rsidRPr="00467321">
        <w:rPr>
          <w:rFonts w:ascii="Calibri"/>
          <w:i/>
        </w:rPr>
        <w:t>p</w:t>
      </w:r>
      <w:r w:rsidRPr="00467321">
        <w:t>&lt;.05) are shown in bold. Estimates are unadjusted.</w:t>
      </w:r>
    </w:p>
    <w:p w:rsidR="003119F5" w:rsidRDefault="003119F5" w:rsidP="00232867"/>
    <w:p w:rsidR="00467321" w:rsidRPr="00467321" w:rsidRDefault="00467321" w:rsidP="001637E1">
      <w:pPr>
        <w:pStyle w:val="Heading2"/>
      </w:pPr>
      <w:bookmarkStart w:id="83" w:name="_bookmark35"/>
      <w:bookmarkStart w:id="84" w:name="_Toc5437080"/>
      <w:bookmarkEnd w:id="83"/>
      <w:r w:rsidRPr="00467321">
        <w:lastRenderedPageBreak/>
        <w:t>More caregivers in food-insecure households experienced psychological distress</w:t>
      </w:r>
      <w:bookmarkEnd w:id="84"/>
    </w:p>
    <w:p w:rsidR="00467321" w:rsidRPr="00543D25" w:rsidRDefault="00467321" w:rsidP="00871CC0">
      <w:pPr>
        <w:keepNext/>
      </w:pPr>
      <w:r w:rsidRPr="00543D25">
        <w:t xml:space="preserve">Previous work has identified that caregivers in food-insecure households are more likely to experience psychological distress (Carter </w:t>
      </w:r>
      <w:r w:rsidR="007464C2">
        <w:t>et al</w:t>
      </w:r>
      <w:r w:rsidRPr="00543D25">
        <w:t xml:space="preserve"> 2011) as well as parenting stress (Huang </w:t>
      </w:r>
      <w:r w:rsidR="007464C2">
        <w:t>et al</w:t>
      </w:r>
      <w:r w:rsidRPr="00543D25">
        <w:t xml:space="preserve"> 2010; Knowles </w:t>
      </w:r>
      <w:r w:rsidR="007464C2">
        <w:t>et al</w:t>
      </w:r>
      <w:r w:rsidRPr="00543D25">
        <w:t xml:space="preserve"> 2016).</w:t>
      </w:r>
    </w:p>
    <w:p w:rsidR="00375BFC" w:rsidRDefault="00375BFC" w:rsidP="00375BFC"/>
    <w:p w:rsidR="00467321" w:rsidRDefault="00467321" w:rsidP="00375BFC">
      <w:r w:rsidRPr="00543D25">
        <w:t>The Kessler Psychological Distress Scale (K10) questionnaire is a widely used self-reporting measure of psychological distress that can be used to identify those in need of further assessment for anxiety and depression (Kessler 1996). Rates of psychological distress as indicated on the K10 were higher for primary caregivers in food-insecure compared to food-secure households (see Figure 19, Table 13).</w:t>
      </w:r>
    </w:p>
    <w:p w:rsidR="00375BFC" w:rsidRPr="00543D25" w:rsidRDefault="00375BFC" w:rsidP="00871CC0"/>
    <w:p w:rsidR="00467321" w:rsidRDefault="00871CC0" w:rsidP="00871CC0">
      <w:r w:rsidRPr="00871CC0">
        <w:rPr>
          <w:noProof/>
          <w:lang w:eastAsia="en-NZ"/>
        </w:rPr>
        <w:drawing>
          <wp:anchor distT="0" distB="0" distL="114300" distR="0" simplePos="0" relativeHeight="251794432" behindDoc="0" locked="0" layoutInCell="1" allowOverlap="1">
            <wp:simplePos x="0" y="0"/>
            <wp:positionH relativeFrom="column">
              <wp:posOffset>3236595</wp:posOffset>
            </wp:positionH>
            <wp:positionV relativeFrom="paragraph">
              <wp:posOffset>45720</wp:posOffset>
            </wp:positionV>
            <wp:extent cx="1936750" cy="1384300"/>
            <wp:effectExtent l="0" t="0" r="6350" b="6350"/>
            <wp:wrapSquare wrapText="lef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936750" cy="1384300"/>
                    </a:xfrm>
                    <a:prstGeom prst="rect">
                      <a:avLst/>
                    </a:prstGeom>
                  </pic:spPr>
                </pic:pic>
              </a:graphicData>
            </a:graphic>
            <wp14:sizeRelH relativeFrom="margin">
              <wp14:pctWidth>0</wp14:pctWidth>
            </wp14:sizeRelH>
            <wp14:sizeRelV relativeFrom="margin">
              <wp14:pctHeight>0</wp14:pctHeight>
            </wp14:sizeRelV>
          </wp:anchor>
        </w:drawing>
      </w:r>
      <w:r w:rsidR="00467321" w:rsidRPr="00543D25">
        <w:t>Two items in the food security questionnaire refer to stress (item 7 and 8). We wanted to rule out that the association between psychological distress on the K10 and food insecurity was a</w:t>
      </w:r>
      <w:r w:rsidR="00375BFC">
        <w:t xml:space="preserve"> </w:t>
      </w:r>
      <w:r w:rsidR="00467321" w:rsidRPr="00543D25">
        <w:t>reflection of potential overlap in content of the items. Hence we also looked at the difference in the prevalence of caregivers reporting psychological distress on the K10 based on just the first statement of the food security</w:t>
      </w:r>
      <w:r>
        <w:t xml:space="preserve"> </w:t>
      </w:r>
      <w:r w:rsidR="00467321" w:rsidRPr="00543D25">
        <w:t xml:space="preserve">questionnaire; </w:t>
      </w:r>
      <w:r w:rsidR="00543D25" w:rsidRPr="00543D25">
        <w:t>‘</w:t>
      </w:r>
      <w:r w:rsidR="00467321" w:rsidRPr="00543D25">
        <w:t>We can afford to eat properly</w:t>
      </w:r>
      <w:r w:rsidR="00543D25" w:rsidRPr="00543D25">
        <w:t>’</w:t>
      </w:r>
      <w:r w:rsidR="00467321" w:rsidRPr="00543D25">
        <w:t xml:space="preserve">. Of caregivers responding </w:t>
      </w:r>
      <w:r w:rsidR="00543D25" w:rsidRPr="00543D25">
        <w:t>‘</w:t>
      </w:r>
      <w:r w:rsidR="00467321" w:rsidRPr="00543D25">
        <w:t>never</w:t>
      </w:r>
      <w:r w:rsidR="00543D25" w:rsidRPr="00543D25">
        <w:t>’</w:t>
      </w:r>
      <w:r w:rsidR="00467321" w:rsidRPr="00543D25">
        <w:t xml:space="preserve"> or </w:t>
      </w:r>
      <w:r w:rsidR="00543D25" w:rsidRPr="00543D25">
        <w:t>‘</w:t>
      </w:r>
      <w:r w:rsidR="00467321" w:rsidRPr="00543D25">
        <w:t>sometimes</w:t>
      </w:r>
      <w:r w:rsidR="00543D25" w:rsidRPr="00543D25">
        <w:t>’</w:t>
      </w:r>
      <w:r w:rsidR="00467321" w:rsidRPr="00543D25">
        <w:t xml:space="preserve"> to this statement in 2015/16, 18.2 percent (95% CI 14.1–22.2) had a K10 score indicative of psychological distress. Of those responding </w:t>
      </w:r>
      <w:r w:rsidR="00543D25" w:rsidRPr="00543D25">
        <w:t>‘</w:t>
      </w:r>
      <w:r w:rsidR="00467321" w:rsidRPr="00543D25">
        <w:t>always</w:t>
      </w:r>
      <w:r w:rsidR="00543D25" w:rsidRPr="00543D25">
        <w:t>’</w:t>
      </w:r>
      <w:r w:rsidR="00467321" w:rsidRPr="00543D25">
        <w:t xml:space="preserve"> to this</w:t>
      </w:r>
      <w:r w:rsidR="00375BFC">
        <w:t xml:space="preserve"> </w:t>
      </w:r>
      <w:r w:rsidR="00467321" w:rsidRPr="00543D25">
        <w:t>statement, the corresponding figure was 5.9 percent (95% CI 4.5–7.3). These rates are</w:t>
      </w:r>
      <w:r w:rsidR="00375BFC">
        <w:t xml:space="preserve"> </w:t>
      </w:r>
      <w:r w:rsidR="00467321" w:rsidRPr="00543D25">
        <w:t>virtually the same as for the summary index of food insecurity (see Table 13).</w:t>
      </w:r>
    </w:p>
    <w:p w:rsidR="00375BFC" w:rsidRPr="00543D25" w:rsidRDefault="00375BFC" w:rsidP="00375BFC"/>
    <w:p w:rsidR="00467321" w:rsidRDefault="00467321" w:rsidP="00375BFC">
      <w:pPr>
        <w:pStyle w:val="Figure"/>
      </w:pPr>
      <w:bookmarkStart w:id="85" w:name="_Toc5437142"/>
      <w:r w:rsidRPr="00467321">
        <w:lastRenderedPageBreak/>
        <w:t>Figure 19: Household food insecurity and caregiver stress indicators, 2014/15 and 2015/16</w:t>
      </w:r>
      <w:bookmarkEnd w:id="85"/>
    </w:p>
    <w:p w:rsidR="00375BFC" w:rsidRPr="00375BFC" w:rsidRDefault="00871CC0" w:rsidP="00375BFC">
      <w:r w:rsidRPr="00871CC0">
        <w:rPr>
          <w:noProof/>
          <w:lang w:eastAsia="en-NZ"/>
        </w:rPr>
        <w:drawing>
          <wp:inline distT="0" distB="0" distL="0" distR="0" wp14:anchorId="3AC50A0F" wp14:editId="341FBC6A">
            <wp:extent cx="5130165" cy="3294048"/>
            <wp:effectExtent l="0" t="0" r="0" b="1905"/>
            <wp:docPr id="72" name="Picture 72" title="Figure 19: Household food insecurity and caregiver stress indicators,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3294048"/>
                    </a:xfrm>
                    <a:prstGeom prst="rect">
                      <a:avLst/>
                    </a:prstGeom>
                  </pic:spPr>
                </pic:pic>
              </a:graphicData>
            </a:graphic>
          </wp:inline>
        </w:drawing>
      </w:r>
    </w:p>
    <w:p w:rsidR="00467321" w:rsidRPr="00467321" w:rsidRDefault="00467321" w:rsidP="00375BFC">
      <w:pPr>
        <w:pStyle w:val="Note"/>
      </w:pPr>
      <w:r w:rsidRPr="00467321">
        <w:t>Notes:</w:t>
      </w:r>
      <w:r w:rsidR="00543D25">
        <w:t xml:space="preserve"> </w:t>
      </w:r>
      <w:r w:rsidRPr="00467321">
        <w:t>See Appendix 3 for indicator definitions.</w:t>
      </w:r>
    </w:p>
    <w:p w:rsidR="00467321" w:rsidRPr="00467321" w:rsidRDefault="00467321" w:rsidP="00375BFC">
      <w:pPr>
        <w:pStyle w:val="Note"/>
        <w:ind w:left="198" w:hanging="198"/>
      </w:pPr>
      <w:r w:rsidRPr="00467321">
        <w:t>*</w:t>
      </w:r>
      <w:r w:rsidR="00375BFC">
        <w:tab/>
      </w:r>
      <w:r w:rsidRPr="00467321">
        <w:t>indicates a statistically significant difference between children in food-secure households</w:t>
      </w:r>
      <w:r w:rsidR="00375BFC">
        <w:t xml:space="preserve"> </w:t>
      </w:r>
      <w:r w:rsidRPr="00467321">
        <w:t>and food-insecure households (</w:t>
      </w:r>
      <w:r w:rsidRPr="00467321">
        <w:rPr>
          <w:rFonts w:ascii="Calibri"/>
          <w:i/>
        </w:rPr>
        <w:t>p</w:t>
      </w:r>
      <w:r w:rsidRPr="00467321">
        <w:t>&lt;.05). Estimates are unadjusted.</w:t>
      </w:r>
    </w:p>
    <w:p w:rsidR="00467321" w:rsidRPr="00467321" w:rsidRDefault="00467321" w:rsidP="00375BFC">
      <w:pPr>
        <w:pStyle w:val="Note"/>
        <w:ind w:left="198" w:hanging="198"/>
      </w:pPr>
      <w:r w:rsidRPr="00467321">
        <w:t>†</w:t>
      </w:r>
      <w:r w:rsidR="00375BFC">
        <w:tab/>
      </w:r>
      <w:r w:rsidRPr="00467321">
        <w:t>indicates data based on 2015/16 only.</w:t>
      </w:r>
    </w:p>
    <w:p w:rsidR="003119F5" w:rsidRDefault="003119F5" w:rsidP="00375BFC"/>
    <w:p w:rsidR="00467321" w:rsidRPr="00543D25" w:rsidRDefault="00467321" w:rsidP="00375BFC">
      <w:bookmarkStart w:id="86" w:name="_bookmark36"/>
      <w:bookmarkEnd w:id="86"/>
      <w:r w:rsidRPr="00543D25">
        <w:t xml:space="preserve">The New Zealand Health Survey also asked primary caregivers about stresses related to raising their child. Caregivers in food-insecure households more frequently reported experiencing stress (see Figure 19, Table 13). For example 3.0 percent of caregivers in food-insecure households indicated they were not coping very well (at all) with demands of raising children, compared to 0.9 percent of caregivers in </w:t>
      </w:r>
      <w:r w:rsidR="00C11D2D">
        <w:t>food-secure</w:t>
      </w:r>
      <w:r w:rsidRPr="00543D25">
        <w:t xml:space="preserve"> households. Furthermore, caregivers in food-insecure households were less likely to have someone to turn to for day-to-day support with raising children.</w:t>
      </w:r>
    </w:p>
    <w:p w:rsidR="00467321" w:rsidRPr="00543D25" w:rsidRDefault="00467321" w:rsidP="00375BFC"/>
    <w:p w:rsidR="00467321" w:rsidRPr="00467321" w:rsidRDefault="00467321" w:rsidP="00375BFC">
      <w:pPr>
        <w:pStyle w:val="Table"/>
      </w:pPr>
      <w:bookmarkStart w:id="87" w:name="_Toc5437201"/>
      <w:r w:rsidRPr="00467321">
        <w:lastRenderedPageBreak/>
        <w:t>Table 13: Caregiver stress indicators, by food security status, 2014/15 and 2015/16</w:t>
      </w:r>
      <w:bookmarkEnd w:id="87"/>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122"/>
        <w:gridCol w:w="706"/>
        <w:gridCol w:w="1488"/>
        <w:gridCol w:w="1488"/>
        <w:gridCol w:w="1276"/>
      </w:tblGrid>
      <w:tr w:rsidR="00467321" w:rsidRPr="00871CC0" w:rsidTr="00871CC0">
        <w:trPr>
          <w:cantSplit/>
        </w:trPr>
        <w:tc>
          <w:tcPr>
            <w:tcW w:w="3122" w:type="dxa"/>
            <w:tcBorders>
              <w:top w:val="nil"/>
              <w:bottom w:val="nil"/>
            </w:tcBorders>
            <w:shd w:val="clear" w:color="auto" w:fill="BFBFBF" w:themeFill="background1" w:themeFillShade="BF"/>
          </w:tcPr>
          <w:p w:rsidR="00467321" w:rsidRPr="00871CC0" w:rsidRDefault="00467321" w:rsidP="00871CC0">
            <w:pPr>
              <w:pStyle w:val="TableText"/>
              <w:keepNext/>
              <w:rPr>
                <w:b/>
              </w:rPr>
            </w:pPr>
          </w:p>
        </w:tc>
        <w:tc>
          <w:tcPr>
            <w:tcW w:w="706" w:type="dxa"/>
            <w:tcBorders>
              <w:top w:val="nil"/>
              <w:bottom w:val="nil"/>
            </w:tcBorders>
            <w:shd w:val="clear" w:color="auto" w:fill="BFBFBF" w:themeFill="background1" w:themeFillShade="BF"/>
          </w:tcPr>
          <w:p w:rsidR="00467321" w:rsidRPr="00871CC0" w:rsidRDefault="00467321" w:rsidP="00871CC0">
            <w:pPr>
              <w:pStyle w:val="TableText"/>
              <w:keepNext/>
              <w:jc w:val="center"/>
              <w:rPr>
                <w:b/>
              </w:rPr>
            </w:pPr>
            <w:r w:rsidRPr="00871CC0">
              <w:rPr>
                <w:b/>
              </w:rPr>
              <w:t>Age (child)</w:t>
            </w:r>
          </w:p>
        </w:tc>
        <w:tc>
          <w:tcPr>
            <w:tcW w:w="1488" w:type="dxa"/>
            <w:tcBorders>
              <w:top w:val="nil"/>
              <w:bottom w:val="nil"/>
            </w:tcBorders>
            <w:shd w:val="clear" w:color="auto" w:fill="BFBFBF" w:themeFill="background1" w:themeFillShade="BF"/>
          </w:tcPr>
          <w:p w:rsidR="00467321" w:rsidRPr="00871CC0" w:rsidRDefault="00467321" w:rsidP="00871CC0">
            <w:pPr>
              <w:pStyle w:val="TableText"/>
              <w:keepNext/>
              <w:jc w:val="center"/>
              <w:rPr>
                <w:b/>
              </w:rPr>
            </w:pPr>
            <w:r w:rsidRPr="00871CC0">
              <w:rPr>
                <w:b/>
              </w:rPr>
              <w:t>Percentage in severely</w:t>
            </w:r>
            <w:r w:rsidR="00871CC0" w:rsidRPr="00871CC0">
              <w:rPr>
                <w:b/>
              </w:rPr>
              <w:t xml:space="preserve"> </w:t>
            </w:r>
            <w:r w:rsidRPr="00871CC0">
              <w:rPr>
                <w:b/>
              </w:rPr>
              <w:t>to moderately</w:t>
            </w:r>
            <w:r w:rsidR="00871CC0" w:rsidRPr="00871CC0">
              <w:rPr>
                <w:b/>
              </w:rPr>
              <w:t xml:space="preserve"> </w:t>
            </w:r>
            <w:r w:rsidR="00C11D2D" w:rsidRPr="00871CC0">
              <w:rPr>
                <w:b/>
              </w:rPr>
              <w:t>food-insecure</w:t>
            </w:r>
            <w:r w:rsidRPr="00871CC0">
              <w:rPr>
                <w:b/>
              </w:rPr>
              <w:t xml:space="preserve"> households</w:t>
            </w:r>
          </w:p>
        </w:tc>
        <w:tc>
          <w:tcPr>
            <w:tcW w:w="1488" w:type="dxa"/>
            <w:tcBorders>
              <w:top w:val="nil"/>
              <w:bottom w:val="nil"/>
            </w:tcBorders>
            <w:shd w:val="clear" w:color="auto" w:fill="BFBFBF" w:themeFill="background1" w:themeFillShade="BF"/>
          </w:tcPr>
          <w:p w:rsidR="00467321" w:rsidRPr="00871CC0" w:rsidRDefault="00467321" w:rsidP="00871CC0">
            <w:pPr>
              <w:pStyle w:val="TableText"/>
              <w:keepNext/>
              <w:jc w:val="center"/>
              <w:rPr>
                <w:b/>
              </w:rPr>
            </w:pPr>
            <w:r w:rsidRPr="00871CC0">
              <w:rPr>
                <w:b/>
              </w:rPr>
              <w:t>Percentage</w:t>
            </w:r>
            <w:r w:rsidR="00871CC0" w:rsidRPr="00871CC0">
              <w:rPr>
                <w:b/>
              </w:rPr>
              <w:t xml:space="preserve"> </w:t>
            </w:r>
            <w:r w:rsidRPr="00871CC0">
              <w:rPr>
                <w:b/>
              </w:rPr>
              <w:t>in fully to mostly food-secure households</w:t>
            </w:r>
          </w:p>
        </w:tc>
        <w:tc>
          <w:tcPr>
            <w:tcW w:w="1276" w:type="dxa"/>
            <w:tcBorders>
              <w:top w:val="nil"/>
              <w:bottom w:val="nil"/>
            </w:tcBorders>
            <w:shd w:val="clear" w:color="auto" w:fill="BFBFBF" w:themeFill="background1" w:themeFillShade="BF"/>
          </w:tcPr>
          <w:p w:rsidR="00467321" w:rsidRPr="00871CC0" w:rsidRDefault="00467321" w:rsidP="00871CC0">
            <w:pPr>
              <w:pStyle w:val="TableText"/>
              <w:keepNext/>
              <w:jc w:val="center"/>
              <w:rPr>
                <w:b/>
              </w:rPr>
            </w:pPr>
            <w:r w:rsidRPr="00871CC0">
              <w:rPr>
                <w:rFonts w:ascii="Trebuchet MS"/>
                <w:b/>
                <w:i/>
              </w:rPr>
              <w:t xml:space="preserve">p </w:t>
            </w:r>
            <w:r w:rsidRPr="00871CC0">
              <w:rPr>
                <w:b/>
              </w:rPr>
              <w:t>value for difference (unadjusted)</w:t>
            </w:r>
          </w:p>
        </w:tc>
      </w:tr>
      <w:tr w:rsidR="00467321" w:rsidRPr="00467321" w:rsidTr="00871CC0">
        <w:trPr>
          <w:cantSplit/>
        </w:trPr>
        <w:tc>
          <w:tcPr>
            <w:tcW w:w="3122" w:type="dxa"/>
            <w:tcBorders>
              <w:top w:val="nil"/>
            </w:tcBorders>
            <w:shd w:val="clear" w:color="auto" w:fill="auto"/>
          </w:tcPr>
          <w:p w:rsidR="00467321" w:rsidRPr="00543D25" w:rsidRDefault="00467321" w:rsidP="00871CC0">
            <w:pPr>
              <w:pStyle w:val="TableText"/>
              <w:keepNext/>
            </w:pPr>
            <w:r w:rsidRPr="00543D25">
              <w:t>Not coping well with demands raising</w:t>
            </w:r>
            <w:r w:rsidR="00871CC0">
              <w:t> </w:t>
            </w:r>
            <w:r w:rsidRPr="00543D25">
              <w:t>children (not very well/ not</w:t>
            </w:r>
            <w:r w:rsidR="00871CC0">
              <w:t> </w:t>
            </w:r>
            <w:r w:rsidRPr="00543D25">
              <w:t>very well at all)</w:t>
            </w:r>
          </w:p>
        </w:tc>
        <w:tc>
          <w:tcPr>
            <w:tcW w:w="706" w:type="dxa"/>
            <w:tcBorders>
              <w:top w:val="nil"/>
            </w:tcBorders>
            <w:shd w:val="clear" w:color="auto" w:fill="auto"/>
          </w:tcPr>
          <w:p w:rsidR="00467321" w:rsidRPr="00543D25" w:rsidRDefault="00467321" w:rsidP="00871CC0">
            <w:pPr>
              <w:pStyle w:val="TableText"/>
              <w:keepNext/>
              <w:jc w:val="center"/>
            </w:pPr>
            <w:r w:rsidRPr="00543D25">
              <w:t>0–14</w:t>
            </w:r>
          </w:p>
        </w:tc>
        <w:tc>
          <w:tcPr>
            <w:tcW w:w="1488" w:type="dxa"/>
            <w:tcBorders>
              <w:top w:val="nil"/>
            </w:tcBorders>
            <w:shd w:val="clear" w:color="auto" w:fill="auto"/>
          </w:tcPr>
          <w:p w:rsidR="00467321" w:rsidRPr="00543D25" w:rsidRDefault="00467321" w:rsidP="00871CC0">
            <w:pPr>
              <w:pStyle w:val="TableText"/>
              <w:keepNext/>
              <w:tabs>
                <w:tab w:val="decimal" w:pos="710"/>
              </w:tabs>
            </w:pPr>
            <w:r w:rsidRPr="00543D25">
              <w:t>3.0</w:t>
            </w:r>
          </w:p>
        </w:tc>
        <w:tc>
          <w:tcPr>
            <w:tcW w:w="1488" w:type="dxa"/>
            <w:tcBorders>
              <w:top w:val="nil"/>
            </w:tcBorders>
            <w:shd w:val="clear" w:color="auto" w:fill="auto"/>
          </w:tcPr>
          <w:p w:rsidR="00467321" w:rsidRPr="00543D25" w:rsidRDefault="00467321" w:rsidP="00871CC0">
            <w:pPr>
              <w:pStyle w:val="TableText"/>
              <w:keepNext/>
              <w:jc w:val="center"/>
            </w:pPr>
            <w:r w:rsidRPr="00543D25">
              <w:t>0.9</w:t>
            </w:r>
          </w:p>
        </w:tc>
        <w:tc>
          <w:tcPr>
            <w:tcW w:w="1276" w:type="dxa"/>
            <w:tcBorders>
              <w:top w:val="nil"/>
            </w:tcBorders>
            <w:shd w:val="clear" w:color="auto" w:fill="auto"/>
          </w:tcPr>
          <w:p w:rsidR="00467321" w:rsidRPr="002D2F56" w:rsidRDefault="00467321" w:rsidP="00871CC0">
            <w:pPr>
              <w:pStyle w:val="TableText"/>
              <w:keepN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keepNext/>
            </w:pPr>
            <w:r w:rsidRPr="00543D25">
              <w:t>Feeling angry with child (usually/always)</w:t>
            </w:r>
          </w:p>
        </w:tc>
        <w:tc>
          <w:tcPr>
            <w:tcW w:w="706" w:type="dxa"/>
            <w:shd w:val="clear" w:color="auto" w:fill="auto"/>
          </w:tcPr>
          <w:p w:rsidR="00467321" w:rsidRPr="00543D25" w:rsidRDefault="00467321" w:rsidP="00871CC0">
            <w:pPr>
              <w:pStyle w:val="TableText"/>
              <w:keepNext/>
              <w:jc w:val="center"/>
            </w:pPr>
            <w:r w:rsidRPr="00543D25">
              <w:t>0–14</w:t>
            </w:r>
          </w:p>
        </w:tc>
        <w:tc>
          <w:tcPr>
            <w:tcW w:w="1488" w:type="dxa"/>
            <w:shd w:val="clear" w:color="auto" w:fill="auto"/>
          </w:tcPr>
          <w:p w:rsidR="00467321" w:rsidRPr="00543D25" w:rsidRDefault="00467321" w:rsidP="00871CC0">
            <w:pPr>
              <w:pStyle w:val="TableText"/>
              <w:keepNext/>
              <w:tabs>
                <w:tab w:val="decimal" w:pos="710"/>
              </w:tabs>
            </w:pPr>
            <w:r w:rsidRPr="00543D25">
              <w:t>3.8</w:t>
            </w:r>
          </w:p>
        </w:tc>
        <w:tc>
          <w:tcPr>
            <w:tcW w:w="1488" w:type="dxa"/>
            <w:shd w:val="clear" w:color="auto" w:fill="auto"/>
          </w:tcPr>
          <w:p w:rsidR="00467321" w:rsidRPr="00543D25" w:rsidRDefault="00467321" w:rsidP="00871CC0">
            <w:pPr>
              <w:pStyle w:val="TableText"/>
              <w:keepNext/>
              <w:jc w:val="center"/>
            </w:pPr>
            <w:r w:rsidRPr="00543D25">
              <w:t>1.9</w:t>
            </w:r>
          </w:p>
        </w:tc>
        <w:tc>
          <w:tcPr>
            <w:tcW w:w="1276" w:type="dxa"/>
            <w:shd w:val="clear" w:color="auto" w:fill="auto"/>
          </w:tcPr>
          <w:p w:rsidR="00467321" w:rsidRPr="002D2F56" w:rsidRDefault="00467321" w:rsidP="00871CC0">
            <w:pPr>
              <w:pStyle w:val="TableText"/>
              <w:keepN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keepNext/>
            </w:pPr>
            <w:r w:rsidRPr="00543D25">
              <w:t>Finding child harder to care for (usually/always)</w:t>
            </w:r>
          </w:p>
        </w:tc>
        <w:tc>
          <w:tcPr>
            <w:tcW w:w="706" w:type="dxa"/>
            <w:shd w:val="clear" w:color="auto" w:fill="auto"/>
          </w:tcPr>
          <w:p w:rsidR="00467321" w:rsidRPr="00543D25" w:rsidRDefault="00467321" w:rsidP="00871CC0">
            <w:pPr>
              <w:pStyle w:val="TableText"/>
              <w:keepNext/>
              <w:jc w:val="center"/>
            </w:pPr>
            <w:r w:rsidRPr="00543D25">
              <w:t>0–14</w:t>
            </w:r>
          </w:p>
        </w:tc>
        <w:tc>
          <w:tcPr>
            <w:tcW w:w="1488" w:type="dxa"/>
            <w:shd w:val="clear" w:color="auto" w:fill="auto"/>
          </w:tcPr>
          <w:p w:rsidR="00467321" w:rsidRPr="00543D25" w:rsidRDefault="00467321" w:rsidP="00871CC0">
            <w:pPr>
              <w:pStyle w:val="TableText"/>
              <w:keepNext/>
              <w:tabs>
                <w:tab w:val="decimal" w:pos="710"/>
              </w:tabs>
            </w:pPr>
            <w:r w:rsidRPr="00543D25">
              <w:t>6.6</w:t>
            </w:r>
          </w:p>
        </w:tc>
        <w:tc>
          <w:tcPr>
            <w:tcW w:w="1488" w:type="dxa"/>
            <w:shd w:val="clear" w:color="auto" w:fill="auto"/>
          </w:tcPr>
          <w:p w:rsidR="00467321" w:rsidRPr="00543D25" w:rsidRDefault="00467321" w:rsidP="00871CC0">
            <w:pPr>
              <w:pStyle w:val="TableText"/>
              <w:keepNext/>
              <w:jc w:val="center"/>
            </w:pPr>
            <w:r w:rsidRPr="00543D25">
              <w:t>3.1</w:t>
            </w:r>
          </w:p>
        </w:tc>
        <w:tc>
          <w:tcPr>
            <w:tcW w:w="1276" w:type="dxa"/>
            <w:shd w:val="clear" w:color="auto" w:fill="auto"/>
          </w:tcPr>
          <w:p w:rsidR="00467321" w:rsidRPr="002D2F56" w:rsidRDefault="00467321" w:rsidP="00871CC0">
            <w:pPr>
              <w:pStyle w:val="TableText"/>
              <w:keepN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keepNext/>
            </w:pPr>
            <w:r w:rsidRPr="00543D25">
              <w:t>Finding child does something that bother them a lot (usually/always)</w:t>
            </w:r>
          </w:p>
        </w:tc>
        <w:tc>
          <w:tcPr>
            <w:tcW w:w="706" w:type="dxa"/>
            <w:shd w:val="clear" w:color="auto" w:fill="auto"/>
          </w:tcPr>
          <w:p w:rsidR="00467321" w:rsidRPr="00543D25" w:rsidRDefault="00467321" w:rsidP="00871CC0">
            <w:pPr>
              <w:pStyle w:val="TableText"/>
              <w:keepNext/>
              <w:jc w:val="center"/>
            </w:pPr>
            <w:r w:rsidRPr="00543D25">
              <w:t>0–14</w:t>
            </w:r>
          </w:p>
        </w:tc>
        <w:tc>
          <w:tcPr>
            <w:tcW w:w="1488" w:type="dxa"/>
            <w:shd w:val="clear" w:color="auto" w:fill="auto"/>
          </w:tcPr>
          <w:p w:rsidR="00467321" w:rsidRPr="00543D25" w:rsidRDefault="00467321" w:rsidP="00871CC0">
            <w:pPr>
              <w:pStyle w:val="TableText"/>
              <w:keepNext/>
              <w:tabs>
                <w:tab w:val="decimal" w:pos="710"/>
              </w:tabs>
            </w:pPr>
            <w:r w:rsidRPr="00543D25">
              <w:t>6.7</w:t>
            </w:r>
          </w:p>
        </w:tc>
        <w:tc>
          <w:tcPr>
            <w:tcW w:w="1488" w:type="dxa"/>
            <w:shd w:val="clear" w:color="auto" w:fill="auto"/>
          </w:tcPr>
          <w:p w:rsidR="00467321" w:rsidRPr="00543D25" w:rsidRDefault="00467321" w:rsidP="00871CC0">
            <w:pPr>
              <w:pStyle w:val="TableText"/>
              <w:keepNext/>
              <w:jc w:val="center"/>
            </w:pPr>
            <w:r w:rsidRPr="00543D25">
              <w:t>3.2</w:t>
            </w:r>
          </w:p>
        </w:tc>
        <w:tc>
          <w:tcPr>
            <w:tcW w:w="1276" w:type="dxa"/>
            <w:shd w:val="clear" w:color="auto" w:fill="auto"/>
          </w:tcPr>
          <w:p w:rsidR="00467321" w:rsidRPr="002D2F56" w:rsidRDefault="00467321" w:rsidP="00871CC0">
            <w:pPr>
              <w:pStyle w:val="TableText"/>
              <w:keepN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pPr>
            <w:r w:rsidRPr="00543D25">
              <w:t>Having punished child physically in past four weeks</w:t>
            </w:r>
          </w:p>
        </w:tc>
        <w:tc>
          <w:tcPr>
            <w:tcW w:w="706" w:type="dxa"/>
            <w:shd w:val="clear" w:color="auto" w:fill="auto"/>
          </w:tcPr>
          <w:p w:rsidR="00467321" w:rsidRPr="00543D25" w:rsidRDefault="00467321" w:rsidP="00871CC0">
            <w:pPr>
              <w:pStyle w:val="TableText"/>
              <w:jc w:val="center"/>
            </w:pPr>
            <w:r w:rsidRPr="00543D25">
              <w:t>0–14</w:t>
            </w:r>
          </w:p>
        </w:tc>
        <w:tc>
          <w:tcPr>
            <w:tcW w:w="1488" w:type="dxa"/>
            <w:shd w:val="clear" w:color="auto" w:fill="auto"/>
          </w:tcPr>
          <w:p w:rsidR="00467321" w:rsidRPr="00543D25" w:rsidRDefault="00467321" w:rsidP="00871CC0">
            <w:pPr>
              <w:pStyle w:val="TableText"/>
              <w:tabs>
                <w:tab w:val="decimal" w:pos="710"/>
              </w:tabs>
            </w:pPr>
            <w:r w:rsidRPr="00543D25">
              <w:t>9.5</w:t>
            </w:r>
          </w:p>
        </w:tc>
        <w:tc>
          <w:tcPr>
            <w:tcW w:w="1488" w:type="dxa"/>
            <w:shd w:val="clear" w:color="auto" w:fill="auto"/>
          </w:tcPr>
          <w:p w:rsidR="00467321" w:rsidRPr="00543D25" w:rsidRDefault="00467321" w:rsidP="00871CC0">
            <w:pPr>
              <w:pStyle w:val="TableText"/>
              <w:jc w:val="center"/>
            </w:pPr>
            <w:r w:rsidRPr="00543D25">
              <w:t>4.8</w:t>
            </w:r>
          </w:p>
        </w:tc>
        <w:tc>
          <w:tcPr>
            <w:tcW w:w="1276" w:type="dxa"/>
            <w:shd w:val="clear" w:color="auto" w:fill="auto"/>
          </w:tcPr>
          <w:p w:rsidR="00467321" w:rsidRPr="002D2F56" w:rsidRDefault="00467321" w:rsidP="00871CC0">
            <w:pPr>
              <w:pStyle w:val="TableT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pPr>
            <w:r w:rsidRPr="00543D25">
              <w:t>Not having someone to turn to for day-to-day support</w:t>
            </w:r>
          </w:p>
        </w:tc>
        <w:tc>
          <w:tcPr>
            <w:tcW w:w="706" w:type="dxa"/>
            <w:shd w:val="clear" w:color="auto" w:fill="auto"/>
          </w:tcPr>
          <w:p w:rsidR="00467321" w:rsidRPr="00543D25" w:rsidRDefault="00467321" w:rsidP="00871CC0">
            <w:pPr>
              <w:pStyle w:val="TableText"/>
              <w:jc w:val="center"/>
            </w:pPr>
            <w:r w:rsidRPr="00543D25">
              <w:t>0–14</w:t>
            </w:r>
          </w:p>
        </w:tc>
        <w:tc>
          <w:tcPr>
            <w:tcW w:w="1488" w:type="dxa"/>
            <w:shd w:val="clear" w:color="auto" w:fill="auto"/>
          </w:tcPr>
          <w:p w:rsidR="00467321" w:rsidRPr="00543D25" w:rsidRDefault="00467321" w:rsidP="00871CC0">
            <w:pPr>
              <w:pStyle w:val="TableText"/>
              <w:tabs>
                <w:tab w:val="decimal" w:pos="710"/>
              </w:tabs>
            </w:pPr>
            <w:r w:rsidRPr="00543D25">
              <w:t>13.4</w:t>
            </w:r>
          </w:p>
        </w:tc>
        <w:tc>
          <w:tcPr>
            <w:tcW w:w="1488" w:type="dxa"/>
            <w:shd w:val="clear" w:color="auto" w:fill="auto"/>
          </w:tcPr>
          <w:p w:rsidR="00467321" w:rsidRPr="00543D25" w:rsidRDefault="00467321" w:rsidP="00871CC0">
            <w:pPr>
              <w:pStyle w:val="TableText"/>
              <w:jc w:val="center"/>
            </w:pPr>
            <w:r w:rsidRPr="00543D25">
              <w:t>4.9</w:t>
            </w:r>
          </w:p>
        </w:tc>
        <w:tc>
          <w:tcPr>
            <w:tcW w:w="1276" w:type="dxa"/>
            <w:shd w:val="clear" w:color="auto" w:fill="auto"/>
          </w:tcPr>
          <w:p w:rsidR="00467321" w:rsidRPr="002D2F56" w:rsidRDefault="00467321" w:rsidP="00871CC0">
            <w:pPr>
              <w:pStyle w:val="TableText"/>
              <w:jc w:val="center"/>
              <w:rPr>
                <w:b/>
              </w:rPr>
            </w:pPr>
            <w:r w:rsidRPr="002D2F56">
              <w:rPr>
                <w:b/>
              </w:rPr>
              <w:t>&lt;.01</w:t>
            </w:r>
          </w:p>
        </w:tc>
      </w:tr>
      <w:tr w:rsidR="00467321" w:rsidRPr="00467321" w:rsidTr="00871CC0">
        <w:trPr>
          <w:cantSplit/>
        </w:trPr>
        <w:tc>
          <w:tcPr>
            <w:tcW w:w="3122" w:type="dxa"/>
            <w:shd w:val="clear" w:color="auto" w:fill="auto"/>
          </w:tcPr>
          <w:p w:rsidR="00467321" w:rsidRPr="00543D25" w:rsidRDefault="00467321" w:rsidP="00871CC0">
            <w:pPr>
              <w:pStyle w:val="TableText"/>
            </w:pPr>
            <w:r w:rsidRPr="00543D25">
              <w:t>Psychological distress (K10)†</w:t>
            </w:r>
          </w:p>
        </w:tc>
        <w:tc>
          <w:tcPr>
            <w:tcW w:w="706" w:type="dxa"/>
            <w:shd w:val="clear" w:color="auto" w:fill="auto"/>
          </w:tcPr>
          <w:p w:rsidR="00467321" w:rsidRPr="00543D25" w:rsidRDefault="00467321" w:rsidP="00871CC0">
            <w:pPr>
              <w:pStyle w:val="TableText"/>
              <w:jc w:val="center"/>
            </w:pPr>
            <w:r w:rsidRPr="00543D25">
              <w:t>0–14</w:t>
            </w:r>
          </w:p>
        </w:tc>
        <w:tc>
          <w:tcPr>
            <w:tcW w:w="1488" w:type="dxa"/>
            <w:shd w:val="clear" w:color="auto" w:fill="auto"/>
          </w:tcPr>
          <w:p w:rsidR="00467321" w:rsidRPr="00543D25" w:rsidRDefault="00467321" w:rsidP="00871CC0">
            <w:pPr>
              <w:pStyle w:val="TableText"/>
              <w:tabs>
                <w:tab w:val="decimal" w:pos="710"/>
              </w:tabs>
            </w:pPr>
            <w:r w:rsidRPr="00543D25">
              <w:t>19.0</w:t>
            </w:r>
          </w:p>
        </w:tc>
        <w:tc>
          <w:tcPr>
            <w:tcW w:w="1488" w:type="dxa"/>
            <w:shd w:val="clear" w:color="auto" w:fill="auto"/>
          </w:tcPr>
          <w:p w:rsidR="00467321" w:rsidRPr="00543D25" w:rsidRDefault="00467321" w:rsidP="00871CC0">
            <w:pPr>
              <w:pStyle w:val="TableText"/>
              <w:jc w:val="center"/>
            </w:pPr>
            <w:r w:rsidRPr="00543D25">
              <w:t>5.9</w:t>
            </w:r>
          </w:p>
        </w:tc>
        <w:tc>
          <w:tcPr>
            <w:tcW w:w="1276" w:type="dxa"/>
            <w:shd w:val="clear" w:color="auto" w:fill="auto"/>
          </w:tcPr>
          <w:p w:rsidR="00467321" w:rsidRPr="002D2F56" w:rsidRDefault="00467321" w:rsidP="00871CC0">
            <w:pPr>
              <w:pStyle w:val="TableText"/>
              <w:jc w:val="center"/>
              <w:rPr>
                <w:b/>
              </w:rPr>
            </w:pPr>
            <w:r w:rsidRPr="002D2F56">
              <w:rPr>
                <w:b/>
              </w:rPr>
              <w:t>&lt;.01</w:t>
            </w:r>
          </w:p>
        </w:tc>
      </w:tr>
    </w:tbl>
    <w:p w:rsidR="00467321" w:rsidRPr="00467321" w:rsidRDefault="00467321" w:rsidP="00375BFC">
      <w:pPr>
        <w:pStyle w:val="Note"/>
      </w:pPr>
      <w:r w:rsidRPr="00467321">
        <w:t>Note:</w:t>
      </w:r>
      <w:r w:rsidR="00543D25">
        <w:t xml:space="preserve"> </w:t>
      </w:r>
      <w:r w:rsidRPr="00467321">
        <w:t xml:space="preserve">Statistically significant differences between </w:t>
      </w:r>
      <w:r w:rsidR="002D2F56" w:rsidRPr="00467321">
        <w:t>children in food-secure</w:t>
      </w:r>
      <w:r w:rsidR="002D2F56">
        <w:t xml:space="preserve"> </w:t>
      </w:r>
      <w:r w:rsidR="002D2F56" w:rsidRPr="00467321">
        <w:t>households and food-insecure households</w:t>
      </w:r>
      <w:r w:rsidRPr="00467321">
        <w:t xml:space="preserve"> (</w:t>
      </w:r>
      <w:r w:rsidRPr="00467321">
        <w:rPr>
          <w:rFonts w:ascii="Calibri"/>
          <w:i/>
        </w:rPr>
        <w:t>p</w:t>
      </w:r>
      <w:r w:rsidRPr="00467321">
        <w:t>&lt;.05) are shown in bold.</w:t>
      </w:r>
    </w:p>
    <w:p w:rsidR="00467321" w:rsidRPr="00467321" w:rsidRDefault="00467321" w:rsidP="00375BFC">
      <w:pPr>
        <w:pStyle w:val="Note"/>
      </w:pPr>
      <w:r w:rsidRPr="00467321">
        <w:t>Estimates are unadjusted.</w:t>
      </w:r>
    </w:p>
    <w:p w:rsidR="00467321" w:rsidRPr="00467321" w:rsidRDefault="00467321" w:rsidP="00375BFC">
      <w:pPr>
        <w:pStyle w:val="Note"/>
        <w:ind w:left="198" w:hanging="198"/>
      </w:pPr>
      <w:r w:rsidRPr="00467321">
        <w:t>†</w:t>
      </w:r>
      <w:r w:rsidR="00375BFC">
        <w:tab/>
      </w:r>
      <w:r w:rsidRPr="00467321">
        <w:t>indicates data based on 2015/16 only.</w:t>
      </w:r>
    </w:p>
    <w:p w:rsidR="003119F5" w:rsidRDefault="003119F5" w:rsidP="00871CC0"/>
    <w:p w:rsidR="00467321" w:rsidRPr="00467321" w:rsidRDefault="00467321" w:rsidP="001637E1">
      <w:pPr>
        <w:pStyle w:val="Heading2"/>
      </w:pPr>
      <w:bookmarkStart w:id="88" w:name="_bookmark37"/>
      <w:bookmarkStart w:id="89" w:name="_Toc5437081"/>
      <w:bookmarkEnd w:id="88"/>
      <w:r w:rsidRPr="00467321">
        <w:t>More children in food-insecure households were exposed to second-hand smoke</w:t>
      </w:r>
      <w:bookmarkEnd w:id="89"/>
    </w:p>
    <w:p w:rsidR="00467321" w:rsidRPr="00543D25" w:rsidRDefault="00467321" w:rsidP="00375BFC">
      <w:r w:rsidRPr="00543D25">
        <w:t xml:space="preserve">Previous work has found food insecurity to be more common and severe in children and adults in households with smokers (Cutler-Triggs </w:t>
      </w:r>
      <w:r w:rsidR="007464C2">
        <w:t>et al</w:t>
      </w:r>
      <w:r w:rsidRPr="00543D25">
        <w:t xml:space="preserve"> 2008). A study in the United States looking at young adults found that smoking prevalence was significantly higher among young adults who reported being food-insecure (Kim and Tsoh 2016).</w:t>
      </w:r>
    </w:p>
    <w:p w:rsidR="00467321" w:rsidRPr="00543D25" w:rsidRDefault="00467321" w:rsidP="00375BFC"/>
    <w:p w:rsidR="00467321" w:rsidRPr="00467321" w:rsidRDefault="00467321" w:rsidP="001637E1">
      <w:pPr>
        <w:pStyle w:val="Figure"/>
      </w:pPr>
      <w:bookmarkStart w:id="90" w:name="_Toc5437143"/>
      <w:r w:rsidRPr="00467321">
        <w:lastRenderedPageBreak/>
        <w:t>Figure 20: Household food insecurity and tobacco use, 2015/16</w:t>
      </w:r>
      <w:bookmarkEnd w:id="90"/>
    </w:p>
    <w:p w:rsidR="003119F5" w:rsidRDefault="00567086" w:rsidP="00375BFC">
      <w:r w:rsidRPr="00567086">
        <w:rPr>
          <w:noProof/>
          <w:lang w:eastAsia="en-NZ"/>
        </w:rPr>
        <w:drawing>
          <wp:inline distT="0" distB="0" distL="0" distR="0" wp14:anchorId="0620634A" wp14:editId="238DB73F">
            <wp:extent cx="5130165" cy="2401202"/>
            <wp:effectExtent l="0" t="0" r="0" b="0"/>
            <wp:docPr id="73" name="Picture 73" title="Figure 20: Household food insecurity and tobacco us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0165" cy="2401202"/>
                    </a:xfrm>
                    <a:prstGeom prst="rect">
                      <a:avLst/>
                    </a:prstGeom>
                  </pic:spPr>
                </pic:pic>
              </a:graphicData>
            </a:graphic>
          </wp:inline>
        </w:drawing>
      </w:r>
    </w:p>
    <w:p w:rsidR="00467321" w:rsidRPr="00467321" w:rsidRDefault="00467321" w:rsidP="00375BFC">
      <w:pPr>
        <w:pStyle w:val="Note"/>
      </w:pPr>
      <w:r w:rsidRPr="00467321">
        <w:t>Notes: See Appendix 3 for indicator definitions.</w:t>
      </w:r>
    </w:p>
    <w:p w:rsidR="00467321" w:rsidRPr="00467321" w:rsidRDefault="00467321" w:rsidP="00375BFC">
      <w:pPr>
        <w:pStyle w:val="Note"/>
        <w:ind w:left="198" w:hanging="198"/>
      </w:pPr>
      <w:r w:rsidRPr="00467321">
        <w:t>*</w:t>
      </w:r>
      <w:r w:rsidR="00375BFC">
        <w:tab/>
      </w:r>
      <w:r w:rsidRPr="00467321">
        <w:t>indicates a statistically significant difference between children in food-secure</w:t>
      </w:r>
      <w:r w:rsidR="00375BFC">
        <w:t xml:space="preserve"> </w:t>
      </w:r>
      <w:r w:rsidRPr="00467321">
        <w:t>households and food-insecure households (p&lt;.05). Estimates are unadjusted.</w:t>
      </w:r>
    </w:p>
    <w:p w:rsidR="00375BFC" w:rsidRDefault="00375BFC" w:rsidP="00375BFC"/>
    <w:p w:rsidR="00467321" w:rsidRPr="00543D25" w:rsidRDefault="00467321" w:rsidP="00375BFC">
      <w:r w:rsidRPr="00543D25">
        <w:t>Children who lived in a food-insecure household in 2015/16 were significantly more likely to have a caregiver who said they were a current smoker than children living in food-secure households (see Figure 20, Table 14). Just over two in five children in food-insecure households had a caregiver reporting they smoked at least monthly.</w:t>
      </w:r>
      <w:r w:rsidR="00375BFC">
        <w:t xml:space="preserve"> </w:t>
      </w:r>
      <w:r w:rsidRPr="00543D25">
        <w:t>This estimate refers to the primary caregiver only; there may have been others in the households who smoked.</w:t>
      </w:r>
    </w:p>
    <w:p w:rsidR="00375BFC" w:rsidRDefault="00375BFC" w:rsidP="00375BFC"/>
    <w:p w:rsidR="00467321" w:rsidRPr="00543D25" w:rsidRDefault="00467321" w:rsidP="00375BFC">
      <w:r w:rsidRPr="00543D25">
        <w:t>Children living in a household where someone smoked inside the house made up a smaller percentage. Just over 8 percent of children in food-insecure households were exposed to second-hand smoke inside the house. This was four times as likely as children in food-secure households (unadjusted).</w:t>
      </w:r>
    </w:p>
    <w:p w:rsidR="00467321" w:rsidRPr="00543D25" w:rsidRDefault="00467321" w:rsidP="00375BFC"/>
    <w:p w:rsidR="00467321" w:rsidRPr="00467321" w:rsidRDefault="00467321" w:rsidP="001637E1">
      <w:pPr>
        <w:pStyle w:val="Table"/>
      </w:pPr>
      <w:bookmarkStart w:id="91" w:name="_Toc5437202"/>
      <w:r w:rsidRPr="00467321">
        <w:t>Table 14: Tobacco use, by food security status, 2015/16</w:t>
      </w:r>
      <w:bookmarkEnd w:id="91"/>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35"/>
        <w:gridCol w:w="709"/>
        <w:gridCol w:w="1843"/>
        <w:gridCol w:w="1417"/>
        <w:gridCol w:w="1276"/>
      </w:tblGrid>
      <w:tr w:rsidR="00467321" w:rsidRPr="00567086" w:rsidTr="00567086">
        <w:trPr>
          <w:cantSplit/>
        </w:trPr>
        <w:tc>
          <w:tcPr>
            <w:tcW w:w="2835" w:type="dxa"/>
            <w:tcBorders>
              <w:top w:val="nil"/>
              <w:bottom w:val="nil"/>
            </w:tcBorders>
            <w:shd w:val="clear" w:color="auto" w:fill="D9D9D9" w:themeFill="background1" w:themeFillShade="D9"/>
          </w:tcPr>
          <w:p w:rsidR="00467321" w:rsidRPr="00567086" w:rsidRDefault="00467321" w:rsidP="00567086">
            <w:pPr>
              <w:pStyle w:val="TableText"/>
              <w:rPr>
                <w:b/>
              </w:rPr>
            </w:pPr>
          </w:p>
        </w:tc>
        <w:tc>
          <w:tcPr>
            <w:tcW w:w="709" w:type="dxa"/>
            <w:tcBorders>
              <w:top w:val="nil"/>
              <w:bottom w:val="nil"/>
            </w:tcBorders>
            <w:shd w:val="clear" w:color="auto" w:fill="D9D9D9" w:themeFill="background1" w:themeFillShade="D9"/>
          </w:tcPr>
          <w:p w:rsidR="00467321" w:rsidRPr="00567086" w:rsidRDefault="00467321" w:rsidP="00567086">
            <w:pPr>
              <w:pStyle w:val="TableText"/>
              <w:jc w:val="center"/>
              <w:rPr>
                <w:b/>
              </w:rPr>
            </w:pPr>
            <w:r w:rsidRPr="00567086">
              <w:rPr>
                <w:b/>
              </w:rPr>
              <w:t>Age (child)</w:t>
            </w:r>
          </w:p>
        </w:tc>
        <w:tc>
          <w:tcPr>
            <w:tcW w:w="1843" w:type="dxa"/>
            <w:tcBorders>
              <w:top w:val="nil"/>
              <w:bottom w:val="nil"/>
            </w:tcBorders>
            <w:shd w:val="clear" w:color="auto" w:fill="D9D9D9" w:themeFill="background1" w:themeFillShade="D9"/>
          </w:tcPr>
          <w:p w:rsidR="00467321" w:rsidRPr="00567086" w:rsidRDefault="00467321" w:rsidP="00567086">
            <w:pPr>
              <w:pStyle w:val="TableText"/>
              <w:jc w:val="center"/>
              <w:rPr>
                <w:b/>
              </w:rPr>
            </w:pPr>
            <w:r w:rsidRPr="00567086">
              <w:rPr>
                <w:b/>
              </w:rPr>
              <w:t>Percentage in severely to moderately food-insecure households</w:t>
            </w:r>
          </w:p>
        </w:tc>
        <w:tc>
          <w:tcPr>
            <w:tcW w:w="1417" w:type="dxa"/>
            <w:tcBorders>
              <w:top w:val="nil"/>
              <w:bottom w:val="nil"/>
            </w:tcBorders>
            <w:shd w:val="clear" w:color="auto" w:fill="D9D9D9" w:themeFill="background1" w:themeFillShade="D9"/>
          </w:tcPr>
          <w:p w:rsidR="00467321" w:rsidRPr="00567086" w:rsidRDefault="00467321" w:rsidP="00567086">
            <w:pPr>
              <w:pStyle w:val="TableText"/>
              <w:jc w:val="center"/>
              <w:rPr>
                <w:b/>
              </w:rPr>
            </w:pPr>
            <w:r w:rsidRPr="00567086">
              <w:rPr>
                <w:b/>
              </w:rPr>
              <w:t>Percentage</w:t>
            </w:r>
            <w:r w:rsidR="00567086">
              <w:rPr>
                <w:b/>
              </w:rPr>
              <w:t xml:space="preserve"> </w:t>
            </w:r>
            <w:r w:rsidRPr="00567086">
              <w:rPr>
                <w:b/>
              </w:rPr>
              <w:t>in fully to mostly food-secure households</w:t>
            </w:r>
          </w:p>
        </w:tc>
        <w:tc>
          <w:tcPr>
            <w:tcW w:w="1276" w:type="dxa"/>
            <w:tcBorders>
              <w:top w:val="nil"/>
              <w:bottom w:val="nil"/>
            </w:tcBorders>
            <w:shd w:val="clear" w:color="auto" w:fill="D9D9D9" w:themeFill="background1" w:themeFillShade="D9"/>
          </w:tcPr>
          <w:p w:rsidR="00467321" w:rsidRPr="00567086" w:rsidRDefault="00467321" w:rsidP="00567086">
            <w:pPr>
              <w:pStyle w:val="TableText"/>
              <w:jc w:val="center"/>
              <w:rPr>
                <w:b/>
              </w:rPr>
            </w:pPr>
            <w:r w:rsidRPr="00567086">
              <w:rPr>
                <w:rFonts w:ascii="Trebuchet MS"/>
                <w:b/>
                <w:i/>
              </w:rPr>
              <w:t xml:space="preserve">p </w:t>
            </w:r>
            <w:r w:rsidRPr="00567086">
              <w:rPr>
                <w:b/>
              </w:rPr>
              <w:t>value for difference (unadjusted)</w:t>
            </w:r>
          </w:p>
        </w:tc>
      </w:tr>
      <w:tr w:rsidR="00467321" w:rsidRPr="00467321" w:rsidTr="00567086">
        <w:trPr>
          <w:cantSplit/>
        </w:trPr>
        <w:tc>
          <w:tcPr>
            <w:tcW w:w="2835" w:type="dxa"/>
            <w:tcBorders>
              <w:top w:val="nil"/>
            </w:tcBorders>
            <w:shd w:val="clear" w:color="auto" w:fill="auto"/>
          </w:tcPr>
          <w:p w:rsidR="00467321" w:rsidRPr="00543D25" w:rsidRDefault="00467321" w:rsidP="00567086">
            <w:pPr>
              <w:pStyle w:val="TableText"/>
            </w:pPr>
            <w:r w:rsidRPr="00543D25">
              <w:t>Primary caregiver current smoker</w:t>
            </w:r>
          </w:p>
        </w:tc>
        <w:tc>
          <w:tcPr>
            <w:tcW w:w="709" w:type="dxa"/>
            <w:tcBorders>
              <w:top w:val="nil"/>
            </w:tcBorders>
            <w:shd w:val="clear" w:color="auto" w:fill="auto"/>
          </w:tcPr>
          <w:p w:rsidR="00467321" w:rsidRPr="00543D25" w:rsidRDefault="00467321" w:rsidP="00567086">
            <w:pPr>
              <w:pStyle w:val="TableText"/>
              <w:jc w:val="center"/>
            </w:pPr>
            <w:r w:rsidRPr="00543D25">
              <w:t>0–14</w:t>
            </w:r>
          </w:p>
        </w:tc>
        <w:tc>
          <w:tcPr>
            <w:tcW w:w="1843" w:type="dxa"/>
            <w:tcBorders>
              <w:top w:val="nil"/>
            </w:tcBorders>
            <w:shd w:val="clear" w:color="auto" w:fill="auto"/>
          </w:tcPr>
          <w:p w:rsidR="00467321" w:rsidRPr="00543D25" w:rsidRDefault="00467321" w:rsidP="00567086">
            <w:pPr>
              <w:pStyle w:val="TableText"/>
              <w:tabs>
                <w:tab w:val="decimal" w:pos="935"/>
              </w:tabs>
            </w:pPr>
            <w:r w:rsidRPr="00543D25">
              <w:t>41.4</w:t>
            </w:r>
          </w:p>
        </w:tc>
        <w:tc>
          <w:tcPr>
            <w:tcW w:w="1417" w:type="dxa"/>
            <w:tcBorders>
              <w:top w:val="nil"/>
            </w:tcBorders>
            <w:shd w:val="clear" w:color="auto" w:fill="auto"/>
          </w:tcPr>
          <w:p w:rsidR="00467321" w:rsidRPr="00543D25" w:rsidRDefault="00467321" w:rsidP="00567086">
            <w:pPr>
              <w:pStyle w:val="TableText"/>
              <w:tabs>
                <w:tab w:val="decimal" w:pos="695"/>
              </w:tabs>
            </w:pPr>
            <w:r w:rsidRPr="00543D25">
              <w:t>17.0</w:t>
            </w:r>
          </w:p>
        </w:tc>
        <w:tc>
          <w:tcPr>
            <w:tcW w:w="1276" w:type="dxa"/>
            <w:tcBorders>
              <w:top w:val="nil"/>
            </w:tcBorders>
            <w:shd w:val="clear" w:color="auto" w:fill="auto"/>
          </w:tcPr>
          <w:p w:rsidR="00467321" w:rsidRPr="002D2F56" w:rsidRDefault="00467321" w:rsidP="00567086">
            <w:pPr>
              <w:pStyle w:val="TableText"/>
              <w:jc w:val="center"/>
              <w:rPr>
                <w:b/>
              </w:rPr>
            </w:pPr>
            <w:r w:rsidRPr="002D2F56">
              <w:rPr>
                <w:b/>
              </w:rPr>
              <w:t>&lt;.01</w:t>
            </w:r>
          </w:p>
        </w:tc>
      </w:tr>
      <w:tr w:rsidR="00467321" w:rsidRPr="00467321" w:rsidTr="00567086">
        <w:trPr>
          <w:cantSplit/>
        </w:trPr>
        <w:tc>
          <w:tcPr>
            <w:tcW w:w="2835" w:type="dxa"/>
            <w:shd w:val="clear" w:color="auto" w:fill="auto"/>
          </w:tcPr>
          <w:p w:rsidR="00467321" w:rsidRPr="00543D25" w:rsidRDefault="00467321" w:rsidP="00567086">
            <w:pPr>
              <w:pStyle w:val="TableText"/>
            </w:pPr>
            <w:r w:rsidRPr="00543D25">
              <w:t>Smoker inside the house</w:t>
            </w:r>
          </w:p>
        </w:tc>
        <w:tc>
          <w:tcPr>
            <w:tcW w:w="709" w:type="dxa"/>
            <w:shd w:val="clear" w:color="auto" w:fill="auto"/>
          </w:tcPr>
          <w:p w:rsidR="00467321" w:rsidRPr="00543D25" w:rsidRDefault="00467321" w:rsidP="00567086">
            <w:pPr>
              <w:pStyle w:val="TableText"/>
              <w:jc w:val="center"/>
            </w:pPr>
            <w:r w:rsidRPr="00543D25">
              <w:t>0–14</w:t>
            </w:r>
          </w:p>
        </w:tc>
        <w:tc>
          <w:tcPr>
            <w:tcW w:w="1843" w:type="dxa"/>
            <w:shd w:val="clear" w:color="auto" w:fill="auto"/>
          </w:tcPr>
          <w:p w:rsidR="00467321" w:rsidRPr="00543D25" w:rsidRDefault="00467321" w:rsidP="00567086">
            <w:pPr>
              <w:pStyle w:val="TableText"/>
              <w:tabs>
                <w:tab w:val="decimal" w:pos="935"/>
              </w:tabs>
            </w:pPr>
            <w:r w:rsidRPr="00543D25">
              <w:t>8.4</w:t>
            </w:r>
          </w:p>
        </w:tc>
        <w:tc>
          <w:tcPr>
            <w:tcW w:w="1417" w:type="dxa"/>
            <w:shd w:val="clear" w:color="auto" w:fill="auto"/>
          </w:tcPr>
          <w:p w:rsidR="00467321" w:rsidRPr="00543D25" w:rsidRDefault="00467321" w:rsidP="00567086">
            <w:pPr>
              <w:pStyle w:val="TableText"/>
              <w:tabs>
                <w:tab w:val="decimal" w:pos="695"/>
              </w:tabs>
            </w:pPr>
            <w:r w:rsidRPr="00543D25">
              <w:t>2.1</w:t>
            </w:r>
          </w:p>
        </w:tc>
        <w:tc>
          <w:tcPr>
            <w:tcW w:w="1276" w:type="dxa"/>
            <w:shd w:val="clear" w:color="auto" w:fill="auto"/>
          </w:tcPr>
          <w:p w:rsidR="00467321" w:rsidRPr="002D2F56" w:rsidRDefault="00467321" w:rsidP="00567086">
            <w:pPr>
              <w:pStyle w:val="TableText"/>
              <w:jc w:val="center"/>
              <w:rPr>
                <w:b/>
              </w:rPr>
            </w:pPr>
            <w:r w:rsidRPr="002D2F56">
              <w:rPr>
                <w:b/>
              </w:rPr>
              <w:t>&lt;.01</w:t>
            </w:r>
          </w:p>
        </w:tc>
      </w:tr>
    </w:tbl>
    <w:p w:rsidR="00467321" w:rsidRDefault="00467321" w:rsidP="00375BFC">
      <w:pPr>
        <w:pStyle w:val="Note"/>
      </w:pPr>
      <w:r w:rsidRPr="00467321">
        <w:t xml:space="preserve">Note: Statistically significant differences between </w:t>
      </w:r>
      <w:r w:rsidR="002D2F56" w:rsidRPr="00467321">
        <w:t>children in food-secure</w:t>
      </w:r>
      <w:r w:rsidR="002D2F56">
        <w:t xml:space="preserve"> </w:t>
      </w:r>
      <w:r w:rsidR="002D2F56" w:rsidRPr="00467321">
        <w:t xml:space="preserve">households and food-insecure households </w:t>
      </w:r>
      <w:r w:rsidRPr="00467321">
        <w:t>(</w:t>
      </w:r>
      <w:r w:rsidRPr="00467321">
        <w:rPr>
          <w:rFonts w:ascii="Calibri"/>
          <w:i/>
        </w:rPr>
        <w:t>p</w:t>
      </w:r>
      <w:r w:rsidRPr="00467321">
        <w:t>&lt;.05) are shown in bold. Estimates are unadjusted.</w:t>
      </w:r>
    </w:p>
    <w:p w:rsidR="00375BFC" w:rsidRPr="00375BFC" w:rsidRDefault="00375BFC" w:rsidP="00567086"/>
    <w:p w:rsidR="00467321" w:rsidRPr="00467321" w:rsidRDefault="00467321" w:rsidP="0030569E">
      <w:pPr>
        <w:pStyle w:val="Heading1"/>
      </w:pPr>
      <w:bookmarkStart w:id="92" w:name="_bookmark38"/>
      <w:bookmarkStart w:id="93" w:name="_Toc5437082"/>
      <w:bookmarkEnd w:id="92"/>
      <w:r w:rsidRPr="00467321">
        <w:lastRenderedPageBreak/>
        <w:t>Conclusion</w:t>
      </w:r>
      <w:bookmarkEnd w:id="93"/>
    </w:p>
    <w:p w:rsidR="00467321" w:rsidRPr="00467321" w:rsidRDefault="00467321" w:rsidP="0030569E">
      <w:pPr>
        <w:pStyle w:val="Introductoryparagraph"/>
      </w:pPr>
      <w:r w:rsidRPr="00467321">
        <w:t>New Zealand Health Survey estimates presented in this report indicate that, although the majority of children live in food-secure households, a substantial share of New Zealand</w:t>
      </w:r>
      <w:r w:rsidR="0030569E">
        <w:t xml:space="preserve"> </w:t>
      </w:r>
      <w:r w:rsidRPr="00467321">
        <w:t>children do not. In 2015/16, almost one in five children (19.0%) lived in severely to moderately food-insecure households.</w:t>
      </w:r>
    </w:p>
    <w:p w:rsidR="00467321" w:rsidRDefault="00467321" w:rsidP="0030569E">
      <w:r w:rsidRPr="00543D25">
        <w:t>Children living in food-insecure households constitute an important public policy concern, both from the perspective of the rights of children and potential adverse health, development and education consequences. This report highlights that children in food-insecure households fared worse on the majority of indicators we explored. These findings were consistent with previous research, both nationally and internationally, on the association of household food insecurity with indicators of health and health behaviours, development and health service use.</w:t>
      </w:r>
    </w:p>
    <w:p w:rsidR="00A942EA" w:rsidRPr="00543D25" w:rsidRDefault="00A942EA" w:rsidP="0030569E"/>
    <w:p w:rsidR="00467321" w:rsidRPr="00543D25" w:rsidRDefault="00467321" w:rsidP="00A942EA">
      <w:r w:rsidRPr="00543D25">
        <w:t>Availability of population-based estimates of food insecurity is particularly important in relation to the Government</w:t>
      </w:r>
      <w:r w:rsidR="00543D25" w:rsidRPr="00543D25">
        <w:t>’</w:t>
      </w:r>
      <w:r w:rsidRPr="00543D25">
        <w:t>s programme to achieve a significant and sustained reduction in child poverty in New Zealand. This research suggests that household socioeconomic factors plays an important role in food insecurity. Also, access to adequate food, and freedom from hunger, are important components of a range of international conventions and commitments regarding human rights. For example, New Zealand has committed to the United Nations Sustainable Development</w:t>
      </w:r>
      <w:r w:rsidR="00A942EA">
        <w:t xml:space="preserve"> </w:t>
      </w:r>
      <w:r w:rsidRPr="00543D25">
        <w:t xml:space="preserve">Goals, which includes the goal to </w:t>
      </w:r>
      <w:r w:rsidR="00543D25" w:rsidRPr="00543D25">
        <w:t>‘</w:t>
      </w:r>
      <w:r w:rsidRPr="00543D25">
        <w:t>end hunger, achieve food security and improved nutrition, and promote sustainable agriculture</w:t>
      </w:r>
      <w:r w:rsidR="00543D25" w:rsidRPr="00543D25">
        <w:t>’</w:t>
      </w:r>
      <w:r w:rsidRPr="00543D25">
        <w:t xml:space="preserve"> by 2030. This means New Zealand will contribute to the achievement of the goals through a combination of domestic</w:t>
      </w:r>
      <w:r w:rsidR="00A942EA">
        <w:t xml:space="preserve"> </w:t>
      </w:r>
      <w:r w:rsidRPr="00543D25">
        <w:t>action, international leadership on global policy issues and support to other countries through the New Zealand Aid Programme.</w:t>
      </w:r>
    </w:p>
    <w:p w:rsidR="00A942EA" w:rsidRDefault="00A942EA" w:rsidP="00A942EA"/>
    <w:p w:rsidR="00467321" w:rsidRDefault="00467321" w:rsidP="00A942EA">
      <w:r w:rsidRPr="00543D25">
        <w:t xml:space="preserve">By developing an improved summary index for food insecurity from the New Zealand Health Survey, we have a method to monitor the prevalence of household food insecurity among New Zealand children. This can provide evidence over time of the success of interventions targeting child poverty. A recent report proposes the use of household food insecurity as an outcome indicator, to evaluate the success of a range of policy actions (McIntyre </w:t>
      </w:r>
      <w:r w:rsidR="007464C2">
        <w:t>et al</w:t>
      </w:r>
      <w:r w:rsidRPr="00543D25">
        <w:t xml:space="preserve"> 2019).</w:t>
      </w:r>
    </w:p>
    <w:p w:rsidR="00A942EA" w:rsidRPr="00543D25" w:rsidRDefault="00A942EA" w:rsidP="00A942EA"/>
    <w:p w:rsidR="00467321" w:rsidRPr="00467321" w:rsidRDefault="00467321" w:rsidP="0030569E">
      <w:pPr>
        <w:pStyle w:val="Heading1"/>
      </w:pPr>
      <w:bookmarkStart w:id="94" w:name="_bookmark39"/>
      <w:bookmarkStart w:id="95" w:name="_Toc5437083"/>
      <w:bookmarkEnd w:id="94"/>
      <w:r w:rsidRPr="00467321">
        <w:lastRenderedPageBreak/>
        <w:t>References</w:t>
      </w:r>
      <w:bookmarkEnd w:id="95"/>
    </w:p>
    <w:p w:rsidR="00467321" w:rsidRPr="00467321" w:rsidRDefault="00467321" w:rsidP="0030569E">
      <w:pPr>
        <w:pStyle w:val="References"/>
      </w:pPr>
      <w:r w:rsidRPr="00467321">
        <w:t xml:space="preserve">Alaimo K, Olson CM, Frongillo EA. 2001. Low family income and food insufficiency in relation to overweight in US children: is there a paradox? </w:t>
      </w:r>
      <w:r w:rsidRPr="00F742BA">
        <w:rPr>
          <w:i/>
        </w:rPr>
        <w:t>Archives of Pediatrics and Adolescent Medicine</w:t>
      </w:r>
      <w:r w:rsidRPr="00467321">
        <w:rPr>
          <w:rFonts w:ascii="Calibri" w:hAnsi="Calibri"/>
          <w:i/>
        </w:rPr>
        <w:t xml:space="preserve"> </w:t>
      </w:r>
      <w:r w:rsidRPr="00467321">
        <w:t>155(10): 1161–7.</w:t>
      </w:r>
    </w:p>
    <w:p w:rsidR="00467321" w:rsidRPr="00467321" w:rsidRDefault="00467321" w:rsidP="0030569E">
      <w:pPr>
        <w:pStyle w:val="References"/>
      </w:pPr>
      <w:r w:rsidRPr="00467321">
        <w:t xml:space="preserve">Anderson SA. 1990. Core indicators of nutritional state for difficult-to-sample populations. </w:t>
      </w:r>
      <w:r w:rsidRPr="00F742BA">
        <w:rPr>
          <w:i/>
        </w:rPr>
        <w:t xml:space="preserve">The Journal of </w:t>
      </w:r>
      <w:r w:rsidR="00F742BA">
        <w:rPr>
          <w:i/>
        </w:rPr>
        <w:t>N</w:t>
      </w:r>
      <w:r w:rsidRPr="00F742BA">
        <w:rPr>
          <w:i/>
        </w:rPr>
        <w:t>utrition</w:t>
      </w:r>
      <w:r w:rsidRPr="00467321">
        <w:rPr>
          <w:rFonts w:ascii="Calibri"/>
          <w:i/>
        </w:rPr>
        <w:t xml:space="preserve"> </w:t>
      </w:r>
      <w:r w:rsidRPr="00467321">
        <w:t>120: 1559</w:t>
      </w:r>
      <w:r w:rsidR="00F742BA">
        <w:t>–</w:t>
      </w:r>
      <w:r w:rsidRPr="00467321">
        <w:t>600.</w:t>
      </w:r>
    </w:p>
    <w:p w:rsidR="00467321" w:rsidRPr="00467321" w:rsidRDefault="00467321" w:rsidP="0030569E">
      <w:pPr>
        <w:pStyle w:val="References"/>
      </w:pPr>
      <w:r w:rsidRPr="00467321">
        <w:t xml:space="preserve">Beavis BS, McKerchar C, Maaka J, </w:t>
      </w:r>
      <w:r w:rsidR="00F742BA">
        <w:t>et al</w:t>
      </w:r>
      <w:r w:rsidRPr="00467321">
        <w:t>. 2018. Exploration of Māori household experiences of</w:t>
      </w:r>
      <w:r w:rsidR="00F742BA">
        <w:t xml:space="preserve"> </w:t>
      </w:r>
      <w:r w:rsidRPr="00467321">
        <w:t xml:space="preserve">food insecurity. </w:t>
      </w:r>
      <w:r w:rsidRPr="00F742BA">
        <w:rPr>
          <w:i/>
        </w:rPr>
        <w:t>Nutrition &amp; Dietetics</w:t>
      </w:r>
      <w:r w:rsidRPr="00467321">
        <w:t>. DOI: 10.1111/1747-0080.12477</w:t>
      </w:r>
      <w:r w:rsidR="00F742BA">
        <w:t>.</w:t>
      </w:r>
    </w:p>
    <w:p w:rsidR="00467321" w:rsidRPr="00467321" w:rsidRDefault="00467321" w:rsidP="0030569E">
      <w:pPr>
        <w:pStyle w:val="References"/>
      </w:pPr>
      <w:r w:rsidRPr="00467321">
        <w:t>Bernal J, Frongillo EA, Jaffe K. 2016. Food insecurity of children and shame of others knowing they</w:t>
      </w:r>
      <w:r w:rsidR="00F742BA">
        <w:t xml:space="preserve"> </w:t>
      </w:r>
      <w:r w:rsidRPr="00467321">
        <w:t xml:space="preserve">are without food. </w:t>
      </w:r>
      <w:r w:rsidRPr="00F742BA">
        <w:rPr>
          <w:i/>
        </w:rPr>
        <w:t>Journal of Hunger and Environmental Nutrition</w:t>
      </w:r>
      <w:r w:rsidRPr="00467321">
        <w:rPr>
          <w:rFonts w:ascii="Calibri" w:hAnsi="Calibri"/>
          <w:i/>
        </w:rPr>
        <w:t xml:space="preserve"> </w:t>
      </w:r>
      <w:r w:rsidRPr="00467321">
        <w:t>11(2):</w:t>
      </w:r>
      <w:r w:rsidR="00F742BA">
        <w:t> </w:t>
      </w:r>
      <w:r w:rsidRPr="00467321">
        <w:t>180–94.</w:t>
      </w:r>
    </w:p>
    <w:p w:rsidR="00467321" w:rsidRPr="00467321" w:rsidRDefault="00467321" w:rsidP="0030569E">
      <w:pPr>
        <w:pStyle w:val="References"/>
      </w:pPr>
      <w:r w:rsidRPr="00467321">
        <w:t xml:space="preserve">Black MM, Drennen C, Gallego N, </w:t>
      </w:r>
      <w:r w:rsidR="007464C2">
        <w:t>et al</w:t>
      </w:r>
      <w:r w:rsidRPr="00467321">
        <w:t>. 2017. Household food insecurity is associated with children</w:t>
      </w:r>
      <w:r w:rsidR="00543D25">
        <w:t>’</w:t>
      </w:r>
      <w:r w:rsidRPr="00467321">
        <w:t xml:space="preserve">s health and developmental risks, but not with age-specific obesity and underweight. </w:t>
      </w:r>
      <w:r w:rsidRPr="00F742BA">
        <w:rPr>
          <w:i/>
        </w:rPr>
        <w:t>FASEB Journal</w:t>
      </w:r>
      <w:r w:rsidRPr="00467321">
        <w:rPr>
          <w:rFonts w:ascii="Calibri" w:hAnsi="Calibri"/>
          <w:i/>
        </w:rPr>
        <w:t xml:space="preserve"> </w:t>
      </w:r>
      <w:r w:rsidRPr="00467321">
        <w:t>31(1): 791–817.</w:t>
      </w:r>
    </w:p>
    <w:p w:rsidR="00467321" w:rsidRPr="00467321" w:rsidRDefault="00467321" w:rsidP="0030569E">
      <w:pPr>
        <w:pStyle w:val="References"/>
      </w:pPr>
      <w:r w:rsidRPr="00467321">
        <w:t xml:space="preserve">Bowers S, Carter K, Gorton D, </w:t>
      </w:r>
      <w:r w:rsidR="007464C2">
        <w:t>et al</w:t>
      </w:r>
      <w:r w:rsidRPr="00467321">
        <w:t xml:space="preserve">. 2009. </w:t>
      </w:r>
      <w:r w:rsidRPr="00F742BA">
        <w:rPr>
          <w:i/>
        </w:rPr>
        <w:t>Enhancing food security and physical activity for Māori, Pacific and low-income peoples</w:t>
      </w:r>
      <w:r w:rsidRPr="00467321">
        <w:t>. Wellington: Clinical Trials Research Unit, University of Auckland; GeoHealth Laboratory, University of Canterbury; Health Promotion and Policy Research Unit, University of Otago; Te Hotu Manawa Māori.</w:t>
      </w:r>
    </w:p>
    <w:p w:rsidR="00467321" w:rsidRPr="00467321" w:rsidRDefault="00467321" w:rsidP="0030569E">
      <w:pPr>
        <w:pStyle w:val="References"/>
      </w:pPr>
      <w:r w:rsidRPr="00467321">
        <w:t xml:space="preserve">Burke M, Martini L, Cayir E, </w:t>
      </w:r>
      <w:r w:rsidR="007464C2">
        <w:t>et al</w:t>
      </w:r>
      <w:r w:rsidRPr="00467321">
        <w:t xml:space="preserve">. 2015. Low and very low food security are associated with differences in emotional and behavioral problems among children and adolescents in the US. </w:t>
      </w:r>
      <w:r w:rsidRPr="00F742BA">
        <w:rPr>
          <w:i/>
        </w:rPr>
        <w:t>FASEB Journal</w:t>
      </w:r>
      <w:r w:rsidRPr="00467321">
        <w:t xml:space="preserve"> 29(1</w:t>
      </w:r>
      <w:r w:rsidR="00F742BA">
        <w:t xml:space="preserve"> </w:t>
      </w:r>
      <w:r w:rsidRPr="00467321">
        <w:t>supplement): 261–4.</w:t>
      </w:r>
    </w:p>
    <w:p w:rsidR="00467321" w:rsidRPr="00467321" w:rsidRDefault="00467321" w:rsidP="0030569E">
      <w:pPr>
        <w:pStyle w:val="References"/>
      </w:pPr>
      <w:r w:rsidRPr="00467321">
        <w:t xml:space="preserve">Carter KN, Cronin M, Blakely T, </w:t>
      </w:r>
      <w:r w:rsidR="007464C2">
        <w:t>et al</w:t>
      </w:r>
      <w:r w:rsidRPr="00467321">
        <w:t>. 2009. Cohort profile: Survey of families, income and employment</w:t>
      </w:r>
      <w:r w:rsidR="00F742BA">
        <w:t xml:space="preserve"> </w:t>
      </w:r>
      <w:r w:rsidRPr="00467321">
        <w:t xml:space="preserve">(SoFIE) and health extension (SoFIE-Health). </w:t>
      </w:r>
      <w:r w:rsidRPr="00F742BA">
        <w:rPr>
          <w:i/>
        </w:rPr>
        <w:t>International</w:t>
      </w:r>
      <w:r w:rsidR="00543D25" w:rsidRPr="00F742BA">
        <w:rPr>
          <w:i/>
        </w:rPr>
        <w:t xml:space="preserve"> </w:t>
      </w:r>
      <w:r w:rsidRPr="00F742BA">
        <w:rPr>
          <w:i/>
        </w:rPr>
        <w:t>Journal</w:t>
      </w:r>
      <w:r w:rsidR="00543D25" w:rsidRPr="00F742BA">
        <w:rPr>
          <w:i/>
        </w:rPr>
        <w:t xml:space="preserve"> </w:t>
      </w:r>
      <w:r w:rsidRPr="00F742BA">
        <w:rPr>
          <w:i/>
        </w:rPr>
        <w:t>of</w:t>
      </w:r>
      <w:r w:rsidR="00543D25" w:rsidRPr="00F742BA">
        <w:rPr>
          <w:i/>
        </w:rPr>
        <w:t xml:space="preserve"> </w:t>
      </w:r>
      <w:r w:rsidRPr="00F742BA">
        <w:rPr>
          <w:i/>
        </w:rPr>
        <w:t>Epidemiology</w:t>
      </w:r>
      <w:r w:rsidR="00543D25">
        <w:rPr>
          <w:rFonts w:ascii="Calibri" w:hAnsi="Calibri"/>
          <w:i/>
        </w:rPr>
        <w:t xml:space="preserve"> </w:t>
      </w:r>
      <w:r w:rsidRPr="00467321">
        <w:t>39(3): 653–9.</w:t>
      </w:r>
    </w:p>
    <w:p w:rsidR="00467321" w:rsidRPr="00467321" w:rsidRDefault="00467321" w:rsidP="0030569E">
      <w:pPr>
        <w:pStyle w:val="References"/>
      </w:pPr>
      <w:r w:rsidRPr="00467321">
        <w:t xml:space="preserve">Carter KN, Kruse K, Blakely T, </w:t>
      </w:r>
      <w:r w:rsidR="007464C2">
        <w:t>et al</w:t>
      </w:r>
      <w:r w:rsidRPr="00467321">
        <w:t>. 2011. The association of food security with psychological distress</w:t>
      </w:r>
      <w:r w:rsidR="00F742BA">
        <w:t xml:space="preserve"> </w:t>
      </w:r>
      <w:r w:rsidRPr="00467321">
        <w:t xml:space="preserve">in New Zealand and any gender differences. </w:t>
      </w:r>
      <w:r w:rsidRPr="00F742BA">
        <w:rPr>
          <w:i/>
        </w:rPr>
        <w:t>Social Science and Medicine</w:t>
      </w:r>
      <w:r w:rsidRPr="00467321">
        <w:rPr>
          <w:rFonts w:ascii="Calibri" w:hAnsi="Calibri"/>
          <w:i/>
        </w:rPr>
        <w:t xml:space="preserve"> </w:t>
      </w:r>
      <w:r w:rsidRPr="00467321">
        <w:t>72(9): 1463–71.</w:t>
      </w:r>
    </w:p>
    <w:p w:rsidR="00467321" w:rsidRPr="00467321" w:rsidRDefault="00467321" w:rsidP="0030569E">
      <w:pPr>
        <w:pStyle w:val="References"/>
      </w:pPr>
      <w:r w:rsidRPr="00467321">
        <w:t xml:space="preserve">Carter KN, Lanumata T, Kruse K, </w:t>
      </w:r>
      <w:r w:rsidR="007464C2">
        <w:t>et al</w:t>
      </w:r>
      <w:r w:rsidRPr="00467321">
        <w:t xml:space="preserve">. 2010. What are the determinants of food insecurity in New Zealand and does this differ for males and females? </w:t>
      </w:r>
      <w:r w:rsidRPr="00F742BA">
        <w:rPr>
          <w:i/>
        </w:rPr>
        <w:t>Australian and New Zealand Journal of Public Health</w:t>
      </w:r>
      <w:r w:rsidRPr="00467321">
        <w:rPr>
          <w:rFonts w:ascii="Calibri" w:hAnsi="Calibri"/>
          <w:i/>
        </w:rPr>
        <w:t xml:space="preserve"> </w:t>
      </w:r>
      <w:r w:rsidRPr="00467321">
        <w:t>34(6): 602–8.</w:t>
      </w:r>
    </w:p>
    <w:p w:rsidR="00467321" w:rsidRPr="00467321" w:rsidRDefault="00467321" w:rsidP="0030569E">
      <w:pPr>
        <w:pStyle w:val="References"/>
      </w:pPr>
      <w:r w:rsidRPr="00467321">
        <w:t xml:space="preserve">Casey PH, Simpson PM, Gossett JM, </w:t>
      </w:r>
      <w:r w:rsidR="007464C2">
        <w:t>et al</w:t>
      </w:r>
      <w:r w:rsidRPr="00467321">
        <w:t xml:space="preserve">. 2006. The association of child and household food insecurity with childhood overweight status. </w:t>
      </w:r>
      <w:r w:rsidRPr="00F742BA">
        <w:rPr>
          <w:i/>
        </w:rPr>
        <w:t>Pediatrics</w:t>
      </w:r>
      <w:r w:rsidRPr="00467321">
        <w:t xml:space="preserve"> 118(5): e1406–13.</w:t>
      </w:r>
    </w:p>
    <w:p w:rsidR="00467321" w:rsidRPr="00467321" w:rsidRDefault="00467321" w:rsidP="0030569E">
      <w:pPr>
        <w:pStyle w:val="References"/>
      </w:pPr>
      <w:r w:rsidRPr="00467321">
        <w:t xml:space="preserve">Choi SK, Fram MS, Frongillo EA. 2017. Very low food security in US households is predicted by complex patterns of health, economics, and service participation. </w:t>
      </w:r>
      <w:r w:rsidRPr="00F742BA">
        <w:rPr>
          <w:i/>
        </w:rPr>
        <w:t>Journal of Nutrition</w:t>
      </w:r>
      <w:r w:rsidRPr="00467321">
        <w:rPr>
          <w:rFonts w:ascii="Calibri" w:hAnsi="Calibri"/>
          <w:i/>
        </w:rPr>
        <w:t xml:space="preserve"> </w:t>
      </w:r>
      <w:r w:rsidRPr="00467321">
        <w:t>147(10): 1992–2000.</w:t>
      </w:r>
    </w:p>
    <w:p w:rsidR="00467321" w:rsidRPr="00467321" w:rsidRDefault="00467321" w:rsidP="0030569E">
      <w:pPr>
        <w:pStyle w:val="References"/>
      </w:pPr>
      <w:r w:rsidRPr="00467321">
        <w:t xml:space="preserve">Cole TJ, Bellizzi MC, Flegal KM, </w:t>
      </w:r>
      <w:r w:rsidR="007464C2">
        <w:t>et al</w:t>
      </w:r>
      <w:r w:rsidRPr="00467321">
        <w:t>. 2000. Establishing a standard definition for child overweight and</w:t>
      </w:r>
      <w:r w:rsidR="00F742BA">
        <w:t xml:space="preserve"> </w:t>
      </w:r>
      <w:r w:rsidRPr="00467321">
        <w:t xml:space="preserve">obesity worldwide: international survey. </w:t>
      </w:r>
      <w:r w:rsidRPr="00F742BA">
        <w:rPr>
          <w:i/>
        </w:rPr>
        <w:t>British Medical Journal</w:t>
      </w:r>
      <w:r w:rsidRPr="00467321">
        <w:rPr>
          <w:rFonts w:ascii="Calibri"/>
          <w:i/>
        </w:rPr>
        <w:t xml:space="preserve"> </w:t>
      </w:r>
      <w:r w:rsidRPr="00467321">
        <w:t>320(7244): 1240.</w:t>
      </w:r>
    </w:p>
    <w:p w:rsidR="00467321" w:rsidRPr="00467321" w:rsidRDefault="00467321" w:rsidP="0030569E">
      <w:pPr>
        <w:pStyle w:val="References"/>
      </w:pPr>
      <w:r w:rsidRPr="00467321">
        <w:lastRenderedPageBreak/>
        <w:t xml:space="preserve">Cole TJ, Flegal KM, Nicholls D, </w:t>
      </w:r>
      <w:r w:rsidR="007464C2">
        <w:t>et al</w:t>
      </w:r>
      <w:r w:rsidRPr="00467321">
        <w:t>. 2007. Body mass index cut offs to define thinness in children and</w:t>
      </w:r>
      <w:r w:rsidR="00F742BA">
        <w:t xml:space="preserve"> </w:t>
      </w:r>
      <w:r w:rsidRPr="00467321">
        <w:t xml:space="preserve">adolescents: international survey. </w:t>
      </w:r>
      <w:r w:rsidRPr="00F742BA">
        <w:rPr>
          <w:i/>
        </w:rPr>
        <w:t>British Medical Journal</w:t>
      </w:r>
      <w:r w:rsidRPr="00467321">
        <w:rPr>
          <w:rFonts w:ascii="Calibri"/>
          <w:i/>
        </w:rPr>
        <w:t xml:space="preserve"> </w:t>
      </w:r>
      <w:r w:rsidRPr="00467321">
        <w:t>335(7612): 194.</w:t>
      </w:r>
    </w:p>
    <w:p w:rsidR="00467321" w:rsidRPr="00467321" w:rsidRDefault="00467321" w:rsidP="0030569E">
      <w:pPr>
        <w:pStyle w:val="References"/>
      </w:pPr>
      <w:r w:rsidRPr="00467321">
        <w:t>Cole TJ, Lobstein T. 2012. Extended international (IOTF) body mass index cut-offs for thinness,</w:t>
      </w:r>
      <w:r w:rsidR="00F742BA">
        <w:t xml:space="preserve"> </w:t>
      </w:r>
      <w:r w:rsidRPr="00467321">
        <w:t xml:space="preserve">overweight and obesity. </w:t>
      </w:r>
      <w:r w:rsidRPr="00F742BA">
        <w:rPr>
          <w:i/>
        </w:rPr>
        <w:t>Pediatric Obesity</w:t>
      </w:r>
      <w:r w:rsidRPr="00467321">
        <w:rPr>
          <w:rFonts w:ascii="Calibri" w:hAnsi="Calibri"/>
          <w:i/>
        </w:rPr>
        <w:t xml:space="preserve"> </w:t>
      </w:r>
      <w:r w:rsidRPr="00467321">
        <w:t>7(4): 284–94.</w:t>
      </w:r>
    </w:p>
    <w:p w:rsidR="00467321" w:rsidRPr="00467321" w:rsidRDefault="00467321" w:rsidP="0030569E">
      <w:pPr>
        <w:pStyle w:val="References"/>
      </w:pPr>
      <w:r w:rsidRPr="00467321">
        <w:t xml:space="preserve">Cutler-Triggs C, Fryer GE, Miyoshi TJ, </w:t>
      </w:r>
      <w:r w:rsidR="007464C2">
        <w:t>et al</w:t>
      </w:r>
      <w:r w:rsidRPr="00467321">
        <w:t xml:space="preserve">. 2008. Increased rates and severity of child and adult food insecurity in households with adult smokers. </w:t>
      </w:r>
      <w:r w:rsidRPr="00235D7B">
        <w:rPr>
          <w:i/>
        </w:rPr>
        <w:t>Archives of Pediatrics and Adolescent Medicine</w:t>
      </w:r>
      <w:r w:rsidRPr="00467321">
        <w:rPr>
          <w:rFonts w:ascii="Calibri" w:hAnsi="Calibri"/>
          <w:i/>
        </w:rPr>
        <w:t xml:space="preserve"> </w:t>
      </w:r>
      <w:r w:rsidRPr="00467321">
        <w:t>162(11): 1056–62.</w:t>
      </w:r>
    </w:p>
    <w:p w:rsidR="00467321" w:rsidRPr="00467321" w:rsidRDefault="00467321" w:rsidP="0030569E">
      <w:pPr>
        <w:pStyle w:val="References"/>
      </w:pPr>
      <w:r w:rsidRPr="00467321">
        <w:t xml:space="preserve">Denny S, Lewycka S, Utter J, </w:t>
      </w:r>
      <w:r w:rsidR="007464C2">
        <w:t>et al</w:t>
      </w:r>
      <w:r w:rsidRPr="00467321">
        <w:t>. 2016. The association between socioeconomic deprivation and secondary school students</w:t>
      </w:r>
      <w:r w:rsidR="00543D25">
        <w:t>’</w:t>
      </w:r>
      <w:r w:rsidRPr="00467321">
        <w:t xml:space="preserve"> health: Findings from a latent class analysis of a national adolescent health survey. </w:t>
      </w:r>
      <w:r w:rsidRPr="00235D7B">
        <w:rPr>
          <w:i/>
        </w:rPr>
        <w:t>International Journal for Equity in Health</w:t>
      </w:r>
      <w:r w:rsidRPr="00467321">
        <w:rPr>
          <w:rFonts w:ascii="Calibri" w:hAnsi="Calibri"/>
          <w:i/>
        </w:rPr>
        <w:t xml:space="preserve"> </w:t>
      </w:r>
      <w:r w:rsidRPr="00467321">
        <w:t>15(1):</w:t>
      </w:r>
      <w:r w:rsidR="00235D7B">
        <w:t> </w:t>
      </w:r>
      <w:r w:rsidRPr="00467321">
        <w:t>757.</w:t>
      </w:r>
    </w:p>
    <w:p w:rsidR="00467321" w:rsidRPr="00467321" w:rsidRDefault="00467321" w:rsidP="0030569E">
      <w:pPr>
        <w:pStyle w:val="References"/>
      </w:pPr>
      <w:r w:rsidRPr="00467321">
        <w:t xml:space="preserve">Depaoli S, Tiemensma J, Felt JM. 2018. Assessment of health surveys: Fitting a multidimensional graded response model. </w:t>
      </w:r>
      <w:r w:rsidRPr="00235D7B">
        <w:rPr>
          <w:i/>
        </w:rPr>
        <w:t>Psychology, Health and Medicine</w:t>
      </w:r>
      <w:r w:rsidR="00235D7B">
        <w:rPr>
          <w:i/>
        </w:rPr>
        <w:br/>
      </w:r>
      <w:r w:rsidRPr="00467321">
        <w:t>23(S1): 13–31.</w:t>
      </w:r>
    </w:p>
    <w:p w:rsidR="00467321" w:rsidRPr="00467321" w:rsidRDefault="00467321" w:rsidP="0030569E">
      <w:pPr>
        <w:pStyle w:val="References"/>
      </w:pPr>
      <w:r w:rsidRPr="00467321">
        <w:t>Department of Human Nutrition. 2018. Information package for users of the New</w:t>
      </w:r>
      <w:r w:rsidR="00235D7B">
        <w:t> </w:t>
      </w:r>
      <w:r w:rsidRPr="00467321">
        <w:t xml:space="preserve">Zealand estimated food costs 2018 (Food Cost Survey 2018) (L Mainvil, </w:t>
      </w:r>
      <w:r w:rsidR="00235D7B">
        <w:t>e</w:t>
      </w:r>
      <w:r w:rsidRPr="00467321">
        <w:t xml:space="preserve">d.). Department of Human Nutrition, University of Otago. Retrieved from </w:t>
      </w:r>
      <w:hyperlink r:id="rId57">
        <w:r w:rsidRPr="00235D7B">
          <w:rPr>
            <w:rStyle w:val="Hyperlink"/>
          </w:rPr>
          <w:t>http://hdl.handle.net/10523/8056</w:t>
        </w:r>
      </w:hyperlink>
      <w:r w:rsidR="00235D7B">
        <w:t>.</w:t>
      </w:r>
    </w:p>
    <w:p w:rsidR="00467321" w:rsidRPr="00467321" w:rsidRDefault="00467321" w:rsidP="0030569E">
      <w:pPr>
        <w:pStyle w:val="References"/>
      </w:pPr>
      <w:r w:rsidRPr="00467321">
        <w:t>Drewnowski A, Specter SE. 2004. Poverty and obesity: the role of energy density and energy costs.</w:t>
      </w:r>
      <w:r w:rsidR="00235D7B">
        <w:t xml:space="preserve"> </w:t>
      </w:r>
      <w:r w:rsidRPr="00235D7B">
        <w:rPr>
          <w:i/>
        </w:rPr>
        <w:t>American Journal of Clinical Nutrition</w:t>
      </w:r>
      <w:r w:rsidRPr="00467321">
        <w:rPr>
          <w:rFonts w:ascii="Calibri" w:hAnsi="Calibri"/>
          <w:i/>
        </w:rPr>
        <w:t xml:space="preserve"> </w:t>
      </w:r>
      <w:r w:rsidRPr="00467321">
        <w:t>79(1): 6–16.</w:t>
      </w:r>
    </w:p>
    <w:p w:rsidR="00467321" w:rsidRPr="00467321" w:rsidRDefault="00467321" w:rsidP="0030569E">
      <w:pPr>
        <w:pStyle w:val="References"/>
      </w:pPr>
      <w:r w:rsidRPr="00467321">
        <w:t xml:space="preserve">Embretson SE, Reise SP. 2000. </w:t>
      </w:r>
      <w:r w:rsidRPr="00235D7B">
        <w:rPr>
          <w:i/>
        </w:rPr>
        <w:t xml:space="preserve">Item </w:t>
      </w:r>
      <w:r w:rsidR="00235D7B">
        <w:rPr>
          <w:i/>
        </w:rPr>
        <w:t>R</w:t>
      </w:r>
      <w:r w:rsidRPr="00235D7B">
        <w:rPr>
          <w:i/>
        </w:rPr>
        <w:t xml:space="preserve">esponse </w:t>
      </w:r>
      <w:r w:rsidR="00235D7B">
        <w:rPr>
          <w:i/>
        </w:rPr>
        <w:t>T</w:t>
      </w:r>
      <w:r w:rsidRPr="00235D7B">
        <w:rPr>
          <w:i/>
        </w:rPr>
        <w:t xml:space="preserve">heory for </w:t>
      </w:r>
      <w:r w:rsidR="00235D7B">
        <w:rPr>
          <w:i/>
        </w:rPr>
        <w:t>P</w:t>
      </w:r>
      <w:r w:rsidRPr="00235D7B">
        <w:rPr>
          <w:i/>
        </w:rPr>
        <w:t>sychologists</w:t>
      </w:r>
      <w:r w:rsidRPr="00467321">
        <w:rPr>
          <w:rFonts w:ascii="Calibri"/>
          <w:i/>
        </w:rPr>
        <w:t xml:space="preserve">. </w:t>
      </w:r>
      <w:r w:rsidRPr="00467321">
        <w:t>Lawrence Erlbaum Associates Inc, Maheah.</w:t>
      </w:r>
    </w:p>
    <w:p w:rsidR="00467321" w:rsidRPr="00467321" w:rsidRDefault="00467321" w:rsidP="0030569E">
      <w:pPr>
        <w:pStyle w:val="References"/>
      </w:pPr>
      <w:r w:rsidRPr="00467321">
        <w:t xml:space="preserve">Fram MS, Ritchie LD, Rosen N, </w:t>
      </w:r>
      <w:r w:rsidR="007464C2">
        <w:t>et al</w:t>
      </w:r>
      <w:r w:rsidRPr="00467321">
        <w:t xml:space="preserve">. 2015. Child experience of food insecurity is associated with child diet and physical activity. </w:t>
      </w:r>
      <w:r w:rsidRPr="00235D7B">
        <w:rPr>
          <w:i/>
        </w:rPr>
        <w:t>Journal of Nutrition</w:t>
      </w:r>
      <w:r w:rsidRPr="00467321">
        <w:rPr>
          <w:rFonts w:ascii="Calibri" w:hAnsi="Calibri"/>
          <w:i/>
        </w:rPr>
        <w:t xml:space="preserve"> </w:t>
      </w:r>
      <w:r w:rsidRPr="00467321">
        <w:t>145(3): 499–504.</w:t>
      </w:r>
    </w:p>
    <w:p w:rsidR="00467321" w:rsidRPr="00467321" w:rsidRDefault="00467321" w:rsidP="0030569E">
      <w:pPr>
        <w:pStyle w:val="References"/>
      </w:pPr>
      <w:r w:rsidRPr="00467321">
        <w:t xml:space="preserve">Franklin B, Jones A, Love D, </w:t>
      </w:r>
      <w:r w:rsidR="007464C2">
        <w:t>et al</w:t>
      </w:r>
      <w:r w:rsidRPr="00467321">
        <w:t xml:space="preserve">. 2012. Exploring mediators of food insecurity and obesity: A review of recent literature. </w:t>
      </w:r>
      <w:r w:rsidRPr="00235D7B">
        <w:rPr>
          <w:i/>
        </w:rPr>
        <w:t>Journal of Community Health</w:t>
      </w:r>
      <w:r w:rsidRPr="00467321">
        <w:rPr>
          <w:rFonts w:ascii="Calibri" w:hAnsi="Calibri"/>
          <w:i/>
        </w:rPr>
        <w:t xml:space="preserve"> </w:t>
      </w:r>
      <w:r w:rsidRPr="00467321">
        <w:t>37(1): 253–64.</w:t>
      </w:r>
    </w:p>
    <w:p w:rsidR="00467321" w:rsidRPr="00467321" w:rsidRDefault="00467321" w:rsidP="0030569E">
      <w:pPr>
        <w:pStyle w:val="References"/>
      </w:pPr>
      <w:r w:rsidRPr="00467321">
        <w:t xml:space="preserve">Goodman R. 1997. The Strengths and Difficulties Questionnaire: a research note. </w:t>
      </w:r>
      <w:r w:rsidRPr="00235D7B">
        <w:rPr>
          <w:i/>
        </w:rPr>
        <w:t>Journal of Child Psychology and Psychiatry</w:t>
      </w:r>
      <w:r w:rsidRPr="00467321">
        <w:rPr>
          <w:rFonts w:ascii="Calibri" w:hAnsi="Calibri"/>
          <w:i/>
        </w:rPr>
        <w:t xml:space="preserve"> </w:t>
      </w:r>
      <w:r w:rsidRPr="00467321">
        <w:t>38:</w:t>
      </w:r>
      <w:r w:rsidR="00543D25">
        <w:t xml:space="preserve"> </w:t>
      </w:r>
      <w:r w:rsidRPr="00467321">
        <w:t>581–6.</w:t>
      </w:r>
    </w:p>
    <w:p w:rsidR="00467321" w:rsidRPr="00467321" w:rsidRDefault="00467321" w:rsidP="0030569E">
      <w:pPr>
        <w:pStyle w:val="References"/>
      </w:pPr>
      <w:r w:rsidRPr="00467321">
        <w:t xml:space="preserve">Glascoe FP. 1998. </w:t>
      </w:r>
      <w:r w:rsidRPr="00235D7B">
        <w:rPr>
          <w:i/>
        </w:rPr>
        <w:t>Collaborating with parents: Using parents</w:t>
      </w:r>
      <w:r w:rsidR="00543D25" w:rsidRPr="00235D7B">
        <w:rPr>
          <w:i/>
        </w:rPr>
        <w:t>’</w:t>
      </w:r>
      <w:r w:rsidRPr="00235D7B">
        <w:rPr>
          <w:i/>
        </w:rPr>
        <w:t xml:space="preserve"> evaluation of developmental status to detect and address developmental and behavioral problems</w:t>
      </w:r>
      <w:r w:rsidRPr="00467321">
        <w:t>. Nashville, TN: Ellsworth and Vandermeer Press.</w:t>
      </w:r>
    </w:p>
    <w:p w:rsidR="00467321" w:rsidRPr="00467321" w:rsidRDefault="00467321" w:rsidP="0030569E">
      <w:pPr>
        <w:pStyle w:val="References"/>
      </w:pPr>
      <w:r w:rsidRPr="00467321">
        <w:t xml:space="preserve">Gregory CA, Coleman-Jensen A. 2013. Do high food prices increase food insecurity in the United States? </w:t>
      </w:r>
      <w:r w:rsidRPr="00235D7B">
        <w:rPr>
          <w:i/>
        </w:rPr>
        <w:t>Applied Economic Perspectives and Policy</w:t>
      </w:r>
      <w:r w:rsidRPr="00467321">
        <w:rPr>
          <w:rFonts w:ascii="Calibri"/>
          <w:i/>
        </w:rPr>
        <w:t xml:space="preserve"> </w:t>
      </w:r>
      <w:r w:rsidRPr="00467321">
        <w:t>35(4): 679</w:t>
      </w:r>
      <w:r w:rsidR="00235D7B">
        <w:t>–</w:t>
      </w:r>
      <w:r w:rsidRPr="00467321">
        <w:t>707.</w:t>
      </w:r>
    </w:p>
    <w:p w:rsidR="00467321" w:rsidRPr="00467321" w:rsidRDefault="00467321" w:rsidP="0030569E">
      <w:pPr>
        <w:pStyle w:val="References"/>
      </w:pPr>
      <w:r w:rsidRPr="00467321">
        <w:t>Holben D. 2010. Position of the American Dietetic Association: Food insecurity in the United States.</w:t>
      </w:r>
      <w:r w:rsidR="00235D7B">
        <w:t xml:space="preserve"> </w:t>
      </w:r>
      <w:r w:rsidRPr="00235D7B">
        <w:rPr>
          <w:i/>
        </w:rPr>
        <w:t>Journal of the American Diet Association</w:t>
      </w:r>
      <w:r w:rsidRPr="00467321">
        <w:rPr>
          <w:rFonts w:ascii="Calibri" w:hAnsi="Calibri"/>
          <w:i/>
        </w:rPr>
        <w:t xml:space="preserve"> </w:t>
      </w:r>
      <w:r w:rsidRPr="00467321">
        <w:t>110: 1367–77.</w:t>
      </w:r>
    </w:p>
    <w:p w:rsidR="00235D7B" w:rsidRDefault="00467321" w:rsidP="00235D7B">
      <w:pPr>
        <w:pStyle w:val="References"/>
      </w:pPr>
      <w:r w:rsidRPr="00467321">
        <w:t xml:space="preserve">Howden-Chapman P, Baker MG, Bierre S. 2013. The houses children live in. </w:t>
      </w:r>
      <w:r w:rsidRPr="00235D7B">
        <w:rPr>
          <w:i/>
        </w:rPr>
        <w:t>Policy Quarterly</w:t>
      </w:r>
      <w:r w:rsidRPr="00467321">
        <w:rPr>
          <w:rFonts w:ascii="Calibri" w:hAnsi="Calibri"/>
          <w:i/>
        </w:rPr>
        <w:t xml:space="preserve"> </w:t>
      </w:r>
      <w:r w:rsidRPr="00467321">
        <w:t>9(2): 35–9.</w:t>
      </w:r>
    </w:p>
    <w:p w:rsidR="00467321" w:rsidRPr="00467321" w:rsidRDefault="00467321" w:rsidP="0030569E">
      <w:pPr>
        <w:pStyle w:val="References"/>
      </w:pPr>
      <w:r w:rsidRPr="00467321">
        <w:t>Hoynes H, Schanzenbach D, Almond D. 2016. Long run impacts of childhood access to the safety net.</w:t>
      </w:r>
      <w:r w:rsidR="00235D7B">
        <w:t xml:space="preserve"> </w:t>
      </w:r>
      <w:r w:rsidRPr="00235D7B">
        <w:rPr>
          <w:i/>
        </w:rPr>
        <w:t>American Economic Review</w:t>
      </w:r>
      <w:r w:rsidRPr="00467321">
        <w:rPr>
          <w:rFonts w:ascii="Calibri" w:hAnsi="Calibri"/>
          <w:i/>
        </w:rPr>
        <w:t xml:space="preserve"> </w:t>
      </w:r>
      <w:r w:rsidRPr="00467321">
        <w:t>106(4): 903–34.</w:t>
      </w:r>
    </w:p>
    <w:p w:rsidR="00467321" w:rsidRPr="00467321" w:rsidRDefault="00467321" w:rsidP="0030569E">
      <w:pPr>
        <w:pStyle w:val="References"/>
      </w:pPr>
      <w:r w:rsidRPr="00467321">
        <w:lastRenderedPageBreak/>
        <w:t xml:space="preserve">Huambachano M. 2018. Enacting food sovereignty in Aotearoa New Zealand and Peru: Revitalizing indigenous knowledge, food practices and ecological philosophies. </w:t>
      </w:r>
      <w:r w:rsidRPr="00235D7B">
        <w:rPr>
          <w:i/>
        </w:rPr>
        <w:t>Agroecology and Sustainable Food Systems</w:t>
      </w:r>
      <w:r w:rsidRPr="00467321">
        <w:rPr>
          <w:rFonts w:ascii="Calibri" w:hAnsi="Calibri"/>
          <w:i/>
        </w:rPr>
        <w:t xml:space="preserve"> </w:t>
      </w:r>
      <w:r w:rsidRPr="00467321">
        <w:t>42(9): 1003–28.</w:t>
      </w:r>
    </w:p>
    <w:p w:rsidR="00467321" w:rsidRPr="00467321" w:rsidRDefault="00467321" w:rsidP="0030569E">
      <w:pPr>
        <w:pStyle w:val="References"/>
      </w:pPr>
      <w:r w:rsidRPr="00467321">
        <w:t xml:space="preserve">Huang J, Matta Oshima KM, Kim Y. 2010. Does food insecurity affect parental characteristics and child behavior? Testing mediation effects. </w:t>
      </w:r>
      <w:r w:rsidRPr="00235D7B">
        <w:rPr>
          <w:i/>
        </w:rPr>
        <w:t>Social Service Review</w:t>
      </w:r>
      <w:r w:rsidRPr="00467321">
        <w:rPr>
          <w:rFonts w:ascii="Calibri" w:hAnsi="Calibri"/>
          <w:i/>
        </w:rPr>
        <w:t xml:space="preserve"> </w:t>
      </w:r>
      <w:r w:rsidRPr="00467321">
        <w:t>84(3):</w:t>
      </w:r>
      <w:r w:rsidR="00235D7B">
        <w:t> </w:t>
      </w:r>
      <w:r w:rsidRPr="00467321">
        <w:t>381–401.</w:t>
      </w:r>
    </w:p>
    <w:p w:rsidR="00467321" w:rsidRPr="00467321" w:rsidRDefault="00467321" w:rsidP="0030569E">
      <w:pPr>
        <w:pStyle w:val="References"/>
      </w:pPr>
      <w:r w:rsidRPr="00467321">
        <w:t xml:space="preserve">Jackson DB, Vaughn MG. 2017. Household food insecurity during childhood and adolescent misconduct. </w:t>
      </w:r>
      <w:r w:rsidRPr="00235D7B">
        <w:rPr>
          <w:i/>
        </w:rPr>
        <w:t>Preventive Medicine</w:t>
      </w:r>
      <w:r w:rsidRPr="00467321">
        <w:rPr>
          <w:rFonts w:ascii="Calibri" w:hAnsi="Calibri"/>
          <w:i/>
        </w:rPr>
        <w:t xml:space="preserve"> </w:t>
      </w:r>
      <w:r w:rsidRPr="00467321">
        <w:t>96: 113–17.</w:t>
      </w:r>
    </w:p>
    <w:p w:rsidR="00467321" w:rsidRPr="00467321" w:rsidRDefault="00467321" w:rsidP="0030569E">
      <w:pPr>
        <w:pStyle w:val="References"/>
      </w:pPr>
      <w:r w:rsidRPr="00467321">
        <w:t>Jamieson LM, Koopu PI. 2006a. Exploring factors that influence child use of dental services and</w:t>
      </w:r>
      <w:r w:rsidR="00235D7B">
        <w:t xml:space="preserve"> </w:t>
      </w:r>
      <w:r w:rsidRPr="00467321">
        <w:t xml:space="preserve">toothbrushing in New Zealand. </w:t>
      </w:r>
      <w:r w:rsidRPr="00235D7B">
        <w:rPr>
          <w:i/>
        </w:rPr>
        <w:t>Community dentistry and oral epidemiology</w:t>
      </w:r>
      <w:r w:rsidRPr="00467321">
        <w:rPr>
          <w:rFonts w:ascii="Calibri"/>
          <w:i/>
        </w:rPr>
        <w:t xml:space="preserve"> </w:t>
      </w:r>
      <w:r w:rsidRPr="00467321">
        <w:t>34(6): 410</w:t>
      </w:r>
      <w:r w:rsidR="00235D7B">
        <w:t>–</w:t>
      </w:r>
      <w:r w:rsidRPr="00467321">
        <w:t>18.</w:t>
      </w:r>
    </w:p>
    <w:p w:rsidR="00467321" w:rsidRPr="00467321" w:rsidRDefault="00467321" w:rsidP="0030569E">
      <w:pPr>
        <w:pStyle w:val="References"/>
      </w:pPr>
      <w:r w:rsidRPr="00467321">
        <w:t xml:space="preserve">Jamieson LM, Koopu PI. 2006b. Predictors of dental pain and general anesthetic receipt for hospital dental procedures among New Zealand children. </w:t>
      </w:r>
      <w:r w:rsidRPr="00235D7B">
        <w:rPr>
          <w:i/>
        </w:rPr>
        <w:t xml:space="preserve">Journal of </w:t>
      </w:r>
      <w:r w:rsidR="00235D7B">
        <w:rPr>
          <w:i/>
        </w:rPr>
        <w:t>P</w:t>
      </w:r>
      <w:r w:rsidRPr="00235D7B">
        <w:rPr>
          <w:i/>
        </w:rPr>
        <w:t xml:space="preserve">ublic </w:t>
      </w:r>
      <w:r w:rsidR="00235D7B">
        <w:rPr>
          <w:i/>
        </w:rPr>
        <w:t>H</w:t>
      </w:r>
      <w:r w:rsidRPr="00235D7B">
        <w:rPr>
          <w:i/>
        </w:rPr>
        <w:t xml:space="preserve">ealth </w:t>
      </w:r>
      <w:r w:rsidR="00235D7B">
        <w:rPr>
          <w:i/>
        </w:rPr>
        <w:t>D</w:t>
      </w:r>
      <w:r w:rsidRPr="00235D7B">
        <w:rPr>
          <w:i/>
        </w:rPr>
        <w:t>entistry</w:t>
      </w:r>
      <w:r w:rsidRPr="00467321">
        <w:rPr>
          <w:rFonts w:ascii="Calibri"/>
          <w:i/>
        </w:rPr>
        <w:t xml:space="preserve"> </w:t>
      </w:r>
      <w:r w:rsidRPr="00467321">
        <w:t>66(3): 192</w:t>
      </w:r>
      <w:r w:rsidR="00235D7B">
        <w:t>–</w:t>
      </w:r>
      <w:r w:rsidRPr="00467321">
        <w:t>8.</w:t>
      </w:r>
    </w:p>
    <w:p w:rsidR="00467321" w:rsidRPr="00467321" w:rsidRDefault="00467321" w:rsidP="0030569E">
      <w:pPr>
        <w:pStyle w:val="References"/>
      </w:pPr>
      <w:r w:rsidRPr="00467321">
        <w:t xml:space="preserve">Johnson A. 2018. </w:t>
      </w:r>
      <w:r w:rsidRPr="00235D7B">
        <w:rPr>
          <w:i/>
        </w:rPr>
        <w:t>State of the Nation Report</w:t>
      </w:r>
      <w:r w:rsidRPr="00467321">
        <w:t>. Auckland: Salvation Army.</w:t>
      </w:r>
    </w:p>
    <w:p w:rsidR="00467321" w:rsidRPr="00467321" w:rsidRDefault="00467321" w:rsidP="0030569E">
      <w:pPr>
        <w:pStyle w:val="References"/>
      </w:pPr>
      <w:r w:rsidRPr="00467321">
        <w:t>Jones AD. 2017. Food insecurity and mental health status: A global analysis of 149</w:t>
      </w:r>
      <w:r w:rsidR="00235D7B">
        <w:t> </w:t>
      </w:r>
      <w:r w:rsidRPr="00467321">
        <w:t>countries.</w:t>
      </w:r>
      <w:r w:rsidR="00235D7B">
        <w:t xml:space="preserve"> </w:t>
      </w:r>
      <w:r w:rsidRPr="00235D7B">
        <w:rPr>
          <w:i/>
        </w:rPr>
        <w:t>American Journal of Preventive Medicine</w:t>
      </w:r>
      <w:r w:rsidRPr="00467321">
        <w:rPr>
          <w:rFonts w:ascii="Calibri" w:hAnsi="Calibri"/>
          <w:i/>
        </w:rPr>
        <w:t xml:space="preserve"> </w:t>
      </w:r>
      <w:r w:rsidRPr="00467321">
        <w:t>53(2): 264–73.</w:t>
      </w:r>
    </w:p>
    <w:p w:rsidR="00467321" w:rsidRPr="00467321" w:rsidRDefault="00467321" w:rsidP="0030569E">
      <w:pPr>
        <w:pStyle w:val="References"/>
      </w:pPr>
      <w:r w:rsidRPr="00467321">
        <w:t>Jyoti DF, Frongillo EA, Jones SJ. 2005. Food insecurity affects school children</w:t>
      </w:r>
      <w:r w:rsidR="00543D25">
        <w:t>’</w:t>
      </w:r>
      <w:r w:rsidRPr="00467321">
        <w:t>s academic performance,</w:t>
      </w:r>
      <w:r w:rsidR="00235D7B">
        <w:t xml:space="preserve"> </w:t>
      </w:r>
      <w:r w:rsidRPr="00467321">
        <w:t xml:space="preserve">weight gain, and social skills. </w:t>
      </w:r>
      <w:r w:rsidRPr="00235D7B">
        <w:rPr>
          <w:i/>
        </w:rPr>
        <w:t>Journal of Nutrition</w:t>
      </w:r>
      <w:r w:rsidRPr="00467321">
        <w:rPr>
          <w:rFonts w:ascii="Calibri" w:hAnsi="Calibri"/>
          <w:i/>
        </w:rPr>
        <w:t xml:space="preserve"> </w:t>
      </w:r>
      <w:r w:rsidRPr="00467321">
        <w:t>135(12): 2831–9.</w:t>
      </w:r>
    </w:p>
    <w:p w:rsidR="00467321" w:rsidRPr="00467321" w:rsidRDefault="00467321" w:rsidP="00235D7B">
      <w:pPr>
        <w:pStyle w:val="References"/>
      </w:pPr>
      <w:r w:rsidRPr="00467321">
        <w:t>Kaur J, Lamb MM, Ogden CL. 2015. The association between food insecurity and obesity in children</w:t>
      </w:r>
      <w:r w:rsidR="00235D7B">
        <w:t xml:space="preserve"> – </w:t>
      </w:r>
      <w:r w:rsidRPr="00467321">
        <w:t xml:space="preserve">the National Health and Nutrition Examination Survey. </w:t>
      </w:r>
      <w:r w:rsidRPr="00235D7B">
        <w:rPr>
          <w:i/>
        </w:rPr>
        <w:t>Journal of the Academy of Nutrition and Dietetics</w:t>
      </w:r>
      <w:r w:rsidRPr="00467321">
        <w:rPr>
          <w:rFonts w:ascii="Calibri" w:hAnsi="Calibri"/>
          <w:i/>
        </w:rPr>
        <w:t xml:space="preserve"> </w:t>
      </w:r>
      <w:r w:rsidRPr="00467321">
        <w:t>115(5): 751–8.</w:t>
      </w:r>
    </w:p>
    <w:p w:rsidR="00467321" w:rsidRPr="00467321" w:rsidRDefault="00467321" w:rsidP="0030569E">
      <w:pPr>
        <w:pStyle w:val="References"/>
      </w:pPr>
      <w:r w:rsidRPr="00467321">
        <w:t>Ke J, Ford-Jones E. 2015. Food insecurity and hunger: A review of the effects on children</w:t>
      </w:r>
      <w:r w:rsidR="00543D25">
        <w:t>’</w:t>
      </w:r>
      <w:r w:rsidRPr="00467321">
        <w:t>s health and</w:t>
      </w:r>
      <w:r w:rsidR="00235D7B">
        <w:t xml:space="preserve"> </w:t>
      </w:r>
      <w:r w:rsidRPr="00467321">
        <w:t xml:space="preserve">behaviour. </w:t>
      </w:r>
      <w:r w:rsidRPr="00235D7B">
        <w:rPr>
          <w:i/>
        </w:rPr>
        <w:t>Paediatric Child Health</w:t>
      </w:r>
      <w:r w:rsidRPr="00467321">
        <w:rPr>
          <w:rFonts w:ascii="Calibri" w:hAnsi="Calibri"/>
          <w:i/>
        </w:rPr>
        <w:t xml:space="preserve"> </w:t>
      </w:r>
      <w:r w:rsidRPr="00467321">
        <w:t>20(2): 89–91.</w:t>
      </w:r>
    </w:p>
    <w:p w:rsidR="00467321" w:rsidRPr="00467321" w:rsidRDefault="00467321" w:rsidP="0030569E">
      <w:pPr>
        <w:pStyle w:val="References"/>
      </w:pPr>
      <w:r w:rsidRPr="00467321">
        <w:t xml:space="preserve">Kessler RC. 1996. </w:t>
      </w:r>
      <w:r w:rsidRPr="00235D7B">
        <w:rPr>
          <w:i/>
        </w:rPr>
        <w:t>Kessler</w:t>
      </w:r>
      <w:r w:rsidR="00543D25" w:rsidRPr="00235D7B">
        <w:rPr>
          <w:i/>
        </w:rPr>
        <w:t>’</w:t>
      </w:r>
      <w:r w:rsidRPr="00235D7B">
        <w:rPr>
          <w:i/>
        </w:rPr>
        <w:t>s 10 Psychological Distress Scale</w:t>
      </w:r>
      <w:r w:rsidRPr="00467321">
        <w:t>. Boston, MA: Harvard Medical School.</w:t>
      </w:r>
    </w:p>
    <w:p w:rsidR="00467321" w:rsidRPr="00467321" w:rsidRDefault="00467321" w:rsidP="0030569E">
      <w:pPr>
        <w:pStyle w:val="References"/>
      </w:pPr>
      <w:r w:rsidRPr="00467321">
        <w:t xml:space="preserve">Kim JE, Tsoh JY. 2016. Cigarette smoking among socioeconomically disadvantaged young adults in association with food insecurity and other factors. </w:t>
      </w:r>
      <w:r w:rsidRPr="00235D7B">
        <w:rPr>
          <w:i/>
        </w:rPr>
        <w:t>Preventing Chronic Disease</w:t>
      </w:r>
      <w:r w:rsidRPr="00467321">
        <w:rPr>
          <w:rFonts w:ascii="Calibri" w:hAnsi="Calibri"/>
          <w:i/>
        </w:rPr>
        <w:t xml:space="preserve"> </w:t>
      </w:r>
      <w:r w:rsidRPr="00467321">
        <w:t>13 (Eod):1–10.</w:t>
      </w:r>
    </w:p>
    <w:p w:rsidR="00467321" w:rsidRPr="00467321" w:rsidRDefault="00467321" w:rsidP="0030569E">
      <w:pPr>
        <w:pStyle w:val="References"/>
      </w:pPr>
      <w:r w:rsidRPr="00467321">
        <w:t xml:space="preserve">Knowles M, Rabinowich J, De Cuba SE, </w:t>
      </w:r>
      <w:r w:rsidR="007464C2">
        <w:t>et al</w:t>
      </w:r>
      <w:r w:rsidRPr="00467321">
        <w:t xml:space="preserve">. 2016. </w:t>
      </w:r>
      <w:r w:rsidR="00543D25">
        <w:t>‘</w:t>
      </w:r>
      <w:r w:rsidRPr="00467321">
        <w:t>Do you wanna breathe or eat?</w:t>
      </w:r>
      <w:r w:rsidR="00543D25">
        <w:t>’</w:t>
      </w:r>
      <w:r w:rsidRPr="00467321">
        <w:t xml:space="preserve">: Parent perspectives on child health consequences of food insecurity, trade-offs, and toxic stress. </w:t>
      </w:r>
      <w:r w:rsidRPr="00235D7B">
        <w:rPr>
          <w:i/>
        </w:rPr>
        <w:t>Maternal and Child Health Journal</w:t>
      </w:r>
      <w:r w:rsidRPr="00467321">
        <w:rPr>
          <w:rFonts w:ascii="Calibri" w:hAnsi="Calibri"/>
          <w:i/>
        </w:rPr>
        <w:t xml:space="preserve"> </w:t>
      </w:r>
      <w:r w:rsidRPr="00467321">
        <w:t>20(1): 25–32.</w:t>
      </w:r>
    </w:p>
    <w:p w:rsidR="00467321" w:rsidRPr="00467321" w:rsidRDefault="00467321" w:rsidP="0030569E">
      <w:pPr>
        <w:pStyle w:val="References"/>
      </w:pPr>
      <w:r w:rsidRPr="00467321">
        <w:t xml:space="preserve">Mangini L, Hayward M, Dong Y, </w:t>
      </w:r>
      <w:r w:rsidR="007464C2">
        <w:t>et al</w:t>
      </w:r>
      <w:r w:rsidRPr="00467321">
        <w:t xml:space="preserve">. 2015. Household food insecurity is associated with childhood asthma. </w:t>
      </w:r>
      <w:r w:rsidRPr="00235D7B">
        <w:rPr>
          <w:i/>
        </w:rPr>
        <w:t>Journal of Nutrition</w:t>
      </w:r>
      <w:r w:rsidRPr="00467321">
        <w:rPr>
          <w:rFonts w:ascii="Calibri" w:hAnsi="Calibri"/>
          <w:i/>
        </w:rPr>
        <w:t xml:space="preserve"> </w:t>
      </w:r>
      <w:r w:rsidRPr="00467321">
        <w:t>145: 2756–64.</w:t>
      </w:r>
    </w:p>
    <w:p w:rsidR="00467321" w:rsidRPr="00467321" w:rsidRDefault="00467321" w:rsidP="0030569E">
      <w:pPr>
        <w:pStyle w:val="References"/>
      </w:pPr>
      <w:r w:rsidRPr="00467321">
        <w:t xml:space="preserve">Martin MS, Maddocks E, Chen Y, </w:t>
      </w:r>
      <w:r w:rsidR="007464C2">
        <w:t>et al</w:t>
      </w:r>
      <w:r w:rsidRPr="00467321">
        <w:t xml:space="preserve">. 2016. Food insecurity and mental illness: Disproportionate impacts in the context of perceived stress and social isolation. </w:t>
      </w:r>
      <w:r w:rsidRPr="00235D7B">
        <w:rPr>
          <w:i/>
        </w:rPr>
        <w:t>Public Health</w:t>
      </w:r>
      <w:r w:rsidRPr="00467321">
        <w:rPr>
          <w:rFonts w:ascii="Calibri" w:hAnsi="Calibri"/>
          <w:i/>
        </w:rPr>
        <w:t xml:space="preserve"> </w:t>
      </w:r>
      <w:r w:rsidRPr="00467321">
        <w:t>132: 86–91.</w:t>
      </w:r>
    </w:p>
    <w:p w:rsidR="00467321" w:rsidRPr="00467321" w:rsidRDefault="00467321" w:rsidP="0030569E">
      <w:pPr>
        <w:pStyle w:val="References"/>
      </w:pPr>
      <w:r w:rsidRPr="00467321">
        <w:t xml:space="preserve">McCarthy TH, Danks A, Mercer J, </w:t>
      </w:r>
      <w:r w:rsidR="007464C2">
        <w:t>et al</w:t>
      </w:r>
      <w:r w:rsidRPr="00467321">
        <w:t xml:space="preserve">. 1972. </w:t>
      </w:r>
      <w:r w:rsidRPr="00235D7B">
        <w:rPr>
          <w:i/>
        </w:rPr>
        <w:t xml:space="preserve">Social Security in New Zealand: Report of the Royal </w:t>
      </w:r>
      <w:r w:rsidR="00DA237E" w:rsidRPr="00235D7B">
        <w:rPr>
          <w:i/>
        </w:rPr>
        <w:t>Commission</w:t>
      </w:r>
      <w:r w:rsidRPr="00235D7B">
        <w:rPr>
          <w:i/>
        </w:rPr>
        <w:t xml:space="preserve"> of Inquiry</w:t>
      </w:r>
      <w:r w:rsidRPr="00467321">
        <w:t>. Wellington: New Zealand Government.</w:t>
      </w:r>
    </w:p>
    <w:p w:rsidR="00467321" w:rsidRPr="00467321" w:rsidRDefault="00467321" w:rsidP="0030569E">
      <w:pPr>
        <w:pStyle w:val="References"/>
      </w:pPr>
      <w:r w:rsidRPr="00467321">
        <w:lastRenderedPageBreak/>
        <w:t xml:space="preserve">McIntyre L, Glanville NT, Raine KD, </w:t>
      </w:r>
      <w:r w:rsidR="007464C2">
        <w:t>et al</w:t>
      </w:r>
      <w:r w:rsidRPr="00467321">
        <w:t xml:space="preserve">. 2003. Do low-income lone mothers compromise their nutrition to feed their children? </w:t>
      </w:r>
      <w:r w:rsidRPr="00235D7B">
        <w:rPr>
          <w:i/>
        </w:rPr>
        <w:t>Canadian Medical Association Journal</w:t>
      </w:r>
      <w:r w:rsidRPr="00467321">
        <w:rPr>
          <w:rFonts w:ascii="Calibri" w:hAnsi="Calibri"/>
          <w:i/>
        </w:rPr>
        <w:t xml:space="preserve"> </w:t>
      </w:r>
      <w:r w:rsidRPr="00467321">
        <w:t>168(6): 686–91.</w:t>
      </w:r>
    </w:p>
    <w:p w:rsidR="00467321" w:rsidRPr="00467321" w:rsidRDefault="00467321" w:rsidP="0030569E">
      <w:pPr>
        <w:pStyle w:val="References"/>
      </w:pPr>
      <w:r w:rsidRPr="00467321">
        <w:t xml:space="preserve">McIntyre L, Patterson PB, Mah CL. 2019. The application of </w:t>
      </w:r>
      <w:r w:rsidR="00543D25">
        <w:t>‘</w:t>
      </w:r>
      <w:r w:rsidRPr="00467321">
        <w:t>valence</w:t>
      </w:r>
      <w:r w:rsidR="00543D25">
        <w:t>’</w:t>
      </w:r>
      <w:r w:rsidRPr="00467321">
        <w:t xml:space="preserve"> to the idea of household food insecurity in Canada. </w:t>
      </w:r>
      <w:r w:rsidRPr="00235D7B">
        <w:rPr>
          <w:i/>
        </w:rPr>
        <w:t>Social Science &amp; Medicine</w:t>
      </w:r>
      <w:r w:rsidRPr="00467321">
        <w:rPr>
          <w:rFonts w:ascii="Calibri" w:hAnsi="Calibri"/>
          <w:i/>
        </w:rPr>
        <w:t xml:space="preserve"> </w:t>
      </w:r>
      <w:r w:rsidRPr="00467321">
        <w:t>220: 176</w:t>
      </w:r>
      <w:r w:rsidR="00235D7B">
        <w:t>–</w:t>
      </w:r>
      <w:r w:rsidRPr="00467321">
        <w:t>83.</w:t>
      </w:r>
    </w:p>
    <w:p w:rsidR="00467321" w:rsidRPr="00467321" w:rsidRDefault="00467321" w:rsidP="0030569E">
      <w:pPr>
        <w:pStyle w:val="References"/>
      </w:pPr>
      <w:r w:rsidRPr="00467321">
        <w:t xml:space="preserve">McKerchar C, Bowers S, Heta C, </w:t>
      </w:r>
      <w:r w:rsidR="007464C2">
        <w:t>et al</w:t>
      </w:r>
      <w:r w:rsidRPr="00467321">
        <w:t>. 2015. Enhancing Māori food security using traditional kai.</w:t>
      </w:r>
      <w:r w:rsidR="00235D7B">
        <w:t xml:space="preserve"> </w:t>
      </w:r>
      <w:r w:rsidRPr="00235D7B">
        <w:rPr>
          <w:i/>
        </w:rPr>
        <w:t>Global Health Promotion</w:t>
      </w:r>
      <w:r w:rsidRPr="00467321">
        <w:rPr>
          <w:rFonts w:ascii="Calibri" w:hAnsi="Calibri"/>
          <w:i/>
        </w:rPr>
        <w:t xml:space="preserve"> </w:t>
      </w:r>
      <w:r w:rsidRPr="00467321">
        <w:t>22(3): 15–24.</w:t>
      </w:r>
    </w:p>
    <w:p w:rsidR="00467321" w:rsidRPr="00467321" w:rsidRDefault="00467321" w:rsidP="0030569E">
      <w:pPr>
        <w:pStyle w:val="References"/>
      </w:pPr>
      <w:r w:rsidRPr="00467321">
        <w:t xml:space="preserve">Ministry of Health. 2003. </w:t>
      </w:r>
      <w:r w:rsidRPr="00235D7B">
        <w:rPr>
          <w:i/>
        </w:rPr>
        <w:t>NZ Food NZ Children: Key results of the 2002 National Children</w:t>
      </w:r>
      <w:r w:rsidR="00543D25" w:rsidRPr="00235D7B">
        <w:rPr>
          <w:i/>
        </w:rPr>
        <w:t>’</w:t>
      </w:r>
      <w:r w:rsidRPr="00235D7B">
        <w:rPr>
          <w:i/>
        </w:rPr>
        <w:t>s Nutrition Survey</w:t>
      </w:r>
      <w:r w:rsidRPr="00467321">
        <w:t xml:space="preserve">. Wellington: Ministry of Health. URL: </w:t>
      </w:r>
      <w:r w:rsidRPr="00235D7B">
        <w:rPr>
          <w:rStyle w:val="Hyperlink"/>
        </w:rPr>
        <w:t>health.govt.nz/system/files/documents/publications/ nzfoodnzchildren.pdf</w:t>
      </w:r>
    </w:p>
    <w:p w:rsidR="00467321" w:rsidRPr="00467321" w:rsidRDefault="00467321" w:rsidP="0030569E">
      <w:pPr>
        <w:pStyle w:val="References"/>
      </w:pPr>
      <w:r w:rsidRPr="00467321">
        <w:t xml:space="preserve">Ministry of Health. 2015. </w:t>
      </w:r>
      <w:r w:rsidRPr="00235D7B">
        <w:rPr>
          <w:i/>
        </w:rPr>
        <w:t>Annual update of key results 2014/15: New Zealand Health Survey</w:t>
      </w:r>
      <w:r w:rsidRPr="00467321">
        <w:t xml:space="preserve">. Wellington: Ministry of Health. URL: </w:t>
      </w:r>
      <w:hyperlink r:id="rId58">
        <w:r w:rsidRPr="00235D7B">
          <w:rPr>
            <w:rStyle w:val="Hyperlink"/>
          </w:rPr>
          <w:t>http://www.moh.govt.nz/notebook/nbbooks.nsf/0/997AF4E3AAE9A767CC25</w:t>
        </w:r>
      </w:hyperlink>
      <w:r w:rsidRPr="00235D7B">
        <w:rPr>
          <w:rStyle w:val="Hyperlink"/>
        </w:rPr>
        <w:t xml:space="preserve"> 7F4C007DDD84/$file/annual-update-key-results-2014-15-nzhs-dec15-1.pdf</w:t>
      </w:r>
    </w:p>
    <w:p w:rsidR="00467321" w:rsidRPr="00467321" w:rsidRDefault="00467321" w:rsidP="0030569E">
      <w:pPr>
        <w:pStyle w:val="References"/>
      </w:pPr>
      <w:r w:rsidRPr="00467321">
        <w:t xml:space="preserve">Ministry of Health. 2016a. </w:t>
      </w:r>
      <w:r w:rsidRPr="00235D7B">
        <w:rPr>
          <w:i/>
        </w:rPr>
        <w:t>Content guide 2015/16: New Zealand Health Survey</w:t>
      </w:r>
      <w:r w:rsidRPr="00467321">
        <w:t>. Wellington: Ministry of Health.</w:t>
      </w:r>
      <w:r w:rsidR="00543D25">
        <w:t xml:space="preserve"> </w:t>
      </w:r>
      <w:r w:rsidRPr="00467321">
        <w:t xml:space="preserve">URL: </w:t>
      </w:r>
      <w:r w:rsidRPr="00235D7B">
        <w:rPr>
          <w:rStyle w:val="Hyperlink"/>
        </w:rPr>
        <w:t>health.govt.nz/publication/content-guide-2015-16-new-zealand-health-survey</w:t>
      </w:r>
    </w:p>
    <w:p w:rsidR="00467321" w:rsidRPr="00467321" w:rsidRDefault="00467321" w:rsidP="0030569E">
      <w:pPr>
        <w:pStyle w:val="References"/>
      </w:pPr>
      <w:r w:rsidRPr="00467321">
        <w:t xml:space="preserve">Ministry of Health. 2016b. </w:t>
      </w:r>
      <w:r w:rsidRPr="00235D7B">
        <w:rPr>
          <w:i/>
        </w:rPr>
        <w:t xml:space="preserve">Methodology </w:t>
      </w:r>
      <w:r w:rsidR="00235D7B">
        <w:rPr>
          <w:i/>
        </w:rPr>
        <w:t>R</w:t>
      </w:r>
      <w:r w:rsidRPr="00235D7B">
        <w:rPr>
          <w:i/>
        </w:rPr>
        <w:t>eport 2015/16: New Zealand Health Survey</w:t>
      </w:r>
      <w:r w:rsidRPr="00467321">
        <w:t xml:space="preserve">. Wellington: Ministry of Health. URL: </w:t>
      </w:r>
      <w:r w:rsidRPr="00235D7B">
        <w:rPr>
          <w:rStyle w:val="Hyperlink"/>
        </w:rPr>
        <w:t>health.govt.nz/publication/methodology-report-2015-16-new-zealand- health-survey</w:t>
      </w:r>
    </w:p>
    <w:p w:rsidR="00467321" w:rsidRPr="00467321" w:rsidRDefault="00467321" w:rsidP="0030569E">
      <w:pPr>
        <w:pStyle w:val="References"/>
      </w:pPr>
      <w:r w:rsidRPr="00467321">
        <w:t xml:space="preserve">Ministry of Health. 2017. </w:t>
      </w:r>
      <w:r w:rsidRPr="00235D7B">
        <w:rPr>
          <w:i/>
        </w:rPr>
        <w:t xml:space="preserve">Annual </w:t>
      </w:r>
      <w:r w:rsidR="00235D7B">
        <w:rPr>
          <w:i/>
        </w:rPr>
        <w:t>D</w:t>
      </w:r>
      <w:r w:rsidRPr="00235D7B">
        <w:rPr>
          <w:i/>
        </w:rPr>
        <w:t xml:space="preserve">ata </w:t>
      </w:r>
      <w:r w:rsidR="00235D7B">
        <w:rPr>
          <w:i/>
        </w:rPr>
        <w:t>E</w:t>
      </w:r>
      <w:r w:rsidRPr="00235D7B">
        <w:rPr>
          <w:i/>
        </w:rPr>
        <w:t>xplorer 2016/17: New Zealand Health Survey</w:t>
      </w:r>
      <w:r w:rsidRPr="00467321">
        <w:t>. URL:</w:t>
      </w:r>
      <w:r w:rsidR="00543D25">
        <w:t xml:space="preserve"> </w:t>
      </w:r>
      <w:hyperlink r:id="rId59">
        <w:r w:rsidRPr="00235D7B">
          <w:rPr>
            <w:rStyle w:val="Hyperlink"/>
          </w:rPr>
          <w:t>https://minhealthnz.shinyapps.io/nz-health-survey-2016-17-annual-update</w:t>
        </w:r>
      </w:hyperlink>
    </w:p>
    <w:p w:rsidR="00467321" w:rsidRPr="00467321" w:rsidRDefault="00467321" w:rsidP="0030569E">
      <w:pPr>
        <w:pStyle w:val="References"/>
      </w:pPr>
      <w:r w:rsidRPr="00467321">
        <w:t xml:space="preserve">Ministry of Social Development. 2018. </w:t>
      </w:r>
      <w:r w:rsidRPr="00235D7B">
        <w:rPr>
          <w:i/>
        </w:rPr>
        <w:t xml:space="preserve">Hardship </w:t>
      </w:r>
      <w:r w:rsidR="00235D7B">
        <w:rPr>
          <w:i/>
        </w:rPr>
        <w:t>A</w:t>
      </w:r>
      <w:r w:rsidRPr="00235D7B">
        <w:rPr>
          <w:i/>
        </w:rPr>
        <w:t>ssistance</w:t>
      </w:r>
      <w:r w:rsidR="00543D25" w:rsidRPr="00235D7B">
        <w:rPr>
          <w:i/>
        </w:rPr>
        <w:t xml:space="preserve"> – </w:t>
      </w:r>
      <w:r w:rsidRPr="00235D7B">
        <w:rPr>
          <w:i/>
        </w:rPr>
        <w:t>September 2018 quarter</w:t>
      </w:r>
      <w:r w:rsidRPr="00467321">
        <w:t>.</w:t>
      </w:r>
      <w:r w:rsidR="00235D7B">
        <w:t xml:space="preserve"> </w:t>
      </w:r>
      <w:r w:rsidRPr="00467321">
        <w:t xml:space="preserve">URL: </w:t>
      </w:r>
      <w:hyperlink r:id="rId60">
        <w:r w:rsidRPr="00235D7B">
          <w:rPr>
            <w:rStyle w:val="Hyperlink"/>
          </w:rPr>
          <w:t>https://www</w:t>
        </w:r>
      </w:hyperlink>
      <w:r w:rsidRPr="00235D7B">
        <w:rPr>
          <w:rStyle w:val="Hyperlink"/>
        </w:rPr>
        <w:t>.msd.go</w:t>
      </w:r>
      <w:hyperlink r:id="rId61">
        <w:r w:rsidRPr="00235D7B">
          <w:rPr>
            <w:rStyle w:val="Hyperlink"/>
          </w:rPr>
          <w:t>vt.nz/about-msd-and-our-work/publications-resources/statistics/benefit/</w:t>
        </w:r>
      </w:hyperlink>
      <w:r w:rsidRPr="00235D7B">
        <w:rPr>
          <w:rStyle w:val="Hyperlink"/>
        </w:rPr>
        <w:t>latest-quarterly-results/hardship-assistance</w:t>
      </w:r>
    </w:p>
    <w:p w:rsidR="00467321" w:rsidRPr="00467321" w:rsidRDefault="00467321" w:rsidP="0030569E">
      <w:pPr>
        <w:pStyle w:val="References"/>
      </w:pPr>
      <w:r w:rsidRPr="00467321">
        <w:t xml:space="preserve">Moeke-Pickering T, Heitia M, Heitia S, </w:t>
      </w:r>
      <w:r w:rsidR="007464C2">
        <w:t>et al</w:t>
      </w:r>
      <w:r w:rsidRPr="00467321">
        <w:t xml:space="preserve">. 2015. Understanding Māori food security and food sovereignty issues in Whakatane. </w:t>
      </w:r>
      <w:r w:rsidRPr="00235D7B">
        <w:rPr>
          <w:i/>
        </w:rPr>
        <w:t>MAI Journal – A New Zealand Journal of Indigenous Scholarship</w:t>
      </w:r>
      <w:r w:rsidRPr="00467321">
        <w:rPr>
          <w:rFonts w:ascii="Calibri" w:hAnsi="Calibri"/>
          <w:i/>
        </w:rPr>
        <w:t xml:space="preserve"> </w:t>
      </w:r>
      <w:r w:rsidRPr="00467321">
        <w:t>4(1): 30–42.</w:t>
      </w:r>
    </w:p>
    <w:p w:rsidR="00467321" w:rsidRPr="00467321" w:rsidRDefault="00467321" w:rsidP="0030569E">
      <w:pPr>
        <w:pStyle w:val="References"/>
      </w:pPr>
      <w:r w:rsidRPr="00467321">
        <w:t xml:space="preserve">Ni Mhurchu C, Gorton D, Turley M, </w:t>
      </w:r>
      <w:r w:rsidR="007464C2">
        <w:t>et al</w:t>
      </w:r>
      <w:r w:rsidRPr="00467321">
        <w:t>. 2013. Effects of a free school breakfast programme on children</w:t>
      </w:r>
      <w:r w:rsidR="00543D25">
        <w:t>’</w:t>
      </w:r>
      <w:r w:rsidRPr="00467321">
        <w:t xml:space="preserve">s attendance, academic achievement and short-term hunger: Results from a stepped-wedge, cluster randomised controlled trial. </w:t>
      </w:r>
      <w:r w:rsidRPr="00235D7B">
        <w:rPr>
          <w:i/>
        </w:rPr>
        <w:t>Journal of Epidemiology and Community Health</w:t>
      </w:r>
      <w:r w:rsidRPr="00467321">
        <w:rPr>
          <w:rFonts w:ascii="Calibri" w:hAnsi="Calibri"/>
          <w:i/>
        </w:rPr>
        <w:t xml:space="preserve"> </w:t>
      </w:r>
      <w:r w:rsidRPr="00467321">
        <w:t>67(3): 257–64.</w:t>
      </w:r>
    </w:p>
    <w:p w:rsidR="00467321" w:rsidRPr="00467321" w:rsidRDefault="00467321" w:rsidP="0030569E">
      <w:pPr>
        <w:pStyle w:val="References"/>
      </w:pPr>
      <w:r w:rsidRPr="00467321">
        <w:t xml:space="preserve">Office of Research. 2017. </w:t>
      </w:r>
      <w:r w:rsidRPr="00235D7B">
        <w:rPr>
          <w:i/>
        </w:rPr>
        <w:t>UNICEF Innocenti Report Card 14: Building the future: Children and the sustainable development goals in rich countries</w:t>
      </w:r>
      <w:r w:rsidRPr="00467321">
        <w:t xml:space="preserve">. </w:t>
      </w:r>
      <w:hyperlink r:id="rId62">
        <w:r w:rsidRPr="00467321">
          <w:t>Florence</w:t>
        </w:r>
      </w:hyperlink>
      <w:r w:rsidRPr="00467321">
        <w:t>: UNICEF Office of Research – Innocenti.</w:t>
      </w:r>
    </w:p>
    <w:p w:rsidR="00235D7B" w:rsidRDefault="00467321" w:rsidP="0030569E">
      <w:pPr>
        <w:pStyle w:val="References"/>
      </w:pPr>
      <w:r w:rsidRPr="00467321">
        <w:t xml:space="preserve">Pannekoek L, </w:t>
      </w:r>
      <w:r w:rsidR="007464C2">
        <w:t>et al</w:t>
      </w:r>
      <w:r w:rsidRPr="00467321">
        <w:t>. 2018. Psychometric properties of the Strengths and Difficulties Questionnaire in</w:t>
      </w:r>
      <w:r w:rsidR="00235D7B">
        <w:t xml:space="preserve"> </w:t>
      </w:r>
      <w:r w:rsidRPr="00467321">
        <w:t>a multi-ethnic population of pre- and primary school-aged children. Unpublished Manuscript</w:t>
      </w:r>
      <w:r w:rsidR="00235D7B">
        <w:t>.</w:t>
      </w:r>
    </w:p>
    <w:p w:rsidR="00467321" w:rsidRPr="00467321" w:rsidRDefault="00467321" w:rsidP="0030569E">
      <w:pPr>
        <w:pStyle w:val="References"/>
      </w:pPr>
      <w:r w:rsidRPr="00467321">
        <w:t>Parnell W. 2005. Food security in New Zealand. Doctoral thesis. Dunedin: University of Otago.</w:t>
      </w:r>
    </w:p>
    <w:p w:rsidR="00467321" w:rsidRPr="00467321" w:rsidRDefault="00467321" w:rsidP="0030569E">
      <w:pPr>
        <w:pStyle w:val="References"/>
      </w:pPr>
      <w:r w:rsidRPr="00467321">
        <w:lastRenderedPageBreak/>
        <w:t>Parnell WR, Boston G, Simpson J. 2016. Food insecurity in New Zealand: Causes, consequences and cures. Paper presented at the Nutrition Society of New Zealand Annual Conference, Christchurch.</w:t>
      </w:r>
    </w:p>
    <w:p w:rsidR="00467321" w:rsidRPr="00467321" w:rsidRDefault="00467321" w:rsidP="0030569E">
      <w:pPr>
        <w:pStyle w:val="References"/>
      </w:pPr>
      <w:r w:rsidRPr="00467321">
        <w:t>Parnell WR, Gray AR. 2014. Development of a food security measurement tool for New</w:t>
      </w:r>
      <w:r w:rsidR="00235D7B">
        <w:t> </w:t>
      </w:r>
      <w:r w:rsidRPr="00467321">
        <w:t xml:space="preserve">Zealand households. </w:t>
      </w:r>
      <w:r w:rsidRPr="00235D7B">
        <w:rPr>
          <w:i/>
        </w:rPr>
        <w:t>British Journal of Nutrition</w:t>
      </w:r>
      <w:r w:rsidRPr="00467321">
        <w:rPr>
          <w:rFonts w:ascii="Calibri" w:hAnsi="Calibri"/>
          <w:i/>
        </w:rPr>
        <w:t xml:space="preserve"> </w:t>
      </w:r>
      <w:r w:rsidRPr="00467321">
        <w:t>112(8): 1393–401.</w:t>
      </w:r>
    </w:p>
    <w:p w:rsidR="00467321" w:rsidRPr="00467321" w:rsidRDefault="00467321" w:rsidP="0030569E">
      <w:pPr>
        <w:pStyle w:val="References"/>
      </w:pPr>
      <w:r w:rsidRPr="00467321">
        <w:t xml:space="preserve">Parnell WR, Reid J, Wilson NC, </w:t>
      </w:r>
      <w:r w:rsidR="007464C2">
        <w:t>et al</w:t>
      </w:r>
      <w:r w:rsidRPr="00467321">
        <w:t xml:space="preserve">. 2001. Food security: is New Zealand a land of plenty? </w:t>
      </w:r>
      <w:r w:rsidRPr="00235D7B">
        <w:rPr>
          <w:i/>
        </w:rPr>
        <w:t>New Zealand Medical Journal</w:t>
      </w:r>
      <w:r w:rsidRPr="00467321">
        <w:rPr>
          <w:rFonts w:ascii="Calibri" w:hAnsi="Calibri"/>
          <w:i/>
        </w:rPr>
        <w:t xml:space="preserve"> </w:t>
      </w:r>
      <w:r w:rsidRPr="00467321">
        <w:t>114(1128):</w:t>
      </w:r>
      <w:r w:rsidR="00543D25">
        <w:t xml:space="preserve"> </w:t>
      </w:r>
      <w:r w:rsidRPr="00467321">
        <w:t>141–5.</w:t>
      </w:r>
    </w:p>
    <w:p w:rsidR="00467321" w:rsidRPr="00467321" w:rsidRDefault="00467321" w:rsidP="0030569E">
      <w:pPr>
        <w:pStyle w:val="References"/>
      </w:pPr>
      <w:r w:rsidRPr="00467321">
        <w:t xml:space="preserve">Parnell W, Wilson N, Mann J, </w:t>
      </w:r>
      <w:r w:rsidR="007464C2">
        <w:t>et al</w:t>
      </w:r>
      <w:r w:rsidRPr="00467321">
        <w:t>. 2005. Overview of food security status in New</w:t>
      </w:r>
      <w:r w:rsidR="00235D7B">
        <w:t> </w:t>
      </w:r>
      <w:r w:rsidRPr="00467321">
        <w:t xml:space="preserve">Zealand as a predictor of nutritional outcomes. In </w:t>
      </w:r>
      <w:r w:rsidRPr="00235D7B">
        <w:rPr>
          <w:i/>
        </w:rPr>
        <w:t>Proceedings of the Nutrition Society of New Zealand</w:t>
      </w:r>
      <w:r w:rsidRPr="00467321">
        <w:t xml:space="preserve"> 1–149.</w:t>
      </w:r>
    </w:p>
    <w:p w:rsidR="00467321" w:rsidRPr="00467321" w:rsidRDefault="00467321" w:rsidP="0030569E">
      <w:pPr>
        <w:pStyle w:val="References"/>
      </w:pPr>
      <w:r w:rsidRPr="00467321">
        <w:t xml:space="preserve">Pereira AL, Handa S, Holmqvist G. 2017. Prevalence and correlates of food insecurity among children across the globe. </w:t>
      </w:r>
      <w:r w:rsidRPr="00235D7B">
        <w:rPr>
          <w:i/>
        </w:rPr>
        <w:t>Innocenti Working Papers No. 2017-09</w:t>
      </w:r>
      <w:r w:rsidRPr="00467321">
        <w:rPr>
          <w:rFonts w:ascii="Calibri" w:hAnsi="Calibri"/>
          <w:i/>
        </w:rPr>
        <w:t xml:space="preserve"> </w:t>
      </w:r>
      <w:r w:rsidRPr="00467321">
        <w:t>(June): 1–37.</w:t>
      </w:r>
    </w:p>
    <w:p w:rsidR="00467321" w:rsidRPr="00467321" w:rsidRDefault="00467321" w:rsidP="0030569E">
      <w:pPr>
        <w:pStyle w:val="References"/>
      </w:pPr>
      <w:r w:rsidRPr="00467321">
        <w:t xml:space="preserve">Perry B. 2018. </w:t>
      </w:r>
      <w:r w:rsidRPr="00235D7B">
        <w:rPr>
          <w:i/>
        </w:rPr>
        <w:t>Household Incomes in New Zealand: Trends in indicators of inequality and hardship 1982</w:t>
      </w:r>
      <w:r w:rsidR="00543D25" w:rsidRPr="00235D7B">
        <w:rPr>
          <w:i/>
        </w:rPr>
        <w:t xml:space="preserve"> </w:t>
      </w:r>
      <w:r w:rsidRPr="00235D7B">
        <w:rPr>
          <w:i/>
        </w:rPr>
        <w:t>to</w:t>
      </w:r>
      <w:r w:rsidR="00543D25" w:rsidRPr="00235D7B">
        <w:rPr>
          <w:i/>
        </w:rPr>
        <w:t xml:space="preserve"> </w:t>
      </w:r>
      <w:r w:rsidRPr="00235D7B">
        <w:rPr>
          <w:i/>
        </w:rPr>
        <w:t>2017</w:t>
      </w:r>
      <w:r w:rsidRPr="00467321">
        <w:t>. Wellington: Ministry of Social Development.</w:t>
      </w:r>
    </w:p>
    <w:p w:rsidR="00467321" w:rsidRPr="00467321" w:rsidRDefault="00467321" w:rsidP="0030569E">
      <w:pPr>
        <w:pStyle w:val="References"/>
      </w:pPr>
      <w:r w:rsidRPr="00467321">
        <w:t xml:space="preserve">Raykov T, Marcoulides G. 2011. </w:t>
      </w:r>
      <w:r w:rsidRPr="00235D7B">
        <w:rPr>
          <w:i/>
        </w:rPr>
        <w:t xml:space="preserve">Introduction to </w:t>
      </w:r>
      <w:r w:rsidR="00235D7B">
        <w:rPr>
          <w:i/>
        </w:rPr>
        <w:t>I</w:t>
      </w:r>
      <w:r w:rsidRPr="00235D7B">
        <w:rPr>
          <w:i/>
        </w:rPr>
        <w:t xml:space="preserve">tem </w:t>
      </w:r>
      <w:r w:rsidR="00235D7B">
        <w:rPr>
          <w:i/>
        </w:rPr>
        <w:t>R</w:t>
      </w:r>
      <w:r w:rsidRPr="00235D7B">
        <w:rPr>
          <w:i/>
        </w:rPr>
        <w:t xml:space="preserve">esponse </w:t>
      </w:r>
      <w:r w:rsidR="00235D7B">
        <w:rPr>
          <w:i/>
        </w:rPr>
        <w:t>T</w:t>
      </w:r>
      <w:r w:rsidRPr="00235D7B">
        <w:rPr>
          <w:i/>
        </w:rPr>
        <w:t>heory</w:t>
      </w:r>
      <w:r w:rsidRPr="00467321">
        <w:t>. New York: Routledge.</w:t>
      </w:r>
    </w:p>
    <w:p w:rsidR="00467321" w:rsidRPr="00467321" w:rsidRDefault="00467321" w:rsidP="0030569E">
      <w:pPr>
        <w:pStyle w:val="References"/>
      </w:pPr>
      <w:r w:rsidRPr="00467321">
        <w:t xml:space="preserve">Reeves A, Loopstra R, Stuckler D. 2017. The growing disconnect between food prices and wages in Europe: Cross-national analysis of food deprivation and welfare regimes in twenty-one EU countries, 2004–2012. </w:t>
      </w:r>
      <w:r w:rsidRPr="00322774">
        <w:rPr>
          <w:i/>
        </w:rPr>
        <w:t>Public health nutrition</w:t>
      </w:r>
      <w:r w:rsidRPr="00467321">
        <w:rPr>
          <w:rFonts w:ascii="Calibri" w:hAnsi="Calibri"/>
          <w:i/>
        </w:rPr>
        <w:t xml:space="preserve"> </w:t>
      </w:r>
      <w:r w:rsidRPr="00467321">
        <w:t>20(8): 1414–22.</w:t>
      </w:r>
    </w:p>
    <w:p w:rsidR="00467321" w:rsidRPr="00467321" w:rsidRDefault="00467321" w:rsidP="0030569E">
      <w:pPr>
        <w:pStyle w:val="References"/>
      </w:pPr>
      <w:r w:rsidRPr="00467321">
        <w:t xml:space="preserve">Rose-Jacobs R, Black MM, Casey PH, </w:t>
      </w:r>
      <w:r w:rsidR="007464C2">
        <w:t>et al</w:t>
      </w:r>
      <w:r w:rsidRPr="00467321">
        <w:t xml:space="preserve">. 2008. Household food insecurity: associations with at-risk infant and toddler development. </w:t>
      </w:r>
      <w:r w:rsidRPr="00F75250">
        <w:rPr>
          <w:i/>
        </w:rPr>
        <w:t>Pediatrics</w:t>
      </w:r>
      <w:r w:rsidRPr="00467321">
        <w:rPr>
          <w:rFonts w:ascii="Calibri" w:hAnsi="Calibri"/>
          <w:i/>
        </w:rPr>
        <w:t xml:space="preserve"> </w:t>
      </w:r>
      <w:r w:rsidRPr="00467321">
        <w:t>121(1): 65–72.</w:t>
      </w:r>
    </w:p>
    <w:p w:rsidR="00467321" w:rsidRPr="00467321" w:rsidRDefault="00467321" w:rsidP="0030569E">
      <w:pPr>
        <w:pStyle w:val="References"/>
      </w:pPr>
      <w:r w:rsidRPr="00467321">
        <w:t xml:space="preserve">Rush E, Rusk I. 2009. </w:t>
      </w:r>
      <w:r w:rsidRPr="00F75250">
        <w:rPr>
          <w:i/>
        </w:rPr>
        <w:t xml:space="preserve">Food </w:t>
      </w:r>
      <w:r w:rsidR="00F75250">
        <w:rPr>
          <w:i/>
        </w:rPr>
        <w:t>S</w:t>
      </w:r>
      <w:r w:rsidRPr="00F75250">
        <w:rPr>
          <w:i/>
        </w:rPr>
        <w:t xml:space="preserve">ecurity for Pacific </w:t>
      </w:r>
      <w:r w:rsidR="00F75250">
        <w:rPr>
          <w:i/>
        </w:rPr>
        <w:t>P</w:t>
      </w:r>
      <w:r w:rsidRPr="00F75250">
        <w:rPr>
          <w:i/>
        </w:rPr>
        <w:t>eoples in New Zealand</w:t>
      </w:r>
      <w:r w:rsidRPr="00467321">
        <w:t>. Wellington: Obesity Action Coalition.</w:t>
      </w:r>
    </w:p>
    <w:p w:rsidR="00467321" w:rsidRPr="00467321" w:rsidRDefault="00467321" w:rsidP="0030569E">
      <w:pPr>
        <w:pStyle w:val="References"/>
      </w:pPr>
      <w:r w:rsidRPr="00467321">
        <w:t>Schlichting D, Hashemi L, Grant C. 2018. Infant food security in New Zealand: A</w:t>
      </w:r>
      <w:r w:rsidR="00F75250">
        <w:t> </w:t>
      </w:r>
      <w:r w:rsidRPr="00467321">
        <w:t>multidimensional index developed from cohort data. October: 1–15. doi: 10.20944/preprints201810.0706.v1.</w:t>
      </w:r>
    </w:p>
    <w:p w:rsidR="00467321" w:rsidRPr="00467321" w:rsidRDefault="00467321" w:rsidP="0030569E">
      <w:pPr>
        <w:pStyle w:val="References"/>
      </w:pPr>
      <w:r w:rsidRPr="00467321">
        <w:t>Shankar P, Chung R, Frank D. 2017. Association of food insecurity with children</w:t>
      </w:r>
      <w:r w:rsidR="00543D25">
        <w:t>’</w:t>
      </w:r>
      <w:r w:rsidRPr="00467321">
        <w:t xml:space="preserve">s behavioural, emotional and academic outcomes: a systematic review. </w:t>
      </w:r>
      <w:r w:rsidRPr="00F75250">
        <w:rPr>
          <w:i/>
        </w:rPr>
        <w:t>Journal of Developmental and Behavioural Pediatrics</w:t>
      </w:r>
      <w:r w:rsidRPr="00467321">
        <w:rPr>
          <w:rFonts w:ascii="Calibri" w:hAnsi="Calibri"/>
          <w:i/>
        </w:rPr>
        <w:t xml:space="preserve"> </w:t>
      </w:r>
      <w:r w:rsidRPr="00467321">
        <w:t>38(2): 135–50.</w:t>
      </w:r>
    </w:p>
    <w:p w:rsidR="00467321" w:rsidRPr="00467321" w:rsidRDefault="00467321" w:rsidP="0030569E">
      <w:pPr>
        <w:pStyle w:val="References"/>
      </w:pPr>
      <w:r w:rsidRPr="00467321">
        <w:t xml:space="preserve">Smith C, Parnell W, Brown R. 2010. </w:t>
      </w:r>
      <w:r w:rsidRPr="00F75250">
        <w:rPr>
          <w:i/>
        </w:rPr>
        <w:t xml:space="preserve">Family </w:t>
      </w:r>
      <w:r w:rsidR="00F75250">
        <w:rPr>
          <w:i/>
        </w:rPr>
        <w:t>F</w:t>
      </w:r>
      <w:r w:rsidRPr="00F75250">
        <w:rPr>
          <w:i/>
        </w:rPr>
        <w:t xml:space="preserve">ood </w:t>
      </w:r>
      <w:r w:rsidR="00F75250">
        <w:rPr>
          <w:i/>
        </w:rPr>
        <w:t>E</w:t>
      </w:r>
      <w:r w:rsidRPr="00F75250">
        <w:rPr>
          <w:i/>
        </w:rPr>
        <w:t>nvironment: Barriers to acquiring affordable and nutritious food in New Zealand households</w:t>
      </w:r>
      <w:r w:rsidRPr="00467321">
        <w:t>. Wellington: Families Commission.</w:t>
      </w:r>
    </w:p>
    <w:p w:rsidR="00467321" w:rsidRPr="00467321" w:rsidRDefault="00467321" w:rsidP="0030569E">
      <w:pPr>
        <w:pStyle w:val="References"/>
      </w:pPr>
      <w:r w:rsidRPr="00467321">
        <w:t xml:space="preserve">Smith C, Parnell WR, Brown RC, </w:t>
      </w:r>
      <w:r w:rsidR="007464C2">
        <w:t>et al</w:t>
      </w:r>
      <w:r w:rsidRPr="00467321">
        <w:t xml:space="preserve">. 2013. Balancing the diet and the budget: Food purchasing practices of food-insecure families in New Zealand. </w:t>
      </w:r>
      <w:r w:rsidRPr="00F75250">
        <w:rPr>
          <w:i/>
        </w:rPr>
        <w:t>Nutrition and Dietetics</w:t>
      </w:r>
      <w:r w:rsidRPr="00467321">
        <w:rPr>
          <w:rFonts w:ascii="Calibri" w:hAnsi="Calibri"/>
          <w:i/>
        </w:rPr>
        <w:t xml:space="preserve"> </w:t>
      </w:r>
      <w:r w:rsidRPr="00467321">
        <w:t>70(4): 278–85.</w:t>
      </w:r>
    </w:p>
    <w:p w:rsidR="00467321" w:rsidRPr="00467321" w:rsidRDefault="00467321" w:rsidP="0030569E">
      <w:pPr>
        <w:pStyle w:val="References"/>
      </w:pPr>
      <w:r w:rsidRPr="00467321">
        <w:t>Statistics New Zealand. 2005. Understanding and working with ethnicity data: A</w:t>
      </w:r>
      <w:r w:rsidR="00F75250">
        <w:t> </w:t>
      </w:r>
      <w:r w:rsidRPr="00467321">
        <w:t>technical paper. Wellington: Statistics New Zealand.</w:t>
      </w:r>
    </w:p>
    <w:p w:rsidR="00467321" w:rsidRPr="00467321" w:rsidRDefault="00467321" w:rsidP="0030569E">
      <w:pPr>
        <w:pStyle w:val="References"/>
      </w:pPr>
      <w:r w:rsidRPr="00467321">
        <w:t>Superu. 2018. Families and whānau status report. Wellington: Social Policy Evaluation and Research</w:t>
      </w:r>
      <w:r w:rsidR="0030569E">
        <w:t xml:space="preserve"> </w:t>
      </w:r>
      <w:r w:rsidRPr="00467321">
        <w:t>Unit</w:t>
      </w:r>
      <w:r w:rsidR="00F75250">
        <w:t>.</w:t>
      </w:r>
    </w:p>
    <w:p w:rsidR="00467321" w:rsidRPr="00467321" w:rsidRDefault="00467321" w:rsidP="0030569E">
      <w:pPr>
        <w:pStyle w:val="References"/>
      </w:pPr>
      <w:r w:rsidRPr="00467321">
        <w:lastRenderedPageBreak/>
        <w:t xml:space="preserve">Te Hotu Manawa Māori. 2009. </w:t>
      </w:r>
      <w:r w:rsidRPr="00F75250">
        <w:rPr>
          <w:i/>
        </w:rPr>
        <w:t>He panehe toki: Food security among Māori in Aotearoa, Part</w:t>
      </w:r>
      <w:r w:rsidR="00F75250">
        <w:rPr>
          <w:i/>
        </w:rPr>
        <w:t> </w:t>
      </w:r>
      <w:r w:rsidRPr="00F75250">
        <w:rPr>
          <w:i/>
        </w:rPr>
        <w:t>2</w:t>
      </w:r>
      <w:r w:rsidRPr="00467321">
        <w:t>.</w:t>
      </w:r>
      <w:r w:rsidR="00F75250">
        <w:t xml:space="preserve"> </w:t>
      </w:r>
      <w:r w:rsidRPr="00467321">
        <w:t>Wellington: Obesity Action Coalition, Te Hotu Manawa Māori.</w:t>
      </w:r>
    </w:p>
    <w:p w:rsidR="00467321" w:rsidRPr="00467321" w:rsidRDefault="00467321" w:rsidP="0030569E">
      <w:pPr>
        <w:pStyle w:val="References"/>
      </w:pPr>
      <w:r w:rsidRPr="00467321">
        <w:t xml:space="preserve">Utter J, Denny S, Robinson E, </w:t>
      </w:r>
      <w:r w:rsidR="007464C2">
        <w:t>et al</w:t>
      </w:r>
      <w:r w:rsidRPr="00467321">
        <w:t xml:space="preserve">. 2012. Food security concerns among young people: Impact on eating behaviors and weight status. </w:t>
      </w:r>
      <w:r w:rsidRPr="00F75250">
        <w:rPr>
          <w:i/>
        </w:rPr>
        <w:t>Journal of Hunger and Environmental Nutrition</w:t>
      </w:r>
      <w:r w:rsidRPr="00467321">
        <w:rPr>
          <w:rFonts w:ascii="Calibri" w:hAnsi="Calibri"/>
          <w:i/>
        </w:rPr>
        <w:t xml:space="preserve"> </w:t>
      </w:r>
      <w:r w:rsidRPr="00467321">
        <w:t>7(1): 101–11.</w:t>
      </w:r>
    </w:p>
    <w:p w:rsidR="00467321" w:rsidRPr="00467321" w:rsidRDefault="00467321" w:rsidP="0030569E">
      <w:pPr>
        <w:pStyle w:val="References"/>
      </w:pPr>
      <w:r w:rsidRPr="00467321">
        <w:t xml:space="preserve">Utter J, Izumi BT, Denny S, </w:t>
      </w:r>
      <w:r w:rsidR="007464C2">
        <w:t>et al</w:t>
      </w:r>
      <w:r w:rsidRPr="00467321">
        <w:t>. 2018. Rising food security concerns among New</w:t>
      </w:r>
      <w:r w:rsidR="00F75250">
        <w:t> </w:t>
      </w:r>
      <w:r w:rsidRPr="00467321">
        <w:t xml:space="preserve">Zealand adolescents and association with health and wellbeing. </w:t>
      </w:r>
      <w:r w:rsidRPr="00F75250">
        <w:rPr>
          <w:i/>
        </w:rPr>
        <w:t>Kotuitui</w:t>
      </w:r>
      <w:r w:rsidR="00F75250">
        <w:rPr>
          <w:rFonts w:ascii="Calibri" w:hAnsi="Calibri"/>
        </w:rPr>
        <w:br/>
      </w:r>
      <w:r w:rsidRPr="00467321">
        <w:t>13(1): 29–38.</w:t>
      </w:r>
    </w:p>
    <w:p w:rsidR="00467321" w:rsidRPr="00467321" w:rsidRDefault="00467321" w:rsidP="0030569E">
      <w:pPr>
        <w:pStyle w:val="References"/>
      </w:pPr>
      <w:r w:rsidRPr="00467321">
        <w:t xml:space="preserve">Whitaker R, Phillips S, Orzol S. 2006. Food insecurity and the risks of depression and anxiety in mothers and behavior problems in their school-aged children. </w:t>
      </w:r>
      <w:r w:rsidRPr="00F75250">
        <w:rPr>
          <w:i/>
        </w:rPr>
        <w:t>Pediatrics</w:t>
      </w:r>
      <w:r w:rsidRPr="00467321">
        <w:rPr>
          <w:rFonts w:ascii="Calibri" w:hAnsi="Calibri"/>
          <w:i/>
        </w:rPr>
        <w:t xml:space="preserve"> </w:t>
      </w:r>
      <w:r w:rsidRPr="00467321">
        <w:t>118(3): e859–68.</w:t>
      </w:r>
    </w:p>
    <w:p w:rsidR="00467321" w:rsidRPr="00467321" w:rsidRDefault="00467321" w:rsidP="0030569E">
      <w:pPr>
        <w:pStyle w:val="References"/>
      </w:pPr>
      <w:r w:rsidRPr="00467321">
        <w:t xml:space="preserve">Whitsett D, Sherman MF, Kotchick BA. 2018. Household food insecurity in early adolescence and risk of subsequent behavior problems: does a connection persist over time? </w:t>
      </w:r>
      <w:r w:rsidRPr="00F75250">
        <w:rPr>
          <w:i/>
        </w:rPr>
        <w:t>Journal of Pediatric Psychology</w:t>
      </w:r>
      <w:r w:rsidRPr="00467321">
        <w:rPr>
          <w:rFonts w:ascii="Calibri" w:hAnsi="Calibri"/>
          <w:i/>
        </w:rPr>
        <w:t xml:space="preserve"> </w:t>
      </w:r>
      <w:r w:rsidRPr="00467321">
        <w:t>1–12.</w:t>
      </w:r>
    </w:p>
    <w:p w:rsidR="00467321" w:rsidRPr="00467321" w:rsidRDefault="00467321" w:rsidP="0030569E">
      <w:pPr>
        <w:pStyle w:val="References"/>
      </w:pPr>
      <w:r w:rsidRPr="00467321">
        <w:t xml:space="preserve">WHO. 2011. Trade foreign policy, diplomacy and health: food security. URL: </w:t>
      </w:r>
      <w:hyperlink r:id="rId63">
        <w:r w:rsidRPr="00F75250">
          <w:rPr>
            <w:rStyle w:val="Hyperlink"/>
          </w:rPr>
          <w:t>http://www.who.int/</w:t>
        </w:r>
      </w:hyperlink>
      <w:hyperlink r:id="rId64">
        <w:r w:rsidRPr="00F75250">
          <w:rPr>
            <w:rStyle w:val="Hyperlink"/>
          </w:rPr>
          <w:t>trade/glossary/story028/en/</w:t>
        </w:r>
        <w:r w:rsidRPr="00F75250">
          <w:t xml:space="preserve"> </w:t>
        </w:r>
      </w:hyperlink>
      <w:r w:rsidRPr="00467321">
        <w:t>(accessed 28 November 2018).</w:t>
      </w:r>
    </w:p>
    <w:p w:rsidR="00467321" w:rsidRPr="00467321" w:rsidRDefault="00467321" w:rsidP="0030569E">
      <w:pPr>
        <w:pStyle w:val="References"/>
      </w:pPr>
      <w:r w:rsidRPr="00467321">
        <w:t xml:space="preserve">Widome R, Neumark-Sztainer D, Hannan PJ, </w:t>
      </w:r>
      <w:r w:rsidR="007464C2">
        <w:t>et al</w:t>
      </w:r>
      <w:r w:rsidRPr="00467321">
        <w:t xml:space="preserve">. 2009. Eating when there is not enough to eat: Eating behaviors and perceptions of food among food-insecure youths. </w:t>
      </w:r>
      <w:r w:rsidRPr="00F75250">
        <w:rPr>
          <w:i/>
        </w:rPr>
        <w:t>American Journal of Public Health</w:t>
      </w:r>
      <w:r w:rsidRPr="00467321">
        <w:rPr>
          <w:rFonts w:ascii="Calibri" w:hAnsi="Calibri"/>
          <w:i/>
        </w:rPr>
        <w:t xml:space="preserve"> </w:t>
      </w:r>
      <w:r w:rsidRPr="00467321">
        <w:t>99(5): 822–8.</w:t>
      </w:r>
    </w:p>
    <w:p w:rsidR="00467321" w:rsidRPr="00467321" w:rsidRDefault="00467321" w:rsidP="0030569E">
      <w:pPr>
        <w:pStyle w:val="References"/>
      </w:pPr>
      <w:r w:rsidRPr="00467321">
        <w:t xml:space="preserve">Wiener RC, Sambamoorthi U, Shen C, </w:t>
      </w:r>
      <w:r w:rsidR="007464C2">
        <w:t>et al</w:t>
      </w:r>
      <w:r w:rsidRPr="00467321">
        <w:t xml:space="preserve">. 2018. Food security and unmet dental care needs in adults in the United States. </w:t>
      </w:r>
      <w:r w:rsidRPr="00F75250">
        <w:rPr>
          <w:i/>
        </w:rPr>
        <w:t>Journal of Dental Hygiene</w:t>
      </w:r>
      <w:r w:rsidRPr="00467321">
        <w:rPr>
          <w:rFonts w:ascii="Calibri"/>
          <w:i/>
        </w:rPr>
        <w:t xml:space="preserve"> </w:t>
      </w:r>
      <w:r w:rsidRPr="00467321">
        <w:t>92(3).</w:t>
      </w:r>
    </w:p>
    <w:p w:rsidR="00467321" w:rsidRPr="00467321" w:rsidRDefault="00467321" w:rsidP="0030569E">
      <w:pPr>
        <w:pStyle w:val="References"/>
      </w:pPr>
      <w:r w:rsidRPr="00467321">
        <w:t xml:space="preserve">Wilson M, Hyslop D, Vette M, </w:t>
      </w:r>
      <w:r w:rsidR="007464C2">
        <w:t>et al</w:t>
      </w:r>
      <w:r w:rsidRPr="00467321">
        <w:t xml:space="preserve">. 2018. </w:t>
      </w:r>
      <w:r w:rsidRPr="00F75250">
        <w:rPr>
          <w:i/>
        </w:rPr>
        <w:t xml:space="preserve">KickStart </w:t>
      </w:r>
      <w:r w:rsidR="00F75250">
        <w:rPr>
          <w:i/>
        </w:rPr>
        <w:t>B</w:t>
      </w:r>
      <w:r w:rsidRPr="00F75250">
        <w:rPr>
          <w:i/>
        </w:rPr>
        <w:t xml:space="preserve">reakfasts and </w:t>
      </w:r>
      <w:r w:rsidR="00F75250">
        <w:rPr>
          <w:i/>
        </w:rPr>
        <w:t>I</w:t>
      </w:r>
      <w:r w:rsidRPr="00F75250">
        <w:rPr>
          <w:i/>
        </w:rPr>
        <w:t xml:space="preserve">ndicators of </w:t>
      </w:r>
      <w:r w:rsidR="00F75250">
        <w:rPr>
          <w:i/>
        </w:rPr>
        <w:t>C</w:t>
      </w:r>
      <w:r w:rsidRPr="00F75250">
        <w:rPr>
          <w:i/>
        </w:rPr>
        <w:t xml:space="preserve">hild </w:t>
      </w:r>
      <w:r w:rsidR="00F75250">
        <w:rPr>
          <w:i/>
        </w:rPr>
        <w:t>H</w:t>
      </w:r>
      <w:r w:rsidRPr="00F75250">
        <w:rPr>
          <w:i/>
        </w:rPr>
        <w:t xml:space="preserve">ealth in </w:t>
      </w:r>
      <w:r w:rsidR="00F75250">
        <w:rPr>
          <w:i/>
        </w:rPr>
        <w:t>L</w:t>
      </w:r>
      <w:r w:rsidRPr="00F75250">
        <w:rPr>
          <w:i/>
        </w:rPr>
        <w:t xml:space="preserve">inked </w:t>
      </w:r>
      <w:r w:rsidR="00F75250">
        <w:rPr>
          <w:i/>
        </w:rPr>
        <w:t>A</w:t>
      </w:r>
      <w:r w:rsidRPr="00F75250">
        <w:rPr>
          <w:i/>
        </w:rPr>
        <w:t xml:space="preserve">dministrative </w:t>
      </w:r>
      <w:r w:rsidR="00F75250">
        <w:rPr>
          <w:i/>
        </w:rPr>
        <w:t>D</w:t>
      </w:r>
      <w:r w:rsidRPr="00F75250">
        <w:rPr>
          <w:i/>
        </w:rPr>
        <w:t>ata</w:t>
      </w:r>
      <w:r w:rsidRPr="00467321">
        <w:t>. Wellington: Ministry of Social Development, Oranga Tamariki.</w:t>
      </w:r>
    </w:p>
    <w:p w:rsidR="00467321" w:rsidRDefault="00467321" w:rsidP="0030569E">
      <w:pPr>
        <w:pStyle w:val="References"/>
      </w:pPr>
      <w:r w:rsidRPr="00467321">
        <w:t xml:space="preserve">Wight V, Kaushal N, Waldfogel J, </w:t>
      </w:r>
      <w:r w:rsidR="00F75250">
        <w:t>et al</w:t>
      </w:r>
      <w:r w:rsidRPr="00467321">
        <w:t xml:space="preserve">. 2014. Understanding the link between poverty and food insecurity among children: Does the definition of poverty matter? </w:t>
      </w:r>
      <w:r w:rsidRPr="00F75250">
        <w:rPr>
          <w:i/>
        </w:rPr>
        <w:t>Journal of Children and Poverty</w:t>
      </w:r>
      <w:r w:rsidRPr="00467321">
        <w:rPr>
          <w:rFonts w:ascii="Calibri"/>
          <w:i/>
        </w:rPr>
        <w:t xml:space="preserve"> </w:t>
      </w:r>
      <w:r w:rsidRPr="00467321">
        <w:t>20(1): 1</w:t>
      </w:r>
      <w:r w:rsidR="00F75250">
        <w:t>–</w:t>
      </w:r>
      <w:r w:rsidRPr="00467321">
        <w:t>20.</w:t>
      </w:r>
    </w:p>
    <w:p w:rsidR="00F75250" w:rsidRPr="00467321" w:rsidRDefault="00F75250" w:rsidP="00F75250"/>
    <w:p w:rsidR="00467321" w:rsidRPr="00467321" w:rsidRDefault="00467321" w:rsidP="0030569E">
      <w:pPr>
        <w:pStyle w:val="Heading1"/>
      </w:pPr>
      <w:bookmarkStart w:id="96" w:name="_bookmark40"/>
      <w:bookmarkStart w:id="97" w:name="_Toc5437084"/>
      <w:bookmarkEnd w:id="96"/>
      <w:r w:rsidRPr="00467321">
        <w:lastRenderedPageBreak/>
        <w:t>Appendix 1:</w:t>
      </w:r>
      <w:r w:rsidR="00953FEC">
        <w:t xml:space="preserve"> </w:t>
      </w:r>
      <w:r w:rsidRPr="00467321">
        <w:t>The New Zealand Health Survey</w:t>
      </w:r>
      <w:bookmarkEnd w:id="97"/>
    </w:p>
    <w:p w:rsidR="00467321" w:rsidRPr="00953FEC" w:rsidRDefault="00467321" w:rsidP="00953FEC">
      <w:r w:rsidRPr="00953FEC">
        <w:t>The New Zealand Health Survey collects information on the health and wellbeing of children and adults who are usually resident in New Zealand. The target population is people living in permanent dwellings, aged-care facilities and student accommodation. The survey excludes those living in institutions (such as prisons and long-term hospital care), the homeless, short-term visitors and tourists.</w:t>
      </w:r>
      <w:r w:rsidR="00953FEC" w:rsidRPr="00953FEC">
        <w:t xml:space="preserve"> </w:t>
      </w:r>
      <w:r w:rsidRPr="00953FEC">
        <w:t>Approximately 99 percent of the New Zealand usually resident population of all ages is eligible to participate in the</w:t>
      </w:r>
      <w:r w:rsidRPr="00543D25">
        <w:t xml:space="preserve"> </w:t>
      </w:r>
      <w:r w:rsidRPr="00953FEC">
        <w:t>survey. In 2015/16, the final weighted response rate was 80 percent for the child component of the survey. This response rate has been fairly consistent since 2012/13.</w:t>
      </w:r>
    </w:p>
    <w:p w:rsidR="00953FEC" w:rsidRDefault="00953FEC" w:rsidP="00953FEC"/>
    <w:p w:rsidR="00467321" w:rsidRPr="00543D25" w:rsidRDefault="00467321" w:rsidP="00953FEC">
      <w:r w:rsidRPr="00953FEC">
        <w:t>Each year the Ministry of Health runs the New Zealand Health Survey from 1 July to 30</w:t>
      </w:r>
      <w:r w:rsidR="00953FEC">
        <w:t> </w:t>
      </w:r>
      <w:r w:rsidRPr="00953FEC">
        <w:t>June the following year. It selects the sample using a dual-frame design, with an area component covering the general population, and also an electoral roll component restricted to addresses where at least one adult has indicated Māori descent. Both</w:t>
      </w:r>
      <w:r w:rsidRPr="00543D25">
        <w:t xml:space="preserve"> components use stratified multi-stage area designs: selecting a sample of areas from each district health board, and then a sample of households from each selected area. Subsequently, one adult (aged 15 years or over) and, where relevant, one child (aged from birth to 14 years) are selected at random from the household.</w:t>
      </w:r>
    </w:p>
    <w:p w:rsidR="00953FEC" w:rsidRDefault="00953FEC" w:rsidP="00953FEC"/>
    <w:p w:rsidR="00467321" w:rsidRPr="00543D25" w:rsidRDefault="00467321" w:rsidP="00953FEC">
      <w:r w:rsidRPr="00543D25">
        <w:t>The questionnaire is self-completed by adults aged 15 years and older, and primary caregivers act as proxy respondents for the child component of the survey.</w:t>
      </w:r>
      <w:r w:rsidR="00953FEC">
        <w:rPr>
          <w:rStyle w:val="FootnoteReference"/>
        </w:rPr>
        <w:footnoteReference w:id="10"/>
      </w:r>
      <w:r w:rsidR="00953FEC">
        <w:t xml:space="preserve"> </w:t>
      </w:r>
      <w:r w:rsidRPr="00543D25">
        <w:t>The survey uses a mixture of computer-assisted and in-person interviews by trained staff. The food security questionnaire was administered in-person.</w:t>
      </w:r>
    </w:p>
    <w:p w:rsidR="00953FEC" w:rsidRDefault="00953FEC" w:rsidP="00953FEC"/>
    <w:p w:rsidR="00467321" w:rsidRPr="00543D25" w:rsidRDefault="00467321" w:rsidP="00953FEC">
      <w:r w:rsidRPr="00543D25">
        <w:t>The child component of the New Zealand Health Survey has two parts: a core part covering a set range of topics, and modules that vary year by year, to examine specific topics in more depth. The full child questionnaire can be found on the Ministry of Health</w:t>
      </w:r>
      <w:r w:rsidR="00543D25" w:rsidRPr="00543D25">
        <w:t>’</w:t>
      </w:r>
      <w:r w:rsidRPr="00543D25">
        <w:t>s website (Ministry of Health 2016a). The food security questionnaire was</w:t>
      </w:r>
      <w:r w:rsidR="00953FEC">
        <w:t xml:space="preserve"> </w:t>
      </w:r>
      <w:r w:rsidRPr="00543D25">
        <w:t>part of the Developmental Health and Wellbeing module that featured in the years 2012/13, 2014/15 and 2015/16.</w:t>
      </w:r>
    </w:p>
    <w:p w:rsidR="00953FEC" w:rsidRDefault="00953FEC" w:rsidP="00953FEC"/>
    <w:p w:rsidR="00467321" w:rsidRPr="00543D25" w:rsidRDefault="00467321" w:rsidP="00953FEC">
      <w:r w:rsidRPr="00543D25">
        <w:t>Table A1.1 reports the number of primary caregivers who responded to the survey in each of these years. Results from the survey are weighted to ensure they reflect the target population of all children in New Zealand under 15 years of age.</w:t>
      </w:r>
    </w:p>
    <w:p w:rsidR="00467321" w:rsidRPr="00543D25" w:rsidRDefault="00467321" w:rsidP="00953FEC"/>
    <w:p w:rsidR="00467321" w:rsidRPr="00467321" w:rsidRDefault="00467321" w:rsidP="00953FEC">
      <w:pPr>
        <w:pStyle w:val="Table"/>
      </w:pPr>
      <w:bookmarkStart w:id="98" w:name="_bookmark41"/>
      <w:bookmarkStart w:id="99" w:name="_Toc5437203"/>
      <w:bookmarkEnd w:id="98"/>
      <w:r w:rsidRPr="00467321">
        <w:lastRenderedPageBreak/>
        <w:t>Table A1.1: Number of primary caregivers responding to the child component of the New Zealand Health Survey</w:t>
      </w:r>
      <w:bookmarkEnd w:id="99"/>
    </w:p>
    <w:tbl>
      <w:tblPr>
        <w:tblW w:w="0" w:type="auto"/>
        <w:tblInd w:w="57" w:type="dxa"/>
        <w:tblBorders>
          <w:bottom w:val="single" w:sz="4" w:space="0" w:color="A7A9AC"/>
        </w:tblBorders>
        <w:tblLayout w:type="fixed"/>
        <w:tblCellMar>
          <w:left w:w="57" w:type="dxa"/>
          <w:right w:w="57" w:type="dxa"/>
        </w:tblCellMar>
        <w:tblLook w:val="01E0" w:firstRow="1" w:lastRow="1" w:firstColumn="1" w:lastColumn="1" w:noHBand="0" w:noVBand="0"/>
      </w:tblPr>
      <w:tblGrid>
        <w:gridCol w:w="1272"/>
        <w:gridCol w:w="1272"/>
        <w:gridCol w:w="1273"/>
      </w:tblGrid>
      <w:tr w:rsidR="00467321" w:rsidRPr="00953FEC" w:rsidTr="00953FEC">
        <w:trPr>
          <w:cantSplit/>
        </w:trPr>
        <w:tc>
          <w:tcPr>
            <w:tcW w:w="1272" w:type="dxa"/>
            <w:tcBorders>
              <w:bottom w:val="nil"/>
            </w:tcBorders>
            <w:shd w:val="clear" w:color="auto" w:fill="D9D9D9" w:themeFill="background1" w:themeFillShade="D9"/>
          </w:tcPr>
          <w:p w:rsidR="00467321" w:rsidRPr="00953FEC" w:rsidRDefault="00467321" w:rsidP="003D6C22">
            <w:pPr>
              <w:pStyle w:val="TableText"/>
              <w:keepNext/>
              <w:jc w:val="center"/>
              <w:rPr>
                <w:b/>
              </w:rPr>
            </w:pPr>
            <w:r w:rsidRPr="00953FEC">
              <w:rPr>
                <w:b/>
              </w:rPr>
              <w:t>2012/13</w:t>
            </w:r>
          </w:p>
        </w:tc>
        <w:tc>
          <w:tcPr>
            <w:tcW w:w="1272" w:type="dxa"/>
            <w:tcBorders>
              <w:bottom w:val="nil"/>
            </w:tcBorders>
            <w:shd w:val="clear" w:color="auto" w:fill="D9D9D9" w:themeFill="background1" w:themeFillShade="D9"/>
          </w:tcPr>
          <w:p w:rsidR="00467321" w:rsidRPr="00953FEC" w:rsidRDefault="00467321" w:rsidP="003D6C22">
            <w:pPr>
              <w:pStyle w:val="TableText"/>
              <w:keepNext/>
              <w:jc w:val="center"/>
              <w:rPr>
                <w:b/>
              </w:rPr>
            </w:pPr>
            <w:r w:rsidRPr="00953FEC">
              <w:rPr>
                <w:b/>
              </w:rPr>
              <w:t>2014/15</w:t>
            </w:r>
          </w:p>
        </w:tc>
        <w:tc>
          <w:tcPr>
            <w:tcW w:w="1273" w:type="dxa"/>
            <w:tcBorders>
              <w:bottom w:val="nil"/>
            </w:tcBorders>
            <w:shd w:val="clear" w:color="auto" w:fill="D9D9D9" w:themeFill="background1" w:themeFillShade="D9"/>
          </w:tcPr>
          <w:p w:rsidR="00467321" w:rsidRPr="00953FEC" w:rsidRDefault="00467321" w:rsidP="003D6C22">
            <w:pPr>
              <w:pStyle w:val="TableText"/>
              <w:keepNext/>
              <w:jc w:val="center"/>
              <w:rPr>
                <w:b/>
              </w:rPr>
            </w:pPr>
            <w:r w:rsidRPr="00953FEC">
              <w:rPr>
                <w:b/>
              </w:rPr>
              <w:t>2015/16</w:t>
            </w:r>
          </w:p>
        </w:tc>
      </w:tr>
      <w:tr w:rsidR="00467321" w:rsidRPr="00467321" w:rsidTr="00953FEC">
        <w:trPr>
          <w:cantSplit/>
        </w:trPr>
        <w:tc>
          <w:tcPr>
            <w:tcW w:w="1272" w:type="dxa"/>
            <w:tcBorders>
              <w:top w:val="nil"/>
            </w:tcBorders>
            <w:shd w:val="clear" w:color="auto" w:fill="auto"/>
          </w:tcPr>
          <w:p w:rsidR="00467321" w:rsidRPr="00543D25" w:rsidRDefault="00467321" w:rsidP="003D6C22">
            <w:pPr>
              <w:pStyle w:val="TableText"/>
              <w:keepNext/>
              <w:jc w:val="center"/>
            </w:pPr>
            <w:r w:rsidRPr="00543D25">
              <w:t>4</w:t>
            </w:r>
            <w:r w:rsidR="00953FEC">
              <w:t>,</w:t>
            </w:r>
            <w:r w:rsidRPr="00543D25">
              <w:t>485</w:t>
            </w:r>
          </w:p>
        </w:tc>
        <w:tc>
          <w:tcPr>
            <w:tcW w:w="1272" w:type="dxa"/>
            <w:tcBorders>
              <w:top w:val="nil"/>
            </w:tcBorders>
            <w:shd w:val="clear" w:color="auto" w:fill="auto"/>
          </w:tcPr>
          <w:p w:rsidR="00467321" w:rsidRPr="00543D25" w:rsidRDefault="00467321" w:rsidP="003D6C22">
            <w:pPr>
              <w:pStyle w:val="TableText"/>
              <w:keepNext/>
              <w:jc w:val="center"/>
            </w:pPr>
            <w:r w:rsidRPr="00543D25">
              <w:t>4</w:t>
            </w:r>
            <w:r w:rsidR="00953FEC">
              <w:t>,</w:t>
            </w:r>
            <w:r w:rsidRPr="00543D25">
              <w:t>754</w:t>
            </w:r>
          </w:p>
        </w:tc>
        <w:tc>
          <w:tcPr>
            <w:tcW w:w="1273" w:type="dxa"/>
            <w:tcBorders>
              <w:top w:val="nil"/>
            </w:tcBorders>
            <w:shd w:val="clear" w:color="auto" w:fill="auto"/>
          </w:tcPr>
          <w:p w:rsidR="00467321" w:rsidRPr="00543D25" w:rsidRDefault="00467321" w:rsidP="003D6C22">
            <w:pPr>
              <w:pStyle w:val="TableText"/>
              <w:keepNext/>
              <w:jc w:val="center"/>
            </w:pPr>
            <w:r w:rsidRPr="00543D25">
              <w:t>4</w:t>
            </w:r>
            <w:r w:rsidR="00953FEC">
              <w:t>,</w:t>
            </w:r>
            <w:r w:rsidRPr="00543D25">
              <w:t>721</w:t>
            </w:r>
          </w:p>
        </w:tc>
      </w:tr>
    </w:tbl>
    <w:p w:rsidR="00953FEC" w:rsidRDefault="00953FEC" w:rsidP="003D6C22">
      <w:pPr>
        <w:keepNext/>
      </w:pPr>
    </w:p>
    <w:p w:rsidR="00467321" w:rsidRPr="00543D25" w:rsidRDefault="00467321" w:rsidP="00953FEC">
      <w:r w:rsidRPr="00543D25">
        <w:t>The New Zealand Health Survey is a cross-sectional snapshot of the health of New Zealand adults and children at one point in time. We can use it to look at associations between different factors, such as health status and neighbourhood deprivation.</w:t>
      </w:r>
      <w:r w:rsidR="00953FEC">
        <w:t xml:space="preserve"> </w:t>
      </w:r>
      <w:r w:rsidRPr="00543D25">
        <w:t>However, it is not possible to use the survey data to analyse cause-and-effect relationships. For example, a finding of the survey that a particular condition is more common in children living in food-insecure households represents an association.</w:t>
      </w:r>
      <w:r w:rsidR="00953FEC">
        <w:t xml:space="preserve"> </w:t>
      </w:r>
      <w:r w:rsidRPr="00543D25">
        <w:t>However, this association does not necessarily mean the condition is caused by living in a food-insecure household.</w:t>
      </w:r>
    </w:p>
    <w:p w:rsidR="00953FEC" w:rsidRDefault="00953FEC" w:rsidP="00953FEC"/>
    <w:p w:rsidR="00467321" w:rsidRDefault="00467321" w:rsidP="00953FEC">
      <w:r w:rsidRPr="00543D25">
        <w:t>A more in-depth description of the New Zealand Health survey methodology can be found on the Ministry of Health website (Ministry of Health 2016b).</w:t>
      </w:r>
    </w:p>
    <w:p w:rsidR="00953FEC" w:rsidRPr="00543D25" w:rsidRDefault="00953FEC" w:rsidP="00953FEC"/>
    <w:p w:rsidR="00467321" w:rsidRPr="00467321" w:rsidRDefault="00467321" w:rsidP="0030569E">
      <w:pPr>
        <w:pStyle w:val="Heading1"/>
      </w:pPr>
      <w:bookmarkStart w:id="100" w:name="_bookmark42"/>
      <w:bookmarkStart w:id="101" w:name="_Toc5437085"/>
      <w:bookmarkEnd w:id="100"/>
      <w:r w:rsidRPr="00467321">
        <w:lastRenderedPageBreak/>
        <w:t>Appendix 2:</w:t>
      </w:r>
      <w:r w:rsidR="00953FEC">
        <w:t xml:space="preserve"> </w:t>
      </w:r>
      <w:r w:rsidRPr="00467321">
        <w:t>Detail on the construction of the food insecurity index</w:t>
      </w:r>
      <w:bookmarkEnd w:id="101"/>
    </w:p>
    <w:p w:rsidR="00467321" w:rsidRPr="00543D25" w:rsidRDefault="00467321" w:rsidP="00953FEC">
      <w:r w:rsidRPr="00543D25">
        <w:t>To construct an index of household food insecurity based on the categorical responses to the eight items in the New Zealand Health Survey, we used an item response theory methodology. Item response theory provides a powerful modelling approach to construct a measure of an underlying trait or phenomenon based on</w:t>
      </w:r>
      <w:r w:rsidR="00953FEC">
        <w:t xml:space="preserve"> </w:t>
      </w:r>
      <w:r w:rsidRPr="00543D25">
        <w:t>a questionnaire (Embretson and Reise 2000; Raykov and Marcoulides 2011). The method combines responses to all questionnaire items, and constructs an aggregate index that takes into account (i) the level of severity of the food insecurity assessed by each item, and (ii) the item</w:t>
      </w:r>
      <w:r w:rsidR="00543D25" w:rsidRPr="00543D25">
        <w:t>’</w:t>
      </w:r>
      <w:r w:rsidRPr="00543D25">
        <w:t xml:space="preserve">s ability to discriminate between individuals with and without food insecurity (Depaoli </w:t>
      </w:r>
      <w:r w:rsidR="007464C2">
        <w:t>et al</w:t>
      </w:r>
      <w:r w:rsidRPr="00543D25">
        <w:t xml:space="preserve"> 2018). Taking such features into account results</w:t>
      </w:r>
      <w:r w:rsidR="00953FEC">
        <w:t xml:space="preserve"> </w:t>
      </w:r>
      <w:r w:rsidRPr="00543D25">
        <w:t>in a more accurate estimate of food insecurity than a crude sum of the scores for each statement, where each statement contributes equally.</w:t>
      </w:r>
    </w:p>
    <w:p w:rsidR="00953FEC" w:rsidRDefault="00953FEC" w:rsidP="00953FEC"/>
    <w:p w:rsidR="00467321" w:rsidRPr="00543D25" w:rsidRDefault="00467321" w:rsidP="00953FEC">
      <w:r w:rsidRPr="00543D25">
        <w:t>We used the Multidimensional Item Response Theory (MIRT) package</w:t>
      </w:r>
      <w:r w:rsidR="00953FEC">
        <w:rPr>
          <w:rStyle w:val="FootnoteReference"/>
        </w:rPr>
        <w:footnoteReference w:id="11"/>
      </w:r>
      <w:r w:rsidR="00953FEC">
        <w:t xml:space="preserve"> </w:t>
      </w:r>
      <w:r w:rsidRPr="00543D25">
        <w:t>in</w:t>
      </w:r>
      <w:r w:rsidR="00953FEC">
        <w:t xml:space="preserve"> </w:t>
      </w:r>
      <w:r w:rsidRPr="00543D25">
        <w:t>R Version 3.3.2. To aggregate responses we used the Generalized Partial Credit Model (GPCM), which is suitable for items with more than two response options. We established the severity of food insecurity assessed by the items and their discriminatory ability based on 2015/16 data. The resulting estimates were then applied to 2012/13 and 2014/15 food security data to create the aggregate</w:t>
      </w:r>
      <w:r w:rsidR="00953FEC">
        <w:t xml:space="preserve"> </w:t>
      </w:r>
      <w:r w:rsidRPr="00543D25">
        <w:t>food-insecurity index for these years. This approach ensures the index is directly comparable across the years.</w:t>
      </w:r>
    </w:p>
    <w:p w:rsidR="00953FEC" w:rsidRDefault="00953FEC" w:rsidP="00953FEC"/>
    <w:p w:rsidR="00467321" w:rsidRPr="00543D25" w:rsidRDefault="00467321" w:rsidP="00953FEC">
      <w:r w:rsidRPr="00543D25">
        <w:t xml:space="preserve">Our analysis indicated that the item </w:t>
      </w:r>
      <w:r w:rsidR="00543D25" w:rsidRPr="00543D25">
        <w:t>‘</w:t>
      </w:r>
      <w:r w:rsidRPr="00543D25">
        <w:t>We make use of special food grants or food banks when we do not have enough money for food</w:t>
      </w:r>
      <w:r w:rsidR="00543D25" w:rsidRPr="00543D25">
        <w:t>’</w:t>
      </w:r>
      <w:r w:rsidRPr="00543D25">
        <w:t xml:space="preserve"> signified the most severe level of food insecurity, while the item </w:t>
      </w:r>
      <w:r w:rsidR="00543D25" w:rsidRPr="00543D25">
        <w:t>‘</w:t>
      </w:r>
      <w:r w:rsidRPr="00543D25">
        <w:t>We eat less because of lack of money</w:t>
      </w:r>
      <w:r w:rsidR="00543D25" w:rsidRPr="00543D25">
        <w:t>’</w:t>
      </w:r>
      <w:r w:rsidRPr="00543D25">
        <w:t xml:space="preserve"> had the best discriminatory ability.</w:t>
      </w:r>
    </w:p>
    <w:p w:rsidR="00953FEC" w:rsidRDefault="00953FEC" w:rsidP="00953FEC"/>
    <w:p w:rsidR="00467321" w:rsidRDefault="00467321" w:rsidP="00953FEC">
      <w:r w:rsidRPr="00543D25">
        <w:t>Figure A2.2 sets out the distribution of the aggregate food insecurity index across all children in 2015/16. The figure shows the household food insecurity for each percentile of children. The index score has negative values, as it represents food</w:t>
      </w:r>
      <w:r w:rsidR="00953FEC">
        <w:t xml:space="preserve"> </w:t>
      </w:r>
      <w:r w:rsidRPr="00953FEC">
        <w:rPr>
          <w:i/>
        </w:rPr>
        <w:t>in</w:t>
      </w:r>
      <w:r w:rsidRPr="00543D25">
        <w:t>security (negative) rather than food security (positive). Some level of food insecurity was recorded for almost 40 percent of children, with the remainder (60.8%) having no indication of food insecurity across the eight items (index score is -.19). At the most</w:t>
      </w:r>
      <w:r w:rsidR="00953FEC">
        <w:t xml:space="preserve"> </w:t>
      </w:r>
      <w:bookmarkStart w:id="102" w:name="_bookmark43"/>
      <w:bookmarkEnd w:id="102"/>
      <w:r w:rsidRPr="00543D25">
        <w:t xml:space="preserve">severe end (-2.06), caregivers answered </w:t>
      </w:r>
      <w:r w:rsidR="00543D25" w:rsidRPr="00543D25">
        <w:t>‘</w:t>
      </w:r>
      <w:r w:rsidRPr="00543D25">
        <w:t>never</w:t>
      </w:r>
      <w:r w:rsidR="00543D25" w:rsidRPr="00543D25">
        <w:t>’</w:t>
      </w:r>
      <w:r w:rsidRPr="00543D25">
        <w:t xml:space="preserve"> for item 1 and </w:t>
      </w:r>
      <w:r w:rsidR="00543D25" w:rsidRPr="00543D25">
        <w:t>‘</w:t>
      </w:r>
      <w:r w:rsidRPr="00543D25">
        <w:t>often</w:t>
      </w:r>
      <w:r w:rsidR="00543D25" w:rsidRPr="00543D25">
        <w:t>’</w:t>
      </w:r>
      <w:r w:rsidRPr="00543D25">
        <w:t xml:space="preserve"> for items 2–8. At the least severe end (-.19), caregivers answered </w:t>
      </w:r>
      <w:r w:rsidR="00543D25" w:rsidRPr="00543D25">
        <w:t>‘</w:t>
      </w:r>
      <w:r w:rsidRPr="00543D25">
        <w:t>always</w:t>
      </w:r>
      <w:r w:rsidR="00543D25" w:rsidRPr="00543D25">
        <w:t>’</w:t>
      </w:r>
      <w:r w:rsidRPr="00543D25">
        <w:t xml:space="preserve"> for item 1 and </w:t>
      </w:r>
      <w:r w:rsidR="00543D25" w:rsidRPr="00543D25">
        <w:t>‘</w:t>
      </w:r>
      <w:r w:rsidRPr="00543D25">
        <w:t>never</w:t>
      </w:r>
      <w:r w:rsidR="00543D25" w:rsidRPr="00543D25">
        <w:t>’</w:t>
      </w:r>
      <w:r w:rsidRPr="00543D25">
        <w:t xml:space="preserve"> for items</w:t>
      </w:r>
      <w:r w:rsidR="003D6C22">
        <w:t> </w:t>
      </w:r>
      <w:r w:rsidRPr="00543D25">
        <w:t>2–8.</w:t>
      </w:r>
    </w:p>
    <w:p w:rsidR="00953FEC" w:rsidRPr="00543D25" w:rsidRDefault="00953FEC" w:rsidP="00953FEC"/>
    <w:p w:rsidR="00467321" w:rsidRPr="00543D25" w:rsidRDefault="00467321" w:rsidP="00953FEC">
      <w:r w:rsidRPr="00543D25">
        <w:lastRenderedPageBreak/>
        <w:t>As part of the analysis, we also established two thresholds for the index. This allowed us to categorise children into groups based on the severity of their household</w:t>
      </w:r>
      <w:r w:rsidR="00543D25" w:rsidRPr="00543D25">
        <w:t>’</w:t>
      </w:r>
      <w:r w:rsidRPr="00543D25">
        <w:t xml:space="preserve">s food insecurity: mostly to fully food-secure, moderately food-insecure and severely </w:t>
      </w:r>
      <w:r w:rsidR="00C11D2D">
        <w:t>food-insecure</w:t>
      </w:r>
      <w:r w:rsidRPr="00543D25">
        <w:t>. These groupings mirrored the three response options for the individual items; never, often and sometimes.</w:t>
      </w:r>
    </w:p>
    <w:p w:rsidR="00953FEC" w:rsidRDefault="00953FEC" w:rsidP="00953FEC"/>
    <w:p w:rsidR="00467321" w:rsidRPr="00543D25" w:rsidRDefault="00467321" w:rsidP="00953FEC">
      <w:r w:rsidRPr="00543D25">
        <w:t xml:space="preserve">For each item, we determined the threshold as the point at which (i) the probability of respondents responding </w:t>
      </w:r>
      <w:r w:rsidR="00543D25" w:rsidRPr="00543D25">
        <w:t>‘</w:t>
      </w:r>
      <w:r w:rsidRPr="00543D25">
        <w:t>sometimes</w:t>
      </w:r>
      <w:r w:rsidR="00543D25" w:rsidRPr="00543D25">
        <w:t>’</w:t>
      </w:r>
      <w:r w:rsidRPr="00543D25">
        <w:t xml:space="preserve"> and </w:t>
      </w:r>
      <w:r w:rsidR="00543D25" w:rsidRPr="00543D25">
        <w:t>‘</w:t>
      </w:r>
      <w:r w:rsidRPr="00543D25">
        <w:t>often</w:t>
      </w:r>
      <w:r w:rsidR="00543D25" w:rsidRPr="00543D25">
        <w:t>’</w:t>
      </w:r>
      <w:r w:rsidRPr="00543D25">
        <w:t xml:space="preserve"> intersect (b1), and (ii) the probability of respondents responding </w:t>
      </w:r>
      <w:r w:rsidR="00543D25" w:rsidRPr="00543D25">
        <w:t>‘</w:t>
      </w:r>
      <w:r w:rsidRPr="00543D25">
        <w:t>sometimes</w:t>
      </w:r>
      <w:r w:rsidR="00543D25" w:rsidRPr="00543D25">
        <w:t>’</w:t>
      </w:r>
      <w:r w:rsidRPr="00543D25">
        <w:t xml:space="preserve"> and </w:t>
      </w:r>
      <w:r w:rsidR="00543D25" w:rsidRPr="00543D25">
        <w:t>‘</w:t>
      </w:r>
      <w:r w:rsidRPr="00543D25">
        <w:t>never</w:t>
      </w:r>
      <w:r w:rsidR="00543D25" w:rsidRPr="00543D25">
        <w:t>’</w:t>
      </w:r>
      <w:r w:rsidRPr="00543D25">
        <w:t xml:space="preserve"> intersect (b2). This was based on the 2015/16 data. Figure A2.1 below represents this in a hypothetical manner. The probability of selection of a specific response is presented on the y-axis. The level of food insecurity on the x-axis represents the latent construct for food insecurity based on the eight questionnaire items.</w:t>
      </w:r>
    </w:p>
    <w:p w:rsidR="00467321" w:rsidRPr="00543D25" w:rsidRDefault="00467321" w:rsidP="00953FEC"/>
    <w:p w:rsidR="00467321" w:rsidRDefault="00467321" w:rsidP="00953FEC">
      <w:pPr>
        <w:pStyle w:val="Figure"/>
      </w:pPr>
      <w:bookmarkStart w:id="103" w:name="_Toc5437144"/>
      <w:r w:rsidRPr="00467321">
        <w:t>Figure A2.1: Probability of response selection for a specific item</w:t>
      </w:r>
      <w:bookmarkEnd w:id="103"/>
    </w:p>
    <w:p w:rsidR="00953FEC" w:rsidRPr="00953FEC" w:rsidRDefault="00953FEC" w:rsidP="00953FEC">
      <w:r w:rsidRPr="00953FEC">
        <w:rPr>
          <w:noProof/>
          <w:lang w:eastAsia="en-NZ"/>
        </w:rPr>
        <w:drawing>
          <wp:inline distT="0" distB="0" distL="0" distR="0" wp14:anchorId="36E24E6C" wp14:editId="22E762F9">
            <wp:extent cx="3599411" cy="2126007"/>
            <wp:effectExtent l="0" t="0" r="1270" b="7620"/>
            <wp:docPr id="74" name="Picture 74" title="Figure A2.1: Probability of response selection for a specific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99789" cy="2126230"/>
                    </a:xfrm>
                    <a:prstGeom prst="rect">
                      <a:avLst/>
                    </a:prstGeom>
                  </pic:spPr>
                </pic:pic>
              </a:graphicData>
            </a:graphic>
          </wp:inline>
        </w:drawing>
      </w:r>
    </w:p>
    <w:p w:rsidR="00467321" w:rsidRPr="00467321" w:rsidRDefault="00467321" w:rsidP="00953FEC">
      <w:pPr>
        <w:pStyle w:val="Note"/>
      </w:pPr>
      <w:r w:rsidRPr="00467321">
        <w:t xml:space="preserve">Note: The figure is not to scale. The location of </w:t>
      </w:r>
      <w:r w:rsidR="00543D25">
        <w:t>‘</w:t>
      </w:r>
      <w:r w:rsidRPr="00467321">
        <w:t>b1</w:t>
      </w:r>
      <w:r w:rsidR="00543D25">
        <w:t>’</w:t>
      </w:r>
      <w:r w:rsidRPr="00467321">
        <w:t xml:space="preserve"> and </w:t>
      </w:r>
      <w:r w:rsidR="00543D25">
        <w:t>‘</w:t>
      </w:r>
      <w:r w:rsidRPr="00467321">
        <w:t>b2</w:t>
      </w:r>
      <w:r w:rsidR="00543D25">
        <w:t>’</w:t>
      </w:r>
      <w:r w:rsidRPr="00467321">
        <w:t xml:space="preserve"> on the x-axis represent the item</w:t>
      </w:r>
      <w:r w:rsidR="00543D25">
        <w:t>’</w:t>
      </w:r>
      <w:r w:rsidRPr="00467321">
        <w:t>s severity, and the slope of the graph at these points represents the item</w:t>
      </w:r>
      <w:r w:rsidR="00543D25">
        <w:t>’</w:t>
      </w:r>
      <w:r w:rsidRPr="00467321">
        <w:t>s discriminatory ability.</w:t>
      </w:r>
    </w:p>
    <w:p w:rsidR="00953FEC" w:rsidRDefault="00953FEC" w:rsidP="00953FEC"/>
    <w:p w:rsidR="00467321" w:rsidRPr="00543D25" w:rsidRDefault="00467321" w:rsidP="00953FEC">
      <w:r w:rsidRPr="00543D25">
        <w:t xml:space="preserve">To the left of </w:t>
      </w:r>
      <w:r w:rsidR="00543D25" w:rsidRPr="00543D25">
        <w:t>‘</w:t>
      </w:r>
      <w:r w:rsidRPr="00543D25">
        <w:t>b1</w:t>
      </w:r>
      <w:r w:rsidR="00543D25" w:rsidRPr="00543D25">
        <w:t>’</w:t>
      </w:r>
      <w:r w:rsidRPr="00543D25">
        <w:t xml:space="preserve"> are respondents who had a higher probability of giving the response option </w:t>
      </w:r>
      <w:r w:rsidR="00543D25" w:rsidRPr="00543D25">
        <w:t>‘</w:t>
      </w:r>
      <w:r w:rsidRPr="00543D25">
        <w:t>often</w:t>
      </w:r>
      <w:r w:rsidR="00543D25" w:rsidRPr="00543D25">
        <w:t>’</w:t>
      </w:r>
      <w:r w:rsidRPr="00543D25">
        <w:t xml:space="preserve"> rather than </w:t>
      </w:r>
      <w:r w:rsidR="00543D25" w:rsidRPr="00543D25">
        <w:t>‘</w:t>
      </w:r>
      <w:r w:rsidRPr="00543D25">
        <w:t>sometimes</w:t>
      </w:r>
      <w:r w:rsidR="00543D25" w:rsidRPr="00543D25">
        <w:t>’</w:t>
      </w:r>
      <w:r w:rsidRPr="00543D25">
        <w:t xml:space="preserve"> to a particular item, based on their level of household food insecurity (index score). To the right of </w:t>
      </w:r>
      <w:r w:rsidR="00543D25" w:rsidRPr="00543D25">
        <w:t>‘</w:t>
      </w:r>
      <w:r w:rsidRPr="00543D25">
        <w:t>b2</w:t>
      </w:r>
      <w:r w:rsidR="00543D25" w:rsidRPr="00543D25">
        <w:t>’</w:t>
      </w:r>
      <w:r w:rsidRPr="00543D25">
        <w:t xml:space="preserve"> are respondents who had a higher probability of responding </w:t>
      </w:r>
      <w:r w:rsidR="00543D25" w:rsidRPr="00543D25">
        <w:t>‘</w:t>
      </w:r>
      <w:r w:rsidRPr="00543D25">
        <w:t>never</w:t>
      </w:r>
      <w:r w:rsidR="00543D25" w:rsidRPr="00543D25">
        <w:t>’</w:t>
      </w:r>
      <w:r w:rsidRPr="00543D25">
        <w:t xml:space="preserve"> rather than </w:t>
      </w:r>
      <w:r w:rsidR="00543D25" w:rsidRPr="00543D25">
        <w:t>‘</w:t>
      </w:r>
      <w:r w:rsidRPr="00543D25">
        <w:t>sometimes</w:t>
      </w:r>
      <w:r w:rsidR="00543D25" w:rsidRPr="00543D25">
        <w:t>’</w:t>
      </w:r>
      <w:r w:rsidRPr="00543D25">
        <w:t xml:space="preserve">. Between </w:t>
      </w:r>
      <w:r w:rsidR="00543D25" w:rsidRPr="00543D25">
        <w:t>‘</w:t>
      </w:r>
      <w:r w:rsidRPr="00543D25">
        <w:t>b1</w:t>
      </w:r>
      <w:r w:rsidR="00543D25" w:rsidRPr="00543D25">
        <w:t>’</w:t>
      </w:r>
      <w:r w:rsidRPr="00543D25">
        <w:t xml:space="preserve"> and </w:t>
      </w:r>
      <w:r w:rsidR="00543D25" w:rsidRPr="00543D25">
        <w:t>‘</w:t>
      </w:r>
      <w:r w:rsidRPr="00543D25">
        <w:t>b2</w:t>
      </w:r>
      <w:r w:rsidR="00543D25" w:rsidRPr="00543D25">
        <w:t>’</w:t>
      </w:r>
      <w:r w:rsidRPr="00543D25">
        <w:t xml:space="preserve"> the most likely response was </w:t>
      </w:r>
      <w:r w:rsidR="00543D25" w:rsidRPr="00543D25">
        <w:t>‘</w:t>
      </w:r>
      <w:r w:rsidRPr="00543D25">
        <w:t>sometimes</w:t>
      </w:r>
      <w:r w:rsidR="00543D25" w:rsidRPr="00543D25">
        <w:t>’</w:t>
      </w:r>
      <w:r w:rsidRPr="00543D25">
        <w:t>. Actual values are presented in Table A2.1.</w:t>
      </w:r>
    </w:p>
    <w:p w:rsidR="00953FEC" w:rsidRDefault="00953FEC" w:rsidP="00953FEC"/>
    <w:p w:rsidR="00467321" w:rsidRPr="00543D25" w:rsidRDefault="00467321" w:rsidP="00953FEC">
      <w:r w:rsidRPr="00543D25">
        <w:t>These probabilities were averaged across the eight items, and the resulting index score of food insecurity at the intersection points was used to establish the thresholds for the overall questionnaire. Categorising households into groups with different levels of food security is useful for comparing food insecurity across different</w:t>
      </w:r>
      <w:r w:rsidR="00953FEC">
        <w:t xml:space="preserve"> </w:t>
      </w:r>
      <w:r w:rsidRPr="00543D25">
        <w:t>groups. However, it is important to keep in mind that the degree of food insecurity experienced by any household sits somewhere on a continuum, rather than in distinct categories.</w:t>
      </w:r>
    </w:p>
    <w:p w:rsidR="003119F5" w:rsidRDefault="003119F5" w:rsidP="00953FEC"/>
    <w:p w:rsidR="00467321" w:rsidRPr="00467321" w:rsidRDefault="00467321" w:rsidP="00953FEC">
      <w:pPr>
        <w:pStyle w:val="Table"/>
      </w:pPr>
      <w:bookmarkStart w:id="104" w:name="_bookmark44"/>
      <w:bookmarkStart w:id="105" w:name="_Toc5437204"/>
      <w:bookmarkEnd w:id="104"/>
      <w:r w:rsidRPr="00467321">
        <w:lastRenderedPageBreak/>
        <w:t>Table A2.1: Item response theory estimates, 2015/16</w:t>
      </w:r>
      <w:bookmarkEnd w:id="105"/>
    </w:p>
    <w:tbl>
      <w:tblPr>
        <w:tblW w:w="0" w:type="auto"/>
        <w:tblInd w:w="57" w:type="dxa"/>
        <w:tblBorders>
          <w:bottom w:val="single" w:sz="4" w:space="0" w:color="A7A9AC"/>
          <w:insideH w:val="single" w:sz="4" w:space="0" w:color="A7A9AC"/>
        </w:tblBorders>
        <w:tblLayout w:type="fixed"/>
        <w:tblCellMar>
          <w:left w:w="57" w:type="dxa"/>
          <w:right w:w="57" w:type="dxa"/>
        </w:tblCellMar>
        <w:tblLook w:val="01E0" w:firstRow="1" w:lastRow="1" w:firstColumn="1" w:lastColumn="1" w:noHBand="0" w:noVBand="0"/>
      </w:tblPr>
      <w:tblGrid>
        <w:gridCol w:w="675"/>
        <w:gridCol w:w="1077"/>
        <w:gridCol w:w="1020"/>
        <w:gridCol w:w="959"/>
      </w:tblGrid>
      <w:tr w:rsidR="00467321" w:rsidRPr="00953FEC" w:rsidTr="00953FEC">
        <w:trPr>
          <w:cantSplit/>
        </w:trPr>
        <w:tc>
          <w:tcPr>
            <w:tcW w:w="675" w:type="dxa"/>
            <w:tcBorders>
              <w:top w:val="nil"/>
              <w:bottom w:val="nil"/>
            </w:tcBorders>
            <w:shd w:val="clear" w:color="auto" w:fill="D9D9D9" w:themeFill="background1" w:themeFillShade="D9"/>
          </w:tcPr>
          <w:p w:rsidR="00467321" w:rsidRPr="00953FEC" w:rsidRDefault="00467321" w:rsidP="00953FEC">
            <w:pPr>
              <w:pStyle w:val="TableText"/>
              <w:keepNext/>
              <w:jc w:val="center"/>
              <w:rPr>
                <w:b/>
              </w:rPr>
            </w:pPr>
            <w:r w:rsidRPr="00953FEC">
              <w:rPr>
                <w:b/>
              </w:rPr>
              <w:t>Item</w:t>
            </w:r>
          </w:p>
        </w:tc>
        <w:tc>
          <w:tcPr>
            <w:tcW w:w="1077" w:type="dxa"/>
            <w:tcBorders>
              <w:top w:val="nil"/>
              <w:bottom w:val="nil"/>
            </w:tcBorders>
            <w:shd w:val="clear" w:color="auto" w:fill="D9D9D9" w:themeFill="background1" w:themeFillShade="D9"/>
          </w:tcPr>
          <w:p w:rsidR="00467321" w:rsidRPr="00953FEC" w:rsidRDefault="00467321" w:rsidP="00953FEC">
            <w:pPr>
              <w:pStyle w:val="TableText"/>
              <w:keepNext/>
              <w:jc w:val="center"/>
              <w:rPr>
                <w:b/>
              </w:rPr>
            </w:pPr>
            <w:r w:rsidRPr="00953FEC">
              <w:rPr>
                <w:b/>
              </w:rPr>
              <w:t>a</w:t>
            </w:r>
          </w:p>
        </w:tc>
        <w:tc>
          <w:tcPr>
            <w:tcW w:w="1020" w:type="dxa"/>
            <w:tcBorders>
              <w:top w:val="nil"/>
              <w:bottom w:val="nil"/>
            </w:tcBorders>
            <w:shd w:val="clear" w:color="auto" w:fill="D9D9D9" w:themeFill="background1" w:themeFillShade="D9"/>
          </w:tcPr>
          <w:p w:rsidR="00467321" w:rsidRPr="00953FEC" w:rsidRDefault="00467321" w:rsidP="00953FEC">
            <w:pPr>
              <w:pStyle w:val="TableText"/>
              <w:keepNext/>
              <w:jc w:val="center"/>
              <w:rPr>
                <w:b/>
              </w:rPr>
            </w:pPr>
            <w:r w:rsidRPr="00953FEC">
              <w:rPr>
                <w:b/>
              </w:rPr>
              <w:t>b1</w:t>
            </w:r>
          </w:p>
        </w:tc>
        <w:tc>
          <w:tcPr>
            <w:tcW w:w="959" w:type="dxa"/>
            <w:tcBorders>
              <w:top w:val="nil"/>
              <w:bottom w:val="nil"/>
            </w:tcBorders>
            <w:shd w:val="clear" w:color="auto" w:fill="D9D9D9" w:themeFill="background1" w:themeFillShade="D9"/>
          </w:tcPr>
          <w:p w:rsidR="00467321" w:rsidRPr="00953FEC" w:rsidRDefault="00467321" w:rsidP="00953FEC">
            <w:pPr>
              <w:pStyle w:val="TableText"/>
              <w:keepNext/>
              <w:jc w:val="center"/>
              <w:rPr>
                <w:b/>
              </w:rPr>
            </w:pPr>
            <w:r w:rsidRPr="00953FEC">
              <w:rPr>
                <w:b/>
              </w:rPr>
              <w:t>b2</w:t>
            </w:r>
          </w:p>
        </w:tc>
      </w:tr>
      <w:tr w:rsidR="00467321" w:rsidRPr="00467321" w:rsidTr="00953FEC">
        <w:trPr>
          <w:cantSplit/>
        </w:trPr>
        <w:tc>
          <w:tcPr>
            <w:tcW w:w="675" w:type="dxa"/>
            <w:tcBorders>
              <w:top w:val="nil"/>
            </w:tcBorders>
            <w:shd w:val="clear" w:color="auto" w:fill="auto"/>
          </w:tcPr>
          <w:p w:rsidR="00467321" w:rsidRPr="00543D25" w:rsidRDefault="00467321" w:rsidP="00953FEC">
            <w:pPr>
              <w:pStyle w:val="TableText"/>
              <w:keepNext/>
              <w:jc w:val="center"/>
            </w:pPr>
            <w:r w:rsidRPr="00543D25">
              <w:t>1</w:t>
            </w:r>
          </w:p>
        </w:tc>
        <w:tc>
          <w:tcPr>
            <w:tcW w:w="1077" w:type="dxa"/>
            <w:tcBorders>
              <w:top w:val="nil"/>
            </w:tcBorders>
            <w:shd w:val="clear" w:color="auto" w:fill="auto"/>
          </w:tcPr>
          <w:p w:rsidR="00467321" w:rsidRPr="00543D25" w:rsidRDefault="00467321" w:rsidP="00953FEC">
            <w:pPr>
              <w:pStyle w:val="TableText"/>
              <w:keepNext/>
              <w:jc w:val="center"/>
            </w:pPr>
            <w:r w:rsidRPr="00543D25">
              <w:t>3.31</w:t>
            </w:r>
          </w:p>
        </w:tc>
        <w:tc>
          <w:tcPr>
            <w:tcW w:w="1020" w:type="dxa"/>
            <w:tcBorders>
              <w:top w:val="nil"/>
            </w:tcBorders>
            <w:shd w:val="clear" w:color="auto" w:fill="auto"/>
          </w:tcPr>
          <w:p w:rsidR="00467321" w:rsidRPr="00543D25" w:rsidRDefault="00467321" w:rsidP="00953FEC">
            <w:pPr>
              <w:pStyle w:val="TableText"/>
              <w:keepNext/>
              <w:jc w:val="center"/>
            </w:pPr>
            <w:r w:rsidRPr="00543D25">
              <w:t>-2.38</w:t>
            </w:r>
          </w:p>
        </w:tc>
        <w:tc>
          <w:tcPr>
            <w:tcW w:w="959" w:type="dxa"/>
            <w:tcBorders>
              <w:top w:val="nil"/>
            </w:tcBorders>
            <w:shd w:val="clear" w:color="auto" w:fill="auto"/>
          </w:tcPr>
          <w:p w:rsidR="00467321" w:rsidRPr="00543D25" w:rsidRDefault="00467321" w:rsidP="00953FEC">
            <w:pPr>
              <w:pStyle w:val="TableText"/>
              <w:keepNext/>
              <w:jc w:val="center"/>
            </w:pPr>
            <w:r w:rsidRPr="00543D25">
              <w:t>-1.01</w:t>
            </w:r>
          </w:p>
        </w:tc>
      </w:tr>
      <w:tr w:rsidR="00467321" w:rsidRPr="00467321" w:rsidTr="00953FEC">
        <w:trPr>
          <w:cantSplit/>
        </w:trPr>
        <w:tc>
          <w:tcPr>
            <w:tcW w:w="675" w:type="dxa"/>
            <w:shd w:val="clear" w:color="auto" w:fill="auto"/>
          </w:tcPr>
          <w:p w:rsidR="00467321" w:rsidRPr="00543D25" w:rsidRDefault="00467321" w:rsidP="00953FEC">
            <w:pPr>
              <w:pStyle w:val="TableText"/>
              <w:keepNext/>
              <w:jc w:val="center"/>
            </w:pPr>
            <w:r w:rsidRPr="00543D25">
              <w:t>2</w:t>
            </w:r>
          </w:p>
        </w:tc>
        <w:tc>
          <w:tcPr>
            <w:tcW w:w="1077" w:type="dxa"/>
            <w:shd w:val="clear" w:color="auto" w:fill="auto"/>
          </w:tcPr>
          <w:p w:rsidR="00467321" w:rsidRPr="00543D25" w:rsidRDefault="00467321" w:rsidP="00953FEC">
            <w:pPr>
              <w:pStyle w:val="TableText"/>
              <w:keepNext/>
              <w:jc w:val="center"/>
            </w:pPr>
            <w:r w:rsidRPr="00543D25">
              <w:t>4.42</w:t>
            </w:r>
          </w:p>
        </w:tc>
        <w:tc>
          <w:tcPr>
            <w:tcW w:w="1020" w:type="dxa"/>
            <w:shd w:val="clear" w:color="auto" w:fill="auto"/>
          </w:tcPr>
          <w:p w:rsidR="00467321" w:rsidRPr="00543D25" w:rsidRDefault="00467321" w:rsidP="00953FEC">
            <w:pPr>
              <w:pStyle w:val="TableText"/>
              <w:keepNext/>
              <w:jc w:val="center"/>
            </w:pPr>
            <w:r w:rsidRPr="00543D25">
              <w:t>-1.77</w:t>
            </w:r>
          </w:p>
        </w:tc>
        <w:tc>
          <w:tcPr>
            <w:tcW w:w="959" w:type="dxa"/>
            <w:shd w:val="clear" w:color="auto" w:fill="auto"/>
          </w:tcPr>
          <w:p w:rsidR="00467321" w:rsidRPr="00543D25" w:rsidRDefault="00467321" w:rsidP="00953FEC">
            <w:pPr>
              <w:pStyle w:val="TableText"/>
              <w:keepNext/>
              <w:jc w:val="center"/>
            </w:pPr>
            <w:r w:rsidRPr="00543D25">
              <w:t>-0.89</w:t>
            </w:r>
          </w:p>
        </w:tc>
      </w:tr>
      <w:tr w:rsidR="00467321" w:rsidRPr="00467321" w:rsidTr="00953FEC">
        <w:trPr>
          <w:cantSplit/>
        </w:trPr>
        <w:tc>
          <w:tcPr>
            <w:tcW w:w="675" w:type="dxa"/>
            <w:shd w:val="clear" w:color="auto" w:fill="auto"/>
          </w:tcPr>
          <w:p w:rsidR="00467321" w:rsidRPr="00543D25" w:rsidRDefault="00467321" w:rsidP="00953FEC">
            <w:pPr>
              <w:pStyle w:val="TableText"/>
              <w:keepNext/>
              <w:jc w:val="center"/>
            </w:pPr>
            <w:r w:rsidRPr="00543D25">
              <w:t>3</w:t>
            </w:r>
          </w:p>
        </w:tc>
        <w:tc>
          <w:tcPr>
            <w:tcW w:w="1077" w:type="dxa"/>
            <w:shd w:val="clear" w:color="auto" w:fill="auto"/>
          </w:tcPr>
          <w:p w:rsidR="00467321" w:rsidRPr="00543D25" w:rsidRDefault="00467321" w:rsidP="00953FEC">
            <w:pPr>
              <w:pStyle w:val="TableText"/>
              <w:keepNext/>
              <w:jc w:val="center"/>
            </w:pPr>
            <w:r w:rsidRPr="00543D25">
              <w:t>5.37</w:t>
            </w:r>
          </w:p>
        </w:tc>
        <w:tc>
          <w:tcPr>
            <w:tcW w:w="1020" w:type="dxa"/>
            <w:shd w:val="clear" w:color="auto" w:fill="auto"/>
          </w:tcPr>
          <w:p w:rsidR="00467321" w:rsidRPr="00543D25" w:rsidRDefault="00467321" w:rsidP="00953FEC">
            <w:pPr>
              <w:pStyle w:val="TableText"/>
              <w:keepNext/>
              <w:jc w:val="center"/>
            </w:pPr>
            <w:r w:rsidRPr="00543D25">
              <w:t>-1.89</w:t>
            </w:r>
          </w:p>
        </w:tc>
        <w:tc>
          <w:tcPr>
            <w:tcW w:w="959" w:type="dxa"/>
            <w:shd w:val="clear" w:color="auto" w:fill="auto"/>
          </w:tcPr>
          <w:p w:rsidR="00467321" w:rsidRPr="00543D25" w:rsidRDefault="00467321" w:rsidP="00953FEC">
            <w:pPr>
              <w:pStyle w:val="TableText"/>
              <w:keepNext/>
              <w:jc w:val="center"/>
            </w:pPr>
            <w:r w:rsidRPr="00543D25">
              <w:t>-0.97</w:t>
            </w:r>
          </w:p>
        </w:tc>
      </w:tr>
      <w:tr w:rsidR="00467321" w:rsidRPr="00467321" w:rsidTr="00953FEC">
        <w:trPr>
          <w:cantSplit/>
        </w:trPr>
        <w:tc>
          <w:tcPr>
            <w:tcW w:w="675" w:type="dxa"/>
            <w:shd w:val="clear" w:color="auto" w:fill="auto"/>
          </w:tcPr>
          <w:p w:rsidR="00467321" w:rsidRPr="00543D25" w:rsidRDefault="00467321" w:rsidP="00953FEC">
            <w:pPr>
              <w:pStyle w:val="TableText"/>
              <w:jc w:val="center"/>
            </w:pPr>
            <w:r w:rsidRPr="00543D25">
              <w:t>4</w:t>
            </w:r>
          </w:p>
        </w:tc>
        <w:tc>
          <w:tcPr>
            <w:tcW w:w="1077" w:type="dxa"/>
            <w:shd w:val="clear" w:color="auto" w:fill="auto"/>
          </w:tcPr>
          <w:p w:rsidR="00467321" w:rsidRPr="00543D25" w:rsidRDefault="00467321" w:rsidP="00953FEC">
            <w:pPr>
              <w:pStyle w:val="TableText"/>
              <w:jc w:val="center"/>
            </w:pPr>
            <w:r w:rsidRPr="00543D25">
              <w:t>3.61</w:t>
            </w:r>
          </w:p>
        </w:tc>
        <w:tc>
          <w:tcPr>
            <w:tcW w:w="1020" w:type="dxa"/>
            <w:shd w:val="clear" w:color="auto" w:fill="auto"/>
          </w:tcPr>
          <w:p w:rsidR="00467321" w:rsidRPr="00543D25" w:rsidRDefault="00467321" w:rsidP="00953FEC">
            <w:pPr>
              <w:pStyle w:val="TableText"/>
              <w:jc w:val="center"/>
            </w:pPr>
            <w:r w:rsidRPr="00543D25">
              <w:t>-1.56</w:t>
            </w:r>
          </w:p>
        </w:tc>
        <w:tc>
          <w:tcPr>
            <w:tcW w:w="959" w:type="dxa"/>
            <w:shd w:val="clear" w:color="auto" w:fill="auto"/>
          </w:tcPr>
          <w:p w:rsidR="00467321" w:rsidRPr="00543D25" w:rsidRDefault="00467321" w:rsidP="00953FEC">
            <w:pPr>
              <w:pStyle w:val="TableText"/>
              <w:jc w:val="center"/>
            </w:pPr>
            <w:r w:rsidRPr="00543D25">
              <w:t>-0.61</w:t>
            </w:r>
          </w:p>
        </w:tc>
      </w:tr>
      <w:tr w:rsidR="00467321" w:rsidRPr="00467321" w:rsidTr="00953FEC">
        <w:trPr>
          <w:cantSplit/>
        </w:trPr>
        <w:tc>
          <w:tcPr>
            <w:tcW w:w="675" w:type="dxa"/>
            <w:shd w:val="clear" w:color="auto" w:fill="auto"/>
          </w:tcPr>
          <w:p w:rsidR="00467321" w:rsidRPr="00543D25" w:rsidRDefault="00467321" w:rsidP="00953FEC">
            <w:pPr>
              <w:pStyle w:val="TableText"/>
              <w:jc w:val="center"/>
            </w:pPr>
            <w:r w:rsidRPr="00543D25">
              <w:t>5</w:t>
            </w:r>
          </w:p>
        </w:tc>
        <w:tc>
          <w:tcPr>
            <w:tcW w:w="1077" w:type="dxa"/>
            <w:shd w:val="clear" w:color="auto" w:fill="auto"/>
          </w:tcPr>
          <w:p w:rsidR="00467321" w:rsidRPr="00543D25" w:rsidRDefault="00467321" w:rsidP="00953FEC">
            <w:pPr>
              <w:pStyle w:val="TableText"/>
              <w:jc w:val="center"/>
            </w:pPr>
            <w:r w:rsidRPr="00543D25">
              <w:t>3.04</w:t>
            </w:r>
          </w:p>
        </w:tc>
        <w:tc>
          <w:tcPr>
            <w:tcW w:w="1020" w:type="dxa"/>
            <w:shd w:val="clear" w:color="auto" w:fill="auto"/>
          </w:tcPr>
          <w:p w:rsidR="00467321" w:rsidRPr="00543D25" w:rsidRDefault="00467321" w:rsidP="00953FEC">
            <w:pPr>
              <w:pStyle w:val="TableText"/>
              <w:jc w:val="center"/>
            </w:pPr>
            <w:r w:rsidRPr="00543D25">
              <w:t>-2.11</w:t>
            </w:r>
          </w:p>
        </w:tc>
        <w:tc>
          <w:tcPr>
            <w:tcW w:w="959" w:type="dxa"/>
            <w:shd w:val="clear" w:color="auto" w:fill="auto"/>
          </w:tcPr>
          <w:p w:rsidR="00467321" w:rsidRPr="00543D25" w:rsidRDefault="00467321" w:rsidP="00953FEC">
            <w:pPr>
              <w:pStyle w:val="TableText"/>
              <w:jc w:val="center"/>
            </w:pPr>
            <w:r w:rsidRPr="00543D25">
              <w:t>-1.38</w:t>
            </w:r>
          </w:p>
        </w:tc>
      </w:tr>
      <w:tr w:rsidR="00467321" w:rsidRPr="00467321" w:rsidTr="00953FEC">
        <w:trPr>
          <w:cantSplit/>
        </w:trPr>
        <w:tc>
          <w:tcPr>
            <w:tcW w:w="675" w:type="dxa"/>
            <w:shd w:val="clear" w:color="auto" w:fill="auto"/>
          </w:tcPr>
          <w:p w:rsidR="00467321" w:rsidRPr="00543D25" w:rsidRDefault="00467321" w:rsidP="00953FEC">
            <w:pPr>
              <w:pStyle w:val="TableText"/>
              <w:jc w:val="center"/>
            </w:pPr>
            <w:r w:rsidRPr="00543D25">
              <w:t>6</w:t>
            </w:r>
          </w:p>
        </w:tc>
        <w:tc>
          <w:tcPr>
            <w:tcW w:w="1077" w:type="dxa"/>
            <w:shd w:val="clear" w:color="auto" w:fill="auto"/>
          </w:tcPr>
          <w:p w:rsidR="00467321" w:rsidRPr="00543D25" w:rsidRDefault="00467321" w:rsidP="00953FEC">
            <w:pPr>
              <w:pStyle w:val="TableText"/>
              <w:jc w:val="center"/>
            </w:pPr>
            <w:r w:rsidRPr="00543D25">
              <w:t>2.60</w:t>
            </w:r>
          </w:p>
        </w:tc>
        <w:tc>
          <w:tcPr>
            <w:tcW w:w="1020" w:type="dxa"/>
            <w:shd w:val="clear" w:color="auto" w:fill="auto"/>
          </w:tcPr>
          <w:p w:rsidR="00467321" w:rsidRPr="00543D25" w:rsidRDefault="00467321" w:rsidP="00953FEC">
            <w:pPr>
              <w:pStyle w:val="TableText"/>
              <w:jc w:val="center"/>
            </w:pPr>
            <w:r w:rsidRPr="00543D25">
              <w:t>-2.45</w:t>
            </w:r>
          </w:p>
        </w:tc>
        <w:tc>
          <w:tcPr>
            <w:tcW w:w="959" w:type="dxa"/>
            <w:shd w:val="clear" w:color="auto" w:fill="auto"/>
          </w:tcPr>
          <w:p w:rsidR="00467321" w:rsidRPr="00543D25" w:rsidRDefault="00467321" w:rsidP="00953FEC">
            <w:pPr>
              <w:pStyle w:val="TableText"/>
              <w:jc w:val="center"/>
            </w:pPr>
            <w:r w:rsidRPr="00543D25">
              <w:t>-1.54</w:t>
            </w:r>
          </w:p>
        </w:tc>
      </w:tr>
      <w:tr w:rsidR="00467321" w:rsidRPr="00467321" w:rsidTr="00953FEC">
        <w:trPr>
          <w:cantSplit/>
        </w:trPr>
        <w:tc>
          <w:tcPr>
            <w:tcW w:w="675" w:type="dxa"/>
            <w:shd w:val="clear" w:color="auto" w:fill="auto"/>
          </w:tcPr>
          <w:p w:rsidR="00467321" w:rsidRPr="00543D25" w:rsidRDefault="00467321" w:rsidP="00953FEC">
            <w:pPr>
              <w:pStyle w:val="TableText"/>
              <w:jc w:val="center"/>
            </w:pPr>
            <w:r w:rsidRPr="00543D25">
              <w:t>7</w:t>
            </w:r>
          </w:p>
        </w:tc>
        <w:tc>
          <w:tcPr>
            <w:tcW w:w="1077" w:type="dxa"/>
            <w:shd w:val="clear" w:color="auto" w:fill="auto"/>
          </w:tcPr>
          <w:p w:rsidR="00467321" w:rsidRPr="00543D25" w:rsidRDefault="00467321" w:rsidP="00953FEC">
            <w:pPr>
              <w:pStyle w:val="TableText"/>
              <w:jc w:val="center"/>
            </w:pPr>
            <w:r w:rsidRPr="00543D25">
              <w:t>4.71</w:t>
            </w:r>
          </w:p>
        </w:tc>
        <w:tc>
          <w:tcPr>
            <w:tcW w:w="1020" w:type="dxa"/>
            <w:shd w:val="clear" w:color="auto" w:fill="auto"/>
          </w:tcPr>
          <w:p w:rsidR="00467321" w:rsidRPr="00543D25" w:rsidRDefault="00467321" w:rsidP="00953FEC">
            <w:pPr>
              <w:pStyle w:val="TableText"/>
              <w:jc w:val="center"/>
            </w:pPr>
            <w:r w:rsidRPr="00543D25">
              <w:t>-1.66</w:t>
            </w:r>
          </w:p>
        </w:tc>
        <w:tc>
          <w:tcPr>
            <w:tcW w:w="959" w:type="dxa"/>
            <w:shd w:val="clear" w:color="auto" w:fill="auto"/>
          </w:tcPr>
          <w:p w:rsidR="00467321" w:rsidRPr="00543D25" w:rsidRDefault="00467321" w:rsidP="00953FEC">
            <w:pPr>
              <w:pStyle w:val="TableText"/>
              <w:jc w:val="center"/>
            </w:pPr>
            <w:r w:rsidRPr="00543D25">
              <w:t>-0.89</w:t>
            </w:r>
          </w:p>
        </w:tc>
      </w:tr>
      <w:tr w:rsidR="00467321" w:rsidRPr="00467321" w:rsidTr="00953FEC">
        <w:trPr>
          <w:cantSplit/>
        </w:trPr>
        <w:tc>
          <w:tcPr>
            <w:tcW w:w="675" w:type="dxa"/>
            <w:shd w:val="clear" w:color="auto" w:fill="auto"/>
          </w:tcPr>
          <w:p w:rsidR="00467321" w:rsidRPr="00543D25" w:rsidRDefault="00467321" w:rsidP="00953FEC">
            <w:pPr>
              <w:pStyle w:val="TableText"/>
              <w:jc w:val="center"/>
            </w:pPr>
            <w:r w:rsidRPr="00543D25">
              <w:t>8</w:t>
            </w:r>
          </w:p>
        </w:tc>
        <w:tc>
          <w:tcPr>
            <w:tcW w:w="1077" w:type="dxa"/>
            <w:shd w:val="clear" w:color="auto" w:fill="auto"/>
          </w:tcPr>
          <w:p w:rsidR="00467321" w:rsidRPr="00543D25" w:rsidRDefault="00467321" w:rsidP="00953FEC">
            <w:pPr>
              <w:pStyle w:val="TableText"/>
              <w:jc w:val="center"/>
            </w:pPr>
            <w:r w:rsidRPr="00543D25">
              <w:t>3.18</w:t>
            </w:r>
          </w:p>
        </w:tc>
        <w:tc>
          <w:tcPr>
            <w:tcW w:w="1020" w:type="dxa"/>
            <w:shd w:val="clear" w:color="auto" w:fill="auto"/>
          </w:tcPr>
          <w:p w:rsidR="00467321" w:rsidRPr="00543D25" w:rsidRDefault="00467321" w:rsidP="00953FEC">
            <w:pPr>
              <w:pStyle w:val="TableText"/>
              <w:jc w:val="center"/>
            </w:pPr>
            <w:r w:rsidRPr="00543D25">
              <w:t>-2.02</w:t>
            </w:r>
          </w:p>
        </w:tc>
        <w:tc>
          <w:tcPr>
            <w:tcW w:w="959" w:type="dxa"/>
            <w:shd w:val="clear" w:color="auto" w:fill="auto"/>
          </w:tcPr>
          <w:p w:rsidR="00467321" w:rsidRPr="00543D25" w:rsidRDefault="00467321" w:rsidP="00953FEC">
            <w:pPr>
              <w:pStyle w:val="TableText"/>
              <w:jc w:val="center"/>
            </w:pPr>
            <w:r w:rsidRPr="00543D25">
              <w:t>-1.11</w:t>
            </w:r>
          </w:p>
        </w:tc>
      </w:tr>
    </w:tbl>
    <w:p w:rsidR="00467321" w:rsidRPr="00467321" w:rsidRDefault="00467321" w:rsidP="00953FEC">
      <w:pPr>
        <w:pStyle w:val="Note"/>
      </w:pPr>
      <w:r w:rsidRPr="00467321">
        <w:t xml:space="preserve">Note: a is the discriminatory ability; b1 is the intersection point between the probability of the response selection of </w:t>
      </w:r>
      <w:r w:rsidR="00543D25">
        <w:t>‘</w:t>
      </w:r>
      <w:r w:rsidRPr="00467321">
        <w:t>often</w:t>
      </w:r>
      <w:r w:rsidR="00543D25">
        <w:t>’</w:t>
      </w:r>
      <w:r w:rsidRPr="00467321">
        <w:t xml:space="preserve"> over </w:t>
      </w:r>
      <w:r w:rsidR="00543D25">
        <w:t>‘</w:t>
      </w:r>
      <w:r w:rsidRPr="00467321">
        <w:t>sometimes</w:t>
      </w:r>
      <w:r w:rsidR="00543D25">
        <w:t>’</w:t>
      </w:r>
      <w:r w:rsidRPr="00467321">
        <w:t xml:space="preserve">; and b2 is the intersection point between the probability of response selection of </w:t>
      </w:r>
      <w:r w:rsidR="00543D25">
        <w:t>‘</w:t>
      </w:r>
      <w:r w:rsidRPr="00467321">
        <w:t>sometimes</w:t>
      </w:r>
      <w:r w:rsidR="00543D25">
        <w:t>’</w:t>
      </w:r>
      <w:r w:rsidRPr="00467321">
        <w:t xml:space="preserve"> over </w:t>
      </w:r>
      <w:r w:rsidR="00543D25">
        <w:t>‘</w:t>
      </w:r>
      <w:r w:rsidRPr="00467321">
        <w:t>never</w:t>
      </w:r>
      <w:r w:rsidR="00543D25">
        <w:t>’</w:t>
      </w:r>
      <w:r w:rsidRPr="00467321">
        <w:t>.</w:t>
      </w:r>
    </w:p>
    <w:p w:rsidR="00953FEC" w:rsidRDefault="00953FEC" w:rsidP="00953FEC"/>
    <w:p w:rsidR="00467321" w:rsidRPr="00543D25" w:rsidRDefault="00467321" w:rsidP="00953FEC">
      <w:r w:rsidRPr="00543D25">
        <w:t>Figure A2.2 shows these thresholds for the overall questionnaire (red lines). Based on a threshold of index score smaller than -1.91, an estimated 1.6 percent of children were in households facing severe food insecurity. Approximately 19 percent of children were in households experiencing severe to moderate food insecurity (index score smaller than -1.01). Below the moderate threshold, around 19 percent of caregivers still provided an indication of food insecurity on at least one of the items (aggregate food insecurity index of larger than or equal to -1.01 and smaller than -.19).</w:t>
      </w:r>
    </w:p>
    <w:p w:rsidR="00467321" w:rsidRPr="00543D25" w:rsidRDefault="00467321" w:rsidP="00953FEC"/>
    <w:p w:rsidR="00467321" w:rsidRDefault="00467321" w:rsidP="00953FEC">
      <w:pPr>
        <w:pStyle w:val="Figure"/>
      </w:pPr>
      <w:bookmarkStart w:id="106" w:name="_Toc5437145"/>
      <w:r w:rsidRPr="00467321">
        <w:t>Figure A2.2: Distribution of the food insecurity index across all children aged 0–14, 2015/16</w:t>
      </w:r>
      <w:bookmarkEnd w:id="106"/>
    </w:p>
    <w:p w:rsidR="00953FEC" w:rsidRDefault="00953FEC" w:rsidP="00953FEC">
      <w:r w:rsidRPr="00953FEC">
        <w:rPr>
          <w:noProof/>
          <w:lang w:eastAsia="en-NZ"/>
        </w:rPr>
        <w:drawing>
          <wp:inline distT="0" distB="0" distL="0" distR="0" wp14:anchorId="18D638F0" wp14:editId="6D530EA6">
            <wp:extent cx="5130165" cy="3023290"/>
            <wp:effectExtent l="0" t="0" r="0" b="5715"/>
            <wp:docPr id="75" name="Picture 75" title="Figure A2.2: Distribution of the food insecurity index across all children aged 0–14,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3023290"/>
                    </a:xfrm>
                    <a:prstGeom prst="rect">
                      <a:avLst/>
                    </a:prstGeom>
                  </pic:spPr>
                </pic:pic>
              </a:graphicData>
            </a:graphic>
          </wp:inline>
        </w:drawing>
      </w:r>
    </w:p>
    <w:p w:rsidR="00953FEC" w:rsidRPr="00953FEC" w:rsidRDefault="00953FEC" w:rsidP="00953FEC"/>
    <w:p w:rsidR="00F30DA8" w:rsidRDefault="00F30DA8" w:rsidP="0030569E">
      <w:pPr>
        <w:pStyle w:val="Heading1"/>
        <w:sectPr w:rsidR="00F30DA8" w:rsidSect="001F54FD">
          <w:footerReference w:type="even" r:id="rId67"/>
          <w:footerReference w:type="default" r:id="rId68"/>
          <w:pgSz w:w="11907" w:h="16834" w:code="9"/>
          <w:pgMar w:top="1418" w:right="1701" w:bottom="1134" w:left="1843" w:header="284" w:footer="425" w:gutter="284"/>
          <w:pgNumType w:start="1"/>
          <w:cols w:space="720"/>
          <w:docGrid w:linePitch="286"/>
        </w:sectPr>
      </w:pPr>
      <w:bookmarkStart w:id="107" w:name="_bookmark45"/>
      <w:bookmarkStart w:id="108" w:name="_Toc5437086"/>
      <w:bookmarkEnd w:id="107"/>
    </w:p>
    <w:p w:rsidR="00467321" w:rsidRPr="00467321" w:rsidRDefault="00467321" w:rsidP="0030569E">
      <w:pPr>
        <w:pStyle w:val="Heading1"/>
      </w:pPr>
      <w:r w:rsidRPr="00467321">
        <w:lastRenderedPageBreak/>
        <w:t>Appendix 3:</w:t>
      </w:r>
      <w:r w:rsidR="00A73968">
        <w:t xml:space="preserve"> </w:t>
      </w:r>
      <w:r w:rsidRPr="00467321">
        <w:t>Definition of key variables used in the analysis</w:t>
      </w:r>
      <w:bookmarkEnd w:id="108"/>
    </w:p>
    <w:p w:rsidR="00467321" w:rsidRPr="00467321" w:rsidRDefault="00467321" w:rsidP="00F30DA8">
      <w:pPr>
        <w:pStyle w:val="Table"/>
      </w:pPr>
      <w:bookmarkStart w:id="109" w:name="_Toc5437205"/>
      <w:r w:rsidRPr="00467321">
        <w:t>Table A3.1: New Zealand Health Survey variables</w:t>
      </w:r>
      <w:bookmarkEnd w:id="109"/>
    </w:p>
    <w:tbl>
      <w:tblPr>
        <w:tblW w:w="1460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6946"/>
        <w:gridCol w:w="5387"/>
      </w:tblGrid>
      <w:tr w:rsidR="00467321" w:rsidRPr="00076708" w:rsidTr="00F30DA8">
        <w:trPr>
          <w:cantSplit/>
          <w:tblHeader/>
        </w:trPr>
        <w:tc>
          <w:tcPr>
            <w:tcW w:w="2268" w:type="dxa"/>
            <w:tcBorders>
              <w:top w:val="nil"/>
              <w:bottom w:val="nil"/>
            </w:tcBorders>
            <w:shd w:val="clear" w:color="auto" w:fill="D9D9D9" w:themeFill="background1" w:themeFillShade="D9"/>
          </w:tcPr>
          <w:p w:rsidR="00467321" w:rsidRPr="00076708" w:rsidRDefault="00467321" w:rsidP="00076708">
            <w:pPr>
              <w:pStyle w:val="TableText"/>
              <w:rPr>
                <w:b/>
              </w:rPr>
            </w:pPr>
            <w:r w:rsidRPr="00076708">
              <w:rPr>
                <w:b/>
              </w:rPr>
              <w:t>Variable</w:t>
            </w:r>
          </w:p>
        </w:tc>
        <w:tc>
          <w:tcPr>
            <w:tcW w:w="6946" w:type="dxa"/>
            <w:tcBorders>
              <w:top w:val="nil"/>
              <w:bottom w:val="nil"/>
            </w:tcBorders>
            <w:shd w:val="clear" w:color="auto" w:fill="D9D9D9" w:themeFill="background1" w:themeFillShade="D9"/>
          </w:tcPr>
          <w:p w:rsidR="00467321" w:rsidRPr="00076708" w:rsidRDefault="00467321" w:rsidP="00900BD5">
            <w:pPr>
              <w:pStyle w:val="TableText"/>
              <w:ind w:right="113"/>
              <w:rPr>
                <w:b/>
              </w:rPr>
            </w:pPr>
            <w:r w:rsidRPr="00076708">
              <w:rPr>
                <w:b/>
              </w:rPr>
              <w:t>Description</w:t>
            </w:r>
          </w:p>
        </w:tc>
        <w:tc>
          <w:tcPr>
            <w:tcW w:w="5387" w:type="dxa"/>
            <w:tcBorders>
              <w:top w:val="nil"/>
              <w:bottom w:val="nil"/>
            </w:tcBorders>
            <w:shd w:val="clear" w:color="auto" w:fill="D9D9D9" w:themeFill="background1" w:themeFillShade="D9"/>
          </w:tcPr>
          <w:p w:rsidR="00467321" w:rsidRPr="00076708" w:rsidRDefault="00467321" w:rsidP="00076708">
            <w:pPr>
              <w:pStyle w:val="TableText"/>
              <w:rPr>
                <w:b/>
              </w:rPr>
            </w:pPr>
            <w:r w:rsidRPr="00076708">
              <w:rPr>
                <w:b/>
              </w:rPr>
              <w:t>Question</w:t>
            </w:r>
          </w:p>
        </w:tc>
      </w:tr>
      <w:tr w:rsidR="00467321" w:rsidRPr="00467321" w:rsidTr="00F30DA8">
        <w:trPr>
          <w:cantSplit/>
        </w:trPr>
        <w:tc>
          <w:tcPr>
            <w:tcW w:w="2268" w:type="dxa"/>
            <w:tcBorders>
              <w:top w:val="nil"/>
            </w:tcBorders>
            <w:shd w:val="clear" w:color="auto" w:fill="auto"/>
          </w:tcPr>
          <w:p w:rsidR="00467321" w:rsidRPr="00543D25" w:rsidRDefault="00467321" w:rsidP="00076708">
            <w:pPr>
              <w:pStyle w:val="TableText"/>
            </w:pPr>
            <w:r w:rsidRPr="00543D25">
              <w:t>Neighbourhood deprivation</w:t>
            </w:r>
          </w:p>
        </w:tc>
        <w:tc>
          <w:tcPr>
            <w:tcW w:w="6946" w:type="dxa"/>
            <w:tcBorders>
              <w:top w:val="nil"/>
            </w:tcBorders>
            <w:shd w:val="clear" w:color="auto" w:fill="auto"/>
          </w:tcPr>
          <w:p w:rsidR="00467321" w:rsidRPr="00543D25" w:rsidRDefault="00467321" w:rsidP="00900BD5">
            <w:pPr>
              <w:pStyle w:val="TableText"/>
              <w:ind w:right="113"/>
            </w:pPr>
            <w:r w:rsidRPr="00543D25">
              <w:t>Measured using the NZDep2013, which measures the level of socioeconomic deprivation for each neighbourhood according to a combination of the following 2013 Census variables: income, benefit receipt, transport (access to car), household crowding, home ownership, employment status, qualifications, sole-parent families, and access to the internet (or telephone for those 65+). Neighbourhoods</w:t>
            </w:r>
            <w:r w:rsidR="00300068">
              <w:t xml:space="preserve"> </w:t>
            </w:r>
            <w:r w:rsidRPr="00543D25">
              <w:t>are groupings of meshblocks used as primary sampling units for the survey. This report uses NZDep2013 quintiles, where quintile 1 represents the 20 percent of small areas with the lowest levels of deprivation (the least deprived areas) and quintile 5 represents the 20 percent of small areas with the</w:t>
            </w:r>
            <w:r w:rsidR="00300068">
              <w:t xml:space="preserve"> </w:t>
            </w:r>
            <w:r w:rsidRPr="00543D25">
              <w:t>highest level of deprivation (the most deprived areas). A small number of meshblocks do not have a value for NZDep2013.</w:t>
            </w:r>
            <w:r w:rsidR="00300068">
              <w:t xml:space="preserve"> </w:t>
            </w:r>
            <w:r w:rsidRPr="00543D25">
              <w:t>If a respondent in the New Zealand Health Survey selects any of these meshblocks, they are assigned to quintile 3 (ie, the middle quintile) for weighting and analysis purposes</w:t>
            </w:r>
          </w:p>
        </w:tc>
        <w:tc>
          <w:tcPr>
            <w:tcW w:w="5387" w:type="dxa"/>
            <w:tcBorders>
              <w:top w:val="nil"/>
            </w:tcBorders>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076708">
            <w:pPr>
              <w:pStyle w:val="TableText"/>
            </w:pPr>
            <w:r w:rsidRPr="00543D25">
              <w:t>Household income</w:t>
            </w:r>
          </w:p>
        </w:tc>
        <w:tc>
          <w:tcPr>
            <w:tcW w:w="6946" w:type="dxa"/>
            <w:shd w:val="clear" w:color="auto" w:fill="auto"/>
          </w:tcPr>
          <w:p w:rsidR="00467321" w:rsidRPr="00543D25" w:rsidRDefault="00467321" w:rsidP="00900BD5">
            <w:pPr>
              <w:pStyle w:val="TableText"/>
              <w:ind w:right="113"/>
            </w:pPr>
            <w:r w:rsidRPr="00543D25">
              <w:t>Based on self-reported response to the household income question. In some cases there was a response to this question in both the adult and child version of the health survey.</w:t>
            </w:r>
            <w:r w:rsidR="00900BD5">
              <w:t xml:space="preserve"> </w:t>
            </w:r>
            <w:r w:rsidRPr="00543D25">
              <w:t>In these cases, the response to the adult questionnaire was selected</w:t>
            </w:r>
          </w:p>
        </w:tc>
        <w:tc>
          <w:tcPr>
            <w:tcW w:w="5387" w:type="dxa"/>
            <w:shd w:val="clear" w:color="auto" w:fill="auto"/>
          </w:tcPr>
          <w:p w:rsidR="00467321" w:rsidRPr="00543D25" w:rsidRDefault="00467321" w:rsidP="00900BD5">
            <w:pPr>
              <w:pStyle w:val="TableText"/>
              <w:spacing w:after="0"/>
            </w:pPr>
            <w:r w:rsidRPr="00543D25">
              <w:t>What is the total income that your household got from all sources, before tax or anything was taken out of it, in the last 12 months?</w:t>
            </w:r>
          </w:p>
          <w:p w:rsidR="00467321" w:rsidRPr="00543D25" w:rsidRDefault="00900BD5" w:rsidP="00900BD5">
            <w:pPr>
              <w:pStyle w:val="TableText"/>
              <w:spacing w:before="0" w:after="0"/>
              <w:ind w:left="284" w:hanging="284"/>
            </w:pPr>
            <w:r>
              <w:t>1</w:t>
            </w:r>
            <w:r>
              <w:tab/>
            </w:r>
            <w:r w:rsidR="00467321" w:rsidRPr="00543D25">
              <w:t>Loss</w:t>
            </w:r>
          </w:p>
          <w:p w:rsidR="00900BD5" w:rsidRDefault="00900BD5" w:rsidP="00900BD5">
            <w:pPr>
              <w:pStyle w:val="TableText"/>
              <w:spacing w:before="0" w:after="0"/>
              <w:ind w:left="284" w:hanging="284"/>
            </w:pPr>
            <w:r>
              <w:t>2</w:t>
            </w:r>
            <w:r>
              <w:tab/>
            </w:r>
            <w:r w:rsidR="00467321" w:rsidRPr="00543D25">
              <w:t>Zero income</w:t>
            </w:r>
          </w:p>
          <w:p w:rsidR="00467321" w:rsidRPr="00543D25" w:rsidRDefault="00467321" w:rsidP="00900BD5">
            <w:pPr>
              <w:pStyle w:val="TableText"/>
              <w:spacing w:before="0" w:after="0"/>
              <w:ind w:left="284" w:hanging="284"/>
            </w:pPr>
            <w:r w:rsidRPr="00543D25">
              <w:t>3</w:t>
            </w:r>
            <w:r w:rsidRPr="00543D25">
              <w:tab/>
              <w:t>$1–$20,000</w:t>
            </w:r>
          </w:p>
          <w:p w:rsidR="00467321" w:rsidRPr="00543D25" w:rsidRDefault="00467321" w:rsidP="00900BD5">
            <w:pPr>
              <w:pStyle w:val="TableText"/>
              <w:spacing w:before="0" w:after="0"/>
              <w:ind w:left="284" w:hanging="284"/>
            </w:pPr>
            <w:r w:rsidRPr="00543D25">
              <w:t>4</w:t>
            </w:r>
            <w:r w:rsidRPr="00543D25">
              <w:tab/>
              <w:t>$20,001–$30,000</w:t>
            </w:r>
          </w:p>
          <w:p w:rsidR="00467321" w:rsidRPr="00543D25" w:rsidRDefault="00467321" w:rsidP="00900BD5">
            <w:pPr>
              <w:pStyle w:val="TableText"/>
              <w:spacing w:before="0" w:after="0"/>
              <w:ind w:left="284" w:hanging="284"/>
            </w:pPr>
            <w:r w:rsidRPr="00543D25">
              <w:t>5</w:t>
            </w:r>
            <w:r w:rsidRPr="00543D25">
              <w:tab/>
              <w:t>$30,001–$50,000</w:t>
            </w:r>
          </w:p>
          <w:p w:rsidR="00467321" w:rsidRPr="00543D25" w:rsidRDefault="00467321" w:rsidP="00900BD5">
            <w:pPr>
              <w:pStyle w:val="TableText"/>
              <w:spacing w:before="0" w:after="0"/>
              <w:ind w:left="284" w:hanging="284"/>
            </w:pPr>
            <w:r w:rsidRPr="00543D25">
              <w:t>6</w:t>
            </w:r>
            <w:r w:rsidRPr="00543D25">
              <w:tab/>
              <w:t>$50,001–$70,000</w:t>
            </w:r>
          </w:p>
          <w:p w:rsidR="00467321" w:rsidRPr="00543D25" w:rsidRDefault="00467321" w:rsidP="00900BD5">
            <w:pPr>
              <w:pStyle w:val="TableText"/>
              <w:spacing w:before="0" w:after="0"/>
              <w:ind w:left="284" w:hanging="284"/>
            </w:pPr>
            <w:r w:rsidRPr="00543D25">
              <w:t>7</w:t>
            </w:r>
            <w:r w:rsidRPr="00543D25">
              <w:tab/>
              <w:t>$70,001–$100,000</w:t>
            </w:r>
          </w:p>
          <w:p w:rsidR="00467321" w:rsidRPr="00543D25" w:rsidRDefault="00467321" w:rsidP="00900BD5">
            <w:pPr>
              <w:pStyle w:val="TableText"/>
              <w:spacing w:before="0"/>
              <w:ind w:left="284" w:hanging="284"/>
            </w:pPr>
            <w:r w:rsidRPr="00543D25">
              <w:t>8</w:t>
            </w:r>
            <w:r w:rsidRPr="00543D25">
              <w:tab/>
              <w:t>$100,001 or more</w:t>
            </w:r>
          </w:p>
        </w:tc>
      </w:tr>
      <w:tr w:rsidR="00467321" w:rsidRPr="00467321" w:rsidTr="00F30DA8">
        <w:trPr>
          <w:cantSplit/>
        </w:trPr>
        <w:tc>
          <w:tcPr>
            <w:tcW w:w="2268" w:type="dxa"/>
            <w:shd w:val="clear" w:color="auto" w:fill="auto"/>
          </w:tcPr>
          <w:p w:rsidR="00467321" w:rsidRPr="00543D25" w:rsidRDefault="00467321" w:rsidP="00900BD5">
            <w:pPr>
              <w:pStyle w:val="TableText"/>
            </w:pPr>
            <w:r w:rsidRPr="00543D25">
              <w:lastRenderedPageBreak/>
              <w:t>Caregiver benefit</w:t>
            </w:r>
            <w:r w:rsidR="00900BD5">
              <w:t xml:space="preserve"> </w:t>
            </w:r>
            <w:r w:rsidRPr="00543D25">
              <w:t>receipt</w:t>
            </w:r>
          </w:p>
        </w:tc>
        <w:tc>
          <w:tcPr>
            <w:tcW w:w="6946" w:type="dxa"/>
            <w:shd w:val="clear" w:color="auto" w:fill="auto"/>
          </w:tcPr>
          <w:p w:rsidR="00467321" w:rsidRPr="00543D25" w:rsidRDefault="00467321" w:rsidP="00900BD5">
            <w:pPr>
              <w:pStyle w:val="TableText"/>
              <w:ind w:right="113"/>
            </w:pPr>
            <w:r w:rsidRPr="00543D25">
              <w:t>Based on the response to a question from the adult questionnaire on sources of income. This question was only asked in the adult</w:t>
            </w:r>
            <w:r w:rsidR="00900BD5">
              <w:t xml:space="preserve"> </w:t>
            </w:r>
            <w:r w:rsidRPr="00543D25">
              <w:t>survey, and hence responses were only used if the primary caregiver completing the child questionnaire was also the adult questionnaire respondent. A</w:t>
            </w:r>
            <w:r w:rsidR="00900BD5">
              <w:t> </w:t>
            </w:r>
            <w:r w:rsidRPr="00543D25">
              <w:t>separate set of survey weights were used to ensure the results were still representative of the New Zealand child population.</w:t>
            </w:r>
          </w:p>
          <w:p w:rsidR="00467321" w:rsidRPr="00543D25" w:rsidRDefault="00467321" w:rsidP="00900BD5">
            <w:pPr>
              <w:pStyle w:val="TableText"/>
              <w:spacing w:after="0"/>
              <w:ind w:right="113"/>
            </w:pPr>
            <w:r w:rsidRPr="00543D25">
              <w:t>A caregiver was considered on the benefit if selecting one of the</w:t>
            </w:r>
            <w:r w:rsidR="00543D25" w:rsidRPr="00543D25">
              <w:t xml:space="preserve"> </w:t>
            </w:r>
            <w:r w:rsidRPr="00543D25">
              <w:t>following options:</w:t>
            </w:r>
          </w:p>
          <w:p w:rsidR="00900BD5" w:rsidRDefault="00467321" w:rsidP="00900BD5">
            <w:pPr>
              <w:pStyle w:val="TableText"/>
              <w:spacing w:before="0" w:after="0"/>
              <w:ind w:left="284" w:right="113" w:hanging="284"/>
            </w:pPr>
            <w:r w:rsidRPr="00543D25">
              <w:t>7</w:t>
            </w:r>
            <w:r w:rsidR="00900BD5">
              <w:tab/>
            </w:r>
            <w:r w:rsidRPr="00543D25">
              <w:t>Jobseeker</w:t>
            </w:r>
            <w:r w:rsidR="00543D25" w:rsidRPr="00543D25">
              <w:t xml:space="preserve"> </w:t>
            </w:r>
            <w:r w:rsidRPr="00543D25">
              <w:t>Support</w:t>
            </w:r>
          </w:p>
          <w:p w:rsidR="00467321" w:rsidRPr="00543D25" w:rsidRDefault="00467321" w:rsidP="00900BD5">
            <w:pPr>
              <w:pStyle w:val="TableText"/>
              <w:spacing w:before="0" w:after="0"/>
              <w:ind w:left="284" w:right="113" w:hanging="284"/>
            </w:pPr>
            <w:r w:rsidRPr="00543D25">
              <w:t>8</w:t>
            </w:r>
            <w:r w:rsidR="00900BD5">
              <w:tab/>
            </w:r>
            <w:r w:rsidRPr="00543D25">
              <w:t>Sole Parent</w:t>
            </w:r>
            <w:r w:rsidR="00543D25" w:rsidRPr="00543D25">
              <w:t xml:space="preserve"> </w:t>
            </w:r>
            <w:r w:rsidRPr="00543D25">
              <w:t>Support</w:t>
            </w:r>
          </w:p>
          <w:p w:rsidR="00467321" w:rsidRPr="00543D25" w:rsidRDefault="00467321" w:rsidP="00900BD5">
            <w:pPr>
              <w:pStyle w:val="TableText"/>
              <w:spacing w:before="0"/>
              <w:ind w:left="284" w:right="113" w:hanging="284"/>
            </w:pPr>
            <w:r w:rsidRPr="00543D25">
              <w:t>9</w:t>
            </w:r>
            <w:r w:rsidR="00900BD5">
              <w:tab/>
            </w:r>
            <w:r w:rsidRPr="00543D25">
              <w:t>Supported Living Payment</w:t>
            </w:r>
          </w:p>
        </w:tc>
        <w:tc>
          <w:tcPr>
            <w:tcW w:w="5387" w:type="dxa"/>
            <w:shd w:val="clear" w:color="auto" w:fill="auto"/>
          </w:tcPr>
          <w:p w:rsidR="00467321" w:rsidRPr="00543D25" w:rsidRDefault="00467321" w:rsidP="00900BD5">
            <w:pPr>
              <w:pStyle w:val="TableText"/>
            </w:pPr>
            <w:r w:rsidRPr="00543D25">
              <w:t>In the last 12 months, what are all the ways that you yourself got income? Please do not count loans because they are not income.</w:t>
            </w:r>
          </w:p>
          <w:p w:rsidR="00467321" w:rsidRPr="00F30DA8" w:rsidRDefault="00900BD5" w:rsidP="00900BD5">
            <w:pPr>
              <w:pStyle w:val="TableText"/>
              <w:ind w:left="284" w:hanging="284"/>
              <w:rPr>
                <w:spacing w:val="-2"/>
              </w:rPr>
            </w:pPr>
            <w:r>
              <w:t>1</w:t>
            </w:r>
            <w:r>
              <w:tab/>
            </w:r>
            <w:r w:rsidR="00467321" w:rsidRPr="00F30DA8">
              <w:rPr>
                <w:spacing w:val="-2"/>
              </w:rPr>
              <w:t>Wages, salaries, commissions, bonuses etc, paid by an employer</w:t>
            </w:r>
          </w:p>
          <w:p w:rsidR="00467321" w:rsidRPr="00543D25" w:rsidRDefault="00900BD5" w:rsidP="00900BD5">
            <w:pPr>
              <w:pStyle w:val="TableText"/>
              <w:ind w:left="284" w:hanging="284"/>
            </w:pPr>
            <w:r>
              <w:t>2</w:t>
            </w:r>
            <w:r>
              <w:tab/>
            </w:r>
            <w:r w:rsidR="00467321" w:rsidRPr="00543D25">
              <w:t>Self-employment, or business you own and work in</w:t>
            </w:r>
          </w:p>
          <w:p w:rsidR="00467321" w:rsidRPr="00543D25" w:rsidRDefault="00900BD5" w:rsidP="00900BD5">
            <w:pPr>
              <w:pStyle w:val="TableText"/>
              <w:ind w:left="284" w:hanging="284"/>
            </w:pPr>
            <w:r>
              <w:t>3</w:t>
            </w:r>
            <w:r>
              <w:tab/>
            </w:r>
            <w:r w:rsidR="00467321" w:rsidRPr="00543D25">
              <w:t>Interest, dividends, rent, other investments</w:t>
            </w:r>
          </w:p>
          <w:p w:rsidR="00467321" w:rsidRPr="00543D25" w:rsidRDefault="00900BD5" w:rsidP="00900BD5">
            <w:pPr>
              <w:pStyle w:val="TableText"/>
              <w:ind w:left="284" w:hanging="284"/>
            </w:pPr>
            <w:r>
              <w:t>4</w:t>
            </w:r>
            <w:r>
              <w:tab/>
            </w:r>
            <w:r w:rsidR="00467321" w:rsidRPr="00543D25">
              <w:t>Regular payments from ACC or a private work accident insurer</w:t>
            </w:r>
          </w:p>
          <w:p w:rsidR="00467321" w:rsidRPr="00543D25" w:rsidRDefault="00900BD5" w:rsidP="00900BD5">
            <w:pPr>
              <w:pStyle w:val="TableText"/>
              <w:ind w:left="284" w:hanging="284"/>
            </w:pPr>
            <w:r>
              <w:t>5</w:t>
            </w:r>
            <w:r>
              <w:tab/>
            </w:r>
            <w:r w:rsidR="00467321" w:rsidRPr="00543D25">
              <w:t>NZ Superannuation or Veterans Pension</w:t>
            </w:r>
          </w:p>
          <w:p w:rsidR="00467321" w:rsidRPr="00543D25" w:rsidRDefault="00900BD5" w:rsidP="00900BD5">
            <w:pPr>
              <w:pStyle w:val="TableText"/>
              <w:ind w:left="284" w:hanging="284"/>
            </w:pPr>
            <w:r>
              <w:t>6</w:t>
            </w:r>
            <w:r>
              <w:tab/>
            </w:r>
            <w:r w:rsidR="00467321" w:rsidRPr="00543D25">
              <w:t>Other superannuation, pensions, annuities (other than NZ Superannuation, Veterans Pension or War Pension)</w:t>
            </w:r>
          </w:p>
          <w:p w:rsidR="00467321" w:rsidRPr="00543D25" w:rsidRDefault="00900BD5" w:rsidP="00900BD5">
            <w:pPr>
              <w:pStyle w:val="TableText"/>
              <w:ind w:left="284" w:hanging="284"/>
            </w:pPr>
            <w:r>
              <w:t>7</w:t>
            </w:r>
            <w:r>
              <w:tab/>
            </w:r>
            <w:r w:rsidR="00467321" w:rsidRPr="00543D25">
              <w:t>Jobseeker Support</w:t>
            </w:r>
          </w:p>
          <w:p w:rsidR="00467321" w:rsidRPr="00543D25" w:rsidRDefault="00900BD5" w:rsidP="00900BD5">
            <w:pPr>
              <w:pStyle w:val="TableText"/>
              <w:ind w:left="284" w:hanging="284"/>
            </w:pPr>
            <w:r>
              <w:t>8</w:t>
            </w:r>
            <w:r>
              <w:tab/>
            </w:r>
            <w:r w:rsidR="00467321" w:rsidRPr="00543D25">
              <w:t>Sole Parent Support</w:t>
            </w:r>
          </w:p>
          <w:p w:rsidR="00467321" w:rsidRPr="00543D25" w:rsidRDefault="00900BD5" w:rsidP="00900BD5">
            <w:pPr>
              <w:pStyle w:val="TableText"/>
              <w:ind w:left="284" w:hanging="284"/>
            </w:pPr>
            <w:r>
              <w:t>9</w:t>
            </w:r>
            <w:r>
              <w:tab/>
            </w:r>
            <w:r w:rsidR="00467321" w:rsidRPr="00543D25">
              <w:t>Supported Living Payment</w:t>
            </w:r>
          </w:p>
          <w:p w:rsidR="00467321" w:rsidRPr="00543D25" w:rsidRDefault="00900BD5" w:rsidP="00900BD5">
            <w:pPr>
              <w:pStyle w:val="TableText"/>
              <w:ind w:left="284" w:hanging="284"/>
            </w:pPr>
            <w:r>
              <w:t>10</w:t>
            </w:r>
            <w:r>
              <w:tab/>
            </w:r>
            <w:r w:rsidR="00467321" w:rsidRPr="00543D25">
              <w:t>Student allowance</w:t>
            </w:r>
          </w:p>
          <w:p w:rsidR="00467321" w:rsidRPr="00543D25" w:rsidRDefault="00900BD5" w:rsidP="00900BD5">
            <w:pPr>
              <w:pStyle w:val="TableText"/>
              <w:ind w:left="284" w:hanging="284"/>
            </w:pPr>
            <w:r>
              <w:t>11</w:t>
            </w:r>
            <w:r>
              <w:tab/>
            </w:r>
            <w:r w:rsidR="00467321" w:rsidRPr="00543D25">
              <w:t>Other government benefits, government income support payments, war pensions or paid parental leave</w:t>
            </w:r>
          </w:p>
          <w:p w:rsidR="00467321" w:rsidRPr="00543D25" w:rsidRDefault="00900BD5" w:rsidP="00900BD5">
            <w:pPr>
              <w:pStyle w:val="TableText"/>
              <w:ind w:left="284" w:hanging="284"/>
            </w:pPr>
            <w:r>
              <w:t>12</w:t>
            </w:r>
            <w:r>
              <w:tab/>
            </w:r>
            <w:r w:rsidR="00467321" w:rsidRPr="00543D25">
              <w:t>Other sources of income</w:t>
            </w:r>
          </w:p>
          <w:p w:rsidR="00467321" w:rsidRPr="00543D25" w:rsidRDefault="00900BD5" w:rsidP="00900BD5">
            <w:pPr>
              <w:pStyle w:val="TableText"/>
              <w:ind w:left="284" w:hanging="284"/>
            </w:pPr>
            <w:r>
              <w:t>13</w:t>
            </w:r>
            <w:r>
              <w:tab/>
            </w:r>
            <w:r w:rsidR="00467321" w:rsidRPr="00543D25">
              <w:t>No source of income during that time</w:t>
            </w:r>
          </w:p>
        </w:tc>
      </w:tr>
      <w:tr w:rsidR="00900BD5" w:rsidRPr="00467321" w:rsidTr="00F30DA8">
        <w:trPr>
          <w:cantSplit/>
        </w:trPr>
        <w:tc>
          <w:tcPr>
            <w:tcW w:w="2268" w:type="dxa"/>
            <w:shd w:val="clear" w:color="auto" w:fill="auto"/>
          </w:tcPr>
          <w:p w:rsidR="00900BD5" w:rsidRPr="00543D25" w:rsidRDefault="00900BD5" w:rsidP="00900BD5">
            <w:pPr>
              <w:pStyle w:val="TableText"/>
              <w:ind w:right="113"/>
            </w:pPr>
            <w:r w:rsidRPr="00543D25">
              <w:t>Housing tenure –</w:t>
            </w:r>
            <w:r>
              <w:t xml:space="preserve"> </w:t>
            </w:r>
            <w:r w:rsidRPr="00543D25">
              <w:t>owned</w:t>
            </w:r>
          </w:p>
        </w:tc>
        <w:tc>
          <w:tcPr>
            <w:tcW w:w="6946" w:type="dxa"/>
            <w:shd w:val="clear" w:color="auto" w:fill="auto"/>
          </w:tcPr>
          <w:p w:rsidR="00900BD5" w:rsidRPr="00543D25" w:rsidRDefault="00900BD5" w:rsidP="00900BD5">
            <w:pPr>
              <w:pStyle w:val="TableText"/>
              <w:ind w:right="113"/>
            </w:pPr>
            <w:r w:rsidRPr="00543D25">
              <w:t>A house was considered owned</w:t>
            </w:r>
            <w:r>
              <w:t xml:space="preserve"> </w:t>
            </w:r>
            <w:r w:rsidRPr="00543D25">
              <w:t>if the respondent (either in the adult or child questionnaire</w:t>
            </w:r>
            <w:r>
              <w:t xml:space="preserve"> </w:t>
            </w:r>
            <w:r w:rsidRPr="00543D25">
              <w:t>related to the same household)</w:t>
            </w:r>
            <w:r>
              <w:t xml:space="preserve"> </w:t>
            </w:r>
            <w:r w:rsidRPr="00543D25">
              <w:t>responded yes to either of these questions: ‘Do you, or anyone else who lives here hold this house/flat in a family trust’ and</w:t>
            </w:r>
            <w:r>
              <w:t xml:space="preserve"> </w:t>
            </w:r>
            <w:r w:rsidRPr="00543D25">
              <w:t>‘Do you or anyone else who</w:t>
            </w:r>
            <w:r>
              <w:t xml:space="preserve"> </w:t>
            </w:r>
            <w:r w:rsidRPr="00543D25">
              <w:t>lives here own or partly own</w:t>
            </w:r>
            <w:r>
              <w:t xml:space="preserve"> </w:t>
            </w:r>
            <w:r w:rsidRPr="00543D25">
              <w:t>this dwelling, with or without a</w:t>
            </w:r>
            <w:r>
              <w:t xml:space="preserve"> </w:t>
            </w:r>
            <w:r w:rsidRPr="00543D25">
              <w:t>mortgage?’</w:t>
            </w:r>
          </w:p>
        </w:tc>
        <w:tc>
          <w:tcPr>
            <w:tcW w:w="5387" w:type="dxa"/>
            <w:shd w:val="clear" w:color="auto" w:fill="auto"/>
          </w:tcPr>
          <w:p w:rsidR="00900BD5" w:rsidRPr="00543D25" w:rsidRDefault="00900BD5" w:rsidP="00076708">
            <w:pPr>
              <w:pStyle w:val="TableText"/>
            </w:pPr>
            <w:r w:rsidRPr="00543D25">
              <w:t>Do you or anyone else who</w:t>
            </w:r>
            <w:r>
              <w:t xml:space="preserve"> </w:t>
            </w:r>
            <w:r w:rsidRPr="00543D25">
              <w:t>lives here hold this house/flat in a family trust? (Yes/No)</w:t>
            </w:r>
          </w:p>
          <w:p w:rsidR="00900BD5" w:rsidRPr="00543D25" w:rsidRDefault="00900BD5" w:rsidP="00900BD5">
            <w:pPr>
              <w:pStyle w:val="TableText"/>
            </w:pPr>
            <w:r w:rsidRPr="00543D25">
              <w:t>Do you or anyone else who lives here own or partly own this dwelling, with or without a</w:t>
            </w:r>
            <w:r>
              <w:t xml:space="preserve"> </w:t>
            </w:r>
            <w:r w:rsidRPr="00543D25">
              <w:t>mortgage? (Yes/No)</w:t>
            </w:r>
          </w:p>
        </w:tc>
      </w:tr>
      <w:tr w:rsidR="00467321" w:rsidRPr="00467321" w:rsidTr="00F30DA8">
        <w:trPr>
          <w:cantSplit/>
        </w:trPr>
        <w:tc>
          <w:tcPr>
            <w:tcW w:w="2268" w:type="dxa"/>
            <w:shd w:val="clear" w:color="auto" w:fill="auto"/>
          </w:tcPr>
          <w:p w:rsidR="00467321" w:rsidRPr="00543D25" w:rsidRDefault="00467321" w:rsidP="00900BD5">
            <w:pPr>
              <w:pStyle w:val="TableText"/>
              <w:ind w:right="113"/>
            </w:pPr>
            <w:r w:rsidRPr="00543D25">
              <w:t>Housing tenure – rented</w:t>
            </w:r>
          </w:p>
        </w:tc>
        <w:tc>
          <w:tcPr>
            <w:tcW w:w="6946" w:type="dxa"/>
            <w:shd w:val="clear" w:color="auto" w:fill="auto"/>
          </w:tcPr>
          <w:p w:rsidR="00467321" w:rsidRPr="00543D25" w:rsidRDefault="00467321" w:rsidP="00900BD5">
            <w:pPr>
              <w:pStyle w:val="TableText"/>
              <w:ind w:right="113"/>
            </w:pPr>
            <w:r w:rsidRPr="00543D25">
              <w:t xml:space="preserve">If a respondent did not own the house, and responded to </w:t>
            </w:r>
            <w:r w:rsidR="00543D25" w:rsidRPr="00543D25">
              <w:t>‘</w:t>
            </w:r>
            <w:r w:rsidRPr="00543D25">
              <w:t>Who owns this house/</w:t>
            </w:r>
            <w:r w:rsidR="00F30DA8">
              <w:t xml:space="preserve"> </w:t>
            </w:r>
            <w:r w:rsidRPr="00543D25">
              <w:t>flat?</w:t>
            </w:r>
            <w:r w:rsidR="00543D25" w:rsidRPr="00543D25">
              <w:t>’</w:t>
            </w:r>
            <w:r w:rsidRPr="00543D25">
              <w:t xml:space="preserve"> with </w:t>
            </w:r>
            <w:r w:rsidR="00543D25" w:rsidRPr="00543D25">
              <w:t>‘</w:t>
            </w:r>
            <w:r w:rsidRPr="00543D25">
              <w:t>Private person, trust</w:t>
            </w:r>
            <w:r w:rsidR="00900BD5">
              <w:t xml:space="preserve"> </w:t>
            </w:r>
            <w:r w:rsidRPr="00543D25">
              <w:t>or business</w:t>
            </w:r>
            <w:r w:rsidR="00543D25" w:rsidRPr="00543D25">
              <w:t>’</w:t>
            </w:r>
            <w:r w:rsidRPr="00543D25">
              <w:t>, the household was considered to be rented from a private landlord. If instead one of the following response</w:t>
            </w:r>
            <w:r w:rsidR="00543D25" w:rsidRPr="00543D25">
              <w:t xml:space="preserve"> </w:t>
            </w:r>
            <w:r w:rsidRPr="00543D25">
              <w:t>options</w:t>
            </w:r>
            <w:r w:rsidR="00543D25" w:rsidRPr="00543D25">
              <w:t xml:space="preserve"> </w:t>
            </w:r>
            <w:r w:rsidRPr="00543D25">
              <w:t xml:space="preserve">was selected: </w:t>
            </w:r>
            <w:r w:rsidR="00543D25" w:rsidRPr="00543D25">
              <w:t>‘</w:t>
            </w:r>
            <w:r w:rsidRPr="00543D25">
              <w:t>Local Authority or City Council</w:t>
            </w:r>
            <w:r w:rsidR="00543D25" w:rsidRPr="00543D25">
              <w:t>’</w:t>
            </w:r>
            <w:r w:rsidRPr="00543D25">
              <w:t xml:space="preserve">, </w:t>
            </w:r>
            <w:r w:rsidR="00543D25" w:rsidRPr="00543D25">
              <w:t>‘</w:t>
            </w:r>
            <w:r w:rsidRPr="00543D25">
              <w:t>Housing New Zealand Corporation</w:t>
            </w:r>
            <w:r w:rsidR="00543D25" w:rsidRPr="00543D25">
              <w:t>’</w:t>
            </w:r>
            <w:r w:rsidRPr="00543D25">
              <w:t xml:space="preserve"> or </w:t>
            </w:r>
            <w:r w:rsidR="00543D25" w:rsidRPr="00543D25">
              <w:t>‘</w:t>
            </w:r>
            <w:r w:rsidRPr="00543D25">
              <w:t>Other state-owned corporation or state owned enterprise, or government department or ministry</w:t>
            </w:r>
            <w:r w:rsidR="00543D25" w:rsidRPr="00543D25">
              <w:t>’</w:t>
            </w:r>
            <w:r w:rsidRPr="00543D25">
              <w:t xml:space="preserve"> the household was considered to be rented from a public landlord.</w:t>
            </w:r>
          </w:p>
        </w:tc>
        <w:tc>
          <w:tcPr>
            <w:tcW w:w="5387" w:type="dxa"/>
            <w:shd w:val="clear" w:color="auto" w:fill="auto"/>
          </w:tcPr>
          <w:p w:rsidR="00467321" w:rsidRPr="00543D25" w:rsidRDefault="00467321" w:rsidP="00076708">
            <w:pPr>
              <w:pStyle w:val="TableText"/>
            </w:pPr>
            <w:r w:rsidRPr="00543D25">
              <w:t>Who owns this house/flat?</w:t>
            </w:r>
          </w:p>
          <w:p w:rsidR="00467321" w:rsidRPr="00543D25" w:rsidRDefault="00900BD5" w:rsidP="00900BD5">
            <w:pPr>
              <w:pStyle w:val="TableText"/>
              <w:ind w:left="284" w:hanging="284"/>
            </w:pPr>
            <w:r>
              <w:t>1</w:t>
            </w:r>
            <w:r>
              <w:tab/>
            </w:r>
            <w:r w:rsidR="00467321" w:rsidRPr="00543D25">
              <w:t>Private person, trust or business</w:t>
            </w:r>
          </w:p>
          <w:p w:rsidR="00467321" w:rsidRPr="00543D25" w:rsidRDefault="00900BD5" w:rsidP="00900BD5">
            <w:pPr>
              <w:pStyle w:val="TableText"/>
              <w:ind w:left="284" w:hanging="284"/>
            </w:pPr>
            <w:r>
              <w:t>2</w:t>
            </w:r>
            <w:r>
              <w:tab/>
            </w:r>
            <w:r w:rsidR="00467321" w:rsidRPr="00543D25">
              <w:t>Local Authority or City Council</w:t>
            </w:r>
          </w:p>
          <w:p w:rsidR="00467321" w:rsidRPr="00543D25" w:rsidRDefault="00900BD5" w:rsidP="00900BD5">
            <w:pPr>
              <w:pStyle w:val="TableText"/>
              <w:ind w:left="284" w:hanging="284"/>
            </w:pPr>
            <w:r>
              <w:t>3</w:t>
            </w:r>
            <w:r>
              <w:tab/>
            </w:r>
            <w:r w:rsidR="00467321" w:rsidRPr="00543D25">
              <w:t>Housing New Zealand Corporation</w:t>
            </w:r>
          </w:p>
          <w:p w:rsidR="00467321" w:rsidRPr="00543D25" w:rsidRDefault="00900BD5" w:rsidP="00900BD5">
            <w:pPr>
              <w:pStyle w:val="TableText"/>
              <w:ind w:left="284" w:hanging="284"/>
            </w:pPr>
            <w:r>
              <w:t>4</w:t>
            </w:r>
            <w:r>
              <w:tab/>
            </w:r>
            <w:r w:rsidR="00467321" w:rsidRPr="00543D25">
              <w:t>Other state-owned corporation or state owned enterprise, or government department or ministry</w:t>
            </w:r>
          </w:p>
        </w:tc>
      </w:tr>
      <w:tr w:rsidR="00467321" w:rsidRPr="00467321" w:rsidTr="00F30DA8">
        <w:trPr>
          <w:cantSplit/>
        </w:trPr>
        <w:tc>
          <w:tcPr>
            <w:tcW w:w="2268" w:type="dxa"/>
            <w:shd w:val="clear" w:color="auto" w:fill="auto"/>
          </w:tcPr>
          <w:p w:rsidR="00467321" w:rsidRPr="00543D25" w:rsidRDefault="00467321" w:rsidP="00900BD5">
            <w:pPr>
              <w:pStyle w:val="TableText"/>
              <w:ind w:right="113"/>
            </w:pPr>
            <w:r w:rsidRPr="00543D25">
              <w:lastRenderedPageBreak/>
              <w:t>Ethnicity</w:t>
            </w:r>
          </w:p>
        </w:tc>
        <w:tc>
          <w:tcPr>
            <w:tcW w:w="6946" w:type="dxa"/>
            <w:shd w:val="clear" w:color="auto" w:fill="auto"/>
          </w:tcPr>
          <w:p w:rsidR="00467321" w:rsidRPr="00543D25" w:rsidRDefault="00467321" w:rsidP="00900BD5">
            <w:pPr>
              <w:pStyle w:val="TableText"/>
              <w:ind w:right="113"/>
            </w:pPr>
            <w:r w:rsidRPr="00543D25">
              <w:t>Ethnic group variables are derived using the concept of total response ethnicity</w:t>
            </w:r>
            <w:r w:rsidR="00900BD5">
              <w:t xml:space="preserve"> </w:t>
            </w:r>
            <w:r w:rsidRPr="00543D25">
              <w:t xml:space="preserve">(Statistics New Zealand 2005). This means that respondents can appear in, and contribute to the published statistics for more than one ethnic group. New Zealand Health Survey reports generally provide statistics for the following four ethnic groups: Māori, Pacific peoples, Asian and European/ other. The </w:t>
            </w:r>
            <w:r w:rsidR="00543D25" w:rsidRPr="00543D25">
              <w:t>‘</w:t>
            </w:r>
            <w:r w:rsidRPr="00543D25">
              <w:t>other</w:t>
            </w:r>
            <w:r w:rsidR="00543D25" w:rsidRPr="00543D25">
              <w:t>’</w:t>
            </w:r>
            <w:r w:rsidRPr="00543D25">
              <w:t xml:space="preserve"> ethnic group (comprising mainly Middle-Eastern, Latin-American and African ethnicities) has been combined with European to avoid problems with small sample sizes. Respondents who do not know or refuse to state their ethnicity are included as European/other, as are those who answer </w:t>
            </w:r>
            <w:r w:rsidR="00543D25" w:rsidRPr="00543D25">
              <w:t>‘</w:t>
            </w:r>
            <w:r w:rsidRPr="00543D25">
              <w:t>New Zealander</w:t>
            </w:r>
            <w:r w:rsidR="00543D25" w:rsidRPr="00543D25">
              <w:t>’</w:t>
            </w:r>
            <w:r w:rsidR="00900BD5">
              <w:t>.</w:t>
            </w:r>
          </w:p>
        </w:tc>
        <w:tc>
          <w:tcPr>
            <w:tcW w:w="5387" w:type="dxa"/>
            <w:shd w:val="clear" w:color="auto" w:fill="auto"/>
          </w:tcPr>
          <w:p w:rsidR="00467321" w:rsidRPr="00543D25" w:rsidRDefault="00467321" w:rsidP="00076708">
            <w:pPr>
              <w:pStyle w:val="TableText"/>
            </w:pPr>
            <w:r w:rsidRPr="00543D25">
              <w:t>Which ethnic group or groups does [Name] belong to?</w:t>
            </w:r>
          </w:p>
          <w:p w:rsidR="00467321" w:rsidRPr="00543D25" w:rsidRDefault="00900BD5" w:rsidP="00900BD5">
            <w:pPr>
              <w:pStyle w:val="TableText"/>
              <w:ind w:left="284" w:hanging="284"/>
            </w:pPr>
            <w:r>
              <w:t>2</w:t>
            </w:r>
            <w:r>
              <w:tab/>
            </w:r>
            <w:r w:rsidR="00467321" w:rsidRPr="00543D25">
              <w:t>Māori</w:t>
            </w:r>
          </w:p>
          <w:p w:rsidR="00467321" w:rsidRPr="00543D25" w:rsidRDefault="00900BD5" w:rsidP="00900BD5">
            <w:pPr>
              <w:pStyle w:val="TableText"/>
              <w:ind w:left="284" w:hanging="284"/>
            </w:pPr>
            <w:r>
              <w:t>3</w:t>
            </w:r>
            <w:r>
              <w:tab/>
            </w:r>
            <w:r w:rsidR="00467321" w:rsidRPr="00543D25">
              <w:t>Samoan</w:t>
            </w:r>
          </w:p>
          <w:p w:rsidR="00467321" w:rsidRPr="00543D25" w:rsidRDefault="00900BD5" w:rsidP="00900BD5">
            <w:pPr>
              <w:pStyle w:val="TableText"/>
              <w:ind w:left="284" w:hanging="284"/>
            </w:pPr>
            <w:r>
              <w:t>4</w:t>
            </w:r>
            <w:r>
              <w:tab/>
            </w:r>
            <w:r w:rsidR="00467321" w:rsidRPr="00543D25">
              <w:t>Cook Island Maori</w:t>
            </w:r>
          </w:p>
          <w:p w:rsidR="00467321" w:rsidRPr="00543D25" w:rsidRDefault="00900BD5" w:rsidP="00900BD5">
            <w:pPr>
              <w:pStyle w:val="TableText"/>
              <w:ind w:left="284" w:hanging="284"/>
            </w:pPr>
            <w:r>
              <w:t>5</w:t>
            </w:r>
            <w:r>
              <w:tab/>
            </w:r>
            <w:r w:rsidR="00467321" w:rsidRPr="00543D25">
              <w:t>Tongan</w:t>
            </w:r>
          </w:p>
          <w:p w:rsidR="00467321" w:rsidRPr="00543D25" w:rsidRDefault="00900BD5" w:rsidP="00900BD5">
            <w:pPr>
              <w:pStyle w:val="TableText"/>
              <w:ind w:left="284" w:hanging="284"/>
            </w:pPr>
            <w:r>
              <w:t>6</w:t>
            </w:r>
            <w:r>
              <w:tab/>
            </w:r>
            <w:r w:rsidR="00467321" w:rsidRPr="00543D25">
              <w:t>Niuean</w:t>
            </w:r>
          </w:p>
          <w:p w:rsidR="00467321" w:rsidRPr="00543D25" w:rsidRDefault="00900BD5" w:rsidP="00900BD5">
            <w:pPr>
              <w:pStyle w:val="TableText"/>
              <w:ind w:left="284" w:hanging="284"/>
            </w:pPr>
            <w:r>
              <w:t>7</w:t>
            </w:r>
            <w:r>
              <w:tab/>
            </w:r>
            <w:r w:rsidR="00467321" w:rsidRPr="00543D25">
              <w:t>Chinese</w:t>
            </w:r>
          </w:p>
          <w:p w:rsidR="00467321" w:rsidRPr="00543D25" w:rsidRDefault="00900BD5" w:rsidP="00900BD5">
            <w:pPr>
              <w:pStyle w:val="TableText"/>
              <w:ind w:left="284" w:hanging="284"/>
            </w:pPr>
            <w:r>
              <w:t>8</w:t>
            </w:r>
            <w:r>
              <w:tab/>
            </w:r>
            <w:r w:rsidR="00467321" w:rsidRPr="00543D25">
              <w:t>Indian</w:t>
            </w:r>
          </w:p>
          <w:p w:rsidR="00467321" w:rsidRPr="00543D25" w:rsidRDefault="00467321" w:rsidP="00F30DA8">
            <w:pPr>
              <w:pStyle w:val="TableText"/>
              <w:tabs>
                <w:tab w:val="right" w:leader="underscore" w:pos="5273"/>
              </w:tabs>
              <w:ind w:left="284" w:hanging="284"/>
            </w:pPr>
            <w:r w:rsidRPr="00543D25">
              <w:t>77</w:t>
            </w:r>
            <w:r w:rsidR="00900BD5">
              <w:tab/>
            </w:r>
            <w:r w:rsidRPr="00543D25">
              <w:t>Other [Specify]</w:t>
            </w:r>
            <w:r w:rsidR="00543D25" w:rsidRPr="00543D25">
              <w:t xml:space="preserve"> </w:t>
            </w:r>
            <w:r w:rsidR="00900BD5">
              <w:tab/>
            </w:r>
            <w:r w:rsidR="00900BD5">
              <w:br/>
            </w:r>
            <w:r w:rsidRPr="00543D25">
              <w:t xml:space="preserve">[Three </w:t>
            </w:r>
            <w:r w:rsidR="00543D25" w:rsidRPr="00543D25">
              <w:t>‘</w:t>
            </w:r>
            <w:r w:rsidRPr="00543D25">
              <w:t>Other</w:t>
            </w:r>
            <w:r w:rsidR="00543D25" w:rsidRPr="00543D25">
              <w:t>’</w:t>
            </w:r>
            <w:r w:rsidRPr="00543D25">
              <w:t xml:space="preserve"> ethnic groups possible]</w:t>
            </w:r>
          </w:p>
        </w:tc>
      </w:tr>
      <w:tr w:rsidR="00467321" w:rsidRPr="00467321" w:rsidTr="00F30DA8">
        <w:trPr>
          <w:cantSplit/>
        </w:trPr>
        <w:tc>
          <w:tcPr>
            <w:tcW w:w="2268" w:type="dxa"/>
            <w:shd w:val="clear" w:color="auto" w:fill="auto"/>
          </w:tcPr>
          <w:p w:rsidR="00467321" w:rsidRPr="00543D25" w:rsidRDefault="00467321" w:rsidP="00076708">
            <w:pPr>
              <w:pStyle w:val="TableText"/>
            </w:pPr>
            <w:r w:rsidRPr="00543D25">
              <w:t>Number of children in the household</w:t>
            </w:r>
          </w:p>
        </w:tc>
        <w:tc>
          <w:tcPr>
            <w:tcW w:w="6946" w:type="dxa"/>
            <w:shd w:val="clear" w:color="auto" w:fill="auto"/>
          </w:tcPr>
          <w:p w:rsidR="00467321" w:rsidRPr="00543D25" w:rsidRDefault="00467321" w:rsidP="00900BD5">
            <w:pPr>
              <w:pStyle w:val="TableText"/>
              <w:ind w:right="113"/>
            </w:pPr>
            <w:r w:rsidRPr="00543D25">
              <w:t>Count of the number of children in the household aged</w:t>
            </w:r>
            <w:r w:rsidR="00900BD5">
              <w:t xml:space="preserve"> </w:t>
            </w:r>
            <w:r w:rsidRPr="00543D25">
              <w:t>0–14 years on the day of the survey, as reported by the primary caregiver</w:t>
            </w:r>
            <w:r w:rsidR="00900BD5">
              <w:t xml:space="preserve"> </w:t>
            </w:r>
            <w:r w:rsidRPr="00543D25">
              <w:t>(</w:t>
            </w:r>
            <w:r w:rsidR="00900BD5">
              <w:t>s</w:t>
            </w:r>
            <w:r w:rsidRPr="00543D25">
              <w:t xml:space="preserve">ource: Statistics New Zealand </w:t>
            </w:r>
            <w:hyperlink r:id="rId69">
              <w:r w:rsidRPr="00543D25">
                <w:t>http://archive.stats.govt.nz/</w:t>
              </w:r>
            </w:hyperlink>
            <w:hyperlink r:id="rId70">
              <w:r w:rsidRPr="00543D25">
                <w:t>methods/</w:t>
              </w:r>
              <w:r w:rsidR="00900BD5">
                <w:t xml:space="preserve"> </w:t>
              </w:r>
              <w:r w:rsidRPr="00543D25">
                <w:t>classifications-and-</w:t>
              </w:r>
            </w:hyperlink>
            <w:hyperlink r:id="rId71">
              <w:r w:rsidRPr="00543D25">
                <w:t>standards/classification-related-</w:t>
              </w:r>
            </w:hyperlink>
            <w:hyperlink r:id="rId72">
              <w:r w:rsidRPr="00543D25">
                <w:t>stats-standards/family-type/</w:t>
              </w:r>
            </w:hyperlink>
            <w:r w:rsidRPr="00543D25">
              <w:t xml:space="preserve"> </w:t>
            </w:r>
            <w:hyperlink r:id="rId73">
              <w:r w:rsidRPr="00543D25">
                <w:t>definition.aspx</w:t>
              </w:r>
            </w:hyperlink>
            <w:r w:rsidRPr="00543D25">
              <w:t>)</w:t>
            </w:r>
          </w:p>
        </w:tc>
        <w:tc>
          <w:tcPr>
            <w:tcW w:w="5387" w:type="dxa"/>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900BD5">
            <w:pPr>
              <w:pStyle w:val="TableText"/>
            </w:pPr>
            <w:r w:rsidRPr="00543D25">
              <w:t>Family structure</w:t>
            </w:r>
            <w:r w:rsidR="00900BD5">
              <w:br/>
            </w:r>
            <w:r w:rsidRPr="00543D25">
              <w:t>– sole or couple parents</w:t>
            </w:r>
          </w:p>
        </w:tc>
        <w:tc>
          <w:tcPr>
            <w:tcW w:w="6946" w:type="dxa"/>
            <w:shd w:val="clear" w:color="auto" w:fill="auto"/>
          </w:tcPr>
          <w:p w:rsidR="00467321" w:rsidRPr="00543D25" w:rsidRDefault="00467321" w:rsidP="00900BD5">
            <w:pPr>
              <w:pStyle w:val="TableText"/>
              <w:ind w:right="113"/>
            </w:pPr>
            <w:r w:rsidRPr="00543D25">
              <w:t>We used information provided by health survey respondents about the people who are usually resident in their household, and the nature</w:t>
            </w:r>
            <w:r w:rsidR="00900BD5">
              <w:t xml:space="preserve"> </w:t>
            </w:r>
            <w:r w:rsidRPr="00543D25">
              <w:t>of the relationships between everyone in the house to determine whether the child lived with sole or couple parents. Statistics New Zealand</w:t>
            </w:r>
            <w:r w:rsidR="00543D25" w:rsidRPr="00543D25">
              <w:t>’</w:t>
            </w:r>
            <w:r w:rsidRPr="00543D25">
              <w:t>s classification rules of family types were used to derive family structure variables</w:t>
            </w:r>
            <w:r w:rsidR="00900BD5">
              <w:t xml:space="preserve"> </w:t>
            </w:r>
            <w:r w:rsidRPr="00543D25">
              <w:t>(</w:t>
            </w:r>
            <w:r w:rsidR="00900BD5">
              <w:t>s</w:t>
            </w:r>
            <w:r w:rsidRPr="00543D25">
              <w:t xml:space="preserve">ource: Statistics New Zealand </w:t>
            </w:r>
            <w:hyperlink r:id="rId74">
              <w:r w:rsidRPr="00543D25">
                <w:t>http://archive.stats.govt.nz/</w:t>
              </w:r>
            </w:hyperlink>
            <w:hyperlink r:id="rId75">
              <w:r w:rsidRPr="00543D25">
                <w:t>methods/</w:t>
              </w:r>
              <w:r w:rsidR="00900BD5">
                <w:t xml:space="preserve"> </w:t>
              </w:r>
              <w:r w:rsidRPr="00543D25">
                <w:t>classifications-and-</w:t>
              </w:r>
            </w:hyperlink>
            <w:hyperlink r:id="rId76">
              <w:r w:rsidRPr="00543D25">
                <w:t>standards/classification-related-</w:t>
              </w:r>
            </w:hyperlink>
            <w:hyperlink r:id="rId77">
              <w:r w:rsidRPr="00543D25">
                <w:t>stats-standards/family-type/</w:t>
              </w:r>
            </w:hyperlink>
            <w:r w:rsidRPr="00543D25">
              <w:t xml:space="preserve"> </w:t>
            </w:r>
            <w:hyperlink r:id="rId78">
              <w:r w:rsidRPr="00543D25">
                <w:t>definition.aspx</w:t>
              </w:r>
            </w:hyperlink>
            <w:r w:rsidRPr="00543D25">
              <w:t>)</w:t>
            </w:r>
          </w:p>
        </w:tc>
        <w:tc>
          <w:tcPr>
            <w:tcW w:w="5387" w:type="dxa"/>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076708">
            <w:pPr>
              <w:pStyle w:val="TableText"/>
            </w:pPr>
            <w:r w:rsidRPr="00543D25">
              <w:t>More than one emergency department visit in past year</w:t>
            </w:r>
          </w:p>
        </w:tc>
        <w:tc>
          <w:tcPr>
            <w:tcW w:w="6946" w:type="dxa"/>
            <w:shd w:val="clear" w:color="auto" w:fill="auto"/>
          </w:tcPr>
          <w:p w:rsidR="00467321" w:rsidRPr="00543D25" w:rsidRDefault="00467321" w:rsidP="00900BD5">
            <w:pPr>
              <w:pStyle w:val="TableText"/>
              <w:ind w:right="113"/>
            </w:pPr>
            <w:r w:rsidRPr="00543D25">
              <w:t>Defined as a child having gone to an emergency department at a public hospital about their own health more than once in the past 12 months.</w:t>
            </w:r>
          </w:p>
        </w:tc>
        <w:tc>
          <w:tcPr>
            <w:tcW w:w="5387" w:type="dxa"/>
            <w:shd w:val="clear" w:color="auto" w:fill="auto"/>
          </w:tcPr>
          <w:p w:rsidR="00467321" w:rsidRPr="00543D25" w:rsidRDefault="00467321" w:rsidP="00076708">
            <w:pPr>
              <w:pStyle w:val="TableText"/>
            </w:pPr>
            <w:r w:rsidRPr="00543D25">
              <w:t>In the past 12 months, how many times did [child</w:t>
            </w:r>
            <w:r w:rsidR="00543D25" w:rsidRPr="00543D25">
              <w:t>’</w:t>
            </w:r>
            <w:r w:rsidRPr="00543D25">
              <w:t>s name] go to an emergency department at a public hospital about their own health? (Multiple responses possible)</w:t>
            </w:r>
          </w:p>
          <w:p w:rsidR="00467321" w:rsidRPr="00543D25" w:rsidRDefault="00467321" w:rsidP="00F30DA8">
            <w:pPr>
              <w:pStyle w:val="TableText"/>
              <w:tabs>
                <w:tab w:val="right" w:leader="underscore" w:pos="5273"/>
              </w:tabs>
            </w:pPr>
            <w:r w:rsidRPr="00900BD5">
              <w:tab/>
            </w:r>
            <w:r w:rsidRPr="00543D25">
              <w:t xml:space="preserve"> times</w:t>
            </w:r>
          </w:p>
        </w:tc>
      </w:tr>
      <w:tr w:rsidR="00F30DA8" w:rsidRPr="00467321" w:rsidTr="00F30DA8">
        <w:trPr>
          <w:cantSplit/>
        </w:trPr>
        <w:tc>
          <w:tcPr>
            <w:tcW w:w="2268" w:type="dxa"/>
            <w:shd w:val="clear" w:color="auto" w:fill="auto"/>
          </w:tcPr>
          <w:p w:rsidR="00F30DA8" w:rsidRPr="00543D25" w:rsidRDefault="00F30DA8" w:rsidP="00900BD5">
            <w:pPr>
              <w:pStyle w:val="TableText"/>
              <w:ind w:right="113"/>
            </w:pPr>
            <w:r w:rsidRPr="00543D25">
              <w:lastRenderedPageBreak/>
              <w:t>Unmet need for primary care</w:t>
            </w:r>
          </w:p>
        </w:tc>
        <w:tc>
          <w:tcPr>
            <w:tcW w:w="6946" w:type="dxa"/>
            <w:shd w:val="clear" w:color="auto" w:fill="auto"/>
          </w:tcPr>
          <w:p w:rsidR="00F30DA8" w:rsidRPr="00543D25" w:rsidRDefault="00F30DA8" w:rsidP="00900BD5">
            <w:pPr>
              <w:pStyle w:val="TableText"/>
              <w:ind w:right="113"/>
            </w:pPr>
            <w:r w:rsidRPr="00543D25">
              <w:t>Defined as having experienced one or more types of unmet need for a GP, nurse or other health care worker in the</w:t>
            </w:r>
            <w:r>
              <w:t xml:space="preserve"> </w:t>
            </w:r>
            <w:r w:rsidRPr="00543D25">
              <w:t>past 12</w:t>
            </w:r>
            <w:r>
              <w:t> </w:t>
            </w:r>
            <w:r w:rsidRPr="00543D25">
              <w:t>months at their usual medical centre or after-hours services because of cost, transport or being unable to arrange childcare for other children</w:t>
            </w:r>
            <w:r>
              <w:t>.</w:t>
            </w:r>
          </w:p>
        </w:tc>
        <w:tc>
          <w:tcPr>
            <w:tcW w:w="5387" w:type="dxa"/>
            <w:shd w:val="clear" w:color="auto" w:fill="auto"/>
          </w:tcPr>
          <w:p w:rsidR="00F30DA8" w:rsidRPr="00543D25" w:rsidRDefault="00F30DA8" w:rsidP="00076708">
            <w:pPr>
              <w:pStyle w:val="TableText"/>
            </w:pPr>
            <w:r w:rsidRPr="00543D25">
              <w:t>Combination of various barriers to access questions.</w:t>
            </w:r>
          </w:p>
          <w:p w:rsidR="00F30DA8" w:rsidRPr="00543D25" w:rsidRDefault="00F30DA8" w:rsidP="00900BD5">
            <w:pPr>
              <w:pStyle w:val="TableText"/>
              <w:spacing w:before="120"/>
            </w:pPr>
            <w:r w:rsidRPr="00543D25">
              <w:t>Do you have a GP clinic or medical centre that you usually go to when [child’s name] is feeling unwell or is injured?</w:t>
            </w:r>
            <w:r>
              <w:t xml:space="preserve"> </w:t>
            </w:r>
            <w:r w:rsidRPr="00543D25">
              <w:t>(Yes/ No)</w:t>
            </w:r>
          </w:p>
          <w:p w:rsidR="00F30DA8" w:rsidRPr="00543D25" w:rsidRDefault="00F30DA8" w:rsidP="00900BD5">
            <w:pPr>
              <w:pStyle w:val="TableText"/>
              <w:spacing w:before="120"/>
            </w:pPr>
            <w:r w:rsidRPr="00543D25">
              <w:t>What sort of health care service is this? (A GP clinic, medical centre or family practice/A clinic that is after-hours only – not</w:t>
            </w:r>
            <w:r>
              <w:t xml:space="preserve"> </w:t>
            </w:r>
            <w:r w:rsidRPr="00543D25">
              <w:t>an emergency department at a public hospital/Other)</w:t>
            </w:r>
          </w:p>
          <w:p w:rsidR="00F30DA8" w:rsidRPr="00543D25" w:rsidRDefault="00F30DA8" w:rsidP="00900BD5">
            <w:pPr>
              <w:pStyle w:val="TableText"/>
              <w:spacing w:before="120"/>
            </w:pPr>
            <w:r w:rsidRPr="00543D25">
              <w:t>In the past 12 months, has there been a time when you wanted [child’s name] to see a GP, nurse or other health care worker at your usual medical centre within the next 24 hours, but he/she was unable to be seen? (Yes/No)</w:t>
            </w:r>
          </w:p>
          <w:p w:rsidR="00F30DA8" w:rsidRPr="00543D25" w:rsidRDefault="00F30DA8" w:rsidP="00900BD5">
            <w:pPr>
              <w:pStyle w:val="TableText"/>
              <w:spacing w:before="120"/>
            </w:pPr>
            <w:r w:rsidRPr="00543D25">
              <w:t>In the past 12 months, was there a time when [child’s name] had a medical problem but did not visit a GP because of cost? (Yes/No)</w:t>
            </w:r>
          </w:p>
          <w:p w:rsidR="00F30DA8" w:rsidRPr="00543D25" w:rsidRDefault="00F30DA8" w:rsidP="00900BD5">
            <w:pPr>
              <w:pStyle w:val="TableText"/>
              <w:spacing w:before="120"/>
            </w:pPr>
            <w:r w:rsidRPr="00543D25">
              <w:t>In the past 12 months, was there a time when [child’s name] had</w:t>
            </w:r>
            <w:r>
              <w:t xml:space="preserve"> </w:t>
            </w:r>
            <w:r w:rsidRPr="00543D25">
              <w:t>a medical problem but did not visit a GP because you had no transport to get there? (Yes/No)</w:t>
            </w:r>
          </w:p>
          <w:p w:rsidR="00F30DA8" w:rsidRPr="00543D25" w:rsidRDefault="00F30DA8" w:rsidP="00900BD5">
            <w:pPr>
              <w:pStyle w:val="TableText"/>
              <w:spacing w:before="120"/>
            </w:pPr>
            <w:r w:rsidRPr="00543D25">
              <w:t>In the past 12 months, was there a time when [child’s name] had</w:t>
            </w:r>
            <w:r>
              <w:t xml:space="preserve"> </w:t>
            </w:r>
            <w:r w:rsidRPr="00543D25">
              <w:t>a medical problem but did not visit a GP because you could not arrange childcare for other</w:t>
            </w:r>
            <w:r>
              <w:t xml:space="preserve"> </w:t>
            </w:r>
            <w:r w:rsidRPr="00543D25">
              <w:t>children? (Yes/No/Doesn’t apply)</w:t>
            </w:r>
          </w:p>
          <w:p w:rsidR="00F30DA8" w:rsidRPr="00543D25" w:rsidRDefault="00F30DA8" w:rsidP="00900BD5">
            <w:pPr>
              <w:pStyle w:val="TableText"/>
              <w:spacing w:before="120"/>
            </w:pPr>
            <w:r w:rsidRPr="00543D25">
              <w:t>In the past 12 months, was there a time when [child’s name] had a medical problem outside regular office hours but you did not</w:t>
            </w:r>
            <w:r>
              <w:t xml:space="preserve"> </w:t>
            </w:r>
            <w:r w:rsidRPr="00543D25">
              <w:t>take him/her to an after-hours medical centre because of cost? (Didn’t have a medical problem outside regular office hours/Yes, didn’t go because of cost/No)</w:t>
            </w:r>
          </w:p>
          <w:p w:rsidR="00F30DA8" w:rsidRPr="00543D25" w:rsidRDefault="00F30DA8" w:rsidP="00991008">
            <w:pPr>
              <w:pStyle w:val="TableText"/>
            </w:pPr>
            <w:r w:rsidRPr="00543D25">
              <w:t>In the past 12 months, was there a time when [child’s name] had a medical problem outside regular office hours but you did not</w:t>
            </w:r>
            <w:r>
              <w:t xml:space="preserve"> </w:t>
            </w:r>
            <w:r w:rsidRPr="00543D25">
              <w:t>take him/her to an after-hours medical centre because you had no transport to get there? (Yes, didn’t go because had no transport to get there/No)</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Unmet need for prescription due to cost</w:t>
            </w:r>
          </w:p>
        </w:tc>
        <w:tc>
          <w:tcPr>
            <w:tcW w:w="6946" w:type="dxa"/>
            <w:shd w:val="clear" w:color="auto" w:fill="auto"/>
          </w:tcPr>
          <w:p w:rsidR="00467321" w:rsidRPr="00543D25" w:rsidRDefault="00467321" w:rsidP="00900BD5">
            <w:pPr>
              <w:pStyle w:val="TableText"/>
              <w:ind w:right="113"/>
            </w:pPr>
            <w:r w:rsidRPr="00543D25">
              <w:t>Defined as being when parents got a prescription for their child but did not collect one or more prescription items because of cost, in the past 12 months.</w:t>
            </w:r>
          </w:p>
        </w:tc>
        <w:tc>
          <w:tcPr>
            <w:tcW w:w="5387" w:type="dxa"/>
            <w:shd w:val="clear" w:color="auto" w:fill="auto"/>
          </w:tcPr>
          <w:p w:rsidR="00467321" w:rsidRPr="00543D25" w:rsidRDefault="00467321" w:rsidP="00F30DA8">
            <w:pPr>
              <w:pStyle w:val="TableText"/>
            </w:pPr>
            <w:r w:rsidRPr="00543D25">
              <w:t>In the past 12 months, was there a time when [Name] got a prescription but you did not</w:t>
            </w:r>
            <w:r w:rsidR="00991008">
              <w:t xml:space="preserve"> </w:t>
            </w:r>
            <w:r w:rsidRPr="00543D25">
              <w:t>collect one or more prescription items from the pharmacy or chemist because of cost?</w:t>
            </w:r>
            <w:r w:rsidR="00F30DA8">
              <w:t xml:space="preserve"> </w:t>
            </w:r>
            <w:r w:rsidRPr="00543D25">
              <w:t>(Yes/ No)</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lastRenderedPageBreak/>
              <w:t>Unmet need for a dentist</w:t>
            </w:r>
          </w:p>
        </w:tc>
        <w:tc>
          <w:tcPr>
            <w:tcW w:w="6946" w:type="dxa"/>
            <w:shd w:val="clear" w:color="auto" w:fill="auto"/>
          </w:tcPr>
          <w:p w:rsidR="00467321" w:rsidRPr="00543D25" w:rsidRDefault="00467321" w:rsidP="00900BD5">
            <w:pPr>
              <w:pStyle w:val="TableText"/>
              <w:ind w:right="113"/>
            </w:pPr>
            <w:r w:rsidRPr="00543D25">
              <w:t>Defined as having had a dental problem but not being able to see a dental health care worker in the past 12 months due to any reason (not specifically cost, transport or lack of childcare)</w:t>
            </w:r>
            <w:r w:rsidR="00991008">
              <w:t>.</w:t>
            </w:r>
          </w:p>
        </w:tc>
        <w:tc>
          <w:tcPr>
            <w:tcW w:w="5387" w:type="dxa"/>
            <w:shd w:val="clear" w:color="auto" w:fill="auto"/>
          </w:tcPr>
          <w:p w:rsidR="00467321" w:rsidRPr="00543D25" w:rsidRDefault="00467321" w:rsidP="00076708">
            <w:pPr>
              <w:pStyle w:val="TableText"/>
            </w:pPr>
            <w:r w:rsidRPr="00543D25">
              <w:t>In the last 12 months, has there been any time when [child</w:t>
            </w:r>
            <w:r w:rsidR="00543D25" w:rsidRPr="00543D25">
              <w:t>’</w:t>
            </w:r>
            <w:r w:rsidRPr="00543D25">
              <w:t>s name] needed to see a dental health care worker, but wasn</w:t>
            </w:r>
            <w:r w:rsidR="00543D25" w:rsidRPr="00543D25">
              <w:t>’</w:t>
            </w:r>
            <w:r w:rsidRPr="00543D25">
              <w:t>t able to? (Yes/No)</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Tooth removed due to decay ever</w:t>
            </w:r>
            <w:r w:rsidR="00991008">
              <w:br/>
            </w:r>
            <w:r w:rsidRPr="00543D25">
              <w:t>(1–14 years)</w:t>
            </w:r>
          </w:p>
        </w:tc>
        <w:tc>
          <w:tcPr>
            <w:tcW w:w="6946" w:type="dxa"/>
            <w:shd w:val="clear" w:color="auto" w:fill="auto"/>
          </w:tcPr>
          <w:p w:rsidR="00467321" w:rsidRPr="00543D25" w:rsidRDefault="00467321" w:rsidP="00991008">
            <w:pPr>
              <w:pStyle w:val="TableText"/>
              <w:ind w:right="113"/>
            </w:pPr>
            <w:r w:rsidRPr="00543D25">
              <w:t>Defined as having had one or more teeth removed in the child</w:t>
            </w:r>
            <w:r w:rsidR="00543D25" w:rsidRPr="00543D25">
              <w:t>’</w:t>
            </w:r>
            <w:r w:rsidRPr="00543D25">
              <w:t>s lifetime, due to decay, an abscess or infection. The</w:t>
            </w:r>
            <w:r w:rsidR="00991008">
              <w:t xml:space="preserve"> </w:t>
            </w:r>
            <w:r w:rsidRPr="00543D25">
              <w:t xml:space="preserve">term </w:t>
            </w:r>
            <w:r w:rsidR="00543D25" w:rsidRPr="00543D25">
              <w:t>‘</w:t>
            </w:r>
            <w:r w:rsidRPr="00543D25">
              <w:t>dental health care worker</w:t>
            </w:r>
            <w:r w:rsidR="00543D25" w:rsidRPr="00543D25">
              <w:t>’</w:t>
            </w:r>
            <w:r w:rsidRPr="00543D25">
              <w:t xml:space="preserve"> refers to dentists and other dental health care professionals, such as dental therapists and dental hygienists, as well as dental specialists, such as orthodontists</w:t>
            </w:r>
            <w:r w:rsidR="00991008">
              <w:t>.</w:t>
            </w:r>
          </w:p>
        </w:tc>
        <w:tc>
          <w:tcPr>
            <w:tcW w:w="5387" w:type="dxa"/>
            <w:shd w:val="clear" w:color="auto" w:fill="auto"/>
          </w:tcPr>
          <w:p w:rsidR="00467321" w:rsidRPr="00543D25" w:rsidRDefault="00467321" w:rsidP="00076708">
            <w:pPr>
              <w:pStyle w:val="TableText"/>
            </w:pPr>
            <w:r w:rsidRPr="00543D25">
              <w:t>Have any of [child</w:t>
            </w:r>
            <w:r w:rsidR="00543D25" w:rsidRPr="00543D25">
              <w:t>’</w:t>
            </w:r>
            <w:r w:rsidRPr="00543D25">
              <w:t>s name] teeth been removed by a dental health care worker because of tooth decay, an abscess or infection?</w:t>
            </w:r>
          </w:p>
          <w:p w:rsidR="00467321" w:rsidRPr="00543D25" w:rsidRDefault="00467321" w:rsidP="00076708">
            <w:pPr>
              <w:pStyle w:val="TableText"/>
            </w:pPr>
            <w:r w:rsidRPr="00543D25">
              <w:t>Do not include teeth lost for other reasons, such as injury, crowded mouth or orthodontics (Yes/No)</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Vegetable consumption meeting the guidelines</w:t>
            </w:r>
            <w:r w:rsidR="00991008">
              <w:br/>
            </w:r>
            <w:r w:rsidRPr="00543D25">
              <w:t>(2–14 years)</w:t>
            </w:r>
          </w:p>
        </w:tc>
        <w:tc>
          <w:tcPr>
            <w:tcW w:w="6946" w:type="dxa"/>
            <w:shd w:val="clear" w:color="auto" w:fill="auto"/>
          </w:tcPr>
          <w:p w:rsidR="00467321" w:rsidRPr="00543D25" w:rsidRDefault="00467321" w:rsidP="00F30DA8">
            <w:pPr>
              <w:pStyle w:val="TableText"/>
              <w:ind w:right="113"/>
            </w:pPr>
            <w:r w:rsidRPr="00543D25">
              <w:t>Defined as eating at least two servings of vegetables per day, and for children aged</w:t>
            </w:r>
            <w:r w:rsidR="00F30DA8">
              <w:br/>
            </w:r>
            <w:r w:rsidRPr="00543D25">
              <w:t>5–14 years as eating at least three servings of vegetables per day, as recommended by the Ministry of Health</w:t>
            </w:r>
            <w:r w:rsidR="00991008">
              <w:t>.</w:t>
            </w:r>
          </w:p>
        </w:tc>
        <w:tc>
          <w:tcPr>
            <w:tcW w:w="5387" w:type="dxa"/>
            <w:shd w:val="clear" w:color="auto" w:fill="auto"/>
          </w:tcPr>
          <w:p w:rsidR="00467321" w:rsidRPr="00543D25" w:rsidRDefault="00467321" w:rsidP="00076708">
            <w:pPr>
              <w:pStyle w:val="TableText"/>
            </w:pPr>
            <w:r w:rsidRPr="00543D25">
              <w:t>On average, how many servings of vegetables does [child</w:t>
            </w:r>
            <w:r w:rsidR="00543D25" w:rsidRPr="00543D25">
              <w:t>’</w:t>
            </w:r>
            <w:r w:rsidRPr="00543D25">
              <w:t>s name] eat per day? Please include all fresh, frozen and canned vegetables. Do not include vegetable juices.</w:t>
            </w:r>
          </w:p>
          <w:p w:rsidR="00467321" w:rsidRPr="00543D25" w:rsidRDefault="00467321" w:rsidP="00991008">
            <w:pPr>
              <w:pStyle w:val="TableText"/>
            </w:pPr>
            <w:r w:rsidRPr="00543D25">
              <w:t xml:space="preserve">A </w:t>
            </w:r>
            <w:r w:rsidR="00543D25" w:rsidRPr="00543D25">
              <w:t>‘</w:t>
            </w:r>
            <w:r w:rsidRPr="00543D25">
              <w:t>serving</w:t>
            </w:r>
            <w:r w:rsidR="00543D25" w:rsidRPr="00543D25">
              <w:t>’</w:t>
            </w:r>
            <w:r w:rsidRPr="00543D25">
              <w:t xml:space="preserve"> = 1 medium potato/ kumara or ½ cup cooked vegetables or 1 cup of salad vegetables. For example, 2</w:t>
            </w:r>
            <w:r w:rsidR="00991008">
              <w:t> </w:t>
            </w:r>
            <w:r w:rsidRPr="00543D25">
              <w:t>medium potatoes + ½ cup of peas = 3 servings</w:t>
            </w:r>
            <w:r w:rsidR="00991008">
              <w:t>.</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Fruit consumption meeting the guidelines</w:t>
            </w:r>
            <w:r w:rsidR="00991008">
              <w:br/>
            </w:r>
            <w:r w:rsidRPr="00543D25">
              <w:t>(2–14 years)</w:t>
            </w:r>
          </w:p>
        </w:tc>
        <w:tc>
          <w:tcPr>
            <w:tcW w:w="6946" w:type="dxa"/>
            <w:shd w:val="clear" w:color="auto" w:fill="auto"/>
          </w:tcPr>
          <w:p w:rsidR="00467321" w:rsidRPr="00543D25" w:rsidRDefault="00467321" w:rsidP="00900BD5">
            <w:pPr>
              <w:pStyle w:val="TableText"/>
              <w:ind w:right="113"/>
            </w:pPr>
            <w:r w:rsidRPr="00543D25">
              <w:t>Defined as eating at least two servings of fruit each day, as recommended by the Ministry of Health</w:t>
            </w:r>
            <w:r w:rsidR="00991008">
              <w:t>.</w:t>
            </w:r>
          </w:p>
        </w:tc>
        <w:tc>
          <w:tcPr>
            <w:tcW w:w="5387" w:type="dxa"/>
            <w:shd w:val="clear" w:color="auto" w:fill="auto"/>
          </w:tcPr>
          <w:p w:rsidR="00467321" w:rsidRPr="00543D25" w:rsidRDefault="00467321" w:rsidP="00991008">
            <w:pPr>
              <w:pStyle w:val="TableText"/>
            </w:pPr>
            <w:r w:rsidRPr="00543D25">
              <w:t>On average, how many servings of fruit does [child</w:t>
            </w:r>
            <w:r w:rsidR="00543D25" w:rsidRPr="00543D25">
              <w:t>’</w:t>
            </w:r>
            <w:r w:rsidRPr="00543D25">
              <w:t xml:space="preserve">s name] eat per day? Please include all fresh, frozen, canned and stewed fruit. Do not include fruit juice or dried fruit. A </w:t>
            </w:r>
            <w:r w:rsidR="00543D25" w:rsidRPr="00543D25">
              <w:t>‘</w:t>
            </w:r>
            <w:r w:rsidRPr="00543D25">
              <w:t>serving</w:t>
            </w:r>
            <w:r w:rsidR="00543D25" w:rsidRPr="00543D25">
              <w:t>’</w:t>
            </w:r>
            <w:r w:rsidRPr="00543D25">
              <w:t xml:space="preserve"> =</w:t>
            </w:r>
            <w:r w:rsidR="00991008">
              <w:t xml:space="preserve"> </w:t>
            </w:r>
            <w:r w:rsidRPr="00543D25">
              <w:t>1 medium piece or 2 small pieces of fruit or ½ cup of stewed fruit. For example,</w:t>
            </w:r>
            <w:r w:rsidR="00991008">
              <w:t xml:space="preserve"> </w:t>
            </w:r>
            <w:r w:rsidRPr="00543D25">
              <w:t>1 apple and 2 small apricots = 2 servings</w:t>
            </w:r>
            <w:r w:rsidR="00991008">
              <w:t>.</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Breakfast eaten at home &lt;5</w:t>
            </w:r>
            <w:r w:rsidR="00991008">
              <w:t> </w:t>
            </w:r>
            <w:r w:rsidRPr="00543D25">
              <w:t>days</w:t>
            </w:r>
            <w:r w:rsidR="00991008">
              <w:br/>
            </w:r>
            <w:r w:rsidRPr="00543D25">
              <w:t>(2–14 years)</w:t>
            </w:r>
          </w:p>
        </w:tc>
        <w:tc>
          <w:tcPr>
            <w:tcW w:w="6946" w:type="dxa"/>
            <w:shd w:val="clear" w:color="auto" w:fill="auto"/>
          </w:tcPr>
          <w:p w:rsidR="00467321" w:rsidRPr="00543D25" w:rsidRDefault="00467321" w:rsidP="00900BD5">
            <w:pPr>
              <w:pStyle w:val="TableText"/>
              <w:ind w:right="113"/>
            </w:pPr>
            <w:r w:rsidRPr="00543D25">
              <w:t>This indicator does not cover breakfast in other settings (eg, at school)</w:t>
            </w:r>
            <w:r w:rsidR="00991008">
              <w:t>.</w:t>
            </w:r>
          </w:p>
        </w:tc>
        <w:tc>
          <w:tcPr>
            <w:tcW w:w="5387" w:type="dxa"/>
            <w:shd w:val="clear" w:color="auto" w:fill="auto"/>
          </w:tcPr>
          <w:p w:rsidR="00467321" w:rsidRPr="00543D25" w:rsidRDefault="00467321" w:rsidP="00991008">
            <w:pPr>
              <w:pStyle w:val="TableText"/>
            </w:pPr>
            <w:r w:rsidRPr="00543D25">
              <w:t>Thinking back over the past</w:t>
            </w:r>
            <w:r w:rsidR="00991008">
              <w:t xml:space="preserve"> </w:t>
            </w:r>
            <w:r w:rsidRPr="00543D25">
              <w:t>7</w:t>
            </w:r>
            <w:r w:rsidR="00991008">
              <w:t> </w:t>
            </w:r>
            <w:r w:rsidRPr="00543D25">
              <w:t>days, on how many days did [child</w:t>
            </w:r>
            <w:r w:rsidR="00543D25" w:rsidRPr="00543D25">
              <w:t>’</w:t>
            </w:r>
            <w:r w:rsidRPr="00543D25">
              <w:t>s name] have breakfast at home? [If child was not at home in past week, ask caregiver to recall last 7 days child was at home]</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Fast food three or more times a week</w:t>
            </w:r>
            <w:r w:rsidR="00991008">
              <w:br/>
            </w:r>
            <w:r w:rsidRPr="00543D25">
              <w:t>(2–14 years)</w:t>
            </w:r>
          </w:p>
        </w:tc>
        <w:tc>
          <w:tcPr>
            <w:tcW w:w="6946" w:type="dxa"/>
            <w:shd w:val="clear" w:color="auto" w:fill="auto"/>
          </w:tcPr>
          <w:p w:rsidR="00467321" w:rsidRPr="00543D25" w:rsidRDefault="00467321" w:rsidP="00991008">
            <w:pPr>
              <w:pStyle w:val="TableText"/>
              <w:ind w:right="113"/>
            </w:pPr>
            <w:r w:rsidRPr="00543D25">
              <w:t>Defined as having eaten any food purchased from a fast-food place or takeaway shop, such</w:t>
            </w:r>
            <w:r w:rsidR="00991008">
              <w:t xml:space="preserve"> </w:t>
            </w:r>
            <w:r w:rsidRPr="00543D25">
              <w:t>as fish and chips, burgers, fried chicken or pizza, three or more times in the past week</w:t>
            </w:r>
            <w:r w:rsidR="00991008">
              <w:t>.</w:t>
            </w:r>
          </w:p>
        </w:tc>
        <w:tc>
          <w:tcPr>
            <w:tcW w:w="5387" w:type="dxa"/>
            <w:shd w:val="clear" w:color="auto" w:fill="auto"/>
          </w:tcPr>
          <w:p w:rsidR="00467321" w:rsidRPr="00543D25" w:rsidRDefault="00467321" w:rsidP="00991008">
            <w:pPr>
              <w:pStyle w:val="TableText"/>
            </w:pPr>
            <w:r w:rsidRPr="00543D25">
              <w:t>In the past 7 days, how many times did [child</w:t>
            </w:r>
            <w:r w:rsidR="00543D25" w:rsidRPr="00543D25">
              <w:t>’</w:t>
            </w:r>
            <w:r w:rsidRPr="00543D25">
              <w:t>s name] eat any food purchased from a fast food place or takeaway shop, such</w:t>
            </w:r>
            <w:r w:rsidR="00991008">
              <w:t xml:space="preserve"> </w:t>
            </w:r>
            <w:r w:rsidRPr="00543D25">
              <w:t>as fish and chips, burgers, fried chicken or pizza? This includes snacks as well as mealtimes</w:t>
            </w:r>
            <w:r w:rsidR="00991008">
              <w:t>.</w:t>
            </w:r>
          </w:p>
        </w:tc>
      </w:tr>
      <w:tr w:rsidR="00467321" w:rsidRPr="00467321" w:rsidTr="00F30DA8">
        <w:trPr>
          <w:cantSplit/>
        </w:trPr>
        <w:tc>
          <w:tcPr>
            <w:tcW w:w="2268" w:type="dxa"/>
            <w:shd w:val="clear" w:color="auto" w:fill="auto"/>
          </w:tcPr>
          <w:p w:rsidR="00467321" w:rsidRPr="00543D25" w:rsidRDefault="00467321" w:rsidP="00991008">
            <w:pPr>
              <w:pStyle w:val="TableText"/>
              <w:ind w:right="113"/>
            </w:pPr>
            <w:r w:rsidRPr="00543D25">
              <w:t>Fizzy drink three or more times a week</w:t>
            </w:r>
            <w:r w:rsidR="00991008">
              <w:br/>
            </w:r>
            <w:r w:rsidRPr="00543D25">
              <w:t>(2–14 years)</w:t>
            </w:r>
          </w:p>
        </w:tc>
        <w:tc>
          <w:tcPr>
            <w:tcW w:w="6946" w:type="dxa"/>
            <w:shd w:val="clear" w:color="auto" w:fill="auto"/>
          </w:tcPr>
          <w:p w:rsidR="00467321" w:rsidRPr="00543D25" w:rsidRDefault="00467321" w:rsidP="00900BD5">
            <w:pPr>
              <w:pStyle w:val="TableText"/>
              <w:ind w:right="113"/>
            </w:pPr>
            <w:r w:rsidRPr="00543D25">
              <w:t>Defined as having had a fizzy drink, such as cola or lemonade, three or more times in the past week</w:t>
            </w:r>
            <w:r w:rsidR="00991008">
              <w:t>.</w:t>
            </w:r>
          </w:p>
        </w:tc>
        <w:tc>
          <w:tcPr>
            <w:tcW w:w="5387" w:type="dxa"/>
            <w:shd w:val="clear" w:color="auto" w:fill="auto"/>
          </w:tcPr>
          <w:p w:rsidR="00467321" w:rsidRPr="00543D25" w:rsidRDefault="00467321" w:rsidP="00991008">
            <w:pPr>
              <w:pStyle w:val="TableText"/>
            </w:pPr>
            <w:r w:rsidRPr="00543D25">
              <w:t>In the past 7 days, how many times did [child</w:t>
            </w:r>
            <w:r w:rsidR="00543D25" w:rsidRPr="00543D25">
              <w:t>’</w:t>
            </w:r>
            <w:r w:rsidRPr="00543D25">
              <w:t>s name] have a fizzy drink, such as cola or lemonade? [This includes diet (artificially sweetened) and</w:t>
            </w:r>
            <w:r w:rsidR="00991008">
              <w:t xml:space="preserve"> </w:t>
            </w:r>
            <w:r w:rsidRPr="00543D25">
              <w:t xml:space="preserve">energy drinks such as </w:t>
            </w:r>
            <w:r w:rsidR="00543D25" w:rsidRPr="00543D25">
              <w:t>‘</w:t>
            </w:r>
            <w:r w:rsidRPr="00543D25">
              <w:t>Powerade</w:t>
            </w:r>
            <w:r w:rsidR="00543D25" w:rsidRPr="00543D25">
              <w:t>’</w:t>
            </w:r>
            <w:r w:rsidRPr="00543D25">
              <w:t xml:space="preserve"> or </w:t>
            </w:r>
            <w:r w:rsidR="00543D25" w:rsidRPr="00543D25">
              <w:t>‘</w:t>
            </w:r>
            <w:r w:rsidRPr="00543D25">
              <w:t>V</w:t>
            </w:r>
            <w:r w:rsidR="00543D25" w:rsidRPr="00543D25">
              <w:t>’</w:t>
            </w:r>
            <w:r w:rsidRPr="00543D25">
              <w:t xml:space="preserve"> but does not include powdered drinks made up with water such as cordial or </w:t>
            </w:r>
            <w:r w:rsidR="00543D25" w:rsidRPr="00543D25">
              <w:t>‘</w:t>
            </w:r>
            <w:r w:rsidRPr="00543D25">
              <w:t>Raro</w:t>
            </w:r>
            <w:r w:rsidR="00543D25" w:rsidRPr="00543D25">
              <w:t>’</w:t>
            </w:r>
            <w:r w:rsidRPr="00543D25">
              <w:t xml:space="preserve">, or fruit juice such as </w:t>
            </w:r>
            <w:r w:rsidR="00543D25" w:rsidRPr="00543D25">
              <w:t>‘</w:t>
            </w:r>
            <w:r w:rsidRPr="00543D25">
              <w:t>Just Juice</w:t>
            </w:r>
            <w:r w:rsidR="00543D25" w:rsidRPr="00543D25">
              <w:t>’</w:t>
            </w:r>
            <w:r w:rsidRPr="00543D25">
              <w:t>]</w:t>
            </w:r>
            <w:r w:rsidR="00991008">
              <w:t>.</w:t>
            </w:r>
          </w:p>
        </w:tc>
      </w:tr>
      <w:tr w:rsidR="00991008" w:rsidRPr="00467321" w:rsidTr="00F30DA8">
        <w:trPr>
          <w:cantSplit/>
        </w:trPr>
        <w:tc>
          <w:tcPr>
            <w:tcW w:w="2268" w:type="dxa"/>
            <w:shd w:val="clear" w:color="auto" w:fill="auto"/>
          </w:tcPr>
          <w:p w:rsidR="00991008" w:rsidRPr="00543D25" w:rsidRDefault="00991008" w:rsidP="00991008">
            <w:pPr>
              <w:pStyle w:val="TableText"/>
            </w:pPr>
            <w:r w:rsidRPr="00543D25">
              <w:lastRenderedPageBreak/>
              <w:t>Body size</w:t>
            </w:r>
            <w:r>
              <w:br/>
            </w:r>
            <w:r w:rsidRPr="00543D25">
              <w:t>(2–14 years)</w:t>
            </w:r>
          </w:p>
        </w:tc>
        <w:tc>
          <w:tcPr>
            <w:tcW w:w="6946" w:type="dxa"/>
            <w:shd w:val="clear" w:color="auto" w:fill="auto"/>
          </w:tcPr>
          <w:p w:rsidR="00991008" w:rsidRPr="00543D25" w:rsidRDefault="00991008" w:rsidP="00F30DA8">
            <w:pPr>
              <w:pStyle w:val="TableText"/>
              <w:ind w:right="113"/>
            </w:pPr>
            <w:r w:rsidRPr="00543D25">
              <w:t>The following applies to all body</w:t>
            </w:r>
            <w:r>
              <w:t xml:space="preserve"> </w:t>
            </w:r>
            <w:r w:rsidRPr="00543D25">
              <w:t>weight indicators: body mass</w:t>
            </w:r>
            <w:r>
              <w:t xml:space="preserve"> </w:t>
            </w:r>
            <w:r w:rsidRPr="00543D25">
              <w:t>index (BMI) was calculated by</w:t>
            </w:r>
            <w:r>
              <w:t xml:space="preserve"> </w:t>
            </w:r>
            <w:r w:rsidRPr="00543D25">
              <w:t>dividing weight in kilograms by</w:t>
            </w:r>
            <w:r>
              <w:t xml:space="preserve"> </w:t>
            </w:r>
            <w:r w:rsidRPr="00543D25">
              <w:t>height in metres squared (kg/m²). For children aged</w:t>
            </w:r>
            <w:r w:rsidR="00F30DA8">
              <w:t xml:space="preserve"> </w:t>
            </w:r>
            <w:r w:rsidRPr="00543D25">
              <w:t>2–14</w:t>
            </w:r>
            <w:r>
              <w:t xml:space="preserve"> </w:t>
            </w:r>
            <w:r w:rsidRPr="00543D25">
              <w:t>years, age- and sex-specific</w:t>
            </w:r>
            <w:r>
              <w:t xml:space="preserve"> </w:t>
            </w:r>
            <w:r w:rsidRPr="00543D25">
              <w:t>BMI cut-off points developed</w:t>
            </w:r>
            <w:r>
              <w:t xml:space="preserve"> </w:t>
            </w:r>
            <w:r w:rsidRPr="00543D25">
              <w:t>by the International Obesity</w:t>
            </w:r>
            <w:r>
              <w:t xml:space="preserve"> </w:t>
            </w:r>
            <w:r w:rsidRPr="00543D25">
              <w:t>Task Force were used to define</w:t>
            </w:r>
            <w:r>
              <w:t xml:space="preserve"> </w:t>
            </w:r>
            <w:r w:rsidRPr="00543D25">
              <w:t>BMI categories equivalent to</w:t>
            </w:r>
            <w:r>
              <w:t xml:space="preserve"> </w:t>
            </w:r>
            <w:r w:rsidRPr="00543D25">
              <w:t xml:space="preserve">those used for adults (Cole </w:t>
            </w:r>
            <w:r>
              <w:t xml:space="preserve">et al </w:t>
            </w:r>
            <w:r w:rsidRPr="00543D25">
              <w:t xml:space="preserve">2000; Cole </w:t>
            </w:r>
            <w:r>
              <w:t>et al</w:t>
            </w:r>
            <w:r w:rsidRPr="00543D25">
              <w:t xml:space="preserve"> 2007; Cole and</w:t>
            </w:r>
            <w:r>
              <w:t xml:space="preserve"> </w:t>
            </w:r>
            <w:r w:rsidRPr="00543D25">
              <w:t>Lobstein 2012)</w:t>
            </w:r>
            <w:r>
              <w:t>.</w:t>
            </w:r>
          </w:p>
        </w:tc>
        <w:tc>
          <w:tcPr>
            <w:tcW w:w="5387" w:type="dxa"/>
            <w:shd w:val="clear" w:color="auto" w:fill="auto"/>
          </w:tcPr>
          <w:p w:rsidR="00991008" w:rsidRPr="00543D25" w:rsidRDefault="00991008" w:rsidP="00076708">
            <w:pPr>
              <w:pStyle w:val="TableText"/>
            </w:pPr>
            <w:r w:rsidRPr="00543D25">
              <w:t>Measured height and weight.</w:t>
            </w:r>
            <w:r>
              <w:t xml:space="preserve"> </w:t>
            </w:r>
            <w:r w:rsidRPr="00543D25">
              <w:t>Height is measured using</w:t>
            </w:r>
            <w:r>
              <w:t xml:space="preserve"> </w:t>
            </w:r>
            <w:r w:rsidRPr="00543D25">
              <w:t>a professional laser meter</w:t>
            </w:r>
            <w:r>
              <w:t xml:space="preserve"> </w:t>
            </w:r>
            <w:r w:rsidRPr="00543D25">
              <w:t>mounted to a rigid headboard,</w:t>
            </w:r>
            <w:r>
              <w:t xml:space="preserve"> </w:t>
            </w:r>
            <w:r w:rsidRPr="00543D25">
              <w:t>which the interviewer holds</w:t>
            </w:r>
            <w:r>
              <w:t xml:space="preserve"> </w:t>
            </w:r>
            <w:r w:rsidRPr="00543D25">
              <w:t>against the corner of a wall or</w:t>
            </w:r>
            <w:r>
              <w:t xml:space="preserve"> </w:t>
            </w:r>
            <w:r w:rsidRPr="00543D25">
              <w:t>door. Weight is measured with</w:t>
            </w:r>
            <w:r>
              <w:t xml:space="preserve"> </w:t>
            </w:r>
            <w:r w:rsidRPr="00543D25">
              <w:t>electronic weighing scales. Waist</w:t>
            </w:r>
            <w:r>
              <w:t xml:space="preserve"> </w:t>
            </w:r>
            <w:r w:rsidRPr="00543D25">
              <w:t>circumference is measured using</w:t>
            </w:r>
            <w:r>
              <w:t xml:space="preserve"> </w:t>
            </w:r>
            <w:r w:rsidRPr="00543D25">
              <w:t>an anthropometric measuring</w:t>
            </w:r>
            <w:r>
              <w:t xml:space="preserve"> </w:t>
            </w:r>
            <w:r w:rsidRPr="00543D25">
              <w:t>tape. The measurement is taken</w:t>
            </w:r>
            <w:r>
              <w:t xml:space="preserve"> </w:t>
            </w:r>
            <w:r w:rsidRPr="00543D25">
              <w:t>over one layer of clothing at the</w:t>
            </w:r>
            <w:r>
              <w:t xml:space="preserve"> </w:t>
            </w:r>
            <w:r w:rsidRPr="00543D25">
              <w:t>midpoint between the lowest</w:t>
            </w:r>
            <w:r>
              <w:t xml:space="preserve"> </w:t>
            </w:r>
            <w:r w:rsidRPr="00543D25">
              <w:t>palpable rib and the top of the</w:t>
            </w:r>
            <w:r>
              <w:t xml:space="preserve"> </w:t>
            </w:r>
            <w:r w:rsidRPr="00543D25">
              <w:t>hip bone</w:t>
            </w:r>
            <w:r>
              <w:t>.</w:t>
            </w:r>
          </w:p>
          <w:p w:rsidR="00991008" w:rsidRPr="00543D25" w:rsidRDefault="00991008" w:rsidP="00991008">
            <w:pPr>
              <w:pStyle w:val="TableText"/>
            </w:pPr>
            <w:r w:rsidRPr="00543D25">
              <w:t>Height, weight and waist</w:t>
            </w:r>
            <w:r>
              <w:t xml:space="preserve"> </w:t>
            </w:r>
            <w:r w:rsidRPr="00543D25">
              <w:t>circumference measurements</w:t>
            </w:r>
            <w:r>
              <w:t xml:space="preserve"> </w:t>
            </w:r>
            <w:r w:rsidRPr="00543D25">
              <w:t>are taken a minimum of twice</w:t>
            </w:r>
            <w:r>
              <w:t xml:space="preserve"> </w:t>
            </w:r>
            <w:r w:rsidRPr="00543D25">
              <w:t>each. If there is more than a</w:t>
            </w:r>
            <w:r>
              <w:t xml:space="preserve"> </w:t>
            </w:r>
            <w:r w:rsidRPr="00543D25">
              <w:t>1 percent variation between the</w:t>
            </w:r>
            <w:r>
              <w:t xml:space="preserve"> </w:t>
            </w:r>
            <w:r w:rsidRPr="00543D25">
              <w:t>first and second measurements,</w:t>
            </w:r>
            <w:r>
              <w:t xml:space="preserve"> </w:t>
            </w:r>
            <w:r w:rsidRPr="00543D25">
              <w:t>then a third measurement is</w:t>
            </w:r>
            <w:r>
              <w:t xml:space="preserve"> </w:t>
            </w:r>
            <w:r w:rsidRPr="00543D25">
              <w:t>taken for accuracy. To align</w:t>
            </w:r>
            <w:r>
              <w:t xml:space="preserve"> </w:t>
            </w:r>
            <w:r w:rsidRPr="00543D25">
              <w:t>with international standards,</w:t>
            </w:r>
            <w:r>
              <w:t xml:space="preserve"> </w:t>
            </w:r>
            <w:r w:rsidRPr="00543D25">
              <w:t>the final height, weight and</w:t>
            </w:r>
            <w:r>
              <w:t xml:space="preserve"> </w:t>
            </w:r>
            <w:r w:rsidRPr="00543D25">
              <w:t>waist measurements used</w:t>
            </w:r>
            <w:r>
              <w:t xml:space="preserve"> </w:t>
            </w:r>
            <w:r w:rsidRPr="00543D25">
              <w:t>for analysis are calculated for</w:t>
            </w:r>
            <w:r>
              <w:t xml:space="preserve"> </w:t>
            </w:r>
            <w:r w:rsidRPr="00543D25">
              <w:t>each respondent by taking</w:t>
            </w:r>
            <w:r>
              <w:t xml:space="preserve"> </w:t>
            </w:r>
            <w:r w:rsidRPr="00543D25">
              <w:t>the mean of the two closest</w:t>
            </w:r>
            <w:r>
              <w:t xml:space="preserve"> </w:t>
            </w:r>
            <w:r w:rsidRPr="00543D25">
              <w:t>measurements</w:t>
            </w:r>
          </w:p>
        </w:tc>
      </w:tr>
      <w:tr w:rsidR="00467321" w:rsidRPr="00467321" w:rsidTr="00F30DA8">
        <w:trPr>
          <w:cantSplit/>
        </w:trPr>
        <w:tc>
          <w:tcPr>
            <w:tcW w:w="2268" w:type="dxa"/>
            <w:shd w:val="clear" w:color="auto" w:fill="auto"/>
          </w:tcPr>
          <w:p w:rsidR="00467321" w:rsidRPr="00543D25" w:rsidRDefault="00467321" w:rsidP="003973AD">
            <w:pPr>
              <w:pStyle w:val="TableText"/>
              <w:keepNext/>
            </w:pPr>
            <w:r w:rsidRPr="00543D25">
              <w:t>Healthy weight</w:t>
            </w:r>
            <w:r w:rsidR="003973AD">
              <w:br/>
            </w:r>
            <w:r w:rsidRPr="00543D25">
              <w:t>(2–14 years)</w:t>
            </w:r>
          </w:p>
        </w:tc>
        <w:tc>
          <w:tcPr>
            <w:tcW w:w="6946" w:type="dxa"/>
            <w:shd w:val="clear" w:color="auto" w:fill="auto"/>
          </w:tcPr>
          <w:p w:rsidR="00467321" w:rsidRPr="00543D25" w:rsidRDefault="00467321" w:rsidP="003973AD">
            <w:pPr>
              <w:pStyle w:val="TableText"/>
              <w:keepNext/>
              <w:ind w:right="113"/>
            </w:pPr>
            <w:r w:rsidRPr="00543D25">
              <w:t>Defined as a BMI equivalent to an adult BMI between 18.5 and 24.9</w:t>
            </w:r>
            <w:r w:rsidR="003973AD">
              <w:t>.</w:t>
            </w:r>
          </w:p>
        </w:tc>
        <w:tc>
          <w:tcPr>
            <w:tcW w:w="5387" w:type="dxa"/>
            <w:shd w:val="clear" w:color="auto" w:fill="auto"/>
          </w:tcPr>
          <w:p w:rsidR="00467321" w:rsidRPr="00543D25" w:rsidRDefault="00467321" w:rsidP="003973AD">
            <w:pPr>
              <w:pStyle w:val="TableText"/>
              <w:keepNext/>
              <w:rPr>
                <w:rFonts w:ascii="Times New Roman"/>
              </w:rPr>
            </w:pPr>
          </w:p>
        </w:tc>
      </w:tr>
      <w:tr w:rsidR="00467321" w:rsidRPr="00467321" w:rsidTr="00F30DA8">
        <w:trPr>
          <w:cantSplit/>
        </w:trPr>
        <w:tc>
          <w:tcPr>
            <w:tcW w:w="2268" w:type="dxa"/>
            <w:shd w:val="clear" w:color="auto" w:fill="auto"/>
          </w:tcPr>
          <w:p w:rsidR="00467321" w:rsidRPr="00543D25" w:rsidRDefault="00467321" w:rsidP="00F30DA8">
            <w:pPr>
              <w:pStyle w:val="TableText"/>
            </w:pPr>
            <w:r w:rsidRPr="00543D25">
              <w:t>Overweight (but not</w:t>
            </w:r>
            <w:r w:rsidR="00543D25" w:rsidRPr="00543D25">
              <w:t xml:space="preserve"> </w:t>
            </w:r>
            <w:r w:rsidRPr="00543D25">
              <w:t>obese)</w:t>
            </w:r>
            <w:r w:rsidR="00F30DA8">
              <w:t xml:space="preserve"> </w:t>
            </w:r>
            <w:r w:rsidRPr="00543D25">
              <w:t>(2–14 years)</w:t>
            </w:r>
          </w:p>
        </w:tc>
        <w:tc>
          <w:tcPr>
            <w:tcW w:w="6946" w:type="dxa"/>
            <w:shd w:val="clear" w:color="auto" w:fill="auto"/>
          </w:tcPr>
          <w:p w:rsidR="00467321" w:rsidRPr="00543D25" w:rsidRDefault="00467321" w:rsidP="00900BD5">
            <w:pPr>
              <w:pStyle w:val="TableText"/>
              <w:ind w:right="113"/>
            </w:pPr>
            <w:r w:rsidRPr="00543D25">
              <w:t>Defined as a BMI equivalent to an adult BMI between 25.0 and 29.9</w:t>
            </w:r>
            <w:r w:rsidR="003973AD">
              <w:t>.</w:t>
            </w:r>
          </w:p>
        </w:tc>
        <w:tc>
          <w:tcPr>
            <w:tcW w:w="5387" w:type="dxa"/>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F30DA8">
            <w:pPr>
              <w:pStyle w:val="TableText"/>
            </w:pPr>
            <w:r w:rsidRPr="00543D25">
              <w:t>Obese</w:t>
            </w:r>
            <w:r w:rsidR="00F30DA8">
              <w:t xml:space="preserve"> </w:t>
            </w:r>
            <w:r w:rsidRPr="00543D25">
              <w:t>(2–14 years)</w:t>
            </w:r>
          </w:p>
        </w:tc>
        <w:tc>
          <w:tcPr>
            <w:tcW w:w="6946" w:type="dxa"/>
            <w:shd w:val="clear" w:color="auto" w:fill="auto"/>
          </w:tcPr>
          <w:p w:rsidR="00467321" w:rsidRPr="00543D25" w:rsidRDefault="00467321" w:rsidP="003973AD">
            <w:pPr>
              <w:pStyle w:val="TableText"/>
              <w:ind w:right="113"/>
            </w:pPr>
            <w:r w:rsidRPr="00543D25">
              <w:t>Defined as a BMI equivalent to</w:t>
            </w:r>
            <w:r w:rsidR="003973AD">
              <w:t xml:space="preserve"> </w:t>
            </w:r>
            <w:r w:rsidRPr="00543D25">
              <w:t>an adult BMI of 30 (or greater)</w:t>
            </w:r>
            <w:r w:rsidR="003973AD">
              <w:t>.</w:t>
            </w:r>
          </w:p>
        </w:tc>
        <w:tc>
          <w:tcPr>
            <w:tcW w:w="5387" w:type="dxa"/>
            <w:shd w:val="clear" w:color="auto" w:fill="auto"/>
          </w:tcPr>
          <w:p w:rsidR="00467321" w:rsidRPr="00543D25" w:rsidRDefault="00467321" w:rsidP="00076708">
            <w:pPr>
              <w:pStyle w:val="TableText"/>
              <w:rPr>
                <w:rFonts w:ascii="Times New Roman"/>
              </w:rPr>
            </w:pPr>
          </w:p>
        </w:tc>
      </w:tr>
      <w:tr w:rsidR="003973AD" w:rsidRPr="00467321" w:rsidTr="00F30DA8">
        <w:trPr>
          <w:cantSplit/>
        </w:trPr>
        <w:tc>
          <w:tcPr>
            <w:tcW w:w="2268" w:type="dxa"/>
            <w:shd w:val="clear" w:color="auto" w:fill="auto"/>
          </w:tcPr>
          <w:p w:rsidR="003973AD" w:rsidRPr="00543D25" w:rsidRDefault="003973AD" w:rsidP="003973AD">
            <w:pPr>
              <w:pStyle w:val="TableText"/>
            </w:pPr>
            <w:r w:rsidRPr="00543D25">
              <w:t>Primary caregiver’s</w:t>
            </w:r>
            <w:r>
              <w:t xml:space="preserve"> </w:t>
            </w:r>
            <w:r w:rsidRPr="00543D25">
              <w:t>report of child’s health status fair/poor</w:t>
            </w:r>
          </w:p>
        </w:tc>
        <w:tc>
          <w:tcPr>
            <w:tcW w:w="6946" w:type="dxa"/>
            <w:shd w:val="clear" w:color="auto" w:fill="auto"/>
          </w:tcPr>
          <w:p w:rsidR="003973AD" w:rsidRPr="00543D25" w:rsidRDefault="003973AD" w:rsidP="003973AD">
            <w:pPr>
              <w:pStyle w:val="TableText"/>
              <w:ind w:right="113"/>
            </w:pPr>
            <w:r w:rsidRPr="00543D25">
              <w:t>Children are categorised as</w:t>
            </w:r>
            <w:r>
              <w:t xml:space="preserve"> </w:t>
            </w:r>
            <w:r w:rsidRPr="00543D25">
              <w:t>having fair or poor parent-rated health if the child’s parent or caregiver answered ‘fair’ or</w:t>
            </w:r>
            <w:r>
              <w:t xml:space="preserve"> </w:t>
            </w:r>
            <w:r w:rsidRPr="00543D25">
              <w:t>‘poor’ to the question in the</w:t>
            </w:r>
            <w:r>
              <w:t xml:space="preserve"> </w:t>
            </w:r>
            <w:r w:rsidRPr="00543D25">
              <w:t>right-hand column.</w:t>
            </w:r>
          </w:p>
        </w:tc>
        <w:tc>
          <w:tcPr>
            <w:tcW w:w="5387" w:type="dxa"/>
            <w:shd w:val="clear" w:color="auto" w:fill="auto"/>
          </w:tcPr>
          <w:p w:rsidR="003973AD" w:rsidRPr="00543D25" w:rsidRDefault="003973AD" w:rsidP="003973AD">
            <w:pPr>
              <w:pStyle w:val="TableText"/>
            </w:pPr>
            <w:r w:rsidRPr="00543D25">
              <w:t>In general, would you say [child’s</w:t>
            </w:r>
            <w:r>
              <w:t xml:space="preserve"> </w:t>
            </w:r>
            <w:r w:rsidRPr="00543D25">
              <w:t>name]’s health is:</w:t>
            </w:r>
            <w:r>
              <w:t xml:space="preserve"> </w:t>
            </w:r>
            <w:r w:rsidRPr="00543D25">
              <w:t>Excellent/Very good/Good/Fair/Poor?</w:t>
            </w:r>
          </w:p>
        </w:tc>
      </w:tr>
      <w:tr w:rsidR="003973AD" w:rsidRPr="00467321" w:rsidTr="00F30DA8">
        <w:trPr>
          <w:cantSplit/>
        </w:trPr>
        <w:tc>
          <w:tcPr>
            <w:tcW w:w="2268" w:type="dxa"/>
            <w:shd w:val="clear" w:color="auto" w:fill="auto"/>
          </w:tcPr>
          <w:p w:rsidR="003973AD" w:rsidRPr="00543D25" w:rsidRDefault="003973AD" w:rsidP="003973AD">
            <w:pPr>
              <w:pStyle w:val="TableText"/>
            </w:pPr>
            <w:r w:rsidRPr="00543D25">
              <w:t>Primary caregiver’s</w:t>
            </w:r>
            <w:r>
              <w:t xml:space="preserve"> </w:t>
            </w:r>
            <w:r w:rsidRPr="00543D25">
              <w:t>self-reported health status fair/poor (2015/16 only)</w:t>
            </w:r>
          </w:p>
        </w:tc>
        <w:tc>
          <w:tcPr>
            <w:tcW w:w="6946" w:type="dxa"/>
            <w:shd w:val="clear" w:color="auto" w:fill="auto"/>
          </w:tcPr>
          <w:p w:rsidR="003973AD" w:rsidRPr="00543D25" w:rsidRDefault="003973AD" w:rsidP="003973AD">
            <w:pPr>
              <w:pStyle w:val="TableText"/>
              <w:ind w:right="113"/>
            </w:pPr>
            <w:r w:rsidRPr="00543D25">
              <w:t>For this indicator, responses</w:t>
            </w:r>
            <w:r>
              <w:t xml:space="preserve"> </w:t>
            </w:r>
            <w:r w:rsidRPr="00543D25">
              <w:t>were used only if the adult questionnaire respondent was also the primary caregiver</w:t>
            </w:r>
            <w:r>
              <w:t xml:space="preserve"> </w:t>
            </w:r>
            <w:r w:rsidRPr="00543D25">
              <w:t>completing the child’s</w:t>
            </w:r>
            <w:r>
              <w:t xml:space="preserve"> </w:t>
            </w:r>
            <w:r w:rsidRPr="00543D25">
              <w:t>questionnaire</w:t>
            </w:r>
            <w:r>
              <w:t>.</w:t>
            </w:r>
          </w:p>
        </w:tc>
        <w:tc>
          <w:tcPr>
            <w:tcW w:w="5387" w:type="dxa"/>
            <w:shd w:val="clear" w:color="auto" w:fill="auto"/>
          </w:tcPr>
          <w:p w:rsidR="003973AD" w:rsidRPr="00543D25" w:rsidRDefault="003973AD" w:rsidP="003973AD">
            <w:pPr>
              <w:pStyle w:val="TableText"/>
            </w:pPr>
            <w:r w:rsidRPr="00543D25">
              <w:t>In general, would you say your</w:t>
            </w:r>
            <w:r>
              <w:t xml:space="preserve"> </w:t>
            </w:r>
            <w:r w:rsidRPr="00543D25">
              <w:t>health is:</w:t>
            </w:r>
            <w:r>
              <w:t xml:space="preserve"> </w:t>
            </w:r>
            <w:r w:rsidRPr="00543D25">
              <w:t>Excellent/Very good/</w:t>
            </w:r>
            <w:r>
              <w:t xml:space="preserve"> </w:t>
            </w:r>
            <w:r w:rsidRPr="00543D25">
              <w:t>Good/Fair/Poor?</w:t>
            </w:r>
          </w:p>
        </w:tc>
      </w:tr>
      <w:tr w:rsidR="00467321" w:rsidRPr="00467321" w:rsidTr="00F30DA8">
        <w:trPr>
          <w:cantSplit/>
        </w:trPr>
        <w:tc>
          <w:tcPr>
            <w:tcW w:w="2268" w:type="dxa"/>
            <w:shd w:val="clear" w:color="auto" w:fill="auto"/>
          </w:tcPr>
          <w:p w:rsidR="00467321" w:rsidRPr="00543D25" w:rsidRDefault="00467321" w:rsidP="003973AD">
            <w:pPr>
              <w:pStyle w:val="TableText"/>
              <w:ind w:right="113"/>
            </w:pPr>
            <w:r w:rsidRPr="00543D25">
              <w:t>Asthma medicated</w:t>
            </w:r>
            <w:r w:rsidR="003973AD">
              <w:br/>
            </w:r>
            <w:r w:rsidRPr="00543D25">
              <w:t>(5–14 years)</w:t>
            </w:r>
          </w:p>
        </w:tc>
        <w:tc>
          <w:tcPr>
            <w:tcW w:w="6946" w:type="dxa"/>
            <w:shd w:val="clear" w:color="auto" w:fill="auto"/>
          </w:tcPr>
          <w:p w:rsidR="00467321" w:rsidRPr="00543D25" w:rsidRDefault="00467321" w:rsidP="00900BD5">
            <w:pPr>
              <w:pStyle w:val="TableText"/>
              <w:ind w:right="113"/>
            </w:pPr>
            <w:r w:rsidRPr="00543D25">
              <w:t>Defined as the child</w:t>
            </w:r>
            <w:r w:rsidR="00543D25" w:rsidRPr="00543D25">
              <w:t>’</w:t>
            </w:r>
            <w:r w:rsidRPr="00543D25">
              <w:t>s parents or caregivers having ever been told by a doctor that the child has asthma, and if they now use treatments for asthma (including inhalers, medicine, tablets or pills)</w:t>
            </w:r>
            <w:r w:rsidR="003973AD">
              <w:t>.</w:t>
            </w:r>
          </w:p>
        </w:tc>
        <w:tc>
          <w:tcPr>
            <w:tcW w:w="5387" w:type="dxa"/>
            <w:shd w:val="clear" w:color="auto" w:fill="auto"/>
          </w:tcPr>
          <w:p w:rsidR="00467321" w:rsidRPr="00543D25" w:rsidRDefault="00467321" w:rsidP="00076708">
            <w:pPr>
              <w:pStyle w:val="TableText"/>
            </w:pPr>
            <w:r w:rsidRPr="00543D25">
              <w:t>Have you ever been told by a doctor that [child</w:t>
            </w:r>
            <w:r w:rsidR="00543D25" w:rsidRPr="00543D25">
              <w:t>’</w:t>
            </w:r>
            <w:r w:rsidRPr="00543D25">
              <w:t>s name] has asthma? (Yes/No)</w:t>
            </w:r>
          </w:p>
          <w:p w:rsidR="00467321" w:rsidRPr="00543D25" w:rsidRDefault="00467321" w:rsidP="00F30DA8">
            <w:pPr>
              <w:pStyle w:val="TableText"/>
            </w:pPr>
            <w:r w:rsidRPr="00543D25">
              <w:t>What treatments does [child</w:t>
            </w:r>
            <w:r w:rsidR="00543D25" w:rsidRPr="00543D25">
              <w:t>’</w:t>
            </w:r>
            <w:r w:rsidRPr="00543D25">
              <w:t>s name] now have for asthma? (No</w:t>
            </w:r>
            <w:r w:rsidR="00F30DA8">
              <w:t> </w:t>
            </w:r>
            <w:r w:rsidRPr="00543D25">
              <w:t>treatment/inhaler/medicine, tablets or pills/something else)</w:t>
            </w:r>
          </w:p>
        </w:tc>
      </w:tr>
      <w:tr w:rsidR="00467321" w:rsidRPr="00467321" w:rsidTr="00F30DA8">
        <w:trPr>
          <w:cantSplit/>
        </w:trPr>
        <w:tc>
          <w:tcPr>
            <w:tcW w:w="2268" w:type="dxa"/>
            <w:shd w:val="clear" w:color="auto" w:fill="auto"/>
          </w:tcPr>
          <w:p w:rsidR="00467321" w:rsidRPr="00543D25" w:rsidRDefault="00467321" w:rsidP="00900BD5">
            <w:pPr>
              <w:pStyle w:val="TableText"/>
              <w:ind w:right="113"/>
            </w:pPr>
            <w:r w:rsidRPr="00543D25">
              <w:lastRenderedPageBreak/>
              <w:t>Eczema medicated</w:t>
            </w:r>
          </w:p>
        </w:tc>
        <w:tc>
          <w:tcPr>
            <w:tcW w:w="6946" w:type="dxa"/>
            <w:shd w:val="clear" w:color="auto" w:fill="auto"/>
          </w:tcPr>
          <w:p w:rsidR="00467321" w:rsidRPr="00543D25" w:rsidRDefault="00467321" w:rsidP="00900BD5">
            <w:pPr>
              <w:pStyle w:val="TableText"/>
              <w:ind w:right="113"/>
            </w:pPr>
            <w:r w:rsidRPr="00543D25">
              <w:t>Defined as the child</w:t>
            </w:r>
            <w:r w:rsidR="00543D25" w:rsidRPr="00543D25">
              <w:t>’</w:t>
            </w:r>
            <w:r w:rsidRPr="00543D25">
              <w:t>s parents or caregivers having ever been told by a doctor that the child has eczema, and if they now use treatments for eczema (including cream, ointment, medicine, tablets or pills)</w:t>
            </w:r>
            <w:r w:rsidR="003973AD">
              <w:t>.</w:t>
            </w:r>
          </w:p>
        </w:tc>
        <w:tc>
          <w:tcPr>
            <w:tcW w:w="5387" w:type="dxa"/>
            <w:shd w:val="clear" w:color="auto" w:fill="auto"/>
          </w:tcPr>
          <w:p w:rsidR="003973AD" w:rsidRDefault="00467321" w:rsidP="00076708">
            <w:pPr>
              <w:pStyle w:val="TableText"/>
            </w:pPr>
            <w:r w:rsidRPr="00543D25">
              <w:t>Have you ever been told by a doctor that [child</w:t>
            </w:r>
            <w:r w:rsidR="00543D25" w:rsidRPr="00543D25">
              <w:t>’</w:t>
            </w:r>
            <w:r w:rsidRPr="00543D25">
              <w:t>s name] has eczema? (Yes/No)</w:t>
            </w:r>
          </w:p>
          <w:p w:rsidR="00467321" w:rsidRPr="00543D25" w:rsidRDefault="00467321" w:rsidP="003973AD">
            <w:pPr>
              <w:pStyle w:val="TableText"/>
            </w:pPr>
            <w:r w:rsidRPr="00543D25">
              <w:t>What</w:t>
            </w:r>
            <w:r w:rsidR="003973AD">
              <w:t xml:space="preserve"> </w:t>
            </w:r>
            <w:r w:rsidRPr="00543D25">
              <w:t>treatments does [child</w:t>
            </w:r>
            <w:r w:rsidR="00543D25" w:rsidRPr="00543D25">
              <w:t>’</w:t>
            </w:r>
            <w:r w:rsidRPr="00543D25">
              <w:t>s name] now have for eczema? (No</w:t>
            </w:r>
            <w:r w:rsidR="003973AD">
              <w:t> </w:t>
            </w:r>
            <w:r w:rsidRPr="00543D25">
              <w:t>treatment/medicine, tablets</w:t>
            </w:r>
            <w:r w:rsidR="003973AD">
              <w:t xml:space="preserve"> </w:t>
            </w:r>
            <w:r w:rsidRPr="00543D25">
              <w:t>or pills/cream or ointment/ something else)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Learning, development or behaviour concerns</w:t>
            </w:r>
            <w:r>
              <w:br/>
            </w:r>
            <w:r w:rsidRPr="00543D25">
              <w:t>(4 months–8</w:t>
            </w:r>
            <w:r>
              <w:t> </w:t>
            </w:r>
            <w:r w:rsidRPr="00543D25">
              <w:t>years)</w:t>
            </w:r>
          </w:p>
        </w:tc>
        <w:tc>
          <w:tcPr>
            <w:tcW w:w="6946" w:type="dxa"/>
            <w:vMerge w:val="restart"/>
            <w:shd w:val="clear" w:color="auto" w:fill="auto"/>
          </w:tcPr>
          <w:p w:rsidR="00F30DA8" w:rsidRPr="00543D25" w:rsidRDefault="00F30DA8" w:rsidP="00900BD5">
            <w:pPr>
              <w:pStyle w:val="TableText"/>
              <w:ind w:right="113"/>
            </w:pPr>
            <w:r w:rsidRPr="00543D25">
              <w:t>The following nine items are part of the Parent’s Evaluation of Developmental Status (Survey PEDS).</w:t>
            </w:r>
          </w:p>
        </w:tc>
        <w:tc>
          <w:tcPr>
            <w:tcW w:w="5387" w:type="dxa"/>
            <w:shd w:val="clear" w:color="auto" w:fill="auto"/>
          </w:tcPr>
          <w:p w:rsidR="00F30DA8" w:rsidRPr="00543D25" w:rsidRDefault="00F30DA8" w:rsidP="00F30DA8">
            <w:pPr>
              <w:pStyle w:val="TableText"/>
            </w:pPr>
            <w:r w:rsidRPr="00543D25">
              <w:t>Do you have any concerns about [child’s name] learning, development, or behaviour?</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Speech 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talks and makes speech sounds?</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Understanding 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understands what you say?</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Hand/finger use</w:t>
            </w:r>
            <w:r>
              <w:t xml:space="preserve"> </w:t>
            </w:r>
            <w:r w:rsidRPr="00543D25">
              <w:t>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uses his/her hands and fingers to do things?</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Arm/leg use 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uses his/her arms and legs?</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Behaviour 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behaves?</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Getting along with others concerns</w:t>
            </w:r>
            <w:r>
              <w:br/>
            </w:r>
            <w:r w:rsidRPr="00543D25">
              <w:t>(4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gets along with others?</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Learning to do things themselves concerns</w:t>
            </w:r>
            <w:r>
              <w:br/>
            </w:r>
            <w:r w:rsidRPr="00543D25">
              <w:t>(10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is learning to do things for [himself/herself]?</w:t>
            </w:r>
            <w:r>
              <w:t xml:space="preserve"> </w:t>
            </w:r>
            <w:r w:rsidRPr="00543D25">
              <w:t>(No/Yes/A little)</w:t>
            </w:r>
          </w:p>
        </w:tc>
      </w:tr>
      <w:tr w:rsidR="00F30DA8" w:rsidRPr="00467321" w:rsidTr="00F30DA8">
        <w:trPr>
          <w:cantSplit/>
        </w:trPr>
        <w:tc>
          <w:tcPr>
            <w:tcW w:w="2268" w:type="dxa"/>
            <w:shd w:val="clear" w:color="auto" w:fill="auto"/>
          </w:tcPr>
          <w:p w:rsidR="00F30DA8" w:rsidRPr="00543D25" w:rsidRDefault="00F30DA8" w:rsidP="003973AD">
            <w:pPr>
              <w:pStyle w:val="TableText"/>
            </w:pPr>
            <w:r w:rsidRPr="00543D25">
              <w:t>Learning preschool or school skills concerns</w:t>
            </w:r>
            <w:r>
              <w:br/>
            </w:r>
            <w:r w:rsidRPr="00543D25">
              <w:t>(18 months–8</w:t>
            </w:r>
            <w:r>
              <w:t> </w:t>
            </w:r>
            <w:r w:rsidRPr="00543D25">
              <w:t>years)</w:t>
            </w:r>
          </w:p>
        </w:tc>
        <w:tc>
          <w:tcPr>
            <w:tcW w:w="6946" w:type="dxa"/>
            <w:vMerge/>
            <w:shd w:val="clear" w:color="auto" w:fill="auto"/>
          </w:tcPr>
          <w:p w:rsidR="00F30DA8" w:rsidRPr="00467321" w:rsidRDefault="00F30DA8" w:rsidP="00900BD5">
            <w:pPr>
              <w:pStyle w:val="TableText"/>
              <w:ind w:right="113"/>
              <w:rPr>
                <w:sz w:val="2"/>
                <w:szCs w:val="2"/>
              </w:rPr>
            </w:pPr>
          </w:p>
        </w:tc>
        <w:tc>
          <w:tcPr>
            <w:tcW w:w="5387" w:type="dxa"/>
            <w:shd w:val="clear" w:color="auto" w:fill="auto"/>
          </w:tcPr>
          <w:p w:rsidR="00F30DA8" w:rsidRPr="00543D25" w:rsidRDefault="00F30DA8" w:rsidP="00F30DA8">
            <w:pPr>
              <w:pStyle w:val="TableText"/>
            </w:pPr>
            <w:r w:rsidRPr="00543D25">
              <w:t>Do you have any concerns about how [child’s name] is learning preschool or school skills?</w:t>
            </w:r>
            <w:r>
              <w:t xml:space="preserve"> </w:t>
            </w:r>
            <w:r w:rsidRPr="00543D25">
              <w:t>(No/Yes/A little)</w:t>
            </w:r>
          </w:p>
        </w:tc>
      </w:tr>
      <w:tr w:rsidR="006F3531" w:rsidRPr="00467321" w:rsidTr="00F30DA8">
        <w:trPr>
          <w:cantSplit/>
        </w:trPr>
        <w:tc>
          <w:tcPr>
            <w:tcW w:w="2268" w:type="dxa"/>
            <w:shd w:val="clear" w:color="auto" w:fill="auto"/>
          </w:tcPr>
          <w:p w:rsidR="006F3531" w:rsidRPr="00543D25" w:rsidRDefault="006F3531" w:rsidP="00F30DA8">
            <w:pPr>
              <w:pStyle w:val="TableText"/>
              <w:ind w:right="113"/>
            </w:pPr>
            <w:r w:rsidRPr="00543D25">
              <w:t>Concerning</w:t>
            </w:r>
            <w:r>
              <w:t xml:space="preserve"> </w:t>
            </w:r>
            <w:r w:rsidRPr="00543D25">
              <w:t>total Strengths</w:t>
            </w:r>
            <w:r>
              <w:t xml:space="preserve"> </w:t>
            </w:r>
            <w:r w:rsidRPr="00543D25">
              <w:t>and Difficulties</w:t>
            </w:r>
            <w:r>
              <w:t xml:space="preserve"> </w:t>
            </w:r>
            <w:r w:rsidRPr="00543D25">
              <w:t>Questionnaire</w:t>
            </w:r>
            <w:r>
              <w:t xml:space="preserve"> </w:t>
            </w:r>
            <w:r w:rsidRPr="00543D25">
              <w:t>(SDQ) score</w:t>
            </w:r>
            <w:r w:rsidR="00F30DA8">
              <w:t xml:space="preserve"> </w:t>
            </w:r>
            <w:r w:rsidRPr="00543D25">
              <w:t>(3–14 years)</w:t>
            </w:r>
          </w:p>
        </w:tc>
        <w:tc>
          <w:tcPr>
            <w:tcW w:w="6946" w:type="dxa"/>
            <w:shd w:val="clear" w:color="auto" w:fill="auto"/>
          </w:tcPr>
          <w:p w:rsidR="006F3531" w:rsidRPr="00543D25" w:rsidRDefault="006F3531" w:rsidP="006F3531">
            <w:pPr>
              <w:pStyle w:val="TableText"/>
              <w:ind w:right="113"/>
            </w:pPr>
            <w:r w:rsidRPr="00543D25">
              <w:t>The following five indicators are</w:t>
            </w:r>
            <w:r>
              <w:t xml:space="preserve"> </w:t>
            </w:r>
            <w:r w:rsidRPr="00543D25">
              <w:t>part of the SDQ. The total score</w:t>
            </w:r>
            <w:r>
              <w:t xml:space="preserve"> </w:t>
            </w:r>
            <w:r w:rsidRPr="00543D25">
              <w:t>is the sum of the scores for</w:t>
            </w:r>
            <w:r>
              <w:t xml:space="preserve"> </w:t>
            </w:r>
            <w:r w:rsidRPr="00543D25">
              <w:t>questions covering emotional</w:t>
            </w:r>
            <w:r>
              <w:t xml:space="preserve"> </w:t>
            </w:r>
            <w:r w:rsidRPr="00543D25">
              <w:t>symptoms, peer problems,</w:t>
            </w:r>
            <w:r>
              <w:t xml:space="preserve"> </w:t>
            </w:r>
            <w:r w:rsidRPr="00543D25">
              <w:t>hyperactivity and conduct</w:t>
            </w:r>
            <w:r>
              <w:t xml:space="preserve"> </w:t>
            </w:r>
            <w:r w:rsidRPr="00543D25">
              <w:t>problems. A concerning total</w:t>
            </w:r>
            <w:r>
              <w:t xml:space="preserve"> </w:t>
            </w:r>
            <w:r w:rsidRPr="00543D25">
              <w:t>score is a score above 15 for</w:t>
            </w:r>
            <w:r>
              <w:t xml:space="preserve"> </w:t>
            </w:r>
            <w:r w:rsidRPr="00543D25">
              <w:t>children aged 3 and 4 years and</w:t>
            </w:r>
            <w:r>
              <w:t xml:space="preserve"> </w:t>
            </w:r>
            <w:r w:rsidRPr="00543D25">
              <w:t>above 16 for children between 5</w:t>
            </w:r>
            <w:r>
              <w:t xml:space="preserve"> </w:t>
            </w:r>
            <w:r w:rsidRPr="00543D25">
              <w:t>and 14 years (there are</w:t>
            </w:r>
            <w:r>
              <w:t xml:space="preserve"> </w:t>
            </w:r>
            <w:r w:rsidRPr="00543D25">
              <w:t>20</w:t>
            </w:r>
            <w:r>
              <w:t> </w:t>
            </w:r>
            <w:r w:rsidRPr="00543D25">
              <w:t>questions; the range of</w:t>
            </w:r>
            <w:r>
              <w:t xml:space="preserve"> </w:t>
            </w:r>
            <w:r w:rsidRPr="00543D25">
              <w:t>scores is 0–40)</w:t>
            </w:r>
            <w:r>
              <w:t>.</w:t>
            </w:r>
          </w:p>
        </w:tc>
        <w:tc>
          <w:tcPr>
            <w:tcW w:w="5387" w:type="dxa"/>
            <w:shd w:val="clear" w:color="auto" w:fill="auto"/>
          </w:tcPr>
          <w:p w:rsidR="006F3531" w:rsidRPr="00543D25" w:rsidRDefault="006F3531" w:rsidP="00F30DA8">
            <w:pPr>
              <w:pStyle w:val="TableText"/>
            </w:pPr>
            <w:r w:rsidRPr="00543D25">
              <w:t>See Child Questionnaire</w:t>
            </w:r>
            <w:r w:rsidR="00F30DA8">
              <w:t xml:space="preserve"> </w:t>
            </w:r>
            <w:r w:rsidRPr="00543D25">
              <w:t>(Ministry of Health 2016a)</w:t>
            </w:r>
          </w:p>
        </w:tc>
      </w:tr>
      <w:tr w:rsidR="006F3531" w:rsidRPr="00467321" w:rsidTr="00F30DA8">
        <w:trPr>
          <w:cantSplit/>
        </w:trPr>
        <w:tc>
          <w:tcPr>
            <w:tcW w:w="2268" w:type="dxa"/>
            <w:shd w:val="clear" w:color="auto" w:fill="auto"/>
          </w:tcPr>
          <w:p w:rsidR="006F3531" w:rsidRPr="00543D25" w:rsidRDefault="006F3531" w:rsidP="006F3531">
            <w:pPr>
              <w:pStyle w:val="TableText"/>
              <w:ind w:right="113"/>
            </w:pPr>
            <w:r w:rsidRPr="00543D25">
              <w:lastRenderedPageBreak/>
              <w:t>Concerning</w:t>
            </w:r>
            <w:r>
              <w:t xml:space="preserve"> </w:t>
            </w:r>
            <w:r w:rsidRPr="00543D25">
              <w:t>emotional</w:t>
            </w:r>
            <w:r>
              <w:t xml:space="preserve"> </w:t>
            </w:r>
            <w:r w:rsidRPr="00543D25">
              <w:t>symptoms SDQ</w:t>
            </w:r>
            <w:r>
              <w:br/>
            </w:r>
            <w:r w:rsidRPr="00543D25">
              <w:t>(3–14 years)</w:t>
            </w:r>
          </w:p>
        </w:tc>
        <w:tc>
          <w:tcPr>
            <w:tcW w:w="6946" w:type="dxa"/>
            <w:shd w:val="clear" w:color="auto" w:fill="auto"/>
          </w:tcPr>
          <w:p w:rsidR="006F3531" w:rsidRPr="00543D25" w:rsidRDefault="006F3531" w:rsidP="00F30DA8">
            <w:pPr>
              <w:pStyle w:val="TableText"/>
              <w:ind w:right="113"/>
            </w:pPr>
            <w:r w:rsidRPr="00543D25">
              <w:t>A score above 3 for children</w:t>
            </w:r>
            <w:r>
              <w:t xml:space="preserve"> </w:t>
            </w:r>
            <w:r w:rsidRPr="00543D25">
              <w:t>aged 3</w:t>
            </w:r>
            <w:r>
              <w:t> </w:t>
            </w:r>
            <w:r w:rsidRPr="00543D25">
              <w:t>and 4 years and above</w:t>
            </w:r>
            <w:r>
              <w:t xml:space="preserve"> </w:t>
            </w:r>
            <w:r w:rsidRPr="00543D25">
              <w:t>4 for those between 5</w:t>
            </w:r>
            <w:r w:rsidR="00F30DA8">
              <w:t> </w:t>
            </w:r>
            <w:r w:rsidRPr="00543D25">
              <w:t>and 14</w:t>
            </w:r>
            <w:r w:rsidR="00F30DA8">
              <w:t> </w:t>
            </w:r>
            <w:r w:rsidRPr="00543D25">
              <w:t>years olds on the emotional</w:t>
            </w:r>
            <w:r>
              <w:t xml:space="preserve"> </w:t>
            </w:r>
            <w:r w:rsidRPr="00543D25">
              <w:t>symptoms subscale (there are</w:t>
            </w:r>
            <w:r>
              <w:t xml:space="preserve"> </w:t>
            </w:r>
            <w:r w:rsidRPr="00543D25">
              <w:t>five questions; the range of</w:t>
            </w:r>
            <w:r>
              <w:t xml:space="preserve"> </w:t>
            </w:r>
            <w:r w:rsidRPr="00543D25">
              <w:t>scores is 0–10)</w:t>
            </w:r>
            <w:r>
              <w:t>.</w:t>
            </w:r>
          </w:p>
        </w:tc>
        <w:tc>
          <w:tcPr>
            <w:tcW w:w="5387" w:type="dxa"/>
            <w:shd w:val="clear" w:color="auto" w:fill="auto"/>
          </w:tcPr>
          <w:p w:rsidR="006F3531" w:rsidRPr="00543D25" w:rsidRDefault="006F353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6F3531">
            <w:pPr>
              <w:pStyle w:val="TableText"/>
              <w:ind w:right="113"/>
            </w:pPr>
            <w:r w:rsidRPr="00543D25">
              <w:t>Concerning peer problems SDQ</w:t>
            </w:r>
            <w:r w:rsidR="006F3531">
              <w:br/>
            </w:r>
            <w:r w:rsidRPr="00543D25">
              <w:t>(3–14 years)</w:t>
            </w:r>
          </w:p>
        </w:tc>
        <w:tc>
          <w:tcPr>
            <w:tcW w:w="6946" w:type="dxa"/>
            <w:shd w:val="clear" w:color="auto" w:fill="auto"/>
          </w:tcPr>
          <w:p w:rsidR="00467321" w:rsidRPr="00543D25" w:rsidRDefault="00467321" w:rsidP="00F30DA8">
            <w:pPr>
              <w:pStyle w:val="TableText"/>
              <w:ind w:right="113"/>
            </w:pPr>
            <w:r w:rsidRPr="00543D25">
              <w:t>A score above 3 for children aged</w:t>
            </w:r>
            <w:r w:rsidR="00F30DA8">
              <w:t xml:space="preserve"> </w:t>
            </w:r>
            <w:r w:rsidRPr="00543D25">
              <w:t>3–14 years on the peer problems subscale (there are five questions; the range of scores is 0–10)</w:t>
            </w:r>
            <w:r w:rsidR="006F3531">
              <w:t>.</w:t>
            </w:r>
          </w:p>
        </w:tc>
        <w:tc>
          <w:tcPr>
            <w:tcW w:w="5387" w:type="dxa"/>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F30DA8">
            <w:pPr>
              <w:pStyle w:val="TableText"/>
              <w:ind w:right="113"/>
            </w:pPr>
            <w:r w:rsidRPr="00543D25">
              <w:t>Concerning hyperactivity SDQ</w:t>
            </w:r>
            <w:r w:rsidR="00F30DA8">
              <w:t xml:space="preserve"> </w:t>
            </w:r>
            <w:r w:rsidRPr="00543D25">
              <w:t>(3–14 years)</w:t>
            </w:r>
          </w:p>
        </w:tc>
        <w:tc>
          <w:tcPr>
            <w:tcW w:w="6946" w:type="dxa"/>
            <w:shd w:val="clear" w:color="auto" w:fill="auto"/>
          </w:tcPr>
          <w:p w:rsidR="00467321" w:rsidRPr="00543D25" w:rsidRDefault="00467321" w:rsidP="00F30DA8">
            <w:pPr>
              <w:pStyle w:val="TableText"/>
              <w:ind w:right="113"/>
            </w:pPr>
            <w:r w:rsidRPr="00543D25">
              <w:t>A score above 6 for children aged</w:t>
            </w:r>
            <w:r w:rsidR="00F30DA8">
              <w:t xml:space="preserve"> </w:t>
            </w:r>
            <w:r w:rsidRPr="00543D25">
              <w:t>3–14 years on the hyperactivity subscale (there are five questions; the range of scores is 0–10)</w:t>
            </w:r>
            <w:r w:rsidR="006F3531">
              <w:t>.</w:t>
            </w:r>
          </w:p>
        </w:tc>
        <w:tc>
          <w:tcPr>
            <w:tcW w:w="5387" w:type="dxa"/>
            <w:shd w:val="clear" w:color="auto" w:fill="auto"/>
          </w:tcPr>
          <w:p w:rsidR="00467321" w:rsidRPr="00543D25" w:rsidRDefault="00467321" w:rsidP="00076708">
            <w:pPr>
              <w:pStyle w:val="TableText"/>
              <w:rPr>
                <w:rFonts w:ascii="Times New Roman"/>
              </w:rPr>
            </w:pPr>
          </w:p>
        </w:tc>
      </w:tr>
      <w:tr w:rsidR="00467321" w:rsidRPr="00467321" w:rsidTr="00F30DA8">
        <w:trPr>
          <w:cantSplit/>
        </w:trPr>
        <w:tc>
          <w:tcPr>
            <w:tcW w:w="2268" w:type="dxa"/>
            <w:shd w:val="clear" w:color="auto" w:fill="auto"/>
          </w:tcPr>
          <w:p w:rsidR="00467321" w:rsidRPr="00543D25" w:rsidRDefault="00467321" w:rsidP="00D2216A">
            <w:pPr>
              <w:pStyle w:val="TableText"/>
              <w:ind w:right="113"/>
            </w:pPr>
            <w:r w:rsidRPr="00543D25">
              <w:t>Concerning conduct problems SDQ</w:t>
            </w:r>
            <w:r w:rsidR="00D2216A">
              <w:br/>
            </w:r>
            <w:r w:rsidRPr="00543D25">
              <w:t>(3–14 years)</w:t>
            </w:r>
          </w:p>
        </w:tc>
        <w:tc>
          <w:tcPr>
            <w:tcW w:w="6946" w:type="dxa"/>
            <w:shd w:val="clear" w:color="auto" w:fill="auto"/>
          </w:tcPr>
          <w:p w:rsidR="00467321" w:rsidRPr="00543D25" w:rsidRDefault="00467321" w:rsidP="00A85BAD">
            <w:pPr>
              <w:pStyle w:val="TableText"/>
              <w:ind w:right="113"/>
            </w:pPr>
            <w:r w:rsidRPr="00543D25">
              <w:t>A score above 4 for children aged 3</w:t>
            </w:r>
            <w:r w:rsidR="00D2216A">
              <w:t> </w:t>
            </w:r>
            <w:r w:rsidRPr="00543D25">
              <w:t>and 4 years and above 3 for those aged 5–14 years on the conduct problems subscale (there are five questions; the range of scores is</w:t>
            </w:r>
            <w:r w:rsidR="00A85BAD">
              <w:t xml:space="preserve"> </w:t>
            </w:r>
            <w:r w:rsidRPr="00543D25">
              <w:t>0</w:t>
            </w:r>
            <w:r w:rsidR="00D2216A">
              <w:t>–</w:t>
            </w:r>
            <w:r w:rsidRPr="00543D25">
              <w:t>10)</w:t>
            </w:r>
            <w:r w:rsidR="00D2216A">
              <w:t>.</w:t>
            </w:r>
          </w:p>
        </w:tc>
        <w:tc>
          <w:tcPr>
            <w:tcW w:w="5387" w:type="dxa"/>
            <w:shd w:val="clear" w:color="auto" w:fill="auto"/>
          </w:tcPr>
          <w:p w:rsidR="00467321" w:rsidRPr="00543D25" w:rsidRDefault="00467321" w:rsidP="00076708">
            <w:pPr>
              <w:pStyle w:val="TableText"/>
              <w:rPr>
                <w:rFonts w:ascii="Times New Roman"/>
              </w:rPr>
            </w:pPr>
          </w:p>
        </w:tc>
      </w:tr>
      <w:tr w:rsidR="00D2216A" w:rsidRPr="00467321" w:rsidTr="00F30DA8">
        <w:trPr>
          <w:cantSplit/>
        </w:trPr>
        <w:tc>
          <w:tcPr>
            <w:tcW w:w="2268" w:type="dxa"/>
            <w:shd w:val="clear" w:color="auto" w:fill="auto"/>
          </w:tcPr>
          <w:p w:rsidR="00D2216A" w:rsidRPr="00543D25" w:rsidRDefault="00D2216A" w:rsidP="00A85BAD">
            <w:pPr>
              <w:pStyle w:val="TableText"/>
              <w:ind w:right="113"/>
            </w:pPr>
            <w:r w:rsidRPr="00543D25">
              <w:t>Caregiver coping</w:t>
            </w:r>
            <w:r w:rsidR="00A85BAD">
              <w:t xml:space="preserve"> </w:t>
            </w:r>
            <w:r w:rsidRPr="00543D25">
              <w:t>with demands</w:t>
            </w:r>
            <w:r w:rsidR="00A85BAD">
              <w:t xml:space="preserve"> </w:t>
            </w:r>
            <w:r w:rsidRPr="00543D25">
              <w:t>raising children</w:t>
            </w:r>
            <w:r w:rsidR="00A85BAD">
              <w:t xml:space="preserve"> </w:t>
            </w:r>
            <w:r w:rsidRPr="00543D25">
              <w:t>(not very well/not</w:t>
            </w:r>
            <w:r w:rsidR="00A85BAD">
              <w:t xml:space="preserve"> </w:t>
            </w:r>
            <w:r w:rsidRPr="00543D25">
              <w:t>very well at all)</w:t>
            </w:r>
          </w:p>
        </w:tc>
        <w:tc>
          <w:tcPr>
            <w:tcW w:w="6946" w:type="dxa"/>
            <w:shd w:val="clear" w:color="auto" w:fill="auto"/>
          </w:tcPr>
          <w:p w:rsidR="00D2216A" w:rsidRPr="00543D25" w:rsidRDefault="00D2216A" w:rsidP="00A85BAD">
            <w:pPr>
              <w:pStyle w:val="TableText"/>
              <w:ind w:right="113"/>
            </w:pPr>
            <w:r w:rsidRPr="00543D25">
              <w:t>Based on one of five</w:t>
            </w:r>
            <w:r w:rsidR="00A85BAD">
              <w:t xml:space="preserve"> </w:t>
            </w:r>
            <w:r w:rsidRPr="00543D25">
              <w:t>questions of the parental</w:t>
            </w:r>
            <w:r w:rsidR="00A85BAD">
              <w:t xml:space="preserve"> </w:t>
            </w:r>
            <w:r w:rsidRPr="00543D25">
              <w:t>stress component of the</w:t>
            </w:r>
            <w:r w:rsidR="00A85BAD">
              <w:t xml:space="preserve"> D</w:t>
            </w:r>
            <w:r w:rsidRPr="00543D25">
              <w:t>evelopmental health and</w:t>
            </w:r>
            <w:r w:rsidR="00A85BAD">
              <w:t xml:space="preserve"> </w:t>
            </w:r>
            <w:r w:rsidRPr="00543D25">
              <w:t>wellbeing module in 2014/15 and 2015/16</w:t>
            </w:r>
          </w:p>
        </w:tc>
        <w:tc>
          <w:tcPr>
            <w:tcW w:w="5387" w:type="dxa"/>
            <w:shd w:val="clear" w:color="auto" w:fill="auto"/>
          </w:tcPr>
          <w:p w:rsidR="00D2216A" w:rsidRPr="00543D25" w:rsidRDefault="00D2216A" w:rsidP="00F30DA8">
            <w:pPr>
              <w:pStyle w:val="TableText"/>
            </w:pPr>
            <w:r w:rsidRPr="00543D25">
              <w:t>In general, how well do you feel</w:t>
            </w:r>
            <w:r w:rsidR="00A85BAD">
              <w:t xml:space="preserve"> </w:t>
            </w:r>
            <w:r w:rsidRPr="00543D25">
              <w:t>you are coping with the day-to-day demands of raising children?</w:t>
            </w:r>
            <w:r w:rsidR="00F30DA8">
              <w:t xml:space="preserve"> </w:t>
            </w:r>
            <w:r w:rsidRPr="00543D25">
              <w:t>(V</w:t>
            </w:r>
            <w:r w:rsidR="00F30DA8">
              <w:t>ery well/</w:t>
            </w:r>
            <w:r w:rsidRPr="00543D25">
              <w:t>Well/ Somewhat well/Not very well/Not very well at all)</w:t>
            </w:r>
          </w:p>
        </w:tc>
      </w:tr>
      <w:tr w:rsidR="00A85BAD" w:rsidRPr="00467321" w:rsidTr="00F30DA8">
        <w:trPr>
          <w:cantSplit/>
        </w:trPr>
        <w:tc>
          <w:tcPr>
            <w:tcW w:w="2268" w:type="dxa"/>
            <w:shd w:val="clear" w:color="auto" w:fill="auto"/>
          </w:tcPr>
          <w:p w:rsidR="00A85BAD" w:rsidRPr="00543D25" w:rsidRDefault="00A85BAD" w:rsidP="00A85BAD">
            <w:pPr>
              <w:pStyle w:val="TableText"/>
              <w:ind w:right="113"/>
            </w:pPr>
            <w:r w:rsidRPr="00543D25">
              <w:t>Caregiver feeling</w:t>
            </w:r>
            <w:r>
              <w:t xml:space="preserve"> </w:t>
            </w:r>
            <w:r w:rsidRPr="00543D25">
              <w:t>angry with child</w:t>
            </w:r>
            <w:r>
              <w:t xml:space="preserve"> </w:t>
            </w:r>
            <w:r w:rsidRPr="00543D25">
              <w:t>(usually/always)</w:t>
            </w:r>
          </w:p>
        </w:tc>
        <w:tc>
          <w:tcPr>
            <w:tcW w:w="6946" w:type="dxa"/>
            <w:shd w:val="clear" w:color="auto" w:fill="auto"/>
          </w:tcPr>
          <w:p w:rsidR="00A85BAD" w:rsidRPr="00543D25" w:rsidRDefault="00A85BAD" w:rsidP="00A85BAD">
            <w:pPr>
              <w:pStyle w:val="TableText"/>
              <w:ind w:right="113"/>
            </w:pPr>
            <w:r w:rsidRPr="00543D25">
              <w:t>Based on one of five</w:t>
            </w:r>
            <w:r>
              <w:t xml:space="preserve"> </w:t>
            </w:r>
            <w:r w:rsidRPr="00543D25">
              <w:t>questions of the parental</w:t>
            </w:r>
            <w:r>
              <w:t xml:space="preserve"> </w:t>
            </w:r>
            <w:r w:rsidRPr="00543D25">
              <w:t>stress component of the Developmental health and wellbeing module in 2014/15 and 2015/16</w:t>
            </w:r>
            <w:r>
              <w:t>.</w:t>
            </w:r>
          </w:p>
        </w:tc>
        <w:tc>
          <w:tcPr>
            <w:tcW w:w="5387" w:type="dxa"/>
            <w:shd w:val="clear" w:color="auto" w:fill="auto"/>
          </w:tcPr>
          <w:p w:rsidR="00A85BAD" w:rsidRPr="00543D25" w:rsidRDefault="00A85BAD" w:rsidP="00F30DA8">
            <w:pPr>
              <w:pStyle w:val="TableText"/>
            </w:pPr>
            <w:r w:rsidRPr="00543D25">
              <w:t>During the past month, how</w:t>
            </w:r>
            <w:r>
              <w:t xml:space="preserve"> </w:t>
            </w:r>
            <w:r w:rsidRPr="00543D25">
              <w:t>often have you felt angry with</w:t>
            </w:r>
            <w:r>
              <w:t xml:space="preserve"> </w:t>
            </w:r>
            <w:r w:rsidRPr="00543D25">
              <w:t>[child’s name]?</w:t>
            </w:r>
            <w:r w:rsidR="00F30DA8">
              <w:t xml:space="preserve"> </w:t>
            </w:r>
            <w:r w:rsidRPr="00543D25">
              <w:t>Never/Rarely/Sometimes/ Usually/Always</w:t>
            </w:r>
          </w:p>
        </w:tc>
      </w:tr>
      <w:tr w:rsidR="00D2216A" w:rsidRPr="00467321" w:rsidTr="00F30DA8">
        <w:trPr>
          <w:cantSplit/>
        </w:trPr>
        <w:tc>
          <w:tcPr>
            <w:tcW w:w="2268" w:type="dxa"/>
            <w:shd w:val="clear" w:color="auto" w:fill="auto"/>
          </w:tcPr>
          <w:p w:rsidR="00D2216A" w:rsidRPr="00543D25" w:rsidRDefault="00D2216A" w:rsidP="00A85BAD">
            <w:pPr>
              <w:pStyle w:val="TableText"/>
            </w:pPr>
            <w:r w:rsidRPr="00543D25">
              <w:t>Caregiver finding</w:t>
            </w:r>
            <w:r w:rsidR="00A85BAD">
              <w:t xml:space="preserve"> </w:t>
            </w:r>
            <w:r w:rsidRPr="00543D25">
              <w:t>child harder to care</w:t>
            </w:r>
            <w:r w:rsidR="00A85BAD">
              <w:t xml:space="preserve"> </w:t>
            </w:r>
            <w:r w:rsidRPr="00543D25">
              <w:t>for (usually/always)</w:t>
            </w:r>
          </w:p>
        </w:tc>
        <w:tc>
          <w:tcPr>
            <w:tcW w:w="6946" w:type="dxa"/>
            <w:shd w:val="clear" w:color="auto" w:fill="auto"/>
          </w:tcPr>
          <w:p w:rsidR="00D2216A" w:rsidRPr="00543D25" w:rsidRDefault="00D2216A" w:rsidP="00A85BAD">
            <w:pPr>
              <w:pStyle w:val="TableText"/>
              <w:ind w:right="113"/>
            </w:pPr>
            <w:r w:rsidRPr="00543D25">
              <w:t>Based on one of five</w:t>
            </w:r>
            <w:r w:rsidR="00A85BAD">
              <w:t xml:space="preserve"> </w:t>
            </w:r>
            <w:r w:rsidRPr="00543D25">
              <w:t>questions of the parental</w:t>
            </w:r>
            <w:r w:rsidR="00A85BAD">
              <w:t xml:space="preserve"> </w:t>
            </w:r>
            <w:r w:rsidRPr="00543D25">
              <w:t>stress component of the Developmental health and wellbeing module in 2014/15 and 2015/16</w:t>
            </w:r>
            <w:r w:rsidR="00A85BAD">
              <w:t>.</w:t>
            </w:r>
          </w:p>
        </w:tc>
        <w:tc>
          <w:tcPr>
            <w:tcW w:w="5387" w:type="dxa"/>
            <w:shd w:val="clear" w:color="auto" w:fill="auto"/>
          </w:tcPr>
          <w:p w:rsidR="00D2216A" w:rsidRPr="00543D25" w:rsidRDefault="00D2216A" w:rsidP="00A85BAD">
            <w:pPr>
              <w:pStyle w:val="TableText"/>
            </w:pPr>
            <w:r w:rsidRPr="00543D25">
              <w:t>During the past month, how</w:t>
            </w:r>
            <w:r w:rsidR="00A85BAD">
              <w:t xml:space="preserve"> </w:t>
            </w:r>
            <w:r w:rsidRPr="00543D25">
              <w:t>often have you felt [child’s name]</w:t>
            </w:r>
            <w:r w:rsidR="00A85BAD">
              <w:t xml:space="preserve"> </w:t>
            </w:r>
            <w:r w:rsidRPr="00543D25">
              <w:t>is much harder to care for than most children the same age?</w:t>
            </w:r>
            <w:r w:rsidR="00A85BAD">
              <w:br/>
            </w:r>
            <w:r w:rsidRPr="00543D25">
              <w:t>Never/Rarely/Sometimes/ Usually/Always</w:t>
            </w:r>
          </w:p>
        </w:tc>
      </w:tr>
      <w:tr w:rsidR="00D2216A" w:rsidRPr="00467321" w:rsidTr="00F30DA8">
        <w:trPr>
          <w:cantSplit/>
        </w:trPr>
        <w:tc>
          <w:tcPr>
            <w:tcW w:w="2268" w:type="dxa"/>
            <w:shd w:val="clear" w:color="auto" w:fill="auto"/>
          </w:tcPr>
          <w:p w:rsidR="00D2216A" w:rsidRPr="00543D25" w:rsidRDefault="00D2216A" w:rsidP="00A85BAD">
            <w:pPr>
              <w:pStyle w:val="TableText"/>
            </w:pPr>
            <w:r w:rsidRPr="00543D25">
              <w:t>Caregiver finding</w:t>
            </w:r>
            <w:r w:rsidR="00A85BAD">
              <w:t xml:space="preserve"> </w:t>
            </w:r>
            <w:r w:rsidRPr="00543D25">
              <w:t>child does things</w:t>
            </w:r>
            <w:r w:rsidR="00A85BAD">
              <w:t xml:space="preserve"> </w:t>
            </w:r>
            <w:r w:rsidRPr="00543D25">
              <w:t>that bother them a</w:t>
            </w:r>
            <w:r w:rsidR="00A85BAD">
              <w:t xml:space="preserve"> </w:t>
            </w:r>
            <w:r w:rsidRPr="00543D25">
              <w:t>lot (usually/always)</w:t>
            </w:r>
          </w:p>
        </w:tc>
        <w:tc>
          <w:tcPr>
            <w:tcW w:w="6946" w:type="dxa"/>
            <w:shd w:val="clear" w:color="auto" w:fill="auto"/>
          </w:tcPr>
          <w:p w:rsidR="00D2216A" w:rsidRPr="00543D25" w:rsidRDefault="00D2216A" w:rsidP="00A85BAD">
            <w:pPr>
              <w:pStyle w:val="TableText"/>
              <w:ind w:right="113"/>
            </w:pPr>
            <w:r w:rsidRPr="00543D25">
              <w:t>Based on one of five</w:t>
            </w:r>
            <w:r w:rsidR="00A85BAD">
              <w:t xml:space="preserve"> </w:t>
            </w:r>
            <w:r w:rsidRPr="00543D25">
              <w:t>questions of the parental</w:t>
            </w:r>
            <w:r w:rsidR="00A85BAD">
              <w:t xml:space="preserve"> </w:t>
            </w:r>
            <w:r w:rsidRPr="00543D25">
              <w:t>stress component of the</w:t>
            </w:r>
            <w:r w:rsidR="00A85BAD">
              <w:t xml:space="preserve"> </w:t>
            </w:r>
            <w:r w:rsidRPr="00543D25">
              <w:t>Developmental health and wellbeing module in 2014/15 and 2015/16</w:t>
            </w:r>
            <w:r w:rsidR="00A85BAD">
              <w:t>.</w:t>
            </w:r>
          </w:p>
        </w:tc>
        <w:tc>
          <w:tcPr>
            <w:tcW w:w="5387" w:type="dxa"/>
            <w:shd w:val="clear" w:color="auto" w:fill="auto"/>
          </w:tcPr>
          <w:p w:rsidR="00D2216A" w:rsidRPr="00543D25" w:rsidRDefault="00D2216A" w:rsidP="00A85BAD">
            <w:pPr>
              <w:pStyle w:val="TableText"/>
            </w:pPr>
            <w:r w:rsidRPr="00543D25">
              <w:t>During the past month, how</w:t>
            </w:r>
            <w:r w:rsidR="00A85BAD">
              <w:t xml:space="preserve"> </w:t>
            </w:r>
            <w:r w:rsidRPr="00543D25">
              <w:t>often have you felt [child’s name]</w:t>
            </w:r>
            <w:r w:rsidR="00A85BAD">
              <w:t xml:space="preserve"> </w:t>
            </w:r>
            <w:r w:rsidRPr="00543D25">
              <w:t>does things that really bother</w:t>
            </w:r>
            <w:r w:rsidR="00A85BAD">
              <w:t xml:space="preserve"> </w:t>
            </w:r>
            <w:r w:rsidRPr="00543D25">
              <w:t>you a lot?</w:t>
            </w:r>
            <w:r w:rsidR="00A85BAD">
              <w:br/>
            </w:r>
            <w:r w:rsidRPr="00543D25">
              <w:t>Never/Rarely/Sometimes/ Usually/Always</w:t>
            </w:r>
          </w:p>
        </w:tc>
      </w:tr>
      <w:tr w:rsidR="00D2216A" w:rsidRPr="00467321" w:rsidTr="00F30DA8">
        <w:trPr>
          <w:cantSplit/>
        </w:trPr>
        <w:tc>
          <w:tcPr>
            <w:tcW w:w="2268" w:type="dxa"/>
            <w:shd w:val="clear" w:color="auto" w:fill="auto"/>
          </w:tcPr>
          <w:p w:rsidR="00D2216A" w:rsidRPr="00543D25" w:rsidRDefault="00D2216A" w:rsidP="00A85BAD">
            <w:pPr>
              <w:pStyle w:val="TableText"/>
            </w:pPr>
            <w:r w:rsidRPr="00543D25">
              <w:t>Caregiver not</w:t>
            </w:r>
            <w:r w:rsidR="00A85BAD">
              <w:t xml:space="preserve"> </w:t>
            </w:r>
            <w:r w:rsidRPr="00543D25">
              <w:t>having someone to</w:t>
            </w:r>
            <w:r w:rsidR="00A85BAD">
              <w:t xml:space="preserve"> </w:t>
            </w:r>
            <w:r w:rsidRPr="00543D25">
              <w:t>turn to for day-to-day support</w:t>
            </w:r>
          </w:p>
        </w:tc>
        <w:tc>
          <w:tcPr>
            <w:tcW w:w="6946" w:type="dxa"/>
            <w:shd w:val="clear" w:color="auto" w:fill="auto"/>
          </w:tcPr>
          <w:p w:rsidR="00D2216A" w:rsidRPr="00543D25" w:rsidRDefault="00D2216A" w:rsidP="00A85BAD">
            <w:pPr>
              <w:pStyle w:val="TableText"/>
              <w:ind w:right="113"/>
            </w:pPr>
            <w:r w:rsidRPr="00543D25">
              <w:t>Based on one of five</w:t>
            </w:r>
            <w:r w:rsidR="00A85BAD">
              <w:t xml:space="preserve"> </w:t>
            </w:r>
            <w:r w:rsidRPr="00543D25">
              <w:t>questions of the parental</w:t>
            </w:r>
            <w:r w:rsidR="00A85BAD">
              <w:t xml:space="preserve"> </w:t>
            </w:r>
            <w:r w:rsidRPr="00543D25">
              <w:t>stress component of the</w:t>
            </w:r>
            <w:r w:rsidR="00A85BAD">
              <w:t xml:space="preserve"> </w:t>
            </w:r>
            <w:r w:rsidRPr="00543D25">
              <w:t>Developmental health and</w:t>
            </w:r>
            <w:r w:rsidR="00A85BAD">
              <w:t xml:space="preserve"> </w:t>
            </w:r>
            <w:r w:rsidRPr="00543D25">
              <w:t>wellbeing module in 2014/15</w:t>
            </w:r>
            <w:r w:rsidR="00A85BAD">
              <w:t xml:space="preserve"> </w:t>
            </w:r>
            <w:r w:rsidRPr="00543D25">
              <w:t>and 2015/16</w:t>
            </w:r>
            <w:r w:rsidR="00A85BAD">
              <w:t>.</w:t>
            </w:r>
          </w:p>
        </w:tc>
        <w:tc>
          <w:tcPr>
            <w:tcW w:w="5387" w:type="dxa"/>
            <w:shd w:val="clear" w:color="auto" w:fill="auto"/>
          </w:tcPr>
          <w:p w:rsidR="00D2216A" w:rsidRPr="00543D25" w:rsidRDefault="00D2216A" w:rsidP="00A85BAD">
            <w:pPr>
              <w:pStyle w:val="TableText"/>
            </w:pPr>
            <w:r w:rsidRPr="00543D25">
              <w:t>Is there someone that you can</w:t>
            </w:r>
            <w:r w:rsidR="00A85BAD">
              <w:t xml:space="preserve"> </w:t>
            </w:r>
            <w:r w:rsidRPr="00543D25">
              <w:t>turn to for day-to-day emotional</w:t>
            </w:r>
            <w:r w:rsidR="00A85BAD">
              <w:t xml:space="preserve"> </w:t>
            </w:r>
            <w:r w:rsidRPr="00543D25">
              <w:t>support with raising children?</w:t>
            </w:r>
            <w:r w:rsidR="00A85BAD">
              <w:t xml:space="preserve"> </w:t>
            </w:r>
            <w:r w:rsidRPr="00543D25">
              <w:t>This can be any person,</w:t>
            </w:r>
            <w:r w:rsidR="00A85BAD">
              <w:t xml:space="preserve"> </w:t>
            </w:r>
            <w:r w:rsidRPr="00543D25">
              <w:t>including your husband or wife</w:t>
            </w:r>
            <w:r w:rsidR="00A85BAD">
              <w:t xml:space="preserve"> </w:t>
            </w:r>
            <w:r w:rsidRPr="00543D25">
              <w:t>or partner (Yes/No)</w:t>
            </w:r>
          </w:p>
        </w:tc>
      </w:tr>
      <w:tr w:rsidR="00D2216A" w:rsidRPr="00467321" w:rsidTr="00F30DA8">
        <w:trPr>
          <w:cantSplit/>
        </w:trPr>
        <w:tc>
          <w:tcPr>
            <w:tcW w:w="2268" w:type="dxa"/>
            <w:shd w:val="clear" w:color="auto" w:fill="auto"/>
          </w:tcPr>
          <w:p w:rsidR="00D2216A" w:rsidRPr="00543D25" w:rsidRDefault="00D2216A" w:rsidP="00F30DA8">
            <w:pPr>
              <w:pStyle w:val="TableText"/>
            </w:pPr>
            <w:r w:rsidRPr="00543D25">
              <w:lastRenderedPageBreak/>
              <w:t>Caregiver having</w:t>
            </w:r>
            <w:r w:rsidR="001C59F7">
              <w:t xml:space="preserve"> </w:t>
            </w:r>
            <w:r w:rsidRPr="00543D25">
              <w:t>punished child</w:t>
            </w:r>
            <w:r w:rsidR="001C59F7">
              <w:t xml:space="preserve"> </w:t>
            </w:r>
            <w:r w:rsidRPr="00543D25">
              <w:t>physically in past</w:t>
            </w:r>
            <w:r w:rsidR="001C59F7">
              <w:t xml:space="preserve"> </w:t>
            </w:r>
            <w:r w:rsidR="00EC70F2">
              <w:t>4 </w:t>
            </w:r>
            <w:r w:rsidRPr="00543D25">
              <w:t>weeks</w:t>
            </w:r>
            <w:r w:rsidR="00F30DA8">
              <w:t xml:space="preserve"> </w:t>
            </w:r>
            <w:r w:rsidRPr="00543D25">
              <w:t>(0–14</w:t>
            </w:r>
            <w:r w:rsidR="001C59F7">
              <w:t xml:space="preserve"> </w:t>
            </w:r>
            <w:r w:rsidRPr="00543D25">
              <w:t>years)</w:t>
            </w:r>
          </w:p>
        </w:tc>
        <w:tc>
          <w:tcPr>
            <w:tcW w:w="6946" w:type="dxa"/>
            <w:shd w:val="clear" w:color="auto" w:fill="auto"/>
          </w:tcPr>
          <w:p w:rsidR="00D2216A" w:rsidRPr="00543D25" w:rsidRDefault="00D2216A" w:rsidP="001C59F7">
            <w:pPr>
              <w:pStyle w:val="TableText"/>
              <w:ind w:right="113"/>
            </w:pPr>
            <w:r w:rsidRPr="00543D25">
              <w:t>Defined as a positive answer to</w:t>
            </w:r>
            <w:r w:rsidR="001C59F7">
              <w:t xml:space="preserve"> </w:t>
            </w:r>
            <w:r w:rsidRPr="00543D25">
              <w:t>‘Physical punishment, such as</w:t>
            </w:r>
            <w:r w:rsidR="001C59F7">
              <w:t xml:space="preserve"> </w:t>
            </w:r>
            <w:r w:rsidRPr="00543D25">
              <w:t>smacking’</w:t>
            </w:r>
            <w:r w:rsidR="00F30DA8">
              <w:t>.</w:t>
            </w:r>
          </w:p>
        </w:tc>
        <w:tc>
          <w:tcPr>
            <w:tcW w:w="5387" w:type="dxa"/>
            <w:shd w:val="clear" w:color="auto" w:fill="auto"/>
          </w:tcPr>
          <w:p w:rsidR="001C59F7" w:rsidRDefault="00D2216A" w:rsidP="00076708">
            <w:pPr>
              <w:pStyle w:val="TableText"/>
            </w:pPr>
            <w:r w:rsidRPr="00543D25">
              <w:t>Thinking back over the past</w:t>
            </w:r>
            <w:r w:rsidR="001C59F7">
              <w:t xml:space="preserve"> </w:t>
            </w:r>
            <w:r w:rsidRPr="00543D25">
              <w:t>4</w:t>
            </w:r>
            <w:r w:rsidR="001C59F7">
              <w:t> </w:t>
            </w:r>
            <w:r w:rsidRPr="00543D25">
              <w:t>weeks, when [child’s name]</w:t>
            </w:r>
            <w:r w:rsidR="001C59F7">
              <w:t xml:space="preserve"> </w:t>
            </w:r>
            <w:r w:rsidRPr="00543D25">
              <w:t>misbehaved, which of the</w:t>
            </w:r>
            <w:r w:rsidR="001C59F7">
              <w:t xml:space="preserve"> </w:t>
            </w:r>
            <w:r w:rsidRPr="00543D25">
              <w:t>following, if any, have you done?</w:t>
            </w:r>
          </w:p>
          <w:p w:rsidR="00D2216A" w:rsidRPr="00543D25" w:rsidRDefault="00D2216A" w:rsidP="00076708">
            <w:pPr>
              <w:pStyle w:val="TableText"/>
            </w:pPr>
            <w:r w:rsidRPr="00543D25">
              <w:t>Just read out the number next to</w:t>
            </w:r>
            <w:r w:rsidR="001C59F7">
              <w:t xml:space="preserve"> </w:t>
            </w:r>
            <w:r w:rsidRPr="00543D25">
              <w:t>the words.</w:t>
            </w:r>
          </w:p>
          <w:p w:rsidR="001C59F7" w:rsidRDefault="00D2216A" w:rsidP="00076708">
            <w:pPr>
              <w:pStyle w:val="TableText"/>
            </w:pPr>
            <w:r w:rsidRPr="00543D25">
              <w:t>Made him/her go without</w:t>
            </w:r>
            <w:r w:rsidR="001C59F7">
              <w:t xml:space="preserve"> </w:t>
            </w:r>
            <w:r w:rsidRPr="00543D25">
              <w:t>something or miss out on</w:t>
            </w:r>
            <w:r w:rsidR="001C59F7">
              <w:t xml:space="preserve"> </w:t>
            </w:r>
            <w:r w:rsidRPr="00543D25">
              <w:t>something</w:t>
            </w:r>
          </w:p>
          <w:p w:rsidR="00D2216A" w:rsidRDefault="00D2216A" w:rsidP="00076708">
            <w:pPr>
              <w:pStyle w:val="TableText"/>
            </w:pPr>
            <w:r w:rsidRPr="00543D25">
              <w:t>Yelled at him/her</w:t>
            </w:r>
          </w:p>
          <w:p w:rsidR="00D2216A" w:rsidRPr="00543D25" w:rsidRDefault="00D2216A" w:rsidP="00076708">
            <w:pPr>
              <w:pStyle w:val="TableText"/>
            </w:pPr>
            <w:r w:rsidRPr="00543D25">
              <w:t>Explained why he/she should</w:t>
            </w:r>
          </w:p>
          <w:p w:rsidR="001C59F7" w:rsidRDefault="00D2216A" w:rsidP="00076708">
            <w:pPr>
              <w:pStyle w:val="TableText"/>
            </w:pPr>
            <w:r w:rsidRPr="00543D25">
              <w:t>not do it</w:t>
            </w:r>
          </w:p>
          <w:p w:rsidR="001C59F7" w:rsidRDefault="00D2216A" w:rsidP="00076708">
            <w:pPr>
              <w:pStyle w:val="TableText"/>
            </w:pPr>
            <w:r w:rsidRPr="00543D25">
              <w:t>Physical punishment,</w:t>
            </w:r>
            <w:r w:rsidR="001C59F7">
              <w:t xml:space="preserve"> </w:t>
            </w:r>
            <w:r w:rsidRPr="00543D25">
              <w:t>such as smacking</w:t>
            </w:r>
          </w:p>
          <w:p w:rsidR="001C59F7" w:rsidRDefault="00D2216A" w:rsidP="00076708">
            <w:pPr>
              <w:pStyle w:val="TableText"/>
            </w:pPr>
            <w:r w:rsidRPr="00543D25">
              <w:t>Told him/her</w:t>
            </w:r>
            <w:r w:rsidR="001C59F7">
              <w:t xml:space="preserve"> </w:t>
            </w:r>
            <w:r w:rsidRPr="00543D25">
              <w:t>off</w:t>
            </w:r>
          </w:p>
          <w:p w:rsidR="00D2216A" w:rsidRPr="00543D25" w:rsidRDefault="00D2216A" w:rsidP="00076708">
            <w:pPr>
              <w:pStyle w:val="TableText"/>
            </w:pPr>
            <w:r w:rsidRPr="00543D25">
              <w:t>Sent him/her to the bedroom</w:t>
            </w:r>
            <w:r w:rsidR="001C59F7">
              <w:t xml:space="preserve"> </w:t>
            </w:r>
            <w:r w:rsidRPr="00543D25">
              <w:t>or other place in the house</w:t>
            </w:r>
          </w:p>
          <w:p w:rsidR="001C59F7" w:rsidRDefault="00D2216A" w:rsidP="00076708">
            <w:pPr>
              <w:pStyle w:val="TableText"/>
            </w:pPr>
            <w:r w:rsidRPr="00543D25">
              <w:t>Ignored his/her behaviour</w:t>
            </w:r>
          </w:p>
          <w:p w:rsidR="00D2216A" w:rsidRPr="00543D25" w:rsidRDefault="00D2216A" w:rsidP="00F30DA8">
            <w:pPr>
              <w:pStyle w:val="TableText"/>
              <w:tabs>
                <w:tab w:val="right" w:leader="underscore" w:pos="5273"/>
              </w:tabs>
            </w:pPr>
            <w:r w:rsidRPr="00543D25">
              <w:t>Something else [specify]</w:t>
            </w:r>
            <w:r w:rsidR="001C59F7">
              <w:tab/>
            </w:r>
          </w:p>
          <w:p w:rsidR="00D2216A" w:rsidRPr="00543D25" w:rsidRDefault="00D2216A" w:rsidP="001C59F7">
            <w:pPr>
              <w:pStyle w:val="TableText"/>
            </w:pPr>
            <w:r w:rsidRPr="00543D25">
              <w:t>My child has not misbehaved</w:t>
            </w:r>
            <w:r w:rsidR="001C59F7">
              <w:t xml:space="preserve"> </w:t>
            </w:r>
            <w:r w:rsidRPr="00543D25">
              <w:t>during the past 4 weeks</w:t>
            </w:r>
          </w:p>
        </w:tc>
      </w:tr>
      <w:tr w:rsidR="00D2216A" w:rsidRPr="00467321" w:rsidTr="00F30DA8">
        <w:trPr>
          <w:cantSplit/>
        </w:trPr>
        <w:tc>
          <w:tcPr>
            <w:tcW w:w="2268" w:type="dxa"/>
            <w:shd w:val="clear" w:color="auto" w:fill="auto"/>
          </w:tcPr>
          <w:p w:rsidR="00D2216A" w:rsidRPr="00543D25" w:rsidRDefault="00D2216A" w:rsidP="00F30DA8">
            <w:pPr>
              <w:pStyle w:val="TableText"/>
            </w:pPr>
            <w:r w:rsidRPr="00543D25">
              <w:t>Caregiver</w:t>
            </w:r>
            <w:r w:rsidR="00EC70F2">
              <w:t xml:space="preserve"> </w:t>
            </w:r>
            <w:r w:rsidRPr="00543D25">
              <w:t>psychological</w:t>
            </w:r>
            <w:r w:rsidR="00EC70F2">
              <w:t xml:space="preserve"> </w:t>
            </w:r>
            <w:r w:rsidRPr="00543D25">
              <w:t>distress</w:t>
            </w:r>
            <w:r w:rsidR="00F30DA8">
              <w:br/>
            </w:r>
            <w:r w:rsidRPr="00543D25">
              <w:t>(K10,</w:t>
            </w:r>
            <w:r w:rsidR="00EC70F2">
              <w:t xml:space="preserve"> </w:t>
            </w:r>
            <w:r w:rsidRPr="00543D25">
              <w:t>2015/16 only)</w:t>
            </w:r>
          </w:p>
        </w:tc>
        <w:tc>
          <w:tcPr>
            <w:tcW w:w="6946" w:type="dxa"/>
            <w:shd w:val="clear" w:color="auto" w:fill="auto"/>
          </w:tcPr>
          <w:p w:rsidR="00D2216A" w:rsidRPr="00543D25" w:rsidRDefault="00D2216A" w:rsidP="00EC70F2">
            <w:pPr>
              <w:pStyle w:val="TableText"/>
              <w:ind w:right="113"/>
            </w:pPr>
            <w:r w:rsidRPr="00543D25">
              <w:t>Defined as high or very high</w:t>
            </w:r>
            <w:r w:rsidR="00EC70F2">
              <w:t xml:space="preserve"> </w:t>
            </w:r>
            <w:r w:rsidRPr="00543D25">
              <w:t>levels of psychological distress</w:t>
            </w:r>
            <w:r w:rsidR="00EC70F2">
              <w:t xml:space="preserve"> </w:t>
            </w:r>
            <w:r w:rsidRPr="00543D25">
              <w:t>according to the K10 scale (ie, a</w:t>
            </w:r>
            <w:r w:rsidR="00EC70F2">
              <w:t xml:space="preserve"> </w:t>
            </w:r>
            <w:r w:rsidRPr="00543D25">
              <w:t>score of 12 or more) in the past</w:t>
            </w:r>
            <w:r w:rsidR="00EC70F2">
              <w:t xml:space="preserve"> </w:t>
            </w:r>
            <w:r w:rsidRPr="00543D25">
              <w:t>four weeks. For this indicator</w:t>
            </w:r>
            <w:r w:rsidR="00EC70F2">
              <w:t xml:space="preserve"> </w:t>
            </w:r>
            <w:r w:rsidRPr="00543D25">
              <w:t>responses were used only if the</w:t>
            </w:r>
            <w:r w:rsidR="00EC70F2">
              <w:t xml:space="preserve"> </w:t>
            </w:r>
            <w:r w:rsidRPr="00543D25">
              <w:t>adult questionnaire respondent</w:t>
            </w:r>
            <w:r w:rsidR="00EC70F2">
              <w:t xml:space="preserve"> </w:t>
            </w:r>
            <w:r w:rsidRPr="00543D25">
              <w:t>was also the primary</w:t>
            </w:r>
            <w:r w:rsidR="00EC70F2">
              <w:t xml:space="preserve"> </w:t>
            </w:r>
            <w:r w:rsidRPr="00543D25">
              <w:t>caregiver completing the child</w:t>
            </w:r>
            <w:r w:rsidR="00EC70F2">
              <w:t xml:space="preserve"> </w:t>
            </w:r>
            <w:r w:rsidRPr="00543D25">
              <w:t>questionnaire.</w:t>
            </w:r>
          </w:p>
        </w:tc>
        <w:tc>
          <w:tcPr>
            <w:tcW w:w="5387" w:type="dxa"/>
            <w:shd w:val="clear" w:color="auto" w:fill="auto"/>
          </w:tcPr>
          <w:p w:rsidR="00D2216A" w:rsidRPr="00543D25" w:rsidRDefault="00D2216A" w:rsidP="00076708">
            <w:pPr>
              <w:pStyle w:val="TableText"/>
            </w:pPr>
            <w:r w:rsidRPr="00543D25">
              <w:t>See Kessler 1996</w:t>
            </w:r>
          </w:p>
        </w:tc>
      </w:tr>
      <w:tr w:rsidR="00467321" w:rsidRPr="00467321" w:rsidTr="00F30DA8">
        <w:trPr>
          <w:cantSplit/>
        </w:trPr>
        <w:tc>
          <w:tcPr>
            <w:tcW w:w="2268" w:type="dxa"/>
            <w:shd w:val="clear" w:color="auto" w:fill="auto"/>
          </w:tcPr>
          <w:p w:rsidR="00467321" w:rsidRPr="00543D25" w:rsidRDefault="00467321" w:rsidP="00900BD5">
            <w:pPr>
              <w:pStyle w:val="TableText"/>
              <w:ind w:right="113"/>
            </w:pPr>
            <w:r w:rsidRPr="00543D25">
              <w:t>Primary caregiver current smoker (2015/16 only)</w:t>
            </w:r>
          </w:p>
        </w:tc>
        <w:tc>
          <w:tcPr>
            <w:tcW w:w="6946" w:type="dxa"/>
            <w:shd w:val="clear" w:color="auto" w:fill="auto"/>
          </w:tcPr>
          <w:p w:rsidR="00467321" w:rsidRPr="00543D25" w:rsidRDefault="00467321" w:rsidP="00EC70F2">
            <w:pPr>
              <w:pStyle w:val="TableText"/>
              <w:ind w:right="113"/>
            </w:pPr>
            <w:r w:rsidRPr="00543D25">
              <w:t>Defined as having smoked at least monthly, and having smoked more than</w:t>
            </w:r>
            <w:r w:rsidR="00EC70F2">
              <w:t xml:space="preserve"> </w:t>
            </w:r>
            <w:r w:rsidRPr="00543D25">
              <w:t>100</w:t>
            </w:r>
            <w:r w:rsidR="00EC70F2">
              <w:t> </w:t>
            </w:r>
            <w:r w:rsidRPr="00543D25">
              <w:t>cigarettes in their whole life. Data for this question were used only if the adult respondent</w:t>
            </w:r>
            <w:r w:rsidR="00EC70F2">
              <w:t xml:space="preserve"> </w:t>
            </w:r>
            <w:r w:rsidRPr="00543D25">
              <w:t>was also the primary caregiver responding to the child questionnaire</w:t>
            </w:r>
            <w:r w:rsidR="00EC70F2">
              <w:t>.</w:t>
            </w:r>
          </w:p>
        </w:tc>
        <w:tc>
          <w:tcPr>
            <w:tcW w:w="5387" w:type="dxa"/>
            <w:shd w:val="clear" w:color="auto" w:fill="auto"/>
          </w:tcPr>
          <w:p w:rsidR="00467321" w:rsidRPr="00543D25" w:rsidRDefault="00467321" w:rsidP="00076708">
            <w:pPr>
              <w:pStyle w:val="TableText"/>
            </w:pPr>
            <w:r w:rsidRPr="00543D25">
              <w:t>Have you ever smoked cigarettes or tobacco at all, even just a few puffs? Please include pipes and cigars. (Yes/No)</w:t>
            </w:r>
          </w:p>
          <w:p w:rsidR="00467321" w:rsidRPr="00543D25" w:rsidRDefault="00467321" w:rsidP="00076708">
            <w:pPr>
              <w:pStyle w:val="TableText"/>
            </w:pPr>
            <w:r w:rsidRPr="00543D25">
              <w:t>Have you ever smoked a total of more than 100 cigarettes in your whole life? (Yes/No)</w:t>
            </w:r>
          </w:p>
          <w:p w:rsidR="00467321" w:rsidRPr="00543D25" w:rsidRDefault="00467321" w:rsidP="00076708">
            <w:pPr>
              <w:pStyle w:val="TableText"/>
            </w:pPr>
            <w:r w:rsidRPr="00543D25">
              <w:t>How often do you now smoke? You don</w:t>
            </w:r>
            <w:r w:rsidR="00543D25" w:rsidRPr="00543D25">
              <w:t>’</w:t>
            </w:r>
            <w:r w:rsidRPr="00543D25">
              <w:t>t smoke now/At least once a day/At least once a week/ At least once a month/Less often than once a month</w:t>
            </w:r>
          </w:p>
        </w:tc>
      </w:tr>
      <w:tr w:rsidR="00467321" w:rsidRPr="00467321" w:rsidTr="00F30DA8">
        <w:trPr>
          <w:cantSplit/>
        </w:trPr>
        <w:tc>
          <w:tcPr>
            <w:tcW w:w="2268" w:type="dxa"/>
            <w:shd w:val="clear" w:color="auto" w:fill="auto"/>
          </w:tcPr>
          <w:p w:rsidR="00467321" w:rsidRPr="00543D25" w:rsidRDefault="00467321" w:rsidP="00900BD5">
            <w:pPr>
              <w:pStyle w:val="TableText"/>
              <w:ind w:right="113"/>
            </w:pPr>
            <w:r w:rsidRPr="00543D25">
              <w:t>Smoker inside the house (2015/16 only)</w:t>
            </w:r>
          </w:p>
        </w:tc>
        <w:tc>
          <w:tcPr>
            <w:tcW w:w="6946" w:type="dxa"/>
            <w:shd w:val="clear" w:color="auto" w:fill="auto"/>
          </w:tcPr>
          <w:p w:rsidR="00467321" w:rsidRPr="00543D25" w:rsidRDefault="00467321" w:rsidP="00900BD5">
            <w:pPr>
              <w:pStyle w:val="TableText"/>
              <w:ind w:right="113"/>
            </w:pPr>
            <w:r w:rsidRPr="00543D25">
              <w:t>An indicator of the child</w:t>
            </w:r>
            <w:r w:rsidR="00543D25" w:rsidRPr="00543D25">
              <w:t>’</w:t>
            </w:r>
            <w:r w:rsidRPr="00543D25">
              <w:t>s exposure to second-hand smoke inside the house</w:t>
            </w:r>
          </w:p>
        </w:tc>
        <w:tc>
          <w:tcPr>
            <w:tcW w:w="5387" w:type="dxa"/>
            <w:shd w:val="clear" w:color="auto" w:fill="auto"/>
          </w:tcPr>
          <w:p w:rsidR="00467321" w:rsidRPr="00543D25" w:rsidRDefault="00467321" w:rsidP="00076708">
            <w:pPr>
              <w:pStyle w:val="TableText"/>
            </w:pPr>
            <w:r w:rsidRPr="00543D25">
              <w:t>Does anyone smoke inside your house? (Yes/No)</w:t>
            </w:r>
          </w:p>
        </w:tc>
      </w:tr>
    </w:tbl>
    <w:p w:rsidR="00467321" w:rsidRDefault="00467321" w:rsidP="00076708">
      <w:pPr>
        <w:pStyle w:val="Note"/>
      </w:pPr>
      <w:r w:rsidRPr="00467321">
        <w:t xml:space="preserve">Note: All questions also had a </w:t>
      </w:r>
      <w:r w:rsidR="00543D25">
        <w:t>‘</w:t>
      </w:r>
      <w:r w:rsidRPr="00467321">
        <w:t>don</w:t>
      </w:r>
      <w:r w:rsidR="00543D25">
        <w:t>’</w:t>
      </w:r>
      <w:r w:rsidRPr="00467321">
        <w:t>t know</w:t>
      </w:r>
      <w:r w:rsidR="00543D25">
        <w:t>’</w:t>
      </w:r>
      <w:r w:rsidRPr="00467321">
        <w:t xml:space="preserve"> and </w:t>
      </w:r>
      <w:r w:rsidR="00543D25">
        <w:t>‘</w:t>
      </w:r>
      <w:r w:rsidRPr="00467321">
        <w:t>refused</w:t>
      </w:r>
      <w:r w:rsidR="00543D25">
        <w:t>’</w:t>
      </w:r>
      <w:r w:rsidRPr="00467321">
        <w:t xml:space="preserve"> response option.</w:t>
      </w:r>
    </w:p>
    <w:p w:rsidR="00076708" w:rsidRPr="00076708" w:rsidRDefault="00076708" w:rsidP="00076708"/>
    <w:p w:rsidR="00F30DA8" w:rsidRDefault="00F30DA8" w:rsidP="0030569E">
      <w:pPr>
        <w:pStyle w:val="Heading1"/>
        <w:sectPr w:rsidR="00F30DA8" w:rsidSect="00F30DA8">
          <w:footerReference w:type="default" r:id="rId79"/>
          <w:pgSz w:w="16834" w:h="11907" w:orient="landscape" w:code="9"/>
          <w:pgMar w:top="1134" w:right="1134" w:bottom="1134" w:left="1134" w:header="284" w:footer="425" w:gutter="0"/>
          <w:cols w:space="720"/>
          <w:docGrid w:linePitch="286"/>
        </w:sectPr>
      </w:pPr>
      <w:bookmarkStart w:id="110" w:name="_bookmark46"/>
      <w:bookmarkStart w:id="111" w:name="_Toc5437087"/>
      <w:bookmarkEnd w:id="110"/>
    </w:p>
    <w:p w:rsidR="00467321" w:rsidRPr="00467321" w:rsidRDefault="00467321" w:rsidP="0030569E">
      <w:pPr>
        <w:pStyle w:val="Heading1"/>
      </w:pPr>
      <w:r w:rsidRPr="00467321">
        <w:lastRenderedPageBreak/>
        <w:t>Appendix 4:</w:t>
      </w:r>
      <w:r w:rsidR="00390ABE">
        <w:t xml:space="preserve"> </w:t>
      </w:r>
      <w:r w:rsidRPr="00467321">
        <w:t>Share of the child population in each group 2015/16</w:t>
      </w:r>
      <w:bookmarkEnd w:id="111"/>
    </w:p>
    <w:p w:rsidR="00467321" w:rsidRPr="00467321" w:rsidRDefault="00467321" w:rsidP="005669D2">
      <w:pPr>
        <w:pStyle w:val="Table"/>
      </w:pPr>
      <w:bookmarkStart w:id="112" w:name="_Toc5437206"/>
      <w:r w:rsidRPr="00467321">
        <w:t>Table A4.1: Share of the child population in each group</w:t>
      </w:r>
      <w:bookmarkEnd w:id="112"/>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62"/>
        <w:gridCol w:w="1842"/>
        <w:gridCol w:w="1276"/>
      </w:tblGrid>
      <w:tr w:rsidR="00467321" w:rsidRPr="00467321" w:rsidTr="005669D2">
        <w:trPr>
          <w:cantSplit/>
          <w:tblHeader/>
        </w:trPr>
        <w:tc>
          <w:tcPr>
            <w:tcW w:w="4962" w:type="dxa"/>
            <w:tcBorders>
              <w:top w:val="nil"/>
              <w:bottom w:val="nil"/>
            </w:tcBorders>
            <w:shd w:val="clear" w:color="auto" w:fill="D9D9D9" w:themeFill="background1" w:themeFillShade="D9"/>
          </w:tcPr>
          <w:p w:rsidR="00467321" w:rsidRPr="005669D2" w:rsidRDefault="00467321" w:rsidP="00ED3BA7">
            <w:pPr>
              <w:pStyle w:val="TableText"/>
              <w:rPr>
                <w:b/>
              </w:rPr>
            </w:pPr>
          </w:p>
        </w:tc>
        <w:tc>
          <w:tcPr>
            <w:tcW w:w="1842" w:type="dxa"/>
            <w:tcBorders>
              <w:top w:val="nil"/>
              <w:bottom w:val="nil"/>
            </w:tcBorders>
            <w:shd w:val="clear" w:color="auto" w:fill="D9D9D9" w:themeFill="background1" w:themeFillShade="D9"/>
          </w:tcPr>
          <w:p w:rsidR="00467321" w:rsidRPr="005669D2" w:rsidRDefault="00467321" w:rsidP="005669D2">
            <w:pPr>
              <w:pStyle w:val="TableText"/>
              <w:jc w:val="center"/>
              <w:rPr>
                <w:b/>
              </w:rPr>
            </w:pPr>
            <w:r w:rsidRPr="005669D2">
              <w:rPr>
                <w:b/>
              </w:rPr>
              <w:t>Share of population</w:t>
            </w:r>
            <w:r w:rsidR="00ED3BA7" w:rsidRPr="005669D2">
              <w:rPr>
                <w:b/>
              </w:rPr>
              <w:br/>
            </w:r>
            <w:r w:rsidRPr="005669D2">
              <w:rPr>
                <w:b/>
              </w:rPr>
              <w:t>(%)</w:t>
            </w:r>
          </w:p>
        </w:tc>
        <w:tc>
          <w:tcPr>
            <w:tcW w:w="1276" w:type="dxa"/>
            <w:tcBorders>
              <w:top w:val="nil"/>
              <w:bottom w:val="nil"/>
            </w:tcBorders>
            <w:shd w:val="clear" w:color="auto" w:fill="D9D9D9" w:themeFill="background1" w:themeFillShade="D9"/>
          </w:tcPr>
          <w:p w:rsidR="00467321" w:rsidRPr="005669D2" w:rsidRDefault="00467321" w:rsidP="005669D2">
            <w:pPr>
              <w:pStyle w:val="TableText"/>
              <w:jc w:val="center"/>
              <w:rPr>
                <w:b/>
              </w:rPr>
            </w:pPr>
            <w:r w:rsidRPr="005669D2">
              <w:rPr>
                <w:b/>
              </w:rPr>
              <w:t>95% CI</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5669D2">
            <w:pPr>
              <w:pStyle w:val="TableText"/>
            </w:pPr>
            <w:r w:rsidRPr="00543D25">
              <w:t>Boys</w:t>
            </w:r>
          </w:p>
        </w:tc>
        <w:tc>
          <w:tcPr>
            <w:tcW w:w="1842" w:type="dxa"/>
            <w:tcBorders>
              <w:top w:val="nil"/>
              <w:bottom w:val="nil"/>
            </w:tcBorders>
            <w:shd w:val="clear" w:color="auto" w:fill="auto"/>
          </w:tcPr>
          <w:p w:rsidR="00467321" w:rsidRPr="00543D25" w:rsidRDefault="00467321" w:rsidP="005669D2">
            <w:pPr>
              <w:pStyle w:val="TableText"/>
              <w:jc w:val="center"/>
            </w:pPr>
            <w:r w:rsidRPr="00543D25">
              <w:t>51.3</w:t>
            </w:r>
          </w:p>
        </w:tc>
        <w:tc>
          <w:tcPr>
            <w:tcW w:w="1276" w:type="dxa"/>
            <w:tcBorders>
              <w:top w:val="nil"/>
              <w:bottom w:val="nil"/>
            </w:tcBorders>
            <w:shd w:val="clear" w:color="auto" w:fill="auto"/>
          </w:tcPr>
          <w:p w:rsidR="00467321" w:rsidRPr="00543D25" w:rsidRDefault="00467321" w:rsidP="005669D2">
            <w:pPr>
              <w:pStyle w:val="TableText"/>
              <w:jc w:val="center"/>
            </w:pPr>
            <w:r w:rsidRPr="00543D25">
              <w:t>51.3–51.3</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Girls</w:t>
            </w:r>
          </w:p>
        </w:tc>
        <w:tc>
          <w:tcPr>
            <w:tcW w:w="1842" w:type="dxa"/>
            <w:tcBorders>
              <w:top w:val="nil"/>
            </w:tcBorders>
            <w:shd w:val="clear" w:color="auto" w:fill="auto"/>
          </w:tcPr>
          <w:p w:rsidR="00467321" w:rsidRPr="00543D25" w:rsidRDefault="00467321" w:rsidP="00130927">
            <w:pPr>
              <w:pStyle w:val="TableText"/>
              <w:jc w:val="center"/>
            </w:pPr>
            <w:r w:rsidRPr="00543D25">
              <w:t>48.7</w:t>
            </w:r>
          </w:p>
        </w:tc>
        <w:tc>
          <w:tcPr>
            <w:tcW w:w="1276" w:type="dxa"/>
            <w:tcBorders>
              <w:top w:val="nil"/>
            </w:tcBorders>
            <w:shd w:val="clear" w:color="auto" w:fill="auto"/>
          </w:tcPr>
          <w:p w:rsidR="00467321" w:rsidRPr="00543D25" w:rsidRDefault="00467321" w:rsidP="00130927">
            <w:pPr>
              <w:pStyle w:val="TableText"/>
              <w:jc w:val="center"/>
            </w:pPr>
            <w:r w:rsidRPr="00543D25">
              <w:t>48.7–48.7</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0–4 years of age</w:t>
            </w:r>
          </w:p>
        </w:tc>
        <w:tc>
          <w:tcPr>
            <w:tcW w:w="1842" w:type="dxa"/>
            <w:tcBorders>
              <w:bottom w:val="nil"/>
            </w:tcBorders>
            <w:shd w:val="clear" w:color="auto" w:fill="auto"/>
          </w:tcPr>
          <w:p w:rsidR="00467321" w:rsidRPr="00543D25" w:rsidRDefault="00467321" w:rsidP="00130927">
            <w:pPr>
              <w:pStyle w:val="TableText"/>
              <w:jc w:val="center"/>
            </w:pPr>
            <w:r w:rsidRPr="00543D25">
              <w:t>33.2</w:t>
            </w:r>
          </w:p>
        </w:tc>
        <w:tc>
          <w:tcPr>
            <w:tcW w:w="1276" w:type="dxa"/>
            <w:tcBorders>
              <w:bottom w:val="nil"/>
            </w:tcBorders>
            <w:shd w:val="clear" w:color="auto" w:fill="auto"/>
          </w:tcPr>
          <w:p w:rsidR="00467321" w:rsidRPr="00543D25" w:rsidRDefault="00467321" w:rsidP="00130927">
            <w:pPr>
              <w:pStyle w:val="TableText"/>
              <w:jc w:val="center"/>
            </w:pPr>
            <w:r w:rsidRPr="00543D25">
              <w:t>33.2–33.2</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5–9 years of age</w:t>
            </w:r>
          </w:p>
        </w:tc>
        <w:tc>
          <w:tcPr>
            <w:tcW w:w="1842" w:type="dxa"/>
            <w:tcBorders>
              <w:top w:val="nil"/>
              <w:bottom w:val="nil"/>
            </w:tcBorders>
            <w:shd w:val="clear" w:color="auto" w:fill="auto"/>
          </w:tcPr>
          <w:p w:rsidR="00467321" w:rsidRPr="00543D25" w:rsidRDefault="00467321" w:rsidP="00130927">
            <w:pPr>
              <w:pStyle w:val="TableText"/>
              <w:jc w:val="center"/>
            </w:pPr>
            <w:r w:rsidRPr="00543D25">
              <w:t>34.8</w:t>
            </w:r>
          </w:p>
        </w:tc>
        <w:tc>
          <w:tcPr>
            <w:tcW w:w="1276" w:type="dxa"/>
            <w:tcBorders>
              <w:top w:val="nil"/>
              <w:bottom w:val="nil"/>
            </w:tcBorders>
            <w:shd w:val="clear" w:color="auto" w:fill="auto"/>
          </w:tcPr>
          <w:p w:rsidR="00467321" w:rsidRPr="00543D25" w:rsidRDefault="00467321" w:rsidP="00130927">
            <w:pPr>
              <w:pStyle w:val="TableText"/>
              <w:jc w:val="center"/>
            </w:pPr>
            <w:r w:rsidRPr="00543D25">
              <w:t>34.8–34.8</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10–14 years of age</w:t>
            </w:r>
          </w:p>
        </w:tc>
        <w:tc>
          <w:tcPr>
            <w:tcW w:w="1842" w:type="dxa"/>
            <w:tcBorders>
              <w:top w:val="nil"/>
            </w:tcBorders>
            <w:shd w:val="clear" w:color="auto" w:fill="auto"/>
          </w:tcPr>
          <w:p w:rsidR="00467321" w:rsidRPr="00543D25" w:rsidRDefault="00467321" w:rsidP="00130927">
            <w:pPr>
              <w:pStyle w:val="TableText"/>
              <w:jc w:val="center"/>
            </w:pPr>
            <w:r w:rsidRPr="00543D25">
              <w:t>31.9</w:t>
            </w:r>
          </w:p>
        </w:tc>
        <w:tc>
          <w:tcPr>
            <w:tcW w:w="1276" w:type="dxa"/>
            <w:tcBorders>
              <w:top w:val="nil"/>
            </w:tcBorders>
            <w:shd w:val="clear" w:color="auto" w:fill="auto"/>
          </w:tcPr>
          <w:p w:rsidR="00467321" w:rsidRPr="00543D25" w:rsidRDefault="00467321" w:rsidP="00130927">
            <w:pPr>
              <w:pStyle w:val="TableText"/>
              <w:jc w:val="center"/>
            </w:pPr>
            <w:r w:rsidRPr="00543D25">
              <w:t>31.9–31.9</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Māori</w:t>
            </w:r>
          </w:p>
        </w:tc>
        <w:tc>
          <w:tcPr>
            <w:tcW w:w="1842" w:type="dxa"/>
            <w:tcBorders>
              <w:bottom w:val="nil"/>
            </w:tcBorders>
            <w:shd w:val="clear" w:color="auto" w:fill="auto"/>
          </w:tcPr>
          <w:p w:rsidR="00467321" w:rsidRPr="00543D25" w:rsidRDefault="00467321" w:rsidP="00130927">
            <w:pPr>
              <w:pStyle w:val="TableText"/>
              <w:jc w:val="center"/>
            </w:pPr>
            <w:r w:rsidRPr="00543D25">
              <w:t>25.7</w:t>
            </w:r>
          </w:p>
        </w:tc>
        <w:tc>
          <w:tcPr>
            <w:tcW w:w="1276" w:type="dxa"/>
            <w:tcBorders>
              <w:bottom w:val="nil"/>
            </w:tcBorders>
            <w:shd w:val="clear" w:color="auto" w:fill="auto"/>
          </w:tcPr>
          <w:p w:rsidR="00467321" w:rsidRPr="00543D25" w:rsidRDefault="00467321" w:rsidP="00130927">
            <w:pPr>
              <w:pStyle w:val="TableText"/>
              <w:jc w:val="center"/>
            </w:pPr>
            <w:r w:rsidRPr="00543D25">
              <w:t>25.7–25.7</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Pacific</w:t>
            </w:r>
          </w:p>
        </w:tc>
        <w:tc>
          <w:tcPr>
            <w:tcW w:w="1842" w:type="dxa"/>
            <w:tcBorders>
              <w:top w:val="nil"/>
              <w:bottom w:val="nil"/>
            </w:tcBorders>
            <w:shd w:val="clear" w:color="auto" w:fill="auto"/>
          </w:tcPr>
          <w:p w:rsidR="00467321" w:rsidRPr="00543D25" w:rsidRDefault="00467321" w:rsidP="00130927">
            <w:pPr>
              <w:pStyle w:val="TableText"/>
              <w:jc w:val="center"/>
            </w:pPr>
            <w:r w:rsidRPr="00543D25">
              <w:t>13.5</w:t>
            </w:r>
          </w:p>
        </w:tc>
        <w:tc>
          <w:tcPr>
            <w:tcW w:w="1276" w:type="dxa"/>
            <w:tcBorders>
              <w:top w:val="nil"/>
              <w:bottom w:val="nil"/>
            </w:tcBorders>
            <w:shd w:val="clear" w:color="auto" w:fill="auto"/>
          </w:tcPr>
          <w:p w:rsidR="00467321" w:rsidRPr="00543D25" w:rsidRDefault="00467321" w:rsidP="00130927">
            <w:pPr>
              <w:pStyle w:val="TableText"/>
              <w:jc w:val="center"/>
            </w:pPr>
            <w:r w:rsidRPr="00543D25">
              <w:t>11.3–15.6</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Asian</w:t>
            </w:r>
          </w:p>
        </w:tc>
        <w:tc>
          <w:tcPr>
            <w:tcW w:w="1842" w:type="dxa"/>
            <w:tcBorders>
              <w:top w:val="nil"/>
              <w:bottom w:val="nil"/>
            </w:tcBorders>
            <w:shd w:val="clear" w:color="auto" w:fill="auto"/>
          </w:tcPr>
          <w:p w:rsidR="00467321" w:rsidRPr="00543D25" w:rsidRDefault="00467321" w:rsidP="00130927">
            <w:pPr>
              <w:pStyle w:val="TableText"/>
              <w:jc w:val="center"/>
            </w:pPr>
            <w:r w:rsidRPr="00543D25">
              <w:t>13.0</w:t>
            </w:r>
          </w:p>
        </w:tc>
        <w:tc>
          <w:tcPr>
            <w:tcW w:w="1276" w:type="dxa"/>
            <w:tcBorders>
              <w:top w:val="nil"/>
              <w:bottom w:val="nil"/>
            </w:tcBorders>
            <w:shd w:val="clear" w:color="auto" w:fill="auto"/>
          </w:tcPr>
          <w:p w:rsidR="00467321" w:rsidRPr="00543D25" w:rsidRDefault="00467321" w:rsidP="00130927">
            <w:pPr>
              <w:pStyle w:val="TableText"/>
              <w:jc w:val="center"/>
            </w:pPr>
            <w:r w:rsidRPr="00543D25">
              <w:t>10.9–15.1</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European/other</w:t>
            </w:r>
          </w:p>
        </w:tc>
        <w:tc>
          <w:tcPr>
            <w:tcW w:w="1842" w:type="dxa"/>
            <w:tcBorders>
              <w:top w:val="nil"/>
            </w:tcBorders>
            <w:shd w:val="clear" w:color="auto" w:fill="auto"/>
          </w:tcPr>
          <w:p w:rsidR="00467321" w:rsidRPr="00543D25" w:rsidRDefault="00467321" w:rsidP="00130927">
            <w:pPr>
              <w:pStyle w:val="TableText"/>
              <w:jc w:val="center"/>
            </w:pPr>
            <w:r w:rsidRPr="00543D25">
              <w:t>71.2</w:t>
            </w:r>
          </w:p>
        </w:tc>
        <w:tc>
          <w:tcPr>
            <w:tcW w:w="1276" w:type="dxa"/>
            <w:tcBorders>
              <w:top w:val="nil"/>
            </w:tcBorders>
            <w:shd w:val="clear" w:color="auto" w:fill="auto"/>
          </w:tcPr>
          <w:p w:rsidR="00467321" w:rsidRPr="00543D25" w:rsidRDefault="00467321" w:rsidP="00130927">
            <w:pPr>
              <w:pStyle w:val="TableText"/>
              <w:jc w:val="center"/>
            </w:pPr>
            <w:r w:rsidRPr="00543D25">
              <w:t>68.5–73.9</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NZDep2013 quintile 1 (least deprived)</w:t>
            </w:r>
          </w:p>
        </w:tc>
        <w:tc>
          <w:tcPr>
            <w:tcW w:w="1842" w:type="dxa"/>
            <w:tcBorders>
              <w:bottom w:val="nil"/>
            </w:tcBorders>
            <w:shd w:val="clear" w:color="auto" w:fill="auto"/>
          </w:tcPr>
          <w:p w:rsidR="00467321" w:rsidRPr="00543D25" w:rsidRDefault="00467321" w:rsidP="00130927">
            <w:pPr>
              <w:pStyle w:val="TableText"/>
              <w:jc w:val="center"/>
            </w:pPr>
            <w:r w:rsidRPr="00543D25">
              <w:t>20.0</w:t>
            </w:r>
          </w:p>
        </w:tc>
        <w:tc>
          <w:tcPr>
            <w:tcW w:w="1276" w:type="dxa"/>
            <w:tcBorders>
              <w:bottom w:val="nil"/>
            </w:tcBorders>
            <w:shd w:val="clear" w:color="auto" w:fill="auto"/>
          </w:tcPr>
          <w:p w:rsidR="00467321" w:rsidRPr="00543D25" w:rsidRDefault="00467321" w:rsidP="00130927">
            <w:pPr>
              <w:pStyle w:val="TableText"/>
              <w:jc w:val="center"/>
            </w:pPr>
            <w:r w:rsidRPr="00543D25">
              <w:t>20.0–20.0</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NZDep2013 quintile 2</w:t>
            </w:r>
          </w:p>
        </w:tc>
        <w:tc>
          <w:tcPr>
            <w:tcW w:w="1842" w:type="dxa"/>
            <w:tcBorders>
              <w:top w:val="nil"/>
              <w:bottom w:val="nil"/>
            </w:tcBorders>
            <w:shd w:val="clear" w:color="auto" w:fill="auto"/>
          </w:tcPr>
          <w:p w:rsidR="00467321" w:rsidRPr="00543D25" w:rsidRDefault="00467321" w:rsidP="00130927">
            <w:pPr>
              <w:pStyle w:val="TableText"/>
              <w:jc w:val="center"/>
            </w:pPr>
            <w:r w:rsidRPr="00543D25">
              <w:t>18.9</w:t>
            </w:r>
          </w:p>
        </w:tc>
        <w:tc>
          <w:tcPr>
            <w:tcW w:w="1276" w:type="dxa"/>
            <w:tcBorders>
              <w:top w:val="nil"/>
              <w:bottom w:val="nil"/>
            </w:tcBorders>
            <w:shd w:val="clear" w:color="auto" w:fill="auto"/>
          </w:tcPr>
          <w:p w:rsidR="00467321" w:rsidRPr="00543D25" w:rsidRDefault="00467321" w:rsidP="00130927">
            <w:pPr>
              <w:pStyle w:val="TableText"/>
              <w:jc w:val="center"/>
            </w:pPr>
            <w:r w:rsidRPr="00543D25">
              <w:t>18.9–18.9</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NZDep2013 quintile 3</w:t>
            </w:r>
          </w:p>
        </w:tc>
        <w:tc>
          <w:tcPr>
            <w:tcW w:w="1842" w:type="dxa"/>
            <w:tcBorders>
              <w:top w:val="nil"/>
              <w:bottom w:val="nil"/>
            </w:tcBorders>
            <w:shd w:val="clear" w:color="auto" w:fill="auto"/>
          </w:tcPr>
          <w:p w:rsidR="00467321" w:rsidRPr="00543D25" w:rsidRDefault="00467321" w:rsidP="00130927">
            <w:pPr>
              <w:pStyle w:val="TableText"/>
              <w:jc w:val="center"/>
            </w:pPr>
            <w:r w:rsidRPr="00543D25">
              <w:t>18.3</w:t>
            </w:r>
          </w:p>
        </w:tc>
        <w:tc>
          <w:tcPr>
            <w:tcW w:w="1276" w:type="dxa"/>
            <w:tcBorders>
              <w:top w:val="nil"/>
              <w:bottom w:val="nil"/>
            </w:tcBorders>
            <w:shd w:val="clear" w:color="auto" w:fill="auto"/>
          </w:tcPr>
          <w:p w:rsidR="00467321" w:rsidRPr="00543D25" w:rsidRDefault="00467321" w:rsidP="00130927">
            <w:pPr>
              <w:pStyle w:val="TableText"/>
              <w:jc w:val="center"/>
            </w:pPr>
            <w:r w:rsidRPr="00543D25">
              <w:t>18.3–18.3</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NZDep2013 quintile 4</w:t>
            </w:r>
          </w:p>
        </w:tc>
        <w:tc>
          <w:tcPr>
            <w:tcW w:w="1842" w:type="dxa"/>
            <w:tcBorders>
              <w:top w:val="nil"/>
              <w:bottom w:val="nil"/>
            </w:tcBorders>
            <w:shd w:val="clear" w:color="auto" w:fill="auto"/>
          </w:tcPr>
          <w:p w:rsidR="00467321" w:rsidRPr="00543D25" w:rsidRDefault="00467321" w:rsidP="00130927">
            <w:pPr>
              <w:pStyle w:val="TableText"/>
              <w:jc w:val="center"/>
            </w:pPr>
            <w:r w:rsidRPr="00543D25">
              <w:t>18.8</w:t>
            </w:r>
          </w:p>
        </w:tc>
        <w:tc>
          <w:tcPr>
            <w:tcW w:w="1276" w:type="dxa"/>
            <w:tcBorders>
              <w:top w:val="nil"/>
              <w:bottom w:val="nil"/>
            </w:tcBorders>
            <w:shd w:val="clear" w:color="auto" w:fill="auto"/>
          </w:tcPr>
          <w:p w:rsidR="00467321" w:rsidRPr="00543D25" w:rsidRDefault="00467321" w:rsidP="00130927">
            <w:pPr>
              <w:pStyle w:val="TableText"/>
              <w:jc w:val="center"/>
            </w:pPr>
            <w:r w:rsidRPr="00543D25">
              <w:t>18.8–18.8</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NZDep2013 quintile 5 (most deprived)</w:t>
            </w:r>
          </w:p>
        </w:tc>
        <w:tc>
          <w:tcPr>
            <w:tcW w:w="1842" w:type="dxa"/>
            <w:tcBorders>
              <w:top w:val="nil"/>
            </w:tcBorders>
            <w:shd w:val="clear" w:color="auto" w:fill="auto"/>
          </w:tcPr>
          <w:p w:rsidR="00467321" w:rsidRPr="00543D25" w:rsidRDefault="00467321" w:rsidP="00130927">
            <w:pPr>
              <w:pStyle w:val="TableText"/>
              <w:jc w:val="center"/>
            </w:pPr>
            <w:r w:rsidRPr="00543D25">
              <w:t>23.9</w:t>
            </w:r>
          </w:p>
        </w:tc>
        <w:tc>
          <w:tcPr>
            <w:tcW w:w="1276" w:type="dxa"/>
            <w:tcBorders>
              <w:top w:val="nil"/>
            </w:tcBorders>
            <w:shd w:val="clear" w:color="auto" w:fill="auto"/>
          </w:tcPr>
          <w:p w:rsidR="00467321" w:rsidRPr="00543D25" w:rsidRDefault="00467321" w:rsidP="00130927">
            <w:pPr>
              <w:pStyle w:val="TableText"/>
              <w:jc w:val="center"/>
            </w:pPr>
            <w:r w:rsidRPr="00543D25">
              <w:t>23.9–23.9</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Gross household income over $50,000</w:t>
            </w:r>
          </w:p>
        </w:tc>
        <w:tc>
          <w:tcPr>
            <w:tcW w:w="1842" w:type="dxa"/>
            <w:tcBorders>
              <w:bottom w:val="nil"/>
            </w:tcBorders>
            <w:shd w:val="clear" w:color="auto" w:fill="auto"/>
          </w:tcPr>
          <w:p w:rsidR="00467321" w:rsidRPr="00543D25" w:rsidRDefault="00467321" w:rsidP="00130927">
            <w:pPr>
              <w:pStyle w:val="TableText"/>
              <w:jc w:val="center"/>
            </w:pPr>
            <w:r w:rsidRPr="00543D25">
              <w:t>70.9</w:t>
            </w:r>
          </w:p>
        </w:tc>
        <w:tc>
          <w:tcPr>
            <w:tcW w:w="1276" w:type="dxa"/>
            <w:tcBorders>
              <w:bottom w:val="nil"/>
            </w:tcBorders>
            <w:shd w:val="clear" w:color="auto" w:fill="auto"/>
          </w:tcPr>
          <w:p w:rsidR="00467321" w:rsidRPr="00543D25" w:rsidRDefault="00467321" w:rsidP="00130927">
            <w:pPr>
              <w:pStyle w:val="TableText"/>
              <w:jc w:val="center"/>
            </w:pPr>
            <w:r w:rsidRPr="00543D25">
              <w:t>69.3–72.5</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Gross household income at or below $50,000</w:t>
            </w:r>
          </w:p>
        </w:tc>
        <w:tc>
          <w:tcPr>
            <w:tcW w:w="1842" w:type="dxa"/>
            <w:tcBorders>
              <w:top w:val="nil"/>
            </w:tcBorders>
            <w:shd w:val="clear" w:color="auto" w:fill="auto"/>
          </w:tcPr>
          <w:p w:rsidR="00467321" w:rsidRPr="00543D25" w:rsidRDefault="00467321" w:rsidP="00130927">
            <w:pPr>
              <w:pStyle w:val="TableText"/>
              <w:jc w:val="center"/>
            </w:pPr>
            <w:r w:rsidRPr="00543D25">
              <w:t>29.1</w:t>
            </w:r>
          </w:p>
        </w:tc>
        <w:tc>
          <w:tcPr>
            <w:tcW w:w="1276" w:type="dxa"/>
            <w:tcBorders>
              <w:top w:val="nil"/>
            </w:tcBorders>
            <w:shd w:val="clear" w:color="auto" w:fill="auto"/>
          </w:tcPr>
          <w:p w:rsidR="00467321" w:rsidRPr="00543D25" w:rsidRDefault="00467321" w:rsidP="00130927">
            <w:pPr>
              <w:pStyle w:val="TableText"/>
              <w:jc w:val="center"/>
            </w:pPr>
            <w:r w:rsidRPr="00543D25">
              <w:t>27.5–30.7</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Caregiver not receiving a benefit</w:t>
            </w:r>
          </w:p>
        </w:tc>
        <w:tc>
          <w:tcPr>
            <w:tcW w:w="1842" w:type="dxa"/>
            <w:tcBorders>
              <w:bottom w:val="nil"/>
            </w:tcBorders>
            <w:shd w:val="clear" w:color="auto" w:fill="auto"/>
          </w:tcPr>
          <w:p w:rsidR="00467321" w:rsidRPr="00543D25" w:rsidRDefault="00467321" w:rsidP="00130927">
            <w:pPr>
              <w:pStyle w:val="TableText"/>
              <w:jc w:val="center"/>
            </w:pPr>
            <w:r w:rsidRPr="00543D25">
              <w:t>81.8</w:t>
            </w:r>
          </w:p>
        </w:tc>
        <w:tc>
          <w:tcPr>
            <w:tcW w:w="1276" w:type="dxa"/>
            <w:tcBorders>
              <w:bottom w:val="nil"/>
            </w:tcBorders>
            <w:shd w:val="clear" w:color="auto" w:fill="auto"/>
          </w:tcPr>
          <w:p w:rsidR="00467321" w:rsidRPr="00543D25" w:rsidRDefault="00467321" w:rsidP="00130927">
            <w:pPr>
              <w:pStyle w:val="TableText"/>
              <w:jc w:val="center"/>
            </w:pPr>
            <w:r w:rsidRPr="00543D25">
              <w:t>80.3–83.4</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Caregiver receiving a benefit</w:t>
            </w:r>
          </w:p>
        </w:tc>
        <w:tc>
          <w:tcPr>
            <w:tcW w:w="1842" w:type="dxa"/>
            <w:tcBorders>
              <w:top w:val="nil"/>
            </w:tcBorders>
            <w:shd w:val="clear" w:color="auto" w:fill="auto"/>
          </w:tcPr>
          <w:p w:rsidR="00467321" w:rsidRPr="00543D25" w:rsidRDefault="00467321" w:rsidP="00130927">
            <w:pPr>
              <w:pStyle w:val="TableText"/>
              <w:jc w:val="center"/>
            </w:pPr>
            <w:r w:rsidRPr="00543D25">
              <w:t>18.2</w:t>
            </w:r>
          </w:p>
        </w:tc>
        <w:tc>
          <w:tcPr>
            <w:tcW w:w="1276" w:type="dxa"/>
            <w:tcBorders>
              <w:top w:val="nil"/>
            </w:tcBorders>
            <w:shd w:val="clear" w:color="auto" w:fill="auto"/>
          </w:tcPr>
          <w:p w:rsidR="00467321" w:rsidRPr="00543D25" w:rsidRDefault="00467321" w:rsidP="00130927">
            <w:pPr>
              <w:pStyle w:val="TableText"/>
              <w:jc w:val="center"/>
            </w:pPr>
            <w:r w:rsidRPr="00543D25">
              <w:t>16.6–19.7</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House owned by family</w:t>
            </w:r>
          </w:p>
        </w:tc>
        <w:tc>
          <w:tcPr>
            <w:tcW w:w="1842" w:type="dxa"/>
            <w:tcBorders>
              <w:bottom w:val="nil"/>
            </w:tcBorders>
            <w:shd w:val="clear" w:color="auto" w:fill="auto"/>
          </w:tcPr>
          <w:p w:rsidR="00467321" w:rsidRPr="00543D25" w:rsidRDefault="00467321" w:rsidP="00130927">
            <w:pPr>
              <w:pStyle w:val="TableText"/>
              <w:jc w:val="center"/>
            </w:pPr>
            <w:r w:rsidRPr="00543D25">
              <w:t>55.4</w:t>
            </w:r>
          </w:p>
        </w:tc>
        <w:tc>
          <w:tcPr>
            <w:tcW w:w="1276" w:type="dxa"/>
            <w:tcBorders>
              <w:bottom w:val="nil"/>
            </w:tcBorders>
            <w:shd w:val="clear" w:color="auto" w:fill="auto"/>
          </w:tcPr>
          <w:p w:rsidR="00467321" w:rsidRPr="00543D25" w:rsidRDefault="00467321" w:rsidP="00130927">
            <w:pPr>
              <w:pStyle w:val="TableText"/>
              <w:jc w:val="center"/>
            </w:pPr>
            <w:r w:rsidRPr="00543D25">
              <w:t>53.4–57.5</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pPr>
            <w:r w:rsidRPr="00543D25">
              <w:t>Renting from private landlord</w:t>
            </w:r>
          </w:p>
        </w:tc>
        <w:tc>
          <w:tcPr>
            <w:tcW w:w="1842" w:type="dxa"/>
            <w:tcBorders>
              <w:top w:val="nil"/>
              <w:bottom w:val="nil"/>
            </w:tcBorders>
            <w:shd w:val="clear" w:color="auto" w:fill="auto"/>
          </w:tcPr>
          <w:p w:rsidR="00467321" w:rsidRPr="00543D25" w:rsidRDefault="00467321" w:rsidP="00130927">
            <w:pPr>
              <w:pStyle w:val="TableText"/>
              <w:jc w:val="center"/>
            </w:pPr>
            <w:r w:rsidRPr="00543D25">
              <w:t>36.6</w:t>
            </w:r>
          </w:p>
        </w:tc>
        <w:tc>
          <w:tcPr>
            <w:tcW w:w="1276" w:type="dxa"/>
            <w:tcBorders>
              <w:top w:val="nil"/>
              <w:bottom w:val="nil"/>
            </w:tcBorders>
            <w:shd w:val="clear" w:color="auto" w:fill="auto"/>
          </w:tcPr>
          <w:p w:rsidR="00467321" w:rsidRPr="00543D25" w:rsidRDefault="00467321" w:rsidP="00130927">
            <w:pPr>
              <w:pStyle w:val="TableText"/>
              <w:jc w:val="center"/>
            </w:pPr>
            <w:r w:rsidRPr="00543D25">
              <w:t>34.4–38.8</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Renting from public landlord</w:t>
            </w:r>
          </w:p>
        </w:tc>
        <w:tc>
          <w:tcPr>
            <w:tcW w:w="1842" w:type="dxa"/>
            <w:tcBorders>
              <w:top w:val="nil"/>
            </w:tcBorders>
            <w:shd w:val="clear" w:color="auto" w:fill="auto"/>
          </w:tcPr>
          <w:p w:rsidR="00467321" w:rsidRPr="00543D25" w:rsidRDefault="00467321" w:rsidP="00130927">
            <w:pPr>
              <w:pStyle w:val="TableText"/>
              <w:jc w:val="center"/>
            </w:pPr>
            <w:r w:rsidRPr="00543D25">
              <w:t>8.0</w:t>
            </w:r>
          </w:p>
        </w:tc>
        <w:tc>
          <w:tcPr>
            <w:tcW w:w="1276" w:type="dxa"/>
            <w:tcBorders>
              <w:top w:val="nil"/>
            </w:tcBorders>
            <w:shd w:val="clear" w:color="auto" w:fill="auto"/>
          </w:tcPr>
          <w:p w:rsidR="00467321" w:rsidRPr="00543D25" w:rsidRDefault="00467321" w:rsidP="00130927">
            <w:pPr>
              <w:pStyle w:val="TableText"/>
              <w:jc w:val="center"/>
            </w:pPr>
            <w:r w:rsidRPr="00543D25">
              <w:t>6.5–9.5</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pPr>
            <w:r w:rsidRPr="00543D25">
              <w:t>Couple parent</w:t>
            </w:r>
          </w:p>
        </w:tc>
        <w:tc>
          <w:tcPr>
            <w:tcW w:w="1842" w:type="dxa"/>
            <w:tcBorders>
              <w:bottom w:val="nil"/>
            </w:tcBorders>
            <w:shd w:val="clear" w:color="auto" w:fill="auto"/>
          </w:tcPr>
          <w:p w:rsidR="00467321" w:rsidRPr="00543D25" w:rsidRDefault="00467321" w:rsidP="00130927">
            <w:pPr>
              <w:pStyle w:val="TableText"/>
              <w:jc w:val="center"/>
            </w:pPr>
            <w:r w:rsidRPr="00543D25">
              <w:t>75.1</w:t>
            </w:r>
          </w:p>
        </w:tc>
        <w:tc>
          <w:tcPr>
            <w:tcW w:w="1276" w:type="dxa"/>
            <w:tcBorders>
              <w:bottom w:val="nil"/>
            </w:tcBorders>
            <w:shd w:val="clear" w:color="auto" w:fill="auto"/>
          </w:tcPr>
          <w:p w:rsidR="00467321" w:rsidRPr="00543D25" w:rsidRDefault="00467321" w:rsidP="00130927">
            <w:pPr>
              <w:pStyle w:val="TableText"/>
              <w:jc w:val="center"/>
            </w:pPr>
            <w:r w:rsidRPr="00543D25">
              <w:t>73.2–77.0</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pPr>
            <w:r w:rsidRPr="00543D25">
              <w:t>Sole parent</w:t>
            </w:r>
          </w:p>
        </w:tc>
        <w:tc>
          <w:tcPr>
            <w:tcW w:w="1842" w:type="dxa"/>
            <w:tcBorders>
              <w:top w:val="nil"/>
            </w:tcBorders>
            <w:shd w:val="clear" w:color="auto" w:fill="auto"/>
          </w:tcPr>
          <w:p w:rsidR="00467321" w:rsidRPr="00543D25" w:rsidRDefault="00467321" w:rsidP="00130927">
            <w:pPr>
              <w:pStyle w:val="TableText"/>
              <w:jc w:val="center"/>
            </w:pPr>
            <w:r w:rsidRPr="00543D25">
              <w:t>24.9</w:t>
            </w:r>
          </w:p>
        </w:tc>
        <w:tc>
          <w:tcPr>
            <w:tcW w:w="1276" w:type="dxa"/>
            <w:tcBorders>
              <w:top w:val="nil"/>
            </w:tcBorders>
            <w:shd w:val="clear" w:color="auto" w:fill="auto"/>
          </w:tcPr>
          <w:p w:rsidR="00467321" w:rsidRPr="00543D25" w:rsidRDefault="00467321" w:rsidP="00130927">
            <w:pPr>
              <w:pStyle w:val="TableText"/>
              <w:jc w:val="center"/>
            </w:pPr>
            <w:r w:rsidRPr="00543D25">
              <w:t>23.0–26.8</w:t>
            </w:r>
          </w:p>
        </w:tc>
      </w:tr>
      <w:tr w:rsidR="00467321" w:rsidRPr="00467321" w:rsidTr="005669D2">
        <w:trPr>
          <w:cantSplit/>
        </w:trPr>
        <w:tc>
          <w:tcPr>
            <w:tcW w:w="4962" w:type="dxa"/>
            <w:tcBorders>
              <w:bottom w:val="nil"/>
            </w:tcBorders>
            <w:shd w:val="clear" w:color="auto" w:fill="auto"/>
          </w:tcPr>
          <w:p w:rsidR="00467321" w:rsidRPr="00543D25" w:rsidRDefault="00467321" w:rsidP="00130927">
            <w:pPr>
              <w:pStyle w:val="TableText"/>
              <w:keepNext/>
            </w:pPr>
            <w:r w:rsidRPr="00543D25">
              <w:lastRenderedPageBreak/>
              <w:t>One child in household</w:t>
            </w:r>
          </w:p>
        </w:tc>
        <w:tc>
          <w:tcPr>
            <w:tcW w:w="1842" w:type="dxa"/>
            <w:tcBorders>
              <w:bottom w:val="nil"/>
            </w:tcBorders>
            <w:shd w:val="clear" w:color="auto" w:fill="auto"/>
          </w:tcPr>
          <w:p w:rsidR="00467321" w:rsidRPr="00543D25" w:rsidRDefault="00467321" w:rsidP="00130927">
            <w:pPr>
              <w:pStyle w:val="TableText"/>
              <w:keepNext/>
              <w:jc w:val="center"/>
            </w:pPr>
            <w:r w:rsidRPr="00543D25">
              <w:t>23.1</w:t>
            </w:r>
          </w:p>
        </w:tc>
        <w:tc>
          <w:tcPr>
            <w:tcW w:w="1276" w:type="dxa"/>
            <w:tcBorders>
              <w:bottom w:val="nil"/>
            </w:tcBorders>
            <w:shd w:val="clear" w:color="auto" w:fill="auto"/>
          </w:tcPr>
          <w:p w:rsidR="00467321" w:rsidRPr="00543D25" w:rsidRDefault="00467321" w:rsidP="00130927">
            <w:pPr>
              <w:pStyle w:val="TableText"/>
              <w:keepNext/>
              <w:jc w:val="center"/>
            </w:pPr>
            <w:r w:rsidRPr="00543D25">
              <w:t>21.4–24.7</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keepNext/>
            </w:pPr>
            <w:r w:rsidRPr="00543D25">
              <w:t>Two children in household</w:t>
            </w:r>
          </w:p>
        </w:tc>
        <w:tc>
          <w:tcPr>
            <w:tcW w:w="1842" w:type="dxa"/>
            <w:tcBorders>
              <w:top w:val="nil"/>
              <w:bottom w:val="nil"/>
            </w:tcBorders>
            <w:shd w:val="clear" w:color="auto" w:fill="auto"/>
          </w:tcPr>
          <w:p w:rsidR="00467321" w:rsidRPr="00543D25" w:rsidRDefault="00467321" w:rsidP="00130927">
            <w:pPr>
              <w:pStyle w:val="TableText"/>
              <w:keepNext/>
              <w:jc w:val="center"/>
            </w:pPr>
            <w:r w:rsidRPr="00543D25">
              <w:t>40.7</w:t>
            </w:r>
          </w:p>
        </w:tc>
        <w:tc>
          <w:tcPr>
            <w:tcW w:w="1276" w:type="dxa"/>
            <w:tcBorders>
              <w:top w:val="nil"/>
              <w:bottom w:val="nil"/>
            </w:tcBorders>
            <w:shd w:val="clear" w:color="auto" w:fill="auto"/>
          </w:tcPr>
          <w:p w:rsidR="00467321" w:rsidRPr="00543D25" w:rsidRDefault="00467321" w:rsidP="00130927">
            <w:pPr>
              <w:pStyle w:val="TableText"/>
              <w:keepNext/>
              <w:jc w:val="center"/>
            </w:pPr>
            <w:r w:rsidRPr="00543D25">
              <w:t>38.6–42.7</w:t>
            </w:r>
          </w:p>
        </w:tc>
      </w:tr>
      <w:tr w:rsidR="00467321" w:rsidRPr="00467321" w:rsidTr="005669D2">
        <w:trPr>
          <w:cantSplit/>
        </w:trPr>
        <w:tc>
          <w:tcPr>
            <w:tcW w:w="4962" w:type="dxa"/>
            <w:tcBorders>
              <w:top w:val="nil"/>
              <w:bottom w:val="nil"/>
            </w:tcBorders>
            <w:shd w:val="clear" w:color="auto" w:fill="auto"/>
          </w:tcPr>
          <w:p w:rsidR="00467321" w:rsidRPr="00543D25" w:rsidRDefault="00467321" w:rsidP="00130927">
            <w:pPr>
              <w:pStyle w:val="TableText"/>
              <w:keepNext/>
            </w:pPr>
            <w:r w:rsidRPr="00543D25">
              <w:t>Three children in household</w:t>
            </w:r>
          </w:p>
        </w:tc>
        <w:tc>
          <w:tcPr>
            <w:tcW w:w="1842" w:type="dxa"/>
            <w:tcBorders>
              <w:top w:val="nil"/>
              <w:bottom w:val="nil"/>
            </w:tcBorders>
            <w:shd w:val="clear" w:color="auto" w:fill="auto"/>
          </w:tcPr>
          <w:p w:rsidR="00467321" w:rsidRPr="00543D25" w:rsidRDefault="00467321" w:rsidP="00130927">
            <w:pPr>
              <w:pStyle w:val="TableText"/>
              <w:keepNext/>
              <w:jc w:val="center"/>
            </w:pPr>
            <w:r w:rsidRPr="00543D25">
              <w:t>21.2</w:t>
            </w:r>
          </w:p>
        </w:tc>
        <w:tc>
          <w:tcPr>
            <w:tcW w:w="1276" w:type="dxa"/>
            <w:tcBorders>
              <w:top w:val="nil"/>
              <w:bottom w:val="nil"/>
            </w:tcBorders>
            <w:shd w:val="clear" w:color="auto" w:fill="auto"/>
          </w:tcPr>
          <w:p w:rsidR="00467321" w:rsidRPr="00543D25" w:rsidRDefault="00467321" w:rsidP="00130927">
            <w:pPr>
              <w:pStyle w:val="TableText"/>
              <w:keepNext/>
              <w:jc w:val="center"/>
            </w:pPr>
            <w:r w:rsidRPr="00543D25">
              <w:t>19.4–23.1</w:t>
            </w:r>
          </w:p>
        </w:tc>
      </w:tr>
      <w:tr w:rsidR="00467321" w:rsidRPr="00467321" w:rsidTr="005669D2">
        <w:trPr>
          <w:cantSplit/>
        </w:trPr>
        <w:tc>
          <w:tcPr>
            <w:tcW w:w="4962" w:type="dxa"/>
            <w:tcBorders>
              <w:top w:val="nil"/>
            </w:tcBorders>
            <w:shd w:val="clear" w:color="auto" w:fill="auto"/>
          </w:tcPr>
          <w:p w:rsidR="00467321" w:rsidRPr="00543D25" w:rsidRDefault="00467321" w:rsidP="00130927">
            <w:pPr>
              <w:pStyle w:val="TableText"/>
              <w:keepNext/>
            </w:pPr>
            <w:r w:rsidRPr="00543D25">
              <w:t>Four or more children in household</w:t>
            </w:r>
          </w:p>
        </w:tc>
        <w:tc>
          <w:tcPr>
            <w:tcW w:w="1842" w:type="dxa"/>
            <w:tcBorders>
              <w:top w:val="nil"/>
            </w:tcBorders>
            <w:shd w:val="clear" w:color="auto" w:fill="auto"/>
          </w:tcPr>
          <w:p w:rsidR="00467321" w:rsidRPr="00543D25" w:rsidRDefault="00467321" w:rsidP="00130927">
            <w:pPr>
              <w:pStyle w:val="TableText"/>
              <w:keepNext/>
              <w:jc w:val="center"/>
            </w:pPr>
            <w:r w:rsidRPr="00543D25">
              <w:t>15.0</w:t>
            </w:r>
          </w:p>
        </w:tc>
        <w:tc>
          <w:tcPr>
            <w:tcW w:w="1276" w:type="dxa"/>
            <w:tcBorders>
              <w:top w:val="nil"/>
            </w:tcBorders>
            <w:shd w:val="clear" w:color="auto" w:fill="auto"/>
          </w:tcPr>
          <w:p w:rsidR="00467321" w:rsidRPr="00543D25" w:rsidRDefault="00467321" w:rsidP="00130927">
            <w:pPr>
              <w:pStyle w:val="TableText"/>
              <w:keepNext/>
              <w:jc w:val="center"/>
            </w:pPr>
            <w:r w:rsidRPr="00543D25">
              <w:t>13.3–16.8</w:t>
            </w:r>
          </w:p>
        </w:tc>
      </w:tr>
      <w:tr w:rsidR="00467321" w:rsidRPr="005669D2" w:rsidTr="005669D2">
        <w:trPr>
          <w:cantSplit/>
        </w:trPr>
        <w:tc>
          <w:tcPr>
            <w:tcW w:w="4962" w:type="dxa"/>
            <w:shd w:val="clear" w:color="auto" w:fill="auto"/>
          </w:tcPr>
          <w:p w:rsidR="00467321" w:rsidRPr="005669D2" w:rsidRDefault="00467321" w:rsidP="00130927">
            <w:pPr>
              <w:pStyle w:val="TableText"/>
              <w:keepNext/>
              <w:rPr>
                <w:b/>
              </w:rPr>
            </w:pPr>
            <w:r w:rsidRPr="005669D2">
              <w:rPr>
                <w:b/>
              </w:rPr>
              <w:t>All children</w:t>
            </w:r>
          </w:p>
        </w:tc>
        <w:tc>
          <w:tcPr>
            <w:tcW w:w="1842" w:type="dxa"/>
            <w:shd w:val="clear" w:color="auto" w:fill="auto"/>
          </w:tcPr>
          <w:p w:rsidR="00467321" w:rsidRPr="005669D2" w:rsidRDefault="00467321" w:rsidP="00130927">
            <w:pPr>
              <w:pStyle w:val="TableText"/>
              <w:keepNext/>
              <w:jc w:val="center"/>
              <w:rPr>
                <w:b/>
              </w:rPr>
            </w:pPr>
            <w:r w:rsidRPr="005669D2">
              <w:rPr>
                <w:b/>
              </w:rPr>
              <w:t>100</w:t>
            </w:r>
          </w:p>
        </w:tc>
        <w:tc>
          <w:tcPr>
            <w:tcW w:w="1276" w:type="dxa"/>
            <w:shd w:val="clear" w:color="auto" w:fill="auto"/>
          </w:tcPr>
          <w:p w:rsidR="00467321" w:rsidRPr="005669D2" w:rsidRDefault="00467321" w:rsidP="00130927">
            <w:pPr>
              <w:pStyle w:val="TableText"/>
              <w:keepNext/>
              <w:jc w:val="center"/>
              <w:rPr>
                <w:b/>
                <w:sz w:val="16"/>
              </w:rPr>
            </w:pPr>
          </w:p>
        </w:tc>
      </w:tr>
    </w:tbl>
    <w:p w:rsidR="00467321" w:rsidRPr="00467321" w:rsidRDefault="00467321" w:rsidP="00390ABE">
      <w:pPr>
        <w:pStyle w:val="Note"/>
      </w:pPr>
      <w:r w:rsidRPr="00467321">
        <w:t>Note: NZDep2013 quintiles are set up so that 20 percent of the adult population resides in each quintile. The distribution of children over the quintiles deviates somewhat from this: more children live in the most deprived quintile of neighbourhoods (24%).</w:t>
      </w:r>
    </w:p>
    <w:p w:rsidR="00467321" w:rsidRDefault="00467321" w:rsidP="00390ABE">
      <w:pPr>
        <w:pStyle w:val="Note"/>
      </w:pPr>
      <w:r w:rsidRPr="00467321">
        <w:t>This table uses the total response measure of ethnicity. Using this measure, children whose caregivers reported more than one ethnic group are counted once in each group; this means that the sum of the percentages for all ethnic groups is greater than 100 percent.</w:t>
      </w:r>
    </w:p>
    <w:p w:rsidR="00390ABE" w:rsidRPr="00390ABE" w:rsidRDefault="00390ABE" w:rsidP="00390ABE"/>
    <w:p w:rsidR="00467321" w:rsidRPr="00467321" w:rsidRDefault="00467321" w:rsidP="0030569E">
      <w:pPr>
        <w:pStyle w:val="Heading1"/>
      </w:pPr>
      <w:bookmarkStart w:id="113" w:name="_bookmark47"/>
      <w:bookmarkStart w:id="114" w:name="_Toc5437088"/>
      <w:bookmarkEnd w:id="113"/>
      <w:r w:rsidRPr="00467321">
        <w:lastRenderedPageBreak/>
        <w:t>Appendix 5: Data tables</w:t>
      </w:r>
      <w:bookmarkEnd w:id="114"/>
    </w:p>
    <w:p w:rsidR="00467321" w:rsidRPr="00467321" w:rsidRDefault="00467321" w:rsidP="00390ABE">
      <w:pPr>
        <w:pStyle w:val="Heading2"/>
      </w:pPr>
      <w:bookmarkStart w:id="115" w:name="_Toc5437089"/>
      <w:r w:rsidRPr="00467321">
        <w:t>Child nutrition indicators</w:t>
      </w:r>
      <w:bookmarkEnd w:id="115"/>
    </w:p>
    <w:p w:rsidR="00467321" w:rsidRPr="00467321" w:rsidRDefault="00467321" w:rsidP="00390ABE">
      <w:pPr>
        <w:pStyle w:val="Table"/>
      </w:pPr>
      <w:bookmarkStart w:id="116" w:name="_Toc5437207"/>
      <w:r w:rsidRPr="00467321">
        <w:t>Table A5.1: Vegetable consumption by food security status, 2014/15 and 2015/16</w:t>
      </w:r>
      <w:bookmarkEnd w:id="11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467321" w:rsidRPr="00A77E7D" w:rsidTr="00A77E7D">
        <w:trPr>
          <w:cantSplit/>
        </w:trPr>
        <w:tc>
          <w:tcPr>
            <w:tcW w:w="1418" w:type="dxa"/>
            <w:tcBorders>
              <w:top w:val="nil"/>
              <w:bottom w:val="nil"/>
            </w:tcBorders>
            <w:shd w:val="clear" w:color="auto" w:fill="D9D9D9" w:themeFill="background1" w:themeFillShade="D9"/>
          </w:tcPr>
          <w:p w:rsidR="00467321" w:rsidRPr="00A77E7D" w:rsidRDefault="00467321" w:rsidP="00A77E7D">
            <w:pPr>
              <w:pStyle w:val="TableText"/>
              <w:rPr>
                <w:b/>
              </w:rPr>
            </w:pPr>
          </w:p>
        </w:tc>
        <w:tc>
          <w:tcPr>
            <w:tcW w:w="1276" w:type="dxa"/>
            <w:tcBorders>
              <w:top w:val="nil"/>
              <w:bottom w:val="nil"/>
            </w:tcBorders>
            <w:shd w:val="clear" w:color="auto" w:fill="D9D9D9" w:themeFill="background1" w:themeFillShade="D9"/>
          </w:tcPr>
          <w:p w:rsidR="00467321" w:rsidRPr="00A77E7D" w:rsidRDefault="00467321" w:rsidP="00A77E7D">
            <w:pPr>
              <w:pStyle w:val="TableText"/>
              <w:jc w:val="center"/>
              <w:rPr>
                <w:b/>
              </w:rPr>
            </w:pPr>
            <w:r w:rsidRPr="00A77E7D">
              <w:rPr>
                <w:b/>
              </w:rPr>
              <w:t>Age</w:t>
            </w:r>
            <w:r w:rsidR="00A77E7D">
              <w:rPr>
                <w:b/>
              </w:rPr>
              <w:br/>
            </w:r>
            <w:r w:rsidRPr="00A77E7D">
              <w:rPr>
                <w:b/>
              </w:rPr>
              <w:t>(child)</w:t>
            </w:r>
          </w:p>
        </w:tc>
        <w:tc>
          <w:tcPr>
            <w:tcW w:w="2055" w:type="dxa"/>
            <w:tcBorders>
              <w:top w:val="nil"/>
              <w:bottom w:val="nil"/>
            </w:tcBorders>
            <w:shd w:val="clear" w:color="auto" w:fill="D9D9D9" w:themeFill="background1" w:themeFillShade="D9"/>
          </w:tcPr>
          <w:p w:rsidR="00467321" w:rsidRPr="00A77E7D" w:rsidRDefault="00467321" w:rsidP="00A77E7D">
            <w:pPr>
              <w:pStyle w:val="TableText"/>
              <w:jc w:val="center"/>
              <w:rPr>
                <w:b/>
              </w:rPr>
            </w:pPr>
            <w:r w:rsidRPr="00A77E7D">
              <w:rPr>
                <w:b/>
              </w:rPr>
              <w:t>Percentage in</w:t>
            </w:r>
            <w:r w:rsidR="00A77E7D">
              <w:rPr>
                <w:b/>
              </w:rPr>
              <w:br/>
            </w:r>
            <w:r w:rsidRPr="00A77E7D">
              <w:rPr>
                <w:b/>
              </w:rPr>
              <w:t>severely to</w:t>
            </w:r>
            <w:r w:rsidR="00A77E7D">
              <w:rPr>
                <w:b/>
              </w:rPr>
              <w:br/>
            </w:r>
            <w:r w:rsidRPr="00A77E7D">
              <w:rPr>
                <w:b/>
              </w:rPr>
              <w:t>moderately food-insecure households</w:t>
            </w:r>
          </w:p>
        </w:tc>
        <w:tc>
          <w:tcPr>
            <w:tcW w:w="2055" w:type="dxa"/>
            <w:tcBorders>
              <w:top w:val="nil"/>
              <w:bottom w:val="nil"/>
            </w:tcBorders>
            <w:shd w:val="clear" w:color="auto" w:fill="D9D9D9" w:themeFill="background1" w:themeFillShade="D9"/>
          </w:tcPr>
          <w:p w:rsidR="00467321" w:rsidRPr="00A77E7D" w:rsidRDefault="00467321" w:rsidP="00A77E7D">
            <w:pPr>
              <w:pStyle w:val="TableText"/>
              <w:jc w:val="center"/>
              <w:rPr>
                <w:b/>
              </w:rPr>
            </w:pPr>
            <w:r w:rsidRPr="00A77E7D">
              <w:rPr>
                <w:b/>
              </w:rPr>
              <w:t>Percentage</w:t>
            </w:r>
            <w:r w:rsidR="00A77E7D">
              <w:rPr>
                <w:b/>
              </w:rPr>
              <w:t xml:space="preserve"> </w:t>
            </w:r>
            <w:r w:rsidRPr="00A77E7D">
              <w:rPr>
                <w:b/>
              </w:rPr>
              <w:t>in fully</w:t>
            </w:r>
            <w:r w:rsidR="00A77E7D">
              <w:rPr>
                <w:b/>
              </w:rPr>
              <w:br/>
            </w:r>
            <w:r w:rsidRPr="00A77E7D">
              <w:rPr>
                <w:b/>
              </w:rPr>
              <w:t>to mostly food-</w:t>
            </w:r>
            <w:r w:rsidR="00A77E7D">
              <w:rPr>
                <w:b/>
              </w:rPr>
              <w:br/>
            </w:r>
            <w:r w:rsidRPr="00A77E7D">
              <w:rPr>
                <w:b/>
              </w:rPr>
              <w:t>secure</w:t>
            </w:r>
            <w:r w:rsidR="00A77E7D">
              <w:rPr>
                <w:b/>
              </w:rPr>
              <w:br/>
            </w:r>
            <w:r w:rsidRPr="00A77E7D">
              <w:rPr>
                <w:b/>
              </w:rPr>
              <w:t>households</w:t>
            </w:r>
          </w:p>
        </w:tc>
        <w:tc>
          <w:tcPr>
            <w:tcW w:w="1276" w:type="dxa"/>
            <w:tcBorders>
              <w:top w:val="nil"/>
              <w:bottom w:val="nil"/>
            </w:tcBorders>
            <w:shd w:val="clear" w:color="auto" w:fill="D9D9D9" w:themeFill="background1" w:themeFillShade="D9"/>
          </w:tcPr>
          <w:p w:rsidR="00467321" w:rsidRPr="00A77E7D" w:rsidRDefault="00467321" w:rsidP="00A77E7D">
            <w:pPr>
              <w:pStyle w:val="TableText"/>
              <w:jc w:val="center"/>
              <w:rPr>
                <w:b/>
              </w:rPr>
            </w:pPr>
            <w:r w:rsidRPr="00A77E7D">
              <w:rPr>
                <w:rFonts w:ascii="Trebuchet MS"/>
                <w:b/>
                <w:i/>
              </w:rPr>
              <w:t xml:space="preserve">p </w:t>
            </w:r>
            <w:r w:rsidRPr="00A77E7D">
              <w:rPr>
                <w:b/>
              </w:rPr>
              <w:t>value for group difference (unadjusted)</w:t>
            </w:r>
          </w:p>
        </w:tc>
      </w:tr>
      <w:tr w:rsidR="00467321" w:rsidRPr="00467321" w:rsidTr="00A83B11">
        <w:trPr>
          <w:cantSplit/>
        </w:trPr>
        <w:tc>
          <w:tcPr>
            <w:tcW w:w="1418" w:type="dxa"/>
            <w:vMerge w:val="restart"/>
            <w:tcBorders>
              <w:top w:val="nil"/>
            </w:tcBorders>
            <w:shd w:val="clear" w:color="auto" w:fill="auto"/>
          </w:tcPr>
          <w:p w:rsidR="00467321" w:rsidRPr="00543D25" w:rsidRDefault="00467321" w:rsidP="00A77E7D">
            <w:pPr>
              <w:pStyle w:val="TableText"/>
            </w:pPr>
            <w:r w:rsidRPr="00543D25">
              <w:t>Not meeting vegetable consumption guidelines</w:t>
            </w:r>
          </w:p>
        </w:tc>
        <w:tc>
          <w:tcPr>
            <w:tcW w:w="1276" w:type="dxa"/>
            <w:tcBorders>
              <w:top w:val="nil"/>
            </w:tcBorders>
            <w:shd w:val="clear" w:color="auto" w:fill="auto"/>
          </w:tcPr>
          <w:p w:rsidR="00467321" w:rsidRPr="00543D25" w:rsidRDefault="00467321" w:rsidP="00A77E7D">
            <w:pPr>
              <w:pStyle w:val="TableText"/>
              <w:tabs>
                <w:tab w:val="decimal" w:pos="541"/>
              </w:tabs>
            </w:pPr>
            <w:r w:rsidRPr="00543D25">
              <w:t>2–4</w:t>
            </w:r>
          </w:p>
        </w:tc>
        <w:tc>
          <w:tcPr>
            <w:tcW w:w="2055" w:type="dxa"/>
            <w:tcBorders>
              <w:top w:val="nil"/>
            </w:tcBorders>
            <w:shd w:val="clear" w:color="auto" w:fill="auto"/>
          </w:tcPr>
          <w:p w:rsidR="00467321" w:rsidRPr="00543D25" w:rsidRDefault="00467321" w:rsidP="00A77E7D">
            <w:pPr>
              <w:pStyle w:val="TableText"/>
              <w:jc w:val="center"/>
            </w:pPr>
            <w:r w:rsidRPr="00543D25">
              <w:t>33.5</w:t>
            </w:r>
          </w:p>
        </w:tc>
        <w:tc>
          <w:tcPr>
            <w:tcW w:w="2055" w:type="dxa"/>
            <w:tcBorders>
              <w:top w:val="nil"/>
            </w:tcBorders>
            <w:shd w:val="clear" w:color="auto" w:fill="auto"/>
          </w:tcPr>
          <w:p w:rsidR="00467321" w:rsidRPr="00543D25" w:rsidRDefault="00467321" w:rsidP="00A77E7D">
            <w:pPr>
              <w:pStyle w:val="TableText"/>
              <w:jc w:val="center"/>
            </w:pPr>
            <w:r w:rsidRPr="00543D25">
              <w:t>26.6</w:t>
            </w:r>
          </w:p>
        </w:tc>
        <w:tc>
          <w:tcPr>
            <w:tcW w:w="1276" w:type="dxa"/>
            <w:tcBorders>
              <w:top w:val="nil"/>
              <w:bottom w:val="single" w:sz="4" w:space="0" w:color="A6A6A6" w:themeColor="background1" w:themeShade="A6"/>
            </w:tcBorders>
            <w:shd w:val="clear" w:color="auto" w:fill="auto"/>
          </w:tcPr>
          <w:p w:rsidR="00467321" w:rsidRPr="00D67693" w:rsidRDefault="00467321" w:rsidP="00A77E7D">
            <w:pPr>
              <w:pStyle w:val="TableText"/>
              <w:tabs>
                <w:tab w:val="decimal" w:pos="510"/>
              </w:tabs>
              <w:rPr>
                <w:b/>
              </w:rPr>
            </w:pPr>
            <w:r w:rsidRPr="00D67693">
              <w:rPr>
                <w:b/>
              </w:rPr>
              <w:t>.04</w:t>
            </w:r>
          </w:p>
        </w:tc>
      </w:tr>
      <w:tr w:rsidR="00467321" w:rsidRPr="00467321" w:rsidTr="00A83B11">
        <w:trPr>
          <w:cantSplit/>
        </w:trPr>
        <w:tc>
          <w:tcPr>
            <w:tcW w:w="1418" w:type="dxa"/>
            <w:vMerge/>
            <w:shd w:val="clear" w:color="auto" w:fill="auto"/>
          </w:tcPr>
          <w:p w:rsidR="00467321" w:rsidRPr="00467321" w:rsidRDefault="00467321" w:rsidP="00A77E7D">
            <w:pPr>
              <w:pStyle w:val="TableText"/>
              <w:rPr>
                <w:sz w:val="2"/>
                <w:szCs w:val="2"/>
              </w:rPr>
            </w:pPr>
          </w:p>
        </w:tc>
        <w:tc>
          <w:tcPr>
            <w:tcW w:w="1276" w:type="dxa"/>
            <w:shd w:val="clear" w:color="auto" w:fill="auto"/>
          </w:tcPr>
          <w:p w:rsidR="00467321" w:rsidRPr="00543D25" w:rsidRDefault="00467321" w:rsidP="00A77E7D">
            <w:pPr>
              <w:pStyle w:val="TableText"/>
              <w:tabs>
                <w:tab w:val="decimal" w:pos="541"/>
              </w:tabs>
            </w:pPr>
            <w:r w:rsidRPr="00543D25">
              <w:t>5–9</w:t>
            </w:r>
          </w:p>
        </w:tc>
        <w:tc>
          <w:tcPr>
            <w:tcW w:w="2055" w:type="dxa"/>
            <w:tcBorders>
              <w:bottom w:val="single" w:sz="4" w:space="0" w:color="A6A6A6" w:themeColor="background1" w:themeShade="A6"/>
            </w:tcBorders>
            <w:shd w:val="clear" w:color="auto" w:fill="auto"/>
          </w:tcPr>
          <w:p w:rsidR="00467321" w:rsidRPr="00543D25" w:rsidRDefault="00467321" w:rsidP="00A77E7D">
            <w:pPr>
              <w:pStyle w:val="TableText"/>
              <w:jc w:val="center"/>
            </w:pPr>
            <w:r w:rsidRPr="00543D25">
              <w:t>64.2</w:t>
            </w:r>
          </w:p>
        </w:tc>
        <w:tc>
          <w:tcPr>
            <w:tcW w:w="2055" w:type="dxa"/>
            <w:tcBorders>
              <w:right w:val="nil"/>
            </w:tcBorders>
            <w:shd w:val="clear" w:color="auto" w:fill="auto"/>
          </w:tcPr>
          <w:p w:rsidR="00467321" w:rsidRPr="00543D25" w:rsidRDefault="00467321" w:rsidP="00A77E7D">
            <w:pPr>
              <w:pStyle w:val="TableText"/>
              <w:jc w:val="center"/>
            </w:pPr>
            <w:r w:rsidRPr="00543D25">
              <w:t>52.5</w:t>
            </w:r>
          </w:p>
        </w:tc>
        <w:tc>
          <w:tcPr>
            <w:tcW w:w="1276" w:type="dxa"/>
            <w:tcBorders>
              <w:top w:val="single" w:sz="4" w:space="0" w:color="A6A6A6" w:themeColor="background1" w:themeShade="A6"/>
              <w:left w:val="nil"/>
            </w:tcBorders>
            <w:shd w:val="clear" w:color="auto" w:fill="auto"/>
          </w:tcPr>
          <w:p w:rsidR="00467321" w:rsidRPr="00D67693" w:rsidRDefault="00467321" w:rsidP="00A77E7D">
            <w:pPr>
              <w:pStyle w:val="TableText"/>
              <w:tabs>
                <w:tab w:val="decimal" w:pos="510"/>
              </w:tabs>
              <w:rPr>
                <w:b/>
              </w:rPr>
            </w:pPr>
            <w:r w:rsidRPr="00D67693">
              <w:rPr>
                <w:b/>
              </w:rPr>
              <w:t>&lt;.01</w:t>
            </w:r>
          </w:p>
        </w:tc>
      </w:tr>
      <w:tr w:rsidR="00467321" w:rsidRPr="00467321" w:rsidTr="00A83B11">
        <w:trPr>
          <w:cantSplit/>
        </w:trPr>
        <w:tc>
          <w:tcPr>
            <w:tcW w:w="1418" w:type="dxa"/>
            <w:vMerge/>
            <w:shd w:val="clear" w:color="auto" w:fill="auto"/>
          </w:tcPr>
          <w:p w:rsidR="00467321" w:rsidRPr="00467321" w:rsidRDefault="00467321" w:rsidP="00A77E7D">
            <w:pPr>
              <w:pStyle w:val="TableText"/>
              <w:rPr>
                <w:sz w:val="2"/>
                <w:szCs w:val="2"/>
              </w:rPr>
            </w:pPr>
          </w:p>
        </w:tc>
        <w:tc>
          <w:tcPr>
            <w:tcW w:w="1276" w:type="dxa"/>
            <w:tcBorders>
              <w:right w:val="nil"/>
            </w:tcBorders>
            <w:shd w:val="clear" w:color="auto" w:fill="auto"/>
          </w:tcPr>
          <w:p w:rsidR="00467321" w:rsidRPr="00543D25" w:rsidRDefault="00467321" w:rsidP="00A77E7D">
            <w:pPr>
              <w:pStyle w:val="TableText"/>
              <w:tabs>
                <w:tab w:val="decimal" w:pos="541"/>
              </w:tabs>
            </w:pPr>
            <w:r w:rsidRPr="00543D25">
              <w:t>10–14</w:t>
            </w:r>
          </w:p>
        </w:tc>
        <w:tc>
          <w:tcPr>
            <w:tcW w:w="2055" w:type="dxa"/>
            <w:tcBorders>
              <w:top w:val="single" w:sz="4" w:space="0" w:color="A6A6A6" w:themeColor="background1" w:themeShade="A6"/>
              <w:left w:val="nil"/>
              <w:right w:val="nil"/>
            </w:tcBorders>
            <w:shd w:val="clear" w:color="auto" w:fill="auto"/>
          </w:tcPr>
          <w:p w:rsidR="00467321" w:rsidRPr="00543D25" w:rsidRDefault="00467321" w:rsidP="00A77E7D">
            <w:pPr>
              <w:pStyle w:val="TableText"/>
              <w:jc w:val="center"/>
            </w:pPr>
            <w:r w:rsidRPr="00543D25">
              <w:t>57.6</w:t>
            </w:r>
          </w:p>
        </w:tc>
        <w:tc>
          <w:tcPr>
            <w:tcW w:w="2055" w:type="dxa"/>
            <w:tcBorders>
              <w:left w:val="nil"/>
            </w:tcBorders>
            <w:shd w:val="clear" w:color="auto" w:fill="auto"/>
          </w:tcPr>
          <w:p w:rsidR="00467321" w:rsidRPr="00543D25" w:rsidRDefault="00467321" w:rsidP="00A77E7D">
            <w:pPr>
              <w:pStyle w:val="TableText"/>
              <w:jc w:val="center"/>
            </w:pPr>
            <w:r w:rsidRPr="00543D25">
              <w:t>45.5</w:t>
            </w:r>
          </w:p>
        </w:tc>
        <w:tc>
          <w:tcPr>
            <w:tcW w:w="1276" w:type="dxa"/>
            <w:shd w:val="clear" w:color="auto" w:fill="auto"/>
          </w:tcPr>
          <w:p w:rsidR="00467321" w:rsidRPr="00D67693" w:rsidRDefault="00467321" w:rsidP="00A77E7D">
            <w:pPr>
              <w:pStyle w:val="TableText"/>
              <w:tabs>
                <w:tab w:val="decimal" w:pos="510"/>
              </w:tabs>
              <w:rPr>
                <w:b/>
              </w:rPr>
            </w:pPr>
            <w:r w:rsidRPr="00D67693">
              <w:rPr>
                <w:b/>
              </w:rPr>
              <w:t>&lt;.01</w:t>
            </w:r>
          </w:p>
        </w:tc>
      </w:tr>
      <w:tr w:rsidR="00467321" w:rsidRPr="00467321" w:rsidTr="00A77E7D">
        <w:trPr>
          <w:cantSplit/>
        </w:trPr>
        <w:tc>
          <w:tcPr>
            <w:tcW w:w="1418" w:type="dxa"/>
            <w:vMerge/>
            <w:shd w:val="clear" w:color="auto" w:fill="auto"/>
          </w:tcPr>
          <w:p w:rsidR="00467321" w:rsidRPr="00467321" w:rsidRDefault="00467321" w:rsidP="00A77E7D">
            <w:pPr>
              <w:pStyle w:val="TableText"/>
              <w:rPr>
                <w:sz w:val="2"/>
                <w:szCs w:val="2"/>
              </w:rPr>
            </w:pPr>
          </w:p>
        </w:tc>
        <w:tc>
          <w:tcPr>
            <w:tcW w:w="1276" w:type="dxa"/>
            <w:shd w:val="clear" w:color="auto" w:fill="auto"/>
          </w:tcPr>
          <w:p w:rsidR="00467321" w:rsidRPr="00543D25" w:rsidRDefault="00467321" w:rsidP="00A77E7D">
            <w:pPr>
              <w:pStyle w:val="TableText"/>
              <w:ind w:left="369"/>
            </w:pPr>
            <w:r w:rsidRPr="00543D25">
              <w:rPr>
                <w:rFonts w:ascii="Calibri"/>
                <w:i/>
              </w:rPr>
              <w:t xml:space="preserve">p </w:t>
            </w:r>
            <w:r w:rsidRPr="00543D25">
              <w:t>value</w:t>
            </w:r>
          </w:p>
          <w:p w:rsidR="00467321" w:rsidRPr="00543D25" w:rsidRDefault="00467321" w:rsidP="00A77E7D">
            <w:pPr>
              <w:pStyle w:val="TableText"/>
              <w:ind w:left="369"/>
            </w:pPr>
            <w:r w:rsidRPr="00543D25">
              <w:t>age</w:t>
            </w:r>
          </w:p>
          <w:p w:rsidR="00467321" w:rsidRPr="00543D25" w:rsidRDefault="00467321" w:rsidP="00A77E7D">
            <w:pPr>
              <w:pStyle w:val="TableText"/>
              <w:ind w:left="369"/>
            </w:pPr>
            <w:r w:rsidRPr="00543D25">
              <w:t>difference</w:t>
            </w:r>
          </w:p>
        </w:tc>
        <w:tc>
          <w:tcPr>
            <w:tcW w:w="2055" w:type="dxa"/>
            <w:shd w:val="clear" w:color="auto" w:fill="auto"/>
          </w:tcPr>
          <w:p w:rsidR="00467321" w:rsidRPr="00D67693" w:rsidRDefault="00467321" w:rsidP="00A77E7D">
            <w:pPr>
              <w:pStyle w:val="TableText"/>
              <w:ind w:left="765"/>
              <w:rPr>
                <w:b/>
              </w:rPr>
            </w:pPr>
            <w:r w:rsidRPr="00D67693">
              <w:rPr>
                <w:b/>
              </w:rPr>
              <w:t>&lt;.01</w:t>
            </w:r>
          </w:p>
          <w:p w:rsidR="00467321" w:rsidRPr="00543D25" w:rsidRDefault="00467321" w:rsidP="00A77E7D">
            <w:pPr>
              <w:pStyle w:val="TableText"/>
              <w:ind w:left="765"/>
            </w:pPr>
            <w:r w:rsidRPr="00543D25">
              <w:t>except 5–9 vs</w:t>
            </w:r>
          </w:p>
          <w:p w:rsidR="00467321" w:rsidRPr="00543D25" w:rsidRDefault="00467321" w:rsidP="00A77E7D">
            <w:pPr>
              <w:pStyle w:val="TableText"/>
              <w:ind w:left="765"/>
            </w:pPr>
            <w:r w:rsidRPr="00543D25">
              <w:t>10–14 ns</w:t>
            </w:r>
          </w:p>
        </w:tc>
        <w:tc>
          <w:tcPr>
            <w:tcW w:w="2055" w:type="dxa"/>
            <w:shd w:val="clear" w:color="auto" w:fill="auto"/>
          </w:tcPr>
          <w:p w:rsidR="00467321" w:rsidRPr="00543D25" w:rsidRDefault="00467321" w:rsidP="00A77E7D">
            <w:pPr>
              <w:pStyle w:val="TableText"/>
              <w:jc w:val="center"/>
              <w:rPr>
                <w:rFonts w:ascii="Trebuchet MS"/>
              </w:rPr>
            </w:pPr>
            <w:r w:rsidRPr="00543D25">
              <w:t xml:space="preserve">All </w:t>
            </w:r>
            <w:r w:rsidRPr="00D67693">
              <w:rPr>
                <w:b/>
              </w:rPr>
              <w:t>&lt;.01</w:t>
            </w:r>
          </w:p>
        </w:tc>
        <w:tc>
          <w:tcPr>
            <w:tcW w:w="1276" w:type="dxa"/>
            <w:shd w:val="clear" w:color="auto" w:fill="auto"/>
          </w:tcPr>
          <w:p w:rsidR="00467321" w:rsidRPr="00543D25" w:rsidRDefault="00467321" w:rsidP="00A77E7D">
            <w:pPr>
              <w:pStyle w:val="TableText"/>
              <w:tabs>
                <w:tab w:val="decimal" w:pos="510"/>
              </w:tabs>
            </w:pPr>
          </w:p>
        </w:tc>
      </w:tr>
    </w:tbl>
    <w:p w:rsidR="00467321" w:rsidRPr="00467321" w:rsidRDefault="00467321" w:rsidP="00390ABE">
      <w:pPr>
        <w:pStyle w:val="Note"/>
      </w:pPr>
      <w:r w:rsidRPr="00467321">
        <w:t>Note:</w:t>
      </w:r>
      <w:r w:rsidR="00543D25">
        <w:t xml:space="preserve"> </w:t>
      </w:r>
      <w:r w:rsidRPr="00467321">
        <w:t>Statistically significant differences (</w:t>
      </w:r>
      <w:r w:rsidRPr="00467321">
        <w:rPr>
          <w:rFonts w:ascii="Calibri"/>
          <w:i/>
        </w:rPr>
        <w:t>p</w:t>
      </w:r>
      <w:r w:rsidRPr="00467321">
        <w:t>&lt;.05) are shown in bold.</w:t>
      </w:r>
    </w:p>
    <w:p w:rsidR="00467321" w:rsidRPr="00543D25" w:rsidRDefault="00467321" w:rsidP="00A77E7D"/>
    <w:p w:rsidR="00467321" w:rsidRPr="00467321" w:rsidRDefault="00467321" w:rsidP="00390ABE">
      <w:pPr>
        <w:pStyle w:val="Table"/>
      </w:pPr>
      <w:bookmarkStart w:id="117" w:name="_Toc5437208"/>
      <w:r w:rsidRPr="00467321">
        <w:t>Table A5.2: Fruit consumption by food security status, 2014/15 and 2015/16</w:t>
      </w:r>
      <w:bookmarkEnd w:id="11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A83B11" w:rsidRPr="00A83B11" w:rsidTr="00A83B11">
        <w:trPr>
          <w:cantSplit/>
        </w:trPr>
        <w:tc>
          <w:tcPr>
            <w:tcW w:w="1418" w:type="dxa"/>
            <w:tcBorders>
              <w:top w:val="nil"/>
              <w:bottom w:val="nil"/>
            </w:tcBorders>
            <w:shd w:val="clear" w:color="auto" w:fill="D9D9D9" w:themeFill="background1" w:themeFillShade="D9"/>
          </w:tcPr>
          <w:p w:rsidR="00467321" w:rsidRPr="00A83B11" w:rsidRDefault="00467321" w:rsidP="00A83B11">
            <w:pPr>
              <w:pStyle w:val="TableText"/>
              <w:rPr>
                <w:b/>
              </w:rPr>
            </w:pPr>
          </w:p>
        </w:tc>
        <w:tc>
          <w:tcPr>
            <w:tcW w:w="1276" w:type="dxa"/>
            <w:tcBorders>
              <w:top w:val="nil"/>
              <w:bottom w:val="nil"/>
            </w:tcBorders>
            <w:shd w:val="clear" w:color="auto" w:fill="D9D9D9" w:themeFill="background1" w:themeFillShade="D9"/>
          </w:tcPr>
          <w:p w:rsidR="00467321" w:rsidRPr="00A83B11" w:rsidRDefault="00467321" w:rsidP="00A83B11">
            <w:pPr>
              <w:pStyle w:val="TableText"/>
              <w:jc w:val="center"/>
              <w:rPr>
                <w:b/>
              </w:rPr>
            </w:pPr>
            <w:r w:rsidRPr="00A83B11">
              <w:rPr>
                <w:b/>
              </w:rPr>
              <w:t>Age</w:t>
            </w:r>
            <w:r w:rsidR="00A83B11">
              <w:rPr>
                <w:b/>
              </w:rPr>
              <w:br/>
            </w:r>
            <w:r w:rsidRPr="00A83B11">
              <w:rPr>
                <w:b/>
              </w:rPr>
              <w:t>(child)</w:t>
            </w:r>
          </w:p>
        </w:tc>
        <w:tc>
          <w:tcPr>
            <w:tcW w:w="2055" w:type="dxa"/>
            <w:tcBorders>
              <w:top w:val="nil"/>
              <w:bottom w:val="nil"/>
            </w:tcBorders>
            <w:shd w:val="clear" w:color="auto" w:fill="D9D9D9" w:themeFill="background1" w:themeFillShade="D9"/>
          </w:tcPr>
          <w:p w:rsidR="00467321" w:rsidRPr="00A83B11" w:rsidRDefault="00467321" w:rsidP="00A83B11">
            <w:pPr>
              <w:pStyle w:val="TableText"/>
              <w:jc w:val="center"/>
              <w:rPr>
                <w:b/>
              </w:rPr>
            </w:pPr>
            <w:r w:rsidRPr="00A83B11">
              <w:rPr>
                <w:b/>
              </w:rPr>
              <w:t>Percentage in</w:t>
            </w:r>
            <w:r w:rsidR="00A83B11">
              <w:rPr>
                <w:b/>
              </w:rPr>
              <w:br/>
            </w:r>
            <w:r w:rsidRPr="00A83B11">
              <w:rPr>
                <w:b/>
              </w:rPr>
              <w:t>severely to</w:t>
            </w:r>
            <w:r w:rsidR="00A83B11">
              <w:rPr>
                <w:b/>
              </w:rPr>
              <w:br/>
            </w:r>
            <w:r w:rsidRPr="00A83B11">
              <w:rPr>
                <w:b/>
              </w:rPr>
              <w:t>moderately</w:t>
            </w:r>
            <w:r w:rsidR="00A83B11" w:rsidRPr="00A83B11">
              <w:rPr>
                <w:b/>
              </w:rPr>
              <w:t xml:space="preserve"> </w:t>
            </w:r>
            <w:r w:rsidR="00C11D2D" w:rsidRPr="00A83B11">
              <w:rPr>
                <w:b/>
              </w:rPr>
              <w:t>food-insecure</w:t>
            </w:r>
            <w:r w:rsidRPr="00A83B11">
              <w:rPr>
                <w:b/>
              </w:rPr>
              <w:t xml:space="preserve"> households</w:t>
            </w:r>
          </w:p>
        </w:tc>
        <w:tc>
          <w:tcPr>
            <w:tcW w:w="2055" w:type="dxa"/>
            <w:tcBorders>
              <w:top w:val="nil"/>
              <w:bottom w:val="nil"/>
            </w:tcBorders>
            <w:shd w:val="clear" w:color="auto" w:fill="D9D9D9" w:themeFill="background1" w:themeFillShade="D9"/>
          </w:tcPr>
          <w:p w:rsidR="00467321" w:rsidRPr="00A83B11" w:rsidRDefault="00467321" w:rsidP="00A83B11">
            <w:pPr>
              <w:pStyle w:val="TableText"/>
              <w:jc w:val="center"/>
              <w:rPr>
                <w:b/>
              </w:rPr>
            </w:pPr>
            <w:r w:rsidRPr="00A83B11">
              <w:rPr>
                <w:b/>
              </w:rPr>
              <w:t>Percentage</w:t>
            </w:r>
            <w:r w:rsidR="00A83B11" w:rsidRPr="00A83B11">
              <w:rPr>
                <w:b/>
              </w:rPr>
              <w:t xml:space="preserve"> </w:t>
            </w:r>
            <w:r w:rsidRPr="00A83B11">
              <w:rPr>
                <w:b/>
              </w:rPr>
              <w:t>in fully</w:t>
            </w:r>
            <w:r w:rsidR="00A83B11">
              <w:rPr>
                <w:b/>
              </w:rPr>
              <w:br/>
            </w:r>
            <w:r w:rsidRPr="00A83B11">
              <w:rPr>
                <w:b/>
              </w:rPr>
              <w:t>to mostly food-</w:t>
            </w:r>
            <w:r w:rsidR="00A83B11">
              <w:rPr>
                <w:b/>
              </w:rPr>
              <w:br/>
              <w:t>s</w:t>
            </w:r>
            <w:r w:rsidRPr="00A83B11">
              <w:rPr>
                <w:b/>
              </w:rPr>
              <w:t>ecure</w:t>
            </w:r>
            <w:r w:rsidR="00A83B11">
              <w:rPr>
                <w:b/>
              </w:rPr>
              <w:br/>
            </w:r>
            <w:r w:rsidRPr="00A83B11">
              <w:rPr>
                <w:b/>
              </w:rPr>
              <w:t>households</w:t>
            </w:r>
          </w:p>
        </w:tc>
        <w:tc>
          <w:tcPr>
            <w:tcW w:w="1276" w:type="dxa"/>
            <w:tcBorders>
              <w:top w:val="nil"/>
              <w:bottom w:val="nil"/>
            </w:tcBorders>
            <w:shd w:val="clear" w:color="auto" w:fill="D9D9D9" w:themeFill="background1" w:themeFillShade="D9"/>
          </w:tcPr>
          <w:p w:rsidR="00467321" w:rsidRPr="00A83B11" w:rsidRDefault="00467321" w:rsidP="00A83B11">
            <w:pPr>
              <w:pStyle w:val="TableText"/>
              <w:jc w:val="center"/>
              <w:rPr>
                <w:b/>
              </w:rPr>
            </w:pPr>
            <w:r w:rsidRPr="00A83B11">
              <w:rPr>
                <w:rFonts w:ascii="Trebuchet MS"/>
                <w:b/>
                <w:i/>
              </w:rPr>
              <w:t xml:space="preserve">p </w:t>
            </w:r>
            <w:r w:rsidRPr="00A83B11">
              <w:rPr>
                <w:b/>
              </w:rPr>
              <w:t>value for group difference (unadjusted)</w:t>
            </w:r>
          </w:p>
        </w:tc>
      </w:tr>
      <w:tr w:rsidR="00467321" w:rsidRPr="00467321" w:rsidTr="00A83B11">
        <w:trPr>
          <w:cantSplit/>
        </w:trPr>
        <w:tc>
          <w:tcPr>
            <w:tcW w:w="1418" w:type="dxa"/>
            <w:vMerge w:val="restart"/>
            <w:tcBorders>
              <w:top w:val="nil"/>
            </w:tcBorders>
            <w:shd w:val="clear" w:color="auto" w:fill="auto"/>
          </w:tcPr>
          <w:p w:rsidR="00467321" w:rsidRPr="00543D25" w:rsidRDefault="00467321" w:rsidP="00A83B11">
            <w:pPr>
              <w:pStyle w:val="TableText"/>
            </w:pPr>
            <w:r w:rsidRPr="00543D25">
              <w:t>Not meeting fruit consumption guidelines</w:t>
            </w:r>
          </w:p>
        </w:tc>
        <w:tc>
          <w:tcPr>
            <w:tcW w:w="1276" w:type="dxa"/>
            <w:tcBorders>
              <w:top w:val="nil"/>
            </w:tcBorders>
            <w:shd w:val="clear" w:color="auto" w:fill="auto"/>
          </w:tcPr>
          <w:p w:rsidR="00467321" w:rsidRPr="00543D25" w:rsidRDefault="00467321" w:rsidP="00A83B11">
            <w:pPr>
              <w:pStyle w:val="TableText"/>
              <w:tabs>
                <w:tab w:val="decimal" w:pos="510"/>
              </w:tabs>
            </w:pPr>
            <w:r w:rsidRPr="00543D25">
              <w:t>2–4</w:t>
            </w:r>
          </w:p>
        </w:tc>
        <w:tc>
          <w:tcPr>
            <w:tcW w:w="2055" w:type="dxa"/>
            <w:tcBorders>
              <w:top w:val="nil"/>
            </w:tcBorders>
            <w:shd w:val="clear" w:color="auto" w:fill="auto"/>
          </w:tcPr>
          <w:p w:rsidR="00467321" w:rsidRPr="00543D25" w:rsidRDefault="00467321" w:rsidP="00A83B11">
            <w:pPr>
              <w:pStyle w:val="TableText"/>
              <w:jc w:val="center"/>
            </w:pPr>
            <w:r w:rsidRPr="00543D25">
              <w:t>24.2</w:t>
            </w:r>
          </w:p>
        </w:tc>
        <w:tc>
          <w:tcPr>
            <w:tcW w:w="2055" w:type="dxa"/>
            <w:tcBorders>
              <w:top w:val="nil"/>
            </w:tcBorders>
            <w:shd w:val="clear" w:color="auto" w:fill="auto"/>
          </w:tcPr>
          <w:p w:rsidR="00467321" w:rsidRPr="00543D25" w:rsidRDefault="00467321" w:rsidP="00A83B11">
            <w:pPr>
              <w:pStyle w:val="TableText"/>
              <w:jc w:val="center"/>
            </w:pPr>
            <w:r w:rsidRPr="00543D25">
              <w:t>18.4</w:t>
            </w:r>
          </w:p>
        </w:tc>
        <w:tc>
          <w:tcPr>
            <w:tcW w:w="1276" w:type="dxa"/>
            <w:tcBorders>
              <w:top w:val="nil"/>
            </w:tcBorders>
            <w:shd w:val="clear" w:color="auto" w:fill="auto"/>
          </w:tcPr>
          <w:p w:rsidR="00467321" w:rsidRPr="00543D25" w:rsidRDefault="00467321" w:rsidP="00A83B11">
            <w:pPr>
              <w:pStyle w:val="TableText"/>
              <w:tabs>
                <w:tab w:val="decimal" w:pos="510"/>
              </w:tabs>
            </w:pPr>
            <w:r w:rsidRPr="00543D25">
              <w:t>.05</w:t>
            </w:r>
          </w:p>
        </w:tc>
      </w:tr>
      <w:tr w:rsidR="00467321" w:rsidRPr="00467321" w:rsidTr="00A83B11">
        <w:trPr>
          <w:cantSplit/>
        </w:trPr>
        <w:tc>
          <w:tcPr>
            <w:tcW w:w="1418" w:type="dxa"/>
            <w:vMerge/>
            <w:shd w:val="clear" w:color="auto" w:fill="auto"/>
          </w:tcPr>
          <w:p w:rsidR="00467321" w:rsidRPr="00467321" w:rsidRDefault="00467321" w:rsidP="00A83B11">
            <w:pPr>
              <w:pStyle w:val="TableText"/>
              <w:rPr>
                <w:sz w:val="2"/>
                <w:szCs w:val="2"/>
              </w:rPr>
            </w:pPr>
          </w:p>
        </w:tc>
        <w:tc>
          <w:tcPr>
            <w:tcW w:w="1276" w:type="dxa"/>
            <w:shd w:val="clear" w:color="auto" w:fill="auto"/>
          </w:tcPr>
          <w:p w:rsidR="00467321" w:rsidRPr="00543D25" w:rsidRDefault="00467321" w:rsidP="00A83B11">
            <w:pPr>
              <w:pStyle w:val="TableText"/>
              <w:tabs>
                <w:tab w:val="decimal" w:pos="510"/>
              </w:tabs>
            </w:pPr>
            <w:r w:rsidRPr="00543D25">
              <w:t>5–9</w:t>
            </w:r>
          </w:p>
        </w:tc>
        <w:tc>
          <w:tcPr>
            <w:tcW w:w="2055" w:type="dxa"/>
            <w:shd w:val="clear" w:color="auto" w:fill="auto"/>
          </w:tcPr>
          <w:p w:rsidR="00467321" w:rsidRPr="00543D25" w:rsidRDefault="00467321" w:rsidP="00A83B11">
            <w:pPr>
              <w:pStyle w:val="TableText"/>
              <w:jc w:val="center"/>
            </w:pPr>
            <w:r w:rsidRPr="00543D25">
              <w:t>28.0</w:t>
            </w:r>
          </w:p>
        </w:tc>
        <w:tc>
          <w:tcPr>
            <w:tcW w:w="2055" w:type="dxa"/>
            <w:shd w:val="clear" w:color="auto" w:fill="auto"/>
          </w:tcPr>
          <w:p w:rsidR="00467321" w:rsidRPr="00543D25" w:rsidRDefault="00467321" w:rsidP="00A83B11">
            <w:pPr>
              <w:pStyle w:val="TableText"/>
              <w:jc w:val="center"/>
            </w:pPr>
            <w:r w:rsidRPr="00543D25">
              <w:t>22.0</w:t>
            </w:r>
          </w:p>
        </w:tc>
        <w:tc>
          <w:tcPr>
            <w:tcW w:w="1276" w:type="dxa"/>
            <w:shd w:val="clear" w:color="auto" w:fill="auto"/>
          </w:tcPr>
          <w:p w:rsidR="00467321" w:rsidRPr="00D67693" w:rsidRDefault="00467321" w:rsidP="00A83B11">
            <w:pPr>
              <w:pStyle w:val="TableText"/>
              <w:tabs>
                <w:tab w:val="decimal" w:pos="510"/>
              </w:tabs>
              <w:rPr>
                <w:b/>
              </w:rPr>
            </w:pPr>
            <w:r w:rsidRPr="00D67693">
              <w:rPr>
                <w:b/>
              </w:rPr>
              <w:t>.03</w:t>
            </w:r>
          </w:p>
        </w:tc>
      </w:tr>
      <w:tr w:rsidR="00467321" w:rsidRPr="00467321" w:rsidTr="00A83B11">
        <w:trPr>
          <w:cantSplit/>
        </w:trPr>
        <w:tc>
          <w:tcPr>
            <w:tcW w:w="1418" w:type="dxa"/>
            <w:vMerge/>
            <w:shd w:val="clear" w:color="auto" w:fill="auto"/>
          </w:tcPr>
          <w:p w:rsidR="00467321" w:rsidRPr="00467321" w:rsidRDefault="00467321" w:rsidP="00A83B11">
            <w:pPr>
              <w:pStyle w:val="TableText"/>
              <w:rPr>
                <w:sz w:val="2"/>
                <w:szCs w:val="2"/>
              </w:rPr>
            </w:pPr>
          </w:p>
        </w:tc>
        <w:tc>
          <w:tcPr>
            <w:tcW w:w="1276" w:type="dxa"/>
            <w:shd w:val="clear" w:color="auto" w:fill="auto"/>
          </w:tcPr>
          <w:p w:rsidR="00467321" w:rsidRPr="00543D25" w:rsidRDefault="00467321" w:rsidP="00A83B11">
            <w:pPr>
              <w:pStyle w:val="TableText"/>
              <w:tabs>
                <w:tab w:val="decimal" w:pos="510"/>
              </w:tabs>
            </w:pPr>
            <w:r w:rsidRPr="00543D25">
              <w:t>10–14</w:t>
            </w:r>
          </w:p>
        </w:tc>
        <w:tc>
          <w:tcPr>
            <w:tcW w:w="2055" w:type="dxa"/>
            <w:shd w:val="clear" w:color="auto" w:fill="auto"/>
          </w:tcPr>
          <w:p w:rsidR="00467321" w:rsidRPr="00543D25" w:rsidRDefault="00467321" w:rsidP="00A83B11">
            <w:pPr>
              <w:pStyle w:val="TableText"/>
              <w:jc w:val="center"/>
            </w:pPr>
            <w:r w:rsidRPr="00543D25">
              <w:t>40.3</w:t>
            </w:r>
          </w:p>
        </w:tc>
        <w:tc>
          <w:tcPr>
            <w:tcW w:w="2055" w:type="dxa"/>
            <w:shd w:val="clear" w:color="auto" w:fill="auto"/>
          </w:tcPr>
          <w:p w:rsidR="00467321" w:rsidRPr="00543D25" w:rsidRDefault="00467321" w:rsidP="00A83B11">
            <w:pPr>
              <w:pStyle w:val="TableText"/>
              <w:jc w:val="center"/>
            </w:pPr>
            <w:r w:rsidRPr="00543D25">
              <w:t>31.5</w:t>
            </w:r>
          </w:p>
        </w:tc>
        <w:tc>
          <w:tcPr>
            <w:tcW w:w="1276" w:type="dxa"/>
            <w:shd w:val="clear" w:color="auto" w:fill="auto"/>
          </w:tcPr>
          <w:p w:rsidR="00467321" w:rsidRPr="00D67693" w:rsidRDefault="00467321" w:rsidP="00A83B11">
            <w:pPr>
              <w:pStyle w:val="TableText"/>
              <w:tabs>
                <w:tab w:val="decimal" w:pos="510"/>
              </w:tabs>
              <w:rPr>
                <w:b/>
              </w:rPr>
            </w:pPr>
            <w:r w:rsidRPr="00D67693">
              <w:rPr>
                <w:b/>
              </w:rPr>
              <w:t>&lt;.01</w:t>
            </w:r>
          </w:p>
        </w:tc>
      </w:tr>
      <w:tr w:rsidR="00467321" w:rsidRPr="00467321" w:rsidTr="00A83B11">
        <w:trPr>
          <w:cantSplit/>
        </w:trPr>
        <w:tc>
          <w:tcPr>
            <w:tcW w:w="1418" w:type="dxa"/>
            <w:vMerge/>
            <w:shd w:val="clear" w:color="auto" w:fill="auto"/>
          </w:tcPr>
          <w:p w:rsidR="00467321" w:rsidRPr="00467321" w:rsidRDefault="00467321" w:rsidP="00A83B11">
            <w:pPr>
              <w:pStyle w:val="TableText"/>
              <w:rPr>
                <w:sz w:val="2"/>
                <w:szCs w:val="2"/>
              </w:rPr>
            </w:pPr>
          </w:p>
        </w:tc>
        <w:tc>
          <w:tcPr>
            <w:tcW w:w="1276" w:type="dxa"/>
            <w:shd w:val="clear" w:color="auto" w:fill="auto"/>
          </w:tcPr>
          <w:p w:rsidR="00467321" w:rsidRPr="00543D25" w:rsidRDefault="00467321" w:rsidP="00A83B11">
            <w:pPr>
              <w:pStyle w:val="TableText"/>
              <w:ind w:left="340"/>
            </w:pPr>
            <w:r w:rsidRPr="00543D25">
              <w:rPr>
                <w:rFonts w:ascii="Calibri"/>
                <w:i/>
              </w:rPr>
              <w:t xml:space="preserve">p </w:t>
            </w:r>
            <w:r w:rsidRPr="00543D25">
              <w:t>value</w:t>
            </w:r>
          </w:p>
          <w:p w:rsidR="00467321" w:rsidRPr="00543D25" w:rsidRDefault="00467321" w:rsidP="00A83B11">
            <w:pPr>
              <w:pStyle w:val="TableText"/>
              <w:ind w:left="340"/>
            </w:pPr>
            <w:r w:rsidRPr="00543D25">
              <w:t>age</w:t>
            </w:r>
          </w:p>
          <w:p w:rsidR="00467321" w:rsidRPr="00543D25" w:rsidRDefault="00467321" w:rsidP="00A83B11">
            <w:pPr>
              <w:pStyle w:val="TableText"/>
              <w:ind w:left="340"/>
            </w:pPr>
            <w:r w:rsidRPr="00543D25">
              <w:t>difference</w:t>
            </w:r>
          </w:p>
        </w:tc>
        <w:tc>
          <w:tcPr>
            <w:tcW w:w="2055" w:type="dxa"/>
            <w:shd w:val="clear" w:color="auto" w:fill="auto"/>
          </w:tcPr>
          <w:p w:rsidR="00A83B11" w:rsidRDefault="00A83B11" w:rsidP="00A83B11">
            <w:pPr>
              <w:pStyle w:val="TableText"/>
              <w:ind w:left="794"/>
            </w:pPr>
          </w:p>
          <w:p w:rsidR="00467321" w:rsidRPr="00543D25" w:rsidRDefault="00467321" w:rsidP="00A83B11">
            <w:pPr>
              <w:pStyle w:val="TableText"/>
              <w:ind w:left="794"/>
            </w:pPr>
            <w:r w:rsidRPr="00D67693">
              <w:rPr>
                <w:rFonts w:cs="Segoe UI"/>
                <w:b/>
              </w:rPr>
              <w:t>&lt;.01</w:t>
            </w:r>
            <w:r w:rsidRPr="00543D25">
              <w:rPr>
                <w:rFonts w:ascii="Trebuchet MS"/>
              </w:rPr>
              <w:t xml:space="preserve"> </w:t>
            </w:r>
            <w:r w:rsidRPr="00543D25">
              <w:t>except</w:t>
            </w:r>
          </w:p>
          <w:p w:rsidR="00467321" w:rsidRPr="00543D25" w:rsidRDefault="00467321" w:rsidP="00A83B11">
            <w:pPr>
              <w:pStyle w:val="TableText"/>
              <w:ind w:left="794"/>
            </w:pPr>
            <w:r w:rsidRPr="00543D25">
              <w:t>2–4 vs 5–9 ns</w:t>
            </w:r>
          </w:p>
        </w:tc>
        <w:tc>
          <w:tcPr>
            <w:tcW w:w="2055" w:type="dxa"/>
            <w:shd w:val="clear" w:color="auto" w:fill="auto"/>
          </w:tcPr>
          <w:p w:rsidR="00467321" w:rsidRPr="00543D25" w:rsidRDefault="00467321" w:rsidP="00A83B11">
            <w:pPr>
              <w:pStyle w:val="TableText"/>
              <w:jc w:val="center"/>
              <w:rPr>
                <w:rFonts w:ascii="Trebuchet MS"/>
              </w:rPr>
            </w:pPr>
            <w:r w:rsidRPr="00543D25">
              <w:t xml:space="preserve">All </w:t>
            </w:r>
            <w:r w:rsidRPr="00D67693">
              <w:t>&lt;</w:t>
            </w:r>
            <w:r w:rsidRPr="00D67693">
              <w:rPr>
                <w:b/>
              </w:rPr>
              <w:t>.05</w:t>
            </w:r>
          </w:p>
        </w:tc>
        <w:tc>
          <w:tcPr>
            <w:tcW w:w="1276" w:type="dxa"/>
            <w:shd w:val="clear" w:color="auto" w:fill="auto"/>
          </w:tcPr>
          <w:p w:rsidR="00467321" w:rsidRPr="00543D25" w:rsidRDefault="00467321" w:rsidP="00A83B11">
            <w:pPr>
              <w:pStyle w:val="TableText"/>
              <w:tabs>
                <w:tab w:val="decimal" w:pos="510"/>
              </w:tabs>
            </w:pPr>
          </w:p>
        </w:tc>
      </w:tr>
    </w:tbl>
    <w:p w:rsidR="00467321" w:rsidRPr="00467321" w:rsidRDefault="00467321" w:rsidP="00390ABE">
      <w:pPr>
        <w:pStyle w:val="Note"/>
      </w:pPr>
      <w:r w:rsidRPr="00467321">
        <w:t>Note: Statistically significant differences (</w:t>
      </w:r>
      <w:r w:rsidRPr="00467321">
        <w:rPr>
          <w:rFonts w:ascii="Calibri"/>
          <w:i/>
        </w:rPr>
        <w:t xml:space="preserve">p </w:t>
      </w:r>
      <w:r w:rsidRPr="00467321">
        <w:t>&lt; .05) are shown in bold.</w:t>
      </w:r>
    </w:p>
    <w:p w:rsidR="00467321" w:rsidRPr="00543D25" w:rsidRDefault="00467321" w:rsidP="00390ABE"/>
    <w:p w:rsidR="00467321" w:rsidRDefault="00467321" w:rsidP="00390ABE">
      <w:pPr>
        <w:pStyle w:val="Table"/>
      </w:pPr>
      <w:bookmarkStart w:id="118" w:name="_Toc5437209"/>
      <w:r w:rsidRPr="00467321">
        <w:lastRenderedPageBreak/>
        <w:t>Table A5.3: Breakfast by food security status, 2014/15 and 2015/16</w:t>
      </w:r>
      <w:bookmarkEnd w:id="11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A83B11" w:rsidRPr="00A83B11" w:rsidTr="00A83B11">
        <w:trPr>
          <w:cantSplit/>
        </w:trPr>
        <w:tc>
          <w:tcPr>
            <w:tcW w:w="1418" w:type="dxa"/>
            <w:tcBorders>
              <w:top w:val="nil"/>
              <w:bottom w:val="nil"/>
            </w:tcBorders>
            <w:shd w:val="clear" w:color="auto" w:fill="D9D9D9" w:themeFill="background1" w:themeFillShade="D9"/>
          </w:tcPr>
          <w:p w:rsidR="00A83B11" w:rsidRPr="00A83B11" w:rsidRDefault="00A83B11" w:rsidP="00D67693">
            <w:pPr>
              <w:pStyle w:val="TableText"/>
              <w:keepNext/>
              <w:rPr>
                <w:b/>
              </w:rPr>
            </w:pPr>
          </w:p>
        </w:tc>
        <w:tc>
          <w:tcPr>
            <w:tcW w:w="1276" w:type="dxa"/>
            <w:tcBorders>
              <w:top w:val="nil"/>
              <w:bottom w:val="nil"/>
            </w:tcBorders>
            <w:shd w:val="clear" w:color="auto" w:fill="D9D9D9" w:themeFill="background1" w:themeFillShade="D9"/>
          </w:tcPr>
          <w:p w:rsidR="00A83B11" w:rsidRPr="00A83B11" w:rsidRDefault="00A83B11" w:rsidP="00D67693">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A83B11" w:rsidRPr="00A83B11" w:rsidRDefault="00A83B11" w:rsidP="00D67693">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A83B11" w:rsidRPr="00A83B11" w:rsidRDefault="00A83B11" w:rsidP="00D67693">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A83B11" w:rsidRPr="00A83B11" w:rsidRDefault="00A83B11" w:rsidP="00D67693">
            <w:pPr>
              <w:pStyle w:val="TableText"/>
              <w:keepNext/>
              <w:jc w:val="center"/>
              <w:rPr>
                <w:b/>
              </w:rPr>
            </w:pPr>
            <w:r w:rsidRPr="00A83B11">
              <w:rPr>
                <w:rFonts w:ascii="Trebuchet MS"/>
                <w:b/>
                <w:i/>
              </w:rPr>
              <w:t xml:space="preserve">p </w:t>
            </w:r>
            <w:r w:rsidRPr="00A83B11">
              <w:rPr>
                <w:b/>
              </w:rPr>
              <w:t>value for group difference (unadjusted)</w:t>
            </w:r>
          </w:p>
        </w:tc>
      </w:tr>
      <w:tr w:rsidR="00A83B11" w:rsidRPr="00467321" w:rsidTr="00A83B11">
        <w:trPr>
          <w:cantSplit/>
        </w:trPr>
        <w:tc>
          <w:tcPr>
            <w:tcW w:w="1418" w:type="dxa"/>
            <w:vMerge w:val="restart"/>
            <w:tcBorders>
              <w:top w:val="nil"/>
            </w:tcBorders>
            <w:shd w:val="clear" w:color="auto" w:fill="auto"/>
          </w:tcPr>
          <w:p w:rsidR="00A83B11" w:rsidRPr="00543D25" w:rsidRDefault="00D67693" w:rsidP="00D67693">
            <w:pPr>
              <w:pStyle w:val="TableText"/>
              <w:keepNext/>
            </w:pPr>
            <w:r w:rsidRPr="00543D25">
              <w:t>Breakfast at home &lt;5 days per week</w:t>
            </w:r>
          </w:p>
        </w:tc>
        <w:tc>
          <w:tcPr>
            <w:tcW w:w="1276" w:type="dxa"/>
            <w:tcBorders>
              <w:top w:val="nil"/>
            </w:tcBorders>
            <w:shd w:val="clear" w:color="auto" w:fill="auto"/>
          </w:tcPr>
          <w:p w:rsidR="00A83B11" w:rsidRPr="00543D25" w:rsidRDefault="00A83B11" w:rsidP="00D67693">
            <w:pPr>
              <w:pStyle w:val="TableText"/>
              <w:keepNext/>
              <w:tabs>
                <w:tab w:val="decimal" w:pos="510"/>
              </w:tabs>
            </w:pPr>
            <w:r w:rsidRPr="00543D25">
              <w:t>2–4</w:t>
            </w:r>
          </w:p>
        </w:tc>
        <w:tc>
          <w:tcPr>
            <w:tcW w:w="2055" w:type="dxa"/>
            <w:tcBorders>
              <w:top w:val="nil"/>
            </w:tcBorders>
            <w:shd w:val="clear" w:color="auto" w:fill="auto"/>
          </w:tcPr>
          <w:p w:rsidR="00A83B11" w:rsidRPr="00543D25" w:rsidRDefault="00A83B11" w:rsidP="00D67693">
            <w:pPr>
              <w:pStyle w:val="TableText"/>
              <w:keepNext/>
              <w:tabs>
                <w:tab w:val="decimal" w:pos="980"/>
              </w:tabs>
            </w:pPr>
            <w:r w:rsidRPr="00543D25">
              <w:t>5.5</w:t>
            </w:r>
          </w:p>
        </w:tc>
        <w:tc>
          <w:tcPr>
            <w:tcW w:w="2055" w:type="dxa"/>
            <w:tcBorders>
              <w:top w:val="nil"/>
            </w:tcBorders>
            <w:shd w:val="clear" w:color="auto" w:fill="auto"/>
          </w:tcPr>
          <w:p w:rsidR="00A83B11" w:rsidRPr="00543D25" w:rsidRDefault="00A83B11" w:rsidP="00D67693">
            <w:pPr>
              <w:pStyle w:val="TableText"/>
              <w:keepNext/>
              <w:tabs>
                <w:tab w:val="decimal" w:pos="1006"/>
              </w:tabs>
            </w:pPr>
            <w:r w:rsidRPr="00543D25">
              <w:t>5.6</w:t>
            </w:r>
          </w:p>
        </w:tc>
        <w:tc>
          <w:tcPr>
            <w:tcW w:w="1276" w:type="dxa"/>
            <w:tcBorders>
              <w:top w:val="nil"/>
            </w:tcBorders>
            <w:shd w:val="clear" w:color="auto" w:fill="auto"/>
          </w:tcPr>
          <w:p w:rsidR="00A83B11" w:rsidRPr="00543D25" w:rsidRDefault="00A83B11" w:rsidP="00D67693">
            <w:pPr>
              <w:pStyle w:val="TableText"/>
              <w:keepNext/>
              <w:tabs>
                <w:tab w:val="decimal" w:pos="510"/>
              </w:tabs>
            </w:pPr>
            <w:r w:rsidRPr="00543D25">
              <w:t>.99</w:t>
            </w:r>
          </w:p>
        </w:tc>
      </w:tr>
      <w:tr w:rsidR="00A83B11" w:rsidRPr="00467321" w:rsidTr="00A83B11">
        <w:trPr>
          <w:cantSplit/>
        </w:trPr>
        <w:tc>
          <w:tcPr>
            <w:tcW w:w="1418" w:type="dxa"/>
            <w:vMerge/>
            <w:shd w:val="clear" w:color="auto" w:fill="auto"/>
          </w:tcPr>
          <w:p w:rsidR="00A83B11" w:rsidRPr="00467321" w:rsidRDefault="00A83B11" w:rsidP="00D67693">
            <w:pPr>
              <w:pStyle w:val="TableText"/>
              <w:keepNext/>
              <w:rPr>
                <w:sz w:val="2"/>
                <w:szCs w:val="2"/>
              </w:rPr>
            </w:pPr>
          </w:p>
        </w:tc>
        <w:tc>
          <w:tcPr>
            <w:tcW w:w="1276" w:type="dxa"/>
            <w:shd w:val="clear" w:color="auto" w:fill="auto"/>
          </w:tcPr>
          <w:p w:rsidR="00A83B11" w:rsidRPr="00543D25" w:rsidRDefault="00A83B11" w:rsidP="00D67693">
            <w:pPr>
              <w:pStyle w:val="TableText"/>
              <w:keepNext/>
              <w:tabs>
                <w:tab w:val="decimal" w:pos="510"/>
              </w:tabs>
            </w:pPr>
            <w:r w:rsidRPr="00543D25">
              <w:t>5–9</w:t>
            </w:r>
          </w:p>
        </w:tc>
        <w:tc>
          <w:tcPr>
            <w:tcW w:w="2055" w:type="dxa"/>
            <w:shd w:val="clear" w:color="auto" w:fill="auto"/>
          </w:tcPr>
          <w:p w:rsidR="00A83B11" w:rsidRPr="00543D25" w:rsidRDefault="00A83B11" w:rsidP="00D67693">
            <w:pPr>
              <w:pStyle w:val="TableText"/>
              <w:keepNext/>
              <w:tabs>
                <w:tab w:val="decimal" w:pos="980"/>
              </w:tabs>
            </w:pPr>
            <w:r w:rsidRPr="00543D25">
              <w:t>15.9</w:t>
            </w:r>
          </w:p>
        </w:tc>
        <w:tc>
          <w:tcPr>
            <w:tcW w:w="2055" w:type="dxa"/>
            <w:shd w:val="clear" w:color="auto" w:fill="auto"/>
          </w:tcPr>
          <w:p w:rsidR="00A83B11" w:rsidRPr="00543D25" w:rsidRDefault="00A83B11" w:rsidP="00D67693">
            <w:pPr>
              <w:pStyle w:val="TableText"/>
              <w:keepNext/>
              <w:tabs>
                <w:tab w:val="decimal" w:pos="1006"/>
              </w:tabs>
            </w:pPr>
            <w:r w:rsidRPr="00543D25">
              <w:t>4.5</w:t>
            </w:r>
          </w:p>
        </w:tc>
        <w:tc>
          <w:tcPr>
            <w:tcW w:w="1276" w:type="dxa"/>
            <w:shd w:val="clear" w:color="auto" w:fill="auto"/>
          </w:tcPr>
          <w:p w:rsidR="00A83B11" w:rsidRPr="00D67693" w:rsidRDefault="00A83B11" w:rsidP="00D67693">
            <w:pPr>
              <w:pStyle w:val="TableText"/>
              <w:keepNext/>
              <w:tabs>
                <w:tab w:val="decimal" w:pos="510"/>
              </w:tabs>
              <w:rPr>
                <w:b/>
              </w:rPr>
            </w:pPr>
            <w:r w:rsidRPr="00D67693">
              <w:rPr>
                <w:b/>
              </w:rPr>
              <w:t>&lt;.01</w:t>
            </w:r>
          </w:p>
        </w:tc>
      </w:tr>
      <w:tr w:rsidR="00A83B11" w:rsidRPr="00467321" w:rsidTr="00A83B11">
        <w:trPr>
          <w:cantSplit/>
        </w:trPr>
        <w:tc>
          <w:tcPr>
            <w:tcW w:w="1418" w:type="dxa"/>
            <w:vMerge/>
            <w:shd w:val="clear" w:color="auto" w:fill="auto"/>
          </w:tcPr>
          <w:p w:rsidR="00A83B11" w:rsidRPr="00467321" w:rsidRDefault="00A83B11" w:rsidP="00D67693">
            <w:pPr>
              <w:pStyle w:val="TableText"/>
              <w:keepNext/>
              <w:rPr>
                <w:sz w:val="2"/>
                <w:szCs w:val="2"/>
              </w:rPr>
            </w:pPr>
          </w:p>
        </w:tc>
        <w:tc>
          <w:tcPr>
            <w:tcW w:w="1276" w:type="dxa"/>
            <w:shd w:val="clear" w:color="auto" w:fill="auto"/>
          </w:tcPr>
          <w:p w:rsidR="00A83B11" w:rsidRPr="00543D25" w:rsidRDefault="00A83B11" w:rsidP="00D67693">
            <w:pPr>
              <w:pStyle w:val="TableText"/>
              <w:keepNext/>
              <w:tabs>
                <w:tab w:val="decimal" w:pos="510"/>
              </w:tabs>
            </w:pPr>
            <w:r w:rsidRPr="00543D25">
              <w:t>10–14</w:t>
            </w:r>
          </w:p>
        </w:tc>
        <w:tc>
          <w:tcPr>
            <w:tcW w:w="2055" w:type="dxa"/>
            <w:shd w:val="clear" w:color="auto" w:fill="auto"/>
          </w:tcPr>
          <w:p w:rsidR="00A83B11" w:rsidRPr="00543D25" w:rsidRDefault="00A83B11" w:rsidP="00D67693">
            <w:pPr>
              <w:pStyle w:val="TableText"/>
              <w:keepNext/>
              <w:tabs>
                <w:tab w:val="decimal" w:pos="980"/>
              </w:tabs>
            </w:pPr>
            <w:r w:rsidRPr="00543D25">
              <w:t>24.9</w:t>
            </w:r>
          </w:p>
        </w:tc>
        <w:tc>
          <w:tcPr>
            <w:tcW w:w="2055" w:type="dxa"/>
            <w:shd w:val="clear" w:color="auto" w:fill="auto"/>
          </w:tcPr>
          <w:p w:rsidR="00A83B11" w:rsidRPr="00543D25" w:rsidRDefault="00A83B11" w:rsidP="00D67693">
            <w:pPr>
              <w:pStyle w:val="TableText"/>
              <w:keepNext/>
              <w:tabs>
                <w:tab w:val="decimal" w:pos="1006"/>
              </w:tabs>
            </w:pPr>
            <w:r w:rsidRPr="00543D25">
              <w:t>13.2</w:t>
            </w:r>
          </w:p>
        </w:tc>
        <w:tc>
          <w:tcPr>
            <w:tcW w:w="1276" w:type="dxa"/>
            <w:shd w:val="clear" w:color="auto" w:fill="auto"/>
          </w:tcPr>
          <w:p w:rsidR="00A83B11" w:rsidRPr="00D67693" w:rsidRDefault="00A83B11" w:rsidP="00D67693">
            <w:pPr>
              <w:pStyle w:val="TableText"/>
              <w:keepNext/>
              <w:tabs>
                <w:tab w:val="decimal" w:pos="510"/>
              </w:tabs>
              <w:rPr>
                <w:b/>
              </w:rPr>
            </w:pPr>
            <w:r w:rsidRPr="00D67693">
              <w:rPr>
                <w:b/>
              </w:rPr>
              <w:t>&lt;.01</w:t>
            </w:r>
          </w:p>
        </w:tc>
      </w:tr>
      <w:tr w:rsidR="00A83B11" w:rsidRPr="00467321" w:rsidTr="00A83B11">
        <w:trPr>
          <w:cantSplit/>
        </w:trPr>
        <w:tc>
          <w:tcPr>
            <w:tcW w:w="1418" w:type="dxa"/>
            <w:vMerge/>
            <w:shd w:val="clear" w:color="auto" w:fill="auto"/>
          </w:tcPr>
          <w:p w:rsidR="00A83B11" w:rsidRPr="00467321" w:rsidRDefault="00A83B11" w:rsidP="00D67693">
            <w:pPr>
              <w:pStyle w:val="TableText"/>
              <w:keepNext/>
              <w:rPr>
                <w:sz w:val="2"/>
                <w:szCs w:val="2"/>
              </w:rPr>
            </w:pPr>
          </w:p>
        </w:tc>
        <w:tc>
          <w:tcPr>
            <w:tcW w:w="1276" w:type="dxa"/>
            <w:shd w:val="clear" w:color="auto" w:fill="auto"/>
          </w:tcPr>
          <w:p w:rsidR="00A83B11" w:rsidRPr="00543D25" w:rsidRDefault="00A83B11" w:rsidP="00D67693">
            <w:pPr>
              <w:pStyle w:val="TableText"/>
              <w:keepNext/>
              <w:ind w:left="340"/>
            </w:pPr>
            <w:r w:rsidRPr="00543D25">
              <w:rPr>
                <w:rFonts w:ascii="Calibri"/>
                <w:i/>
              </w:rPr>
              <w:t xml:space="preserve">p </w:t>
            </w:r>
            <w:r w:rsidRPr="00543D25">
              <w:t>value</w:t>
            </w:r>
          </w:p>
          <w:p w:rsidR="00A83B11" w:rsidRPr="00543D25" w:rsidRDefault="00A83B11" w:rsidP="00D67693">
            <w:pPr>
              <w:pStyle w:val="TableText"/>
              <w:keepNext/>
              <w:ind w:left="340"/>
            </w:pPr>
            <w:r w:rsidRPr="00543D25">
              <w:t>age</w:t>
            </w:r>
          </w:p>
          <w:p w:rsidR="00A83B11" w:rsidRPr="00543D25" w:rsidRDefault="00A83B11" w:rsidP="00D67693">
            <w:pPr>
              <w:pStyle w:val="TableText"/>
              <w:keepNext/>
              <w:ind w:left="340"/>
            </w:pPr>
            <w:r w:rsidRPr="00543D25">
              <w:t>difference</w:t>
            </w:r>
          </w:p>
        </w:tc>
        <w:tc>
          <w:tcPr>
            <w:tcW w:w="2055" w:type="dxa"/>
            <w:shd w:val="clear" w:color="auto" w:fill="auto"/>
          </w:tcPr>
          <w:p w:rsidR="00A83B11" w:rsidRPr="00D67693" w:rsidRDefault="00A83B11" w:rsidP="00D67693">
            <w:pPr>
              <w:pStyle w:val="TableText"/>
              <w:keepNext/>
              <w:jc w:val="center"/>
              <w:rPr>
                <w:b/>
              </w:rPr>
            </w:pPr>
            <w:r w:rsidRPr="00D67693">
              <w:rPr>
                <w:b/>
              </w:rPr>
              <w:t>All &lt;.01</w:t>
            </w:r>
          </w:p>
        </w:tc>
        <w:tc>
          <w:tcPr>
            <w:tcW w:w="2055" w:type="dxa"/>
            <w:shd w:val="clear" w:color="auto" w:fill="auto"/>
          </w:tcPr>
          <w:p w:rsidR="00D67693" w:rsidRDefault="00D67693" w:rsidP="00D67693">
            <w:pPr>
              <w:pStyle w:val="TableText"/>
              <w:keepNext/>
              <w:ind w:left="794"/>
            </w:pPr>
          </w:p>
          <w:p w:rsidR="00A83B11" w:rsidRPr="00543D25" w:rsidRDefault="00A83B11" w:rsidP="00D67693">
            <w:pPr>
              <w:pStyle w:val="TableText"/>
              <w:keepNext/>
              <w:ind w:left="794"/>
            </w:pPr>
            <w:r w:rsidRPr="00A83B11">
              <w:t>&lt;</w:t>
            </w:r>
            <w:r w:rsidRPr="00D67693">
              <w:rPr>
                <w:b/>
              </w:rPr>
              <w:t>.01</w:t>
            </w:r>
            <w:r w:rsidRPr="00543D25">
              <w:rPr>
                <w:rFonts w:ascii="Trebuchet MS"/>
                <w:b/>
              </w:rPr>
              <w:t xml:space="preserve"> </w:t>
            </w:r>
            <w:r w:rsidRPr="00543D25">
              <w:t>except</w:t>
            </w:r>
          </w:p>
          <w:p w:rsidR="00A83B11" w:rsidRPr="00543D25" w:rsidRDefault="00A83B11" w:rsidP="00D67693">
            <w:pPr>
              <w:pStyle w:val="TableText"/>
              <w:keepNext/>
              <w:ind w:left="794"/>
            </w:pPr>
            <w:r w:rsidRPr="00543D25">
              <w:t>2–4 vs 5–9 ns</w:t>
            </w:r>
          </w:p>
        </w:tc>
        <w:tc>
          <w:tcPr>
            <w:tcW w:w="1276" w:type="dxa"/>
            <w:shd w:val="clear" w:color="auto" w:fill="auto"/>
          </w:tcPr>
          <w:p w:rsidR="00A83B11" w:rsidRPr="00543D25" w:rsidRDefault="00A83B11" w:rsidP="00D67693">
            <w:pPr>
              <w:pStyle w:val="TableText"/>
              <w:keepNext/>
              <w:rPr>
                <w:rFonts w:ascii="Times New Roman"/>
              </w:rPr>
            </w:pPr>
          </w:p>
        </w:tc>
      </w:tr>
    </w:tbl>
    <w:p w:rsidR="00467321" w:rsidRPr="00467321" w:rsidRDefault="00467321" w:rsidP="00390ABE">
      <w:pPr>
        <w:pStyle w:val="Note"/>
      </w:pPr>
      <w:r w:rsidRPr="00467321">
        <w:t>Note: Statistically significant differences (</w:t>
      </w:r>
      <w:r w:rsidRPr="00467321">
        <w:rPr>
          <w:rFonts w:ascii="Calibri"/>
          <w:i/>
        </w:rPr>
        <w:t xml:space="preserve">p </w:t>
      </w:r>
      <w:r w:rsidRPr="00467321">
        <w:t>&lt; .05) are shown in bold.</w:t>
      </w:r>
    </w:p>
    <w:p w:rsidR="00467321" w:rsidRPr="00543D25" w:rsidRDefault="00467321" w:rsidP="00390ABE"/>
    <w:p w:rsidR="00467321" w:rsidRDefault="00467321" w:rsidP="00390ABE">
      <w:pPr>
        <w:pStyle w:val="Table"/>
      </w:pPr>
      <w:bookmarkStart w:id="119" w:name="_Toc5437210"/>
      <w:r w:rsidRPr="00467321">
        <w:t>Table A5.4: Fast food by food security status, 2014/15 and 2015/16</w:t>
      </w:r>
      <w:bookmarkEnd w:id="11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8941C1" w:rsidRPr="00A83B11" w:rsidTr="002F3E98">
        <w:trPr>
          <w:cantSplit/>
        </w:trPr>
        <w:tc>
          <w:tcPr>
            <w:tcW w:w="1418" w:type="dxa"/>
            <w:tcBorders>
              <w:top w:val="nil"/>
              <w:bottom w:val="nil"/>
            </w:tcBorders>
            <w:shd w:val="clear" w:color="auto" w:fill="D9D9D9" w:themeFill="background1" w:themeFillShade="D9"/>
          </w:tcPr>
          <w:p w:rsidR="008941C1" w:rsidRPr="00A83B11" w:rsidRDefault="008941C1" w:rsidP="002F3E98">
            <w:pPr>
              <w:pStyle w:val="TableText"/>
              <w:keepNext/>
              <w:rPr>
                <w:b/>
              </w:rPr>
            </w:pP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rFonts w:ascii="Trebuchet MS"/>
                <w:b/>
                <w:i/>
              </w:rPr>
              <w:t xml:space="preserve">p </w:t>
            </w:r>
            <w:r w:rsidRPr="00A83B11">
              <w:rPr>
                <w:b/>
              </w:rPr>
              <w:t>value for group difference (unadjusted)</w:t>
            </w:r>
          </w:p>
        </w:tc>
      </w:tr>
      <w:tr w:rsidR="008941C1" w:rsidRPr="00467321" w:rsidTr="002F3E98">
        <w:trPr>
          <w:cantSplit/>
        </w:trPr>
        <w:tc>
          <w:tcPr>
            <w:tcW w:w="1418" w:type="dxa"/>
            <w:vMerge w:val="restart"/>
            <w:tcBorders>
              <w:top w:val="nil"/>
            </w:tcBorders>
            <w:shd w:val="clear" w:color="auto" w:fill="auto"/>
          </w:tcPr>
          <w:p w:rsidR="008941C1" w:rsidRPr="00543D25" w:rsidRDefault="008941C1" w:rsidP="002F3E98">
            <w:pPr>
              <w:pStyle w:val="TableText"/>
              <w:keepNext/>
            </w:pPr>
            <w:r w:rsidRPr="00543D25">
              <w:t>Fast food three or more times a week</w:t>
            </w:r>
          </w:p>
        </w:tc>
        <w:tc>
          <w:tcPr>
            <w:tcW w:w="1276" w:type="dxa"/>
            <w:tcBorders>
              <w:top w:val="nil"/>
            </w:tcBorders>
            <w:shd w:val="clear" w:color="auto" w:fill="auto"/>
          </w:tcPr>
          <w:p w:rsidR="008941C1" w:rsidRPr="00543D25" w:rsidRDefault="008941C1" w:rsidP="002F3E98">
            <w:pPr>
              <w:pStyle w:val="TableText"/>
              <w:keepNext/>
              <w:tabs>
                <w:tab w:val="decimal" w:pos="510"/>
              </w:tabs>
            </w:pPr>
            <w:r w:rsidRPr="00543D25">
              <w:t>2–4</w:t>
            </w:r>
          </w:p>
        </w:tc>
        <w:tc>
          <w:tcPr>
            <w:tcW w:w="2055" w:type="dxa"/>
            <w:tcBorders>
              <w:top w:val="nil"/>
            </w:tcBorders>
            <w:shd w:val="clear" w:color="auto" w:fill="auto"/>
          </w:tcPr>
          <w:p w:rsidR="008941C1" w:rsidRPr="00543D25" w:rsidRDefault="008941C1" w:rsidP="008941C1">
            <w:pPr>
              <w:pStyle w:val="TableText"/>
              <w:tabs>
                <w:tab w:val="decimal" w:pos="992"/>
              </w:tabs>
            </w:pPr>
            <w:r w:rsidRPr="00543D25">
              <w:t>8.4</w:t>
            </w:r>
          </w:p>
        </w:tc>
        <w:tc>
          <w:tcPr>
            <w:tcW w:w="2055" w:type="dxa"/>
            <w:tcBorders>
              <w:top w:val="nil"/>
            </w:tcBorders>
            <w:shd w:val="clear" w:color="auto" w:fill="auto"/>
          </w:tcPr>
          <w:p w:rsidR="008941C1" w:rsidRPr="00543D25" w:rsidRDefault="008941C1" w:rsidP="008941C1">
            <w:pPr>
              <w:pStyle w:val="TableText"/>
              <w:jc w:val="center"/>
            </w:pPr>
            <w:r w:rsidRPr="00543D25">
              <w:t>3.1</w:t>
            </w:r>
          </w:p>
        </w:tc>
        <w:tc>
          <w:tcPr>
            <w:tcW w:w="1276" w:type="dxa"/>
            <w:tcBorders>
              <w:top w:val="nil"/>
            </w:tcBorders>
            <w:shd w:val="clear" w:color="auto" w:fill="auto"/>
          </w:tcPr>
          <w:p w:rsidR="008941C1" w:rsidRPr="008941C1" w:rsidRDefault="008941C1" w:rsidP="008941C1">
            <w:pPr>
              <w:pStyle w:val="TableText"/>
              <w:tabs>
                <w:tab w:val="decimal" w:pos="369"/>
              </w:tabs>
              <w:rPr>
                <w:b/>
              </w:rPr>
            </w:pPr>
            <w:r w:rsidRPr="008941C1">
              <w:rPr>
                <w:b/>
              </w:rPr>
              <w:t>.01</w:t>
            </w:r>
          </w:p>
        </w:tc>
      </w:tr>
      <w:tr w:rsidR="008941C1" w:rsidRPr="0046732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5–9</w:t>
            </w:r>
          </w:p>
        </w:tc>
        <w:tc>
          <w:tcPr>
            <w:tcW w:w="2055" w:type="dxa"/>
            <w:shd w:val="clear" w:color="auto" w:fill="auto"/>
          </w:tcPr>
          <w:p w:rsidR="008941C1" w:rsidRPr="00543D25" w:rsidRDefault="008941C1" w:rsidP="008941C1">
            <w:pPr>
              <w:pStyle w:val="TableText"/>
              <w:tabs>
                <w:tab w:val="decimal" w:pos="992"/>
              </w:tabs>
            </w:pPr>
            <w:r w:rsidRPr="00543D25">
              <w:t>10.0</w:t>
            </w:r>
          </w:p>
        </w:tc>
        <w:tc>
          <w:tcPr>
            <w:tcW w:w="2055" w:type="dxa"/>
            <w:shd w:val="clear" w:color="auto" w:fill="auto"/>
          </w:tcPr>
          <w:p w:rsidR="008941C1" w:rsidRPr="00543D25" w:rsidRDefault="008941C1" w:rsidP="008941C1">
            <w:pPr>
              <w:pStyle w:val="TableText"/>
              <w:jc w:val="center"/>
            </w:pPr>
            <w:r w:rsidRPr="00543D25">
              <w:t>5.7</w:t>
            </w:r>
          </w:p>
        </w:tc>
        <w:tc>
          <w:tcPr>
            <w:tcW w:w="1276" w:type="dxa"/>
            <w:shd w:val="clear" w:color="auto" w:fill="auto"/>
          </w:tcPr>
          <w:p w:rsidR="008941C1" w:rsidRPr="008941C1" w:rsidRDefault="008941C1" w:rsidP="008941C1">
            <w:pPr>
              <w:pStyle w:val="TableText"/>
              <w:tabs>
                <w:tab w:val="decimal" w:pos="369"/>
              </w:tabs>
              <w:rPr>
                <w:b/>
              </w:rPr>
            </w:pPr>
            <w:r w:rsidRPr="008941C1">
              <w:rPr>
                <w:b/>
              </w:rPr>
              <w:t>&lt;.01</w:t>
            </w:r>
          </w:p>
        </w:tc>
      </w:tr>
      <w:tr w:rsidR="008941C1" w:rsidRPr="0046732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10–14</w:t>
            </w:r>
          </w:p>
        </w:tc>
        <w:tc>
          <w:tcPr>
            <w:tcW w:w="2055" w:type="dxa"/>
            <w:shd w:val="clear" w:color="auto" w:fill="auto"/>
          </w:tcPr>
          <w:p w:rsidR="008941C1" w:rsidRPr="00543D25" w:rsidRDefault="008941C1" w:rsidP="008941C1">
            <w:pPr>
              <w:pStyle w:val="TableText"/>
              <w:tabs>
                <w:tab w:val="decimal" w:pos="992"/>
              </w:tabs>
            </w:pPr>
            <w:r w:rsidRPr="00543D25">
              <w:t>12.8</w:t>
            </w:r>
          </w:p>
        </w:tc>
        <w:tc>
          <w:tcPr>
            <w:tcW w:w="2055" w:type="dxa"/>
            <w:shd w:val="clear" w:color="auto" w:fill="auto"/>
          </w:tcPr>
          <w:p w:rsidR="008941C1" w:rsidRPr="00543D25" w:rsidRDefault="008941C1" w:rsidP="008941C1">
            <w:pPr>
              <w:pStyle w:val="TableText"/>
              <w:jc w:val="center"/>
            </w:pPr>
            <w:r w:rsidRPr="00543D25">
              <w:t>8.1</w:t>
            </w:r>
          </w:p>
        </w:tc>
        <w:tc>
          <w:tcPr>
            <w:tcW w:w="1276" w:type="dxa"/>
            <w:shd w:val="clear" w:color="auto" w:fill="auto"/>
          </w:tcPr>
          <w:p w:rsidR="008941C1" w:rsidRPr="008941C1" w:rsidRDefault="008941C1" w:rsidP="008941C1">
            <w:pPr>
              <w:pStyle w:val="TableText"/>
              <w:tabs>
                <w:tab w:val="decimal" w:pos="369"/>
              </w:tabs>
              <w:rPr>
                <w:b/>
              </w:rPr>
            </w:pPr>
            <w:r w:rsidRPr="008941C1">
              <w:rPr>
                <w:b/>
              </w:rPr>
              <w:t>.02</w:t>
            </w:r>
          </w:p>
        </w:tc>
      </w:tr>
      <w:tr w:rsidR="008941C1" w:rsidRPr="0046732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ind w:left="340"/>
            </w:pPr>
            <w:r w:rsidRPr="00543D25">
              <w:rPr>
                <w:rFonts w:ascii="Calibri"/>
                <w:i/>
              </w:rPr>
              <w:t xml:space="preserve">p </w:t>
            </w:r>
            <w:r w:rsidRPr="00543D25">
              <w:t>value</w:t>
            </w:r>
          </w:p>
          <w:p w:rsidR="008941C1" w:rsidRPr="00543D25" w:rsidRDefault="008941C1" w:rsidP="002F3E98">
            <w:pPr>
              <w:pStyle w:val="TableText"/>
              <w:keepNext/>
              <w:ind w:left="340"/>
            </w:pPr>
            <w:r w:rsidRPr="00543D25">
              <w:t>age</w:t>
            </w:r>
          </w:p>
          <w:p w:rsidR="008941C1" w:rsidRPr="00543D25" w:rsidRDefault="008941C1" w:rsidP="002F3E98">
            <w:pPr>
              <w:pStyle w:val="TableText"/>
              <w:keepNext/>
              <w:ind w:left="340"/>
            </w:pPr>
            <w:r w:rsidRPr="00543D25">
              <w:t>difference</w:t>
            </w:r>
          </w:p>
        </w:tc>
        <w:tc>
          <w:tcPr>
            <w:tcW w:w="2055" w:type="dxa"/>
            <w:shd w:val="clear" w:color="auto" w:fill="auto"/>
          </w:tcPr>
          <w:p w:rsidR="008941C1" w:rsidRPr="00543D25" w:rsidRDefault="008941C1" w:rsidP="008941C1">
            <w:pPr>
              <w:pStyle w:val="TableText"/>
              <w:jc w:val="center"/>
            </w:pPr>
            <w:r w:rsidRPr="00543D25">
              <w:t>All ns</w:t>
            </w:r>
          </w:p>
        </w:tc>
        <w:tc>
          <w:tcPr>
            <w:tcW w:w="2055" w:type="dxa"/>
            <w:shd w:val="clear" w:color="auto" w:fill="auto"/>
          </w:tcPr>
          <w:p w:rsidR="008941C1" w:rsidRPr="008941C1" w:rsidRDefault="008941C1" w:rsidP="008941C1">
            <w:pPr>
              <w:pStyle w:val="TableText"/>
              <w:jc w:val="center"/>
              <w:rPr>
                <w:b/>
              </w:rPr>
            </w:pPr>
            <w:r w:rsidRPr="008941C1">
              <w:rPr>
                <w:b/>
              </w:rPr>
              <w:t>All &lt;.01</w:t>
            </w:r>
          </w:p>
        </w:tc>
        <w:tc>
          <w:tcPr>
            <w:tcW w:w="1276" w:type="dxa"/>
            <w:shd w:val="clear" w:color="auto" w:fill="auto"/>
          </w:tcPr>
          <w:p w:rsidR="008941C1" w:rsidRPr="00543D25" w:rsidRDefault="008941C1" w:rsidP="008941C1">
            <w:pPr>
              <w:pStyle w:val="TableText"/>
              <w:keepNext/>
              <w:tabs>
                <w:tab w:val="decimal" w:pos="369"/>
              </w:tabs>
              <w:rPr>
                <w:rFonts w:ascii="Times New Roman"/>
              </w:rPr>
            </w:pPr>
          </w:p>
        </w:tc>
      </w:tr>
    </w:tbl>
    <w:p w:rsidR="00467321" w:rsidRPr="00467321" w:rsidRDefault="00467321" w:rsidP="00390ABE">
      <w:pPr>
        <w:pStyle w:val="Note"/>
      </w:pPr>
      <w:r w:rsidRPr="00467321">
        <w:t>Note: Statistically significant differences (</w:t>
      </w:r>
      <w:r w:rsidRPr="00467321">
        <w:rPr>
          <w:rFonts w:ascii="Calibri"/>
          <w:i/>
        </w:rPr>
        <w:t>p</w:t>
      </w:r>
      <w:r w:rsidRPr="00467321">
        <w:t>&lt;.05) are shown in bold.</w:t>
      </w:r>
    </w:p>
    <w:p w:rsidR="003119F5" w:rsidRDefault="003119F5" w:rsidP="00390ABE"/>
    <w:p w:rsidR="00467321" w:rsidRDefault="00467321" w:rsidP="00390ABE">
      <w:pPr>
        <w:pStyle w:val="Table"/>
      </w:pPr>
      <w:bookmarkStart w:id="120" w:name="_bookmark49"/>
      <w:bookmarkStart w:id="121" w:name="_Toc5437211"/>
      <w:bookmarkEnd w:id="120"/>
      <w:r w:rsidRPr="00467321">
        <w:t>Table A5.5: Fizzy drinks by food security status, 2014/15 and 2015/16</w:t>
      </w:r>
      <w:bookmarkEnd w:id="12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8941C1" w:rsidRPr="00A83B11" w:rsidTr="002F3E98">
        <w:trPr>
          <w:cantSplit/>
        </w:trPr>
        <w:tc>
          <w:tcPr>
            <w:tcW w:w="1418" w:type="dxa"/>
            <w:tcBorders>
              <w:top w:val="nil"/>
              <w:bottom w:val="nil"/>
            </w:tcBorders>
            <w:shd w:val="clear" w:color="auto" w:fill="D9D9D9" w:themeFill="background1" w:themeFillShade="D9"/>
          </w:tcPr>
          <w:p w:rsidR="008941C1" w:rsidRPr="00A83B11" w:rsidRDefault="008941C1" w:rsidP="002F3E98">
            <w:pPr>
              <w:pStyle w:val="TableText"/>
              <w:keepNext/>
              <w:rPr>
                <w:b/>
              </w:rPr>
            </w:pP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rFonts w:ascii="Trebuchet MS"/>
                <w:b/>
                <w:i/>
              </w:rPr>
              <w:t xml:space="preserve">p </w:t>
            </w:r>
            <w:r w:rsidRPr="00A83B11">
              <w:rPr>
                <w:b/>
              </w:rPr>
              <w:t>value for group difference (unadjusted)</w:t>
            </w:r>
          </w:p>
        </w:tc>
      </w:tr>
      <w:tr w:rsidR="008941C1" w:rsidRPr="008941C1" w:rsidTr="002F3E98">
        <w:trPr>
          <w:cantSplit/>
        </w:trPr>
        <w:tc>
          <w:tcPr>
            <w:tcW w:w="1418" w:type="dxa"/>
            <w:vMerge w:val="restart"/>
            <w:tcBorders>
              <w:top w:val="nil"/>
            </w:tcBorders>
            <w:shd w:val="clear" w:color="auto" w:fill="auto"/>
          </w:tcPr>
          <w:p w:rsidR="008941C1" w:rsidRPr="00543D25" w:rsidRDefault="008941C1" w:rsidP="008941C1">
            <w:pPr>
              <w:pStyle w:val="TableText"/>
              <w:keepNext/>
            </w:pPr>
            <w:r w:rsidRPr="00543D25">
              <w:t>Fizzy drinks 3+</w:t>
            </w:r>
            <w:r>
              <w:t> </w:t>
            </w:r>
            <w:r w:rsidRPr="00543D25">
              <w:t>times a week</w:t>
            </w:r>
          </w:p>
        </w:tc>
        <w:tc>
          <w:tcPr>
            <w:tcW w:w="1276" w:type="dxa"/>
            <w:tcBorders>
              <w:top w:val="nil"/>
            </w:tcBorders>
            <w:shd w:val="clear" w:color="auto" w:fill="auto"/>
          </w:tcPr>
          <w:p w:rsidR="008941C1" w:rsidRPr="00543D25" w:rsidRDefault="008941C1" w:rsidP="002F3E98">
            <w:pPr>
              <w:pStyle w:val="TableText"/>
              <w:keepNext/>
              <w:tabs>
                <w:tab w:val="decimal" w:pos="510"/>
              </w:tabs>
            </w:pPr>
            <w:r w:rsidRPr="00543D25">
              <w:t>2–4</w:t>
            </w:r>
          </w:p>
        </w:tc>
        <w:tc>
          <w:tcPr>
            <w:tcW w:w="2055" w:type="dxa"/>
            <w:tcBorders>
              <w:top w:val="nil"/>
            </w:tcBorders>
            <w:shd w:val="clear" w:color="auto" w:fill="auto"/>
          </w:tcPr>
          <w:p w:rsidR="008941C1" w:rsidRPr="00543D25" w:rsidRDefault="008941C1" w:rsidP="008941C1">
            <w:pPr>
              <w:pStyle w:val="TableText"/>
              <w:jc w:val="center"/>
            </w:pPr>
            <w:r w:rsidRPr="00543D25">
              <w:t>19.0</w:t>
            </w:r>
          </w:p>
        </w:tc>
        <w:tc>
          <w:tcPr>
            <w:tcW w:w="2055" w:type="dxa"/>
            <w:tcBorders>
              <w:top w:val="nil"/>
            </w:tcBorders>
            <w:shd w:val="clear" w:color="auto" w:fill="auto"/>
          </w:tcPr>
          <w:p w:rsidR="008941C1" w:rsidRPr="00543D25" w:rsidRDefault="008941C1" w:rsidP="008941C1">
            <w:pPr>
              <w:pStyle w:val="TableText"/>
              <w:tabs>
                <w:tab w:val="decimal" w:pos="980"/>
              </w:tabs>
            </w:pPr>
            <w:r w:rsidRPr="00543D25">
              <w:t>7.4</w:t>
            </w:r>
          </w:p>
        </w:tc>
        <w:tc>
          <w:tcPr>
            <w:tcW w:w="1276" w:type="dxa"/>
            <w:tcBorders>
              <w:top w:val="nil"/>
            </w:tcBorders>
            <w:shd w:val="clear" w:color="auto" w:fill="auto"/>
          </w:tcPr>
          <w:p w:rsidR="008941C1" w:rsidRPr="008941C1" w:rsidRDefault="008941C1" w:rsidP="008941C1">
            <w:pPr>
              <w:pStyle w:val="TableText"/>
              <w:jc w:val="center"/>
              <w:rPr>
                <w:b/>
              </w:rPr>
            </w:pPr>
            <w:r w:rsidRPr="008941C1">
              <w:rPr>
                <w:b/>
              </w:rPr>
              <w:t>&lt;.01</w:t>
            </w:r>
          </w:p>
        </w:tc>
      </w:tr>
      <w:tr w:rsidR="008941C1" w:rsidRPr="008941C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5–9</w:t>
            </w:r>
          </w:p>
        </w:tc>
        <w:tc>
          <w:tcPr>
            <w:tcW w:w="2055" w:type="dxa"/>
            <w:shd w:val="clear" w:color="auto" w:fill="auto"/>
          </w:tcPr>
          <w:p w:rsidR="008941C1" w:rsidRPr="00543D25" w:rsidRDefault="008941C1" w:rsidP="008941C1">
            <w:pPr>
              <w:pStyle w:val="TableText"/>
              <w:jc w:val="center"/>
            </w:pPr>
            <w:r w:rsidRPr="00543D25">
              <w:t>24.6</w:t>
            </w:r>
          </w:p>
        </w:tc>
        <w:tc>
          <w:tcPr>
            <w:tcW w:w="2055" w:type="dxa"/>
            <w:shd w:val="clear" w:color="auto" w:fill="auto"/>
          </w:tcPr>
          <w:p w:rsidR="008941C1" w:rsidRPr="00543D25" w:rsidRDefault="008941C1" w:rsidP="008941C1">
            <w:pPr>
              <w:pStyle w:val="TableText"/>
              <w:tabs>
                <w:tab w:val="decimal" w:pos="980"/>
              </w:tabs>
            </w:pPr>
            <w:r w:rsidRPr="00543D25">
              <w:t>14.8</w:t>
            </w:r>
          </w:p>
        </w:tc>
        <w:tc>
          <w:tcPr>
            <w:tcW w:w="1276" w:type="dxa"/>
            <w:shd w:val="clear" w:color="auto" w:fill="auto"/>
          </w:tcPr>
          <w:p w:rsidR="008941C1" w:rsidRPr="008941C1" w:rsidRDefault="008941C1" w:rsidP="008941C1">
            <w:pPr>
              <w:pStyle w:val="TableText"/>
              <w:jc w:val="center"/>
              <w:rPr>
                <w:b/>
              </w:rPr>
            </w:pPr>
            <w:r w:rsidRPr="008941C1">
              <w:rPr>
                <w:b/>
              </w:rPr>
              <w:t>&lt;.01</w:t>
            </w:r>
          </w:p>
        </w:tc>
      </w:tr>
      <w:tr w:rsidR="008941C1" w:rsidRPr="008941C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10–14</w:t>
            </w:r>
          </w:p>
        </w:tc>
        <w:tc>
          <w:tcPr>
            <w:tcW w:w="2055" w:type="dxa"/>
            <w:shd w:val="clear" w:color="auto" w:fill="auto"/>
          </w:tcPr>
          <w:p w:rsidR="008941C1" w:rsidRPr="00543D25" w:rsidRDefault="008941C1" w:rsidP="008941C1">
            <w:pPr>
              <w:pStyle w:val="TableText"/>
              <w:jc w:val="center"/>
            </w:pPr>
            <w:r w:rsidRPr="00543D25">
              <w:t>36.0</w:t>
            </w:r>
          </w:p>
        </w:tc>
        <w:tc>
          <w:tcPr>
            <w:tcW w:w="2055" w:type="dxa"/>
            <w:shd w:val="clear" w:color="auto" w:fill="auto"/>
          </w:tcPr>
          <w:p w:rsidR="008941C1" w:rsidRPr="00543D25" w:rsidRDefault="008941C1" w:rsidP="008941C1">
            <w:pPr>
              <w:pStyle w:val="TableText"/>
              <w:tabs>
                <w:tab w:val="decimal" w:pos="980"/>
              </w:tabs>
            </w:pPr>
            <w:r w:rsidRPr="00543D25">
              <w:t>22.1</w:t>
            </w:r>
          </w:p>
        </w:tc>
        <w:tc>
          <w:tcPr>
            <w:tcW w:w="1276" w:type="dxa"/>
            <w:shd w:val="clear" w:color="auto" w:fill="auto"/>
          </w:tcPr>
          <w:p w:rsidR="008941C1" w:rsidRPr="008941C1" w:rsidRDefault="008941C1" w:rsidP="008941C1">
            <w:pPr>
              <w:pStyle w:val="TableText"/>
              <w:jc w:val="center"/>
              <w:rPr>
                <w:b/>
              </w:rPr>
            </w:pPr>
            <w:r w:rsidRPr="008941C1">
              <w:rPr>
                <w:b/>
              </w:rPr>
              <w:t>&lt;.01</w:t>
            </w:r>
          </w:p>
        </w:tc>
      </w:tr>
      <w:tr w:rsidR="008941C1" w:rsidRPr="00543D25"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ind w:left="340"/>
            </w:pPr>
            <w:r w:rsidRPr="00543D25">
              <w:rPr>
                <w:rFonts w:ascii="Calibri"/>
                <w:i/>
              </w:rPr>
              <w:t xml:space="preserve">p </w:t>
            </w:r>
            <w:r w:rsidRPr="00543D25">
              <w:t>value</w:t>
            </w:r>
          </w:p>
          <w:p w:rsidR="008941C1" w:rsidRPr="00543D25" w:rsidRDefault="008941C1" w:rsidP="002F3E98">
            <w:pPr>
              <w:pStyle w:val="TableText"/>
              <w:keepNext/>
              <w:ind w:left="340"/>
            </w:pPr>
            <w:r w:rsidRPr="00543D25">
              <w:t>age</w:t>
            </w:r>
          </w:p>
          <w:p w:rsidR="008941C1" w:rsidRPr="00543D25" w:rsidRDefault="008941C1" w:rsidP="002F3E98">
            <w:pPr>
              <w:pStyle w:val="TableText"/>
              <w:keepNext/>
              <w:ind w:left="340"/>
            </w:pPr>
            <w:r w:rsidRPr="00543D25">
              <w:t>difference</w:t>
            </w:r>
          </w:p>
        </w:tc>
        <w:tc>
          <w:tcPr>
            <w:tcW w:w="2055" w:type="dxa"/>
            <w:shd w:val="clear" w:color="auto" w:fill="auto"/>
          </w:tcPr>
          <w:p w:rsidR="008941C1" w:rsidRPr="008941C1" w:rsidRDefault="008941C1" w:rsidP="008941C1">
            <w:pPr>
              <w:pStyle w:val="TableText"/>
              <w:jc w:val="center"/>
              <w:rPr>
                <w:b/>
              </w:rPr>
            </w:pPr>
            <w:r w:rsidRPr="008941C1">
              <w:rPr>
                <w:b/>
              </w:rPr>
              <w:t>All &lt;.01</w:t>
            </w:r>
          </w:p>
        </w:tc>
        <w:tc>
          <w:tcPr>
            <w:tcW w:w="2055" w:type="dxa"/>
            <w:shd w:val="clear" w:color="auto" w:fill="auto"/>
          </w:tcPr>
          <w:p w:rsidR="008941C1" w:rsidRPr="008941C1" w:rsidRDefault="008941C1" w:rsidP="008941C1">
            <w:pPr>
              <w:pStyle w:val="TableText"/>
              <w:jc w:val="center"/>
              <w:rPr>
                <w:b/>
              </w:rPr>
            </w:pPr>
            <w:r w:rsidRPr="008941C1">
              <w:rPr>
                <w:b/>
              </w:rPr>
              <w:t>All &lt;.01</w:t>
            </w:r>
          </w:p>
        </w:tc>
        <w:tc>
          <w:tcPr>
            <w:tcW w:w="1276" w:type="dxa"/>
            <w:shd w:val="clear" w:color="auto" w:fill="auto"/>
          </w:tcPr>
          <w:p w:rsidR="008941C1" w:rsidRPr="00543D25" w:rsidRDefault="008941C1" w:rsidP="008941C1">
            <w:pPr>
              <w:pStyle w:val="TableText"/>
              <w:jc w:val="center"/>
            </w:pPr>
          </w:p>
        </w:tc>
      </w:tr>
    </w:tbl>
    <w:p w:rsidR="00467321" w:rsidRDefault="00467321" w:rsidP="00390ABE">
      <w:pPr>
        <w:pStyle w:val="Note"/>
      </w:pPr>
      <w:r w:rsidRPr="00467321">
        <w:t>Note: Statistically significant differences (</w:t>
      </w:r>
      <w:r w:rsidRPr="00467321">
        <w:rPr>
          <w:rFonts w:ascii="Calibri"/>
          <w:i/>
        </w:rPr>
        <w:t>p</w:t>
      </w:r>
      <w:r w:rsidRPr="00467321">
        <w:t>&lt;.05) are shown in bold.</w:t>
      </w:r>
    </w:p>
    <w:p w:rsidR="00390ABE" w:rsidRPr="00390ABE" w:rsidRDefault="00390ABE" w:rsidP="00390ABE"/>
    <w:p w:rsidR="00467321" w:rsidRPr="00467321" w:rsidRDefault="00467321" w:rsidP="00390ABE">
      <w:pPr>
        <w:pStyle w:val="Heading2"/>
      </w:pPr>
      <w:bookmarkStart w:id="122" w:name="_bookmark50"/>
      <w:bookmarkStart w:id="123" w:name="_Toc5437090"/>
      <w:bookmarkEnd w:id="122"/>
      <w:r w:rsidRPr="00467321">
        <w:lastRenderedPageBreak/>
        <w:t>Child body size indicators</w:t>
      </w:r>
      <w:bookmarkEnd w:id="123"/>
    </w:p>
    <w:p w:rsidR="00467321" w:rsidRDefault="00467321" w:rsidP="00390ABE">
      <w:pPr>
        <w:pStyle w:val="Table"/>
      </w:pPr>
      <w:bookmarkStart w:id="124" w:name="_Toc5437212"/>
      <w:r w:rsidRPr="00467321">
        <w:t>Table A5.6: Child body size indicators by food security status, 2014/15 and 2015/16</w:t>
      </w:r>
      <w:bookmarkEnd w:id="12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8941C1" w:rsidRPr="00A83B11" w:rsidTr="002F3E98">
        <w:trPr>
          <w:cantSplit/>
        </w:trPr>
        <w:tc>
          <w:tcPr>
            <w:tcW w:w="1418" w:type="dxa"/>
            <w:tcBorders>
              <w:top w:val="nil"/>
              <w:bottom w:val="nil"/>
            </w:tcBorders>
            <w:shd w:val="clear" w:color="auto" w:fill="D9D9D9" w:themeFill="background1" w:themeFillShade="D9"/>
          </w:tcPr>
          <w:p w:rsidR="008941C1" w:rsidRPr="00A83B11" w:rsidRDefault="008941C1" w:rsidP="002F3E98">
            <w:pPr>
              <w:pStyle w:val="TableText"/>
              <w:keepNext/>
              <w:rPr>
                <w:b/>
              </w:rPr>
            </w:pP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rFonts w:ascii="Trebuchet MS"/>
                <w:b/>
                <w:i/>
              </w:rPr>
              <w:t xml:space="preserve">p </w:t>
            </w:r>
            <w:r w:rsidRPr="00A83B11">
              <w:rPr>
                <w:b/>
              </w:rPr>
              <w:t>value for group difference (unadjusted)</w:t>
            </w:r>
          </w:p>
        </w:tc>
      </w:tr>
      <w:tr w:rsidR="008941C1" w:rsidRPr="008941C1" w:rsidTr="002F3E98">
        <w:trPr>
          <w:cantSplit/>
        </w:trPr>
        <w:tc>
          <w:tcPr>
            <w:tcW w:w="1418" w:type="dxa"/>
            <w:vMerge w:val="restart"/>
            <w:tcBorders>
              <w:top w:val="nil"/>
            </w:tcBorders>
            <w:shd w:val="clear" w:color="auto" w:fill="auto"/>
          </w:tcPr>
          <w:p w:rsidR="008941C1" w:rsidRPr="00543D25" w:rsidRDefault="008941C1" w:rsidP="002F3E98">
            <w:pPr>
              <w:pStyle w:val="TableText"/>
              <w:keepNext/>
            </w:pPr>
            <w:r>
              <w:t>Obese</w:t>
            </w:r>
          </w:p>
        </w:tc>
        <w:tc>
          <w:tcPr>
            <w:tcW w:w="1276" w:type="dxa"/>
            <w:tcBorders>
              <w:top w:val="nil"/>
            </w:tcBorders>
            <w:shd w:val="clear" w:color="auto" w:fill="auto"/>
          </w:tcPr>
          <w:p w:rsidR="008941C1" w:rsidRPr="00543D25" w:rsidRDefault="008941C1" w:rsidP="002F3E98">
            <w:pPr>
              <w:pStyle w:val="TableText"/>
              <w:keepNext/>
              <w:tabs>
                <w:tab w:val="decimal" w:pos="510"/>
              </w:tabs>
            </w:pPr>
            <w:r w:rsidRPr="00543D25">
              <w:t>2–4</w:t>
            </w:r>
          </w:p>
        </w:tc>
        <w:tc>
          <w:tcPr>
            <w:tcW w:w="2055" w:type="dxa"/>
            <w:tcBorders>
              <w:top w:val="nil"/>
            </w:tcBorders>
            <w:shd w:val="clear" w:color="auto" w:fill="auto"/>
          </w:tcPr>
          <w:p w:rsidR="008941C1" w:rsidRPr="00543D25" w:rsidRDefault="008941C1" w:rsidP="008941C1">
            <w:pPr>
              <w:pStyle w:val="TableText"/>
              <w:jc w:val="center"/>
            </w:pPr>
            <w:r w:rsidRPr="00543D25">
              <w:t>12.2</w:t>
            </w:r>
          </w:p>
        </w:tc>
        <w:tc>
          <w:tcPr>
            <w:tcW w:w="2055" w:type="dxa"/>
            <w:tcBorders>
              <w:top w:val="nil"/>
            </w:tcBorders>
            <w:shd w:val="clear" w:color="auto" w:fill="auto"/>
          </w:tcPr>
          <w:p w:rsidR="008941C1" w:rsidRPr="00543D25" w:rsidRDefault="008941C1" w:rsidP="008941C1">
            <w:pPr>
              <w:pStyle w:val="TableText"/>
              <w:tabs>
                <w:tab w:val="decimal" w:pos="1019"/>
              </w:tabs>
            </w:pPr>
            <w:r w:rsidRPr="00543D25">
              <w:t>7.2</w:t>
            </w:r>
          </w:p>
        </w:tc>
        <w:tc>
          <w:tcPr>
            <w:tcW w:w="1276" w:type="dxa"/>
            <w:tcBorders>
              <w:top w:val="nil"/>
            </w:tcBorders>
            <w:shd w:val="clear" w:color="auto" w:fill="auto"/>
          </w:tcPr>
          <w:p w:rsidR="008941C1" w:rsidRPr="008941C1" w:rsidRDefault="008941C1" w:rsidP="008941C1">
            <w:pPr>
              <w:pStyle w:val="TableText"/>
              <w:jc w:val="center"/>
              <w:rPr>
                <w:b/>
              </w:rPr>
            </w:pPr>
            <w:r w:rsidRPr="008941C1">
              <w:rPr>
                <w:b/>
              </w:rPr>
              <w:t>&lt;.01</w:t>
            </w:r>
          </w:p>
        </w:tc>
      </w:tr>
      <w:tr w:rsidR="008941C1" w:rsidRPr="008941C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5–9</w:t>
            </w:r>
          </w:p>
        </w:tc>
        <w:tc>
          <w:tcPr>
            <w:tcW w:w="2055" w:type="dxa"/>
            <w:shd w:val="clear" w:color="auto" w:fill="auto"/>
          </w:tcPr>
          <w:p w:rsidR="008941C1" w:rsidRPr="00543D25" w:rsidRDefault="008941C1" w:rsidP="008941C1">
            <w:pPr>
              <w:pStyle w:val="TableText"/>
              <w:jc w:val="center"/>
            </w:pPr>
            <w:r w:rsidRPr="00543D25">
              <w:t>18.8</w:t>
            </w:r>
          </w:p>
        </w:tc>
        <w:tc>
          <w:tcPr>
            <w:tcW w:w="2055" w:type="dxa"/>
            <w:shd w:val="clear" w:color="auto" w:fill="auto"/>
          </w:tcPr>
          <w:p w:rsidR="008941C1" w:rsidRPr="00543D25" w:rsidRDefault="008941C1" w:rsidP="008941C1">
            <w:pPr>
              <w:pStyle w:val="TableText"/>
              <w:tabs>
                <w:tab w:val="decimal" w:pos="1019"/>
              </w:tabs>
            </w:pPr>
            <w:r w:rsidRPr="00543D25">
              <w:t>9.1</w:t>
            </w:r>
          </w:p>
        </w:tc>
        <w:tc>
          <w:tcPr>
            <w:tcW w:w="1276" w:type="dxa"/>
            <w:shd w:val="clear" w:color="auto" w:fill="auto"/>
          </w:tcPr>
          <w:p w:rsidR="008941C1" w:rsidRPr="008941C1" w:rsidRDefault="008941C1" w:rsidP="008941C1">
            <w:pPr>
              <w:pStyle w:val="TableText"/>
              <w:jc w:val="center"/>
              <w:rPr>
                <w:b/>
              </w:rPr>
            </w:pPr>
            <w:r w:rsidRPr="008941C1">
              <w:rPr>
                <w:b/>
              </w:rPr>
              <w:t>&lt;.01</w:t>
            </w:r>
          </w:p>
        </w:tc>
      </w:tr>
      <w:tr w:rsidR="008941C1" w:rsidRPr="008941C1"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tabs>
                <w:tab w:val="decimal" w:pos="510"/>
              </w:tabs>
            </w:pPr>
            <w:r w:rsidRPr="00543D25">
              <w:t>10–14</w:t>
            </w:r>
          </w:p>
        </w:tc>
        <w:tc>
          <w:tcPr>
            <w:tcW w:w="2055" w:type="dxa"/>
            <w:shd w:val="clear" w:color="auto" w:fill="auto"/>
          </w:tcPr>
          <w:p w:rsidR="008941C1" w:rsidRPr="00543D25" w:rsidRDefault="008941C1" w:rsidP="008941C1">
            <w:pPr>
              <w:pStyle w:val="TableText"/>
              <w:jc w:val="center"/>
            </w:pPr>
            <w:r w:rsidRPr="00543D25">
              <w:t>20.3</w:t>
            </w:r>
          </w:p>
        </w:tc>
        <w:tc>
          <w:tcPr>
            <w:tcW w:w="2055" w:type="dxa"/>
            <w:shd w:val="clear" w:color="auto" w:fill="auto"/>
          </w:tcPr>
          <w:p w:rsidR="008941C1" w:rsidRPr="00543D25" w:rsidRDefault="008941C1" w:rsidP="008941C1">
            <w:pPr>
              <w:pStyle w:val="TableText"/>
              <w:tabs>
                <w:tab w:val="decimal" w:pos="1019"/>
              </w:tabs>
            </w:pPr>
            <w:r w:rsidRPr="00543D25">
              <w:t>10.2</w:t>
            </w:r>
          </w:p>
        </w:tc>
        <w:tc>
          <w:tcPr>
            <w:tcW w:w="1276" w:type="dxa"/>
            <w:shd w:val="clear" w:color="auto" w:fill="auto"/>
          </w:tcPr>
          <w:p w:rsidR="008941C1" w:rsidRPr="008941C1" w:rsidRDefault="008941C1" w:rsidP="008941C1">
            <w:pPr>
              <w:pStyle w:val="TableText"/>
              <w:jc w:val="center"/>
              <w:rPr>
                <w:b/>
              </w:rPr>
            </w:pPr>
            <w:r w:rsidRPr="008941C1">
              <w:rPr>
                <w:b/>
              </w:rPr>
              <w:t>&lt;.01</w:t>
            </w:r>
          </w:p>
        </w:tc>
      </w:tr>
      <w:tr w:rsidR="008941C1" w:rsidRPr="00543D25" w:rsidTr="002F3E98">
        <w:trPr>
          <w:cantSplit/>
        </w:trPr>
        <w:tc>
          <w:tcPr>
            <w:tcW w:w="1418" w:type="dxa"/>
            <w:vMerge/>
            <w:shd w:val="clear" w:color="auto" w:fill="auto"/>
          </w:tcPr>
          <w:p w:rsidR="008941C1" w:rsidRPr="00467321" w:rsidRDefault="008941C1" w:rsidP="002F3E98">
            <w:pPr>
              <w:pStyle w:val="TableText"/>
              <w:keepNext/>
              <w:rPr>
                <w:sz w:val="2"/>
                <w:szCs w:val="2"/>
              </w:rPr>
            </w:pPr>
          </w:p>
        </w:tc>
        <w:tc>
          <w:tcPr>
            <w:tcW w:w="1276" w:type="dxa"/>
            <w:shd w:val="clear" w:color="auto" w:fill="auto"/>
          </w:tcPr>
          <w:p w:rsidR="008941C1" w:rsidRPr="00543D25" w:rsidRDefault="008941C1" w:rsidP="002F3E98">
            <w:pPr>
              <w:pStyle w:val="TableText"/>
              <w:keepNext/>
              <w:ind w:left="340"/>
            </w:pPr>
            <w:r w:rsidRPr="00543D25">
              <w:rPr>
                <w:rFonts w:ascii="Calibri"/>
                <w:i/>
              </w:rPr>
              <w:t xml:space="preserve">p </w:t>
            </w:r>
            <w:r w:rsidRPr="00543D25">
              <w:t>value</w:t>
            </w:r>
          </w:p>
          <w:p w:rsidR="008941C1" w:rsidRPr="00543D25" w:rsidRDefault="008941C1" w:rsidP="002F3E98">
            <w:pPr>
              <w:pStyle w:val="TableText"/>
              <w:keepNext/>
              <w:ind w:left="340"/>
            </w:pPr>
            <w:r w:rsidRPr="00543D25">
              <w:t>age</w:t>
            </w:r>
          </w:p>
          <w:p w:rsidR="008941C1" w:rsidRPr="00543D25" w:rsidRDefault="008941C1" w:rsidP="002F3E98">
            <w:pPr>
              <w:pStyle w:val="TableText"/>
              <w:keepNext/>
              <w:ind w:left="340"/>
            </w:pPr>
            <w:r w:rsidRPr="00543D25">
              <w:t>difference</w:t>
            </w:r>
          </w:p>
        </w:tc>
        <w:tc>
          <w:tcPr>
            <w:tcW w:w="2055" w:type="dxa"/>
            <w:shd w:val="clear" w:color="auto" w:fill="auto"/>
          </w:tcPr>
          <w:p w:rsidR="008941C1" w:rsidRPr="008941C1" w:rsidRDefault="008941C1" w:rsidP="008941C1">
            <w:pPr>
              <w:pStyle w:val="TableText"/>
              <w:ind w:left="737"/>
              <w:rPr>
                <w:b/>
              </w:rPr>
            </w:pPr>
            <w:r w:rsidRPr="008941C1">
              <w:rPr>
                <w:b/>
              </w:rPr>
              <w:t>&lt;.05</w:t>
            </w:r>
          </w:p>
          <w:p w:rsidR="008941C1" w:rsidRPr="00543D25" w:rsidRDefault="008941C1" w:rsidP="008941C1">
            <w:pPr>
              <w:pStyle w:val="TableText"/>
              <w:ind w:left="737"/>
            </w:pPr>
            <w:r w:rsidRPr="00543D25">
              <w:t>except 5–9 vs</w:t>
            </w:r>
          </w:p>
          <w:p w:rsidR="008941C1" w:rsidRPr="00543D25" w:rsidRDefault="008941C1" w:rsidP="008941C1">
            <w:pPr>
              <w:pStyle w:val="TableText"/>
              <w:ind w:left="737"/>
            </w:pPr>
            <w:r w:rsidRPr="00543D25">
              <w:t>10–14 ns</w:t>
            </w:r>
          </w:p>
        </w:tc>
        <w:tc>
          <w:tcPr>
            <w:tcW w:w="2055" w:type="dxa"/>
            <w:shd w:val="clear" w:color="auto" w:fill="auto"/>
          </w:tcPr>
          <w:p w:rsidR="008941C1" w:rsidRPr="008941C1" w:rsidRDefault="008941C1" w:rsidP="008941C1">
            <w:pPr>
              <w:pStyle w:val="TableText"/>
              <w:ind w:left="737"/>
              <w:rPr>
                <w:b/>
              </w:rPr>
            </w:pPr>
            <w:r w:rsidRPr="008941C1">
              <w:rPr>
                <w:b/>
              </w:rPr>
              <w:t>&lt;.05</w:t>
            </w:r>
          </w:p>
          <w:p w:rsidR="008941C1" w:rsidRPr="00543D25" w:rsidRDefault="008941C1" w:rsidP="008941C1">
            <w:pPr>
              <w:pStyle w:val="TableText"/>
              <w:ind w:left="737"/>
            </w:pPr>
            <w:r w:rsidRPr="00543D25">
              <w:t>for 2–4 vs</w:t>
            </w:r>
          </w:p>
          <w:p w:rsidR="008941C1" w:rsidRPr="00543D25" w:rsidRDefault="008941C1" w:rsidP="008941C1">
            <w:pPr>
              <w:pStyle w:val="TableText"/>
              <w:ind w:left="737"/>
            </w:pPr>
            <w:r w:rsidRPr="00543D25">
              <w:t>10–14 only</w:t>
            </w:r>
          </w:p>
        </w:tc>
        <w:tc>
          <w:tcPr>
            <w:tcW w:w="1276" w:type="dxa"/>
            <w:shd w:val="clear" w:color="auto" w:fill="auto"/>
          </w:tcPr>
          <w:p w:rsidR="008941C1" w:rsidRPr="00543D25" w:rsidRDefault="008941C1" w:rsidP="002F3E98">
            <w:pPr>
              <w:pStyle w:val="TableText"/>
              <w:rPr>
                <w:rFonts w:ascii="Times New Roman"/>
              </w:rPr>
            </w:pPr>
          </w:p>
        </w:tc>
      </w:tr>
    </w:tbl>
    <w:p w:rsidR="00467321" w:rsidRPr="00467321" w:rsidRDefault="00467321" w:rsidP="00390ABE">
      <w:pPr>
        <w:pStyle w:val="Note"/>
      </w:pPr>
      <w:r w:rsidRPr="00467321">
        <w:t>Note: Statistically significant differences (</w:t>
      </w:r>
      <w:r w:rsidRPr="00467321">
        <w:rPr>
          <w:rFonts w:ascii="Calibri"/>
          <w:i/>
        </w:rPr>
        <w:t>p</w:t>
      </w:r>
      <w:r w:rsidRPr="00467321">
        <w:t>&lt;.05) are shown in bold.</w:t>
      </w:r>
    </w:p>
    <w:p w:rsidR="00467321" w:rsidRPr="00543D25" w:rsidRDefault="00467321" w:rsidP="00390ABE"/>
    <w:p w:rsidR="00467321" w:rsidRDefault="00467321" w:rsidP="00390ABE">
      <w:pPr>
        <w:pStyle w:val="Table"/>
      </w:pPr>
      <w:bookmarkStart w:id="125" w:name="_Toc5437213"/>
      <w:r w:rsidRPr="00467321">
        <w:t>Table A5.7: Child body size indicators by food security status, 2014/15 and 2015/16</w:t>
      </w:r>
      <w:bookmarkEnd w:id="12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8941C1" w:rsidRPr="00A83B11" w:rsidTr="002F3E98">
        <w:trPr>
          <w:cantSplit/>
        </w:trPr>
        <w:tc>
          <w:tcPr>
            <w:tcW w:w="1418" w:type="dxa"/>
            <w:tcBorders>
              <w:top w:val="nil"/>
              <w:bottom w:val="nil"/>
            </w:tcBorders>
            <w:shd w:val="clear" w:color="auto" w:fill="D9D9D9" w:themeFill="background1" w:themeFillShade="D9"/>
          </w:tcPr>
          <w:p w:rsidR="008941C1" w:rsidRPr="00A83B11" w:rsidRDefault="008941C1" w:rsidP="002F3E98">
            <w:pPr>
              <w:pStyle w:val="TableText"/>
              <w:keepNext/>
              <w:rPr>
                <w:b/>
              </w:rPr>
            </w:pP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rFonts w:ascii="Trebuchet MS"/>
                <w:b/>
                <w:i/>
              </w:rPr>
              <w:t xml:space="preserve">p </w:t>
            </w:r>
            <w:r w:rsidRPr="00A83B11">
              <w:rPr>
                <w:b/>
              </w:rPr>
              <w:t>value for group difference (unadjusted)</w:t>
            </w:r>
          </w:p>
        </w:tc>
      </w:tr>
      <w:tr w:rsidR="003C7976" w:rsidRPr="008941C1" w:rsidTr="002F3E98">
        <w:trPr>
          <w:cantSplit/>
        </w:trPr>
        <w:tc>
          <w:tcPr>
            <w:tcW w:w="1418" w:type="dxa"/>
            <w:vMerge w:val="restart"/>
            <w:tcBorders>
              <w:top w:val="nil"/>
            </w:tcBorders>
            <w:shd w:val="clear" w:color="auto" w:fill="auto"/>
          </w:tcPr>
          <w:p w:rsidR="003C7976" w:rsidRPr="00543D25" w:rsidRDefault="003C7976" w:rsidP="002F3E98">
            <w:pPr>
              <w:pStyle w:val="TableText"/>
              <w:keepNext/>
            </w:pPr>
            <w:r w:rsidRPr="00543D25">
              <w:t>Overweight but not obese</w:t>
            </w:r>
          </w:p>
        </w:tc>
        <w:tc>
          <w:tcPr>
            <w:tcW w:w="1276" w:type="dxa"/>
            <w:tcBorders>
              <w:top w:val="nil"/>
            </w:tcBorders>
            <w:shd w:val="clear" w:color="auto" w:fill="auto"/>
          </w:tcPr>
          <w:p w:rsidR="003C7976" w:rsidRPr="00543D25" w:rsidRDefault="003C7976" w:rsidP="002F3E98">
            <w:pPr>
              <w:pStyle w:val="TableText"/>
              <w:keepNext/>
              <w:tabs>
                <w:tab w:val="decimal" w:pos="510"/>
              </w:tabs>
            </w:pPr>
            <w:r w:rsidRPr="00543D25">
              <w:t>2–4</w:t>
            </w:r>
          </w:p>
        </w:tc>
        <w:tc>
          <w:tcPr>
            <w:tcW w:w="2055" w:type="dxa"/>
            <w:tcBorders>
              <w:top w:val="nil"/>
            </w:tcBorders>
            <w:shd w:val="clear" w:color="auto" w:fill="auto"/>
          </w:tcPr>
          <w:p w:rsidR="003C7976" w:rsidRPr="00543D25" w:rsidRDefault="003C7976" w:rsidP="003C7976">
            <w:pPr>
              <w:pStyle w:val="TableText"/>
              <w:jc w:val="center"/>
            </w:pPr>
            <w:r w:rsidRPr="00543D25">
              <w:t>29.7</w:t>
            </w:r>
          </w:p>
        </w:tc>
        <w:tc>
          <w:tcPr>
            <w:tcW w:w="2055" w:type="dxa"/>
            <w:tcBorders>
              <w:top w:val="nil"/>
            </w:tcBorders>
            <w:shd w:val="clear" w:color="auto" w:fill="auto"/>
          </w:tcPr>
          <w:p w:rsidR="003C7976" w:rsidRPr="00543D25" w:rsidRDefault="003C7976" w:rsidP="003C7976">
            <w:pPr>
              <w:pStyle w:val="TableText"/>
              <w:jc w:val="center"/>
            </w:pPr>
            <w:r w:rsidRPr="00543D25">
              <w:t>18.2</w:t>
            </w:r>
          </w:p>
        </w:tc>
        <w:tc>
          <w:tcPr>
            <w:tcW w:w="1276" w:type="dxa"/>
            <w:tcBorders>
              <w:top w:val="nil"/>
            </w:tcBorders>
            <w:shd w:val="clear" w:color="auto" w:fill="auto"/>
          </w:tcPr>
          <w:p w:rsidR="003C7976" w:rsidRPr="003C7976" w:rsidRDefault="003C7976" w:rsidP="003C7976">
            <w:pPr>
              <w:pStyle w:val="TableText"/>
              <w:tabs>
                <w:tab w:val="decimal" w:pos="509"/>
              </w:tabs>
              <w:rPr>
                <w:b/>
              </w:rPr>
            </w:pPr>
            <w:r w:rsidRPr="003C7976">
              <w:rPr>
                <w:b/>
              </w:rPr>
              <w:t>&lt;.01</w:t>
            </w:r>
          </w:p>
        </w:tc>
      </w:tr>
      <w:tr w:rsidR="003C7976" w:rsidRPr="008941C1"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tabs>
                <w:tab w:val="decimal" w:pos="510"/>
              </w:tabs>
            </w:pPr>
            <w:r w:rsidRPr="00543D25">
              <w:t>5–9</w:t>
            </w:r>
          </w:p>
        </w:tc>
        <w:tc>
          <w:tcPr>
            <w:tcW w:w="2055" w:type="dxa"/>
            <w:shd w:val="clear" w:color="auto" w:fill="auto"/>
          </w:tcPr>
          <w:p w:rsidR="003C7976" w:rsidRPr="00543D25" w:rsidRDefault="003C7976" w:rsidP="003C7976">
            <w:pPr>
              <w:pStyle w:val="TableText"/>
              <w:jc w:val="center"/>
            </w:pPr>
            <w:r w:rsidRPr="00543D25">
              <w:t>24.4</w:t>
            </w:r>
          </w:p>
        </w:tc>
        <w:tc>
          <w:tcPr>
            <w:tcW w:w="2055" w:type="dxa"/>
            <w:shd w:val="clear" w:color="auto" w:fill="auto"/>
          </w:tcPr>
          <w:p w:rsidR="003C7976" w:rsidRPr="00543D25" w:rsidRDefault="003C7976" w:rsidP="003C7976">
            <w:pPr>
              <w:pStyle w:val="TableText"/>
              <w:jc w:val="center"/>
            </w:pPr>
            <w:r w:rsidRPr="00543D25">
              <w:t>18.2</w:t>
            </w:r>
          </w:p>
        </w:tc>
        <w:tc>
          <w:tcPr>
            <w:tcW w:w="1276" w:type="dxa"/>
            <w:shd w:val="clear" w:color="auto" w:fill="auto"/>
          </w:tcPr>
          <w:p w:rsidR="003C7976" w:rsidRPr="003C7976" w:rsidRDefault="003C7976" w:rsidP="003C7976">
            <w:pPr>
              <w:pStyle w:val="TableText"/>
              <w:tabs>
                <w:tab w:val="decimal" w:pos="509"/>
              </w:tabs>
              <w:rPr>
                <w:b/>
              </w:rPr>
            </w:pPr>
            <w:r w:rsidRPr="003C7976">
              <w:rPr>
                <w:b/>
              </w:rPr>
              <w:t>.01</w:t>
            </w:r>
          </w:p>
        </w:tc>
      </w:tr>
      <w:tr w:rsidR="003C7976" w:rsidRPr="008941C1"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tabs>
                <w:tab w:val="decimal" w:pos="510"/>
              </w:tabs>
            </w:pPr>
            <w:r w:rsidRPr="00543D25">
              <w:t>10–14</w:t>
            </w:r>
          </w:p>
        </w:tc>
        <w:tc>
          <w:tcPr>
            <w:tcW w:w="2055" w:type="dxa"/>
            <w:shd w:val="clear" w:color="auto" w:fill="auto"/>
          </w:tcPr>
          <w:p w:rsidR="003C7976" w:rsidRPr="00543D25" w:rsidRDefault="003C7976" w:rsidP="003C7976">
            <w:pPr>
              <w:pStyle w:val="TableText"/>
              <w:jc w:val="center"/>
            </w:pPr>
            <w:r w:rsidRPr="00543D25">
              <w:t>27.3</w:t>
            </w:r>
          </w:p>
        </w:tc>
        <w:tc>
          <w:tcPr>
            <w:tcW w:w="2055" w:type="dxa"/>
            <w:shd w:val="clear" w:color="auto" w:fill="auto"/>
          </w:tcPr>
          <w:p w:rsidR="003C7976" w:rsidRPr="00543D25" w:rsidRDefault="003C7976" w:rsidP="003C7976">
            <w:pPr>
              <w:pStyle w:val="TableText"/>
              <w:jc w:val="center"/>
            </w:pPr>
            <w:r w:rsidRPr="00543D25">
              <w:t>22.8</w:t>
            </w:r>
          </w:p>
        </w:tc>
        <w:tc>
          <w:tcPr>
            <w:tcW w:w="1276" w:type="dxa"/>
            <w:shd w:val="clear" w:color="auto" w:fill="auto"/>
          </w:tcPr>
          <w:p w:rsidR="003C7976" w:rsidRPr="00543D25" w:rsidRDefault="003C7976" w:rsidP="003C7976">
            <w:pPr>
              <w:pStyle w:val="TableText"/>
              <w:tabs>
                <w:tab w:val="decimal" w:pos="509"/>
              </w:tabs>
            </w:pPr>
            <w:r w:rsidRPr="00543D25">
              <w:t>.12</w:t>
            </w:r>
          </w:p>
        </w:tc>
      </w:tr>
      <w:tr w:rsidR="003C7976" w:rsidRPr="00543D25"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ind w:left="340"/>
            </w:pPr>
            <w:r w:rsidRPr="00543D25">
              <w:rPr>
                <w:rFonts w:ascii="Calibri"/>
                <w:i/>
              </w:rPr>
              <w:t xml:space="preserve">p </w:t>
            </w:r>
            <w:r w:rsidRPr="00543D25">
              <w:t>value</w:t>
            </w:r>
          </w:p>
          <w:p w:rsidR="003C7976" w:rsidRPr="00543D25" w:rsidRDefault="003C7976" w:rsidP="002F3E98">
            <w:pPr>
              <w:pStyle w:val="TableText"/>
              <w:keepNext/>
              <w:ind w:left="340"/>
            </w:pPr>
            <w:r w:rsidRPr="00543D25">
              <w:t>age</w:t>
            </w:r>
          </w:p>
          <w:p w:rsidR="003C7976" w:rsidRPr="00543D25" w:rsidRDefault="003C7976" w:rsidP="002F3E98">
            <w:pPr>
              <w:pStyle w:val="TableText"/>
              <w:keepNext/>
              <w:ind w:left="340"/>
            </w:pPr>
            <w:r w:rsidRPr="00543D25">
              <w:t>difference</w:t>
            </w:r>
          </w:p>
        </w:tc>
        <w:tc>
          <w:tcPr>
            <w:tcW w:w="2055" w:type="dxa"/>
            <w:shd w:val="clear" w:color="auto" w:fill="auto"/>
          </w:tcPr>
          <w:p w:rsidR="003C7976" w:rsidRPr="00543D25" w:rsidRDefault="003C7976" w:rsidP="003C7976">
            <w:pPr>
              <w:pStyle w:val="TableText"/>
              <w:jc w:val="center"/>
            </w:pPr>
            <w:r w:rsidRPr="00543D25">
              <w:t>All ns</w:t>
            </w:r>
          </w:p>
        </w:tc>
        <w:tc>
          <w:tcPr>
            <w:tcW w:w="2055" w:type="dxa"/>
            <w:shd w:val="clear" w:color="auto" w:fill="auto"/>
          </w:tcPr>
          <w:p w:rsidR="003C7976" w:rsidRDefault="003C7976" w:rsidP="003C7976">
            <w:pPr>
              <w:pStyle w:val="TableText"/>
              <w:ind w:left="765"/>
            </w:pPr>
          </w:p>
          <w:p w:rsidR="003C7976" w:rsidRPr="00543D25" w:rsidRDefault="003C7976" w:rsidP="003C7976">
            <w:pPr>
              <w:pStyle w:val="TableText"/>
              <w:ind w:left="765"/>
            </w:pPr>
            <w:r w:rsidRPr="003C7976">
              <w:rPr>
                <w:b/>
              </w:rPr>
              <w:t>&lt;.05</w:t>
            </w:r>
            <w:r w:rsidRPr="00543D25">
              <w:rPr>
                <w:rFonts w:ascii="Trebuchet MS"/>
                <w:b/>
              </w:rPr>
              <w:t xml:space="preserve"> </w:t>
            </w:r>
            <w:r w:rsidRPr="00543D25">
              <w:t>except</w:t>
            </w:r>
          </w:p>
          <w:p w:rsidR="003C7976" w:rsidRPr="00543D25" w:rsidRDefault="003C7976" w:rsidP="003C7976">
            <w:pPr>
              <w:pStyle w:val="TableText"/>
              <w:ind w:left="765"/>
            </w:pPr>
            <w:r w:rsidRPr="00543D25">
              <w:t>2–4 vs 5–9 ns</w:t>
            </w:r>
          </w:p>
        </w:tc>
        <w:tc>
          <w:tcPr>
            <w:tcW w:w="1276" w:type="dxa"/>
            <w:shd w:val="clear" w:color="auto" w:fill="auto"/>
          </w:tcPr>
          <w:p w:rsidR="003C7976" w:rsidRPr="00543D25" w:rsidRDefault="003C7976" w:rsidP="002F3E98">
            <w:pPr>
              <w:pStyle w:val="TableText"/>
              <w:rPr>
                <w:rFonts w:ascii="Times New Roman"/>
              </w:rPr>
            </w:pPr>
          </w:p>
        </w:tc>
      </w:tr>
    </w:tbl>
    <w:p w:rsidR="00467321" w:rsidRPr="00467321" w:rsidRDefault="00467321" w:rsidP="00390ABE">
      <w:pPr>
        <w:pStyle w:val="Note"/>
      </w:pPr>
      <w:r w:rsidRPr="00467321">
        <w:t>Note: Statistically significant differences (</w:t>
      </w:r>
      <w:r w:rsidRPr="00467321">
        <w:rPr>
          <w:rFonts w:ascii="Calibri"/>
          <w:i/>
        </w:rPr>
        <w:t>p</w:t>
      </w:r>
      <w:r w:rsidRPr="00467321">
        <w:t>&lt;.05) are shown in bold.</w:t>
      </w:r>
    </w:p>
    <w:p w:rsidR="00467321" w:rsidRPr="00543D25" w:rsidRDefault="00467321" w:rsidP="00390ABE"/>
    <w:p w:rsidR="00467321" w:rsidRDefault="00467321" w:rsidP="00390ABE">
      <w:pPr>
        <w:pStyle w:val="Table"/>
      </w:pPr>
      <w:bookmarkStart w:id="126" w:name="_Toc5437214"/>
      <w:r w:rsidRPr="00467321">
        <w:t>Table A5.8: Child body size indicators by food security status, 2014/15 and 2015/16</w:t>
      </w:r>
      <w:bookmarkEnd w:id="12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1276"/>
        <w:gridCol w:w="2055"/>
        <w:gridCol w:w="2055"/>
        <w:gridCol w:w="1276"/>
      </w:tblGrid>
      <w:tr w:rsidR="008941C1" w:rsidRPr="00A83B11" w:rsidTr="002F3E98">
        <w:trPr>
          <w:cantSplit/>
        </w:trPr>
        <w:tc>
          <w:tcPr>
            <w:tcW w:w="1418" w:type="dxa"/>
            <w:tcBorders>
              <w:top w:val="nil"/>
              <w:bottom w:val="nil"/>
            </w:tcBorders>
            <w:shd w:val="clear" w:color="auto" w:fill="D9D9D9" w:themeFill="background1" w:themeFillShade="D9"/>
          </w:tcPr>
          <w:p w:rsidR="008941C1" w:rsidRPr="00A83B11" w:rsidRDefault="008941C1" w:rsidP="002F3E98">
            <w:pPr>
              <w:pStyle w:val="TableText"/>
              <w:keepNext/>
              <w:rPr>
                <w:b/>
              </w:rPr>
            </w:pP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Age</w:t>
            </w:r>
            <w:r>
              <w:rPr>
                <w:b/>
              </w:rPr>
              <w:br/>
            </w:r>
            <w:r w:rsidRPr="00A83B11">
              <w:rPr>
                <w:b/>
              </w:rPr>
              <w:t>(child)</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w:t>
            </w:r>
            <w:r>
              <w:rPr>
                <w:b/>
              </w:rPr>
              <w:br/>
            </w:r>
            <w:r w:rsidRPr="00A83B11">
              <w:rPr>
                <w:b/>
              </w:rPr>
              <w:t>severely to</w:t>
            </w:r>
            <w:r>
              <w:rPr>
                <w:b/>
              </w:rPr>
              <w:br/>
            </w:r>
            <w:r w:rsidRPr="00A83B11">
              <w:rPr>
                <w:b/>
              </w:rPr>
              <w:t>moderately food-insecure households</w:t>
            </w:r>
          </w:p>
        </w:tc>
        <w:tc>
          <w:tcPr>
            <w:tcW w:w="2055"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b/>
              </w:rPr>
              <w:t>Percentage in fully</w:t>
            </w:r>
            <w:r>
              <w:rPr>
                <w:b/>
              </w:rPr>
              <w:br/>
            </w:r>
            <w:r w:rsidRPr="00A83B11">
              <w:rPr>
                <w:b/>
              </w:rPr>
              <w:t>to mostly food-</w:t>
            </w:r>
            <w:r>
              <w:rPr>
                <w:b/>
              </w:rPr>
              <w:br/>
              <w:t>s</w:t>
            </w:r>
            <w:r w:rsidRPr="00A83B11">
              <w:rPr>
                <w:b/>
              </w:rPr>
              <w:t>ecure</w:t>
            </w:r>
            <w:r>
              <w:rPr>
                <w:b/>
              </w:rPr>
              <w:br/>
            </w:r>
            <w:r w:rsidRPr="00A83B11">
              <w:rPr>
                <w:b/>
              </w:rPr>
              <w:t>households</w:t>
            </w:r>
          </w:p>
        </w:tc>
        <w:tc>
          <w:tcPr>
            <w:tcW w:w="1276" w:type="dxa"/>
            <w:tcBorders>
              <w:top w:val="nil"/>
              <w:bottom w:val="nil"/>
            </w:tcBorders>
            <w:shd w:val="clear" w:color="auto" w:fill="D9D9D9" w:themeFill="background1" w:themeFillShade="D9"/>
          </w:tcPr>
          <w:p w:rsidR="008941C1" w:rsidRPr="00A83B11" w:rsidRDefault="008941C1" w:rsidP="002F3E98">
            <w:pPr>
              <w:pStyle w:val="TableText"/>
              <w:keepNext/>
              <w:jc w:val="center"/>
              <w:rPr>
                <w:b/>
              </w:rPr>
            </w:pPr>
            <w:r w:rsidRPr="00A83B11">
              <w:rPr>
                <w:rFonts w:ascii="Trebuchet MS"/>
                <w:b/>
                <w:i/>
              </w:rPr>
              <w:t xml:space="preserve">p </w:t>
            </w:r>
            <w:r w:rsidRPr="00A83B11">
              <w:rPr>
                <w:b/>
              </w:rPr>
              <w:t>value for group difference (unadjusted)</w:t>
            </w:r>
          </w:p>
        </w:tc>
      </w:tr>
      <w:tr w:rsidR="003C7976" w:rsidRPr="008941C1" w:rsidTr="002F3E98">
        <w:trPr>
          <w:cantSplit/>
        </w:trPr>
        <w:tc>
          <w:tcPr>
            <w:tcW w:w="1418" w:type="dxa"/>
            <w:vMerge w:val="restart"/>
            <w:tcBorders>
              <w:top w:val="nil"/>
            </w:tcBorders>
            <w:shd w:val="clear" w:color="auto" w:fill="auto"/>
          </w:tcPr>
          <w:p w:rsidR="003C7976" w:rsidRPr="00543D25" w:rsidRDefault="003C7976" w:rsidP="002F3E98">
            <w:pPr>
              <w:pStyle w:val="TableText"/>
              <w:keepNext/>
            </w:pPr>
            <w:r w:rsidRPr="00543D25">
              <w:t>Healthy weight</w:t>
            </w:r>
          </w:p>
        </w:tc>
        <w:tc>
          <w:tcPr>
            <w:tcW w:w="1276" w:type="dxa"/>
            <w:tcBorders>
              <w:top w:val="nil"/>
            </w:tcBorders>
            <w:shd w:val="clear" w:color="auto" w:fill="auto"/>
          </w:tcPr>
          <w:p w:rsidR="003C7976" w:rsidRPr="00543D25" w:rsidRDefault="003C7976" w:rsidP="002F3E98">
            <w:pPr>
              <w:pStyle w:val="TableText"/>
              <w:keepNext/>
              <w:tabs>
                <w:tab w:val="decimal" w:pos="510"/>
              </w:tabs>
            </w:pPr>
            <w:r w:rsidRPr="00543D25">
              <w:t>2–4</w:t>
            </w:r>
          </w:p>
        </w:tc>
        <w:tc>
          <w:tcPr>
            <w:tcW w:w="2055" w:type="dxa"/>
            <w:tcBorders>
              <w:top w:val="nil"/>
            </w:tcBorders>
            <w:shd w:val="clear" w:color="auto" w:fill="auto"/>
          </w:tcPr>
          <w:p w:rsidR="003C7976" w:rsidRPr="00543D25" w:rsidRDefault="003C7976" w:rsidP="003C7976">
            <w:pPr>
              <w:pStyle w:val="TableText"/>
              <w:jc w:val="center"/>
            </w:pPr>
            <w:r w:rsidRPr="00543D25">
              <w:t>54.5</w:t>
            </w:r>
          </w:p>
        </w:tc>
        <w:tc>
          <w:tcPr>
            <w:tcW w:w="2055" w:type="dxa"/>
            <w:tcBorders>
              <w:top w:val="nil"/>
            </w:tcBorders>
            <w:shd w:val="clear" w:color="auto" w:fill="auto"/>
          </w:tcPr>
          <w:p w:rsidR="003C7976" w:rsidRPr="00543D25" w:rsidRDefault="003C7976" w:rsidP="003C7976">
            <w:pPr>
              <w:pStyle w:val="TableText"/>
              <w:jc w:val="center"/>
            </w:pPr>
            <w:r w:rsidRPr="00543D25">
              <w:t>69.5</w:t>
            </w:r>
          </w:p>
        </w:tc>
        <w:tc>
          <w:tcPr>
            <w:tcW w:w="1276" w:type="dxa"/>
            <w:tcBorders>
              <w:top w:val="nil"/>
            </w:tcBorders>
            <w:shd w:val="clear" w:color="auto" w:fill="auto"/>
          </w:tcPr>
          <w:p w:rsidR="003C7976" w:rsidRPr="003C7976" w:rsidRDefault="003C7976" w:rsidP="003C7976">
            <w:pPr>
              <w:pStyle w:val="TableText"/>
              <w:jc w:val="center"/>
              <w:rPr>
                <w:b/>
              </w:rPr>
            </w:pPr>
            <w:r w:rsidRPr="003C7976">
              <w:rPr>
                <w:b/>
              </w:rPr>
              <w:t>&lt;.01</w:t>
            </w:r>
          </w:p>
        </w:tc>
      </w:tr>
      <w:tr w:rsidR="003C7976" w:rsidRPr="008941C1"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tabs>
                <w:tab w:val="decimal" w:pos="510"/>
              </w:tabs>
            </w:pPr>
            <w:r w:rsidRPr="00543D25">
              <w:t>5–9</w:t>
            </w:r>
          </w:p>
        </w:tc>
        <w:tc>
          <w:tcPr>
            <w:tcW w:w="2055" w:type="dxa"/>
            <w:shd w:val="clear" w:color="auto" w:fill="auto"/>
          </w:tcPr>
          <w:p w:rsidR="003C7976" w:rsidRPr="00543D25" w:rsidRDefault="003C7976" w:rsidP="003C7976">
            <w:pPr>
              <w:pStyle w:val="TableText"/>
              <w:jc w:val="center"/>
            </w:pPr>
            <w:r w:rsidRPr="00543D25">
              <w:t>53.1</w:t>
            </w:r>
          </w:p>
        </w:tc>
        <w:tc>
          <w:tcPr>
            <w:tcW w:w="2055" w:type="dxa"/>
            <w:shd w:val="clear" w:color="auto" w:fill="auto"/>
          </w:tcPr>
          <w:p w:rsidR="003C7976" w:rsidRPr="00543D25" w:rsidRDefault="003C7976" w:rsidP="003C7976">
            <w:pPr>
              <w:pStyle w:val="TableText"/>
              <w:jc w:val="center"/>
            </w:pPr>
            <w:r w:rsidRPr="00543D25">
              <w:t>68.9</w:t>
            </w:r>
          </w:p>
        </w:tc>
        <w:tc>
          <w:tcPr>
            <w:tcW w:w="1276" w:type="dxa"/>
            <w:shd w:val="clear" w:color="auto" w:fill="auto"/>
          </w:tcPr>
          <w:p w:rsidR="003C7976" w:rsidRPr="003C7976" w:rsidRDefault="003C7976" w:rsidP="003C7976">
            <w:pPr>
              <w:pStyle w:val="TableText"/>
              <w:jc w:val="center"/>
              <w:rPr>
                <w:b/>
              </w:rPr>
            </w:pPr>
            <w:r w:rsidRPr="003C7976">
              <w:rPr>
                <w:b/>
              </w:rPr>
              <w:t>&lt;.01</w:t>
            </w:r>
          </w:p>
        </w:tc>
      </w:tr>
      <w:tr w:rsidR="003C7976" w:rsidRPr="008941C1"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tabs>
                <w:tab w:val="decimal" w:pos="510"/>
              </w:tabs>
            </w:pPr>
            <w:r w:rsidRPr="00543D25">
              <w:t>10–14</w:t>
            </w:r>
          </w:p>
        </w:tc>
        <w:tc>
          <w:tcPr>
            <w:tcW w:w="2055" w:type="dxa"/>
            <w:shd w:val="clear" w:color="auto" w:fill="auto"/>
          </w:tcPr>
          <w:p w:rsidR="003C7976" w:rsidRPr="00543D25" w:rsidRDefault="003C7976" w:rsidP="003C7976">
            <w:pPr>
              <w:pStyle w:val="TableText"/>
              <w:jc w:val="center"/>
            </w:pPr>
            <w:r w:rsidRPr="00543D25">
              <w:t>50.0</w:t>
            </w:r>
          </w:p>
        </w:tc>
        <w:tc>
          <w:tcPr>
            <w:tcW w:w="2055" w:type="dxa"/>
            <w:shd w:val="clear" w:color="auto" w:fill="auto"/>
          </w:tcPr>
          <w:p w:rsidR="003C7976" w:rsidRPr="00543D25" w:rsidRDefault="003C7976" w:rsidP="003C7976">
            <w:pPr>
              <w:pStyle w:val="TableText"/>
              <w:jc w:val="center"/>
            </w:pPr>
            <w:r w:rsidRPr="00543D25">
              <w:t>61.9</w:t>
            </w:r>
          </w:p>
        </w:tc>
        <w:tc>
          <w:tcPr>
            <w:tcW w:w="1276" w:type="dxa"/>
            <w:shd w:val="clear" w:color="auto" w:fill="auto"/>
          </w:tcPr>
          <w:p w:rsidR="003C7976" w:rsidRPr="003C7976" w:rsidRDefault="003C7976" w:rsidP="003C7976">
            <w:pPr>
              <w:pStyle w:val="TableText"/>
              <w:jc w:val="center"/>
              <w:rPr>
                <w:b/>
              </w:rPr>
            </w:pPr>
            <w:r w:rsidRPr="003C7976">
              <w:rPr>
                <w:b/>
              </w:rPr>
              <w:t>&lt;.01</w:t>
            </w:r>
          </w:p>
        </w:tc>
      </w:tr>
      <w:tr w:rsidR="003C7976" w:rsidRPr="00543D25" w:rsidTr="002F3E98">
        <w:trPr>
          <w:cantSplit/>
        </w:trPr>
        <w:tc>
          <w:tcPr>
            <w:tcW w:w="1418" w:type="dxa"/>
            <w:vMerge/>
            <w:shd w:val="clear" w:color="auto" w:fill="auto"/>
          </w:tcPr>
          <w:p w:rsidR="003C7976" w:rsidRPr="00467321" w:rsidRDefault="003C7976" w:rsidP="002F3E98">
            <w:pPr>
              <w:pStyle w:val="TableText"/>
              <w:keepNext/>
              <w:rPr>
                <w:sz w:val="2"/>
                <w:szCs w:val="2"/>
              </w:rPr>
            </w:pPr>
          </w:p>
        </w:tc>
        <w:tc>
          <w:tcPr>
            <w:tcW w:w="1276" w:type="dxa"/>
            <w:shd w:val="clear" w:color="auto" w:fill="auto"/>
          </w:tcPr>
          <w:p w:rsidR="003C7976" w:rsidRPr="00543D25" w:rsidRDefault="003C7976" w:rsidP="002F3E98">
            <w:pPr>
              <w:pStyle w:val="TableText"/>
              <w:keepNext/>
              <w:ind w:left="340"/>
            </w:pPr>
            <w:r w:rsidRPr="00543D25">
              <w:rPr>
                <w:rFonts w:ascii="Calibri"/>
                <w:i/>
              </w:rPr>
              <w:t xml:space="preserve">p </w:t>
            </w:r>
            <w:r w:rsidRPr="00543D25">
              <w:t>value</w:t>
            </w:r>
          </w:p>
          <w:p w:rsidR="003C7976" w:rsidRPr="00543D25" w:rsidRDefault="003C7976" w:rsidP="002F3E98">
            <w:pPr>
              <w:pStyle w:val="TableText"/>
              <w:keepNext/>
              <w:ind w:left="340"/>
            </w:pPr>
            <w:r w:rsidRPr="00543D25">
              <w:t>age</w:t>
            </w:r>
          </w:p>
          <w:p w:rsidR="003C7976" w:rsidRPr="00543D25" w:rsidRDefault="003C7976" w:rsidP="002F3E98">
            <w:pPr>
              <w:pStyle w:val="TableText"/>
              <w:keepNext/>
              <w:ind w:left="340"/>
            </w:pPr>
            <w:r w:rsidRPr="00543D25">
              <w:t>difference</w:t>
            </w:r>
          </w:p>
        </w:tc>
        <w:tc>
          <w:tcPr>
            <w:tcW w:w="2055" w:type="dxa"/>
            <w:shd w:val="clear" w:color="auto" w:fill="auto"/>
          </w:tcPr>
          <w:p w:rsidR="003C7976" w:rsidRPr="00543D25" w:rsidRDefault="003C7976" w:rsidP="003C7976">
            <w:pPr>
              <w:pStyle w:val="TableText"/>
              <w:jc w:val="center"/>
            </w:pPr>
            <w:r w:rsidRPr="00543D25">
              <w:t>All ns</w:t>
            </w:r>
          </w:p>
        </w:tc>
        <w:tc>
          <w:tcPr>
            <w:tcW w:w="2055" w:type="dxa"/>
            <w:shd w:val="clear" w:color="auto" w:fill="auto"/>
          </w:tcPr>
          <w:p w:rsidR="0047140A" w:rsidRDefault="0047140A" w:rsidP="0047140A">
            <w:pPr>
              <w:pStyle w:val="TableText"/>
              <w:ind w:left="765"/>
            </w:pPr>
          </w:p>
          <w:p w:rsidR="003C7976" w:rsidRPr="00543D25" w:rsidRDefault="003C7976" w:rsidP="0047140A">
            <w:pPr>
              <w:pStyle w:val="TableText"/>
              <w:ind w:left="765"/>
            </w:pPr>
            <w:r w:rsidRPr="0047140A">
              <w:rPr>
                <w:b/>
              </w:rPr>
              <w:t>&lt;.01</w:t>
            </w:r>
            <w:r w:rsidRPr="00543D25">
              <w:rPr>
                <w:rFonts w:ascii="Trebuchet MS"/>
                <w:b/>
              </w:rPr>
              <w:t xml:space="preserve"> </w:t>
            </w:r>
            <w:r w:rsidRPr="00543D25">
              <w:t>except</w:t>
            </w:r>
          </w:p>
          <w:p w:rsidR="003C7976" w:rsidRPr="00543D25" w:rsidRDefault="003C7976" w:rsidP="0047140A">
            <w:pPr>
              <w:pStyle w:val="TableText"/>
              <w:ind w:left="765"/>
            </w:pPr>
            <w:r w:rsidRPr="00543D25">
              <w:t>2–4 vs 5–9 ns</w:t>
            </w:r>
          </w:p>
        </w:tc>
        <w:tc>
          <w:tcPr>
            <w:tcW w:w="1276" w:type="dxa"/>
            <w:shd w:val="clear" w:color="auto" w:fill="auto"/>
          </w:tcPr>
          <w:p w:rsidR="003C7976" w:rsidRPr="00543D25" w:rsidRDefault="003C7976" w:rsidP="002F3E98">
            <w:pPr>
              <w:pStyle w:val="TableText"/>
              <w:rPr>
                <w:rFonts w:ascii="Times New Roman"/>
              </w:rPr>
            </w:pPr>
          </w:p>
        </w:tc>
      </w:tr>
    </w:tbl>
    <w:p w:rsidR="00467321" w:rsidRPr="00467321" w:rsidRDefault="00467321" w:rsidP="00390ABE">
      <w:pPr>
        <w:pStyle w:val="Note"/>
      </w:pPr>
      <w:r w:rsidRPr="00467321">
        <w:t>Note: Statistically significant differences (</w:t>
      </w:r>
      <w:r w:rsidRPr="00467321">
        <w:rPr>
          <w:rFonts w:ascii="Calibri"/>
          <w:i/>
        </w:rPr>
        <w:t>p</w:t>
      </w:r>
      <w:r w:rsidRPr="00467321">
        <w:t>&lt;.05) are shown in bold.</w:t>
      </w:r>
    </w:p>
    <w:p w:rsidR="003119F5" w:rsidRDefault="003119F5" w:rsidP="00390ABE"/>
    <w:p w:rsidR="00467321" w:rsidRPr="00467321" w:rsidRDefault="00467321" w:rsidP="00390ABE">
      <w:pPr>
        <w:pStyle w:val="Heading2"/>
      </w:pPr>
      <w:bookmarkStart w:id="127" w:name="_bookmark51"/>
      <w:bookmarkStart w:id="128" w:name="_Toc5437091"/>
      <w:bookmarkEnd w:id="127"/>
      <w:r w:rsidRPr="00467321">
        <w:lastRenderedPageBreak/>
        <w:t>Adjusted rates and rate ratios</w:t>
      </w:r>
      <w:bookmarkEnd w:id="128"/>
    </w:p>
    <w:p w:rsidR="00467321" w:rsidRPr="00467321" w:rsidRDefault="00467321" w:rsidP="00204E47">
      <w:pPr>
        <w:pStyle w:val="Table"/>
      </w:pPr>
      <w:bookmarkStart w:id="129" w:name="_Toc5437215"/>
      <w:r w:rsidRPr="00467321">
        <w:t>Table A5.9: Rates and rate ratios (ARR), adjusted for gross household income and number of children, 2015/16</w:t>
      </w:r>
      <w:bookmarkEnd w:id="129"/>
    </w:p>
    <w:tbl>
      <w:tblPr>
        <w:tblW w:w="0" w:type="auto"/>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1E0" w:firstRow="1" w:lastRow="1" w:firstColumn="1" w:lastColumn="1" w:noHBand="0" w:noVBand="0"/>
      </w:tblPr>
      <w:tblGrid>
        <w:gridCol w:w="2977"/>
        <w:gridCol w:w="1559"/>
        <w:gridCol w:w="993"/>
        <w:gridCol w:w="1560"/>
        <w:gridCol w:w="992"/>
      </w:tblGrid>
      <w:tr w:rsidR="00467321" w:rsidRPr="00204E47" w:rsidTr="00204E47">
        <w:trPr>
          <w:cantSplit/>
          <w:tblHeader/>
        </w:trPr>
        <w:tc>
          <w:tcPr>
            <w:tcW w:w="2977" w:type="dxa"/>
            <w:vMerge w:val="restart"/>
            <w:tcBorders>
              <w:top w:val="nil"/>
              <w:left w:val="nil"/>
              <w:bottom w:val="single" w:sz="4" w:space="0" w:color="A7A9AC"/>
              <w:right w:val="single" w:sz="4" w:space="0" w:color="A7A9AC"/>
            </w:tcBorders>
            <w:shd w:val="clear" w:color="auto" w:fill="D9D9D9" w:themeFill="background1" w:themeFillShade="D9"/>
          </w:tcPr>
          <w:p w:rsidR="00467321" w:rsidRPr="00204E47" w:rsidRDefault="00467321" w:rsidP="00204E47">
            <w:pPr>
              <w:pStyle w:val="TableText"/>
              <w:rPr>
                <w:b/>
              </w:rPr>
            </w:pPr>
          </w:p>
        </w:tc>
        <w:tc>
          <w:tcPr>
            <w:tcW w:w="2551" w:type="dxa"/>
            <w:gridSpan w:val="2"/>
            <w:tcBorders>
              <w:top w:val="nil"/>
              <w:left w:val="single" w:sz="4" w:space="0" w:color="A7A9AC"/>
              <w:bottom w:val="nil"/>
              <w:right w:val="single" w:sz="4" w:space="0" w:color="A7A9AC"/>
            </w:tcBorders>
            <w:shd w:val="clear" w:color="auto" w:fill="D9D9D9" w:themeFill="background1" w:themeFillShade="D9"/>
          </w:tcPr>
          <w:p w:rsidR="00467321" w:rsidRPr="00204E47" w:rsidRDefault="00467321" w:rsidP="00204E47">
            <w:pPr>
              <w:pStyle w:val="TableText"/>
              <w:jc w:val="center"/>
              <w:rPr>
                <w:b/>
              </w:rPr>
            </w:pPr>
            <w:r w:rsidRPr="00204E47">
              <w:rPr>
                <w:b/>
              </w:rPr>
              <w:t>Adjusted for age and sex</w:t>
            </w:r>
          </w:p>
        </w:tc>
        <w:tc>
          <w:tcPr>
            <w:tcW w:w="2552" w:type="dxa"/>
            <w:gridSpan w:val="2"/>
            <w:tcBorders>
              <w:top w:val="nil"/>
              <w:left w:val="single" w:sz="4" w:space="0" w:color="A7A9AC"/>
              <w:bottom w:val="nil"/>
              <w:right w:val="nil"/>
            </w:tcBorders>
            <w:shd w:val="clear" w:color="auto" w:fill="D9D9D9" w:themeFill="background1" w:themeFillShade="D9"/>
          </w:tcPr>
          <w:p w:rsidR="00467321" w:rsidRPr="00204E47" w:rsidRDefault="00467321" w:rsidP="00204E47">
            <w:pPr>
              <w:pStyle w:val="TableText"/>
              <w:jc w:val="center"/>
              <w:rPr>
                <w:b/>
              </w:rPr>
            </w:pPr>
            <w:r w:rsidRPr="00204E47">
              <w:rPr>
                <w:b/>
              </w:rPr>
              <w:t>Adjusted for age, sex, household income and number of children in the household</w:t>
            </w:r>
          </w:p>
        </w:tc>
      </w:tr>
      <w:tr w:rsidR="00467321" w:rsidRPr="00204E47" w:rsidTr="00204E47">
        <w:trPr>
          <w:cantSplit/>
          <w:tblHeader/>
        </w:trPr>
        <w:tc>
          <w:tcPr>
            <w:tcW w:w="2977" w:type="dxa"/>
            <w:vMerge/>
            <w:tcBorders>
              <w:top w:val="single" w:sz="4" w:space="0" w:color="A7A9AC"/>
              <w:left w:val="nil"/>
              <w:bottom w:val="nil"/>
              <w:right w:val="single" w:sz="4" w:space="0" w:color="A7A9AC"/>
            </w:tcBorders>
            <w:shd w:val="clear" w:color="auto" w:fill="D9D9D9" w:themeFill="background1" w:themeFillShade="D9"/>
          </w:tcPr>
          <w:p w:rsidR="00467321" w:rsidRPr="00204E47" w:rsidRDefault="00467321" w:rsidP="00204E47">
            <w:pPr>
              <w:pStyle w:val="TableText"/>
              <w:rPr>
                <w:b/>
                <w:sz w:val="2"/>
                <w:szCs w:val="2"/>
              </w:rPr>
            </w:pPr>
          </w:p>
        </w:tc>
        <w:tc>
          <w:tcPr>
            <w:tcW w:w="1559" w:type="dxa"/>
            <w:tcBorders>
              <w:top w:val="nil"/>
              <w:left w:val="single" w:sz="4" w:space="0" w:color="A7A9AC"/>
              <w:bottom w:val="nil"/>
              <w:right w:val="nil"/>
            </w:tcBorders>
            <w:shd w:val="clear" w:color="auto" w:fill="D9D9D9" w:themeFill="background1" w:themeFillShade="D9"/>
          </w:tcPr>
          <w:p w:rsidR="00467321" w:rsidRPr="00204E47" w:rsidRDefault="00467321" w:rsidP="00204E47">
            <w:pPr>
              <w:pStyle w:val="TableText"/>
              <w:spacing w:before="0"/>
              <w:jc w:val="center"/>
              <w:rPr>
                <w:b/>
              </w:rPr>
            </w:pPr>
            <w:r w:rsidRPr="00204E47">
              <w:rPr>
                <w:b/>
              </w:rPr>
              <w:t>Percentage of children in severely</w:t>
            </w:r>
            <w:r w:rsidR="00204E47" w:rsidRPr="00204E47">
              <w:rPr>
                <w:b/>
              </w:rPr>
              <w:t xml:space="preserve"> </w:t>
            </w:r>
            <w:r w:rsidRPr="00204E47">
              <w:rPr>
                <w:b/>
              </w:rPr>
              <w:t>to moderately</w:t>
            </w:r>
            <w:r w:rsidR="00204E47" w:rsidRPr="00204E47">
              <w:rPr>
                <w:b/>
              </w:rPr>
              <w:t xml:space="preserve"> </w:t>
            </w:r>
            <w:r w:rsidR="00C11D2D" w:rsidRPr="00204E47">
              <w:rPr>
                <w:b/>
              </w:rPr>
              <w:t>food-insecure</w:t>
            </w:r>
            <w:r w:rsidR="00204E47" w:rsidRPr="00204E47">
              <w:rPr>
                <w:b/>
              </w:rPr>
              <w:t xml:space="preserve"> </w:t>
            </w:r>
            <w:r w:rsidRPr="00204E47">
              <w:rPr>
                <w:b/>
              </w:rPr>
              <w:t>households</w:t>
            </w:r>
          </w:p>
        </w:tc>
        <w:tc>
          <w:tcPr>
            <w:tcW w:w="992" w:type="dxa"/>
            <w:tcBorders>
              <w:top w:val="nil"/>
              <w:left w:val="nil"/>
              <w:bottom w:val="nil"/>
              <w:right w:val="single" w:sz="4" w:space="0" w:color="A7A9AC"/>
            </w:tcBorders>
            <w:shd w:val="clear" w:color="auto" w:fill="D9D9D9" w:themeFill="background1" w:themeFillShade="D9"/>
          </w:tcPr>
          <w:p w:rsidR="00467321" w:rsidRPr="00204E47" w:rsidRDefault="00467321" w:rsidP="00204E47">
            <w:pPr>
              <w:pStyle w:val="TableText"/>
              <w:spacing w:before="0"/>
              <w:jc w:val="center"/>
              <w:rPr>
                <w:b/>
              </w:rPr>
            </w:pPr>
            <w:r w:rsidRPr="00204E47">
              <w:rPr>
                <w:b/>
              </w:rPr>
              <w:t>95% CI</w:t>
            </w:r>
          </w:p>
        </w:tc>
        <w:tc>
          <w:tcPr>
            <w:tcW w:w="1560" w:type="dxa"/>
            <w:tcBorders>
              <w:top w:val="nil"/>
              <w:left w:val="single" w:sz="4" w:space="0" w:color="A7A9AC"/>
              <w:bottom w:val="nil"/>
              <w:right w:val="nil"/>
            </w:tcBorders>
            <w:shd w:val="clear" w:color="auto" w:fill="D9D9D9" w:themeFill="background1" w:themeFillShade="D9"/>
          </w:tcPr>
          <w:p w:rsidR="00467321" w:rsidRPr="00204E47" w:rsidRDefault="00467321" w:rsidP="00204E47">
            <w:pPr>
              <w:pStyle w:val="TableText"/>
              <w:spacing w:before="0"/>
              <w:jc w:val="center"/>
              <w:rPr>
                <w:b/>
              </w:rPr>
            </w:pPr>
            <w:r w:rsidRPr="00204E47">
              <w:rPr>
                <w:b/>
              </w:rPr>
              <w:t>Percentage of children</w:t>
            </w:r>
            <w:r w:rsidR="00204E47" w:rsidRPr="00204E47">
              <w:rPr>
                <w:b/>
              </w:rPr>
              <w:t xml:space="preserve"> </w:t>
            </w:r>
            <w:r w:rsidRPr="00204E47">
              <w:rPr>
                <w:b/>
              </w:rPr>
              <w:t>in fully to mostly food-secure households</w:t>
            </w:r>
          </w:p>
        </w:tc>
        <w:tc>
          <w:tcPr>
            <w:tcW w:w="992" w:type="dxa"/>
            <w:tcBorders>
              <w:top w:val="nil"/>
              <w:left w:val="nil"/>
              <w:bottom w:val="nil"/>
              <w:right w:val="nil"/>
            </w:tcBorders>
            <w:shd w:val="clear" w:color="auto" w:fill="D9D9D9" w:themeFill="background1" w:themeFillShade="D9"/>
          </w:tcPr>
          <w:p w:rsidR="00467321" w:rsidRPr="00204E47" w:rsidRDefault="00467321" w:rsidP="00204E47">
            <w:pPr>
              <w:pStyle w:val="TableText"/>
              <w:spacing w:before="0"/>
              <w:jc w:val="center"/>
              <w:rPr>
                <w:b/>
              </w:rPr>
            </w:pPr>
            <w:r w:rsidRPr="00204E47">
              <w:rPr>
                <w:b/>
              </w:rPr>
              <w:t>95% CI</w:t>
            </w:r>
          </w:p>
        </w:tc>
      </w:tr>
      <w:tr w:rsidR="00204E47" w:rsidRPr="00467321" w:rsidTr="00204E47">
        <w:trPr>
          <w:cantSplit/>
        </w:trPr>
        <w:tc>
          <w:tcPr>
            <w:tcW w:w="2977" w:type="dxa"/>
            <w:tcBorders>
              <w:top w:val="nil"/>
              <w:left w:val="nil"/>
              <w:bottom w:val="nil"/>
              <w:right w:val="single" w:sz="4" w:space="0" w:color="A7A9AC"/>
            </w:tcBorders>
            <w:shd w:val="clear" w:color="auto" w:fill="auto"/>
          </w:tcPr>
          <w:p w:rsidR="00467321" w:rsidRPr="00543D25" w:rsidRDefault="00467321" w:rsidP="00204E47">
            <w:pPr>
              <w:pStyle w:val="TableText"/>
            </w:pPr>
            <w:r w:rsidRPr="00543D25">
              <w:t>Caregiver not receiving a</w:t>
            </w:r>
            <w:r w:rsidR="00204E47">
              <w:t xml:space="preserve"> </w:t>
            </w:r>
            <w:r w:rsidRPr="00543D25">
              <w:t>benefit</w:t>
            </w:r>
          </w:p>
        </w:tc>
        <w:tc>
          <w:tcPr>
            <w:tcW w:w="1559" w:type="dxa"/>
            <w:tcBorders>
              <w:top w:val="nil"/>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12.1</w:t>
            </w:r>
          </w:p>
        </w:tc>
        <w:tc>
          <w:tcPr>
            <w:tcW w:w="992" w:type="dxa"/>
            <w:tcBorders>
              <w:top w:val="nil"/>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10.8–13.5</w:t>
            </w:r>
          </w:p>
        </w:tc>
        <w:tc>
          <w:tcPr>
            <w:tcW w:w="1560" w:type="dxa"/>
            <w:tcBorders>
              <w:top w:val="nil"/>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14.9</w:t>
            </w:r>
          </w:p>
        </w:tc>
        <w:tc>
          <w:tcPr>
            <w:tcW w:w="992" w:type="dxa"/>
            <w:tcBorders>
              <w:top w:val="nil"/>
              <w:left w:val="nil"/>
              <w:bottom w:val="nil"/>
              <w:right w:val="nil"/>
            </w:tcBorders>
            <w:shd w:val="clear" w:color="auto" w:fill="auto"/>
          </w:tcPr>
          <w:p w:rsidR="00467321" w:rsidRPr="00543D25" w:rsidRDefault="00467321" w:rsidP="00204E47">
            <w:pPr>
              <w:pStyle w:val="TableText"/>
              <w:tabs>
                <w:tab w:val="decimal" w:pos="198"/>
              </w:tabs>
            </w:pPr>
            <w:r w:rsidRPr="00543D25">
              <w:t>13.2–16.6</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Caregiver receiving a benefit</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56.6</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50.9–62.2</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29.8</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24.5–35.0</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benefit vs no benefit</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4.7</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3.9–5.4</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2.0</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1.6–2.4</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House owned by household</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7.9</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6.2–9.7</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13.2</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10.6–15.7</w:t>
            </w:r>
          </w:p>
        </w:tc>
      </w:tr>
      <w:tr w:rsidR="00204E47" w:rsidRPr="00467321" w:rsidTr="00204E47">
        <w:trPr>
          <w:cantSplit/>
        </w:trPr>
        <w:tc>
          <w:tcPr>
            <w:tcW w:w="2977" w:type="dxa"/>
            <w:tcBorders>
              <w:top w:val="nil"/>
              <w:left w:val="nil"/>
              <w:bottom w:val="nil"/>
              <w:right w:val="single" w:sz="4" w:space="0" w:color="A7A9AC"/>
            </w:tcBorders>
            <w:shd w:val="clear" w:color="auto" w:fill="auto"/>
          </w:tcPr>
          <w:p w:rsidR="00467321" w:rsidRPr="00543D25" w:rsidRDefault="00467321" w:rsidP="00204E47">
            <w:pPr>
              <w:pStyle w:val="TableText"/>
            </w:pPr>
            <w:r w:rsidRPr="00543D25">
              <w:t>Renting from private landlord</w:t>
            </w:r>
          </w:p>
        </w:tc>
        <w:tc>
          <w:tcPr>
            <w:tcW w:w="1559" w:type="dxa"/>
            <w:tcBorders>
              <w:top w:val="nil"/>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27.3</w:t>
            </w:r>
          </w:p>
        </w:tc>
        <w:tc>
          <w:tcPr>
            <w:tcW w:w="992" w:type="dxa"/>
            <w:tcBorders>
              <w:top w:val="nil"/>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24.2–30.4</w:t>
            </w:r>
          </w:p>
        </w:tc>
        <w:tc>
          <w:tcPr>
            <w:tcW w:w="1560" w:type="dxa"/>
            <w:tcBorders>
              <w:top w:val="nil"/>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20.3</w:t>
            </w:r>
          </w:p>
        </w:tc>
        <w:tc>
          <w:tcPr>
            <w:tcW w:w="992" w:type="dxa"/>
            <w:tcBorders>
              <w:top w:val="nil"/>
              <w:left w:val="nil"/>
              <w:bottom w:val="nil"/>
              <w:right w:val="nil"/>
            </w:tcBorders>
            <w:shd w:val="clear" w:color="auto" w:fill="auto"/>
          </w:tcPr>
          <w:p w:rsidR="00467321" w:rsidRPr="00543D25" w:rsidRDefault="00467321" w:rsidP="00204E47">
            <w:pPr>
              <w:pStyle w:val="TableText"/>
              <w:tabs>
                <w:tab w:val="decimal" w:pos="198"/>
              </w:tabs>
            </w:pPr>
            <w:r w:rsidRPr="00543D25">
              <w:t>18.0–22.7</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Renting from public landlord</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53.3</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46.9–59.6</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27.0</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21.7–32.3</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public rental vs owned</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6.7</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5.0–8.4</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2.1</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1.5–2.7</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public rental vs private rental</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2.0</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1.6–2.3</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1.3</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1.1–1.6</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private rental vs owned</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3.4</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2.6–4.3</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1.6</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1.2–2.0</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Māori</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28.5</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25.3–31.7</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20.3</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17.9–22.7</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Non-Māori</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14.8</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13.1–16.6</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17.4</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15.4–19.4</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Māori vs</w:t>
            </w:r>
            <w:r w:rsidR="00543D25" w:rsidRPr="00543D25">
              <w:t xml:space="preserve"> </w:t>
            </w:r>
            <w:r w:rsidRPr="00543D25">
              <w:t>non-Māori</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550321">
            <w:pPr>
              <w:pStyle w:val="TableText"/>
              <w:tabs>
                <w:tab w:val="decimal" w:pos="697"/>
              </w:tabs>
            </w:pPr>
            <w:r w:rsidRPr="00543D25">
              <w:t>1.</w:t>
            </w:r>
            <w:r w:rsidR="00550321">
              <w:t>8</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550321">
            <w:pPr>
              <w:pStyle w:val="TableText"/>
              <w:tabs>
                <w:tab w:val="decimal" w:pos="198"/>
              </w:tabs>
            </w:pPr>
            <w:r w:rsidRPr="00543D25">
              <w:t>1.</w:t>
            </w:r>
            <w:r w:rsidR="00550321">
              <w:t>5</w:t>
            </w:r>
            <w:r w:rsidRPr="00543D25">
              <w:t>–2.</w:t>
            </w:r>
            <w:r w:rsidR="00550321">
              <w:t>1</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1.2</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1.0–1.4</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Pacific</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36.1</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31.5–40.9</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25.2</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21.5–28.8</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Non-Pacific</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15.8</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14.2–17.4</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17.0</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15.3–18.7</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Pacific vs non-Pacific</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2.3</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550321" w:rsidP="00550321">
            <w:pPr>
              <w:pStyle w:val="TableText"/>
              <w:tabs>
                <w:tab w:val="decimal" w:pos="198"/>
              </w:tabs>
            </w:pPr>
            <w:r>
              <w:t>2.0</w:t>
            </w:r>
            <w:r w:rsidR="00467321" w:rsidRPr="00543D25">
              <w:t>–2.</w:t>
            </w:r>
            <w:r>
              <w:t>6</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1.5</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1.2–1.7</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Asian</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9.1</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5.3–13.0</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10.9</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6.4–15.3</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Non-Asian</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19.7</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18.1–21.2</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19.3</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17.7–20.9</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ARR Asian vs non-Asian</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.5</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.3–.7</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.6</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.3–.8</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European/other</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14.9</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13.3–16.6</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17.4</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15.6–19.2</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Non-European/other</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27.7</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24.5–30.9</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20.3</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17.5–23.0</w:t>
            </w:r>
          </w:p>
        </w:tc>
      </w:tr>
      <w:tr w:rsidR="00204E47" w:rsidRPr="00467321" w:rsidTr="00873BEC">
        <w:trPr>
          <w:cantSplit/>
        </w:trPr>
        <w:tc>
          <w:tcPr>
            <w:tcW w:w="2977"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pPr>
            <w:r w:rsidRPr="00543D25">
              <w:t xml:space="preserve">ARR European/other vs </w:t>
            </w:r>
            <w:r w:rsidR="0003605E">
              <w:t>non-</w:t>
            </w:r>
            <w:r w:rsidRPr="00543D25">
              <w:t>European/other</w:t>
            </w:r>
          </w:p>
        </w:tc>
        <w:tc>
          <w:tcPr>
            <w:tcW w:w="1559"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697"/>
              </w:tabs>
            </w:pPr>
            <w:r w:rsidRPr="00543D25">
              <w:t>.5</w:t>
            </w:r>
          </w:p>
        </w:tc>
        <w:tc>
          <w:tcPr>
            <w:tcW w:w="992" w:type="dxa"/>
            <w:tcBorders>
              <w:top w:val="single" w:sz="4" w:space="0" w:color="A7A9AC"/>
              <w:left w:val="nil"/>
              <w:bottom w:val="single" w:sz="4" w:space="0" w:color="A7A9AC"/>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.5–.6</w:t>
            </w:r>
          </w:p>
        </w:tc>
        <w:tc>
          <w:tcPr>
            <w:tcW w:w="1560" w:type="dxa"/>
            <w:tcBorders>
              <w:top w:val="single" w:sz="4" w:space="0" w:color="A7A9AC"/>
              <w:left w:val="single" w:sz="4" w:space="0" w:color="A7A9AC"/>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725"/>
              </w:tabs>
            </w:pPr>
            <w:r w:rsidRPr="00543D25">
              <w:t>.9</w:t>
            </w:r>
          </w:p>
        </w:tc>
        <w:tc>
          <w:tcPr>
            <w:tcW w:w="992" w:type="dxa"/>
            <w:tcBorders>
              <w:top w:val="single" w:sz="4" w:space="0" w:color="A7A9AC"/>
              <w:left w:val="nil"/>
              <w:bottom w:val="single" w:sz="4" w:space="0" w:color="A7A9AC"/>
              <w:right w:val="nil"/>
            </w:tcBorders>
            <w:shd w:val="clear" w:color="auto" w:fill="F2F2F2" w:themeFill="background1" w:themeFillShade="F2"/>
          </w:tcPr>
          <w:p w:rsidR="00467321" w:rsidRPr="00543D25" w:rsidRDefault="00467321" w:rsidP="00204E47">
            <w:pPr>
              <w:pStyle w:val="TableText"/>
              <w:tabs>
                <w:tab w:val="decimal" w:pos="198"/>
              </w:tabs>
            </w:pPr>
            <w:r w:rsidRPr="00543D25">
              <w:t>.7–1.0</w:t>
            </w:r>
          </w:p>
        </w:tc>
      </w:tr>
      <w:tr w:rsidR="00204E47" w:rsidRPr="00467321" w:rsidTr="00204E47">
        <w:trPr>
          <w:cantSplit/>
        </w:trPr>
        <w:tc>
          <w:tcPr>
            <w:tcW w:w="2977"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pPr>
            <w:r w:rsidRPr="00543D25">
              <w:t>Sole parent</w:t>
            </w:r>
          </w:p>
        </w:tc>
        <w:tc>
          <w:tcPr>
            <w:tcW w:w="1559"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697"/>
              </w:tabs>
            </w:pPr>
            <w:r w:rsidRPr="00543D25">
              <w:t>37.5</w:t>
            </w:r>
          </w:p>
        </w:tc>
        <w:tc>
          <w:tcPr>
            <w:tcW w:w="992" w:type="dxa"/>
            <w:tcBorders>
              <w:top w:val="single" w:sz="4" w:space="0" w:color="A7A9AC"/>
              <w:left w:val="nil"/>
              <w:bottom w:val="nil"/>
              <w:right w:val="single" w:sz="4" w:space="0" w:color="A7A9AC"/>
            </w:tcBorders>
            <w:shd w:val="clear" w:color="auto" w:fill="auto"/>
          </w:tcPr>
          <w:p w:rsidR="00467321" w:rsidRPr="00543D25" w:rsidRDefault="00467321" w:rsidP="00204E47">
            <w:pPr>
              <w:pStyle w:val="TableText"/>
              <w:tabs>
                <w:tab w:val="decimal" w:pos="198"/>
              </w:tabs>
            </w:pPr>
            <w:r w:rsidRPr="00543D25">
              <w:t>33.4–41.5</w:t>
            </w:r>
          </w:p>
        </w:tc>
        <w:tc>
          <w:tcPr>
            <w:tcW w:w="1560" w:type="dxa"/>
            <w:tcBorders>
              <w:top w:val="single" w:sz="4" w:space="0" w:color="A7A9AC"/>
              <w:left w:val="single" w:sz="4" w:space="0" w:color="A7A9AC"/>
              <w:bottom w:val="nil"/>
              <w:right w:val="nil"/>
            </w:tcBorders>
            <w:shd w:val="clear" w:color="auto" w:fill="auto"/>
          </w:tcPr>
          <w:p w:rsidR="00467321" w:rsidRPr="00543D25" w:rsidRDefault="00467321" w:rsidP="00204E47">
            <w:pPr>
              <w:pStyle w:val="TableText"/>
              <w:tabs>
                <w:tab w:val="decimal" w:pos="725"/>
              </w:tabs>
            </w:pPr>
            <w:r w:rsidRPr="00543D25">
              <w:t>22.5</w:t>
            </w:r>
          </w:p>
        </w:tc>
        <w:tc>
          <w:tcPr>
            <w:tcW w:w="992" w:type="dxa"/>
            <w:tcBorders>
              <w:top w:val="single" w:sz="4" w:space="0" w:color="A7A9AC"/>
              <w:left w:val="nil"/>
              <w:bottom w:val="nil"/>
              <w:right w:val="nil"/>
            </w:tcBorders>
            <w:shd w:val="clear" w:color="auto" w:fill="auto"/>
          </w:tcPr>
          <w:p w:rsidR="00467321" w:rsidRPr="00543D25" w:rsidRDefault="00467321" w:rsidP="00204E47">
            <w:pPr>
              <w:pStyle w:val="TableText"/>
              <w:tabs>
                <w:tab w:val="decimal" w:pos="198"/>
              </w:tabs>
            </w:pPr>
            <w:r w:rsidRPr="00543D25">
              <w:t>19.9–25.0</w:t>
            </w:r>
          </w:p>
        </w:tc>
      </w:tr>
      <w:tr w:rsidR="00204E47" w:rsidRPr="00467321" w:rsidTr="00204E47">
        <w:trPr>
          <w:cantSplit/>
        </w:trPr>
        <w:tc>
          <w:tcPr>
            <w:tcW w:w="2977"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pPr>
            <w:r w:rsidRPr="00543D25">
              <w:t>Couple parent</w:t>
            </w:r>
          </w:p>
        </w:tc>
        <w:tc>
          <w:tcPr>
            <w:tcW w:w="1559"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697"/>
              </w:tabs>
            </w:pPr>
            <w:r w:rsidRPr="00543D25">
              <w:t>12.3</w:t>
            </w:r>
          </w:p>
        </w:tc>
        <w:tc>
          <w:tcPr>
            <w:tcW w:w="992" w:type="dxa"/>
            <w:tcBorders>
              <w:top w:val="nil"/>
              <w:left w:val="nil"/>
              <w:bottom w:val="single" w:sz="4" w:space="0" w:color="A7A9AC"/>
              <w:right w:val="single" w:sz="4" w:space="0" w:color="A7A9AC"/>
            </w:tcBorders>
            <w:shd w:val="clear" w:color="auto" w:fill="auto"/>
          </w:tcPr>
          <w:p w:rsidR="00467321" w:rsidRPr="00543D25" w:rsidRDefault="00467321" w:rsidP="00204E47">
            <w:pPr>
              <w:pStyle w:val="TableText"/>
              <w:tabs>
                <w:tab w:val="decimal" w:pos="198"/>
              </w:tabs>
            </w:pPr>
            <w:r w:rsidRPr="00543D25">
              <w:t>10.6–14.0</w:t>
            </w:r>
          </w:p>
        </w:tc>
        <w:tc>
          <w:tcPr>
            <w:tcW w:w="1560" w:type="dxa"/>
            <w:tcBorders>
              <w:top w:val="nil"/>
              <w:left w:val="single" w:sz="4" w:space="0" w:color="A7A9AC"/>
              <w:bottom w:val="single" w:sz="4" w:space="0" w:color="A7A9AC"/>
              <w:right w:val="nil"/>
            </w:tcBorders>
            <w:shd w:val="clear" w:color="auto" w:fill="auto"/>
          </w:tcPr>
          <w:p w:rsidR="00467321" w:rsidRPr="00543D25" w:rsidRDefault="00467321" w:rsidP="00204E47">
            <w:pPr>
              <w:pStyle w:val="TableText"/>
              <w:tabs>
                <w:tab w:val="decimal" w:pos="725"/>
              </w:tabs>
            </w:pPr>
            <w:r w:rsidRPr="00543D25">
              <w:t>16.1</w:t>
            </w:r>
          </w:p>
        </w:tc>
        <w:tc>
          <w:tcPr>
            <w:tcW w:w="992" w:type="dxa"/>
            <w:tcBorders>
              <w:top w:val="nil"/>
              <w:left w:val="nil"/>
              <w:bottom w:val="single" w:sz="4" w:space="0" w:color="A7A9AC"/>
              <w:right w:val="nil"/>
            </w:tcBorders>
            <w:shd w:val="clear" w:color="auto" w:fill="auto"/>
          </w:tcPr>
          <w:p w:rsidR="00467321" w:rsidRPr="00543D25" w:rsidRDefault="00467321" w:rsidP="00204E47">
            <w:pPr>
              <w:pStyle w:val="TableText"/>
              <w:tabs>
                <w:tab w:val="decimal" w:pos="198"/>
              </w:tabs>
            </w:pPr>
            <w:r w:rsidRPr="00543D25">
              <w:t>14.1–18.1</w:t>
            </w:r>
          </w:p>
        </w:tc>
      </w:tr>
      <w:tr w:rsidR="00467321" w:rsidRPr="00467321" w:rsidTr="00873BEC">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right w:val="single" w:sz="4" w:space="0" w:color="A7A9AC"/>
            </w:tcBorders>
            <w:shd w:val="clear" w:color="auto" w:fill="F2F2F2" w:themeFill="background1" w:themeFillShade="F2"/>
          </w:tcPr>
          <w:p w:rsidR="00467321" w:rsidRPr="00543D25" w:rsidRDefault="00467321" w:rsidP="00204E47">
            <w:pPr>
              <w:pStyle w:val="TableText"/>
            </w:pPr>
            <w:r w:rsidRPr="00543D25">
              <w:t>ARR sole vs couple parent</w:t>
            </w:r>
          </w:p>
        </w:tc>
        <w:tc>
          <w:tcPr>
            <w:tcW w:w="1559" w:type="dxa"/>
            <w:tcBorders>
              <w:left w:val="single" w:sz="4" w:space="0" w:color="A7A9AC"/>
            </w:tcBorders>
            <w:shd w:val="clear" w:color="auto" w:fill="F2F2F2" w:themeFill="background1" w:themeFillShade="F2"/>
          </w:tcPr>
          <w:p w:rsidR="00467321" w:rsidRPr="00543D25" w:rsidRDefault="00467321" w:rsidP="00204E47">
            <w:pPr>
              <w:pStyle w:val="TableText"/>
              <w:tabs>
                <w:tab w:val="decimal" w:pos="697"/>
              </w:tabs>
            </w:pPr>
            <w:r w:rsidRPr="00543D25">
              <w:t>3.1</w:t>
            </w:r>
          </w:p>
        </w:tc>
        <w:tc>
          <w:tcPr>
            <w:tcW w:w="993" w:type="dxa"/>
            <w:tcBorders>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2.5–3.6</w:t>
            </w:r>
          </w:p>
        </w:tc>
        <w:tc>
          <w:tcPr>
            <w:tcW w:w="1559" w:type="dxa"/>
            <w:tcBorders>
              <w:left w:val="single" w:sz="4" w:space="0" w:color="A7A9AC"/>
            </w:tcBorders>
            <w:shd w:val="clear" w:color="auto" w:fill="F2F2F2" w:themeFill="background1" w:themeFillShade="F2"/>
          </w:tcPr>
          <w:p w:rsidR="00467321" w:rsidRPr="00543D25" w:rsidRDefault="00467321" w:rsidP="00204E47">
            <w:pPr>
              <w:pStyle w:val="TableText"/>
              <w:tabs>
                <w:tab w:val="decimal" w:pos="726"/>
              </w:tabs>
            </w:pPr>
            <w:r w:rsidRPr="00543D25">
              <w:t>1.4</w:t>
            </w:r>
          </w:p>
        </w:tc>
        <w:tc>
          <w:tcPr>
            <w:tcW w:w="992" w:type="dxa"/>
            <w:shd w:val="clear" w:color="auto" w:fill="F2F2F2" w:themeFill="background1" w:themeFillShade="F2"/>
          </w:tcPr>
          <w:p w:rsidR="00467321" w:rsidRPr="00543D25" w:rsidRDefault="00467321" w:rsidP="00204E47">
            <w:pPr>
              <w:pStyle w:val="TableText"/>
              <w:tabs>
                <w:tab w:val="decimal" w:pos="198"/>
              </w:tabs>
            </w:pPr>
            <w:r w:rsidRPr="00543D25">
              <w:t>1.2–1.6</w:t>
            </w:r>
          </w:p>
        </w:tc>
      </w:tr>
      <w:tr w:rsidR="00467321" w:rsidRPr="00467321" w:rsidTr="00204E47">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bottom w:val="nil"/>
              <w:right w:val="single" w:sz="4" w:space="0" w:color="A7A9AC"/>
            </w:tcBorders>
            <w:shd w:val="clear" w:color="auto" w:fill="auto"/>
          </w:tcPr>
          <w:p w:rsidR="00467321" w:rsidRPr="00543D25" w:rsidRDefault="00467321" w:rsidP="00204E47">
            <w:pPr>
              <w:pStyle w:val="TableText"/>
              <w:keepNext/>
            </w:pPr>
            <w:r w:rsidRPr="00543D25">
              <w:lastRenderedPageBreak/>
              <w:t>One child in household</w:t>
            </w:r>
          </w:p>
        </w:tc>
        <w:tc>
          <w:tcPr>
            <w:tcW w:w="1559" w:type="dxa"/>
            <w:tcBorders>
              <w:left w:val="single" w:sz="4" w:space="0" w:color="A7A9AC"/>
              <w:bottom w:val="nil"/>
            </w:tcBorders>
            <w:shd w:val="clear" w:color="auto" w:fill="auto"/>
          </w:tcPr>
          <w:p w:rsidR="00467321" w:rsidRPr="00543D25" w:rsidRDefault="00467321" w:rsidP="00204E47">
            <w:pPr>
              <w:pStyle w:val="TableText"/>
              <w:keepNext/>
              <w:tabs>
                <w:tab w:val="decimal" w:pos="697"/>
              </w:tabs>
            </w:pPr>
            <w:r w:rsidRPr="00543D25">
              <w:t>14.6</w:t>
            </w:r>
          </w:p>
        </w:tc>
        <w:tc>
          <w:tcPr>
            <w:tcW w:w="993" w:type="dxa"/>
            <w:tcBorders>
              <w:bottom w:val="nil"/>
              <w:right w:val="single" w:sz="4" w:space="0" w:color="A7A9AC"/>
            </w:tcBorders>
            <w:shd w:val="clear" w:color="auto" w:fill="auto"/>
          </w:tcPr>
          <w:p w:rsidR="00467321" w:rsidRPr="00543D25" w:rsidRDefault="00467321" w:rsidP="00204E47">
            <w:pPr>
              <w:pStyle w:val="TableText"/>
              <w:keepNext/>
              <w:tabs>
                <w:tab w:val="decimal" w:pos="198"/>
              </w:tabs>
            </w:pPr>
            <w:r w:rsidRPr="00543D25">
              <w:t>12.7–16.6</w:t>
            </w:r>
          </w:p>
        </w:tc>
        <w:tc>
          <w:tcPr>
            <w:tcW w:w="1559" w:type="dxa"/>
            <w:tcBorders>
              <w:left w:val="single" w:sz="4" w:space="0" w:color="A7A9AC"/>
              <w:bottom w:val="nil"/>
            </w:tcBorders>
            <w:shd w:val="clear" w:color="auto" w:fill="auto"/>
          </w:tcPr>
          <w:p w:rsidR="00467321" w:rsidRPr="00543D25" w:rsidRDefault="00467321" w:rsidP="00204E47">
            <w:pPr>
              <w:pStyle w:val="TableText"/>
              <w:keepNext/>
              <w:tabs>
                <w:tab w:val="decimal" w:pos="726"/>
              </w:tabs>
            </w:pPr>
            <w:r w:rsidRPr="00543D25">
              <w:t>14.5</w:t>
            </w:r>
          </w:p>
        </w:tc>
        <w:tc>
          <w:tcPr>
            <w:tcW w:w="992" w:type="dxa"/>
            <w:tcBorders>
              <w:bottom w:val="nil"/>
            </w:tcBorders>
            <w:shd w:val="clear" w:color="auto" w:fill="auto"/>
          </w:tcPr>
          <w:p w:rsidR="00467321" w:rsidRPr="00543D25" w:rsidRDefault="00467321" w:rsidP="00204E47">
            <w:pPr>
              <w:pStyle w:val="TableText"/>
              <w:keepNext/>
              <w:tabs>
                <w:tab w:val="decimal" w:pos="198"/>
              </w:tabs>
            </w:pPr>
            <w:r w:rsidRPr="00543D25">
              <w:t>12.8–16.2</w:t>
            </w:r>
          </w:p>
        </w:tc>
      </w:tr>
      <w:tr w:rsidR="00467321" w:rsidRPr="00467321" w:rsidTr="00204E47">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top w:val="nil"/>
              <w:bottom w:val="nil"/>
              <w:right w:val="single" w:sz="4" w:space="0" w:color="A7A9AC"/>
            </w:tcBorders>
            <w:shd w:val="clear" w:color="auto" w:fill="auto"/>
          </w:tcPr>
          <w:p w:rsidR="00467321" w:rsidRPr="00543D25" w:rsidRDefault="00467321" w:rsidP="00204E47">
            <w:pPr>
              <w:pStyle w:val="TableText"/>
              <w:keepNext/>
            </w:pPr>
            <w:r w:rsidRPr="00543D25">
              <w:t>Two children in household</w:t>
            </w:r>
          </w:p>
        </w:tc>
        <w:tc>
          <w:tcPr>
            <w:tcW w:w="1559" w:type="dxa"/>
            <w:tcBorders>
              <w:top w:val="nil"/>
              <w:left w:val="single" w:sz="4" w:space="0" w:color="A7A9AC"/>
              <w:bottom w:val="nil"/>
            </w:tcBorders>
            <w:shd w:val="clear" w:color="auto" w:fill="auto"/>
          </w:tcPr>
          <w:p w:rsidR="00467321" w:rsidRPr="00543D25" w:rsidRDefault="00467321" w:rsidP="00204E47">
            <w:pPr>
              <w:pStyle w:val="TableText"/>
              <w:keepNext/>
              <w:tabs>
                <w:tab w:val="decimal" w:pos="697"/>
              </w:tabs>
            </w:pPr>
            <w:r w:rsidRPr="00543D25">
              <w:t>12.6</w:t>
            </w:r>
          </w:p>
        </w:tc>
        <w:tc>
          <w:tcPr>
            <w:tcW w:w="993" w:type="dxa"/>
            <w:tcBorders>
              <w:top w:val="nil"/>
              <w:bottom w:val="nil"/>
              <w:right w:val="single" w:sz="4" w:space="0" w:color="A7A9AC"/>
            </w:tcBorders>
            <w:shd w:val="clear" w:color="auto" w:fill="auto"/>
          </w:tcPr>
          <w:p w:rsidR="00467321" w:rsidRPr="00543D25" w:rsidRDefault="00467321" w:rsidP="00204E47">
            <w:pPr>
              <w:pStyle w:val="TableText"/>
              <w:keepNext/>
              <w:tabs>
                <w:tab w:val="decimal" w:pos="198"/>
              </w:tabs>
            </w:pPr>
            <w:r w:rsidRPr="00543D25">
              <w:t>10.4–14.8</w:t>
            </w:r>
          </w:p>
        </w:tc>
        <w:tc>
          <w:tcPr>
            <w:tcW w:w="1559" w:type="dxa"/>
            <w:tcBorders>
              <w:top w:val="nil"/>
              <w:left w:val="single" w:sz="4" w:space="0" w:color="A7A9AC"/>
              <w:bottom w:val="nil"/>
            </w:tcBorders>
            <w:shd w:val="clear" w:color="auto" w:fill="auto"/>
          </w:tcPr>
          <w:p w:rsidR="00467321" w:rsidRPr="00543D25" w:rsidRDefault="00467321" w:rsidP="00204E47">
            <w:pPr>
              <w:pStyle w:val="TableText"/>
              <w:keepNext/>
              <w:tabs>
                <w:tab w:val="decimal" w:pos="726"/>
              </w:tabs>
            </w:pPr>
            <w:r w:rsidRPr="00543D25">
              <w:t>14.5</w:t>
            </w:r>
          </w:p>
        </w:tc>
        <w:tc>
          <w:tcPr>
            <w:tcW w:w="992" w:type="dxa"/>
            <w:tcBorders>
              <w:top w:val="nil"/>
              <w:bottom w:val="nil"/>
            </w:tcBorders>
            <w:shd w:val="clear" w:color="auto" w:fill="auto"/>
          </w:tcPr>
          <w:p w:rsidR="00467321" w:rsidRPr="00543D25" w:rsidRDefault="00467321" w:rsidP="00204E47">
            <w:pPr>
              <w:pStyle w:val="TableText"/>
              <w:keepNext/>
              <w:tabs>
                <w:tab w:val="decimal" w:pos="198"/>
              </w:tabs>
            </w:pPr>
            <w:r w:rsidRPr="00543D25">
              <w:t>12.4–16.7</w:t>
            </w:r>
          </w:p>
        </w:tc>
      </w:tr>
      <w:tr w:rsidR="00467321" w:rsidRPr="00467321" w:rsidTr="00204E47">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top w:val="nil"/>
              <w:bottom w:val="nil"/>
              <w:right w:val="single" w:sz="4" w:space="0" w:color="A7A9AC"/>
            </w:tcBorders>
            <w:shd w:val="clear" w:color="auto" w:fill="auto"/>
          </w:tcPr>
          <w:p w:rsidR="00467321" w:rsidRPr="00543D25" w:rsidRDefault="00467321" w:rsidP="00204E47">
            <w:pPr>
              <w:pStyle w:val="TableText"/>
              <w:keepNext/>
            </w:pPr>
            <w:r w:rsidRPr="00543D25">
              <w:t>Three children in household</w:t>
            </w:r>
          </w:p>
        </w:tc>
        <w:tc>
          <w:tcPr>
            <w:tcW w:w="1559" w:type="dxa"/>
            <w:tcBorders>
              <w:top w:val="nil"/>
              <w:left w:val="single" w:sz="4" w:space="0" w:color="A7A9AC"/>
              <w:bottom w:val="nil"/>
            </w:tcBorders>
            <w:shd w:val="clear" w:color="auto" w:fill="auto"/>
          </w:tcPr>
          <w:p w:rsidR="00467321" w:rsidRPr="00543D25" w:rsidRDefault="00467321" w:rsidP="00204E47">
            <w:pPr>
              <w:pStyle w:val="TableText"/>
              <w:keepNext/>
              <w:tabs>
                <w:tab w:val="decimal" w:pos="697"/>
              </w:tabs>
            </w:pPr>
            <w:r w:rsidRPr="00543D25">
              <w:t>19.9</w:t>
            </w:r>
          </w:p>
        </w:tc>
        <w:tc>
          <w:tcPr>
            <w:tcW w:w="993" w:type="dxa"/>
            <w:tcBorders>
              <w:top w:val="nil"/>
              <w:bottom w:val="nil"/>
              <w:right w:val="single" w:sz="4" w:space="0" w:color="A7A9AC"/>
            </w:tcBorders>
            <w:shd w:val="clear" w:color="auto" w:fill="auto"/>
          </w:tcPr>
          <w:p w:rsidR="00467321" w:rsidRPr="00543D25" w:rsidRDefault="00467321" w:rsidP="00204E47">
            <w:pPr>
              <w:pStyle w:val="TableText"/>
              <w:keepNext/>
              <w:tabs>
                <w:tab w:val="decimal" w:pos="198"/>
              </w:tabs>
            </w:pPr>
            <w:r w:rsidRPr="00543D25">
              <w:t>16.3–23.5</w:t>
            </w:r>
          </w:p>
        </w:tc>
        <w:tc>
          <w:tcPr>
            <w:tcW w:w="1559" w:type="dxa"/>
            <w:tcBorders>
              <w:top w:val="nil"/>
              <w:left w:val="single" w:sz="4" w:space="0" w:color="A7A9AC"/>
              <w:bottom w:val="nil"/>
            </w:tcBorders>
            <w:shd w:val="clear" w:color="auto" w:fill="auto"/>
          </w:tcPr>
          <w:p w:rsidR="00467321" w:rsidRPr="00543D25" w:rsidRDefault="00467321" w:rsidP="00204E47">
            <w:pPr>
              <w:pStyle w:val="TableText"/>
              <w:keepNext/>
              <w:tabs>
                <w:tab w:val="decimal" w:pos="726"/>
              </w:tabs>
            </w:pPr>
            <w:r w:rsidRPr="00543D25">
              <w:t>18.7</w:t>
            </w:r>
          </w:p>
        </w:tc>
        <w:tc>
          <w:tcPr>
            <w:tcW w:w="992" w:type="dxa"/>
            <w:tcBorders>
              <w:top w:val="nil"/>
              <w:bottom w:val="nil"/>
            </w:tcBorders>
            <w:shd w:val="clear" w:color="auto" w:fill="auto"/>
          </w:tcPr>
          <w:p w:rsidR="00467321" w:rsidRPr="00543D25" w:rsidRDefault="00467321" w:rsidP="00204E47">
            <w:pPr>
              <w:pStyle w:val="TableText"/>
              <w:keepNext/>
              <w:tabs>
                <w:tab w:val="decimal" w:pos="198"/>
              </w:tabs>
            </w:pPr>
            <w:r w:rsidRPr="00543D25">
              <w:t>15.3–22.0</w:t>
            </w:r>
          </w:p>
        </w:tc>
      </w:tr>
      <w:tr w:rsidR="00467321" w:rsidRPr="00467321" w:rsidTr="00204E47">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top w:val="nil"/>
              <w:right w:val="single" w:sz="4" w:space="0" w:color="A7A9AC"/>
            </w:tcBorders>
            <w:shd w:val="clear" w:color="auto" w:fill="auto"/>
          </w:tcPr>
          <w:p w:rsidR="00467321" w:rsidRPr="00543D25" w:rsidRDefault="00467321" w:rsidP="00204E47">
            <w:pPr>
              <w:pStyle w:val="TableText"/>
            </w:pPr>
            <w:r w:rsidRPr="00543D25">
              <w:t>Four or more children in household</w:t>
            </w:r>
          </w:p>
        </w:tc>
        <w:tc>
          <w:tcPr>
            <w:tcW w:w="1559" w:type="dxa"/>
            <w:tcBorders>
              <w:top w:val="nil"/>
              <w:left w:val="single" w:sz="4" w:space="0" w:color="A7A9AC"/>
            </w:tcBorders>
            <w:shd w:val="clear" w:color="auto" w:fill="auto"/>
          </w:tcPr>
          <w:p w:rsidR="00467321" w:rsidRPr="00543D25" w:rsidRDefault="00467321" w:rsidP="00204E47">
            <w:pPr>
              <w:pStyle w:val="TableText"/>
              <w:tabs>
                <w:tab w:val="decimal" w:pos="697"/>
              </w:tabs>
            </w:pPr>
            <w:r w:rsidRPr="00543D25">
              <w:t>37.4</w:t>
            </w:r>
          </w:p>
        </w:tc>
        <w:tc>
          <w:tcPr>
            <w:tcW w:w="993" w:type="dxa"/>
            <w:tcBorders>
              <w:top w:val="nil"/>
              <w:right w:val="single" w:sz="4" w:space="0" w:color="A7A9AC"/>
            </w:tcBorders>
            <w:shd w:val="clear" w:color="auto" w:fill="auto"/>
          </w:tcPr>
          <w:p w:rsidR="00467321" w:rsidRPr="00543D25" w:rsidRDefault="00467321" w:rsidP="00204E47">
            <w:pPr>
              <w:pStyle w:val="TableText"/>
              <w:tabs>
                <w:tab w:val="decimal" w:pos="198"/>
              </w:tabs>
            </w:pPr>
            <w:r w:rsidRPr="00543D25">
              <w:t>30.4–44.4</w:t>
            </w:r>
          </w:p>
        </w:tc>
        <w:tc>
          <w:tcPr>
            <w:tcW w:w="1559" w:type="dxa"/>
            <w:tcBorders>
              <w:top w:val="nil"/>
              <w:left w:val="single" w:sz="4" w:space="0" w:color="A7A9AC"/>
            </w:tcBorders>
            <w:shd w:val="clear" w:color="auto" w:fill="auto"/>
          </w:tcPr>
          <w:p w:rsidR="00467321" w:rsidRPr="00543D25" w:rsidRDefault="00467321" w:rsidP="00204E47">
            <w:pPr>
              <w:pStyle w:val="TableText"/>
              <w:tabs>
                <w:tab w:val="decimal" w:pos="726"/>
              </w:tabs>
            </w:pPr>
            <w:r w:rsidRPr="00543D25">
              <w:t>30.9</w:t>
            </w:r>
          </w:p>
        </w:tc>
        <w:tc>
          <w:tcPr>
            <w:tcW w:w="992" w:type="dxa"/>
            <w:tcBorders>
              <w:top w:val="nil"/>
            </w:tcBorders>
            <w:shd w:val="clear" w:color="auto" w:fill="auto"/>
          </w:tcPr>
          <w:p w:rsidR="00467321" w:rsidRPr="00543D25" w:rsidRDefault="00467321" w:rsidP="00204E47">
            <w:pPr>
              <w:pStyle w:val="TableText"/>
              <w:tabs>
                <w:tab w:val="decimal" w:pos="198"/>
              </w:tabs>
            </w:pPr>
            <w:r w:rsidRPr="00543D25">
              <w:t>24.6–37.1</w:t>
            </w:r>
          </w:p>
        </w:tc>
      </w:tr>
      <w:tr w:rsidR="00467321" w:rsidRPr="00467321" w:rsidTr="00873BEC">
        <w:tblPrEx>
          <w:tblBorders>
            <w:top w:val="single" w:sz="4" w:space="0" w:color="A7A9AC"/>
            <w:left w:val="none" w:sz="0" w:space="0" w:color="auto"/>
            <w:bottom w:val="single" w:sz="4" w:space="0" w:color="A7A9AC"/>
            <w:right w:val="none" w:sz="0" w:space="0" w:color="auto"/>
            <w:insideH w:val="single" w:sz="4" w:space="0" w:color="A7A9AC"/>
            <w:insideV w:val="none" w:sz="0" w:space="0" w:color="auto"/>
          </w:tblBorders>
        </w:tblPrEx>
        <w:trPr>
          <w:cantSplit/>
        </w:trPr>
        <w:tc>
          <w:tcPr>
            <w:tcW w:w="2977" w:type="dxa"/>
            <w:tcBorders>
              <w:right w:val="single" w:sz="4" w:space="0" w:color="A7A9AC"/>
            </w:tcBorders>
            <w:shd w:val="clear" w:color="auto" w:fill="F2F2F2" w:themeFill="background1" w:themeFillShade="F2"/>
          </w:tcPr>
          <w:p w:rsidR="00467321" w:rsidRPr="00543D25" w:rsidRDefault="00467321" w:rsidP="00204E47">
            <w:pPr>
              <w:pStyle w:val="TableText"/>
            </w:pPr>
            <w:r w:rsidRPr="00543D25">
              <w:t>ARR four vs one children in household</w:t>
            </w:r>
          </w:p>
        </w:tc>
        <w:tc>
          <w:tcPr>
            <w:tcW w:w="1559" w:type="dxa"/>
            <w:tcBorders>
              <w:left w:val="single" w:sz="4" w:space="0" w:color="A7A9AC"/>
            </w:tcBorders>
            <w:shd w:val="clear" w:color="auto" w:fill="F2F2F2" w:themeFill="background1" w:themeFillShade="F2"/>
          </w:tcPr>
          <w:p w:rsidR="00467321" w:rsidRPr="00543D25" w:rsidRDefault="00467321" w:rsidP="00204E47">
            <w:pPr>
              <w:pStyle w:val="TableText"/>
              <w:tabs>
                <w:tab w:val="decimal" w:pos="697"/>
              </w:tabs>
            </w:pPr>
            <w:r w:rsidRPr="00543D25">
              <w:t>2.6</w:t>
            </w:r>
          </w:p>
        </w:tc>
        <w:tc>
          <w:tcPr>
            <w:tcW w:w="993" w:type="dxa"/>
            <w:tcBorders>
              <w:right w:val="single" w:sz="4" w:space="0" w:color="A7A9AC"/>
            </w:tcBorders>
            <w:shd w:val="clear" w:color="auto" w:fill="F2F2F2" w:themeFill="background1" w:themeFillShade="F2"/>
          </w:tcPr>
          <w:p w:rsidR="00467321" w:rsidRPr="00543D25" w:rsidRDefault="00467321" w:rsidP="00204E47">
            <w:pPr>
              <w:pStyle w:val="TableText"/>
              <w:tabs>
                <w:tab w:val="decimal" w:pos="198"/>
              </w:tabs>
            </w:pPr>
            <w:r w:rsidRPr="00543D25">
              <w:t>1.9–3.2</w:t>
            </w:r>
          </w:p>
        </w:tc>
        <w:tc>
          <w:tcPr>
            <w:tcW w:w="1559" w:type="dxa"/>
            <w:tcBorders>
              <w:left w:val="single" w:sz="4" w:space="0" w:color="A7A9AC"/>
            </w:tcBorders>
            <w:shd w:val="clear" w:color="auto" w:fill="F2F2F2" w:themeFill="background1" w:themeFillShade="F2"/>
          </w:tcPr>
          <w:p w:rsidR="00467321" w:rsidRPr="00543D25" w:rsidRDefault="00467321" w:rsidP="00204E47">
            <w:pPr>
              <w:pStyle w:val="TableText"/>
              <w:tabs>
                <w:tab w:val="decimal" w:pos="726"/>
              </w:tabs>
            </w:pPr>
            <w:r w:rsidRPr="00543D25">
              <w:t>2.1</w:t>
            </w:r>
          </w:p>
        </w:tc>
        <w:tc>
          <w:tcPr>
            <w:tcW w:w="992" w:type="dxa"/>
            <w:shd w:val="clear" w:color="auto" w:fill="F2F2F2" w:themeFill="background1" w:themeFillShade="F2"/>
          </w:tcPr>
          <w:p w:rsidR="00467321" w:rsidRPr="00543D25" w:rsidRDefault="00467321" w:rsidP="00204E47">
            <w:pPr>
              <w:pStyle w:val="TableText"/>
              <w:tabs>
                <w:tab w:val="decimal" w:pos="198"/>
              </w:tabs>
            </w:pPr>
            <w:r w:rsidRPr="00543D25">
              <w:t>1.6–2.7</w:t>
            </w:r>
          </w:p>
        </w:tc>
      </w:tr>
    </w:tbl>
    <w:p w:rsidR="00467321" w:rsidRPr="00467321" w:rsidRDefault="00467321" w:rsidP="00390ABE">
      <w:pPr>
        <w:pStyle w:val="Note"/>
      </w:pPr>
      <w:r w:rsidRPr="00467321">
        <w:t>Note: Household income data was not available for all respondents. Only data from respondents with a household income response were used for the estimates in this table. A separate set of survey weights was used to adjust for missing income data, ensuring the estimates are representative of the overall child population.</w:t>
      </w:r>
    </w:p>
    <w:p w:rsidR="00467321" w:rsidRPr="00467321" w:rsidRDefault="00467321" w:rsidP="00390ABE">
      <w:pPr>
        <w:pStyle w:val="Note"/>
      </w:pPr>
      <w:r w:rsidRPr="00467321">
        <w:t>Number of children was categorised as one, two, three, or four or more.</w:t>
      </w:r>
      <w:r w:rsidR="00543D25">
        <w:t xml:space="preserve"> </w:t>
      </w:r>
      <w:r w:rsidRPr="00467321">
        <w:t>Estimates for number of children in the household were adjusted for age, sex, and household income only.</w:t>
      </w:r>
    </w:p>
    <w:p w:rsidR="0088618E" w:rsidRPr="00467321" w:rsidRDefault="0088618E" w:rsidP="00390ABE"/>
    <w:sectPr w:rsidR="0088618E" w:rsidRPr="00467321" w:rsidSect="00F30DA8">
      <w:footerReference w:type="even" r:id="rId80"/>
      <w:footerReference w:type="default" r:id="rId81"/>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98" w:rsidRDefault="002F3E98">
      <w:r>
        <w:separator/>
      </w:r>
    </w:p>
    <w:p w:rsidR="002F3E98" w:rsidRDefault="002F3E98"/>
  </w:endnote>
  <w:endnote w:type="continuationSeparator" w:id="0">
    <w:p w:rsidR="002F3E98" w:rsidRDefault="002F3E98">
      <w:r>
        <w:continuationSeparator/>
      </w:r>
    </w:p>
    <w:p w:rsidR="002F3E98" w:rsidRDefault="002F3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Pr="00581136" w:rsidRDefault="002F3E98"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2F3E98" w:rsidRPr="005A79E5" w:rsidRDefault="002F3E98">
    <w:pPr>
      <w:pStyle w:val="Foo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F3E98" w:rsidTr="001F54FD">
      <w:trPr>
        <w:cantSplit/>
      </w:trPr>
      <w:tc>
        <w:tcPr>
          <w:tcW w:w="675" w:type="dxa"/>
          <w:vAlign w:val="center"/>
        </w:tcPr>
        <w:p w:rsidR="002F3E98" w:rsidRPr="00931466" w:rsidRDefault="002F3E98" w:rsidP="001F54FD">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x</w:t>
          </w:r>
          <w:r w:rsidRPr="00931466">
            <w:rPr>
              <w:rStyle w:val="PageNumber"/>
            </w:rPr>
            <w:fldChar w:fldCharType="end"/>
          </w:r>
        </w:p>
      </w:tc>
      <w:tc>
        <w:tcPr>
          <w:tcW w:w="9072" w:type="dxa"/>
          <w:vAlign w:val="center"/>
        </w:tcPr>
        <w:p w:rsidR="002F3E98" w:rsidRDefault="002F3E98" w:rsidP="00007FA9">
          <w:pPr>
            <w:pStyle w:val="RectoFooter"/>
            <w:ind w:left="-108"/>
            <w:jc w:val="left"/>
          </w:pPr>
          <w:r>
            <w:t>household food insecurity among children: new zealand health survey</w:t>
          </w:r>
        </w:p>
      </w:tc>
    </w:tr>
  </w:tbl>
  <w:p w:rsidR="002F3E98" w:rsidRPr="00571223" w:rsidRDefault="002F3E98" w:rsidP="00571223">
    <w:pPr>
      <w:pStyle w:val="Verso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F3E98" w:rsidTr="00D662F8">
      <w:trPr>
        <w:cantSplit/>
      </w:trPr>
      <w:tc>
        <w:tcPr>
          <w:tcW w:w="675" w:type="dxa"/>
          <w:vAlign w:val="center"/>
        </w:tcPr>
        <w:p w:rsidR="002F3E98" w:rsidRPr="00931466" w:rsidRDefault="002F3E9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10</w:t>
          </w:r>
          <w:r w:rsidRPr="00931466">
            <w:rPr>
              <w:rStyle w:val="PageNumber"/>
            </w:rPr>
            <w:fldChar w:fldCharType="end"/>
          </w:r>
        </w:p>
      </w:tc>
      <w:tc>
        <w:tcPr>
          <w:tcW w:w="9072" w:type="dxa"/>
          <w:vAlign w:val="center"/>
        </w:tcPr>
        <w:p w:rsidR="002F3E98" w:rsidRDefault="002F3E98" w:rsidP="00007FA9">
          <w:pPr>
            <w:pStyle w:val="RectoFooter"/>
            <w:ind w:left="-108"/>
            <w:jc w:val="left"/>
          </w:pPr>
          <w:r>
            <w:t>household food insecurity among children: new zealand health survey</w:t>
          </w:r>
        </w:p>
      </w:tc>
    </w:tr>
  </w:tbl>
  <w:p w:rsidR="002F3E98" w:rsidRPr="00571223" w:rsidRDefault="002F3E98" w:rsidP="00571223">
    <w:pPr>
      <w:pStyle w:val="Verso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F3E98" w:rsidTr="001F54FD">
      <w:trPr>
        <w:cantSplit/>
      </w:trPr>
      <w:tc>
        <w:tcPr>
          <w:tcW w:w="8080" w:type="dxa"/>
          <w:vAlign w:val="center"/>
        </w:tcPr>
        <w:p w:rsidR="002F3E98" w:rsidRDefault="002F3E98" w:rsidP="002575E8">
          <w:pPr>
            <w:pStyle w:val="RectoFooter"/>
          </w:pPr>
          <w:r>
            <w:t>household food insecurity among children: new zealand health survey</w:t>
          </w:r>
        </w:p>
      </w:tc>
      <w:tc>
        <w:tcPr>
          <w:tcW w:w="709" w:type="dxa"/>
          <w:vAlign w:val="center"/>
        </w:tcPr>
        <w:p w:rsidR="002F3E98" w:rsidRPr="00931466" w:rsidRDefault="002F3E98" w:rsidP="001F54FD">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11</w:t>
          </w:r>
          <w:r w:rsidRPr="00931466">
            <w:rPr>
              <w:rStyle w:val="PageNumber"/>
            </w:rPr>
            <w:fldChar w:fldCharType="end"/>
          </w:r>
        </w:p>
      </w:tc>
    </w:tr>
  </w:tbl>
  <w:p w:rsidR="002F3E98" w:rsidRPr="00581EB8" w:rsidRDefault="002F3E98" w:rsidP="00581EB8">
    <w:pPr>
      <w:pStyle w:val="Foote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892"/>
      <w:gridCol w:w="709"/>
    </w:tblGrid>
    <w:tr w:rsidR="002F3E98" w:rsidTr="000919C5">
      <w:trPr>
        <w:cantSplit/>
      </w:trPr>
      <w:tc>
        <w:tcPr>
          <w:tcW w:w="13892" w:type="dxa"/>
          <w:vAlign w:val="center"/>
        </w:tcPr>
        <w:p w:rsidR="002F3E98" w:rsidRDefault="002F3E98" w:rsidP="002575E8">
          <w:pPr>
            <w:pStyle w:val="RectoFooter"/>
          </w:pPr>
          <w:r>
            <w:t>household food insecurity among children: new zealand health survey</w:t>
          </w:r>
        </w:p>
      </w:tc>
      <w:tc>
        <w:tcPr>
          <w:tcW w:w="709" w:type="dxa"/>
          <w:vAlign w:val="center"/>
        </w:tcPr>
        <w:p w:rsidR="002F3E98" w:rsidRPr="00931466" w:rsidRDefault="002F3E98" w:rsidP="001F54FD">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55</w:t>
          </w:r>
          <w:r w:rsidRPr="00931466">
            <w:rPr>
              <w:rStyle w:val="PageNumber"/>
            </w:rPr>
            <w:fldChar w:fldCharType="end"/>
          </w:r>
        </w:p>
      </w:tc>
    </w:tr>
  </w:tbl>
  <w:p w:rsidR="002F3E98" w:rsidRPr="00581EB8" w:rsidRDefault="002F3E98" w:rsidP="00581EB8">
    <w:pPr>
      <w:pStyle w:val="Foote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F3E98" w:rsidTr="00D662F8">
      <w:trPr>
        <w:cantSplit/>
      </w:trPr>
      <w:tc>
        <w:tcPr>
          <w:tcW w:w="675" w:type="dxa"/>
          <w:vAlign w:val="center"/>
        </w:tcPr>
        <w:p w:rsidR="002F3E98" w:rsidRPr="00931466" w:rsidRDefault="002F3E9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64</w:t>
          </w:r>
          <w:r w:rsidRPr="00931466">
            <w:rPr>
              <w:rStyle w:val="PageNumber"/>
            </w:rPr>
            <w:fldChar w:fldCharType="end"/>
          </w:r>
        </w:p>
      </w:tc>
      <w:tc>
        <w:tcPr>
          <w:tcW w:w="9072" w:type="dxa"/>
          <w:vAlign w:val="center"/>
        </w:tcPr>
        <w:p w:rsidR="002F3E98" w:rsidRDefault="002F3E98" w:rsidP="00007FA9">
          <w:pPr>
            <w:pStyle w:val="RectoFooter"/>
            <w:ind w:left="-108"/>
            <w:jc w:val="left"/>
          </w:pPr>
          <w:r>
            <w:t>household food insecurity among children: new zealand health survey</w:t>
          </w:r>
        </w:p>
      </w:tc>
    </w:tr>
  </w:tbl>
  <w:p w:rsidR="002F3E98" w:rsidRPr="00571223" w:rsidRDefault="002F3E98" w:rsidP="00571223">
    <w:pPr>
      <w:pStyle w:val="VersoFoote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F3E98" w:rsidTr="002F3E98">
      <w:trPr>
        <w:cantSplit/>
      </w:trPr>
      <w:tc>
        <w:tcPr>
          <w:tcW w:w="8080" w:type="dxa"/>
          <w:vAlign w:val="center"/>
        </w:tcPr>
        <w:p w:rsidR="002F3E98" w:rsidRDefault="002F3E98" w:rsidP="002F3E98">
          <w:pPr>
            <w:pStyle w:val="RectoFooter"/>
          </w:pPr>
          <w:r>
            <w:t>household food insecurity among children: new zealand health survey</w:t>
          </w:r>
        </w:p>
      </w:tc>
      <w:tc>
        <w:tcPr>
          <w:tcW w:w="709" w:type="dxa"/>
          <w:vAlign w:val="center"/>
        </w:tcPr>
        <w:p w:rsidR="002F3E98" w:rsidRPr="00931466" w:rsidRDefault="002F3E98" w:rsidP="002F3E9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63</w:t>
          </w:r>
          <w:r w:rsidRPr="00931466">
            <w:rPr>
              <w:rStyle w:val="PageNumber"/>
            </w:rPr>
            <w:fldChar w:fldCharType="end"/>
          </w:r>
        </w:p>
      </w:tc>
    </w:tr>
  </w:tbl>
  <w:p w:rsidR="002F3E98" w:rsidRPr="00581EB8" w:rsidRDefault="002F3E98"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2F3E98" w:rsidTr="00571223">
      <w:tc>
        <w:tcPr>
          <w:tcW w:w="1146" w:type="dxa"/>
          <w:vAlign w:val="center"/>
        </w:tcPr>
        <w:p w:rsidR="002F3E98" w:rsidRPr="00931466" w:rsidRDefault="002F3E98" w:rsidP="00571223">
          <w:pPr>
            <w:pStyle w:val="Footer"/>
            <w:rPr>
              <w:sz w:val="15"/>
              <w:szCs w:val="15"/>
            </w:rPr>
          </w:pPr>
          <w:r w:rsidRPr="00931466">
            <w:rPr>
              <w:rFonts w:eastAsia="Arial Unicode MS"/>
              <w:noProof/>
              <w:sz w:val="15"/>
              <w:szCs w:val="15"/>
              <w:lang w:eastAsia="en-NZ"/>
            </w:rPr>
            <w:drawing>
              <wp:inline distT="0" distB="0" distL="0" distR="0" wp14:anchorId="2085AD00" wp14:editId="434A9671">
                <wp:extent cx="582612" cy="11747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2F3E98" w:rsidRPr="00571223" w:rsidRDefault="002F3E98"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F3E98" w:rsidTr="00D662F8">
      <w:trPr>
        <w:cantSplit/>
      </w:trPr>
      <w:tc>
        <w:tcPr>
          <w:tcW w:w="8080" w:type="dxa"/>
          <w:vAlign w:val="center"/>
        </w:tcPr>
        <w:p w:rsidR="002F3E98" w:rsidRDefault="002F3E98" w:rsidP="008822E4">
          <w:pPr>
            <w:pStyle w:val="RectoFooter"/>
          </w:pPr>
          <w:r>
            <w:t>household food insecurity among children: new zealand health survey</w:t>
          </w:r>
        </w:p>
      </w:tc>
      <w:tc>
        <w:tcPr>
          <w:tcW w:w="709" w:type="dxa"/>
          <w:vAlign w:val="center"/>
        </w:tcPr>
        <w:p w:rsidR="002F3E98" w:rsidRPr="00931466" w:rsidRDefault="002F3E9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iii</w:t>
          </w:r>
          <w:r w:rsidRPr="00931466">
            <w:rPr>
              <w:rStyle w:val="PageNumber"/>
            </w:rPr>
            <w:fldChar w:fldCharType="end"/>
          </w:r>
        </w:p>
      </w:tc>
    </w:tr>
  </w:tbl>
  <w:p w:rsidR="002F3E98" w:rsidRPr="00581EB8" w:rsidRDefault="002F3E98"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Pr="00571223" w:rsidRDefault="002F3E98"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67"/>
      <w:gridCol w:w="1276"/>
    </w:tblGrid>
    <w:tr w:rsidR="002F3E98" w:rsidTr="007920E2">
      <w:tc>
        <w:tcPr>
          <w:tcW w:w="8046" w:type="dxa"/>
          <w:vAlign w:val="center"/>
        </w:tcPr>
        <w:p w:rsidR="002F3E98" w:rsidRDefault="002F3E98" w:rsidP="00926083">
          <w:pPr>
            <w:pStyle w:val="RectoFooter"/>
          </w:pPr>
          <w:r>
            <w:t>[TITLE]</w:t>
          </w:r>
        </w:p>
      </w:tc>
      <w:tc>
        <w:tcPr>
          <w:tcW w:w="567" w:type="dxa"/>
          <w:vAlign w:val="center"/>
        </w:tcPr>
        <w:p w:rsidR="002F3E98" w:rsidRPr="00931466" w:rsidRDefault="002F3E9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c>
        <w:tcPr>
          <w:tcW w:w="1276" w:type="dxa"/>
          <w:shd w:val="clear" w:color="auto" w:fill="auto"/>
          <w:vAlign w:val="center"/>
        </w:tcPr>
        <w:p w:rsidR="002F3E98" w:rsidRPr="00931466" w:rsidRDefault="002F3E98" w:rsidP="00931466">
          <w:pPr>
            <w:pStyle w:val="Footer"/>
            <w:jc w:val="right"/>
            <w:rPr>
              <w:sz w:val="15"/>
              <w:szCs w:val="15"/>
            </w:rPr>
          </w:pPr>
          <w:r w:rsidRPr="00931466">
            <w:rPr>
              <w:rFonts w:eastAsia="Arial Unicode MS"/>
              <w:noProof/>
              <w:sz w:val="15"/>
              <w:szCs w:val="15"/>
              <w:lang w:eastAsia="en-NZ"/>
            </w:rPr>
            <w:drawing>
              <wp:inline distT="0" distB="0" distL="0" distR="0" wp14:anchorId="479B7BE8" wp14:editId="32ED4BB3">
                <wp:extent cx="582612" cy="117475"/>
                <wp:effectExtent l="0" t="0" r="8255" b="0"/>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a:extLst/>
                      </pic:spPr>
                    </pic:pic>
                  </a:graphicData>
                </a:graphic>
              </wp:inline>
            </w:drawing>
          </w:r>
        </w:p>
      </w:tc>
    </w:tr>
  </w:tbl>
  <w:p w:rsidR="002F3E98" w:rsidRPr="00581EB8" w:rsidRDefault="002F3E98"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2F3E98" w:rsidTr="00D662F8">
      <w:trPr>
        <w:cantSplit/>
      </w:trPr>
      <w:tc>
        <w:tcPr>
          <w:tcW w:w="709" w:type="dxa"/>
          <w:vAlign w:val="center"/>
        </w:tcPr>
        <w:p w:rsidR="002F3E98" w:rsidRPr="00931466" w:rsidRDefault="002F3E9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viii</w:t>
          </w:r>
          <w:r w:rsidRPr="00931466">
            <w:rPr>
              <w:rStyle w:val="PageNumber"/>
            </w:rPr>
            <w:fldChar w:fldCharType="end"/>
          </w:r>
        </w:p>
      </w:tc>
      <w:tc>
        <w:tcPr>
          <w:tcW w:w="8080" w:type="dxa"/>
          <w:vAlign w:val="center"/>
        </w:tcPr>
        <w:p w:rsidR="002F3E98" w:rsidRDefault="002F3E98" w:rsidP="00E362E1">
          <w:pPr>
            <w:pStyle w:val="RectoFooter"/>
            <w:jc w:val="left"/>
          </w:pPr>
          <w:r>
            <w:t>household food insecurity among children: new zealand health survey</w:t>
          </w:r>
        </w:p>
      </w:tc>
    </w:tr>
  </w:tbl>
  <w:p w:rsidR="002F3E98" w:rsidRPr="00571223" w:rsidRDefault="002F3E98"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F3E98" w:rsidTr="00D662F8">
      <w:trPr>
        <w:cantSplit/>
      </w:trPr>
      <w:tc>
        <w:tcPr>
          <w:tcW w:w="8080" w:type="dxa"/>
          <w:vAlign w:val="center"/>
        </w:tcPr>
        <w:p w:rsidR="002F3E98" w:rsidRDefault="002F3E98" w:rsidP="00926083">
          <w:pPr>
            <w:pStyle w:val="RectoFooter"/>
          </w:pPr>
          <w:r>
            <w:t>household food insecurity among children: new zealand health survey</w:t>
          </w:r>
        </w:p>
      </w:tc>
      <w:tc>
        <w:tcPr>
          <w:tcW w:w="709" w:type="dxa"/>
          <w:vAlign w:val="center"/>
        </w:tcPr>
        <w:p w:rsidR="002F3E98" w:rsidRPr="00931466" w:rsidRDefault="002F3E9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73BEC">
            <w:rPr>
              <w:rStyle w:val="PageNumber"/>
              <w:noProof/>
            </w:rPr>
            <w:t>ix</w:t>
          </w:r>
          <w:r w:rsidRPr="00931466">
            <w:rPr>
              <w:rStyle w:val="PageNumber"/>
            </w:rPr>
            <w:fldChar w:fldCharType="end"/>
          </w:r>
        </w:p>
      </w:tc>
    </w:tr>
  </w:tbl>
  <w:p w:rsidR="002F3E98" w:rsidRPr="00581EB8" w:rsidRDefault="002F3E98"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98" w:rsidRPr="00A26E6B" w:rsidRDefault="002F3E98" w:rsidP="00A26E6B"/>
  </w:footnote>
  <w:footnote w:type="continuationSeparator" w:id="0">
    <w:p w:rsidR="002F3E98" w:rsidRDefault="002F3E98">
      <w:r>
        <w:continuationSeparator/>
      </w:r>
    </w:p>
    <w:p w:rsidR="002F3E98" w:rsidRDefault="002F3E98"/>
  </w:footnote>
  <w:footnote w:id="1">
    <w:p w:rsidR="002F3E98" w:rsidRDefault="002F3E98">
      <w:pPr>
        <w:pStyle w:val="FootnoteText"/>
      </w:pPr>
      <w:r>
        <w:rPr>
          <w:rStyle w:val="FootnoteReference"/>
        </w:rPr>
        <w:footnoteRef/>
      </w:r>
      <w:r>
        <w:tab/>
      </w:r>
      <w:r w:rsidRPr="00B25F34">
        <w:rPr>
          <w:rStyle w:val="FootnoteTextChar"/>
        </w:rPr>
        <w:t>The types of benefits included in this estimate were Jobseeker Support, Sole Parent Support and Supported Living Payments. See Appendix 3 for more detailed definitions.</w:t>
      </w:r>
    </w:p>
  </w:footnote>
  <w:footnote w:id="2">
    <w:p w:rsidR="002F3E98" w:rsidRDefault="002F3E98" w:rsidP="00B25F34">
      <w:pPr>
        <w:pStyle w:val="FootnoteText"/>
      </w:pPr>
      <w:r>
        <w:rPr>
          <w:rStyle w:val="FootnoteReference"/>
        </w:rPr>
        <w:footnoteRef/>
      </w:r>
      <w:r>
        <w:tab/>
        <w:t>A</w:t>
      </w:r>
      <w:r w:rsidRPr="00543D25">
        <w:t>djusted for the child’s age and sex only</w:t>
      </w:r>
      <w:r>
        <w:t>.</w:t>
      </w:r>
    </w:p>
  </w:footnote>
  <w:footnote w:id="3">
    <w:p w:rsidR="002F3E98" w:rsidRDefault="002F3E98" w:rsidP="00B25F34">
      <w:pPr>
        <w:pStyle w:val="FootnoteText"/>
      </w:pPr>
      <w:r>
        <w:rPr>
          <w:rStyle w:val="FootnoteReference"/>
        </w:rPr>
        <w:footnoteRef/>
      </w:r>
      <w:r>
        <w:tab/>
        <w:t>A</w:t>
      </w:r>
      <w:r w:rsidRPr="00543D25">
        <w:t>djusted for the child’s age and sex, number of children in the household, and the gross household income</w:t>
      </w:r>
      <w:r>
        <w:t>.</w:t>
      </w:r>
    </w:p>
  </w:footnote>
  <w:footnote w:id="4">
    <w:p w:rsidR="002F3E98" w:rsidRDefault="002F3E98">
      <w:pPr>
        <w:pStyle w:val="FootnoteText"/>
      </w:pPr>
      <w:r>
        <w:rPr>
          <w:rStyle w:val="FootnoteReference"/>
        </w:rPr>
        <w:footnoteRef/>
      </w:r>
      <w:r>
        <w:tab/>
      </w:r>
      <w:r w:rsidRPr="00543D25">
        <w:t>Public landlords include local authorities, Housing New Zealand Corporation and other state-owned corporations, state-owned enterprises, government departments or ministries.</w:t>
      </w:r>
    </w:p>
  </w:footnote>
  <w:footnote w:id="5">
    <w:p w:rsidR="002F3E98" w:rsidRDefault="002F3E98">
      <w:pPr>
        <w:pStyle w:val="FootnoteText"/>
      </w:pPr>
      <w:r>
        <w:rPr>
          <w:rStyle w:val="FootnoteReference"/>
        </w:rPr>
        <w:footnoteRef/>
      </w:r>
      <w:r>
        <w:tab/>
      </w:r>
      <w:r w:rsidRPr="00543D25">
        <w:t>Support, hospitality, kindness, generosity</w:t>
      </w:r>
      <w:r>
        <w:t>.</w:t>
      </w:r>
    </w:p>
  </w:footnote>
  <w:footnote w:id="6">
    <w:p w:rsidR="002F3E98" w:rsidRDefault="002F3E98">
      <w:pPr>
        <w:pStyle w:val="FootnoteText"/>
      </w:pPr>
      <w:r>
        <w:rPr>
          <w:rStyle w:val="FootnoteReference"/>
        </w:rPr>
        <w:footnoteRef/>
      </w:r>
      <w:r>
        <w:tab/>
      </w:r>
      <w:r w:rsidRPr="00543D25">
        <w:t>Holistic health, dimensions include: taha tinana (physical wellbeing), taha hinengaro (mental and emotional wellbeing), taha whānau (social wellbeing) and taha wairua (spiritual wellbeing)</w:t>
      </w:r>
      <w:r>
        <w:t>.</w:t>
      </w:r>
    </w:p>
  </w:footnote>
  <w:footnote w:id="7">
    <w:p w:rsidR="002F3E98" w:rsidRDefault="002F3E98">
      <w:pPr>
        <w:pStyle w:val="FootnoteText"/>
      </w:pPr>
      <w:r>
        <w:rPr>
          <w:rStyle w:val="FootnoteReference"/>
        </w:rPr>
        <w:footnoteRef/>
      </w:r>
      <w:r>
        <w:tab/>
      </w:r>
      <w:r w:rsidRPr="00543D25">
        <w:t>The Families and Whānau Status Report 2018 (Superu 2018) presents estimates for sole and couple parents for each of the eight items. Across all items sole and couple parents differed statistically significantly in their response selection.</w:t>
      </w:r>
    </w:p>
  </w:footnote>
  <w:footnote w:id="8">
    <w:p w:rsidR="002F3E98" w:rsidRDefault="002F3E98">
      <w:pPr>
        <w:pStyle w:val="FootnoteText"/>
      </w:pPr>
      <w:r>
        <w:rPr>
          <w:rStyle w:val="FootnoteReference"/>
        </w:rPr>
        <w:footnoteRef/>
      </w:r>
      <w:r>
        <w:tab/>
      </w:r>
      <w:r w:rsidRPr="00543D25">
        <w:t xml:space="preserve">Estimates from the Youth Health and Wellbeing surveys show food insecurity increasing immediately prior to this period. Food insecurity was higher for young people in 2012 compared to 2007. This was based on young people’s own responses to the question: ‘Do your parents, or the people who act as your parents, ever worry about not having enough money to buy food?’ (Utter </w:t>
      </w:r>
      <w:r>
        <w:t>et al</w:t>
      </w:r>
      <w:r w:rsidRPr="00543D25">
        <w:t xml:space="preserve"> 2018).</w:t>
      </w:r>
    </w:p>
  </w:footnote>
  <w:footnote w:id="9">
    <w:p w:rsidR="002F3E98" w:rsidRDefault="002F3E98">
      <w:pPr>
        <w:pStyle w:val="FootnoteText"/>
      </w:pPr>
      <w:r>
        <w:rPr>
          <w:rStyle w:val="FootnoteReference"/>
        </w:rPr>
        <w:footnoteRef/>
      </w:r>
      <w:r>
        <w:tab/>
      </w:r>
      <w:r w:rsidRPr="00543D25">
        <w:t>No comparisons could be made with earlier years due to changes in the methods.</w:t>
      </w:r>
    </w:p>
  </w:footnote>
  <w:footnote w:id="10">
    <w:p w:rsidR="002F3E98" w:rsidRDefault="002F3E98">
      <w:pPr>
        <w:pStyle w:val="FootnoteText"/>
      </w:pPr>
      <w:r>
        <w:rPr>
          <w:rStyle w:val="FootnoteReference"/>
        </w:rPr>
        <w:footnoteRef/>
      </w:r>
      <w:r>
        <w:tab/>
      </w:r>
      <w:r w:rsidRPr="00953FEC">
        <w:rPr>
          <w:rStyle w:val="FootnoteTextChar"/>
        </w:rPr>
        <w:t>For approximately 7 percent of children in the survey, the primary caregiver who responded to the children’s questionnaire was not their mother or father</w:t>
      </w:r>
      <w:r>
        <w:rPr>
          <w:rStyle w:val="FootnoteTextChar"/>
        </w:rPr>
        <w:t>.</w:t>
      </w:r>
    </w:p>
  </w:footnote>
  <w:footnote w:id="11">
    <w:p w:rsidR="002F3E98" w:rsidRDefault="002F3E98">
      <w:pPr>
        <w:pStyle w:val="FootnoteText"/>
      </w:pPr>
      <w:r>
        <w:rPr>
          <w:rStyle w:val="FootnoteReference"/>
        </w:rPr>
        <w:footnoteRef/>
      </w:r>
      <w:r>
        <w:tab/>
      </w:r>
      <w:r w:rsidRPr="00543D25">
        <w:t>The food-security questions all measured the same underlying construct (uni-dimensional data), as confirmed through principal component analysis. MIRT allowed for the use of survey weights to adjust for the sampling method of the New Zealand Health 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F3E98" w:rsidTr="005A79E5">
      <w:trPr>
        <w:cantSplit/>
      </w:trPr>
      <w:tc>
        <w:tcPr>
          <w:tcW w:w="5210" w:type="dxa"/>
        </w:tcPr>
        <w:p w:rsidR="002F3E98" w:rsidRDefault="002F3E98" w:rsidP="008814E8">
          <w:pPr>
            <w:pStyle w:val="Header"/>
          </w:pPr>
          <w:r>
            <w:rPr>
              <w:noProof/>
              <w:lang w:eastAsia="en-NZ"/>
            </w:rPr>
            <w:drawing>
              <wp:inline distT="0" distB="0" distL="0" distR="0" wp14:anchorId="3D5753AF" wp14:editId="5A3234B8">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2F3E98" w:rsidRDefault="002F3E98" w:rsidP="008814E8">
          <w:pPr>
            <w:pStyle w:val="Header"/>
            <w:jc w:val="right"/>
          </w:pPr>
          <w:r>
            <w:rPr>
              <w:noProof/>
              <w:lang w:eastAsia="en-NZ"/>
            </w:rPr>
            <w:drawing>
              <wp:inline distT="0" distB="0" distL="0" distR="0" wp14:anchorId="531D5002" wp14:editId="26933C69">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2F3E98" w:rsidRDefault="002F3E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98" w:rsidRDefault="002F3E98"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7CE"/>
    <w:multiLevelType w:val="hybridMultilevel"/>
    <w:tmpl w:val="E32A4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D817C7"/>
    <w:multiLevelType w:val="multilevel"/>
    <w:tmpl w:val="5C0E148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3C05C9"/>
    <w:multiLevelType w:val="hybridMultilevel"/>
    <w:tmpl w:val="025017A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 w15:restartNumberingAfterBreak="0">
    <w:nsid w:val="01EB3954"/>
    <w:multiLevelType w:val="hybridMultilevel"/>
    <w:tmpl w:val="288277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F81E56"/>
    <w:multiLevelType w:val="hybridMultilevel"/>
    <w:tmpl w:val="05C6C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613D6E"/>
    <w:multiLevelType w:val="hybridMultilevel"/>
    <w:tmpl w:val="EB6E9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3728A6"/>
    <w:multiLevelType w:val="hybridMultilevel"/>
    <w:tmpl w:val="3E360B72"/>
    <w:lvl w:ilvl="0" w:tplc="08090001">
      <w:start w:val="1"/>
      <w:numFmt w:val="bullet"/>
      <w:lvlText w:val=""/>
      <w:lvlJc w:val="left"/>
      <w:pPr>
        <w:ind w:left="351"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8" w15:restartNumberingAfterBreak="0">
    <w:nsid w:val="0EA75EC0"/>
    <w:multiLevelType w:val="hybridMultilevel"/>
    <w:tmpl w:val="8286F4F6"/>
    <w:lvl w:ilvl="0" w:tplc="14090001">
      <w:start w:val="1"/>
      <w:numFmt w:val="bullet"/>
      <w:lvlText w:val=""/>
      <w:lvlJc w:val="left"/>
      <w:pPr>
        <w:ind w:left="35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84EBD"/>
    <w:multiLevelType w:val="hybridMultilevel"/>
    <w:tmpl w:val="EBDE2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4925DE4"/>
    <w:multiLevelType w:val="hybridMultilevel"/>
    <w:tmpl w:val="8D3EF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5BD282C"/>
    <w:multiLevelType w:val="hybridMultilevel"/>
    <w:tmpl w:val="E6C0F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594514"/>
    <w:multiLevelType w:val="hybridMultilevel"/>
    <w:tmpl w:val="88268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72613"/>
    <w:multiLevelType w:val="hybridMultilevel"/>
    <w:tmpl w:val="CF1634E2"/>
    <w:lvl w:ilvl="0" w:tplc="08090001">
      <w:start w:val="1"/>
      <w:numFmt w:val="bullet"/>
      <w:lvlText w:val=""/>
      <w:lvlJc w:val="left"/>
      <w:pPr>
        <w:ind w:left="354"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15:restartNumberingAfterBreak="0">
    <w:nsid w:val="274F3D86"/>
    <w:multiLevelType w:val="hybridMultilevel"/>
    <w:tmpl w:val="DA220E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957185D"/>
    <w:multiLevelType w:val="hybridMultilevel"/>
    <w:tmpl w:val="C916E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B958CC"/>
    <w:multiLevelType w:val="hybridMultilevel"/>
    <w:tmpl w:val="818A0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336C6A"/>
    <w:multiLevelType w:val="hybridMultilevel"/>
    <w:tmpl w:val="DE6EAB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F690E44"/>
    <w:multiLevelType w:val="hybridMultilevel"/>
    <w:tmpl w:val="CF72E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FC54637"/>
    <w:multiLevelType w:val="hybridMultilevel"/>
    <w:tmpl w:val="F8B00D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85D39"/>
    <w:multiLevelType w:val="hybridMultilevel"/>
    <w:tmpl w:val="582614FE"/>
    <w:lvl w:ilvl="0" w:tplc="08090001">
      <w:start w:val="1"/>
      <w:numFmt w:val="bullet"/>
      <w:lvlText w:val=""/>
      <w:lvlJc w:val="left"/>
      <w:pPr>
        <w:ind w:left="46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23" w15:restartNumberingAfterBreak="0">
    <w:nsid w:val="3E2A17ED"/>
    <w:multiLevelType w:val="hybridMultilevel"/>
    <w:tmpl w:val="0FD4A058"/>
    <w:lvl w:ilvl="0" w:tplc="EBBE966C">
      <w:start w:val="1"/>
      <w:numFmt w:val="decimal"/>
      <w:lvlText w:val="%1"/>
      <w:lvlJc w:val="left"/>
      <w:pPr>
        <w:ind w:left="420" w:hanging="341"/>
      </w:pPr>
      <w:rPr>
        <w:rFonts w:ascii="Arial Unicode MS" w:eastAsia="Arial Unicode MS" w:hAnsi="Arial Unicode MS" w:cs="Arial Unicode MS" w:hint="default"/>
        <w:w w:val="102"/>
        <w:sz w:val="20"/>
        <w:szCs w:val="20"/>
      </w:rPr>
    </w:lvl>
    <w:lvl w:ilvl="1" w:tplc="52169B52">
      <w:numFmt w:val="bullet"/>
      <w:lvlText w:val="•"/>
      <w:lvlJc w:val="left"/>
      <w:pPr>
        <w:ind w:left="703" w:hanging="341"/>
      </w:pPr>
      <w:rPr>
        <w:rFonts w:hint="default"/>
      </w:rPr>
    </w:lvl>
    <w:lvl w:ilvl="2" w:tplc="FE86F82C">
      <w:numFmt w:val="bullet"/>
      <w:lvlText w:val="•"/>
      <w:lvlJc w:val="left"/>
      <w:pPr>
        <w:ind w:left="987" w:hanging="341"/>
      </w:pPr>
      <w:rPr>
        <w:rFonts w:hint="default"/>
      </w:rPr>
    </w:lvl>
    <w:lvl w:ilvl="3" w:tplc="3DD0BFC6">
      <w:numFmt w:val="bullet"/>
      <w:lvlText w:val="•"/>
      <w:lvlJc w:val="left"/>
      <w:pPr>
        <w:ind w:left="1271" w:hanging="341"/>
      </w:pPr>
      <w:rPr>
        <w:rFonts w:hint="default"/>
      </w:rPr>
    </w:lvl>
    <w:lvl w:ilvl="4" w:tplc="A26441DC">
      <w:numFmt w:val="bullet"/>
      <w:lvlText w:val="•"/>
      <w:lvlJc w:val="left"/>
      <w:pPr>
        <w:ind w:left="1555" w:hanging="341"/>
      </w:pPr>
      <w:rPr>
        <w:rFonts w:hint="default"/>
      </w:rPr>
    </w:lvl>
    <w:lvl w:ilvl="5" w:tplc="0F72D10C">
      <w:numFmt w:val="bullet"/>
      <w:lvlText w:val="•"/>
      <w:lvlJc w:val="left"/>
      <w:pPr>
        <w:ind w:left="1839" w:hanging="341"/>
      </w:pPr>
      <w:rPr>
        <w:rFonts w:hint="default"/>
      </w:rPr>
    </w:lvl>
    <w:lvl w:ilvl="6" w:tplc="79D8F7F4">
      <w:numFmt w:val="bullet"/>
      <w:lvlText w:val="•"/>
      <w:lvlJc w:val="left"/>
      <w:pPr>
        <w:ind w:left="2123" w:hanging="341"/>
      </w:pPr>
      <w:rPr>
        <w:rFonts w:hint="default"/>
      </w:rPr>
    </w:lvl>
    <w:lvl w:ilvl="7" w:tplc="DDC46118">
      <w:numFmt w:val="bullet"/>
      <w:lvlText w:val="•"/>
      <w:lvlJc w:val="left"/>
      <w:pPr>
        <w:ind w:left="2407" w:hanging="341"/>
      </w:pPr>
      <w:rPr>
        <w:rFonts w:hint="default"/>
      </w:rPr>
    </w:lvl>
    <w:lvl w:ilvl="8" w:tplc="35C638A6">
      <w:numFmt w:val="bullet"/>
      <w:lvlText w:val="•"/>
      <w:lvlJc w:val="left"/>
      <w:pPr>
        <w:ind w:left="2691" w:hanging="341"/>
      </w:pPr>
      <w:rPr>
        <w:rFonts w:hint="default"/>
      </w:rPr>
    </w:lvl>
  </w:abstractNum>
  <w:abstractNum w:abstractNumId="24" w15:restartNumberingAfterBreak="0">
    <w:nsid w:val="3FF009E7"/>
    <w:multiLevelType w:val="hybridMultilevel"/>
    <w:tmpl w:val="1C844608"/>
    <w:lvl w:ilvl="0" w:tplc="33AEF5D0">
      <w:numFmt w:val="bullet"/>
      <w:lvlText w:val="•"/>
      <w:lvlJc w:val="left"/>
      <w:pPr>
        <w:ind w:left="824" w:hanging="284"/>
      </w:pPr>
      <w:rPr>
        <w:rFonts w:ascii="Arial Unicode MS" w:eastAsia="Arial Unicode MS" w:hAnsi="Arial Unicode MS" w:cs="Arial Unicode MS" w:hint="default"/>
        <w:w w:val="107"/>
        <w:sz w:val="21"/>
        <w:szCs w:val="21"/>
      </w:rPr>
    </w:lvl>
    <w:lvl w:ilvl="1" w:tplc="CD20C2DE">
      <w:numFmt w:val="bullet"/>
      <w:lvlText w:val="•"/>
      <w:lvlJc w:val="left"/>
      <w:pPr>
        <w:ind w:left="1644" w:hanging="284"/>
      </w:pPr>
      <w:rPr>
        <w:rFonts w:hint="default"/>
      </w:rPr>
    </w:lvl>
    <w:lvl w:ilvl="2" w:tplc="3FBA4BF0">
      <w:numFmt w:val="bullet"/>
      <w:lvlText w:val="•"/>
      <w:lvlJc w:val="left"/>
      <w:pPr>
        <w:ind w:left="2469" w:hanging="284"/>
      </w:pPr>
      <w:rPr>
        <w:rFonts w:hint="default"/>
      </w:rPr>
    </w:lvl>
    <w:lvl w:ilvl="3" w:tplc="B80E73EE">
      <w:numFmt w:val="bullet"/>
      <w:lvlText w:val="•"/>
      <w:lvlJc w:val="left"/>
      <w:pPr>
        <w:ind w:left="3293" w:hanging="284"/>
      </w:pPr>
      <w:rPr>
        <w:rFonts w:hint="default"/>
      </w:rPr>
    </w:lvl>
    <w:lvl w:ilvl="4" w:tplc="D26E7E34">
      <w:numFmt w:val="bullet"/>
      <w:lvlText w:val="•"/>
      <w:lvlJc w:val="left"/>
      <w:pPr>
        <w:ind w:left="4118" w:hanging="284"/>
      </w:pPr>
      <w:rPr>
        <w:rFonts w:hint="default"/>
      </w:rPr>
    </w:lvl>
    <w:lvl w:ilvl="5" w:tplc="28B8A04C">
      <w:numFmt w:val="bullet"/>
      <w:lvlText w:val="•"/>
      <w:lvlJc w:val="left"/>
      <w:pPr>
        <w:ind w:left="4942" w:hanging="284"/>
      </w:pPr>
      <w:rPr>
        <w:rFonts w:hint="default"/>
      </w:rPr>
    </w:lvl>
    <w:lvl w:ilvl="6" w:tplc="17DE00BC">
      <w:numFmt w:val="bullet"/>
      <w:lvlText w:val="•"/>
      <w:lvlJc w:val="left"/>
      <w:pPr>
        <w:ind w:left="5767" w:hanging="284"/>
      </w:pPr>
      <w:rPr>
        <w:rFonts w:hint="default"/>
      </w:rPr>
    </w:lvl>
    <w:lvl w:ilvl="7" w:tplc="8E8875E8">
      <w:numFmt w:val="bullet"/>
      <w:lvlText w:val="•"/>
      <w:lvlJc w:val="left"/>
      <w:pPr>
        <w:ind w:left="6591" w:hanging="284"/>
      </w:pPr>
      <w:rPr>
        <w:rFonts w:hint="default"/>
      </w:rPr>
    </w:lvl>
    <w:lvl w:ilvl="8" w:tplc="D854A6C6">
      <w:numFmt w:val="bullet"/>
      <w:lvlText w:val="•"/>
      <w:lvlJc w:val="left"/>
      <w:pPr>
        <w:ind w:left="7416" w:hanging="284"/>
      </w:pPr>
      <w:rPr>
        <w:rFonts w:hint="default"/>
      </w:rPr>
    </w:lvl>
  </w:abstractNum>
  <w:abstractNum w:abstractNumId="2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EE3A55"/>
    <w:multiLevelType w:val="hybridMultilevel"/>
    <w:tmpl w:val="154ED57A"/>
    <w:lvl w:ilvl="0" w:tplc="4E3CD8BE">
      <w:start w:val="2"/>
      <w:numFmt w:val="decimal"/>
      <w:lvlText w:val="%1"/>
      <w:lvlJc w:val="left"/>
      <w:pPr>
        <w:ind w:left="974" w:hanging="340"/>
        <w:jc w:val="right"/>
      </w:pPr>
      <w:rPr>
        <w:rFonts w:ascii="Arial Unicode MS" w:eastAsia="Arial Unicode MS" w:hAnsi="Arial Unicode MS" w:cs="Arial Unicode MS" w:hint="default"/>
        <w:w w:val="102"/>
        <w:sz w:val="19"/>
        <w:szCs w:val="19"/>
      </w:rPr>
    </w:lvl>
    <w:lvl w:ilvl="1" w:tplc="8C82EA56">
      <w:numFmt w:val="bullet"/>
      <w:lvlText w:val="•"/>
      <w:lvlJc w:val="left"/>
      <w:pPr>
        <w:ind w:left="1804" w:hanging="340"/>
      </w:pPr>
      <w:rPr>
        <w:rFonts w:hint="default"/>
      </w:rPr>
    </w:lvl>
    <w:lvl w:ilvl="2" w:tplc="6A54A3E8">
      <w:numFmt w:val="bullet"/>
      <w:lvlText w:val="•"/>
      <w:lvlJc w:val="left"/>
      <w:pPr>
        <w:ind w:left="2629" w:hanging="340"/>
      </w:pPr>
      <w:rPr>
        <w:rFonts w:hint="default"/>
      </w:rPr>
    </w:lvl>
    <w:lvl w:ilvl="3" w:tplc="6B6C739E">
      <w:numFmt w:val="bullet"/>
      <w:lvlText w:val="•"/>
      <w:lvlJc w:val="left"/>
      <w:pPr>
        <w:ind w:left="3453" w:hanging="340"/>
      </w:pPr>
      <w:rPr>
        <w:rFonts w:hint="default"/>
      </w:rPr>
    </w:lvl>
    <w:lvl w:ilvl="4" w:tplc="E46A5320">
      <w:numFmt w:val="bullet"/>
      <w:lvlText w:val="•"/>
      <w:lvlJc w:val="left"/>
      <w:pPr>
        <w:ind w:left="4278" w:hanging="340"/>
      </w:pPr>
      <w:rPr>
        <w:rFonts w:hint="default"/>
      </w:rPr>
    </w:lvl>
    <w:lvl w:ilvl="5" w:tplc="6C1CF7A4">
      <w:numFmt w:val="bullet"/>
      <w:lvlText w:val="•"/>
      <w:lvlJc w:val="left"/>
      <w:pPr>
        <w:ind w:left="5102" w:hanging="340"/>
      </w:pPr>
      <w:rPr>
        <w:rFonts w:hint="default"/>
      </w:rPr>
    </w:lvl>
    <w:lvl w:ilvl="6" w:tplc="D3865ABC">
      <w:numFmt w:val="bullet"/>
      <w:lvlText w:val="•"/>
      <w:lvlJc w:val="left"/>
      <w:pPr>
        <w:ind w:left="5927" w:hanging="340"/>
      </w:pPr>
      <w:rPr>
        <w:rFonts w:hint="default"/>
      </w:rPr>
    </w:lvl>
    <w:lvl w:ilvl="7" w:tplc="74DC858E">
      <w:numFmt w:val="bullet"/>
      <w:lvlText w:val="•"/>
      <w:lvlJc w:val="left"/>
      <w:pPr>
        <w:ind w:left="6751" w:hanging="340"/>
      </w:pPr>
      <w:rPr>
        <w:rFonts w:hint="default"/>
      </w:rPr>
    </w:lvl>
    <w:lvl w:ilvl="8" w:tplc="3F086C44">
      <w:numFmt w:val="bullet"/>
      <w:lvlText w:val="•"/>
      <w:lvlJc w:val="left"/>
      <w:pPr>
        <w:ind w:left="7576" w:hanging="340"/>
      </w:pPr>
      <w:rPr>
        <w:rFonts w:hint="default"/>
      </w:rPr>
    </w:lvl>
  </w:abstractNum>
  <w:abstractNum w:abstractNumId="27" w15:restartNumberingAfterBreak="0">
    <w:nsid w:val="45C564FC"/>
    <w:multiLevelType w:val="hybridMultilevel"/>
    <w:tmpl w:val="C248F3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EB189320">
      <w:numFmt w:val="bullet"/>
      <w:lvlText w:val="•"/>
      <w:lvlJc w:val="left"/>
      <w:pPr>
        <w:ind w:left="1800" w:hanging="360"/>
      </w:pPr>
      <w:rPr>
        <w:rFonts w:ascii="Segoe UI" w:eastAsia="Times New Roman" w:hAnsi="Segoe U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E64769"/>
    <w:multiLevelType w:val="hybridMultilevel"/>
    <w:tmpl w:val="02C0F6A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B985A79"/>
    <w:multiLevelType w:val="hybridMultilevel"/>
    <w:tmpl w:val="31EA4410"/>
    <w:lvl w:ilvl="0" w:tplc="7BACD92A">
      <w:start w:val="1"/>
      <w:numFmt w:val="decimal"/>
      <w:lvlText w:val="%1"/>
      <w:lvlJc w:val="left"/>
      <w:pPr>
        <w:ind w:left="420" w:hanging="341"/>
      </w:pPr>
      <w:rPr>
        <w:rFonts w:ascii="Arial Unicode MS" w:eastAsia="Arial Unicode MS" w:hAnsi="Arial Unicode MS" w:cs="Arial Unicode MS" w:hint="default"/>
        <w:w w:val="102"/>
        <w:sz w:val="20"/>
        <w:szCs w:val="20"/>
      </w:rPr>
    </w:lvl>
    <w:lvl w:ilvl="1" w:tplc="CC520592">
      <w:numFmt w:val="bullet"/>
      <w:lvlText w:val="•"/>
      <w:lvlJc w:val="left"/>
      <w:pPr>
        <w:ind w:left="703" w:hanging="341"/>
      </w:pPr>
      <w:rPr>
        <w:rFonts w:hint="default"/>
      </w:rPr>
    </w:lvl>
    <w:lvl w:ilvl="2" w:tplc="09520464">
      <w:numFmt w:val="bullet"/>
      <w:lvlText w:val="•"/>
      <w:lvlJc w:val="left"/>
      <w:pPr>
        <w:ind w:left="987" w:hanging="341"/>
      </w:pPr>
      <w:rPr>
        <w:rFonts w:hint="default"/>
      </w:rPr>
    </w:lvl>
    <w:lvl w:ilvl="3" w:tplc="F3B28F60">
      <w:numFmt w:val="bullet"/>
      <w:lvlText w:val="•"/>
      <w:lvlJc w:val="left"/>
      <w:pPr>
        <w:ind w:left="1271" w:hanging="341"/>
      </w:pPr>
      <w:rPr>
        <w:rFonts w:hint="default"/>
      </w:rPr>
    </w:lvl>
    <w:lvl w:ilvl="4" w:tplc="F5601F72">
      <w:numFmt w:val="bullet"/>
      <w:lvlText w:val="•"/>
      <w:lvlJc w:val="left"/>
      <w:pPr>
        <w:ind w:left="1555" w:hanging="341"/>
      </w:pPr>
      <w:rPr>
        <w:rFonts w:hint="default"/>
      </w:rPr>
    </w:lvl>
    <w:lvl w:ilvl="5" w:tplc="9E70AFAE">
      <w:numFmt w:val="bullet"/>
      <w:lvlText w:val="•"/>
      <w:lvlJc w:val="left"/>
      <w:pPr>
        <w:ind w:left="1839" w:hanging="341"/>
      </w:pPr>
      <w:rPr>
        <w:rFonts w:hint="default"/>
      </w:rPr>
    </w:lvl>
    <w:lvl w:ilvl="6" w:tplc="1D7EE46A">
      <w:numFmt w:val="bullet"/>
      <w:lvlText w:val="•"/>
      <w:lvlJc w:val="left"/>
      <w:pPr>
        <w:ind w:left="2123" w:hanging="341"/>
      </w:pPr>
      <w:rPr>
        <w:rFonts w:hint="default"/>
      </w:rPr>
    </w:lvl>
    <w:lvl w:ilvl="7" w:tplc="554A734A">
      <w:numFmt w:val="bullet"/>
      <w:lvlText w:val="•"/>
      <w:lvlJc w:val="left"/>
      <w:pPr>
        <w:ind w:left="2407" w:hanging="341"/>
      </w:pPr>
      <w:rPr>
        <w:rFonts w:hint="default"/>
      </w:rPr>
    </w:lvl>
    <w:lvl w:ilvl="8" w:tplc="82AA4F02">
      <w:numFmt w:val="bullet"/>
      <w:lvlText w:val="•"/>
      <w:lvlJc w:val="left"/>
      <w:pPr>
        <w:ind w:left="2691" w:hanging="341"/>
      </w:pPr>
      <w:rPr>
        <w:rFonts w:hint="default"/>
      </w:rPr>
    </w:lvl>
  </w:abstractNum>
  <w:abstractNum w:abstractNumId="30" w15:restartNumberingAfterBreak="0">
    <w:nsid w:val="4C453B6A"/>
    <w:multiLevelType w:val="hybridMultilevel"/>
    <w:tmpl w:val="FF66774E"/>
    <w:lvl w:ilvl="0" w:tplc="69F440D0">
      <w:start w:val="1"/>
      <w:numFmt w:val="decimal"/>
      <w:lvlText w:val="%1"/>
      <w:lvlJc w:val="left"/>
      <w:pPr>
        <w:ind w:left="79" w:hanging="341"/>
      </w:pPr>
      <w:rPr>
        <w:rFonts w:ascii="Arial Unicode MS" w:eastAsia="Arial Unicode MS" w:hAnsi="Arial Unicode MS" w:cs="Arial Unicode MS" w:hint="default"/>
        <w:w w:val="102"/>
        <w:sz w:val="20"/>
        <w:szCs w:val="20"/>
      </w:rPr>
    </w:lvl>
    <w:lvl w:ilvl="1" w:tplc="B5A657EC">
      <w:numFmt w:val="bullet"/>
      <w:lvlText w:val="•"/>
      <w:lvlJc w:val="left"/>
      <w:pPr>
        <w:ind w:left="397" w:hanging="341"/>
      </w:pPr>
      <w:rPr>
        <w:rFonts w:hint="default"/>
      </w:rPr>
    </w:lvl>
    <w:lvl w:ilvl="2" w:tplc="5ED8E39A">
      <w:numFmt w:val="bullet"/>
      <w:lvlText w:val="•"/>
      <w:lvlJc w:val="left"/>
      <w:pPr>
        <w:ind w:left="715" w:hanging="341"/>
      </w:pPr>
      <w:rPr>
        <w:rFonts w:hint="default"/>
      </w:rPr>
    </w:lvl>
    <w:lvl w:ilvl="3" w:tplc="1CFEBE7A">
      <w:numFmt w:val="bullet"/>
      <w:lvlText w:val="•"/>
      <w:lvlJc w:val="left"/>
      <w:pPr>
        <w:ind w:left="1033" w:hanging="341"/>
      </w:pPr>
      <w:rPr>
        <w:rFonts w:hint="default"/>
      </w:rPr>
    </w:lvl>
    <w:lvl w:ilvl="4" w:tplc="DD942E46">
      <w:numFmt w:val="bullet"/>
      <w:lvlText w:val="•"/>
      <w:lvlJc w:val="left"/>
      <w:pPr>
        <w:ind w:left="1351" w:hanging="341"/>
      </w:pPr>
      <w:rPr>
        <w:rFonts w:hint="default"/>
      </w:rPr>
    </w:lvl>
    <w:lvl w:ilvl="5" w:tplc="7E1C55B0">
      <w:numFmt w:val="bullet"/>
      <w:lvlText w:val="•"/>
      <w:lvlJc w:val="left"/>
      <w:pPr>
        <w:ind w:left="1669" w:hanging="341"/>
      </w:pPr>
      <w:rPr>
        <w:rFonts w:hint="default"/>
      </w:rPr>
    </w:lvl>
    <w:lvl w:ilvl="6" w:tplc="AD148B16">
      <w:numFmt w:val="bullet"/>
      <w:lvlText w:val="•"/>
      <w:lvlJc w:val="left"/>
      <w:pPr>
        <w:ind w:left="1987" w:hanging="341"/>
      </w:pPr>
      <w:rPr>
        <w:rFonts w:hint="default"/>
      </w:rPr>
    </w:lvl>
    <w:lvl w:ilvl="7" w:tplc="554CA53C">
      <w:numFmt w:val="bullet"/>
      <w:lvlText w:val="•"/>
      <w:lvlJc w:val="left"/>
      <w:pPr>
        <w:ind w:left="2305" w:hanging="341"/>
      </w:pPr>
      <w:rPr>
        <w:rFonts w:hint="default"/>
      </w:rPr>
    </w:lvl>
    <w:lvl w:ilvl="8" w:tplc="A1D63E6C">
      <w:numFmt w:val="bullet"/>
      <w:lvlText w:val="•"/>
      <w:lvlJc w:val="left"/>
      <w:pPr>
        <w:ind w:left="2623" w:hanging="341"/>
      </w:pPr>
      <w:rPr>
        <w:rFonts w:hint="default"/>
      </w:rPr>
    </w:lvl>
  </w:abstractNum>
  <w:abstractNum w:abstractNumId="31" w15:restartNumberingAfterBreak="0">
    <w:nsid w:val="4F2E59E0"/>
    <w:multiLevelType w:val="hybridMultilevel"/>
    <w:tmpl w:val="44B2EFC6"/>
    <w:lvl w:ilvl="0" w:tplc="08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AD44E86"/>
    <w:multiLevelType w:val="hybridMultilevel"/>
    <w:tmpl w:val="515EE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D95910"/>
    <w:multiLevelType w:val="hybridMultilevel"/>
    <w:tmpl w:val="1A860F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0863386"/>
    <w:multiLevelType w:val="hybridMultilevel"/>
    <w:tmpl w:val="9FA2B7F0"/>
    <w:lvl w:ilvl="0" w:tplc="FA82D40A">
      <w:numFmt w:val="bullet"/>
      <w:lvlText w:val="•"/>
      <w:lvlJc w:val="left"/>
      <w:pPr>
        <w:ind w:left="384" w:hanging="284"/>
      </w:pPr>
      <w:rPr>
        <w:rFonts w:ascii="Arial Unicode MS" w:eastAsia="Arial Unicode MS" w:hAnsi="Arial Unicode MS" w:cs="Arial Unicode MS" w:hint="default"/>
        <w:w w:val="107"/>
        <w:sz w:val="21"/>
        <w:szCs w:val="21"/>
      </w:rPr>
    </w:lvl>
    <w:lvl w:ilvl="1" w:tplc="3A0AE21E">
      <w:numFmt w:val="bullet"/>
      <w:lvlText w:val="•"/>
      <w:lvlJc w:val="left"/>
      <w:pPr>
        <w:ind w:left="600" w:hanging="284"/>
      </w:pPr>
      <w:rPr>
        <w:rFonts w:hint="default"/>
      </w:rPr>
    </w:lvl>
    <w:lvl w:ilvl="2" w:tplc="1B947276">
      <w:numFmt w:val="bullet"/>
      <w:lvlText w:val="•"/>
      <w:lvlJc w:val="left"/>
      <w:pPr>
        <w:ind w:left="1502" w:hanging="284"/>
      </w:pPr>
      <w:rPr>
        <w:rFonts w:hint="default"/>
      </w:rPr>
    </w:lvl>
    <w:lvl w:ilvl="3" w:tplc="86B2DE0A">
      <w:numFmt w:val="bullet"/>
      <w:lvlText w:val="•"/>
      <w:lvlJc w:val="left"/>
      <w:pPr>
        <w:ind w:left="2405" w:hanging="284"/>
      </w:pPr>
      <w:rPr>
        <w:rFonts w:hint="default"/>
      </w:rPr>
    </w:lvl>
    <w:lvl w:ilvl="4" w:tplc="B9B2989A">
      <w:numFmt w:val="bullet"/>
      <w:lvlText w:val="•"/>
      <w:lvlJc w:val="left"/>
      <w:pPr>
        <w:ind w:left="3308" w:hanging="284"/>
      </w:pPr>
      <w:rPr>
        <w:rFonts w:hint="default"/>
      </w:rPr>
    </w:lvl>
    <w:lvl w:ilvl="5" w:tplc="BEFEB42C">
      <w:numFmt w:val="bullet"/>
      <w:lvlText w:val="•"/>
      <w:lvlJc w:val="left"/>
      <w:pPr>
        <w:ind w:left="4211" w:hanging="284"/>
      </w:pPr>
      <w:rPr>
        <w:rFonts w:hint="default"/>
      </w:rPr>
    </w:lvl>
    <w:lvl w:ilvl="6" w:tplc="78280350">
      <w:numFmt w:val="bullet"/>
      <w:lvlText w:val="•"/>
      <w:lvlJc w:val="left"/>
      <w:pPr>
        <w:ind w:left="5114" w:hanging="284"/>
      </w:pPr>
      <w:rPr>
        <w:rFonts w:hint="default"/>
      </w:rPr>
    </w:lvl>
    <w:lvl w:ilvl="7" w:tplc="87FA0330">
      <w:numFmt w:val="bullet"/>
      <w:lvlText w:val="•"/>
      <w:lvlJc w:val="left"/>
      <w:pPr>
        <w:ind w:left="6017" w:hanging="284"/>
      </w:pPr>
      <w:rPr>
        <w:rFonts w:hint="default"/>
      </w:rPr>
    </w:lvl>
    <w:lvl w:ilvl="8" w:tplc="A2925954">
      <w:numFmt w:val="bullet"/>
      <w:lvlText w:val="•"/>
      <w:lvlJc w:val="left"/>
      <w:pPr>
        <w:ind w:left="6919" w:hanging="284"/>
      </w:pPr>
      <w:rPr>
        <w:rFonts w:hint="default"/>
      </w:rPr>
    </w:lvl>
  </w:abstractNum>
  <w:abstractNum w:abstractNumId="35" w15:restartNumberingAfterBreak="0">
    <w:nsid w:val="62132EDA"/>
    <w:multiLevelType w:val="hybridMultilevel"/>
    <w:tmpl w:val="45B49088"/>
    <w:lvl w:ilvl="0" w:tplc="08090001">
      <w:start w:val="1"/>
      <w:numFmt w:val="bullet"/>
      <w:lvlText w:val=""/>
      <w:lvlJc w:val="left"/>
      <w:pPr>
        <w:ind w:left="357"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B866E5"/>
    <w:multiLevelType w:val="hybridMultilevel"/>
    <w:tmpl w:val="5D924470"/>
    <w:lvl w:ilvl="0" w:tplc="08090001">
      <w:start w:val="1"/>
      <w:numFmt w:val="bullet"/>
      <w:lvlText w:val=""/>
      <w:lvlJc w:val="left"/>
      <w:pPr>
        <w:ind w:left="35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F00BD9"/>
    <w:multiLevelType w:val="hybridMultilevel"/>
    <w:tmpl w:val="7136B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A660635"/>
    <w:multiLevelType w:val="hybridMultilevel"/>
    <w:tmpl w:val="BA6C3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C3B68D4"/>
    <w:multiLevelType w:val="hybridMultilevel"/>
    <w:tmpl w:val="AE42C56C"/>
    <w:lvl w:ilvl="0" w:tplc="50FAF664">
      <w:start w:val="2"/>
      <w:numFmt w:val="decimal"/>
      <w:lvlText w:val="%1"/>
      <w:lvlJc w:val="left"/>
      <w:pPr>
        <w:ind w:left="420" w:hanging="341"/>
      </w:pPr>
      <w:rPr>
        <w:rFonts w:ascii="Arial Unicode MS" w:eastAsia="Arial Unicode MS" w:hAnsi="Arial Unicode MS" w:cs="Arial Unicode MS" w:hint="default"/>
        <w:w w:val="102"/>
        <w:sz w:val="20"/>
        <w:szCs w:val="20"/>
      </w:rPr>
    </w:lvl>
    <w:lvl w:ilvl="1" w:tplc="E2B033AA">
      <w:numFmt w:val="bullet"/>
      <w:lvlText w:val="•"/>
      <w:lvlJc w:val="left"/>
      <w:pPr>
        <w:ind w:left="703" w:hanging="341"/>
      </w:pPr>
      <w:rPr>
        <w:rFonts w:hint="default"/>
      </w:rPr>
    </w:lvl>
    <w:lvl w:ilvl="2" w:tplc="8EE2FBD0">
      <w:numFmt w:val="bullet"/>
      <w:lvlText w:val="•"/>
      <w:lvlJc w:val="left"/>
      <w:pPr>
        <w:ind w:left="987" w:hanging="341"/>
      </w:pPr>
      <w:rPr>
        <w:rFonts w:hint="default"/>
      </w:rPr>
    </w:lvl>
    <w:lvl w:ilvl="3" w:tplc="02CCA2AE">
      <w:numFmt w:val="bullet"/>
      <w:lvlText w:val="•"/>
      <w:lvlJc w:val="left"/>
      <w:pPr>
        <w:ind w:left="1271" w:hanging="341"/>
      </w:pPr>
      <w:rPr>
        <w:rFonts w:hint="default"/>
      </w:rPr>
    </w:lvl>
    <w:lvl w:ilvl="4" w:tplc="752CB1A6">
      <w:numFmt w:val="bullet"/>
      <w:lvlText w:val="•"/>
      <w:lvlJc w:val="left"/>
      <w:pPr>
        <w:ind w:left="1555" w:hanging="341"/>
      </w:pPr>
      <w:rPr>
        <w:rFonts w:hint="default"/>
      </w:rPr>
    </w:lvl>
    <w:lvl w:ilvl="5" w:tplc="A392B894">
      <w:numFmt w:val="bullet"/>
      <w:lvlText w:val="•"/>
      <w:lvlJc w:val="left"/>
      <w:pPr>
        <w:ind w:left="1839" w:hanging="341"/>
      </w:pPr>
      <w:rPr>
        <w:rFonts w:hint="default"/>
      </w:rPr>
    </w:lvl>
    <w:lvl w:ilvl="6" w:tplc="91B41D72">
      <w:numFmt w:val="bullet"/>
      <w:lvlText w:val="•"/>
      <w:lvlJc w:val="left"/>
      <w:pPr>
        <w:ind w:left="2123" w:hanging="341"/>
      </w:pPr>
      <w:rPr>
        <w:rFonts w:hint="default"/>
      </w:rPr>
    </w:lvl>
    <w:lvl w:ilvl="7" w:tplc="18E0CE1A">
      <w:numFmt w:val="bullet"/>
      <w:lvlText w:val="•"/>
      <w:lvlJc w:val="left"/>
      <w:pPr>
        <w:ind w:left="2407" w:hanging="341"/>
      </w:pPr>
      <w:rPr>
        <w:rFonts w:hint="default"/>
      </w:rPr>
    </w:lvl>
    <w:lvl w:ilvl="8" w:tplc="5BCE44FA">
      <w:numFmt w:val="bullet"/>
      <w:lvlText w:val="•"/>
      <w:lvlJc w:val="left"/>
      <w:pPr>
        <w:ind w:left="2691" w:hanging="341"/>
      </w:pPr>
      <w:rPr>
        <w:rFonts w:hint="default"/>
      </w:rPr>
    </w:lvl>
  </w:abstractNum>
  <w:abstractNum w:abstractNumId="40" w15:restartNumberingAfterBreak="0">
    <w:nsid w:val="6FFE4619"/>
    <w:multiLevelType w:val="hybridMultilevel"/>
    <w:tmpl w:val="CE52D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10061DB"/>
    <w:multiLevelType w:val="hybridMultilevel"/>
    <w:tmpl w:val="D1D6A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84C5C1F"/>
    <w:multiLevelType w:val="hybridMultilevel"/>
    <w:tmpl w:val="C1AC9E0A"/>
    <w:lvl w:ilvl="0" w:tplc="08090001">
      <w:start w:val="1"/>
      <w:numFmt w:val="bullet"/>
      <w:lvlText w:val=""/>
      <w:lvlJc w:val="left"/>
      <w:pPr>
        <w:ind w:left="357"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4" w15:restartNumberingAfterBreak="0">
    <w:nsid w:val="7D213C03"/>
    <w:multiLevelType w:val="hybridMultilevel"/>
    <w:tmpl w:val="FD9019E4"/>
    <w:lvl w:ilvl="0" w:tplc="9A18374A">
      <w:start w:val="1"/>
      <w:numFmt w:val="decimal"/>
      <w:lvlText w:val="%1"/>
      <w:lvlJc w:val="left"/>
      <w:pPr>
        <w:ind w:left="150" w:hanging="134"/>
      </w:pPr>
      <w:rPr>
        <w:rFonts w:ascii="Arial Unicode MS" w:eastAsia="Arial Unicode MS" w:hAnsi="Arial Unicode MS" w:cs="Arial Unicode MS" w:hint="default"/>
        <w:w w:val="102"/>
        <w:sz w:val="16"/>
        <w:szCs w:val="16"/>
      </w:rPr>
    </w:lvl>
    <w:lvl w:ilvl="1" w:tplc="868AF8D8">
      <w:numFmt w:val="bullet"/>
      <w:lvlText w:val="•"/>
      <w:lvlJc w:val="left"/>
      <w:pPr>
        <w:ind w:left="224" w:hanging="134"/>
      </w:pPr>
      <w:rPr>
        <w:rFonts w:hint="default"/>
      </w:rPr>
    </w:lvl>
    <w:lvl w:ilvl="2" w:tplc="206AEB30">
      <w:numFmt w:val="bullet"/>
      <w:lvlText w:val="•"/>
      <w:lvlJc w:val="left"/>
      <w:pPr>
        <w:ind w:left="288" w:hanging="134"/>
      </w:pPr>
      <w:rPr>
        <w:rFonts w:hint="default"/>
      </w:rPr>
    </w:lvl>
    <w:lvl w:ilvl="3" w:tplc="333A9A38">
      <w:numFmt w:val="bullet"/>
      <w:lvlText w:val="•"/>
      <w:lvlJc w:val="left"/>
      <w:pPr>
        <w:ind w:left="352" w:hanging="134"/>
      </w:pPr>
      <w:rPr>
        <w:rFonts w:hint="default"/>
      </w:rPr>
    </w:lvl>
    <w:lvl w:ilvl="4" w:tplc="C2328D8C">
      <w:numFmt w:val="bullet"/>
      <w:lvlText w:val="•"/>
      <w:lvlJc w:val="left"/>
      <w:pPr>
        <w:ind w:left="417" w:hanging="134"/>
      </w:pPr>
      <w:rPr>
        <w:rFonts w:hint="default"/>
      </w:rPr>
    </w:lvl>
    <w:lvl w:ilvl="5" w:tplc="C9984CF0">
      <w:numFmt w:val="bullet"/>
      <w:lvlText w:val="•"/>
      <w:lvlJc w:val="left"/>
      <w:pPr>
        <w:ind w:left="481" w:hanging="134"/>
      </w:pPr>
      <w:rPr>
        <w:rFonts w:hint="default"/>
      </w:rPr>
    </w:lvl>
    <w:lvl w:ilvl="6" w:tplc="E804860C">
      <w:numFmt w:val="bullet"/>
      <w:lvlText w:val="•"/>
      <w:lvlJc w:val="left"/>
      <w:pPr>
        <w:ind w:left="545" w:hanging="134"/>
      </w:pPr>
      <w:rPr>
        <w:rFonts w:hint="default"/>
      </w:rPr>
    </w:lvl>
    <w:lvl w:ilvl="7" w:tplc="F6780592">
      <w:numFmt w:val="bullet"/>
      <w:lvlText w:val="•"/>
      <w:lvlJc w:val="left"/>
      <w:pPr>
        <w:ind w:left="609" w:hanging="134"/>
      </w:pPr>
      <w:rPr>
        <w:rFonts w:hint="default"/>
      </w:rPr>
    </w:lvl>
    <w:lvl w:ilvl="8" w:tplc="ED4AB6E4">
      <w:numFmt w:val="bullet"/>
      <w:lvlText w:val="•"/>
      <w:lvlJc w:val="left"/>
      <w:pPr>
        <w:ind w:left="674" w:hanging="134"/>
      </w:pPr>
      <w:rPr>
        <w:rFonts w:hint="default"/>
      </w:rPr>
    </w:lvl>
  </w:abstractNum>
  <w:abstractNum w:abstractNumId="45" w15:restartNumberingAfterBreak="0">
    <w:nsid w:val="7DF02633"/>
    <w:multiLevelType w:val="hybridMultilevel"/>
    <w:tmpl w:val="C2327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FAB11E8"/>
    <w:multiLevelType w:val="hybridMultilevel"/>
    <w:tmpl w:val="64660906"/>
    <w:lvl w:ilvl="0" w:tplc="8F7E7AEC">
      <w:start w:val="10"/>
      <w:numFmt w:val="decimal"/>
      <w:lvlText w:val="%1"/>
      <w:lvlJc w:val="left"/>
      <w:pPr>
        <w:ind w:left="1009" w:hanging="340"/>
      </w:pPr>
      <w:rPr>
        <w:rFonts w:ascii="Arial Unicode MS" w:eastAsia="Arial Unicode MS" w:hAnsi="Arial Unicode MS" w:cs="Arial Unicode MS" w:hint="default"/>
        <w:w w:val="102"/>
        <w:sz w:val="19"/>
        <w:szCs w:val="19"/>
      </w:rPr>
    </w:lvl>
    <w:lvl w:ilvl="1" w:tplc="12549114">
      <w:numFmt w:val="bullet"/>
      <w:lvlText w:val="•"/>
      <w:lvlJc w:val="left"/>
      <w:pPr>
        <w:ind w:left="1828" w:hanging="340"/>
      </w:pPr>
      <w:rPr>
        <w:rFonts w:hint="default"/>
      </w:rPr>
    </w:lvl>
    <w:lvl w:ilvl="2" w:tplc="42984036">
      <w:numFmt w:val="bullet"/>
      <w:lvlText w:val="•"/>
      <w:lvlJc w:val="left"/>
      <w:pPr>
        <w:ind w:left="2657" w:hanging="340"/>
      </w:pPr>
      <w:rPr>
        <w:rFonts w:hint="default"/>
      </w:rPr>
    </w:lvl>
    <w:lvl w:ilvl="3" w:tplc="E514B208">
      <w:numFmt w:val="bullet"/>
      <w:lvlText w:val="•"/>
      <w:lvlJc w:val="left"/>
      <w:pPr>
        <w:ind w:left="3485" w:hanging="340"/>
      </w:pPr>
      <w:rPr>
        <w:rFonts w:hint="default"/>
      </w:rPr>
    </w:lvl>
    <w:lvl w:ilvl="4" w:tplc="52C488B0">
      <w:numFmt w:val="bullet"/>
      <w:lvlText w:val="•"/>
      <w:lvlJc w:val="left"/>
      <w:pPr>
        <w:ind w:left="4314" w:hanging="340"/>
      </w:pPr>
      <w:rPr>
        <w:rFonts w:hint="default"/>
      </w:rPr>
    </w:lvl>
    <w:lvl w:ilvl="5" w:tplc="64627A04">
      <w:numFmt w:val="bullet"/>
      <w:lvlText w:val="•"/>
      <w:lvlJc w:val="left"/>
      <w:pPr>
        <w:ind w:left="5142" w:hanging="340"/>
      </w:pPr>
      <w:rPr>
        <w:rFonts w:hint="default"/>
      </w:rPr>
    </w:lvl>
    <w:lvl w:ilvl="6" w:tplc="64DEFB40">
      <w:numFmt w:val="bullet"/>
      <w:lvlText w:val="•"/>
      <w:lvlJc w:val="left"/>
      <w:pPr>
        <w:ind w:left="5971" w:hanging="340"/>
      </w:pPr>
      <w:rPr>
        <w:rFonts w:hint="default"/>
      </w:rPr>
    </w:lvl>
    <w:lvl w:ilvl="7" w:tplc="6A86F260">
      <w:numFmt w:val="bullet"/>
      <w:lvlText w:val="•"/>
      <w:lvlJc w:val="left"/>
      <w:pPr>
        <w:ind w:left="6799" w:hanging="340"/>
      </w:pPr>
      <w:rPr>
        <w:rFonts w:hint="default"/>
      </w:rPr>
    </w:lvl>
    <w:lvl w:ilvl="8" w:tplc="F8743502">
      <w:numFmt w:val="bullet"/>
      <w:lvlText w:val="•"/>
      <w:lvlJc w:val="left"/>
      <w:pPr>
        <w:ind w:left="7628" w:hanging="340"/>
      </w:pPr>
      <w:rPr>
        <w:rFonts w:hint="default"/>
      </w:rPr>
    </w:lvl>
  </w:abstractNum>
  <w:num w:numId="1">
    <w:abstractNumId w:val="43"/>
  </w:num>
  <w:num w:numId="2">
    <w:abstractNumId w:val="21"/>
  </w:num>
  <w:num w:numId="3">
    <w:abstractNumId w:val="25"/>
  </w:num>
  <w:num w:numId="4">
    <w:abstractNumId w:val="4"/>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7"/>
  </w:num>
  <w:num w:numId="9">
    <w:abstractNumId w:val="8"/>
  </w:num>
  <w:num w:numId="10">
    <w:abstractNumId w:val="2"/>
  </w:num>
  <w:num w:numId="11">
    <w:abstractNumId w:val="14"/>
  </w:num>
  <w:num w:numId="12">
    <w:abstractNumId w:val="7"/>
  </w:num>
  <w:num w:numId="13">
    <w:abstractNumId w:val="42"/>
  </w:num>
  <w:num w:numId="14">
    <w:abstractNumId w:val="35"/>
  </w:num>
  <w:num w:numId="15">
    <w:abstractNumId w:val="16"/>
  </w:num>
  <w:num w:numId="16">
    <w:abstractNumId w:val="12"/>
  </w:num>
  <w:num w:numId="17">
    <w:abstractNumId w:val="41"/>
  </w:num>
  <w:num w:numId="18">
    <w:abstractNumId w:val="45"/>
  </w:num>
  <w:num w:numId="19">
    <w:abstractNumId w:val="0"/>
  </w:num>
  <w:num w:numId="20">
    <w:abstractNumId w:val="31"/>
  </w:num>
  <w:num w:numId="21">
    <w:abstractNumId w:val="22"/>
  </w:num>
  <w:num w:numId="22">
    <w:abstractNumId w:val="13"/>
  </w:num>
  <w:num w:numId="23">
    <w:abstractNumId w:val="11"/>
  </w:num>
  <w:num w:numId="24">
    <w:abstractNumId w:val="6"/>
  </w:num>
  <w:num w:numId="25">
    <w:abstractNumId w:val="32"/>
  </w:num>
  <w:num w:numId="26">
    <w:abstractNumId w:val="5"/>
  </w:num>
  <w:num w:numId="27">
    <w:abstractNumId w:val="3"/>
  </w:num>
  <w:num w:numId="28">
    <w:abstractNumId w:val="33"/>
  </w:num>
  <w:num w:numId="29">
    <w:abstractNumId w:val="40"/>
  </w:num>
  <w:num w:numId="30">
    <w:abstractNumId w:val="18"/>
  </w:num>
  <w:num w:numId="31">
    <w:abstractNumId w:val="17"/>
  </w:num>
  <w:num w:numId="32">
    <w:abstractNumId w:val="37"/>
  </w:num>
  <w:num w:numId="33">
    <w:abstractNumId w:val="38"/>
  </w:num>
  <w:num w:numId="34">
    <w:abstractNumId w:val="20"/>
  </w:num>
  <w:num w:numId="35">
    <w:abstractNumId w:val="19"/>
  </w:num>
  <w:num w:numId="36">
    <w:abstractNumId w:val="10"/>
  </w:num>
  <w:num w:numId="37">
    <w:abstractNumId w:val="9"/>
  </w:num>
  <w:num w:numId="38">
    <w:abstractNumId w:val="15"/>
  </w:num>
  <w:num w:numId="39">
    <w:abstractNumId w:val="28"/>
  </w:num>
  <w:num w:numId="40">
    <w:abstractNumId w:val="24"/>
  </w:num>
  <w:num w:numId="41">
    <w:abstractNumId w:val="26"/>
  </w:num>
  <w:num w:numId="42">
    <w:abstractNumId w:val="39"/>
  </w:num>
  <w:num w:numId="43">
    <w:abstractNumId w:val="23"/>
  </w:num>
  <w:num w:numId="44">
    <w:abstractNumId w:val="29"/>
  </w:num>
  <w:num w:numId="45">
    <w:abstractNumId w:val="30"/>
  </w:num>
  <w:num w:numId="46">
    <w:abstractNumId w:val="46"/>
  </w:num>
  <w:num w:numId="47">
    <w:abstractNumId w:val="44"/>
  </w:num>
  <w:num w:numId="4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114A"/>
    <w:rsid w:val="000025B8"/>
    <w:rsid w:val="00005BB5"/>
    <w:rsid w:val="00007FA9"/>
    <w:rsid w:val="00025A6F"/>
    <w:rsid w:val="0002618D"/>
    <w:rsid w:val="00030B26"/>
    <w:rsid w:val="00030E84"/>
    <w:rsid w:val="00032C0A"/>
    <w:rsid w:val="00035257"/>
    <w:rsid w:val="00035D0D"/>
    <w:rsid w:val="00035D68"/>
    <w:rsid w:val="00036027"/>
    <w:rsid w:val="0003605E"/>
    <w:rsid w:val="00053921"/>
    <w:rsid w:val="00054B44"/>
    <w:rsid w:val="0006006B"/>
    <w:rsid w:val="0006228D"/>
    <w:rsid w:val="00072BD6"/>
    <w:rsid w:val="0007448F"/>
    <w:rsid w:val="00075B78"/>
    <w:rsid w:val="000763E9"/>
    <w:rsid w:val="00076708"/>
    <w:rsid w:val="00077B77"/>
    <w:rsid w:val="00082CD6"/>
    <w:rsid w:val="0008437D"/>
    <w:rsid w:val="00085AFE"/>
    <w:rsid w:val="000919C5"/>
    <w:rsid w:val="00094800"/>
    <w:rsid w:val="000A0158"/>
    <w:rsid w:val="000A373D"/>
    <w:rsid w:val="000A41ED"/>
    <w:rsid w:val="000A7993"/>
    <w:rsid w:val="000B0730"/>
    <w:rsid w:val="000B1E5C"/>
    <w:rsid w:val="000D19F4"/>
    <w:rsid w:val="000D58DD"/>
    <w:rsid w:val="000F2AE2"/>
    <w:rsid w:val="000F2BFF"/>
    <w:rsid w:val="00102063"/>
    <w:rsid w:val="0010541C"/>
    <w:rsid w:val="00106F93"/>
    <w:rsid w:val="00111D50"/>
    <w:rsid w:val="00113B8E"/>
    <w:rsid w:val="0012053C"/>
    <w:rsid w:val="00122363"/>
    <w:rsid w:val="001307A8"/>
    <w:rsid w:val="00130927"/>
    <w:rsid w:val="001342C7"/>
    <w:rsid w:val="0013585C"/>
    <w:rsid w:val="00137AF5"/>
    <w:rsid w:val="00142261"/>
    <w:rsid w:val="00142954"/>
    <w:rsid w:val="001460E0"/>
    <w:rsid w:val="001472F0"/>
    <w:rsid w:val="00147F71"/>
    <w:rsid w:val="00150A6E"/>
    <w:rsid w:val="0016304B"/>
    <w:rsid w:val="001637E1"/>
    <w:rsid w:val="0016468A"/>
    <w:rsid w:val="0017070E"/>
    <w:rsid w:val="0018376C"/>
    <w:rsid w:val="0018662D"/>
    <w:rsid w:val="00197427"/>
    <w:rsid w:val="001A21B4"/>
    <w:rsid w:val="001A5CF5"/>
    <w:rsid w:val="001B01CE"/>
    <w:rsid w:val="001B39D2"/>
    <w:rsid w:val="001B4BF8"/>
    <w:rsid w:val="001C4326"/>
    <w:rsid w:val="001C59F7"/>
    <w:rsid w:val="001C665E"/>
    <w:rsid w:val="001D3541"/>
    <w:rsid w:val="001D3E4E"/>
    <w:rsid w:val="001E254A"/>
    <w:rsid w:val="001E3B9E"/>
    <w:rsid w:val="001E7386"/>
    <w:rsid w:val="001F45A7"/>
    <w:rsid w:val="001F54FD"/>
    <w:rsid w:val="0020027C"/>
    <w:rsid w:val="00201A01"/>
    <w:rsid w:val="00204E47"/>
    <w:rsid w:val="0020754B"/>
    <w:rsid w:val="002104D3"/>
    <w:rsid w:val="00213A33"/>
    <w:rsid w:val="002161DE"/>
    <w:rsid w:val="0021763B"/>
    <w:rsid w:val="00232867"/>
    <w:rsid w:val="00235D7B"/>
    <w:rsid w:val="00246DB1"/>
    <w:rsid w:val="002476B5"/>
    <w:rsid w:val="002520CC"/>
    <w:rsid w:val="00252570"/>
    <w:rsid w:val="00253ECF"/>
    <w:rsid w:val="002546A1"/>
    <w:rsid w:val="002575E8"/>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D2F56"/>
    <w:rsid w:val="002E0B47"/>
    <w:rsid w:val="002E7CE3"/>
    <w:rsid w:val="002F2469"/>
    <w:rsid w:val="002F3E98"/>
    <w:rsid w:val="002F4685"/>
    <w:rsid w:val="002F7213"/>
    <w:rsid w:val="00300068"/>
    <w:rsid w:val="0030382F"/>
    <w:rsid w:val="0030408D"/>
    <w:rsid w:val="0030569E"/>
    <w:rsid w:val="003060E4"/>
    <w:rsid w:val="00306BCE"/>
    <w:rsid w:val="003119F5"/>
    <w:rsid w:val="003160E7"/>
    <w:rsid w:val="0031739E"/>
    <w:rsid w:val="00322774"/>
    <w:rsid w:val="003235C6"/>
    <w:rsid w:val="003309CA"/>
    <w:rsid w:val="003325AB"/>
    <w:rsid w:val="003332D1"/>
    <w:rsid w:val="0033412B"/>
    <w:rsid w:val="00341161"/>
    <w:rsid w:val="00343365"/>
    <w:rsid w:val="003445F4"/>
    <w:rsid w:val="00353501"/>
    <w:rsid w:val="00353734"/>
    <w:rsid w:val="003606F8"/>
    <w:rsid w:val="003648EF"/>
    <w:rsid w:val="003673E6"/>
    <w:rsid w:val="00375BFC"/>
    <w:rsid w:val="00377264"/>
    <w:rsid w:val="003779D2"/>
    <w:rsid w:val="00385E38"/>
    <w:rsid w:val="00390ABE"/>
    <w:rsid w:val="003973AD"/>
    <w:rsid w:val="003A26A5"/>
    <w:rsid w:val="003A3761"/>
    <w:rsid w:val="003A512D"/>
    <w:rsid w:val="003A5FEA"/>
    <w:rsid w:val="003A710B"/>
    <w:rsid w:val="003B1D10"/>
    <w:rsid w:val="003C76D4"/>
    <w:rsid w:val="003C7976"/>
    <w:rsid w:val="003D137D"/>
    <w:rsid w:val="003D2CC5"/>
    <w:rsid w:val="003D3E5C"/>
    <w:rsid w:val="003D6C22"/>
    <w:rsid w:val="003E04C1"/>
    <w:rsid w:val="003E0887"/>
    <w:rsid w:val="003E74C8"/>
    <w:rsid w:val="003E74E2"/>
    <w:rsid w:val="003E7C46"/>
    <w:rsid w:val="003F2106"/>
    <w:rsid w:val="003F52A7"/>
    <w:rsid w:val="003F7013"/>
    <w:rsid w:val="003F7F6A"/>
    <w:rsid w:val="0040240C"/>
    <w:rsid w:val="0040653D"/>
    <w:rsid w:val="00413021"/>
    <w:rsid w:val="004145EC"/>
    <w:rsid w:val="00414C35"/>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67321"/>
    <w:rsid w:val="0047140A"/>
    <w:rsid w:val="00487C04"/>
    <w:rsid w:val="004907E1"/>
    <w:rsid w:val="00494C8E"/>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075B3"/>
    <w:rsid w:val="005151C2"/>
    <w:rsid w:val="0053067D"/>
    <w:rsid w:val="0053199F"/>
    <w:rsid w:val="00531E12"/>
    <w:rsid w:val="00533B90"/>
    <w:rsid w:val="00534D85"/>
    <w:rsid w:val="005410F8"/>
    <w:rsid w:val="00543D25"/>
    <w:rsid w:val="005448EC"/>
    <w:rsid w:val="00545963"/>
    <w:rsid w:val="00550256"/>
    <w:rsid w:val="00550321"/>
    <w:rsid w:val="00553165"/>
    <w:rsid w:val="00553958"/>
    <w:rsid w:val="00556BB7"/>
    <w:rsid w:val="0055763D"/>
    <w:rsid w:val="00561516"/>
    <w:rsid w:val="005621F2"/>
    <w:rsid w:val="005669D2"/>
    <w:rsid w:val="00567086"/>
    <w:rsid w:val="00567B58"/>
    <w:rsid w:val="00571223"/>
    <w:rsid w:val="005763E0"/>
    <w:rsid w:val="00581136"/>
    <w:rsid w:val="00581EB8"/>
    <w:rsid w:val="0058437F"/>
    <w:rsid w:val="005A27CA"/>
    <w:rsid w:val="005A43BD"/>
    <w:rsid w:val="005A79E5"/>
    <w:rsid w:val="005D034C"/>
    <w:rsid w:val="005E226E"/>
    <w:rsid w:val="005E2636"/>
    <w:rsid w:val="006015D7"/>
    <w:rsid w:val="00601B21"/>
    <w:rsid w:val="006041F0"/>
    <w:rsid w:val="00605C6D"/>
    <w:rsid w:val="006120CA"/>
    <w:rsid w:val="00613DE7"/>
    <w:rsid w:val="00621E8B"/>
    <w:rsid w:val="00624174"/>
    <w:rsid w:val="00626CF8"/>
    <w:rsid w:val="006314AF"/>
    <w:rsid w:val="00634003"/>
    <w:rsid w:val="00634ED8"/>
    <w:rsid w:val="00636D7D"/>
    <w:rsid w:val="00637408"/>
    <w:rsid w:val="00642868"/>
    <w:rsid w:val="00647AFE"/>
    <w:rsid w:val="006512BC"/>
    <w:rsid w:val="00653A5A"/>
    <w:rsid w:val="006554AC"/>
    <w:rsid w:val="006575F4"/>
    <w:rsid w:val="006579E6"/>
    <w:rsid w:val="00660682"/>
    <w:rsid w:val="00660F74"/>
    <w:rsid w:val="00663EDC"/>
    <w:rsid w:val="00671078"/>
    <w:rsid w:val="00672888"/>
    <w:rsid w:val="006758CA"/>
    <w:rsid w:val="00680A04"/>
    <w:rsid w:val="00686D80"/>
    <w:rsid w:val="00694895"/>
    <w:rsid w:val="00697E2E"/>
    <w:rsid w:val="006A25A2"/>
    <w:rsid w:val="006A3B87"/>
    <w:rsid w:val="006B0A88"/>
    <w:rsid w:val="006B0E73"/>
    <w:rsid w:val="006B1E3D"/>
    <w:rsid w:val="006B3F00"/>
    <w:rsid w:val="006B4A4D"/>
    <w:rsid w:val="006B5695"/>
    <w:rsid w:val="006B7B2E"/>
    <w:rsid w:val="006C78EB"/>
    <w:rsid w:val="006D1660"/>
    <w:rsid w:val="006D63E5"/>
    <w:rsid w:val="006E1753"/>
    <w:rsid w:val="006E3911"/>
    <w:rsid w:val="006F1B67"/>
    <w:rsid w:val="006F3531"/>
    <w:rsid w:val="006F4D9C"/>
    <w:rsid w:val="0070091D"/>
    <w:rsid w:val="00702854"/>
    <w:rsid w:val="0071741C"/>
    <w:rsid w:val="00742B90"/>
    <w:rsid w:val="0074434D"/>
    <w:rsid w:val="007464C2"/>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7F1EDD"/>
    <w:rsid w:val="007F3E11"/>
    <w:rsid w:val="007F4167"/>
    <w:rsid w:val="007F62A9"/>
    <w:rsid w:val="00800A8A"/>
    <w:rsid w:val="0080155C"/>
    <w:rsid w:val="008052E1"/>
    <w:rsid w:val="008123AB"/>
    <w:rsid w:val="00822F2C"/>
    <w:rsid w:val="00823DEE"/>
    <w:rsid w:val="008305E8"/>
    <w:rsid w:val="00836165"/>
    <w:rsid w:val="0084640C"/>
    <w:rsid w:val="00856088"/>
    <w:rsid w:val="00860826"/>
    <w:rsid w:val="00860E21"/>
    <w:rsid w:val="00863117"/>
    <w:rsid w:val="0086388B"/>
    <w:rsid w:val="008642E5"/>
    <w:rsid w:val="00864488"/>
    <w:rsid w:val="00870A36"/>
    <w:rsid w:val="00871CC0"/>
    <w:rsid w:val="00872D93"/>
    <w:rsid w:val="00873BEC"/>
    <w:rsid w:val="00880470"/>
    <w:rsid w:val="00880D94"/>
    <w:rsid w:val="008814E8"/>
    <w:rsid w:val="008822E4"/>
    <w:rsid w:val="0088618E"/>
    <w:rsid w:val="00886F64"/>
    <w:rsid w:val="008924DE"/>
    <w:rsid w:val="008941C1"/>
    <w:rsid w:val="008A3755"/>
    <w:rsid w:val="008B08C6"/>
    <w:rsid w:val="008B19DC"/>
    <w:rsid w:val="008B264F"/>
    <w:rsid w:val="008B6F83"/>
    <w:rsid w:val="008B7FD8"/>
    <w:rsid w:val="008C2973"/>
    <w:rsid w:val="008C6324"/>
    <w:rsid w:val="008C64C4"/>
    <w:rsid w:val="008D2CDD"/>
    <w:rsid w:val="008D74D5"/>
    <w:rsid w:val="008D7C9F"/>
    <w:rsid w:val="008E0ED1"/>
    <w:rsid w:val="008E3A07"/>
    <w:rsid w:val="008E537B"/>
    <w:rsid w:val="008F1FC2"/>
    <w:rsid w:val="008F29BE"/>
    <w:rsid w:val="008F4AE5"/>
    <w:rsid w:val="008F51EB"/>
    <w:rsid w:val="00900197"/>
    <w:rsid w:val="00900BD5"/>
    <w:rsid w:val="00902F55"/>
    <w:rsid w:val="0090582B"/>
    <w:rsid w:val="009060C0"/>
    <w:rsid w:val="009133F5"/>
    <w:rsid w:val="0091756F"/>
    <w:rsid w:val="00920A27"/>
    <w:rsid w:val="00921216"/>
    <w:rsid w:val="009216CC"/>
    <w:rsid w:val="00922E41"/>
    <w:rsid w:val="00925892"/>
    <w:rsid w:val="00926083"/>
    <w:rsid w:val="00930D08"/>
    <w:rsid w:val="00931466"/>
    <w:rsid w:val="00932D69"/>
    <w:rsid w:val="00935589"/>
    <w:rsid w:val="00937408"/>
    <w:rsid w:val="009427FA"/>
    <w:rsid w:val="00944647"/>
    <w:rsid w:val="00953FEC"/>
    <w:rsid w:val="0095565C"/>
    <w:rsid w:val="00964AB6"/>
    <w:rsid w:val="00966F9A"/>
    <w:rsid w:val="00977B8A"/>
    <w:rsid w:val="00982971"/>
    <w:rsid w:val="009845AD"/>
    <w:rsid w:val="00984835"/>
    <w:rsid w:val="009904A4"/>
    <w:rsid w:val="00991008"/>
    <w:rsid w:val="009933EF"/>
    <w:rsid w:val="00995BA0"/>
    <w:rsid w:val="009A418B"/>
    <w:rsid w:val="009A426F"/>
    <w:rsid w:val="009A42D5"/>
    <w:rsid w:val="009A4473"/>
    <w:rsid w:val="009A730A"/>
    <w:rsid w:val="009B05C9"/>
    <w:rsid w:val="009B286C"/>
    <w:rsid w:val="009C151C"/>
    <w:rsid w:val="009C440A"/>
    <w:rsid w:val="009D5125"/>
    <w:rsid w:val="009D60B8"/>
    <w:rsid w:val="009D7D4B"/>
    <w:rsid w:val="009E36ED"/>
    <w:rsid w:val="009E3B47"/>
    <w:rsid w:val="009E3C8C"/>
    <w:rsid w:val="009E6B77"/>
    <w:rsid w:val="009F460A"/>
    <w:rsid w:val="00A00CC6"/>
    <w:rsid w:val="00A00FC3"/>
    <w:rsid w:val="00A043FB"/>
    <w:rsid w:val="00A06BE4"/>
    <w:rsid w:val="00A0729C"/>
    <w:rsid w:val="00A073CF"/>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57C35"/>
    <w:rsid w:val="00A625E8"/>
    <w:rsid w:val="00A63DFF"/>
    <w:rsid w:val="00A64496"/>
    <w:rsid w:val="00A6490D"/>
    <w:rsid w:val="00A67033"/>
    <w:rsid w:val="00A73968"/>
    <w:rsid w:val="00A7415D"/>
    <w:rsid w:val="00A74990"/>
    <w:rsid w:val="00A77E7D"/>
    <w:rsid w:val="00A80363"/>
    <w:rsid w:val="00A80939"/>
    <w:rsid w:val="00A83B11"/>
    <w:rsid w:val="00A83E9D"/>
    <w:rsid w:val="00A85BAD"/>
    <w:rsid w:val="00A87C05"/>
    <w:rsid w:val="00A9169D"/>
    <w:rsid w:val="00A93598"/>
    <w:rsid w:val="00A942EA"/>
    <w:rsid w:val="00AA240C"/>
    <w:rsid w:val="00AC101C"/>
    <w:rsid w:val="00AD4CF1"/>
    <w:rsid w:val="00AD5988"/>
    <w:rsid w:val="00AD6293"/>
    <w:rsid w:val="00AD7933"/>
    <w:rsid w:val="00AF7800"/>
    <w:rsid w:val="00B00CF5"/>
    <w:rsid w:val="00B072E0"/>
    <w:rsid w:val="00B1007E"/>
    <w:rsid w:val="00B253F6"/>
    <w:rsid w:val="00B25F34"/>
    <w:rsid w:val="00B26675"/>
    <w:rsid w:val="00B305DB"/>
    <w:rsid w:val="00B332F8"/>
    <w:rsid w:val="00B3492B"/>
    <w:rsid w:val="00B4646F"/>
    <w:rsid w:val="00B55C7D"/>
    <w:rsid w:val="00B63038"/>
    <w:rsid w:val="00B64BD8"/>
    <w:rsid w:val="00B701D1"/>
    <w:rsid w:val="00B73AF2"/>
    <w:rsid w:val="00B7551A"/>
    <w:rsid w:val="00B773F1"/>
    <w:rsid w:val="00B81623"/>
    <w:rsid w:val="00B86AB1"/>
    <w:rsid w:val="00B87726"/>
    <w:rsid w:val="00B91B22"/>
    <w:rsid w:val="00BA7EBA"/>
    <w:rsid w:val="00BB0702"/>
    <w:rsid w:val="00BB2A06"/>
    <w:rsid w:val="00BB2CBB"/>
    <w:rsid w:val="00BB4198"/>
    <w:rsid w:val="00BC03EE"/>
    <w:rsid w:val="00BC59F1"/>
    <w:rsid w:val="00BD488E"/>
    <w:rsid w:val="00BE406B"/>
    <w:rsid w:val="00BF3DE1"/>
    <w:rsid w:val="00BF4843"/>
    <w:rsid w:val="00BF5205"/>
    <w:rsid w:val="00C05132"/>
    <w:rsid w:val="00C11D2D"/>
    <w:rsid w:val="00C12508"/>
    <w:rsid w:val="00C23728"/>
    <w:rsid w:val="00C3026C"/>
    <w:rsid w:val="00C313A9"/>
    <w:rsid w:val="00C347C8"/>
    <w:rsid w:val="00C4171A"/>
    <w:rsid w:val="00C441CF"/>
    <w:rsid w:val="00C45AA2"/>
    <w:rsid w:val="00C4716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216A"/>
    <w:rsid w:val="00D23323"/>
    <w:rsid w:val="00D2392A"/>
    <w:rsid w:val="00D25FFE"/>
    <w:rsid w:val="00D264A4"/>
    <w:rsid w:val="00D37D80"/>
    <w:rsid w:val="00D442F3"/>
    <w:rsid w:val="00D44483"/>
    <w:rsid w:val="00D444A1"/>
    <w:rsid w:val="00D4476F"/>
    <w:rsid w:val="00D50573"/>
    <w:rsid w:val="00D54D50"/>
    <w:rsid w:val="00D560B4"/>
    <w:rsid w:val="00D662F8"/>
    <w:rsid w:val="00D66797"/>
    <w:rsid w:val="00D67693"/>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237E"/>
    <w:rsid w:val="00DB39CF"/>
    <w:rsid w:val="00DB7256"/>
    <w:rsid w:val="00DC0401"/>
    <w:rsid w:val="00DC20BD"/>
    <w:rsid w:val="00DD0BCD"/>
    <w:rsid w:val="00DD447A"/>
    <w:rsid w:val="00DE3B20"/>
    <w:rsid w:val="00DE6C94"/>
    <w:rsid w:val="00DE6FD7"/>
    <w:rsid w:val="00DF0C7C"/>
    <w:rsid w:val="00E1531E"/>
    <w:rsid w:val="00E23271"/>
    <w:rsid w:val="00E24F80"/>
    <w:rsid w:val="00E259F3"/>
    <w:rsid w:val="00E30985"/>
    <w:rsid w:val="00E33238"/>
    <w:rsid w:val="00E33934"/>
    <w:rsid w:val="00E362E1"/>
    <w:rsid w:val="00E376B7"/>
    <w:rsid w:val="00E42F5D"/>
    <w:rsid w:val="00E4486C"/>
    <w:rsid w:val="00E460B6"/>
    <w:rsid w:val="00E511D5"/>
    <w:rsid w:val="00E53A9F"/>
    <w:rsid w:val="00E60249"/>
    <w:rsid w:val="00E65269"/>
    <w:rsid w:val="00E76D66"/>
    <w:rsid w:val="00EA796A"/>
    <w:rsid w:val="00EB1856"/>
    <w:rsid w:val="00EC50CE"/>
    <w:rsid w:val="00EC5B34"/>
    <w:rsid w:val="00EC70F2"/>
    <w:rsid w:val="00ED021E"/>
    <w:rsid w:val="00ED323C"/>
    <w:rsid w:val="00ED3BA7"/>
    <w:rsid w:val="00EE2D5C"/>
    <w:rsid w:val="00EE4ADE"/>
    <w:rsid w:val="00EE4DE8"/>
    <w:rsid w:val="00EE5CB7"/>
    <w:rsid w:val="00EF4ADA"/>
    <w:rsid w:val="00F01541"/>
    <w:rsid w:val="00F024FE"/>
    <w:rsid w:val="00F05AD4"/>
    <w:rsid w:val="00F10EB6"/>
    <w:rsid w:val="00F13F07"/>
    <w:rsid w:val="00F140B2"/>
    <w:rsid w:val="00F25970"/>
    <w:rsid w:val="00F30DA8"/>
    <w:rsid w:val="00F311A9"/>
    <w:rsid w:val="00F37381"/>
    <w:rsid w:val="00F5180D"/>
    <w:rsid w:val="00F63781"/>
    <w:rsid w:val="00F67496"/>
    <w:rsid w:val="00F742BA"/>
    <w:rsid w:val="00F75250"/>
    <w:rsid w:val="00F801BA"/>
    <w:rsid w:val="00F807AD"/>
    <w:rsid w:val="00F9366A"/>
    <w:rsid w:val="00F946C9"/>
    <w:rsid w:val="00FA0EA5"/>
    <w:rsid w:val="00FA68C7"/>
    <w:rsid w:val="00FA74EE"/>
    <w:rsid w:val="00FA79FA"/>
    <w:rsid w:val="00FC3711"/>
    <w:rsid w:val="00FC46E7"/>
    <w:rsid w:val="00FC5D25"/>
    <w:rsid w:val="00FC7A30"/>
    <w:rsid w:val="00FD0D7E"/>
    <w:rsid w:val="00FD16C4"/>
    <w:rsid w:val="00FD362F"/>
    <w:rsid w:val="00FD4FFB"/>
    <w:rsid w:val="00FD741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CA2C19C-0E4A-4846-A70F-46330CC4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07448F"/>
    <w:pPr>
      <w:pageBreakBefore/>
      <w:spacing w:after="360"/>
      <w:outlineLvl w:val="0"/>
    </w:pPr>
    <w:rPr>
      <w:b/>
      <w:color w:val="23305D"/>
      <w:spacing w:val="-10"/>
      <w:sz w:val="68"/>
    </w:rPr>
  </w:style>
  <w:style w:type="paragraph" w:styleId="Heading2">
    <w:name w:val="heading 2"/>
    <w:basedOn w:val="Normal"/>
    <w:next w:val="Normal"/>
    <w:link w:val="Heading2Char"/>
    <w:uiPriority w:val="1"/>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E1531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9A730A"/>
    <w:pPr>
      <w:tabs>
        <w:tab w:val="right" w:pos="8080"/>
      </w:tabs>
      <w:spacing w:before="60"/>
      <w:ind w:left="284" w:right="567"/>
    </w:pPr>
    <w:rPr>
      <w:sz w:val="22"/>
    </w:rPr>
  </w:style>
  <w:style w:type="paragraph" w:styleId="TOC3">
    <w:name w:val="toc 3"/>
    <w:basedOn w:val="Normal"/>
    <w:next w:val="Normal"/>
    <w:uiPriority w:val="39"/>
    <w:rsid w:val="00E362E1"/>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053921"/>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07448F"/>
    <w:rPr>
      <w:rFonts w:ascii="Segoe UI" w:hAnsi="Segoe UI"/>
      <w:b/>
      <w:color w:val="23305D"/>
      <w:spacing w:val="-10"/>
      <w:sz w:val="6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FC7A30"/>
    <w:pPr>
      <w:spacing w:after="240" w:line="216" w:lineRule="auto"/>
    </w:pPr>
    <w:rPr>
      <w:rFonts w:ascii="Segoe UI Light" w:hAnsi="Segoe UI Light"/>
      <w:color w:val="404040" w:themeColor="text1" w:themeTint="BF"/>
      <w:sz w:val="42"/>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C11D2D"/>
    <w:pPr>
      <w:pBdr>
        <w:left w:val="single" w:sz="48" w:space="6" w:color="23305D"/>
      </w:pBdr>
      <w:spacing w:before="60" w:after="60"/>
      <w:ind w:left="284"/>
    </w:pPr>
    <w:rPr>
      <w:rFonts w:eastAsia="Arial Unicode MS"/>
      <w:color w:val="23305D"/>
    </w:rPr>
  </w:style>
  <w:style w:type="paragraph" w:customStyle="1" w:styleId="Roman">
    <w:name w:val="Roman"/>
    <w:basedOn w:val="Normal"/>
    <w:qFormat/>
    <w:rsid w:val="00AD6293"/>
    <w:pPr>
      <w:numPr>
        <w:ilvl w:val="5"/>
        <w:numId w:val="5"/>
      </w:numPr>
      <w:spacing w:before="90"/>
    </w:pPr>
    <w:rPr>
      <w:rFonts w:eastAsia="Arial Unicode MS"/>
    </w:rPr>
  </w:style>
  <w:style w:type="character" w:customStyle="1" w:styleId="BulletChar">
    <w:name w:val="Bullet Char"/>
    <w:link w:val="Bullet"/>
    <w:locked/>
    <w:rsid w:val="002B7BEC"/>
    <w:rPr>
      <w:rFonts w:ascii="Segoe UI" w:hAnsi="Segoe UI"/>
      <w:sz w:val="21"/>
      <w:lang w:eastAsia="en-GB"/>
    </w:rPr>
  </w:style>
  <w:style w:type="character" w:customStyle="1" w:styleId="TableChar">
    <w:name w:val="Table Char"/>
    <w:link w:val="Table"/>
    <w:locked/>
    <w:rsid w:val="002B7BEC"/>
    <w:rPr>
      <w:rFonts w:ascii="Segoe UI" w:hAnsi="Segoe UI"/>
      <w:b/>
      <w:lang w:eastAsia="en-GB"/>
    </w:rPr>
  </w:style>
  <w:style w:type="character" w:customStyle="1" w:styleId="FigureChar">
    <w:name w:val="Figure Char"/>
    <w:link w:val="Figure"/>
    <w:locked/>
    <w:rsid w:val="002B7BEC"/>
    <w:rPr>
      <w:rFonts w:ascii="Segoe UI" w:hAnsi="Segoe UI"/>
      <w:b/>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yperlink" Target="http://www.who.int/trade/glossary/story028/en/" TargetMode="External"/><Relationship Id="rId68" Type="http://schemas.openxmlformats.org/officeDocument/2006/relationships/footer" Target="footer12.xml"/><Relationship Id="rId76" Type="http://schemas.openxmlformats.org/officeDocument/2006/relationships/hyperlink" Target="http://archive.stats.govt.nz/methods/classifications-and-standards/classification-related-stats-standards/family-type/definition.aspx" TargetMode="External"/><Relationship Id="rId7" Type="http://schemas.openxmlformats.org/officeDocument/2006/relationships/endnotes" Target="endnotes.xml"/><Relationship Id="rId71" Type="http://schemas.openxmlformats.org/officeDocument/2006/relationships/hyperlink" Target="http://archive.stats.govt.nz/methods/classifications-and-standards/classification-related-stats-standards/family-type/definition.aspx"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www.moh.govt.nz/notebook/nbbooks.nsf/0/997AF4E3AAE9A767CC25" TargetMode="External"/><Relationship Id="rId66" Type="http://schemas.openxmlformats.org/officeDocument/2006/relationships/image" Target="media/image39.png"/><Relationship Id="rId74" Type="http://schemas.openxmlformats.org/officeDocument/2006/relationships/hyperlink" Target="http://archive.stats.govt.nz/methods/classifications-and-standards/classification-related-stats-standards/family-type/definition.aspx" TargetMode="External"/><Relationship Id="rId79"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hyperlink" Target="http://www.msd.govt.nz/about-msd-and-our-work/publications-resources/statistics/benefit/"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www.msd.govt.nz/about-msd-and-our-work/publications-resources/statistics/benefit/" TargetMode="External"/><Relationship Id="rId65" Type="http://schemas.openxmlformats.org/officeDocument/2006/relationships/image" Target="media/image38.png"/><Relationship Id="rId73" Type="http://schemas.openxmlformats.org/officeDocument/2006/relationships/hyperlink" Target="http://archive.stats.govt.nz/methods/classifications-and-standards/classification-related-stats-standards/family-type/definition.aspx" TargetMode="External"/><Relationship Id="rId78" Type="http://schemas.openxmlformats.org/officeDocument/2006/relationships/hyperlink" Target="http://archive.stats.govt.nz/methods/classifications-and-standards/classification-related-stats-standards/family-type/definition.aspx" TargetMode="External"/><Relationship Id="rId8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www.who.int/trade/glossary/story028/en/" TargetMode="External"/><Relationship Id="rId69" Type="http://schemas.openxmlformats.org/officeDocument/2006/relationships/hyperlink" Target="http://archive.stats.govt.nz/methods/classifications-and-standards/classification-related-stats-standards/family-type/definition.aspx" TargetMode="External"/><Relationship Id="rId77" Type="http://schemas.openxmlformats.org/officeDocument/2006/relationships/hyperlink" Target="http://archive.stats.govt.nz/methods/classifications-and-standards/classification-related-stats-standards/family-type/definition.aspx"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archive.stats.govt.nz/methods/classifications-and-standards/classification-related-stats-standards/family-type/definition.aspx" TargetMode="External"/><Relationship Id="rId80"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minhealthnz.shinyapps.io/nz-health-survey-2016-17-annual-update" TargetMode="External"/><Relationship Id="rId67" Type="http://schemas.openxmlformats.org/officeDocument/2006/relationships/footer" Target="footer11.xml"/><Relationship Id="rId20"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file://localhost/C:/Users/bmarwick/AppData/Local/Temp/notes2D2695/Florence" TargetMode="External"/><Relationship Id="rId70" Type="http://schemas.openxmlformats.org/officeDocument/2006/relationships/hyperlink" Target="http://archive.stats.govt.nz/methods/classifications-and-standards/classification-related-stats-standards/family-type/definition.aspx" TargetMode="External"/><Relationship Id="rId75" Type="http://schemas.openxmlformats.org/officeDocument/2006/relationships/hyperlink" Target="http://archive.stats.govt.nz/methods/classifications-and-standards/classification-related-stats-standards/family-type/definition.asp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hdl.handle.net/10523/8056"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C5EC-54FB-4AD8-8225-9D9C1277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79</Pages>
  <Words>21414</Words>
  <Characters>120315</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household food insecurity among children</vt:lpstr>
    </vt:vector>
  </TitlesOfParts>
  <Company>Microsoft</Company>
  <LinksUpToDate>false</LinksUpToDate>
  <CharactersWithSpaces>141447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household food insecurity among children</dc:title>
  <dc:creator>Ministry of Health</dc:creator>
  <cp:lastModifiedBy>Berni Marwick</cp:lastModifiedBy>
  <cp:revision>2</cp:revision>
  <cp:lastPrinted>2019-04-04T20:00:00Z</cp:lastPrinted>
  <dcterms:created xsi:type="dcterms:W3CDTF">2019-05-27T02:11:00Z</dcterms:created>
  <dcterms:modified xsi:type="dcterms:W3CDTF">2019-05-27T02:11:00Z</dcterms:modified>
</cp:coreProperties>
</file>